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2A45B" w14:textId="2F137F3B" w:rsidR="00257DF2" w:rsidRDefault="00884142" w:rsidP="00D60A37">
      <w:pPr>
        <w:spacing w:after="1680"/>
      </w:pPr>
      <w:r>
        <w:tab/>
      </w:r>
    </w:p>
    <w:p w14:paraId="6047ED28" w14:textId="5E460EBF" w:rsidR="00257DF2" w:rsidRDefault="00E70977" w:rsidP="00257DF2">
      <w:pPr>
        <w:pStyle w:val="CoverTitle"/>
        <w:rPr>
          <w:color w:val="15272F" w:themeColor="text1"/>
        </w:rPr>
      </w:pPr>
      <w:r>
        <w:rPr>
          <w:color w:val="15272F" w:themeColor="text1"/>
        </w:rPr>
        <w:t>National Hospital Cost Data Collection (NHCDC) Public Sector</w:t>
      </w:r>
      <w:r w:rsidR="009A0577">
        <w:rPr>
          <w:color w:val="15272F" w:themeColor="text1"/>
        </w:rPr>
        <w:t xml:space="preserve"> Review Report</w:t>
      </w:r>
    </w:p>
    <w:p w14:paraId="64125822" w14:textId="254D7B4D" w:rsidR="00E70977" w:rsidRPr="00257DF2" w:rsidRDefault="00E70977" w:rsidP="00257DF2">
      <w:pPr>
        <w:pStyle w:val="CoverTitle"/>
        <w:rPr>
          <w:color w:val="15272F" w:themeColor="text1"/>
        </w:rPr>
      </w:pPr>
      <w:r>
        <w:rPr>
          <w:color w:val="15272F" w:themeColor="text1"/>
        </w:rPr>
        <w:t>2022-23</w:t>
      </w:r>
    </w:p>
    <w:p w14:paraId="4F18FEDC" w14:textId="77777777" w:rsidR="00895767" w:rsidRPr="00895767" w:rsidRDefault="00895767" w:rsidP="00895767"/>
    <w:p w14:paraId="5B86BCA5" w14:textId="77777777" w:rsidR="00895767" w:rsidRPr="00895767" w:rsidRDefault="00895767" w:rsidP="00895767"/>
    <w:p w14:paraId="25780A7C" w14:textId="77777777" w:rsidR="00895767" w:rsidRPr="00895767" w:rsidRDefault="00895767" w:rsidP="00895767"/>
    <w:p w14:paraId="1E67BEF8" w14:textId="77777777" w:rsidR="00895767" w:rsidRPr="00895767" w:rsidRDefault="00895767" w:rsidP="00895767"/>
    <w:p w14:paraId="1F4EC11B" w14:textId="77777777" w:rsidR="00895767" w:rsidRDefault="00895767" w:rsidP="00895767">
      <w:pPr>
        <w:rPr>
          <w:rFonts w:eastAsiaTheme="majorEastAsia" w:cstheme="majorBidi"/>
          <w:b/>
          <w:color w:val="104F99" w:themeColor="accent2"/>
          <w:spacing w:val="-10"/>
          <w:kern w:val="28"/>
          <w:sz w:val="48"/>
          <w:szCs w:val="48"/>
        </w:rPr>
      </w:pPr>
    </w:p>
    <w:p w14:paraId="434A519D" w14:textId="45B72CA9" w:rsidR="00895767" w:rsidRPr="00895767" w:rsidRDefault="00895767" w:rsidP="00895767">
      <w:pPr>
        <w:sectPr w:rsidR="00895767" w:rsidRPr="00895767" w:rsidSect="00873F1F">
          <w:headerReference w:type="default" r:id="rId11"/>
          <w:footerReference w:type="default" r:id="rId12"/>
          <w:pgSz w:w="11906" w:h="16838" w:code="9"/>
          <w:pgMar w:top="1440" w:right="1080" w:bottom="1440" w:left="1080" w:header="708" w:footer="1009" w:gutter="0"/>
          <w:cols w:space="720"/>
          <w:docGrid w:linePitch="360"/>
        </w:sectPr>
      </w:pPr>
    </w:p>
    <w:p w14:paraId="1529CF60" w14:textId="75702304" w:rsidR="003C3623" w:rsidRPr="00C01F51" w:rsidRDefault="00E70977" w:rsidP="00C01F51">
      <w:pPr>
        <w:rPr>
          <w:b/>
          <w:bCs/>
        </w:rPr>
      </w:pPr>
      <w:r>
        <w:rPr>
          <w:b/>
          <w:bCs/>
        </w:rPr>
        <w:lastRenderedPageBreak/>
        <w:t>NHCDC Public Sector 2022-23</w:t>
      </w:r>
      <w:r w:rsidR="004838F3">
        <w:rPr>
          <w:b/>
          <w:bCs/>
        </w:rPr>
        <w:t xml:space="preserve"> Review Report</w:t>
      </w:r>
      <w:r w:rsidR="004838F3" w:rsidRPr="00C01F51">
        <w:rPr>
          <w:b/>
          <w:bCs/>
        </w:rPr>
        <w:t xml:space="preserve"> </w:t>
      </w:r>
      <w:r w:rsidR="003C3623" w:rsidRPr="00C01F51">
        <w:rPr>
          <w:rFonts w:hint="cs"/>
          <w:b/>
          <w:bCs/>
        </w:rPr>
        <w:t>—</w:t>
      </w:r>
      <w:r w:rsidR="003C3623" w:rsidRPr="00C01F51">
        <w:rPr>
          <w:b/>
          <w:bCs/>
        </w:rPr>
        <w:t xml:space="preserve"> </w:t>
      </w:r>
      <w:r w:rsidR="00D128F9">
        <w:rPr>
          <w:b/>
          <w:bCs/>
        </w:rPr>
        <w:t xml:space="preserve">March </w:t>
      </w:r>
      <w:r w:rsidR="001865A8">
        <w:rPr>
          <w:b/>
          <w:bCs/>
        </w:rPr>
        <w:t>2025</w:t>
      </w:r>
    </w:p>
    <w:p w14:paraId="00055977" w14:textId="77777777" w:rsidR="003C3623" w:rsidRPr="007372C2" w:rsidRDefault="003C3623" w:rsidP="003C3623">
      <w:pPr>
        <w:pStyle w:val="Copyrightcopy"/>
      </w:pPr>
      <w:r w:rsidRPr="007372C2">
        <w:rPr>
          <w:rFonts w:hint="cs"/>
        </w:rPr>
        <w:t>©</w:t>
      </w:r>
      <w:r w:rsidRPr="007372C2">
        <w:t xml:space="preserve"> Independent Health and Aged Care Pricing Authority 202</w:t>
      </w:r>
      <w:r w:rsidR="009A4175">
        <w:t>4</w:t>
      </w:r>
    </w:p>
    <w:p w14:paraId="6845D78F" w14:textId="77777777" w:rsidR="003C3623" w:rsidRPr="007372C2" w:rsidRDefault="003C3623" w:rsidP="003C3623">
      <w:pPr>
        <w:pStyle w:val="Copyrightcopy"/>
      </w:pPr>
      <w:r w:rsidRPr="007372C2">
        <w:t xml:space="preserve">This publication is available for your use under </w:t>
      </w:r>
      <w:r w:rsidR="00431B53" w:rsidRPr="00431B53">
        <w:t>a Creative Commons Attribution 4.0 International licence</w:t>
      </w:r>
      <w:r w:rsidRPr="007372C2">
        <w:t xml:space="preserve">, </w:t>
      </w:r>
      <w:proofErr w:type="gramStart"/>
      <w:r w:rsidRPr="007372C2">
        <w:t>with the exception of</w:t>
      </w:r>
      <w:proofErr w:type="gramEnd"/>
      <w:r w:rsidRPr="007372C2">
        <w:t xml:space="preserve"> the Independent Health and Aged Care Pricing Authority logo, photographs, images, signatures and where otherwise stated. The full licence terms are available from the Creative Commons website.</w:t>
      </w:r>
    </w:p>
    <w:p w14:paraId="5A6B8508" w14:textId="77777777" w:rsidR="003C3623" w:rsidRPr="007372C2" w:rsidRDefault="003C3623" w:rsidP="003C3623">
      <w:pPr>
        <w:pStyle w:val="Copyrightcopy"/>
      </w:pPr>
      <w:r w:rsidRPr="007372C2">
        <w:rPr>
          <w:noProof/>
        </w:rPr>
        <w:drawing>
          <wp:inline distT="0" distB="0" distL="0" distR="0" wp14:anchorId="6F4B1E39" wp14:editId="2FD35CE8">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3">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7372C2">
        <w:t xml:space="preserve"> </w:t>
      </w:r>
    </w:p>
    <w:p w14:paraId="69DB63D0" w14:textId="77777777" w:rsidR="003C3623" w:rsidRPr="007372C2" w:rsidRDefault="003C3623" w:rsidP="003C3623">
      <w:pPr>
        <w:pStyle w:val="Copyrightcopy"/>
      </w:pPr>
      <w:r w:rsidRPr="007372C2">
        <w:t xml:space="preserve">Use of Independent Health and Aged Care Pricing Authority material under </w:t>
      </w:r>
      <w:r w:rsidR="00431B53" w:rsidRPr="00431B53">
        <w:t>a Creative Commons Attribution 4.0 International licence</w:t>
      </w:r>
      <w:r w:rsidR="00431B53">
        <w:t xml:space="preserve"> </w:t>
      </w:r>
      <w:r w:rsidRPr="007372C2">
        <w:t>requires you to attribute the work (but not in any way that suggests that the Independent Health and Aged Care Pricing Authority endorses you or your use of the</w:t>
      </w:r>
      <w:r w:rsidRPr="007372C2">
        <w:rPr>
          <w:rFonts w:hint="cs"/>
        </w:rPr>
        <w:t> </w:t>
      </w:r>
      <w:r w:rsidRPr="007372C2">
        <w:t>work).</w:t>
      </w:r>
    </w:p>
    <w:p w14:paraId="20910F96" w14:textId="77777777" w:rsidR="003C3623" w:rsidRPr="007372C2" w:rsidRDefault="003C3623" w:rsidP="003C3623">
      <w:pPr>
        <w:pStyle w:val="Copyrightcopy"/>
      </w:pPr>
      <w:r w:rsidRPr="007372C2">
        <w:t>Independent Health and Aged Care Pricing Authority material used 'as supplied'.</w:t>
      </w:r>
    </w:p>
    <w:p w14:paraId="780FABFB" w14:textId="77777777" w:rsidR="003C3623" w:rsidRPr="007372C2" w:rsidRDefault="003C3623" w:rsidP="003C3623">
      <w:pPr>
        <w:pStyle w:val="Copyrightcopy"/>
      </w:pPr>
      <w:r w:rsidRPr="007372C2">
        <w:t xml:space="preserve">Provided you have not modified or transformed Independent Health and Aged Care Pricing Authority material in any way including, for example, by changing Independent Health and Aged Care Pricing Authority text </w:t>
      </w:r>
      <w:r w:rsidRPr="007372C2">
        <w:rPr>
          <w:rFonts w:hint="cs"/>
        </w:rPr>
        <w:t>–</w:t>
      </w:r>
      <w:r w:rsidRPr="007372C2">
        <w:t xml:space="preserve"> then the Independent Health and Aged Care Pricing Authority prefers the following attribution:</w:t>
      </w:r>
    </w:p>
    <w:p w14:paraId="0C45A8C2" w14:textId="77777777" w:rsidR="003C3623" w:rsidRDefault="003C3623" w:rsidP="003C3623">
      <w:pPr>
        <w:pStyle w:val="Copyrightcopy"/>
        <w:sectPr w:rsidR="003C3623" w:rsidSect="003C3623">
          <w:headerReference w:type="default" r:id="rId14"/>
          <w:footerReference w:type="default" r:id="rId15"/>
          <w:pgSz w:w="11906" w:h="16838" w:code="9"/>
          <w:pgMar w:top="7371" w:right="1077" w:bottom="1440" w:left="1077" w:header="709" w:footer="709" w:gutter="0"/>
          <w:cols w:space="720"/>
          <w:docGrid w:linePitch="360"/>
        </w:sectPr>
      </w:pPr>
      <w:r w:rsidRPr="007372C2">
        <w:t>Source: The Independent Health and Aged Care Pricing</w:t>
      </w:r>
      <w:r w:rsidRPr="007372C2">
        <w:rPr>
          <w:rFonts w:hint="cs"/>
        </w:rPr>
        <w:t> </w:t>
      </w:r>
      <w:r w:rsidRPr="007372C2">
        <w:t>Authority</w:t>
      </w:r>
    </w:p>
    <w:bookmarkStart w:id="0" w:name="_Toc179296634" w:displacedByCustomXml="next"/>
    <w:sdt>
      <w:sdtPr>
        <w:rPr>
          <w:rFonts w:eastAsiaTheme="minorEastAsia" w:cstheme="minorBidi"/>
          <w:b w:val="0"/>
          <w:sz w:val="22"/>
          <w:szCs w:val="22"/>
          <w:lang w:val="en-PH"/>
        </w:rPr>
        <w:id w:val="-1569568298"/>
        <w:docPartObj>
          <w:docPartGallery w:val="Table of Contents"/>
          <w:docPartUnique/>
        </w:docPartObj>
      </w:sdtPr>
      <w:sdtEndPr>
        <w:rPr>
          <w:noProof/>
          <w:lang w:val="en-AU"/>
        </w:rPr>
      </w:sdtEndPr>
      <w:sdtContent>
        <w:p w14:paraId="7558F8ED" w14:textId="5ADC4E44" w:rsidR="002D54D5" w:rsidRDefault="002D54D5" w:rsidP="00540552">
          <w:pPr>
            <w:pStyle w:val="Heading1"/>
            <w:numPr>
              <w:ilvl w:val="0"/>
              <w:numId w:val="0"/>
            </w:numPr>
            <w:ind w:left="1134" w:hanging="1134"/>
          </w:pPr>
          <w:r>
            <w:t>Table of Contents</w:t>
          </w:r>
          <w:bookmarkEnd w:id="0"/>
        </w:p>
        <w:p w14:paraId="1027A1DB" w14:textId="72E0DF14" w:rsidR="00D26E2A" w:rsidRDefault="003E21E0">
          <w:pPr>
            <w:pStyle w:val="TOC1"/>
            <w:rPr>
              <w:rFonts w:asciiTheme="minorHAnsi" w:eastAsiaTheme="minorEastAsia" w:hAnsiTheme="minorHAnsi"/>
              <w:b w:val="0"/>
              <w:noProof/>
              <w:color w:val="auto"/>
              <w:kern w:val="2"/>
              <w:sz w:val="22"/>
              <w:lang w:eastAsia="en-AU"/>
              <w14:ligatures w14:val="standardContextual"/>
            </w:rPr>
          </w:pPr>
          <w:r>
            <w:rPr>
              <w:b w:val="0"/>
              <w:bCs/>
              <w:noProof/>
            </w:rPr>
            <w:fldChar w:fldCharType="begin"/>
          </w:r>
          <w:r>
            <w:rPr>
              <w:b w:val="0"/>
              <w:bCs/>
              <w:noProof/>
            </w:rPr>
            <w:instrText xml:space="preserve"> TOC \o "1-2" \h \z \u </w:instrText>
          </w:r>
          <w:r>
            <w:rPr>
              <w:b w:val="0"/>
              <w:bCs/>
              <w:noProof/>
            </w:rPr>
            <w:fldChar w:fldCharType="separate"/>
          </w:r>
          <w:hyperlink w:anchor="_Toc179296634" w:history="1">
            <w:r w:rsidR="00D26E2A" w:rsidRPr="006954EE">
              <w:rPr>
                <w:rStyle w:val="Hyperlink"/>
                <w:noProof/>
              </w:rPr>
              <w:t>Table of Contents</w:t>
            </w:r>
            <w:r w:rsidR="00D26E2A">
              <w:rPr>
                <w:noProof/>
                <w:webHidden/>
              </w:rPr>
              <w:tab/>
            </w:r>
            <w:r w:rsidR="00D26E2A">
              <w:rPr>
                <w:noProof/>
                <w:webHidden/>
              </w:rPr>
              <w:fldChar w:fldCharType="begin"/>
            </w:r>
            <w:r w:rsidR="00D26E2A">
              <w:rPr>
                <w:noProof/>
                <w:webHidden/>
              </w:rPr>
              <w:instrText xml:space="preserve"> PAGEREF _Toc179296634 \h </w:instrText>
            </w:r>
            <w:r w:rsidR="00D26E2A">
              <w:rPr>
                <w:noProof/>
                <w:webHidden/>
              </w:rPr>
            </w:r>
            <w:r w:rsidR="00D26E2A">
              <w:rPr>
                <w:noProof/>
                <w:webHidden/>
              </w:rPr>
              <w:fldChar w:fldCharType="separate"/>
            </w:r>
            <w:r w:rsidR="00A53C98">
              <w:rPr>
                <w:noProof/>
                <w:webHidden/>
              </w:rPr>
              <w:t>3</w:t>
            </w:r>
            <w:r w:rsidR="00D26E2A">
              <w:rPr>
                <w:noProof/>
                <w:webHidden/>
              </w:rPr>
              <w:fldChar w:fldCharType="end"/>
            </w:r>
          </w:hyperlink>
        </w:p>
        <w:p w14:paraId="5B790EEC" w14:textId="59EE157C" w:rsidR="00D26E2A" w:rsidRDefault="00D26E2A">
          <w:pPr>
            <w:pStyle w:val="TOC1"/>
            <w:tabs>
              <w:tab w:val="left" w:pos="440"/>
            </w:tabs>
            <w:rPr>
              <w:rFonts w:asciiTheme="minorHAnsi" w:eastAsiaTheme="minorEastAsia" w:hAnsiTheme="minorHAnsi"/>
              <w:b w:val="0"/>
              <w:noProof/>
              <w:color w:val="auto"/>
              <w:kern w:val="2"/>
              <w:sz w:val="22"/>
              <w:lang w:eastAsia="en-AU"/>
              <w14:ligatures w14:val="standardContextual"/>
            </w:rPr>
          </w:pPr>
          <w:hyperlink w:anchor="_Toc179296635" w:history="1">
            <w:r w:rsidRPr="006954EE">
              <w:rPr>
                <w:rStyle w:val="Hyperlink"/>
                <w:rFonts w:ascii="Arial Bold" w:hAnsi="Arial Bold"/>
                <w:noProof/>
              </w:rPr>
              <w:t>1</w:t>
            </w:r>
            <w:r>
              <w:rPr>
                <w:rFonts w:asciiTheme="minorHAnsi" w:eastAsiaTheme="minorEastAsia" w:hAnsiTheme="minorHAnsi"/>
                <w:b w:val="0"/>
                <w:noProof/>
                <w:color w:val="auto"/>
                <w:kern w:val="2"/>
                <w:sz w:val="22"/>
                <w:lang w:eastAsia="en-AU"/>
                <w14:ligatures w14:val="standardContextual"/>
              </w:rPr>
              <w:tab/>
            </w:r>
            <w:r w:rsidRPr="006954EE">
              <w:rPr>
                <w:rStyle w:val="Hyperlink"/>
                <w:noProof/>
              </w:rPr>
              <w:t>Executive Summary</w:t>
            </w:r>
            <w:r>
              <w:rPr>
                <w:noProof/>
                <w:webHidden/>
              </w:rPr>
              <w:tab/>
            </w:r>
            <w:r>
              <w:rPr>
                <w:noProof/>
                <w:webHidden/>
              </w:rPr>
              <w:fldChar w:fldCharType="begin"/>
            </w:r>
            <w:r>
              <w:rPr>
                <w:noProof/>
                <w:webHidden/>
              </w:rPr>
              <w:instrText xml:space="preserve"> PAGEREF _Toc179296635 \h </w:instrText>
            </w:r>
            <w:r>
              <w:rPr>
                <w:noProof/>
                <w:webHidden/>
              </w:rPr>
            </w:r>
            <w:r>
              <w:rPr>
                <w:noProof/>
                <w:webHidden/>
              </w:rPr>
              <w:fldChar w:fldCharType="separate"/>
            </w:r>
            <w:r w:rsidR="00A53C98">
              <w:rPr>
                <w:noProof/>
                <w:webHidden/>
              </w:rPr>
              <w:t>4</w:t>
            </w:r>
            <w:r>
              <w:rPr>
                <w:noProof/>
                <w:webHidden/>
              </w:rPr>
              <w:fldChar w:fldCharType="end"/>
            </w:r>
          </w:hyperlink>
        </w:p>
        <w:p w14:paraId="4E3E4EB2" w14:textId="3AD95205" w:rsidR="00D26E2A" w:rsidRDefault="00D26E2A">
          <w:pPr>
            <w:pStyle w:val="TOC2"/>
            <w:rPr>
              <w:rFonts w:asciiTheme="minorHAnsi" w:eastAsiaTheme="minorEastAsia" w:hAnsiTheme="minorHAnsi"/>
              <w:noProof/>
              <w:color w:val="auto"/>
              <w:kern w:val="2"/>
              <w:lang w:eastAsia="en-AU"/>
              <w14:ligatures w14:val="standardContextual"/>
            </w:rPr>
          </w:pPr>
          <w:hyperlink w:anchor="_Toc179296636" w:history="1">
            <w:r w:rsidRPr="006954EE">
              <w:rPr>
                <w:rStyle w:val="Hyperlink"/>
                <w:rFonts w:ascii="Arial Bold" w:hAnsi="Arial Bold"/>
                <w:noProof/>
              </w:rPr>
              <w:t>1.1</w:t>
            </w:r>
            <w:r>
              <w:rPr>
                <w:rFonts w:asciiTheme="minorHAnsi" w:eastAsiaTheme="minorEastAsia" w:hAnsiTheme="minorHAnsi"/>
                <w:noProof/>
                <w:color w:val="auto"/>
                <w:kern w:val="2"/>
                <w:lang w:eastAsia="en-AU"/>
                <w14:ligatures w14:val="standardContextual"/>
              </w:rPr>
              <w:tab/>
            </w:r>
            <w:r w:rsidRPr="006954EE">
              <w:rPr>
                <w:rStyle w:val="Hyperlink"/>
                <w:noProof/>
              </w:rPr>
              <w:t>Introduction</w:t>
            </w:r>
            <w:r>
              <w:rPr>
                <w:noProof/>
                <w:webHidden/>
              </w:rPr>
              <w:tab/>
            </w:r>
            <w:r>
              <w:rPr>
                <w:noProof/>
                <w:webHidden/>
              </w:rPr>
              <w:fldChar w:fldCharType="begin"/>
            </w:r>
            <w:r>
              <w:rPr>
                <w:noProof/>
                <w:webHidden/>
              </w:rPr>
              <w:instrText xml:space="preserve"> PAGEREF _Toc179296636 \h </w:instrText>
            </w:r>
            <w:r>
              <w:rPr>
                <w:noProof/>
                <w:webHidden/>
              </w:rPr>
            </w:r>
            <w:r>
              <w:rPr>
                <w:noProof/>
                <w:webHidden/>
              </w:rPr>
              <w:fldChar w:fldCharType="separate"/>
            </w:r>
            <w:r w:rsidR="00A53C98">
              <w:rPr>
                <w:noProof/>
                <w:webHidden/>
              </w:rPr>
              <w:t>4</w:t>
            </w:r>
            <w:r>
              <w:rPr>
                <w:noProof/>
                <w:webHidden/>
              </w:rPr>
              <w:fldChar w:fldCharType="end"/>
            </w:r>
          </w:hyperlink>
        </w:p>
        <w:p w14:paraId="475DF022" w14:textId="59612769" w:rsidR="00D26E2A" w:rsidRDefault="00D26E2A">
          <w:pPr>
            <w:pStyle w:val="TOC2"/>
            <w:rPr>
              <w:rFonts w:asciiTheme="minorHAnsi" w:eastAsiaTheme="minorEastAsia" w:hAnsiTheme="minorHAnsi"/>
              <w:noProof/>
              <w:color w:val="auto"/>
              <w:kern w:val="2"/>
              <w:lang w:eastAsia="en-AU"/>
              <w14:ligatures w14:val="standardContextual"/>
            </w:rPr>
          </w:pPr>
          <w:hyperlink w:anchor="_Toc179296637" w:history="1">
            <w:r w:rsidRPr="006954EE">
              <w:rPr>
                <w:rStyle w:val="Hyperlink"/>
                <w:rFonts w:ascii="Arial Bold" w:hAnsi="Arial Bold"/>
                <w:noProof/>
              </w:rPr>
              <w:t>1.2</w:t>
            </w:r>
            <w:r>
              <w:rPr>
                <w:rFonts w:asciiTheme="minorHAnsi" w:eastAsiaTheme="minorEastAsia" w:hAnsiTheme="minorHAnsi"/>
                <w:noProof/>
                <w:color w:val="auto"/>
                <w:kern w:val="2"/>
                <w:lang w:eastAsia="en-AU"/>
                <w14:ligatures w14:val="standardContextual"/>
              </w:rPr>
              <w:tab/>
            </w:r>
            <w:r w:rsidRPr="006954EE">
              <w:rPr>
                <w:rStyle w:val="Hyperlink"/>
                <w:noProof/>
              </w:rPr>
              <w:t>Summary findings</w:t>
            </w:r>
            <w:r>
              <w:rPr>
                <w:noProof/>
                <w:webHidden/>
              </w:rPr>
              <w:tab/>
            </w:r>
            <w:r>
              <w:rPr>
                <w:noProof/>
                <w:webHidden/>
              </w:rPr>
              <w:fldChar w:fldCharType="begin"/>
            </w:r>
            <w:r>
              <w:rPr>
                <w:noProof/>
                <w:webHidden/>
              </w:rPr>
              <w:instrText xml:space="preserve"> PAGEREF _Toc179296637 \h </w:instrText>
            </w:r>
            <w:r>
              <w:rPr>
                <w:noProof/>
                <w:webHidden/>
              </w:rPr>
            </w:r>
            <w:r>
              <w:rPr>
                <w:noProof/>
                <w:webHidden/>
              </w:rPr>
              <w:fldChar w:fldCharType="separate"/>
            </w:r>
            <w:r w:rsidR="00A53C98">
              <w:rPr>
                <w:noProof/>
                <w:webHidden/>
              </w:rPr>
              <w:t>7</w:t>
            </w:r>
            <w:r>
              <w:rPr>
                <w:noProof/>
                <w:webHidden/>
              </w:rPr>
              <w:fldChar w:fldCharType="end"/>
            </w:r>
          </w:hyperlink>
        </w:p>
        <w:p w14:paraId="79D230A6" w14:textId="2A38D172" w:rsidR="00D26E2A" w:rsidRDefault="00D26E2A">
          <w:pPr>
            <w:pStyle w:val="TOC1"/>
            <w:tabs>
              <w:tab w:val="left" w:pos="440"/>
            </w:tabs>
            <w:rPr>
              <w:rFonts w:asciiTheme="minorHAnsi" w:eastAsiaTheme="minorEastAsia" w:hAnsiTheme="minorHAnsi"/>
              <w:b w:val="0"/>
              <w:noProof/>
              <w:color w:val="auto"/>
              <w:kern w:val="2"/>
              <w:sz w:val="22"/>
              <w:lang w:eastAsia="en-AU"/>
              <w14:ligatures w14:val="standardContextual"/>
            </w:rPr>
          </w:pPr>
          <w:hyperlink w:anchor="_Toc179296638" w:history="1">
            <w:r w:rsidRPr="006954EE">
              <w:rPr>
                <w:rStyle w:val="Hyperlink"/>
                <w:rFonts w:ascii="Arial Bold" w:hAnsi="Arial Bold"/>
                <w:noProof/>
              </w:rPr>
              <w:t>2</w:t>
            </w:r>
            <w:r>
              <w:rPr>
                <w:rFonts w:asciiTheme="minorHAnsi" w:eastAsiaTheme="minorEastAsia" w:hAnsiTheme="minorHAnsi"/>
                <w:b w:val="0"/>
                <w:noProof/>
                <w:color w:val="auto"/>
                <w:kern w:val="2"/>
                <w:sz w:val="22"/>
                <w:lang w:eastAsia="en-AU"/>
                <w14:ligatures w14:val="standardContextual"/>
              </w:rPr>
              <w:tab/>
            </w:r>
            <w:r w:rsidRPr="006954EE">
              <w:rPr>
                <w:rStyle w:val="Hyperlink"/>
                <w:noProof/>
              </w:rPr>
              <w:t>NHCDC Data Quality Statements 2022-23</w:t>
            </w:r>
            <w:r>
              <w:rPr>
                <w:noProof/>
                <w:webHidden/>
              </w:rPr>
              <w:tab/>
            </w:r>
            <w:r>
              <w:rPr>
                <w:noProof/>
                <w:webHidden/>
              </w:rPr>
              <w:fldChar w:fldCharType="begin"/>
            </w:r>
            <w:r>
              <w:rPr>
                <w:noProof/>
                <w:webHidden/>
              </w:rPr>
              <w:instrText xml:space="preserve"> PAGEREF _Toc179296638 \h </w:instrText>
            </w:r>
            <w:r>
              <w:rPr>
                <w:noProof/>
                <w:webHidden/>
              </w:rPr>
            </w:r>
            <w:r>
              <w:rPr>
                <w:noProof/>
                <w:webHidden/>
              </w:rPr>
              <w:fldChar w:fldCharType="separate"/>
            </w:r>
            <w:r w:rsidR="00A53C98">
              <w:rPr>
                <w:noProof/>
                <w:webHidden/>
              </w:rPr>
              <w:t>8</w:t>
            </w:r>
            <w:r>
              <w:rPr>
                <w:noProof/>
                <w:webHidden/>
              </w:rPr>
              <w:fldChar w:fldCharType="end"/>
            </w:r>
          </w:hyperlink>
        </w:p>
        <w:p w14:paraId="0FA14A84" w14:textId="10F42387" w:rsidR="00D26E2A" w:rsidRDefault="00D26E2A">
          <w:pPr>
            <w:pStyle w:val="TOC2"/>
            <w:rPr>
              <w:rFonts w:asciiTheme="minorHAnsi" w:eastAsiaTheme="minorEastAsia" w:hAnsiTheme="minorHAnsi"/>
              <w:noProof/>
              <w:color w:val="auto"/>
              <w:kern w:val="2"/>
              <w:lang w:eastAsia="en-AU"/>
              <w14:ligatures w14:val="standardContextual"/>
            </w:rPr>
          </w:pPr>
          <w:hyperlink w:anchor="_Toc179296639" w:history="1">
            <w:r w:rsidRPr="006954EE">
              <w:rPr>
                <w:rStyle w:val="Hyperlink"/>
                <w:rFonts w:ascii="Arial Bold" w:hAnsi="Arial Bold"/>
                <w:noProof/>
              </w:rPr>
              <w:t>2.1</w:t>
            </w:r>
            <w:r>
              <w:rPr>
                <w:rFonts w:asciiTheme="minorHAnsi" w:eastAsiaTheme="minorEastAsia" w:hAnsiTheme="minorHAnsi"/>
                <w:noProof/>
                <w:color w:val="auto"/>
                <w:kern w:val="2"/>
                <w:lang w:eastAsia="en-AU"/>
                <w14:ligatures w14:val="standardContextual"/>
              </w:rPr>
              <w:tab/>
            </w:r>
            <w:r w:rsidRPr="006954EE">
              <w:rPr>
                <w:rStyle w:val="Hyperlink"/>
                <w:noProof/>
              </w:rPr>
              <w:t>Common themes</w:t>
            </w:r>
            <w:r>
              <w:rPr>
                <w:noProof/>
                <w:webHidden/>
              </w:rPr>
              <w:tab/>
            </w:r>
            <w:r>
              <w:rPr>
                <w:noProof/>
                <w:webHidden/>
              </w:rPr>
              <w:fldChar w:fldCharType="begin"/>
            </w:r>
            <w:r>
              <w:rPr>
                <w:noProof/>
                <w:webHidden/>
              </w:rPr>
              <w:instrText xml:space="preserve"> PAGEREF _Toc179296639 \h </w:instrText>
            </w:r>
            <w:r>
              <w:rPr>
                <w:noProof/>
                <w:webHidden/>
              </w:rPr>
            </w:r>
            <w:r>
              <w:rPr>
                <w:noProof/>
                <w:webHidden/>
              </w:rPr>
              <w:fldChar w:fldCharType="separate"/>
            </w:r>
            <w:r w:rsidR="00A53C98">
              <w:rPr>
                <w:noProof/>
                <w:webHidden/>
              </w:rPr>
              <w:t>8</w:t>
            </w:r>
            <w:r>
              <w:rPr>
                <w:noProof/>
                <w:webHidden/>
              </w:rPr>
              <w:fldChar w:fldCharType="end"/>
            </w:r>
          </w:hyperlink>
        </w:p>
        <w:p w14:paraId="39B46752" w14:textId="5D033208" w:rsidR="00D26E2A" w:rsidRDefault="00D26E2A">
          <w:pPr>
            <w:pStyle w:val="TOC2"/>
            <w:rPr>
              <w:rFonts w:asciiTheme="minorHAnsi" w:eastAsiaTheme="minorEastAsia" w:hAnsiTheme="minorHAnsi"/>
              <w:noProof/>
              <w:color w:val="auto"/>
              <w:kern w:val="2"/>
              <w:lang w:eastAsia="en-AU"/>
              <w14:ligatures w14:val="standardContextual"/>
            </w:rPr>
          </w:pPr>
          <w:hyperlink w:anchor="_Toc179296640" w:history="1">
            <w:r w:rsidRPr="006954EE">
              <w:rPr>
                <w:rStyle w:val="Hyperlink"/>
                <w:rFonts w:ascii="Arial Bold" w:hAnsi="Arial Bold"/>
                <w:noProof/>
              </w:rPr>
              <w:t>2.2</w:t>
            </w:r>
            <w:r>
              <w:rPr>
                <w:rFonts w:asciiTheme="minorHAnsi" w:eastAsiaTheme="minorEastAsia" w:hAnsiTheme="minorHAnsi"/>
                <w:noProof/>
                <w:color w:val="auto"/>
                <w:kern w:val="2"/>
                <w:lang w:eastAsia="en-AU"/>
                <w14:ligatures w14:val="standardContextual"/>
              </w:rPr>
              <w:tab/>
            </w:r>
            <w:r w:rsidRPr="006954EE">
              <w:rPr>
                <w:rStyle w:val="Hyperlink"/>
                <w:noProof/>
              </w:rPr>
              <w:t>Quality assurance processes</w:t>
            </w:r>
            <w:r>
              <w:rPr>
                <w:noProof/>
                <w:webHidden/>
              </w:rPr>
              <w:tab/>
            </w:r>
            <w:r>
              <w:rPr>
                <w:noProof/>
                <w:webHidden/>
              </w:rPr>
              <w:fldChar w:fldCharType="begin"/>
            </w:r>
            <w:r>
              <w:rPr>
                <w:noProof/>
                <w:webHidden/>
              </w:rPr>
              <w:instrText xml:space="preserve"> PAGEREF _Toc179296640 \h </w:instrText>
            </w:r>
            <w:r>
              <w:rPr>
                <w:noProof/>
                <w:webHidden/>
              </w:rPr>
            </w:r>
            <w:r>
              <w:rPr>
                <w:noProof/>
                <w:webHidden/>
              </w:rPr>
              <w:fldChar w:fldCharType="separate"/>
            </w:r>
            <w:r w:rsidR="00A53C98">
              <w:rPr>
                <w:noProof/>
                <w:webHidden/>
              </w:rPr>
              <w:t>9</w:t>
            </w:r>
            <w:r>
              <w:rPr>
                <w:noProof/>
                <w:webHidden/>
              </w:rPr>
              <w:fldChar w:fldCharType="end"/>
            </w:r>
          </w:hyperlink>
        </w:p>
        <w:p w14:paraId="58EC8590" w14:textId="52C0C624" w:rsidR="00D26E2A" w:rsidRDefault="00D26E2A">
          <w:pPr>
            <w:pStyle w:val="TOC2"/>
            <w:rPr>
              <w:rFonts w:asciiTheme="minorHAnsi" w:eastAsiaTheme="minorEastAsia" w:hAnsiTheme="minorHAnsi"/>
              <w:noProof/>
              <w:color w:val="auto"/>
              <w:kern w:val="2"/>
              <w:lang w:eastAsia="en-AU"/>
              <w14:ligatures w14:val="standardContextual"/>
            </w:rPr>
          </w:pPr>
          <w:hyperlink w:anchor="_Toc179296641" w:history="1">
            <w:r w:rsidRPr="006954EE">
              <w:rPr>
                <w:rStyle w:val="Hyperlink"/>
                <w:rFonts w:ascii="Arial Bold" w:hAnsi="Arial Bold"/>
                <w:noProof/>
              </w:rPr>
              <w:t>2.3</w:t>
            </w:r>
            <w:r>
              <w:rPr>
                <w:rFonts w:asciiTheme="minorHAnsi" w:eastAsiaTheme="minorEastAsia" w:hAnsiTheme="minorHAnsi"/>
                <w:noProof/>
                <w:color w:val="auto"/>
                <w:kern w:val="2"/>
                <w:lang w:eastAsia="en-AU"/>
                <w14:ligatures w14:val="standardContextual"/>
              </w:rPr>
              <w:tab/>
            </w:r>
            <w:r w:rsidRPr="006954EE">
              <w:rPr>
                <w:rStyle w:val="Hyperlink"/>
                <w:noProof/>
              </w:rPr>
              <w:t>Reconciliation</w:t>
            </w:r>
            <w:r>
              <w:rPr>
                <w:noProof/>
                <w:webHidden/>
              </w:rPr>
              <w:tab/>
            </w:r>
            <w:r>
              <w:rPr>
                <w:noProof/>
                <w:webHidden/>
              </w:rPr>
              <w:fldChar w:fldCharType="begin"/>
            </w:r>
            <w:r>
              <w:rPr>
                <w:noProof/>
                <w:webHidden/>
              </w:rPr>
              <w:instrText xml:space="preserve"> PAGEREF _Toc179296641 \h </w:instrText>
            </w:r>
            <w:r>
              <w:rPr>
                <w:noProof/>
                <w:webHidden/>
              </w:rPr>
            </w:r>
            <w:r>
              <w:rPr>
                <w:noProof/>
                <w:webHidden/>
              </w:rPr>
              <w:fldChar w:fldCharType="separate"/>
            </w:r>
            <w:r w:rsidR="00A53C98">
              <w:rPr>
                <w:noProof/>
                <w:webHidden/>
              </w:rPr>
              <w:t>11</w:t>
            </w:r>
            <w:r>
              <w:rPr>
                <w:noProof/>
                <w:webHidden/>
              </w:rPr>
              <w:fldChar w:fldCharType="end"/>
            </w:r>
          </w:hyperlink>
        </w:p>
        <w:p w14:paraId="04CCB7D0" w14:textId="1DF74FC5" w:rsidR="00D26E2A" w:rsidRDefault="00D26E2A">
          <w:pPr>
            <w:pStyle w:val="TOC1"/>
            <w:tabs>
              <w:tab w:val="left" w:pos="440"/>
            </w:tabs>
            <w:rPr>
              <w:rFonts w:asciiTheme="minorHAnsi" w:eastAsiaTheme="minorEastAsia" w:hAnsiTheme="minorHAnsi"/>
              <w:b w:val="0"/>
              <w:noProof/>
              <w:color w:val="auto"/>
              <w:kern w:val="2"/>
              <w:sz w:val="22"/>
              <w:lang w:eastAsia="en-AU"/>
              <w14:ligatures w14:val="standardContextual"/>
            </w:rPr>
          </w:pPr>
          <w:hyperlink w:anchor="_Toc179296642" w:history="1">
            <w:r w:rsidRPr="006954EE">
              <w:rPr>
                <w:rStyle w:val="Hyperlink"/>
                <w:rFonts w:ascii="Arial Bold" w:hAnsi="Arial Bold"/>
                <w:noProof/>
              </w:rPr>
              <w:t>3</w:t>
            </w:r>
            <w:r>
              <w:rPr>
                <w:rFonts w:asciiTheme="minorHAnsi" w:eastAsiaTheme="minorEastAsia" w:hAnsiTheme="minorHAnsi"/>
                <w:b w:val="0"/>
                <w:noProof/>
                <w:color w:val="auto"/>
                <w:kern w:val="2"/>
                <w:sz w:val="22"/>
                <w:lang w:eastAsia="en-AU"/>
                <w14:ligatures w14:val="standardContextual"/>
              </w:rPr>
              <w:tab/>
            </w:r>
            <w:r w:rsidRPr="006954EE">
              <w:rPr>
                <w:rStyle w:val="Hyperlink"/>
                <w:noProof/>
              </w:rPr>
              <w:t>Jurisdiction Summary</w:t>
            </w:r>
            <w:r>
              <w:rPr>
                <w:noProof/>
                <w:webHidden/>
              </w:rPr>
              <w:tab/>
            </w:r>
            <w:r>
              <w:rPr>
                <w:noProof/>
                <w:webHidden/>
              </w:rPr>
              <w:fldChar w:fldCharType="begin"/>
            </w:r>
            <w:r>
              <w:rPr>
                <w:noProof/>
                <w:webHidden/>
              </w:rPr>
              <w:instrText xml:space="preserve"> PAGEREF _Toc179296642 \h </w:instrText>
            </w:r>
            <w:r>
              <w:rPr>
                <w:noProof/>
                <w:webHidden/>
              </w:rPr>
            </w:r>
            <w:r>
              <w:rPr>
                <w:noProof/>
                <w:webHidden/>
              </w:rPr>
              <w:fldChar w:fldCharType="separate"/>
            </w:r>
            <w:r w:rsidR="00A53C98">
              <w:rPr>
                <w:noProof/>
                <w:webHidden/>
              </w:rPr>
              <w:t>12</w:t>
            </w:r>
            <w:r>
              <w:rPr>
                <w:noProof/>
                <w:webHidden/>
              </w:rPr>
              <w:fldChar w:fldCharType="end"/>
            </w:r>
          </w:hyperlink>
        </w:p>
        <w:p w14:paraId="3CB45984" w14:textId="34FA3F3A" w:rsidR="00D26E2A" w:rsidRDefault="00D26E2A">
          <w:pPr>
            <w:pStyle w:val="TOC2"/>
            <w:rPr>
              <w:rFonts w:asciiTheme="minorHAnsi" w:eastAsiaTheme="minorEastAsia" w:hAnsiTheme="minorHAnsi"/>
              <w:noProof/>
              <w:color w:val="auto"/>
              <w:kern w:val="2"/>
              <w:lang w:eastAsia="en-AU"/>
              <w14:ligatures w14:val="standardContextual"/>
            </w:rPr>
          </w:pPr>
          <w:hyperlink w:anchor="_Toc179296643" w:history="1">
            <w:r w:rsidRPr="006954EE">
              <w:rPr>
                <w:rStyle w:val="Hyperlink"/>
                <w:rFonts w:ascii="Arial Bold" w:hAnsi="Arial Bold"/>
                <w:noProof/>
              </w:rPr>
              <w:t>3.1</w:t>
            </w:r>
            <w:r>
              <w:rPr>
                <w:rFonts w:asciiTheme="minorHAnsi" w:eastAsiaTheme="minorEastAsia" w:hAnsiTheme="minorHAnsi"/>
                <w:noProof/>
                <w:color w:val="auto"/>
                <w:kern w:val="2"/>
                <w:lang w:eastAsia="en-AU"/>
                <w14:ligatures w14:val="standardContextual"/>
              </w:rPr>
              <w:tab/>
            </w:r>
            <w:r w:rsidRPr="006954EE">
              <w:rPr>
                <w:rStyle w:val="Hyperlink"/>
                <w:noProof/>
              </w:rPr>
              <w:t>New South Wales</w:t>
            </w:r>
            <w:r>
              <w:rPr>
                <w:noProof/>
                <w:webHidden/>
              </w:rPr>
              <w:tab/>
            </w:r>
            <w:r>
              <w:rPr>
                <w:noProof/>
                <w:webHidden/>
              </w:rPr>
              <w:fldChar w:fldCharType="begin"/>
            </w:r>
            <w:r>
              <w:rPr>
                <w:noProof/>
                <w:webHidden/>
              </w:rPr>
              <w:instrText xml:space="preserve"> PAGEREF _Toc179296643 \h </w:instrText>
            </w:r>
            <w:r>
              <w:rPr>
                <w:noProof/>
                <w:webHidden/>
              </w:rPr>
            </w:r>
            <w:r>
              <w:rPr>
                <w:noProof/>
                <w:webHidden/>
              </w:rPr>
              <w:fldChar w:fldCharType="separate"/>
            </w:r>
            <w:r w:rsidR="00A53C98">
              <w:rPr>
                <w:noProof/>
                <w:webHidden/>
              </w:rPr>
              <w:t>12</w:t>
            </w:r>
            <w:r>
              <w:rPr>
                <w:noProof/>
                <w:webHidden/>
              </w:rPr>
              <w:fldChar w:fldCharType="end"/>
            </w:r>
          </w:hyperlink>
        </w:p>
        <w:p w14:paraId="6DDAE435" w14:textId="275F0548" w:rsidR="00D26E2A" w:rsidRDefault="00D26E2A">
          <w:pPr>
            <w:pStyle w:val="TOC2"/>
            <w:rPr>
              <w:rFonts w:asciiTheme="minorHAnsi" w:eastAsiaTheme="minorEastAsia" w:hAnsiTheme="minorHAnsi"/>
              <w:noProof/>
              <w:color w:val="auto"/>
              <w:kern w:val="2"/>
              <w:lang w:eastAsia="en-AU"/>
              <w14:ligatures w14:val="standardContextual"/>
            </w:rPr>
          </w:pPr>
          <w:hyperlink w:anchor="_Toc179296646" w:history="1">
            <w:r w:rsidRPr="006954EE">
              <w:rPr>
                <w:rStyle w:val="Hyperlink"/>
                <w:rFonts w:ascii="Arial Bold" w:hAnsi="Arial Bold"/>
                <w:noProof/>
              </w:rPr>
              <w:t>3.2</w:t>
            </w:r>
            <w:r>
              <w:rPr>
                <w:rFonts w:asciiTheme="minorHAnsi" w:eastAsiaTheme="minorEastAsia" w:hAnsiTheme="minorHAnsi"/>
                <w:noProof/>
                <w:color w:val="auto"/>
                <w:kern w:val="2"/>
                <w:lang w:eastAsia="en-AU"/>
                <w14:ligatures w14:val="standardContextual"/>
              </w:rPr>
              <w:tab/>
            </w:r>
            <w:r w:rsidRPr="006954EE">
              <w:rPr>
                <w:rStyle w:val="Hyperlink"/>
                <w:noProof/>
              </w:rPr>
              <w:t>Victoria</w:t>
            </w:r>
            <w:r>
              <w:rPr>
                <w:noProof/>
                <w:webHidden/>
              </w:rPr>
              <w:tab/>
            </w:r>
            <w:r>
              <w:rPr>
                <w:noProof/>
                <w:webHidden/>
              </w:rPr>
              <w:fldChar w:fldCharType="begin"/>
            </w:r>
            <w:r>
              <w:rPr>
                <w:noProof/>
                <w:webHidden/>
              </w:rPr>
              <w:instrText xml:space="preserve"> PAGEREF _Toc179296646 \h </w:instrText>
            </w:r>
            <w:r>
              <w:rPr>
                <w:noProof/>
                <w:webHidden/>
              </w:rPr>
            </w:r>
            <w:r>
              <w:rPr>
                <w:noProof/>
                <w:webHidden/>
              </w:rPr>
              <w:fldChar w:fldCharType="separate"/>
            </w:r>
            <w:r w:rsidR="00A53C98">
              <w:rPr>
                <w:noProof/>
                <w:webHidden/>
              </w:rPr>
              <w:t>15</w:t>
            </w:r>
            <w:r>
              <w:rPr>
                <w:noProof/>
                <w:webHidden/>
              </w:rPr>
              <w:fldChar w:fldCharType="end"/>
            </w:r>
          </w:hyperlink>
        </w:p>
        <w:p w14:paraId="0171BB7F" w14:textId="5842933C" w:rsidR="00D26E2A" w:rsidRDefault="00D26E2A">
          <w:pPr>
            <w:pStyle w:val="TOC2"/>
            <w:rPr>
              <w:rFonts w:asciiTheme="minorHAnsi" w:eastAsiaTheme="minorEastAsia" w:hAnsiTheme="minorHAnsi"/>
              <w:noProof/>
              <w:color w:val="auto"/>
              <w:kern w:val="2"/>
              <w:lang w:eastAsia="en-AU"/>
              <w14:ligatures w14:val="standardContextual"/>
            </w:rPr>
          </w:pPr>
          <w:hyperlink w:anchor="_Toc179296647" w:history="1">
            <w:r w:rsidRPr="006954EE">
              <w:rPr>
                <w:rStyle w:val="Hyperlink"/>
                <w:rFonts w:ascii="Arial Bold" w:hAnsi="Arial Bold"/>
                <w:noProof/>
              </w:rPr>
              <w:t>3.3</w:t>
            </w:r>
            <w:r>
              <w:rPr>
                <w:rFonts w:asciiTheme="minorHAnsi" w:eastAsiaTheme="minorEastAsia" w:hAnsiTheme="minorHAnsi"/>
                <w:noProof/>
                <w:color w:val="auto"/>
                <w:kern w:val="2"/>
                <w:lang w:eastAsia="en-AU"/>
                <w14:ligatures w14:val="standardContextual"/>
              </w:rPr>
              <w:tab/>
            </w:r>
            <w:r w:rsidRPr="006954EE">
              <w:rPr>
                <w:rStyle w:val="Hyperlink"/>
                <w:noProof/>
              </w:rPr>
              <w:t>Queensland</w:t>
            </w:r>
            <w:r>
              <w:rPr>
                <w:noProof/>
                <w:webHidden/>
              </w:rPr>
              <w:tab/>
            </w:r>
            <w:r>
              <w:rPr>
                <w:noProof/>
                <w:webHidden/>
              </w:rPr>
              <w:fldChar w:fldCharType="begin"/>
            </w:r>
            <w:r>
              <w:rPr>
                <w:noProof/>
                <w:webHidden/>
              </w:rPr>
              <w:instrText xml:space="preserve"> PAGEREF _Toc179296647 \h </w:instrText>
            </w:r>
            <w:r>
              <w:rPr>
                <w:noProof/>
                <w:webHidden/>
              </w:rPr>
            </w:r>
            <w:r>
              <w:rPr>
                <w:noProof/>
                <w:webHidden/>
              </w:rPr>
              <w:fldChar w:fldCharType="separate"/>
            </w:r>
            <w:r w:rsidR="00A53C98">
              <w:rPr>
                <w:noProof/>
                <w:webHidden/>
              </w:rPr>
              <w:t>17</w:t>
            </w:r>
            <w:r>
              <w:rPr>
                <w:noProof/>
                <w:webHidden/>
              </w:rPr>
              <w:fldChar w:fldCharType="end"/>
            </w:r>
          </w:hyperlink>
        </w:p>
        <w:p w14:paraId="03329C88" w14:textId="3A4F07F0" w:rsidR="00D26E2A" w:rsidRDefault="00D26E2A">
          <w:pPr>
            <w:pStyle w:val="TOC2"/>
            <w:rPr>
              <w:rFonts w:asciiTheme="minorHAnsi" w:eastAsiaTheme="minorEastAsia" w:hAnsiTheme="minorHAnsi"/>
              <w:noProof/>
              <w:color w:val="auto"/>
              <w:kern w:val="2"/>
              <w:lang w:eastAsia="en-AU"/>
              <w14:ligatures w14:val="standardContextual"/>
            </w:rPr>
          </w:pPr>
          <w:hyperlink w:anchor="_Toc179296648" w:history="1">
            <w:r w:rsidRPr="006954EE">
              <w:rPr>
                <w:rStyle w:val="Hyperlink"/>
                <w:rFonts w:ascii="Arial Bold" w:hAnsi="Arial Bold"/>
                <w:noProof/>
              </w:rPr>
              <w:t>3.4</w:t>
            </w:r>
            <w:r>
              <w:rPr>
                <w:rFonts w:asciiTheme="minorHAnsi" w:eastAsiaTheme="minorEastAsia" w:hAnsiTheme="minorHAnsi"/>
                <w:noProof/>
                <w:color w:val="auto"/>
                <w:kern w:val="2"/>
                <w:lang w:eastAsia="en-AU"/>
                <w14:ligatures w14:val="standardContextual"/>
              </w:rPr>
              <w:tab/>
            </w:r>
            <w:r w:rsidRPr="006954EE">
              <w:rPr>
                <w:rStyle w:val="Hyperlink"/>
                <w:noProof/>
              </w:rPr>
              <w:t>South Australia</w:t>
            </w:r>
            <w:r>
              <w:rPr>
                <w:noProof/>
                <w:webHidden/>
              </w:rPr>
              <w:tab/>
            </w:r>
            <w:r>
              <w:rPr>
                <w:noProof/>
                <w:webHidden/>
              </w:rPr>
              <w:fldChar w:fldCharType="begin"/>
            </w:r>
            <w:r>
              <w:rPr>
                <w:noProof/>
                <w:webHidden/>
              </w:rPr>
              <w:instrText xml:space="preserve"> PAGEREF _Toc179296648 \h </w:instrText>
            </w:r>
            <w:r>
              <w:rPr>
                <w:noProof/>
                <w:webHidden/>
              </w:rPr>
            </w:r>
            <w:r>
              <w:rPr>
                <w:noProof/>
                <w:webHidden/>
              </w:rPr>
              <w:fldChar w:fldCharType="separate"/>
            </w:r>
            <w:r w:rsidR="00A53C98">
              <w:rPr>
                <w:noProof/>
                <w:webHidden/>
              </w:rPr>
              <w:t>20</w:t>
            </w:r>
            <w:r>
              <w:rPr>
                <w:noProof/>
                <w:webHidden/>
              </w:rPr>
              <w:fldChar w:fldCharType="end"/>
            </w:r>
          </w:hyperlink>
        </w:p>
        <w:p w14:paraId="47ABB305" w14:textId="260AC48D" w:rsidR="00D26E2A" w:rsidRDefault="00D26E2A">
          <w:pPr>
            <w:pStyle w:val="TOC2"/>
            <w:rPr>
              <w:rFonts w:asciiTheme="minorHAnsi" w:eastAsiaTheme="minorEastAsia" w:hAnsiTheme="minorHAnsi"/>
              <w:noProof/>
              <w:color w:val="auto"/>
              <w:kern w:val="2"/>
              <w:lang w:eastAsia="en-AU"/>
              <w14:ligatures w14:val="standardContextual"/>
            </w:rPr>
          </w:pPr>
          <w:hyperlink w:anchor="_Toc179296649" w:history="1">
            <w:r w:rsidRPr="006954EE">
              <w:rPr>
                <w:rStyle w:val="Hyperlink"/>
                <w:rFonts w:ascii="Arial Bold" w:hAnsi="Arial Bold"/>
                <w:noProof/>
              </w:rPr>
              <w:t>3.5</w:t>
            </w:r>
            <w:r>
              <w:rPr>
                <w:rFonts w:asciiTheme="minorHAnsi" w:eastAsiaTheme="minorEastAsia" w:hAnsiTheme="minorHAnsi"/>
                <w:noProof/>
                <w:color w:val="auto"/>
                <w:kern w:val="2"/>
                <w:lang w:eastAsia="en-AU"/>
                <w14:ligatures w14:val="standardContextual"/>
              </w:rPr>
              <w:tab/>
            </w:r>
            <w:r w:rsidRPr="006954EE">
              <w:rPr>
                <w:rStyle w:val="Hyperlink"/>
                <w:noProof/>
              </w:rPr>
              <w:t>Western Australia</w:t>
            </w:r>
            <w:r>
              <w:rPr>
                <w:noProof/>
                <w:webHidden/>
              </w:rPr>
              <w:tab/>
            </w:r>
            <w:r>
              <w:rPr>
                <w:noProof/>
                <w:webHidden/>
              </w:rPr>
              <w:fldChar w:fldCharType="begin"/>
            </w:r>
            <w:r>
              <w:rPr>
                <w:noProof/>
                <w:webHidden/>
              </w:rPr>
              <w:instrText xml:space="preserve"> PAGEREF _Toc179296649 \h </w:instrText>
            </w:r>
            <w:r>
              <w:rPr>
                <w:noProof/>
                <w:webHidden/>
              </w:rPr>
            </w:r>
            <w:r>
              <w:rPr>
                <w:noProof/>
                <w:webHidden/>
              </w:rPr>
              <w:fldChar w:fldCharType="separate"/>
            </w:r>
            <w:r w:rsidR="00A53C98">
              <w:rPr>
                <w:noProof/>
                <w:webHidden/>
              </w:rPr>
              <w:t>22</w:t>
            </w:r>
            <w:r>
              <w:rPr>
                <w:noProof/>
                <w:webHidden/>
              </w:rPr>
              <w:fldChar w:fldCharType="end"/>
            </w:r>
          </w:hyperlink>
        </w:p>
        <w:p w14:paraId="20FFB333" w14:textId="1C83025D" w:rsidR="00D26E2A" w:rsidRDefault="00D26E2A">
          <w:pPr>
            <w:pStyle w:val="TOC2"/>
            <w:rPr>
              <w:rFonts w:asciiTheme="minorHAnsi" w:eastAsiaTheme="minorEastAsia" w:hAnsiTheme="minorHAnsi"/>
              <w:noProof/>
              <w:color w:val="auto"/>
              <w:kern w:val="2"/>
              <w:lang w:eastAsia="en-AU"/>
              <w14:ligatures w14:val="standardContextual"/>
            </w:rPr>
          </w:pPr>
          <w:hyperlink w:anchor="_Toc179296650" w:history="1">
            <w:r w:rsidRPr="006954EE">
              <w:rPr>
                <w:rStyle w:val="Hyperlink"/>
                <w:rFonts w:ascii="Arial Bold" w:hAnsi="Arial Bold"/>
                <w:noProof/>
              </w:rPr>
              <w:t>3.6</w:t>
            </w:r>
            <w:r>
              <w:rPr>
                <w:rFonts w:asciiTheme="minorHAnsi" w:eastAsiaTheme="minorEastAsia" w:hAnsiTheme="minorHAnsi"/>
                <w:noProof/>
                <w:color w:val="auto"/>
                <w:kern w:val="2"/>
                <w:lang w:eastAsia="en-AU"/>
                <w14:ligatures w14:val="standardContextual"/>
              </w:rPr>
              <w:tab/>
            </w:r>
            <w:r w:rsidRPr="006954EE">
              <w:rPr>
                <w:rStyle w:val="Hyperlink"/>
                <w:noProof/>
              </w:rPr>
              <w:t>Tasmania</w:t>
            </w:r>
            <w:r>
              <w:rPr>
                <w:noProof/>
                <w:webHidden/>
              </w:rPr>
              <w:tab/>
            </w:r>
            <w:r>
              <w:rPr>
                <w:noProof/>
                <w:webHidden/>
              </w:rPr>
              <w:fldChar w:fldCharType="begin"/>
            </w:r>
            <w:r>
              <w:rPr>
                <w:noProof/>
                <w:webHidden/>
              </w:rPr>
              <w:instrText xml:space="preserve"> PAGEREF _Toc179296650 \h </w:instrText>
            </w:r>
            <w:r>
              <w:rPr>
                <w:noProof/>
                <w:webHidden/>
              </w:rPr>
            </w:r>
            <w:r>
              <w:rPr>
                <w:noProof/>
                <w:webHidden/>
              </w:rPr>
              <w:fldChar w:fldCharType="separate"/>
            </w:r>
            <w:r w:rsidR="00A53C98">
              <w:rPr>
                <w:noProof/>
                <w:webHidden/>
              </w:rPr>
              <w:t>24</w:t>
            </w:r>
            <w:r>
              <w:rPr>
                <w:noProof/>
                <w:webHidden/>
              </w:rPr>
              <w:fldChar w:fldCharType="end"/>
            </w:r>
          </w:hyperlink>
        </w:p>
        <w:p w14:paraId="0C8A77BC" w14:textId="0D1C9CFE" w:rsidR="00D26E2A" w:rsidRDefault="00D26E2A">
          <w:pPr>
            <w:pStyle w:val="TOC2"/>
            <w:rPr>
              <w:rFonts w:asciiTheme="minorHAnsi" w:eastAsiaTheme="minorEastAsia" w:hAnsiTheme="minorHAnsi"/>
              <w:noProof/>
              <w:color w:val="auto"/>
              <w:kern w:val="2"/>
              <w:lang w:eastAsia="en-AU"/>
              <w14:ligatures w14:val="standardContextual"/>
            </w:rPr>
          </w:pPr>
          <w:hyperlink w:anchor="_Toc179296651" w:history="1">
            <w:r w:rsidRPr="006954EE">
              <w:rPr>
                <w:rStyle w:val="Hyperlink"/>
                <w:rFonts w:ascii="Arial Bold" w:hAnsi="Arial Bold"/>
                <w:noProof/>
              </w:rPr>
              <w:t>3.7</w:t>
            </w:r>
            <w:r>
              <w:rPr>
                <w:rFonts w:asciiTheme="minorHAnsi" w:eastAsiaTheme="minorEastAsia" w:hAnsiTheme="minorHAnsi"/>
                <w:noProof/>
                <w:color w:val="auto"/>
                <w:kern w:val="2"/>
                <w:lang w:eastAsia="en-AU"/>
                <w14:ligatures w14:val="standardContextual"/>
              </w:rPr>
              <w:tab/>
            </w:r>
            <w:r w:rsidRPr="006954EE">
              <w:rPr>
                <w:rStyle w:val="Hyperlink"/>
                <w:noProof/>
              </w:rPr>
              <w:t>Northern Territory</w:t>
            </w:r>
            <w:r>
              <w:rPr>
                <w:noProof/>
                <w:webHidden/>
              </w:rPr>
              <w:tab/>
            </w:r>
            <w:r>
              <w:rPr>
                <w:noProof/>
                <w:webHidden/>
              </w:rPr>
              <w:fldChar w:fldCharType="begin"/>
            </w:r>
            <w:r>
              <w:rPr>
                <w:noProof/>
                <w:webHidden/>
              </w:rPr>
              <w:instrText xml:space="preserve"> PAGEREF _Toc179296651 \h </w:instrText>
            </w:r>
            <w:r>
              <w:rPr>
                <w:noProof/>
                <w:webHidden/>
              </w:rPr>
            </w:r>
            <w:r>
              <w:rPr>
                <w:noProof/>
                <w:webHidden/>
              </w:rPr>
              <w:fldChar w:fldCharType="separate"/>
            </w:r>
            <w:r w:rsidR="00A53C98">
              <w:rPr>
                <w:noProof/>
                <w:webHidden/>
              </w:rPr>
              <w:t>27</w:t>
            </w:r>
            <w:r>
              <w:rPr>
                <w:noProof/>
                <w:webHidden/>
              </w:rPr>
              <w:fldChar w:fldCharType="end"/>
            </w:r>
          </w:hyperlink>
        </w:p>
        <w:p w14:paraId="3720105C" w14:textId="7CCBCFC3" w:rsidR="00D26E2A" w:rsidRDefault="00D26E2A">
          <w:pPr>
            <w:pStyle w:val="TOC2"/>
            <w:rPr>
              <w:rFonts w:asciiTheme="minorHAnsi" w:eastAsiaTheme="minorEastAsia" w:hAnsiTheme="minorHAnsi"/>
              <w:noProof/>
              <w:color w:val="auto"/>
              <w:kern w:val="2"/>
              <w:lang w:eastAsia="en-AU"/>
              <w14:ligatures w14:val="standardContextual"/>
            </w:rPr>
          </w:pPr>
          <w:hyperlink w:anchor="_Toc179296652" w:history="1">
            <w:r w:rsidRPr="006954EE">
              <w:rPr>
                <w:rStyle w:val="Hyperlink"/>
                <w:rFonts w:ascii="Arial Bold" w:hAnsi="Arial Bold"/>
                <w:noProof/>
              </w:rPr>
              <w:t>3.8</w:t>
            </w:r>
            <w:r>
              <w:rPr>
                <w:rFonts w:asciiTheme="minorHAnsi" w:eastAsiaTheme="minorEastAsia" w:hAnsiTheme="minorHAnsi"/>
                <w:noProof/>
                <w:color w:val="auto"/>
                <w:kern w:val="2"/>
                <w:lang w:eastAsia="en-AU"/>
                <w14:ligatures w14:val="standardContextual"/>
              </w:rPr>
              <w:tab/>
            </w:r>
            <w:r w:rsidRPr="006954EE">
              <w:rPr>
                <w:rStyle w:val="Hyperlink"/>
                <w:noProof/>
              </w:rPr>
              <w:t>Australian Capital Territory</w:t>
            </w:r>
            <w:r>
              <w:rPr>
                <w:noProof/>
                <w:webHidden/>
              </w:rPr>
              <w:tab/>
            </w:r>
            <w:r>
              <w:rPr>
                <w:noProof/>
                <w:webHidden/>
              </w:rPr>
              <w:fldChar w:fldCharType="begin"/>
            </w:r>
            <w:r>
              <w:rPr>
                <w:noProof/>
                <w:webHidden/>
              </w:rPr>
              <w:instrText xml:space="preserve"> PAGEREF _Toc179296652 \h </w:instrText>
            </w:r>
            <w:r>
              <w:rPr>
                <w:noProof/>
                <w:webHidden/>
              </w:rPr>
            </w:r>
            <w:r>
              <w:rPr>
                <w:noProof/>
                <w:webHidden/>
              </w:rPr>
              <w:fldChar w:fldCharType="separate"/>
            </w:r>
            <w:r w:rsidR="00A53C98">
              <w:rPr>
                <w:noProof/>
                <w:webHidden/>
              </w:rPr>
              <w:t>29</w:t>
            </w:r>
            <w:r>
              <w:rPr>
                <w:noProof/>
                <w:webHidden/>
              </w:rPr>
              <w:fldChar w:fldCharType="end"/>
            </w:r>
          </w:hyperlink>
        </w:p>
        <w:p w14:paraId="71529F25" w14:textId="58BFBB57" w:rsidR="002D54D5" w:rsidRDefault="003E21E0">
          <w:r>
            <w:rPr>
              <w:b/>
              <w:bCs/>
              <w:noProof/>
            </w:rPr>
            <w:fldChar w:fldCharType="end"/>
          </w:r>
        </w:p>
      </w:sdtContent>
    </w:sdt>
    <w:p w14:paraId="757F3DE6" w14:textId="446F371D" w:rsidR="003C2B91" w:rsidRPr="00E96C8D" w:rsidRDefault="003C2B91" w:rsidP="00012F7A">
      <w:r w:rsidRPr="00E96C8D">
        <w:br w:type="page"/>
      </w:r>
    </w:p>
    <w:p w14:paraId="2D769D63" w14:textId="77777777" w:rsidR="003C2B91" w:rsidRPr="00E96C8D" w:rsidRDefault="003C2B91" w:rsidP="00907E0E">
      <w:pPr>
        <w:pStyle w:val="Heading1"/>
      </w:pPr>
      <w:bookmarkStart w:id="1" w:name="_Toc154128590"/>
      <w:bookmarkStart w:id="2" w:name="_Toc155357336"/>
      <w:bookmarkStart w:id="3" w:name="_Toc153890134"/>
      <w:bookmarkStart w:id="4" w:name="_Toc164430030"/>
      <w:bookmarkStart w:id="5" w:name="_Toc179296635"/>
      <w:bookmarkStart w:id="6" w:name="_Hlk167108911"/>
      <w:bookmarkEnd w:id="1"/>
      <w:bookmarkEnd w:id="2"/>
      <w:r w:rsidRPr="00E96C8D">
        <w:lastRenderedPageBreak/>
        <w:t>Executive Summary</w:t>
      </w:r>
      <w:bookmarkEnd w:id="3"/>
      <w:bookmarkEnd w:id="4"/>
      <w:bookmarkEnd w:id="5"/>
    </w:p>
    <w:p w14:paraId="3A80AA1E" w14:textId="503190D4" w:rsidR="003C2B91" w:rsidRPr="00E96C8D" w:rsidRDefault="003C2B91" w:rsidP="00A3367F">
      <w:pPr>
        <w:pStyle w:val="Heading2"/>
      </w:pPr>
      <w:bookmarkStart w:id="7" w:name="_Toc153890135"/>
      <w:bookmarkStart w:id="8" w:name="_Toc179296636"/>
      <w:r w:rsidRPr="00E96C8D">
        <w:t>Introduction</w:t>
      </w:r>
      <w:bookmarkEnd w:id="7"/>
      <w:bookmarkEnd w:id="8"/>
    </w:p>
    <w:p w14:paraId="750B21DA" w14:textId="4E27C87C" w:rsidR="003C2B91" w:rsidRDefault="003C2B91" w:rsidP="003C2B91">
      <w:r>
        <w:t xml:space="preserve">The National Hospital Cost Data Collection (NHCDC) is the annual collection of public hospital cost data and </w:t>
      </w:r>
      <w:r w:rsidR="00100413">
        <w:t xml:space="preserve">is </w:t>
      </w:r>
      <w:r>
        <w:t xml:space="preserve">used to inform the development of the national efficient price (NEP). In </w:t>
      </w:r>
      <w:r w:rsidR="00267EEE">
        <w:t>2022-23</w:t>
      </w:r>
      <w:r>
        <w:t xml:space="preserve">, NHCDC </w:t>
      </w:r>
      <w:r w:rsidR="00E26199">
        <w:t xml:space="preserve">data </w:t>
      </w:r>
      <w:r>
        <w:t xml:space="preserve">was submitted from </w:t>
      </w:r>
      <w:r w:rsidR="005F47B7">
        <w:t>73</w:t>
      </w:r>
      <w:r w:rsidR="00105854">
        <w:t>9</w:t>
      </w:r>
      <w:r w:rsidRPr="002D0D05">
        <w:t xml:space="preserve"> hospitals</w:t>
      </w:r>
      <w:r>
        <w:t xml:space="preserve"> (including health entities) across all jurisdictions</w:t>
      </w:r>
      <w:r w:rsidR="00E847AC">
        <w:t xml:space="preserve">, except </w:t>
      </w:r>
      <w:r w:rsidR="00164884">
        <w:t xml:space="preserve">the </w:t>
      </w:r>
      <w:r w:rsidR="00E847AC">
        <w:t>Australian Capital Territory (ACT)</w:t>
      </w:r>
      <w:r>
        <w:t>.</w:t>
      </w:r>
    </w:p>
    <w:p w14:paraId="072537B3" w14:textId="3672925A" w:rsidR="0068332C" w:rsidRDefault="003C2B91" w:rsidP="0068332C">
      <w:r>
        <w:t xml:space="preserve">To ensure that the quality of </w:t>
      </w:r>
      <w:r w:rsidR="00E26199">
        <w:t xml:space="preserve">2022-23 </w:t>
      </w:r>
      <w:r>
        <w:t xml:space="preserve">NHCDC data is robust and fit-for-purpose, the Independent Health and Aged Care Pricing Authority (IHACPA) </w:t>
      </w:r>
      <w:r w:rsidR="0068332C">
        <w:t xml:space="preserve">has </w:t>
      </w:r>
      <w:r w:rsidR="00BF3B65">
        <w:t>undertake</w:t>
      </w:r>
      <w:r w:rsidR="0068332C">
        <w:t>n a review of jurisdictions</w:t>
      </w:r>
      <w:r w:rsidR="0031210B">
        <w:t>’</w:t>
      </w:r>
      <w:r w:rsidR="0068332C">
        <w:t xml:space="preserve"> </w:t>
      </w:r>
      <w:r w:rsidR="00500DC2">
        <w:t>submissions,</w:t>
      </w:r>
      <w:r w:rsidR="0068332C">
        <w:t xml:space="preserve"> and their data quality statements (DQS). The objectives of this review are </w:t>
      </w:r>
      <w:r w:rsidR="00AD7041">
        <w:t>to</w:t>
      </w:r>
      <w:r w:rsidR="0068332C">
        <w:t>:</w:t>
      </w:r>
    </w:p>
    <w:p w14:paraId="0B793A83" w14:textId="1E5A79D9" w:rsidR="0068332C" w:rsidRPr="008538DE" w:rsidRDefault="0068332C" w:rsidP="006008CF">
      <w:pPr>
        <w:pStyle w:val="ListParagraph"/>
        <w:numPr>
          <w:ilvl w:val="0"/>
          <w:numId w:val="5"/>
        </w:numPr>
        <w:ind w:left="717"/>
        <w:rPr>
          <w:rFonts w:eastAsia="Fira Sans regular" w:cs="Times New Roman"/>
        </w:rPr>
      </w:pPr>
      <w:r w:rsidRPr="008538DE">
        <w:rPr>
          <w:rFonts w:eastAsia="Fira Sans regular" w:cs="Times New Roman"/>
        </w:rPr>
        <w:t>understand jurisdictions’ treatment of cost</w:t>
      </w:r>
      <w:r w:rsidR="00100413">
        <w:rPr>
          <w:rFonts w:eastAsia="Fira Sans regular" w:cs="Times New Roman"/>
        </w:rPr>
        <w:t xml:space="preserve"> and</w:t>
      </w:r>
      <w:r w:rsidR="00895767">
        <w:rPr>
          <w:rFonts w:eastAsia="Fira Sans regular" w:cs="Times New Roman"/>
        </w:rPr>
        <w:t xml:space="preserve"> </w:t>
      </w:r>
      <w:r w:rsidRPr="008538DE">
        <w:rPr>
          <w:rFonts w:eastAsia="Fira Sans regular" w:cs="Times New Roman"/>
        </w:rPr>
        <w:t>activity</w:t>
      </w:r>
      <w:r w:rsidR="004F730D">
        <w:rPr>
          <w:rFonts w:eastAsia="Fira Sans regular" w:cs="Times New Roman"/>
        </w:rPr>
        <w:t xml:space="preserve"> and </w:t>
      </w:r>
      <w:r w:rsidR="00100413">
        <w:rPr>
          <w:rFonts w:eastAsia="Fira Sans regular" w:cs="Times New Roman"/>
        </w:rPr>
        <w:t xml:space="preserve">identify </w:t>
      </w:r>
      <w:r w:rsidR="004F730D">
        <w:rPr>
          <w:rFonts w:eastAsia="Fira Sans regular" w:cs="Times New Roman"/>
        </w:rPr>
        <w:t>any changes from their previous submission</w:t>
      </w:r>
      <w:r w:rsidR="00500DC2">
        <w:rPr>
          <w:rFonts w:eastAsia="Fira Sans regular" w:cs="Times New Roman"/>
        </w:rPr>
        <w:t>.</w:t>
      </w:r>
    </w:p>
    <w:p w14:paraId="56B339B6" w14:textId="78F15DB3" w:rsidR="0068332C" w:rsidRPr="008538DE" w:rsidRDefault="0068332C" w:rsidP="006008CF">
      <w:pPr>
        <w:pStyle w:val="ListParagraph"/>
        <w:numPr>
          <w:ilvl w:val="0"/>
          <w:numId w:val="5"/>
        </w:numPr>
        <w:ind w:left="717"/>
        <w:rPr>
          <w:rFonts w:eastAsia="Fira Sans regular" w:cs="Times New Roman"/>
        </w:rPr>
      </w:pPr>
      <w:r w:rsidRPr="008538DE">
        <w:rPr>
          <w:rFonts w:eastAsia="Fira Sans regular" w:cs="Times New Roman"/>
        </w:rPr>
        <w:t xml:space="preserve">confirm jurisdictions have included </w:t>
      </w:r>
      <w:r w:rsidR="00AD7041" w:rsidRPr="008538DE">
        <w:rPr>
          <w:rFonts w:eastAsia="Fira Sans regular" w:cs="Times New Roman"/>
        </w:rPr>
        <w:t>appropriate costs</w:t>
      </w:r>
      <w:r w:rsidR="00500DC2">
        <w:rPr>
          <w:rFonts w:eastAsia="Fira Sans regular" w:cs="Times New Roman"/>
        </w:rPr>
        <w:t>.</w:t>
      </w:r>
    </w:p>
    <w:p w14:paraId="3EAA16C0" w14:textId="1800955A" w:rsidR="0068332C" w:rsidRPr="008538DE" w:rsidRDefault="0068332C" w:rsidP="006008CF">
      <w:pPr>
        <w:pStyle w:val="ListParagraph"/>
        <w:numPr>
          <w:ilvl w:val="0"/>
          <w:numId w:val="5"/>
        </w:numPr>
        <w:ind w:left="717"/>
        <w:rPr>
          <w:rFonts w:eastAsia="Fira Sans regular" w:cs="Times New Roman"/>
        </w:rPr>
      </w:pPr>
      <w:r w:rsidRPr="008538DE">
        <w:rPr>
          <w:rFonts w:eastAsia="Fira Sans regular" w:cs="Times New Roman"/>
        </w:rPr>
        <w:t xml:space="preserve">ensure jurisdictions have </w:t>
      </w:r>
      <w:r w:rsidR="003C2B91" w:rsidRPr="008538DE">
        <w:rPr>
          <w:rFonts w:eastAsia="Fira Sans regular" w:cs="Times New Roman"/>
        </w:rPr>
        <w:t>correctly appl</w:t>
      </w:r>
      <w:r w:rsidRPr="008538DE">
        <w:rPr>
          <w:rFonts w:eastAsia="Fira Sans regular" w:cs="Times New Roman"/>
        </w:rPr>
        <w:t>ied</w:t>
      </w:r>
      <w:r w:rsidR="001F16C1" w:rsidRPr="008538DE">
        <w:rPr>
          <w:rFonts w:eastAsia="Fira Sans regular" w:cs="Times New Roman"/>
        </w:rPr>
        <w:t xml:space="preserve"> the </w:t>
      </w:r>
      <w:r w:rsidR="003C2B91" w:rsidRPr="008538DE">
        <w:rPr>
          <w:rFonts w:eastAsia="Fira Sans regular" w:cs="Times New Roman"/>
        </w:rPr>
        <w:t>Australian Hospital Patient Costing Standards (AHPCS)</w:t>
      </w:r>
      <w:r w:rsidR="009F4FEF">
        <w:rPr>
          <w:rFonts w:eastAsia="Fira Sans regular" w:cs="Times New Roman"/>
        </w:rPr>
        <w:t xml:space="preserve"> </w:t>
      </w:r>
      <w:r w:rsidR="0031210B">
        <w:rPr>
          <w:rFonts w:eastAsia="Fira Sans regular" w:cs="Times New Roman"/>
        </w:rPr>
        <w:t>V</w:t>
      </w:r>
      <w:r w:rsidR="009F4FEF">
        <w:rPr>
          <w:rFonts w:eastAsia="Fira Sans regular" w:cs="Times New Roman"/>
        </w:rPr>
        <w:t xml:space="preserve">ersion </w:t>
      </w:r>
      <w:r w:rsidR="007C756A">
        <w:rPr>
          <w:rFonts w:eastAsia="Fira Sans regular" w:cs="Times New Roman"/>
        </w:rPr>
        <w:t>4</w:t>
      </w:r>
      <w:r w:rsidR="009F4FEF">
        <w:rPr>
          <w:rFonts w:eastAsia="Fira Sans regular" w:cs="Times New Roman"/>
        </w:rPr>
        <w:t>.</w:t>
      </w:r>
      <w:r w:rsidR="007C756A">
        <w:rPr>
          <w:rFonts w:eastAsia="Fira Sans regular" w:cs="Times New Roman"/>
        </w:rPr>
        <w:t>2</w:t>
      </w:r>
      <w:r w:rsidR="00500DC2">
        <w:rPr>
          <w:rFonts w:eastAsia="Fira Sans regular" w:cs="Times New Roman"/>
        </w:rPr>
        <w:t>.</w:t>
      </w:r>
    </w:p>
    <w:p w14:paraId="7E6E5FF4" w14:textId="696E5657" w:rsidR="003C2B91" w:rsidRPr="008538DE" w:rsidRDefault="003C2B91" w:rsidP="006008CF">
      <w:pPr>
        <w:pStyle w:val="ListParagraph"/>
        <w:numPr>
          <w:ilvl w:val="0"/>
          <w:numId w:val="5"/>
        </w:numPr>
        <w:ind w:left="717"/>
        <w:rPr>
          <w:rFonts w:eastAsia="Fira Sans regular" w:cs="Times New Roman"/>
        </w:rPr>
      </w:pPr>
      <w:r w:rsidRPr="008538DE">
        <w:rPr>
          <w:rFonts w:eastAsia="Fira Sans regular" w:cs="Times New Roman"/>
        </w:rPr>
        <w:t xml:space="preserve">ensure </w:t>
      </w:r>
      <w:r w:rsidR="0068332C" w:rsidRPr="008538DE">
        <w:rPr>
          <w:rFonts w:eastAsia="Fira Sans regular" w:cs="Times New Roman"/>
        </w:rPr>
        <w:t>jurisdiction</w:t>
      </w:r>
      <w:r w:rsidR="00895767">
        <w:rPr>
          <w:rFonts w:eastAsia="Fira Sans regular" w:cs="Times New Roman"/>
        </w:rPr>
        <w:t>s</w:t>
      </w:r>
      <w:r w:rsidR="0031210B">
        <w:rPr>
          <w:rFonts w:eastAsia="Fira Sans regular" w:cs="Times New Roman"/>
        </w:rPr>
        <w:t>’</w:t>
      </w:r>
      <w:r w:rsidRPr="008538DE">
        <w:rPr>
          <w:rFonts w:eastAsia="Fira Sans regular" w:cs="Times New Roman"/>
        </w:rPr>
        <w:t xml:space="preserve"> general ledger</w:t>
      </w:r>
      <w:r w:rsidR="00682FCC" w:rsidRPr="008538DE">
        <w:rPr>
          <w:rFonts w:eastAsia="Fira Sans regular" w:cs="Times New Roman"/>
        </w:rPr>
        <w:t>s</w:t>
      </w:r>
      <w:r w:rsidR="000821E1">
        <w:rPr>
          <w:rFonts w:eastAsia="Fira Sans regular" w:cs="Times New Roman"/>
        </w:rPr>
        <w:t xml:space="preserve"> (GL)</w:t>
      </w:r>
      <w:r w:rsidRPr="008538DE">
        <w:rPr>
          <w:rFonts w:eastAsia="Fira Sans regular" w:cs="Times New Roman"/>
        </w:rPr>
        <w:t xml:space="preserve"> reconcile with submitted cost data</w:t>
      </w:r>
      <w:r w:rsidR="00B8747E" w:rsidRPr="008538DE">
        <w:rPr>
          <w:rFonts w:eastAsia="Fira Sans regular" w:cs="Times New Roman"/>
        </w:rPr>
        <w:t>.</w:t>
      </w:r>
    </w:p>
    <w:p w14:paraId="5A890137" w14:textId="09CBA999" w:rsidR="003C2B91" w:rsidRDefault="00AA6CAE" w:rsidP="00FD6C49">
      <w:pPr>
        <w:spacing w:after="120"/>
      </w:pPr>
      <w:bookmarkStart w:id="9" w:name="_Toc176246309"/>
      <w:bookmarkStart w:id="10" w:name="_Toc176246376"/>
      <w:bookmarkStart w:id="11" w:name="_Toc176355056"/>
      <w:bookmarkStart w:id="12" w:name="_Toc176246310"/>
      <w:bookmarkStart w:id="13" w:name="_Toc176246377"/>
      <w:bookmarkStart w:id="14" w:name="_Toc176355057"/>
      <w:bookmarkStart w:id="15" w:name="_Toc176246311"/>
      <w:bookmarkStart w:id="16" w:name="_Toc176246378"/>
      <w:bookmarkStart w:id="17" w:name="_Toc176355058"/>
      <w:bookmarkStart w:id="18" w:name="_Toc176246312"/>
      <w:bookmarkStart w:id="19" w:name="_Toc176246379"/>
      <w:bookmarkStart w:id="20" w:name="_Toc176355059"/>
      <w:bookmarkEnd w:id="9"/>
      <w:bookmarkEnd w:id="10"/>
      <w:bookmarkEnd w:id="11"/>
      <w:bookmarkEnd w:id="12"/>
      <w:bookmarkEnd w:id="13"/>
      <w:bookmarkEnd w:id="14"/>
      <w:bookmarkEnd w:id="15"/>
      <w:bookmarkEnd w:id="16"/>
      <w:bookmarkEnd w:id="17"/>
      <w:bookmarkEnd w:id="18"/>
      <w:bookmarkEnd w:id="19"/>
      <w:bookmarkEnd w:id="20"/>
      <w:r>
        <w:t>Th</w:t>
      </w:r>
      <w:r w:rsidR="007A3DFE">
        <w:t>is</w:t>
      </w:r>
      <w:r>
        <w:t xml:space="preserve"> re</w:t>
      </w:r>
      <w:r w:rsidR="00271943">
        <w:t>port summarises IHACPA’s review of</w:t>
      </w:r>
      <w:r w:rsidR="000149CC">
        <w:t xml:space="preserve"> submissions to </w:t>
      </w:r>
      <w:r w:rsidR="00F5342B">
        <w:t>the NHCDC Public Sector</w:t>
      </w:r>
      <w:r w:rsidR="002410E6">
        <w:t xml:space="preserve"> and</w:t>
      </w:r>
      <w:r w:rsidR="00B573E5">
        <w:t xml:space="preserve"> </w:t>
      </w:r>
      <w:r w:rsidR="00100413">
        <w:t xml:space="preserve">the corresponding </w:t>
      </w:r>
      <w:r w:rsidR="00F5342B">
        <w:t>DQS</w:t>
      </w:r>
      <w:r w:rsidR="00100413">
        <w:t xml:space="preserve">. The DQS </w:t>
      </w:r>
      <w:r w:rsidR="003B1C69">
        <w:t>includes</w:t>
      </w:r>
      <w:r w:rsidR="008345CE">
        <w:t xml:space="preserve"> </w:t>
      </w:r>
      <w:r w:rsidR="00100413">
        <w:t xml:space="preserve">a </w:t>
      </w:r>
      <w:r w:rsidR="008345CE">
        <w:t>confirmation of</w:t>
      </w:r>
      <w:r w:rsidR="007052D5">
        <w:t xml:space="preserve"> </w:t>
      </w:r>
      <w:r w:rsidR="00100413">
        <w:t xml:space="preserve">how a jurisdiction has applied </w:t>
      </w:r>
      <w:r w:rsidR="007052D5">
        <w:t>the AHPCS</w:t>
      </w:r>
      <w:r w:rsidR="0035572D">
        <w:t xml:space="preserve"> </w:t>
      </w:r>
      <w:r w:rsidR="00B573E5">
        <w:t xml:space="preserve">and </w:t>
      </w:r>
      <w:r w:rsidR="008345CE">
        <w:t xml:space="preserve">a </w:t>
      </w:r>
      <w:r w:rsidR="00E26199">
        <w:t>high-level</w:t>
      </w:r>
      <w:r w:rsidR="00100413">
        <w:t xml:space="preserve"> </w:t>
      </w:r>
      <w:r w:rsidR="00B573E5">
        <w:t>reconciliation</w:t>
      </w:r>
      <w:r w:rsidR="00100413">
        <w:t xml:space="preserve"> of the cost ledger to the </w:t>
      </w:r>
      <w:r w:rsidR="00F428EF">
        <w:t xml:space="preserve">hospital </w:t>
      </w:r>
      <w:r w:rsidR="00A07E4E">
        <w:t>GL</w:t>
      </w:r>
      <w:r w:rsidR="00F5342B">
        <w:t>.</w:t>
      </w:r>
    </w:p>
    <w:p w14:paraId="36F984A1" w14:textId="3122CE27" w:rsidR="00D13A08" w:rsidRPr="00092C30" w:rsidRDefault="000F3BD3" w:rsidP="00A3367F">
      <w:pPr>
        <w:pStyle w:val="Heading3"/>
      </w:pPr>
      <w:r w:rsidRPr="00092C30">
        <w:t>NHCDC Public Sector</w:t>
      </w:r>
    </w:p>
    <w:p w14:paraId="56ED58C1" w14:textId="75665E4A" w:rsidR="00D13A08" w:rsidRPr="00895767" w:rsidRDefault="00D13A08" w:rsidP="006008CF">
      <w:pPr>
        <w:spacing w:line="276" w:lineRule="auto"/>
        <w:rPr>
          <w:rFonts w:cs="Arial"/>
        </w:rPr>
      </w:pPr>
      <w:r w:rsidRPr="00895767">
        <w:rPr>
          <w:rFonts w:cs="Arial"/>
        </w:rPr>
        <w:t>The NHCDC Public Sector is an annual collection of Australian public hospital cost data that is the primary source of inform</w:t>
      </w:r>
      <w:r w:rsidR="000F6908">
        <w:rPr>
          <w:rFonts w:cs="Arial"/>
        </w:rPr>
        <w:t>ation</w:t>
      </w:r>
      <w:r w:rsidRPr="00895767">
        <w:rPr>
          <w:rFonts w:cs="Arial"/>
        </w:rPr>
        <w:t xml:space="preserve"> about the cost of treating patients in Australian public hospitals. The NHCDC is a unique collection and valuable evidence base that </w:t>
      </w:r>
      <w:r w:rsidR="00100413">
        <w:rPr>
          <w:rFonts w:cs="Arial"/>
        </w:rPr>
        <w:t xml:space="preserve">links </w:t>
      </w:r>
      <w:r w:rsidRPr="00895767">
        <w:rPr>
          <w:rFonts w:cs="Arial"/>
        </w:rPr>
        <w:t xml:space="preserve">patient level activity with the cost incurred by hospitals for this activity. IHACPA relies on the NHCDC to calculate the </w:t>
      </w:r>
      <w:r w:rsidR="007013E6">
        <w:rPr>
          <w:rFonts w:cs="Arial"/>
        </w:rPr>
        <w:t>NEP</w:t>
      </w:r>
      <w:r w:rsidRPr="00895767">
        <w:rPr>
          <w:rFonts w:cs="Arial"/>
        </w:rPr>
        <w:t xml:space="preserve"> used for the funding of public hospital services.</w:t>
      </w:r>
    </w:p>
    <w:p w14:paraId="389C9F25" w14:textId="733C3152" w:rsidR="00D6588B" w:rsidRPr="00895767" w:rsidRDefault="7A3129C0" w:rsidP="006008CF">
      <w:pPr>
        <w:spacing w:line="276" w:lineRule="auto"/>
        <w:rPr>
          <w:rFonts w:cs="Arial"/>
        </w:rPr>
      </w:pPr>
      <w:r w:rsidRPr="00895767">
        <w:t>IHACPA received NHCDC submissions from all jurisdictions, except for the ACT. ACT advised IHACPA they would not be making a submission to the NHCDC</w:t>
      </w:r>
      <w:r w:rsidR="00895767" w:rsidRPr="00895767">
        <w:t xml:space="preserve"> in</w:t>
      </w:r>
      <w:r w:rsidRPr="00895767">
        <w:t xml:space="preserve"> 2022</w:t>
      </w:r>
      <w:r w:rsidR="00C94740" w:rsidRPr="00895767">
        <w:noBreakHyphen/>
      </w:r>
      <w:r w:rsidRPr="00895767">
        <w:t xml:space="preserve">23 due to the implementation of </w:t>
      </w:r>
      <w:r w:rsidR="00100413">
        <w:t xml:space="preserve">a </w:t>
      </w:r>
      <w:r w:rsidRPr="00895767">
        <w:t>digital health record (DHR)</w:t>
      </w:r>
      <w:r w:rsidR="00895767" w:rsidRPr="00895767">
        <w:t xml:space="preserve"> and its </w:t>
      </w:r>
      <w:r w:rsidRPr="00895767">
        <w:t xml:space="preserve">impact on obtaining </w:t>
      </w:r>
      <w:r w:rsidR="00100413">
        <w:t xml:space="preserve">the </w:t>
      </w:r>
      <w:r w:rsidRPr="00895767">
        <w:t xml:space="preserve">data </w:t>
      </w:r>
      <w:r w:rsidR="00100413">
        <w:t xml:space="preserve">required to </w:t>
      </w:r>
      <w:r w:rsidR="00100413" w:rsidRPr="001A2844">
        <w:rPr>
          <w:rFonts w:cs="Arial"/>
        </w:rPr>
        <w:t>accurately cost</w:t>
      </w:r>
      <w:r w:rsidR="00895767" w:rsidRPr="001A2844">
        <w:rPr>
          <w:rFonts w:cs="Arial"/>
        </w:rPr>
        <w:t>.</w:t>
      </w:r>
    </w:p>
    <w:p w14:paraId="79F0842B" w14:textId="52C59DE1" w:rsidR="00D6588B" w:rsidRPr="00895767" w:rsidRDefault="00D879DA" w:rsidP="006008CF">
      <w:pPr>
        <w:spacing w:line="276" w:lineRule="auto"/>
        <w:rPr>
          <w:rFonts w:cs="Arial"/>
        </w:rPr>
      </w:pPr>
      <w:r w:rsidRPr="001A2844">
        <w:rPr>
          <w:rFonts w:cs="Arial"/>
        </w:rPr>
        <w:t>The NHCDC 2022-23 includes all</w:t>
      </w:r>
      <w:r w:rsidR="006C18AF" w:rsidRPr="001A2844">
        <w:rPr>
          <w:rFonts w:cs="Arial"/>
        </w:rPr>
        <w:t xml:space="preserve"> in-scope</w:t>
      </w:r>
      <w:r w:rsidRPr="001A2844">
        <w:rPr>
          <w:rFonts w:cs="Arial"/>
        </w:rPr>
        <w:t xml:space="preserve"> patient level activity</w:t>
      </w:r>
      <w:r w:rsidR="006C18AF" w:rsidRPr="001A2844">
        <w:rPr>
          <w:rFonts w:cs="Arial"/>
        </w:rPr>
        <w:t xml:space="preserve"> </w:t>
      </w:r>
      <w:r w:rsidR="00482CA6" w:rsidRPr="001A2844">
        <w:rPr>
          <w:rFonts w:cs="Arial"/>
        </w:rPr>
        <w:t xml:space="preserve">and </w:t>
      </w:r>
      <w:r w:rsidR="006C18AF" w:rsidRPr="001A2844">
        <w:rPr>
          <w:rFonts w:cs="Arial"/>
        </w:rPr>
        <w:t>cost</w:t>
      </w:r>
      <w:r w:rsidRPr="001A2844">
        <w:rPr>
          <w:rFonts w:cs="Arial"/>
        </w:rPr>
        <w:t xml:space="preserve"> for publicly funded services, provided in public or private hospitals. </w:t>
      </w:r>
      <w:r w:rsidR="007411E9" w:rsidRPr="001A2844">
        <w:rPr>
          <w:rFonts w:cs="Arial"/>
        </w:rPr>
        <w:t>In 2022</w:t>
      </w:r>
      <w:r w:rsidR="000D479D" w:rsidRPr="001A2844">
        <w:rPr>
          <w:rFonts w:cs="Arial"/>
        </w:rPr>
        <w:t>-23,</w:t>
      </w:r>
      <w:r w:rsidR="00D6588B" w:rsidRPr="001A2844">
        <w:rPr>
          <w:rFonts w:cs="Arial"/>
        </w:rPr>
        <w:t xml:space="preserve"> IHACPA </w:t>
      </w:r>
      <w:r w:rsidR="30EE8744" w:rsidRPr="001A2844">
        <w:rPr>
          <w:rFonts w:cs="Arial"/>
        </w:rPr>
        <w:t>conducted</w:t>
      </w:r>
      <w:r w:rsidR="00D6588B" w:rsidRPr="001A2844">
        <w:rPr>
          <w:rFonts w:cs="Arial"/>
        </w:rPr>
        <w:t xml:space="preserve"> </w:t>
      </w:r>
      <w:r w:rsidR="00F11DA7" w:rsidRPr="001A2844">
        <w:rPr>
          <w:rFonts w:cs="Arial"/>
        </w:rPr>
        <w:t>validation and quality assurance</w:t>
      </w:r>
      <w:r w:rsidR="00F11DA7" w:rsidRPr="00895767">
        <w:t xml:space="preserve"> process</w:t>
      </w:r>
      <w:r w:rsidR="00693BCD" w:rsidRPr="00895767">
        <w:t>es</w:t>
      </w:r>
      <w:r w:rsidR="00F11DA7" w:rsidRPr="00895767">
        <w:t xml:space="preserve"> at </w:t>
      </w:r>
      <w:r w:rsidR="009320AD" w:rsidRPr="00895767">
        <w:t>all</w:t>
      </w:r>
      <w:r w:rsidR="00F11DA7" w:rsidRPr="00895767">
        <w:t xml:space="preserve"> stages of the </w:t>
      </w:r>
      <w:r w:rsidR="00895767">
        <w:t xml:space="preserve">data collection process </w:t>
      </w:r>
      <w:r w:rsidR="00F11DA7" w:rsidRPr="00895767">
        <w:t xml:space="preserve">to ensure that the data submitted to IHACPA </w:t>
      </w:r>
      <w:r w:rsidR="00100413">
        <w:t xml:space="preserve">is in line with the data request specifications and </w:t>
      </w:r>
      <w:r w:rsidR="00F11DA7" w:rsidRPr="00895767">
        <w:t>reconciles with jurisdictions’ expectations.</w:t>
      </w:r>
      <w:r w:rsidR="00274200" w:rsidRPr="00895767">
        <w:t xml:space="preserve"> </w:t>
      </w:r>
      <w:r w:rsidR="00982150" w:rsidRPr="00895767">
        <w:t>IHACPA work</w:t>
      </w:r>
      <w:r w:rsidR="00C63706" w:rsidRPr="00895767">
        <w:t>ed</w:t>
      </w:r>
      <w:r w:rsidR="00982150" w:rsidRPr="00895767">
        <w:t xml:space="preserve"> with jurisdictions to resolve issues or discrepancies </w:t>
      </w:r>
      <w:r w:rsidR="00C63706" w:rsidRPr="00895767">
        <w:t>identified</w:t>
      </w:r>
      <w:r w:rsidR="00982150" w:rsidRPr="00895767">
        <w:t xml:space="preserve"> in the data</w:t>
      </w:r>
      <w:r w:rsidR="00967788" w:rsidRPr="00895767">
        <w:t xml:space="preserve">. </w:t>
      </w:r>
      <w:r w:rsidR="004362B2" w:rsidRPr="00895767">
        <w:t>IHACPA received confirmation from</w:t>
      </w:r>
      <w:r w:rsidR="009F1C39" w:rsidRPr="00895767">
        <w:t xml:space="preserve"> </w:t>
      </w:r>
      <w:r w:rsidR="00967788" w:rsidRPr="00895767">
        <w:t>j</w:t>
      </w:r>
      <w:r w:rsidR="00274200" w:rsidRPr="00895767">
        <w:t xml:space="preserve">urisdictions </w:t>
      </w:r>
      <w:r w:rsidR="00967788" w:rsidRPr="00895767">
        <w:t>that the</w:t>
      </w:r>
      <w:r w:rsidR="003D34A3" w:rsidRPr="00895767">
        <w:t>ir</w:t>
      </w:r>
      <w:r w:rsidR="00F61F65" w:rsidRPr="00895767">
        <w:t xml:space="preserve"> data</w:t>
      </w:r>
      <w:r w:rsidR="00967788" w:rsidRPr="00895767">
        <w:t xml:space="preserve"> </w:t>
      </w:r>
      <w:r w:rsidR="003D34A3" w:rsidRPr="00895767">
        <w:t>wa</w:t>
      </w:r>
      <w:r w:rsidR="00F61F65" w:rsidRPr="00895767">
        <w:t>s correct and final</w:t>
      </w:r>
      <w:r w:rsidR="004362B2" w:rsidRPr="00895767">
        <w:t xml:space="preserve"> prior to producing </w:t>
      </w:r>
      <w:r w:rsidR="008E4F97" w:rsidRPr="00895767">
        <w:t xml:space="preserve">a </w:t>
      </w:r>
      <w:r w:rsidR="00586DCB" w:rsidRPr="00895767">
        <w:t>national dataset</w:t>
      </w:r>
      <w:r w:rsidR="00D0443C">
        <w:t>.</w:t>
      </w:r>
    </w:p>
    <w:p w14:paraId="19B2B76F" w14:textId="5616CD9E" w:rsidR="00254781" w:rsidRDefault="00D8678B" w:rsidP="002658C9">
      <w:pPr>
        <w:pStyle w:val="Heading3"/>
      </w:pPr>
      <w:bookmarkStart w:id="21" w:name="_Toc176246316"/>
      <w:bookmarkEnd w:id="21"/>
      <w:r w:rsidRPr="00DB5849">
        <w:lastRenderedPageBreak/>
        <w:t xml:space="preserve">Australian Hospital Patient Costing Standards </w:t>
      </w:r>
      <w:r>
        <w:t>(AHPCS)</w:t>
      </w:r>
    </w:p>
    <w:p w14:paraId="62E9C7FB" w14:textId="09CC1DDF" w:rsidR="003A0DAC" w:rsidRDefault="003A0DAC" w:rsidP="003A0DAC">
      <w:r>
        <w:t xml:space="preserve">The </w:t>
      </w:r>
      <w:r w:rsidR="00824020">
        <w:t xml:space="preserve">current version of the </w:t>
      </w:r>
      <w:r>
        <w:t>AHPCS</w:t>
      </w:r>
      <w:r w:rsidR="00824020">
        <w:t xml:space="preserve"> is </w:t>
      </w:r>
      <w:r w:rsidR="009948B2">
        <w:t>v</w:t>
      </w:r>
      <w:r w:rsidR="00824020">
        <w:t>ersion 4.2 and</w:t>
      </w:r>
      <w:r>
        <w:t xml:space="preserve"> provide</w:t>
      </w:r>
      <w:r w:rsidR="00824020">
        <w:t>s</w:t>
      </w:r>
      <w:r>
        <w:t xml:space="preserve"> direction for costing practitioners to ensure all in-scope costs are included and appropriately allocated to hospital activity to reflect resource utilisatio</w:t>
      </w:r>
      <w:r w:rsidR="00C330F4">
        <w:t>n in a complete and consistent manner.</w:t>
      </w:r>
    </w:p>
    <w:p w14:paraId="5F079711" w14:textId="722A4DCA" w:rsidR="00824020" w:rsidRPr="00C64CDC" w:rsidRDefault="00824020" w:rsidP="00824020">
      <w:pPr>
        <w:rPr>
          <w:rFonts w:eastAsia="Fira Sans regular" w:cs="Times New Roman"/>
        </w:rPr>
      </w:pPr>
      <w:r w:rsidRPr="044FA469">
        <w:rPr>
          <w:rFonts w:eastAsia="Fira Sans regular" w:cs="Times New Roman"/>
        </w:rPr>
        <w:t xml:space="preserve">The AHPCS Version </w:t>
      </w:r>
      <w:r w:rsidRPr="00596E30">
        <w:rPr>
          <w:rFonts w:eastAsia="Fira Sans regular" w:cs="Times New Roman"/>
        </w:rPr>
        <w:t>4.2</w:t>
      </w:r>
      <w:r w:rsidRPr="044FA469">
        <w:rPr>
          <w:rFonts w:eastAsia="Fira Sans regular" w:cs="Times New Roman"/>
        </w:rPr>
        <w:t xml:space="preserve"> is comprised of:</w:t>
      </w:r>
    </w:p>
    <w:p w14:paraId="413B3DDE" w14:textId="5BF72CFA" w:rsidR="00824020" w:rsidRPr="00D223A7" w:rsidRDefault="00824020" w:rsidP="006008CF">
      <w:pPr>
        <w:pStyle w:val="ListParagraph"/>
        <w:numPr>
          <w:ilvl w:val="0"/>
          <w:numId w:val="6"/>
        </w:numPr>
        <w:ind w:left="717"/>
        <w:rPr>
          <w:rFonts w:eastAsia="Fira Sans regular" w:cs="Times New Roman"/>
        </w:rPr>
      </w:pPr>
      <w:r w:rsidRPr="00D223A7">
        <w:rPr>
          <w:rFonts w:eastAsia="Fira Sans regular" w:cs="Times New Roman"/>
        </w:rPr>
        <w:t xml:space="preserve">Part 1: Standards </w:t>
      </w:r>
      <w:r w:rsidR="006B451B">
        <w:rPr>
          <w:rFonts w:eastAsia="Fira Sans regular" w:cs="Times New Roman"/>
        </w:rPr>
        <w:t>which</w:t>
      </w:r>
      <w:r w:rsidRPr="00D223A7">
        <w:rPr>
          <w:rFonts w:eastAsia="Fira Sans regular" w:cs="Times New Roman"/>
        </w:rPr>
        <w:t xml:space="preserve"> provides the overarching principles of the patient costing process.</w:t>
      </w:r>
    </w:p>
    <w:p w14:paraId="18C14D8F" w14:textId="348567A2" w:rsidR="00824020" w:rsidRPr="00D223A7" w:rsidRDefault="00824020" w:rsidP="006008CF">
      <w:pPr>
        <w:pStyle w:val="ListParagraph"/>
        <w:numPr>
          <w:ilvl w:val="0"/>
          <w:numId w:val="6"/>
        </w:numPr>
        <w:ind w:left="717"/>
        <w:rPr>
          <w:rFonts w:eastAsia="Fira Sans regular" w:cs="Times New Roman"/>
        </w:rPr>
      </w:pPr>
      <w:r w:rsidRPr="00D223A7">
        <w:rPr>
          <w:rFonts w:eastAsia="Fira Sans regular" w:cs="Times New Roman"/>
        </w:rPr>
        <w:t xml:space="preserve">Part 2: Business Rules </w:t>
      </w:r>
      <w:r w:rsidR="006B451B">
        <w:rPr>
          <w:rFonts w:eastAsia="Fira Sans regular" w:cs="Times New Roman"/>
        </w:rPr>
        <w:t>which</w:t>
      </w:r>
      <w:r w:rsidRPr="00D223A7">
        <w:rPr>
          <w:rFonts w:eastAsia="Fira Sans regular" w:cs="Times New Roman"/>
        </w:rPr>
        <w:t xml:space="preserve"> provides practical guidance on translating the Standards into action.</w:t>
      </w:r>
    </w:p>
    <w:p w14:paraId="4AC92D9B" w14:textId="7CE59281" w:rsidR="00824020" w:rsidRPr="00D223A7" w:rsidRDefault="00824020" w:rsidP="006008CF">
      <w:pPr>
        <w:pStyle w:val="ListParagraph"/>
        <w:numPr>
          <w:ilvl w:val="0"/>
          <w:numId w:val="6"/>
        </w:numPr>
        <w:ind w:left="717"/>
        <w:rPr>
          <w:rFonts w:eastAsia="Fira Sans regular" w:cs="Times New Roman"/>
        </w:rPr>
      </w:pPr>
      <w:r w:rsidRPr="00D223A7">
        <w:rPr>
          <w:rFonts w:eastAsia="Fira Sans regular" w:cs="Times New Roman"/>
        </w:rPr>
        <w:t xml:space="preserve">Part 3: Costing Guidelines </w:t>
      </w:r>
      <w:r w:rsidR="006B451B">
        <w:rPr>
          <w:rFonts w:eastAsia="Fira Sans regular" w:cs="Times New Roman"/>
        </w:rPr>
        <w:t>which</w:t>
      </w:r>
      <w:r w:rsidRPr="00D223A7">
        <w:rPr>
          <w:rFonts w:eastAsia="Fira Sans regular" w:cs="Times New Roman"/>
        </w:rPr>
        <w:t xml:space="preserve"> provides step-by-step guidance on how to cost various services.</w:t>
      </w:r>
    </w:p>
    <w:p w14:paraId="2DF9FEBC" w14:textId="76A2AB02" w:rsidR="00633C1A" w:rsidRDefault="00C00D3C" w:rsidP="00F373D9">
      <w:r>
        <w:t xml:space="preserve">The Standards are </w:t>
      </w:r>
      <w:r w:rsidR="006B48AB">
        <w:t xml:space="preserve">grouped </w:t>
      </w:r>
      <w:r w:rsidR="009F4FEF">
        <w:t xml:space="preserve">by </w:t>
      </w:r>
      <w:r w:rsidR="00824020">
        <w:t xml:space="preserve">the </w:t>
      </w:r>
      <w:r>
        <w:t>6 stages of the costing process</w:t>
      </w:r>
      <w:r w:rsidR="00A427F0">
        <w:t>.</w:t>
      </w:r>
    </w:p>
    <w:p w14:paraId="5748BB51" w14:textId="71228377" w:rsidR="00633C1A" w:rsidRDefault="00633C1A" w:rsidP="006008CF">
      <w:pPr>
        <w:pStyle w:val="ListParagraph"/>
        <w:numPr>
          <w:ilvl w:val="0"/>
          <w:numId w:val="10"/>
        </w:numPr>
        <w:ind w:left="717"/>
      </w:pPr>
      <w:r>
        <w:t>Stage 1: Identify Relevant Expenses</w:t>
      </w:r>
    </w:p>
    <w:p w14:paraId="0F8A4694" w14:textId="2B668003" w:rsidR="00633C1A" w:rsidRDefault="00633C1A" w:rsidP="006008CF">
      <w:pPr>
        <w:pStyle w:val="ListParagraph"/>
        <w:numPr>
          <w:ilvl w:val="0"/>
          <w:numId w:val="10"/>
        </w:numPr>
        <w:ind w:left="717"/>
      </w:pPr>
      <w:r>
        <w:t>Stage 2: Create the Cost Ledger</w:t>
      </w:r>
    </w:p>
    <w:p w14:paraId="7F865EEB" w14:textId="12245B49" w:rsidR="00633C1A" w:rsidRDefault="00633C1A" w:rsidP="006008CF">
      <w:pPr>
        <w:pStyle w:val="ListParagraph"/>
        <w:numPr>
          <w:ilvl w:val="0"/>
          <w:numId w:val="10"/>
        </w:numPr>
        <w:ind w:left="717"/>
      </w:pPr>
      <w:r>
        <w:t>Stage 3: Create Final Cost Centres</w:t>
      </w:r>
    </w:p>
    <w:p w14:paraId="7E932591" w14:textId="04BFB09D" w:rsidR="00633C1A" w:rsidRDefault="00633C1A" w:rsidP="006008CF">
      <w:pPr>
        <w:pStyle w:val="ListParagraph"/>
        <w:numPr>
          <w:ilvl w:val="0"/>
          <w:numId w:val="10"/>
        </w:numPr>
        <w:ind w:left="717"/>
      </w:pPr>
      <w:r>
        <w:t>Stage 4: Identify Products</w:t>
      </w:r>
    </w:p>
    <w:p w14:paraId="1E5E8167" w14:textId="4038D82C" w:rsidR="00633C1A" w:rsidRDefault="00633C1A" w:rsidP="006008CF">
      <w:pPr>
        <w:pStyle w:val="ListParagraph"/>
        <w:numPr>
          <w:ilvl w:val="0"/>
          <w:numId w:val="10"/>
        </w:numPr>
        <w:ind w:left="717"/>
      </w:pPr>
      <w:r>
        <w:t>Stage 5: Assign Expenses to Products</w:t>
      </w:r>
    </w:p>
    <w:p w14:paraId="4DE64070" w14:textId="262EB737" w:rsidR="00633C1A" w:rsidRDefault="00633C1A" w:rsidP="006008CF">
      <w:pPr>
        <w:pStyle w:val="ListParagraph"/>
        <w:numPr>
          <w:ilvl w:val="0"/>
          <w:numId w:val="10"/>
        </w:numPr>
        <w:ind w:left="717"/>
      </w:pPr>
      <w:r>
        <w:t>Stage 6: Review and Reconcile</w:t>
      </w:r>
    </w:p>
    <w:p w14:paraId="1E80A6DF" w14:textId="59875201" w:rsidR="00322635" w:rsidRPr="003A0DAC" w:rsidRDefault="00A427F0" w:rsidP="00F373D9">
      <w:r>
        <w:t xml:space="preserve">Jurisdictions are asked to </w:t>
      </w:r>
      <w:r w:rsidR="005C5A95">
        <w:t xml:space="preserve">report any </w:t>
      </w:r>
      <w:r w:rsidR="001F1CA6">
        <w:t xml:space="preserve">deviations from </w:t>
      </w:r>
      <w:r w:rsidR="00502E48">
        <w:t xml:space="preserve">the </w:t>
      </w:r>
      <w:r w:rsidR="001640FB">
        <w:t>AHPCS</w:t>
      </w:r>
      <w:r w:rsidR="00502E48">
        <w:t xml:space="preserve"> in </w:t>
      </w:r>
      <w:r w:rsidR="005F10DE">
        <w:t>their DQS</w:t>
      </w:r>
      <w:r w:rsidR="00A46D67">
        <w:t>.</w:t>
      </w:r>
      <w:r w:rsidR="00401B3E">
        <w:t xml:space="preserve"> </w:t>
      </w:r>
      <w:r w:rsidR="00305421">
        <w:t xml:space="preserve">Where </w:t>
      </w:r>
      <w:r w:rsidR="00223846">
        <w:t xml:space="preserve">jurisdictions did not raise any </w:t>
      </w:r>
      <w:r w:rsidR="00305421">
        <w:t xml:space="preserve">issues, </w:t>
      </w:r>
      <w:r w:rsidR="00401B3E">
        <w:t xml:space="preserve">IHACPA </w:t>
      </w:r>
      <w:r w:rsidR="009E772D">
        <w:t>report</w:t>
      </w:r>
      <w:r w:rsidR="00E53146">
        <w:t>ed</w:t>
      </w:r>
      <w:r w:rsidR="009E772D">
        <w:t xml:space="preserve"> jurisdictions as </w:t>
      </w:r>
      <w:r w:rsidR="00350E20">
        <w:t xml:space="preserve">fully </w:t>
      </w:r>
      <w:r w:rsidR="009E772D">
        <w:t>complian</w:t>
      </w:r>
      <w:r w:rsidR="00350E20">
        <w:t>t</w:t>
      </w:r>
      <w:r w:rsidR="009E772D">
        <w:t xml:space="preserve"> </w:t>
      </w:r>
      <w:r w:rsidR="00172079">
        <w:t>under the relevant stage of the costing proces</w:t>
      </w:r>
      <w:r w:rsidR="00305421">
        <w:t>s</w:t>
      </w:r>
      <w:r w:rsidR="007E67CB">
        <w:t>.</w:t>
      </w:r>
    </w:p>
    <w:p w14:paraId="67FF8EC6" w14:textId="77777777" w:rsidR="009F4FEF" w:rsidRPr="00092C30" w:rsidRDefault="009F4FEF" w:rsidP="009F4FEF">
      <w:pPr>
        <w:pStyle w:val="Heading3"/>
      </w:pPr>
      <w:bookmarkStart w:id="22" w:name="_Toc176246319"/>
      <w:bookmarkStart w:id="23" w:name="_Toc176246320"/>
      <w:bookmarkStart w:id="24" w:name="_Toc176246321"/>
      <w:bookmarkStart w:id="25" w:name="_Toc176246322"/>
      <w:bookmarkStart w:id="26" w:name="_Toc176246323"/>
      <w:bookmarkStart w:id="27" w:name="_Toc176246324"/>
      <w:bookmarkStart w:id="28" w:name="_Toc176246325"/>
      <w:bookmarkStart w:id="29" w:name="_Toc176246326"/>
      <w:bookmarkStart w:id="30" w:name="_Toc176246327"/>
      <w:bookmarkStart w:id="31" w:name="_Toc176246328"/>
      <w:bookmarkStart w:id="32" w:name="_Toc176246329"/>
      <w:bookmarkEnd w:id="22"/>
      <w:bookmarkEnd w:id="23"/>
      <w:bookmarkEnd w:id="24"/>
      <w:bookmarkEnd w:id="25"/>
      <w:bookmarkEnd w:id="26"/>
      <w:bookmarkEnd w:id="27"/>
      <w:bookmarkEnd w:id="28"/>
      <w:bookmarkEnd w:id="29"/>
      <w:bookmarkEnd w:id="30"/>
      <w:bookmarkEnd w:id="31"/>
      <w:bookmarkEnd w:id="32"/>
      <w:r w:rsidRPr="00092C30">
        <w:t>Data Quality Statement</w:t>
      </w:r>
      <w:r>
        <w:t>s (DQS)</w:t>
      </w:r>
    </w:p>
    <w:p w14:paraId="521537DE" w14:textId="1C0F5D40" w:rsidR="009F4FEF" w:rsidRPr="00895767" w:rsidRDefault="009F4FEF" w:rsidP="006008CF">
      <w:r w:rsidRPr="00895767">
        <w:t>A DQS is completed by each jurisdiction following their annual NHCDC submission. Jurisdictions’ DQS must include information on their application of the AHPCS, consistency of costing practices, changes in reporting or governance impacting costing methodologies and their quality assurance processes. Each jurisdiction is required to provide a summary that compares their 2021</w:t>
      </w:r>
      <w:r w:rsidR="25A91F8F">
        <w:t>-</w:t>
      </w:r>
      <w:r w:rsidRPr="00895767">
        <w:t xml:space="preserve">22 and 2022-23 NHCDC submissions, providing any reasons for significant changes in process or coverage. This includes information on and reasons for any exclusions of costs relating to specific hospitals, cost buckets or activity streams. Any changes reported by </w:t>
      </w:r>
      <w:r w:rsidR="00B4010C">
        <w:t>a</w:t>
      </w:r>
      <w:r w:rsidRPr="00895767">
        <w:t xml:space="preserve"> jurisdiction in their DQS </w:t>
      </w:r>
      <w:r w:rsidR="007F4469">
        <w:t>ha</w:t>
      </w:r>
      <w:r w:rsidR="006D5E73">
        <w:t>ve</w:t>
      </w:r>
      <w:r w:rsidR="007F4469">
        <w:t xml:space="preserve"> been</w:t>
      </w:r>
      <w:r w:rsidRPr="00895767">
        <w:t xml:space="preserve"> included in this report.</w:t>
      </w:r>
    </w:p>
    <w:p w14:paraId="6419D4D4" w14:textId="63D5C381" w:rsidR="009F4FEF" w:rsidRDefault="009F4FEF" w:rsidP="006008CF">
      <w:r w:rsidRPr="00895767">
        <w:t>IHACPA ha</w:t>
      </w:r>
      <w:r w:rsidR="001A2844">
        <w:t>s</w:t>
      </w:r>
      <w:r w:rsidRPr="00895767">
        <w:t xml:space="preserve"> received a DQS from all jurisdictions</w:t>
      </w:r>
      <w:r w:rsidR="000D7666">
        <w:t>.</w:t>
      </w:r>
      <w:r w:rsidR="001653FA">
        <w:t xml:space="preserve"> </w:t>
      </w:r>
      <w:r w:rsidR="000D7666">
        <w:t xml:space="preserve"> </w:t>
      </w:r>
    </w:p>
    <w:p w14:paraId="6F3ABCCC" w14:textId="5AD6236C" w:rsidR="00254781" w:rsidRPr="000E4155" w:rsidRDefault="00254781" w:rsidP="00A3367F">
      <w:pPr>
        <w:pStyle w:val="Heading3"/>
      </w:pPr>
      <w:r w:rsidRPr="000E4155">
        <w:t xml:space="preserve">General </w:t>
      </w:r>
      <w:r w:rsidR="00DD35A9">
        <w:t>l</w:t>
      </w:r>
      <w:r w:rsidRPr="000E4155">
        <w:t>edger</w:t>
      </w:r>
      <w:r w:rsidR="006F43E0">
        <w:t xml:space="preserve"> </w:t>
      </w:r>
      <w:r w:rsidR="000821E1">
        <w:t xml:space="preserve">(GL) </w:t>
      </w:r>
      <w:r w:rsidR="00DD35A9">
        <w:t>r</w:t>
      </w:r>
      <w:r w:rsidR="006F43E0">
        <w:t>econciliation</w:t>
      </w:r>
    </w:p>
    <w:p w14:paraId="27E96F23" w14:textId="33C0AD23" w:rsidR="00663B69" w:rsidRPr="00895767" w:rsidRDefault="00663B69" w:rsidP="006008CF">
      <w:r w:rsidRPr="00895767">
        <w:t>All</w:t>
      </w:r>
      <w:r w:rsidR="00C604AD" w:rsidRPr="00895767">
        <w:t xml:space="preserve"> jurisdiction</w:t>
      </w:r>
      <w:r w:rsidRPr="00895767">
        <w:t>s</w:t>
      </w:r>
      <w:r w:rsidR="00C604AD" w:rsidRPr="00895767">
        <w:t xml:space="preserve"> </w:t>
      </w:r>
      <w:r w:rsidR="00565A6C" w:rsidRPr="00895767">
        <w:t>were</w:t>
      </w:r>
      <w:r w:rsidRPr="00895767">
        <w:t xml:space="preserve"> </w:t>
      </w:r>
      <w:r w:rsidR="00C604AD" w:rsidRPr="00895767">
        <w:t xml:space="preserve">required to </w:t>
      </w:r>
      <w:r w:rsidRPr="00895767">
        <w:t>provide IHACPA with</w:t>
      </w:r>
      <w:r w:rsidR="00C604AD" w:rsidRPr="00895767">
        <w:t xml:space="preserve"> a table summarising </w:t>
      </w:r>
      <w:r w:rsidR="00A61148" w:rsidRPr="00895767">
        <w:t>their</w:t>
      </w:r>
      <w:r w:rsidR="00C604AD" w:rsidRPr="00895767">
        <w:t xml:space="preserve"> </w:t>
      </w:r>
      <w:r w:rsidR="000821E1" w:rsidRPr="00895767">
        <w:t>GL</w:t>
      </w:r>
      <w:r w:rsidR="00C604AD" w:rsidRPr="00895767">
        <w:t xml:space="preserve"> reconciliation for each local health network</w:t>
      </w:r>
      <w:r w:rsidR="005D065E" w:rsidRPr="00895767">
        <w:t xml:space="preserve"> </w:t>
      </w:r>
      <w:r w:rsidR="00FB4EA5" w:rsidRPr="00895767">
        <w:t xml:space="preserve">(LHN) </w:t>
      </w:r>
      <w:r w:rsidR="005D065E" w:rsidRPr="00895767">
        <w:t xml:space="preserve">or </w:t>
      </w:r>
      <w:r w:rsidR="00C604AD" w:rsidRPr="00895767">
        <w:t xml:space="preserve">district </w:t>
      </w:r>
      <w:r w:rsidR="00FB4EA5" w:rsidRPr="00895767">
        <w:t xml:space="preserve">(LHD) </w:t>
      </w:r>
      <w:r w:rsidR="00C604AD" w:rsidRPr="00895767">
        <w:t xml:space="preserve">submitted. </w:t>
      </w:r>
      <w:r w:rsidR="005D065E" w:rsidRPr="00895767">
        <w:t xml:space="preserve">Jurisdictions submitted this table to IHACPA either within their </w:t>
      </w:r>
      <w:r w:rsidRPr="00895767">
        <w:t xml:space="preserve">DQS </w:t>
      </w:r>
      <w:r w:rsidR="005D065E" w:rsidRPr="00895767">
        <w:t>or as a separate file</w:t>
      </w:r>
      <w:r w:rsidRPr="00895767">
        <w:t>.</w:t>
      </w:r>
    </w:p>
    <w:p w14:paraId="4402D121" w14:textId="75CC5678" w:rsidR="00CD6EFF" w:rsidRPr="00895767" w:rsidRDefault="00CD6EFF" w:rsidP="006008CF">
      <w:r w:rsidRPr="00895767">
        <w:t xml:space="preserve">Jurisdictions </w:t>
      </w:r>
      <w:r w:rsidR="002C1C04" w:rsidRPr="00895767">
        <w:t>were</w:t>
      </w:r>
      <w:r w:rsidRPr="00895767">
        <w:t xml:space="preserve"> </w:t>
      </w:r>
      <w:r w:rsidR="009F4FEF">
        <w:t>requested</w:t>
      </w:r>
      <w:r w:rsidR="009F4FEF" w:rsidRPr="00895767">
        <w:t xml:space="preserve"> </w:t>
      </w:r>
      <w:r w:rsidRPr="00895767">
        <w:t>to include:</w:t>
      </w:r>
    </w:p>
    <w:p w14:paraId="13B68818" w14:textId="002FE250" w:rsidR="00CD6EFF" w:rsidRPr="00895767" w:rsidRDefault="00A61148" w:rsidP="006008CF">
      <w:pPr>
        <w:pStyle w:val="ListParagraph"/>
        <w:numPr>
          <w:ilvl w:val="0"/>
          <w:numId w:val="4"/>
        </w:numPr>
        <w:ind w:left="717"/>
      </w:pPr>
      <w:r w:rsidRPr="00895767">
        <w:t xml:space="preserve">The </w:t>
      </w:r>
      <w:r w:rsidR="00C604AD" w:rsidRPr="00895767">
        <w:t>total value of the</w:t>
      </w:r>
      <w:r w:rsidRPr="00895767">
        <w:t>ir</w:t>
      </w:r>
      <w:r w:rsidR="00C604AD" w:rsidRPr="00895767">
        <w:t xml:space="preserve"> GL</w:t>
      </w:r>
    </w:p>
    <w:p w14:paraId="5A30CA7A" w14:textId="3B1E2C62" w:rsidR="00C604AD" w:rsidRPr="00895767" w:rsidRDefault="00A61148" w:rsidP="006008CF">
      <w:pPr>
        <w:pStyle w:val="ListParagraph"/>
        <w:numPr>
          <w:ilvl w:val="0"/>
          <w:numId w:val="4"/>
        </w:numPr>
        <w:ind w:left="717"/>
      </w:pPr>
      <w:r w:rsidRPr="00895767">
        <w:t xml:space="preserve">Any </w:t>
      </w:r>
      <w:r w:rsidR="00CD6EFF" w:rsidRPr="00895767">
        <w:t>adjustments to the GL</w:t>
      </w:r>
      <w:r w:rsidR="00FB4EA5" w:rsidRPr="00895767">
        <w:t>, inclusions and exclusions</w:t>
      </w:r>
    </w:p>
    <w:p w14:paraId="256877C5" w14:textId="0F998FEF" w:rsidR="00CD6EFF" w:rsidRPr="00895767" w:rsidRDefault="00765717" w:rsidP="006008CF">
      <w:pPr>
        <w:pStyle w:val="ListParagraph"/>
        <w:numPr>
          <w:ilvl w:val="0"/>
          <w:numId w:val="4"/>
        </w:numPr>
        <w:ind w:left="717"/>
      </w:pPr>
      <w:r w:rsidRPr="00895767">
        <w:lastRenderedPageBreak/>
        <w:t>P</w:t>
      </w:r>
      <w:r w:rsidR="00CD6EFF" w:rsidRPr="00895767">
        <w:t>ost allocation adjustments</w:t>
      </w:r>
      <w:r w:rsidRPr="00895767">
        <w:t>, work in progress (WIP) inclusions and exclusions</w:t>
      </w:r>
    </w:p>
    <w:p w14:paraId="2BAF536D" w14:textId="6F84BA2B" w:rsidR="00CD6EFF" w:rsidRPr="00895767" w:rsidRDefault="00765717" w:rsidP="006008CF">
      <w:pPr>
        <w:pStyle w:val="ListParagraph"/>
        <w:numPr>
          <w:ilvl w:val="0"/>
          <w:numId w:val="4"/>
        </w:numPr>
        <w:ind w:left="717"/>
      </w:pPr>
      <w:r w:rsidRPr="00895767">
        <w:t>A</w:t>
      </w:r>
      <w:r w:rsidR="00CD6EFF" w:rsidRPr="00895767">
        <w:t>djustments made at the jurisdictional level</w:t>
      </w:r>
      <w:r w:rsidR="00066FB6" w:rsidRPr="00895767">
        <w:t>.</w:t>
      </w:r>
    </w:p>
    <w:p w14:paraId="72E8F130" w14:textId="7BECFAB1" w:rsidR="003C2B91" w:rsidRPr="00895767" w:rsidRDefault="00946F34" w:rsidP="006008CF">
      <w:pPr>
        <w:sectPr w:rsidR="003C2B91" w:rsidRPr="00895767">
          <w:pgSz w:w="11906" w:h="16838" w:code="9"/>
          <w:pgMar w:top="1440" w:right="1080" w:bottom="1440" w:left="1080" w:header="708" w:footer="708" w:gutter="0"/>
          <w:cols w:space="708"/>
          <w:docGrid w:linePitch="360"/>
        </w:sectPr>
      </w:pPr>
      <w:r w:rsidRPr="00895767">
        <w:t xml:space="preserve">IHACPA’s </w:t>
      </w:r>
      <w:r w:rsidR="00254781" w:rsidRPr="00895767">
        <w:t>reconciliation process</w:t>
      </w:r>
      <w:r w:rsidRPr="00895767">
        <w:t>,</w:t>
      </w:r>
      <w:r w:rsidR="00254781" w:rsidRPr="00895767">
        <w:t xml:space="preserve"> involves comparing</w:t>
      </w:r>
      <w:r w:rsidR="00D82487" w:rsidRPr="00895767">
        <w:t xml:space="preserve"> the</w:t>
      </w:r>
      <w:r w:rsidR="00254781" w:rsidRPr="00895767">
        <w:t xml:space="preserve"> figures reported by jurisdictions in their DQS </w:t>
      </w:r>
      <w:r w:rsidR="005568D1" w:rsidRPr="00895767">
        <w:t xml:space="preserve">with </w:t>
      </w:r>
      <w:r w:rsidR="004A09A8">
        <w:t>the</w:t>
      </w:r>
      <w:r w:rsidR="005568D1" w:rsidRPr="00895767">
        <w:t xml:space="preserve"> </w:t>
      </w:r>
      <w:r w:rsidR="004A09A8">
        <w:t xml:space="preserve">data validation and preparation </w:t>
      </w:r>
      <w:r w:rsidR="00254781" w:rsidRPr="00895767">
        <w:t>tables</w:t>
      </w:r>
      <w:r w:rsidR="00576E6A" w:rsidRPr="00895767">
        <w:t xml:space="preserve"> </w:t>
      </w:r>
      <w:r w:rsidR="00164D5F" w:rsidRPr="00895767">
        <w:t xml:space="preserve">produced </w:t>
      </w:r>
      <w:r w:rsidR="00576E6A" w:rsidRPr="00895767">
        <w:t>by IHACPA</w:t>
      </w:r>
      <w:r w:rsidR="004A09A8">
        <w:t>, through to the final NHCDC dataset.</w:t>
      </w:r>
    </w:p>
    <w:p w14:paraId="062AF12A" w14:textId="548D1458" w:rsidR="003643C9" w:rsidRDefault="00A54C2A" w:rsidP="003643C9">
      <w:pPr>
        <w:pStyle w:val="Heading2"/>
      </w:pPr>
      <w:bookmarkStart w:id="33" w:name="_Toc179296637"/>
      <w:bookmarkStart w:id="34" w:name="_Toc164430167"/>
      <w:r>
        <w:lastRenderedPageBreak/>
        <w:t xml:space="preserve">Summary </w:t>
      </w:r>
      <w:r w:rsidR="00DD35A9">
        <w:t>f</w:t>
      </w:r>
      <w:r>
        <w:t>indings</w:t>
      </w:r>
      <w:bookmarkEnd w:id="33"/>
    </w:p>
    <w:p w14:paraId="1AB59C02" w14:textId="2C5E33B5" w:rsidR="003643C9" w:rsidRDefault="00A54C2A" w:rsidP="00FD2570">
      <w:pPr>
        <w:spacing w:line="259" w:lineRule="auto"/>
      </w:pPr>
      <w:r w:rsidRPr="003643C9">
        <w:t xml:space="preserve">IHACPA reviewed all the DQS and identified common </w:t>
      </w:r>
      <w:r w:rsidR="00DD35A9">
        <w:t>themes and areas for improvement</w:t>
      </w:r>
      <w:r w:rsidRPr="003643C9">
        <w:t xml:space="preserve"> across the jurisdictions</w:t>
      </w:r>
      <w:r w:rsidR="00DD35A9">
        <w:t>, including</w:t>
      </w:r>
      <w:r w:rsidR="00FD2570">
        <w:t xml:space="preserve"> m</w:t>
      </w:r>
      <w:r w:rsidR="00DD35A9">
        <w:t>ental health</w:t>
      </w:r>
      <w:r w:rsidR="00FD2570">
        <w:t>, p</w:t>
      </w:r>
      <w:r w:rsidR="00DD35A9">
        <w:t xml:space="preserve">atient </w:t>
      </w:r>
      <w:r w:rsidR="00FD2570">
        <w:t>t</w:t>
      </w:r>
      <w:r w:rsidR="00DD35A9">
        <w:t>ransport</w:t>
      </w:r>
      <w:r w:rsidR="00FD2570">
        <w:t>, b</w:t>
      </w:r>
      <w:r w:rsidR="00DD35A9">
        <w:t>lood products and pathology</w:t>
      </w:r>
      <w:r w:rsidR="00FD2570">
        <w:t>, and c</w:t>
      </w:r>
      <w:r w:rsidR="00DD35A9">
        <w:t>ontracted care</w:t>
      </w:r>
      <w:r w:rsidR="00FD2570">
        <w:t xml:space="preserve"> (see </w:t>
      </w:r>
      <w:r w:rsidR="00124275">
        <w:t>S</w:t>
      </w:r>
      <w:r w:rsidR="00FD2570">
        <w:t>ection 2.1).</w:t>
      </w:r>
    </w:p>
    <w:p w14:paraId="471A132F" w14:textId="34F26A91" w:rsidR="00DD35A9" w:rsidRDefault="00DD35A9" w:rsidP="00DD35A9">
      <w:r>
        <w:t xml:space="preserve">Jurisdictions are asked to report any deviation from the AHPCS in their DQS. Unless jurisdictions highlighted any deviations from the AHPCS, IHACPA assumes the jurisdiction fully adheres to the </w:t>
      </w:r>
      <w:r w:rsidR="001D75AC">
        <w:t>S</w:t>
      </w:r>
      <w:r>
        <w:t xml:space="preserve">tandards. </w:t>
      </w:r>
      <w:r>
        <w:fldChar w:fldCharType="begin"/>
      </w:r>
      <w:r>
        <w:instrText xml:space="preserve"> REF _Ref176354398 \h  \* MERGEFORMAT </w:instrText>
      </w:r>
      <w:r>
        <w:fldChar w:fldCharType="separate"/>
      </w:r>
      <w:r>
        <w:t xml:space="preserve">Table </w:t>
      </w:r>
      <w:r>
        <w:fldChar w:fldCharType="end"/>
      </w:r>
      <w:r w:rsidR="00F4426A">
        <w:t>1</w:t>
      </w:r>
      <w:r>
        <w:t xml:space="preserve"> provides a summary of jurisdictions self-reported application of the AHPCS.</w:t>
      </w:r>
    </w:p>
    <w:p w14:paraId="4E5EBB21" w14:textId="2F29CEBB" w:rsidR="00DD35A9" w:rsidRDefault="00DD35A9" w:rsidP="00DD35A9">
      <w:pPr>
        <w:pStyle w:val="Caption"/>
      </w:pPr>
      <w:r>
        <w:t xml:space="preserve">Table </w:t>
      </w:r>
      <w:r w:rsidR="00F4426A">
        <w:t>1</w:t>
      </w:r>
      <w:r>
        <w:t>: Summary of jurisdictions’ application of the AHPCS</w:t>
      </w:r>
    </w:p>
    <w:tbl>
      <w:tblPr>
        <w:tblStyle w:val="TableGrid"/>
        <w:tblW w:w="9776" w:type="dxa"/>
        <w:tblBorders>
          <w:top w:val="single" w:sz="4" w:space="0" w:color="DFEBF1" w:themeColor="accent1" w:themeTint="1A"/>
          <w:left w:val="none" w:sz="0" w:space="0" w:color="auto"/>
          <w:bottom w:val="single" w:sz="4" w:space="0" w:color="DFEBF1" w:themeColor="accent1" w:themeTint="1A"/>
          <w:right w:val="none" w:sz="0" w:space="0" w:color="auto"/>
          <w:insideH w:val="single" w:sz="4" w:space="0" w:color="DFEBF1" w:themeColor="accent1" w:themeTint="1A"/>
          <w:insideV w:val="single" w:sz="4" w:space="0" w:color="DFEBF1" w:themeColor="accent1" w:themeTint="1A"/>
        </w:tblBorders>
        <w:tblLayout w:type="fixed"/>
        <w:tblLook w:val="04A0" w:firstRow="1" w:lastRow="0" w:firstColumn="1" w:lastColumn="0" w:noHBand="0" w:noVBand="1"/>
      </w:tblPr>
      <w:tblGrid>
        <w:gridCol w:w="5053"/>
        <w:gridCol w:w="590"/>
        <w:gridCol w:w="590"/>
        <w:gridCol w:w="591"/>
        <w:gridCol w:w="590"/>
        <w:gridCol w:w="590"/>
        <w:gridCol w:w="591"/>
        <w:gridCol w:w="590"/>
        <w:gridCol w:w="591"/>
      </w:tblGrid>
      <w:tr w:rsidR="00DD35A9" w14:paraId="09162A71" w14:textId="77777777">
        <w:trPr>
          <w:trHeight w:val="340"/>
        </w:trPr>
        <w:tc>
          <w:tcPr>
            <w:tcW w:w="5053" w:type="dxa"/>
            <w:shd w:val="clear" w:color="auto" w:fill="104F99" w:themeFill="accent2"/>
            <w:vAlign w:val="center"/>
          </w:tcPr>
          <w:p w14:paraId="233DBEA7" w14:textId="77777777" w:rsidR="00DD35A9" w:rsidRPr="00092C30" w:rsidRDefault="00DD35A9">
            <w:pPr>
              <w:jc w:val="center"/>
              <w:rPr>
                <w:b/>
                <w:bCs/>
                <w:color w:val="FFFFFF" w:themeColor="background2"/>
                <w:sz w:val="20"/>
                <w:szCs w:val="20"/>
              </w:rPr>
            </w:pPr>
          </w:p>
        </w:tc>
        <w:tc>
          <w:tcPr>
            <w:tcW w:w="590" w:type="dxa"/>
            <w:shd w:val="clear" w:color="auto" w:fill="104F99" w:themeFill="accent2"/>
            <w:vAlign w:val="center"/>
          </w:tcPr>
          <w:p w14:paraId="12C7C218" w14:textId="77777777" w:rsidR="00DD35A9" w:rsidRPr="003A4201" w:rsidRDefault="00DD35A9">
            <w:pPr>
              <w:jc w:val="center"/>
              <w:rPr>
                <w:b/>
                <w:bCs/>
                <w:color w:val="FFFFFF" w:themeColor="background2"/>
                <w:sz w:val="16"/>
                <w:szCs w:val="16"/>
              </w:rPr>
            </w:pPr>
            <w:r w:rsidRPr="003A4201">
              <w:rPr>
                <w:b/>
                <w:bCs/>
                <w:color w:val="FFFFFF" w:themeColor="background2"/>
                <w:sz w:val="16"/>
                <w:szCs w:val="16"/>
              </w:rPr>
              <w:t>NSW</w:t>
            </w:r>
          </w:p>
        </w:tc>
        <w:tc>
          <w:tcPr>
            <w:tcW w:w="590" w:type="dxa"/>
            <w:shd w:val="clear" w:color="auto" w:fill="104F99" w:themeFill="accent2"/>
            <w:vAlign w:val="center"/>
          </w:tcPr>
          <w:p w14:paraId="146DD9C1" w14:textId="77777777" w:rsidR="00DD35A9" w:rsidRPr="003A4201" w:rsidRDefault="00DD35A9">
            <w:pPr>
              <w:jc w:val="center"/>
              <w:rPr>
                <w:b/>
                <w:bCs/>
                <w:color w:val="FFFFFF" w:themeColor="background2"/>
                <w:sz w:val="16"/>
                <w:szCs w:val="16"/>
              </w:rPr>
            </w:pPr>
            <w:r w:rsidRPr="003A4201">
              <w:rPr>
                <w:b/>
                <w:bCs/>
                <w:color w:val="FFFFFF" w:themeColor="background2"/>
                <w:sz w:val="16"/>
                <w:szCs w:val="16"/>
              </w:rPr>
              <w:t>V</w:t>
            </w:r>
            <w:r>
              <w:rPr>
                <w:b/>
                <w:bCs/>
                <w:color w:val="FFFFFF" w:themeColor="background2"/>
                <w:sz w:val="16"/>
                <w:szCs w:val="16"/>
              </w:rPr>
              <w:t>ic</w:t>
            </w:r>
          </w:p>
        </w:tc>
        <w:tc>
          <w:tcPr>
            <w:tcW w:w="591" w:type="dxa"/>
            <w:shd w:val="clear" w:color="auto" w:fill="104F99" w:themeFill="accent2"/>
            <w:vAlign w:val="center"/>
          </w:tcPr>
          <w:p w14:paraId="55477C15" w14:textId="77777777" w:rsidR="00DD35A9" w:rsidRPr="003A4201" w:rsidRDefault="00DD35A9">
            <w:pPr>
              <w:jc w:val="center"/>
              <w:rPr>
                <w:b/>
                <w:bCs/>
                <w:color w:val="FFFFFF" w:themeColor="background2"/>
                <w:sz w:val="16"/>
                <w:szCs w:val="16"/>
              </w:rPr>
            </w:pPr>
            <w:r w:rsidRPr="003A4201">
              <w:rPr>
                <w:b/>
                <w:bCs/>
                <w:color w:val="FFFFFF" w:themeColor="background2"/>
                <w:sz w:val="16"/>
                <w:szCs w:val="16"/>
              </w:rPr>
              <w:t>Q</w:t>
            </w:r>
            <w:r>
              <w:rPr>
                <w:b/>
                <w:bCs/>
                <w:color w:val="FFFFFF" w:themeColor="background2"/>
                <w:sz w:val="16"/>
                <w:szCs w:val="16"/>
              </w:rPr>
              <w:t>ld</w:t>
            </w:r>
          </w:p>
        </w:tc>
        <w:tc>
          <w:tcPr>
            <w:tcW w:w="590" w:type="dxa"/>
            <w:shd w:val="clear" w:color="auto" w:fill="104F99" w:themeFill="accent2"/>
            <w:vAlign w:val="center"/>
          </w:tcPr>
          <w:p w14:paraId="32700999" w14:textId="77777777" w:rsidR="00DD35A9" w:rsidRPr="003A4201" w:rsidRDefault="00DD35A9">
            <w:pPr>
              <w:jc w:val="center"/>
              <w:rPr>
                <w:b/>
                <w:bCs/>
                <w:color w:val="FFFFFF" w:themeColor="background2"/>
                <w:sz w:val="16"/>
                <w:szCs w:val="16"/>
              </w:rPr>
            </w:pPr>
            <w:r w:rsidRPr="003A4201">
              <w:rPr>
                <w:b/>
                <w:bCs/>
                <w:color w:val="FFFFFF" w:themeColor="background2"/>
                <w:sz w:val="16"/>
                <w:szCs w:val="16"/>
              </w:rPr>
              <w:t>SA</w:t>
            </w:r>
          </w:p>
        </w:tc>
        <w:tc>
          <w:tcPr>
            <w:tcW w:w="590" w:type="dxa"/>
            <w:shd w:val="clear" w:color="auto" w:fill="104F99" w:themeFill="accent2"/>
            <w:vAlign w:val="center"/>
          </w:tcPr>
          <w:p w14:paraId="0F2CEF81" w14:textId="77777777" w:rsidR="00DD35A9" w:rsidRPr="003A4201" w:rsidRDefault="00DD35A9">
            <w:pPr>
              <w:jc w:val="center"/>
              <w:rPr>
                <w:b/>
                <w:bCs/>
                <w:color w:val="FFFFFF" w:themeColor="background2"/>
                <w:sz w:val="16"/>
                <w:szCs w:val="16"/>
              </w:rPr>
            </w:pPr>
            <w:r w:rsidRPr="003A4201">
              <w:rPr>
                <w:b/>
                <w:bCs/>
                <w:color w:val="FFFFFF" w:themeColor="background2"/>
                <w:sz w:val="16"/>
                <w:szCs w:val="16"/>
              </w:rPr>
              <w:t>WA</w:t>
            </w:r>
          </w:p>
        </w:tc>
        <w:tc>
          <w:tcPr>
            <w:tcW w:w="591" w:type="dxa"/>
            <w:shd w:val="clear" w:color="auto" w:fill="104F99" w:themeFill="accent2"/>
            <w:vAlign w:val="center"/>
          </w:tcPr>
          <w:p w14:paraId="49ECCED3" w14:textId="77777777" w:rsidR="00DD35A9" w:rsidRPr="003A4201" w:rsidRDefault="00DD35A9">
            <w:pPr>
              <w:jc w:val="center"/>
              <w:rPr>
                <w:b/>
                <w:bCs/>
                <w:color w:val="FFFFFF" w:themeColor="background2"/>
                <w:sz w:val="16"/>
                <w:szCs w:val="16"/>
              </w:rPr>
            </w:pPr>
            <w:r w:rsidRPr="003A4201">
              <w:rPr>
                <w:b/>
                <w:bCs/>
                <w:color w:val="FFFFFF" w:themeColor="background2"/>
                <w:sz w:val="16"/>
                <w:szCs w:val="16"/>
              </w:rPr>
              <w:t>T</w:t>
            </w:r>
            <w:r>
              <w:rPr>
                <w:b/>
                <w:bCs/>
                <w:color w:val="FFFFFF" w:themeColor="background2"/>
                <w:sz w:val="16"/>
                <w:szCs w:val="16"/>
              </w:rPr>
              <w:t>as</w:t>
            </w:r>
          </w:p>
        </w:tc>
        <w:tc>
          <w:tcPr>
            <w:tcW w:w="590" w:type="dxa"/>
            <w:shd w:val="clear" w:color="auto" w:fill="104F99" w:themeFill="accent2"/>
            <w:vAlign w:val="center"/>
          </w:tcPr>
          <w:p w14:paraId="1CC75FE1" w14:textId="77777777" w:rsidR="00DD35A9" w:rsidRPr="003A4201" w:rsidRDefault="00DD35A9">
            <w:pPr>
              <w:jc w:val="center"/>
              <w:rPr>
                <w:b/>
                <w:bCs/>
                <w:color w:val="FFFFFF" w:themeColor="background2"/>
                <w:sz w:val="16"/>
                <w:szCs w:val="16"/>
              </w:rPr>
            </w:pPr>
            <w:r w:rsidRPr="003A4201">
              <w:rPr>
                <w:b/>
                <w:bCs/>
                <w:color w:val="FFFFFF" w:themeColor="background2"/>
                <w:sz w:val="16"/>
                <w:szCs w:val="16"/>
              </w:rPr>
              <w:t>NT</w:t>
            </w:r>
          </w:p>
        </w:tc>
        <w:tc>
          <w:tcPr>
            <w:tcW w:w="591" w:type="dxa"/>
            <w:shd w:val="clear" w:color="auto" w:fill="104F99" w:themeFill="accent2"/>
            <w:vAlign w:val="center"/>
          </w:tcPr>
          <w:p w14:paraId="27B5EB72" w14:textId="77777777" w:rsidR="00DD35A9" w:rsidRPr="003A4201" w:rsidRDefault="00DD35A9">
            <w:pPr>
              <w:jc w:val="center"/>
              <w:rPr>
                <w:b/>
                <w:bCs/>
                <w:color w:val="FFFFFF" w:themeColor="background2"/>
                <w:sz w:val="16"/>
                <w:szCs w:val="16"/>
              </w:rPr>
            </w:pPr>
            <w:r w:rsidRPr="003A4201">
              <w:rPr>
                <w:b/>
                <w:bCs/>
                <w:color w:val="FFFFFF" w:themeColor="background2"/>
                <w:sz w:val="16"/>
                <w:szCs w:val="16"/>
              </w:rPr>
              <w:t>ACT</w:t>
            </w:r>
          </w:p>
        </w:tc>
      </w:tr>
      <w:tr w:rsidR="00DD35A9" w14:paraId="3023432C" w14:textId="77777777">
        <w:trPr>
          <w:trHeight w:val="340"/>
        </w:trPr>
        <w:tc>
          <w:tcPr>
            <w:tcW w:w="9776" w:type="dxa"/>
            <w:gridSpan w:val="9"/>
            <w:shd w:val="clear" w:color="auto" w:fill="B2CFDC" w:themeFill="accent1" w:themeFillTint="40"/>
            <w:vAlign w:val="center"/>
          </w:tcPr>
          <w:p w14:paraId="3266E31B" w14:textId="77777777" w:rsidR="00DD35A9" w:rsidRPr="00092C30" w:rsidRDefault="00DD35A9">
            <w:pPr>
              <w:rPr>
                <w:sz w:val="20"/>
                <w:szCs w:val="20"/>
              </w:rPr>
            </w:pPr>
            <w:r w:rsidRPr="00092C30">
              <w:rPr>
                <w:b/>
                <w:bCs/>
                <w:sz w:val="20"/>
                <w:szCs w:val="20"/>
              </w:rPr>
              <w:t>Stage 1:</w:t>
            </w:r>
            <w:r w:rsidRPr="00092C30">
              <w:rPr>
                <w:sz w:val="20"/>
                <w:szCs w:val="20"/>
              </w:rPr>
              <w:t xml:space="preserve"> Identify Relevant Expenses</w:t>
            </w:r>
          </w:p>
        </w:tc>
      </w:tr>
      <w:tr w:rsidR="00DD35A9" w14:paraId="487686C8" w14:textId="77777777">
        <w:trPr>
          <w:trHeight w:val="340"/>
        </w:trPr>
        <w:tc>
          <w:tcPr>
            <w:tcW w:w="5053" w:type="dxa"/>
            <w:vAlign w:val="center"/>
          </w:tcPr>
          <w:p w14:paraId="53D4C9F2" w14:textId="77777777" w:rsidR="00DD35A9" w:rsidRPr="00092C30" w:rsidRDefault="00DD35A9">
            <w:pPr>
              <w:ind w:left="170"/>
              <w:rPr>
                <w:sz w:val="20"/>
                <w:szCs w:val="20"/>
              </w:rPr>
            </w:pPr>
            <w:r w:rsidRPr="00092C30">
              <w:rPr>
                <w:sz w:val="20"/>
                <w:szCs w:val="20"/>
              </w:rPr>
              <w:t>1.1 General</w:t>
            </w:r>
          </w:p>
        </w:tc>
        <w:tc>
          <w:tcPr>
            <w:tcW w:w="590" w:type="dxa"/>
            <w:vAlign w:val="center"/>
          </w:tcPr>
          <w:p w14:paraId="25543663"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2AB735E7" w14:textId="1ABA270C" w:rsidR="00DD35A9" w:rsidRPr="00092C30" w:rsidRDefault="006B2EE2">
            <w:pPr>
              <w:jc w:val="center"/>
              <w:rPr>
                <w:sz w:val="20"/>
                <w:szCs w:val="20"/>
              </w:rPr>
            </w:pPr>
            <w:r>
              <w:rPr>
                <w:rFonts w:ascii="Wingdings" w:hAnsi="Wingdings" w:cs="Wingdings"/>
                <w:color w:val="auto"/>
                <w:sz w:val="26"/>
                <w:szCs w:val="26"/>
              </w:rPr>
              <w:t>l</w:t>
            </w:r>
          </w:p>
        </w:tc>
        <w:tc>
          <w:tcPr>
            <w:tcW w:w="591" w:type="dxa"/>
            <w:vAlign w:val="center"/>
          </w:tcPr>
          <w:p w14:paraId="519BB2C3" w14:textId="40E00081"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5D25C67E" w14:textId="2F9DCD38"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0D3CBFF2"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6E9C572A"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7EC8E58F"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shd w:val="clear" w:color="auto" w:fill="D9D9D9" w:themeFill="background2" w:themeFillShade="D9"/>
            <w:vAlign w:val="center"/>
          </w:tcPr>
          <w:p w14:paraId="7C1B902A" w14:textId="77777777" w:rsidR="00DD35A9" w:rsidRPr="00092C30" w:rsidRDefault="00DD35A9">
            <w:pPr>
              <w:jc w:val="center"/>
              <w:rPr>
                <w:sz w:val="20"/>
                <w:szCs w:val="20"/>
              </w:rPr>
            </w:pPr>
          </w:p>
        </w:tc>
      </w:tr>
      <w:tr w:rsidR="00DD35A9" w14:paraId="3575C794" w14:textId="77777777">
        <w:trPr>
          <w:trHeight w:val="340"/>
        </w:trPr>
        <w:tc>
          <w:tcPr>
            <w:tcW w:w="5053" w:type="dxa"/>
            <w:vAlign w:val="center"/>
          </w:tcPr>
          <w:p w14:paraId="061D7350" w14:textId="77777777" w:rsidR="00DD35A9" w:rsidRPr="00092C30" w:rsidRDefault="00DD35A9">
            <w:pPr>
              <w:ind w:left="170"/>
              <w:rPr>
                <w:sz w:val="20"/>
                <w:szCs w:val="20"/>
              </w:rPr>
            </w:pPr>
            <w:r w:rsidRPr="00092C30">
              <w:rPr>
                <w:sz w:val="20"/>
                <w:szCs w:val="20"/>
              </w:rPr>
              <w:t>1.2 Third-Party Expenses</w:t>
            </w:r>
          </w:p>
        </w:tc>
        <w:tc>
          <w:tcPr>
            <w:tcW w:w="590" w:type="dxa"/>
            <w:vAlign w:val="center"/>
          </w:tcPr>
          <w:p w14:paraId="32DD7092" w14:textId="77777777" w:rsidR="00DD35A9" w:rsidRPr="00092C30" w:rsidRDefault="00DD35A9">
            <w:pPr>
              <w:jc w:val="center"/>
              <w:rPr>
                <w:sz w:val="20"/>
                <w:szCs w:val="20"/>
              </w:rPr>
            </w:pPr>
            <w:r>
              <w:rPr>
                <w:rFonts w:ascii="Wingdings" w:hAnsi="Wingdings" w:cs="Wingdings"/>
                <w:color w:val="auto"/>
                <w:sz w:val="26"/>
                <w:szCs w:val="26"/>
              </w:rPr>
              <w:t>l</w:t>
            </w:r>
          </w:p>
        </w:tc>
        <w:tc>
          <w:tcPr>
            <w:tcW w:w="590" w:type="dxa"/>
            <w:vAlign w:val="center"/>
          </w:tcPr>
          <w:p w14:paraId="743466D4" w14:textId="43746528"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1959D265"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25E93E71" w14:textId="157C1999" w:rsidR="00DD35A9" w:rsidRPr="00092C30" w:rsidRDefault="001C1076">
            <w:pPr>
              <w:jc w:val="center"/>
              <w:rPr>
                <w:sz w:val="20"/>
                <w:szCs w:val="20"/>
              </w:rPr>
            </w:pPr>
            <w:r>
              <w:rPr>
                <w:rFonts w:ascii="Wingdings" w:hAnsi="Wingdings" w:cs="Wingdings"/>
                <w:color w:val="auto"/>
                <w:sz w:val="26"/>
                <w:szCs w:val="26"/>
              </w:rPr>
              <w:t>l</w:t>
            </w:r>
          </w:p>
        </w:tc>
        <w:tc>
          <w:tcPr>
            <w:tcW w:w="590" w:type="dxa"/>
            <w:vAlign w:val="center"/>
          </w:tcPr>
          <w:p w14:paraId="000D2F0D"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14D2A977" w14:textId="77777777" w:rsidR="00DD35A9" w:rsidRPr="00092C30" w:rsidRDefault="00DD35A9">
            <w:pPr>
              <w:jc w:val="center"/>
              <w:rPr>
                <w:sz w:val="20"/>
                <w:szCs w:val="20"/>
              </w:rPr>
            </w:pPr>
            <w:r>
              <w:rPr>
                <w:rFonts w:ascii="Wingdings" w:hAnsi="Wingdings" w:cs="Wingdings"/>
                <w:color w:val="auto"/>
                <w:sz w:val="26"/>
                <w:szCs w:val="26"/>
              </w:rPr>
              <w:t>l</w:t>
            </w:r>
          </w:p>
        </w:tc>
        <w:tc>
          <w:tcPr>
            <w:tcW w:w="590" w:type="dxa"/>
            <w:vAlign w:val="center"/>
          </w:tcPr>
          <w:p w14:paraId="70BC065B" w14:textId="77777777" w:rsidR="00DD35A9" w:rsidRPr="00092C30" w:rsidRDefault="00DD35A9">
            <w:pPr>
              <w:jc w:val="center"/>
              <w:rPr>
                <w:sz w:val="20"/>
                <w:szCs w:val="20"/>
              </w:rPr>
            </w:pPr>
            <w:r>
              <w:rPr>
                <w:rFonts w:ascii="Wingdings" w:hAnsi="Wingdings" w:cs="Wingdings"/>
                <w:color w:val="auto"/>
                <w:sz w:val="26"/>
                <w:szCs w:val="26"/>
              </w:rPr>
              <w:t>l</w:t>
            </w:r>
          </w:p>
        </w:tc>
        <w:tc>
          <w:tcPr>
            <w:tcW w:w="591" w:type="dxa"/>
            <w:shd w:val="clear" w:color="auto" w:fill="D9D9D9" w:themeFill="background2" w:themeFillShade="D9"/>
            <w:vAlign w:val="center"/>
          </w:tcPr>
          <w:p w14:paraId="784CCD88" w14:textId="77777777" w:rsidR="00DD35A9" w:rsidRPr="00092C30" w:rsidRDefault="00DD35A9">
            <w:pPr>
              <w:jc w:val="center"/>
              <w:rPr>
                <w:sz w:val="20"/>
                <w:szCs w:val="20"/>
              </w:rPr>
            </w:pPr>
          </w:p>
        </w:tc>
      </w:tr>
      <w:tr w:rsidR="00DD35A9" w14:paraId="2E74C916" w14:textId="77777777">
        <w:trPr>
          <w:trHeight w:val="340"/>
        </w:trPr>
        <w:tc>
          <w:tcPr>
            <w:tcW w:w="5053" w:type="dxa"/>
            <w:vAlign w:val="center"/>
          </w:tcPr>
          <w:p w14:paraId="02764546" w14:textId="77777777" w:rsidR="00DD35A9" w:rsidRPr="00092C30" w:rsidRDefault="00DD35A9">
            <w:pPr>
              <w:ind w:left="170"/>
              <w:rPr>
                <w:sz w:val="20"/>
                <w:szCs w:val="20"/>
              </w:rPr>
            </w:pPr>
            <w:r w:rsidRPr="00092C30">
              <w:rPr>
                <w:sz w:val="20"/>
                <w:szCs w:val="20"/>
              </w:rPr>
              <w:t>1.3 Offsets and Recoveries</w:t>
            </w:r>
          </w:p>
        </w:tc>
        <w:tc>
          <w:tcPr>
            <w:tcW w:w="590" w:type="dxa"/>
            <w:vAlign w:val="center"/>
          </w:tcPr>
          <w:p w14:paraId="0E4C2D01"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1B67370A"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61B74389"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4EA6D4DB"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7140B996"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5B1C9C23"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739ED33D"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shd w:val="clear" w:color="auto" w:fill="D9D9D9" w:themeFill="background2" w:themeFillShade="D9"/>
            <w:vAlign w:val="center"/>
          </w:tcPr>
          <w:p w14:paraId="2F1AB3E9" w14:textId="77777777" w:rsidR="00DD35A9" w:rsidRPr="00092C30" w:rsidRDefault="00DD35A9">
            <w:pPr>
              <w:jc w:val="center"/>
              <w:rPr>
                <w:sz w:val="20"/>
                <w:szCs w:val="20"/>
              </w:rPr>
            </w:pPr>
          </w:p>
        </w:tc>
      </w:tr>
      <w:tr w:rsidR="00DD35A9" w14:paraId="7E79A0BA" w14:textId="77777777">
        <w:trPr>
          <w:trHeight w:val="340"/>
        </w:trPr>
        <w:tc>
          <w:tcPr>
            <w:tcW w:w="9776" w:type="dxa"/>
            <w:gridSpan w:val="9"/>
            <w:shd w:val="clear" w:color="auto" w:fill="B2CFDC" w:themeFill="accent1" w:themeFillTint="40"/>
            <w:vAlign w:val="center"/>
          </w:tcPr>
          <w:p w14:paraId="515329DB" w14:textId="77777777" w:rsidR="00DD35A9" w:rsidRPr="00092C30" w:rsidRDefault="00DD35A9">
            <w:pPr>
              <w:rPr>
                <w:sz w:val="20"/>
                <w:szCs w:val="20"/>
              </w:rPr>
            </w:pPr>
            <w:r w:rsidRPr="005E724C">
              <w:rPr>
                <w:b/>
                <w:bCs/>
                <w:sz w:val="20"/>
                <w:szCs w:val="20"/>
              </w:rPr>
              <w:t>Stage 2</w:t>
            </w:r>
            <w:r w:rsidRPr="003A4201">
              <w:rPr>
                <w:b/>
                <w:bCs/>
                <w:sz w:val="20"/>
                <w:szCs w:val="20"/>
              </w:rPr>
              <w:t>:</w:t>
            </w:r>
            <w:r w:rsidRPr="003A4201">
              <w:rPr>
                <w:sz w:val="20"/>
                <w:szCs w:val="20"/>
              </w:rPr>
              <w:t xml:space="preserve"> Create the Cost Ledger</w:t>
            </w:r>
          </w:p>
        </w:tc>
      </w:tr>
      <w:tr w:rsidR="00DD35A9" w14:paraId="2C267237" w14:textId="77777777">
        <w:trPr>
          <w:trHeight w:val="340"/>
        </w:trPr>
        <w:tc>
          <w:tcPr>
            <w:tcW w:w="5053" w:type="dxa"/>
            <w:vAlign w:val="center"/>
          </w:tcPr>
          <w:p w14:paraId="1B180E89" w14:textId="77777777" w:rsidR="00DD35A9" w:rsidRPr="00092C30" w:rsidRDefault="00DD35A9">
            <w:pPr>
              <w:ind w:left="170"/>
              <w:rPr>
                <w:sz w:val="20"/>
                <w:szCs w:val="20"/>
              </w:rPr>
            </w:pPr>
            <w:r w:rsidRPr="00092C30">
              <w:rPr>
                <w:sz w:val="20"/>
                <w:szCs w:val="20"/>
              </w:rPr>
              <w:t>2.1 Cost Ledger Framework</w:t>
            </w:r>
          </w:p>
        </w:tc>
        <w:tc>
          <w:tcPr>
            <w:tcW w:w="590" w:type="dxa"/>
            <w:vAlign w:val="center"/>
          </w:tcPr>
          <w:p w14:paraId="04F26721"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626B09CB"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3F63A26A"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6C5A8509"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67AEA3E0"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31D1C116"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56E9345E"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shd w:val="clear" w:color="auto" w:fill="D9D9D9" w:themeFill="background2" w:themeFillShade="D9"/>
            <w:vAlign w:val="center"/>
          </w:tcPr>
          <w:p w14:paraId="4B8AF003" w14:textId="77777777" w:rsidR="00DD35A9" w:rsidRPr="00092C30" w:rsidRDefault="00DD35A9">
            <w:pPr>
              <w:jc w:val="center"/>
              <w:rPr>
                <w:sz w:val="20"/>
                <w:szCs w:val="20"/>
              </w:rPr>
            </w:pPr>
          </w:p>
        </w:tc>
      </w:tr>
      <w:tr w:rsidR="00DD35A9" w14:paraId="6AA3C60A" w14:textId="77777777">
        <w:trPr>
          <w:trHeight w:val="340"/>
        </w:trPr>
        <w:tc>
          <w:tcPr>
            <w:tcW w:w="5053" w:type="dxa"/>
            <w:vAlign w:val="center"/>
          </w:tcPr>
          <w:p w14:paraId="59F87AA0" w14:textId="77777777" w:rsidR="00DD35A9" w:rsidRPr="00092C30" w:rsidRDefault="00DD35A9">
            <w:pPr>
              <w:ind w:left="170"/>
              <w:rPr>
                <w:sz w:val="20"/>
                <w:szCs w:val="20"/>
              </w:rPr>
            </w:pPr>
            <w:r w:rsidRPr="00092C30">
              <w:rPr>
                <w:sz w:val="20"/>
                <w:szCs w:val="20"/>
              </w:rPr>
              <w:t>2.2 Matching Cost Objects and Expenses</w:t>
            </w:r>
          </w:p>
        </w:tc>
        <w:tc>
          <w:tcPr>
            <w:tcW w:w="590" w:type="dxa"/>
            <w:vAlign w:val="center"/>
          </w:tcPr>
          <w:p w14:paraId="2C853361" w14:textId="71ECA895" w:rsidR="00DD35A9" w:rsidRPr="00092C30" w:rsidRDefault="00C565EF">
            <w:pPr>
              <w:jc w:val="center"/>
              <w:rPr>
                <w:sz w:val="20"/>
                <w:szCs w:val="20"/>
              </w:rPr>
            </w:pPr>
            <w:r w:rsidRPr="00647BFA">
              <w:rPr>
                <w:rFonts w:ascii="Wingdings" w:hAnsi="Wingdings" w:cs="Wingdings"/>
                <w:color w:val="auto"/>
                <w:sz w:val="20"/>
                <w:szCs w:val="20"/>
              </w:rPr>
              <w:t>ü</w:t>
            </w:r>
          </w:p>
        </w:tc>
        <w:tc>
          <w:tcPr>
            <w:tcW w:w="590" w:type="dxa"/>
            <w:vAlign w:val="center"/>
          </w:tcPr>
          <w:p w14:paraId="0D10CF42" w14:textId="54EEC81D" w:rsidR="00DD35A9" w:rsidRPr="00092C30" w:rsidRDefault="00160466">
            <w:pPr>
              <w:jc w:val="center"/>
              <w:rPr>
                <w:sz w:val="20"/>
                <w:szCs w:val="20"/>
              </w:rPr>
            </w:pPr>
            <w:r w:rsidRPr="00647BFA">
              <w:rPr>
                <w:rFonts w:ascii="Wingdings" w:hAnsi="Wingdings" w:cs="Wingdings"/>
                <w:color w:val="auto"/>
                <w:sz w:val="20"/>
                <w:szCs w:val="20"/>
              </w:rPr>
              <w:t>ü</w:t>
            </w:r>
          </w:p>
        </w:tc>
        <w:tc>
          <w:tcPr>
            <w:tcW w:w="591" w:type="dxa"/>
            <w:vAlign w:val="center"/>
          </w:tcPr>
          <w:p w14:paraId="58EBC13C"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676105B8"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10254567"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00E446EE"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5081C904"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shd w:val="clear" w:color="auto" w:fill="D9D9D9" w:themeFill="background2" w:themeFillShade="D9"/>
            <w:vAlign w:val="center"/>
          </w:tcPr>
          <w:p w14:paraId="1E096CE8" w14:textId="77777777" w:rsidR="00DD35A9" w:rsidRPr="00092C30" w:rsidRDefault="00DD35A9">
            <w:pPr>
              <w:jc w:val="center"/>
              <w:rPr>
                <w:sz w:val="20"/>
                <w:szCs w:val="20"/>
              </w:rPr>
            </w:pPr>
          </w:p>
        </w:tc>
      </w:tr>
      <w:tr w:rsidR="00DD35A9" w14:paraId="6EEDD783" w14:textId="77777777">
        <w:trPr>
          <w:trHeight w:val="340"/>
        </w:trPr>
        <w:tc>
          <w:tcPr>
            <w:tcW w:w="9776" w:type="dxa"/>
            <w:gridSpan w:val="9"/>
            <w:shd w:val="clear" w:color="auto" w:fill="B2CFDC" w:themeFill="accent1" w:themeFillTint="40"/>
            <w:vAlign w:val="center"/>
          </w:tcPr>
          <w:p w14:paraId="27F14B98" w14:textId="77777777" w:rsidR="00DD35A9" w:rsidRPr="00092C30" w:rsidRDefault="00DD35A9">
            <w:pPr>
              <w:rPr>
                <w:sz w:val="20"/>
                <w:szCs w:val="20"/>
              </w:rPr>
            </w:pPr>
            <w:r w:rsidRPr="00092C30">
              <w:rPr>
                <w:b/>
                <w:bCs/>
                <w:sz w:val="20"/>
                <w:szCs w:val="20"/>
              </w:rPr>
              <w:t>Stage 3:</w:t>
            </w:r>
            <w:r w:rsidRPr="00092C30">
              <w:rPr>
                <w:sz w:val="20"/>
                <w:szCs w:val="20"/>
              </w:rPr>
              <w:t xml:space="preserve"> Create Final Cost </w:t>
            </w:r>
            <w:r w:rsidRPr="00FB1C09">
              <w:rPr>
                <w:sz w:val="20"/>
                <w:szCs w:val="20"/>
              </w:rPr>
              <w:t>Centres</w:t>
            </w:r>
          </w:p>
        </w:tc>
      </w:tr>
      <w:tr w:rsidR="00DD35A9" w14:paraId="74ECCB49" w14:textId="77777777">
        <w:trPr>
          <w:trHeight w:val="340"/>
        </w:trPr>
        <w:tc>
          <w:tcPr>
            <w:tcW w:w="5053" w:type="dxa"/>
            <w:vAlign w:val="center"/>
          </w:tcPr>
          <w:p w14:paraId="3571BFDD" w14:textId="77777777" w:rsidR="00DD35A9" w:rsidRPr="00092C30" w:rsidRDefault="00DD35A9">
            <w:pPr>
              <w:ind w:left="170"/>
              <w:rPr>
                <w:sz w:val="20"/>
                <w:szCs w:val="20"/>
              </w:rPr>
            </w:pPr>
            <w:r w:rsidRPr="00092C30">
              <w:rPr>
                <w:sz w:val="20"/>
                <w:szCs w:val="20"/>
              </w:rPr>
              <w:t>3.1 Allocation of Expenses in Production Cost Centres</w:t>
            </w:r>
          </w:p>
        </w:tc>
        <w:tc>
          <w:tcPr>
            <w:tcW w:w="590" w:type="dxa"/>
            <w:vAlign w:val="center"/>
          </w:tcPr>
          <w:p w14:paraId="67DA641D"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403F9CC7"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636E5BE0"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1BC79B8F"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53A7881A"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5D1D2E67"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438A00E8"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shd w:val="clear" w:color="auto" w:fill="D9D9D9" w:themeFill="background2" w:themeFillShade="D9"/>
            <w:vAlign w:val="center"/>
          </w:tcPr>
          <w:p w14:paraId="205195CE" w14:textId="77777777" w:rsidR="00DD35A9" w:rsidRPr="00092C30" w:rsidRDefault="00DD35A9">
            <w:pPr>
              <w:jc w:val="center"/>
              <w:rPr>
                <w:sz w:val="20"/>
                <w:szCs w:val="20"/>
              </w:rPr>
            </w:pPr>
          </w:p>
        </w:tc>
      </w:tr>
      <w:tr w:rsidR="00DD35A9" w14:paraId="5856D435" w14:textId="77777777">
        <w:trPr>
          <w:trHeight w:val="340"/>
        </w:trPr>
        <w:tc>
          <w:tcPr>
            <w:tcW w:w="5053" w:type="dxa"/>
            <w:vAlign w:val="center"/>
          </w:tcPr>
          <w:p w14:paraId="3B3FAC5A" w14:textId="77777777" w:rsidR="00DD35A9" w:rsidRPr="00092C30" w:rsidRDefault="00DD35A9">
            <w:pPr>
              <w:ind w:left="170"/>
              <w:rPr>
                <w:sz w:val="20"/>
                <w:szCs w:val="20"/>
              </w:rPr>
            </w:pPr>
            <w:r w:rsidRPr="00092C30">
              <w:rPr>
                <w:sz w:val="20"/>
                <w:szCs w:val="20"/>
              </w:rPr>
              <w:t>3.2 Allocation of Expenses in Overhead Cost Centres</w:t>
            </w:r>
          </w:p>
        </w:tc>
        <w:tc>
          <w:tcPr>
            <w:tcW w:w="590" w:type="dxa"/>
            <w:vAlign w:val="center"/>
          </w:tcPr>
          <w:p w14:paraId="14C3C3DA" w14:textId="3733A6BB" w:rsidR="00DD35A9" w:rsidRPr="00092C30" w:rsidRDefault="00C565EF">
            <w:pPr>
              <w:jc w:val="center"/>
              <w:rPr>
                <w:sz w:val="20"/>
                <w:szCs w:val="20"/>
              </w:rPr>
            </w:pPr>
            <w:r w:rsidRPr="00647BFA">
              <w:rPr>
                <w:rFonts w:ascii="Wingdings" w:hAnsi="Wingdings" w:cs="Wingdings"/>
                <w:color w:val="auto"/>
                <w:sz w:val="20"/>
                <w:szCs w:val="20"/>
              </w:rPr>
              <w:t>ü</w:t>
            </w:r>
          </w:p>
        </w:tc>
        <w:tc>
          <w:tcPr>
            <w:tcW w:w="590" w:type="dxa"/>
            <w:vAlign w:val="center"/>
          </w:tcPr>
          <w:p w14:paraId="353D3CCA"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0951ECE0"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26F8F889"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38636B39"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5915402C"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1F4BC95A"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shd w:val="clear" w:color="auto" w:fill="D9D9D9" w:themeFill="background2" w:themeFillShade="D9"/>
            <w:vAlign w:val="center"/>
          </w:tcPr>
          <w:p w14:paraId="397854B7" w14:textId="77777777" w:rsidR="00DD35A9" w:rsidRPr="00092C30" w:rsidRDefault="00DD35A9">
            <w:pPr>
              <w:jc w:val="center"/>
              <w:rPr>
                <w:sz w:val="20"/>
                <w:szCs w:val="20"/>
              </w:rPr>
            </w:pPr>
          </w:p>
        </w:tc>
      </w:tr>
      <w:tr w:rsidR="00DD35A9" w14:paraId="2ED48AD3" w14:textId="77777777">
        <w:trPr>
          <w:trHeight w:val="340"/>
        </w:trPr>
        <w:tc>
          <w:tcPr>
            <w:tcW w:w="9776" w:type="dxa"/>
            <w:gridSpan w:val="9"/>
            <w:shd w:val="clear" w:color="auto" w:fill="B2CFDC" w:themeFill="accent1" w:themeFillTint="40"/>
            <w:vAlign w:val="center"/>
          </w:tcPr>
          <w:p w14:paraId="1617EC65" w14:textId="77777777" w:rsidR="00DD35A9" w:rsidRPr="00092C30" w:rsidRDefault="00DD35A9">
            <w:pPr>
              <w:rPr>
                <w:sz w:val="20"/>
                <w:szCs w:val="20"/>
              </w:rPr>
            </w:pPr>
            <w:r w:rsidRPr="00092C30">
              <w:rPr>
                <w:b/>
                <w:bCs/>
                <w:sz w:val="20"/>
                <w:szCs w:val="20"/>
              </w:rPr>
              <w:t>Stage 4:</w:t>
            </w:r>
            <w:r w:rsidRPr="00092C30">
              <w:rPr>
                <w:sz w:val="20"/>
                <w:szCs w:val="20"/>
              </w:rPr>
              <w:t xml:space="preserve"> Identify Products</w:t>
            </w:r>
          </w:p>
        </w:tc>
      </w:tr>
      <w:tr w:rsidR="00DD35A9" w14:paraId="5D71FCDF" w14:textId="77777777">
        <w:trPr>
          <w:trHeight w:val="340"/>
        </w:trPr>
        <w:tc>
          <w:tcPr>
            <w:tcW w:w="5053" w:type="dxa"/>
            <w:vAlign w:val="center"/>
          </w:tcPr>
          <w:p w14:paraId="2ADE99F8" w14:textId="77777777" w:rsidR="00DD35A9" w:rsidRPr="00092C30" w:rsidRDefault="00DD35A9">
            <w:pPr>
              <w:ind w:left="170"/>
              <w:rPr>
                <w:sz w:val="20"/>
                <w:szCs w:val="20"/>
              </w:rPr>
            </w:pPr>
            <w:r w:rsidRPr="00092C30">
              <w:rPr>
                <w:sz w:val="20"/>
                <w:szCs w:val="20"/>
              </w:rPr>
              <w:t>4.1 Product Types</w:t>
            </w:r>
          </w:p>
        </w:tc>
        <w:tc>
          <w:tcPr>
            <w:tcW w:w="590" w:type="dxa"/>
            <w:vAlign w:val="center"/>
          </w:tcPr>
          <w:p w14:paraId="38C5865A"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0CBFFA93"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3BFC7EA4"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60933DFB"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0BBDAF50"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06FB3D79"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6F720147"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shd w:val="clear" w:color="auto" w:fill="D9D9D9" w:themeFill="background2" w:themeFillShade="D9"/>
            <w:vAlign w:val="center"/>
          </w:tcPr>
          <w:p w14:paraId="03A7F516" w14:textId="77777777" w:rsidR="00DD35A9" w:rsidRPr="00092C30" w:rsidRDefault="00DD35A9">
            <w:pPr>
              <w:jc w:val="center"/>
              <w:rPr>
                <w:sz w:val="20"/>
                <w:szCs w:val="20"/>
              </w:rPr>
            </w:pPr>
          </w:p>
        </w:tc>
      </w:tr>
      <w:tr w:rsidR="00DD35A9" w14:paraId="678660AE" w14:textId="77777777">
        <w:trPr>
          <w:trHeight w:val="340"/>
        </w:trPr>
        <w:tc>
          <w:tcPr>
            <w:tcW w:w="5053" w:type="dxa"/>
            <w:vAlign w:val="center"/>
          </w:tcPr>
          <w:p w14:paraId="78FED378" w14:textId="77777777" w:rsidR="00DD35A9" w:rsidRPr="00092C30" w:rsidRDefault="00DD35A9">
            <w:pPr>
              <w:ind w:left="170"/>
              <w:rPr>
                <w:sz w:val="20"/>
                <w:szCs w:val="20"/>
              </w:rPr>
            </w:pPr>
            <w:r w:rsidRPr="00092C30">
              <w:rPr>
                <w:sz w:val="20"/>
                <w:szCs w:val="20"/>
              </w:rPr>
              <w:t>4.2 Information Requirements</w:t>
            </w:r>
          </w:p>
        </w:tc>
        <w:tc>
          <w:tcPr>
            <w:tcW w:w="590" w:type="dxa"/>
            <w:vAlign w:val="center"/>
          </w:tcPr>
          <w:p w14:paraId="6303A857"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1E5DF44A"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157176D4"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3CE8627B"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3A16DCC1" w14:textId="77777777" w:rsidR="00DD35A9" w:rsidRPr="00092C30" w:rsidRDefault="00DD35A9">
            <w:pPr>
              <w:jc w:val="center"/>
              <w:rPr>
                <w:sz w:val="20"/>
                <w:szCs w:val="20"/>
              </w:rPr>
            </w:pPr>
            <w:r>
              <w:rPr>
                <w:rFonts w:ascii="Wingdings" w:hAnsi="Wingdings" w:cs="Wingdings"/>
                <w:color w:val="auto"/>
                <w:sz w:val="26"/>
                <w:szCs w:val="26"/>
              </w:rPr>
              <w:t>l</w:t>
            </w:r>
          </w:p>
        </w:tc>
        <w:tc>
          <w:tcPr>
            <w:tcW w:w="591" w:type="dxa"/>
            <w:vAlign w:val="center"/>
          </w:tcPr>
          <w:p w14:paraId="1A1FAA50"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4BD57C81" w14:textId="77777777" w:rsidR="00DD35A9" w:rsidRPr="00092C30" w:rsidRDefault="00DD35A9">
            <w:pPr>
              <w:jc w:val="center"/>
              <w:rPr>
                <w:sz w:val="20"/>
                <w:szCs w:val="20"/>
              </w:rPr>
            </w:pPr>
            <w:r>
              <w:rPr>
                <w:rFonts w:ascii="Wingdings" w:hAnsi="Wingdings" w:cs="Wingdings"/>
                <w:color w:val="auto"/>
                <w:sz w:val="26"/>
                <w:szCs w:val="26"/>
              </w:rPr>
              <w:t>l</w:t>
            </w:r>
          </w:p>
        </w:tc>
        <w:tc>
          <w:tcPr>
            <w:tcW w:w="591" w:type="dxa"/>
            <w:shd w:val="clear" w:color="auto" w:fill="D9D9D9" w:themeFill="background2" w:themeFillShade="D9"/>
            <w:vAlign w:val="center"/>
          </w:tcPr>
          <w:p w14:paraId="5816389A" w14:textId="77777777" w:rsidR="00DD35A9" w:rsidRPr="00092C30" w:rsidRDefault="00DD35A9">
            <w:pPr>
              <w:jc w:val="center"/>
              <w:rPr>
                <w:sz w:val="20"/>
                <w:szCs w:val="20"/>
              </w:rPr>
            </w:pPr>
          </w:p>
        </w:tc>
      </w:tr>
      <w:tr w:rsidR="00DD35A9" w14:paraId="627C3B70" w14:textId="77777777">
        <w:trPr>
          <w:trHeight w:val="340"/>
        </w:trPr>
        <w:tc>
          <w:tcPr>
            <w:tcW w:w="9776" w:type="dxa"/>
            <w:gridSpan w:val="9"/>
            <w:shd w:val="clear" w:color="auto" w:fill="B2CFDC" w:themeFill="accent1" w:themeFillTint="40"/>
            <w:vAlign w:val="center"/>
          </w:tcPr>
          <w:p w14:paraId="2937F344" w14:textId="77777777" w:rsidR="00DD35A9" w:rsidRPr="00092C30" w:rsidRDefault="00DD35A9">
            <w:pPr>
              <w:rPr>
                <w:sz w:val="20"/>
                <w:szCs w:val="20"/>
              </w:rPr>
            </w:pPr>
            <w:r w:rsidRPr="00092C30">
              <w:rPr>
                <w:b/>
                <w:bCs/>
                <w:sz w:val="20"/>
                <w:szCs w:val="20"/>
              </w:rPr>
              <w:t>Stage 5:</w:t>
            </w:r>
            <w:r w:rsidRPr="00092C30">
              <w:rPr>
                <w:sz w:val="20"/>
                <w:szCs w:val="20"/>
              </w:rPr>
              <w:t xml:space="preserve"> Assign Expenses to Products</w:t>
            </w:r>
          </w:p>
        </w:tc>
      </w:tr>
      <w:tr w:rsidR="00DD35A9" w14:paraId="5978DD31" w14:textId="77777777">
        <w:trPr>
          <w:trHeight w:val="340"/>
        </w:trPr>
        <w:tc>
          <w:tcPr>
            <w:tcW w:w="5053" w:type="dxa"/>
            <w:vAlign w:val="center"/>
          </w:tcPr>
          <w:p w14:paraId="53011951" w14:textId="77777777" w:rsidR="00DD35A9" w:rsidRPr="00092C30" w:rsidRDefault="00DD35A9">
            <w:pPr>
              <w:ind w:left="170"/>
              <w:rPr>
                <w:sz w:val="20"/>
                <w:szCs w:val="20"/>
              </w:rPr>
            </w:pPr>
            <w:r w:rsidRPr="00092C30">
              <w:rPr>
                <w:sz w:val="20"/>
                <w:szCs w:val="20"/>
              </w:rPr>
              <w:t>5.1 Final Products</w:t>
            </w:r>
          </w:p>
        </w:tc>
        <w:tc>
          <w:tcPr>
            <w:tcW w:w="590" w:type="dxa"/>
            <w:vAlign w:val="center"/>
          </w:tcPr>
          <w:p w14:paraId="6C352C43"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4EEFFF80"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6829A066"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1FFB4D29"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06CBEB26"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5808CEB2"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64EE5DDA"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shd w:val="clear" w:color="auto" w:fill="D9D9D9" w:themeFill="background2" w:themeFillShade="D9"/>
            <w:vAlign w:val="center"/>
          </w:tcPr>
          <w:p w14:paraId="27935036" w14:textId="77777777" w:rsidR="00DD35A9" w:rsidRPr="00092C30" w:rsidRDefault="00DD35A9">
            <w:pPr>
              <w:jc w:val="center"/>
              <w:rPr>
                <w:sz w:val="20"/>
                <w:szCs w:val="20"/>
              </w:rPr>
            </w:pPr>
          </w:p>
        </w:tc>
      </w:tr>
      <w:tr w:rsidR="00DD35A9" w14:paraId="4F0AABDA" w14:textId="77777777">
        <w:trPr>
          <w:trHeight w:val="340"/>
        </w:trPr>
        <w:tc>
          <w:tcPr>
            <w:tcW w:w="5053" w:type="dxa"/>
            <w:vAlign w:val="center"/>
          </w:tcPr>
          <w:p w14:paraId="0CCA75C6" w14:textId="77777777" w:rsidR="00DD35A9" w:rsidRPr="00092C30" w:rsidRDefault="00DD35A9">
            <w:pPr>
              <w:ind w:left="170"/>
              <w:rPr>
                <w:sz w:val="20"/>
                <w:szCs w:val="20"/>
              </w:rPr>
            </w:pPr>
            <w:r w:rsidRPr="00092C30">
              <w:rPr>
                <w:sz w:val="20"/>
                <w:szCs w:val="20"/>
              </w:rPr>
              <w:t>5.2 Intermediate Products</w:t>
            </w:r>
          </w:p>
        </w:tc>
        <w:tc>
          <w:tcPr>
            <w:tcW w:w="590" w:type="dxa"/>
            <w:vAlign w:val="center"/>
          </w:tcPr>
          <w:p w14:paraId="4E14DFA8"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11D508C0"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34BD63A0"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60A3BB9A"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0460F1EB"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162D7839"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6969F0DB"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shd w:val="clear" w:color="auto" w:fill="D9D9D9" w:themeFill="background2" w:themeFillShade="D9"/>
            <w:vAlign w:val="center"/>
          </w:tcPr>
          <w:p w14:paraId="2049ECB5" w14:textId="77777777" w:rsidR="00DD35A9" w:rsidRPr="00092C30" w:rsidRDefault="00DD35A9">
            <w:pPr>
              <w:jc w:val="center"/>
              <w:rPr>
                <w:sz w:val="20"/>
                <w:szCs w:val="20"/>
              </w:rPr>
            </w:pPr>
          </w:p>
        </w:tc>
      </w:tr>
      <w:tr w:rsidR="00DD35A9" w14:paraId="0493DB63" w14:textId="77777777">
        <w:trPr>
          <w:trHeight w:val="340"/>
        </w:trPr>
        <w:tc>
          <w:tcPr>
            <w:tcW w:w="5053" w:type="dxa"/>
            <w:vAlign w:val="center"/>
          </w:tcPr>
          <w:p w14:paraId="676FAAB3" w14:textId="77777777" w:rsidR="00DD35A9" w:rsidRPr="00092C30" w:rsidRDefault="00DD35A9">
            <w:pPr>
              <w:ind w:left="170"/>
              <w:rPr>
                <w:sz w:val="20"/>
                <w:szCs w:val="20"/>
              </w:rPr>
            </w:pPr>
            <w:r w:rsidRPr="00092C30">
              <w:rPr>
                <w:sz w:val="20"/>
                <w:szCs w:val="20"/>
              </w:rPr>
              <w:t>5.3 Work in Progress</w:t>
            </w:r>
          </w:p>
        </w:tc>
        <w:tc>
          <w:tcPr>
            <w:tcW w:w="590" w:type="dxa"/>
            <w:vAlign w:val="center"/>
          </w:tcPr>
          <w:p w14:paraId="41F4936E"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5EC8CD35"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587559D2"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2903B8E3"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0ED8B003"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29E52ADF"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57AA874D"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shd w:val="clear" w:color="auto" w:fill="D9D9D9" w:themeFill="background2" w:themeFillShade="D9"/>
            <w:vAlign w:val="center"/>
          </w:tcPr>
          <w:p w14:paraId="44156A17" w14:textId="77777777" w:rsidR="00DD35A9" w:rsidRPr="00092C30" w:rsidRDefault="00DD35A9">
            <w:pPr>
              <w:jc w:val="center"/>
              <w:rPr>
                <w:sz w:val="20"/>
                <w:szCs w:val="20"/>
              </w:rPr>
            </w:pPr>
          </w:p>
        </w:tc>
      </w:tr>
      <w:tr w:rsidR="00DD35A9" w:rsidRPr="00092C30" w14:paraId="2ED328E4" w14:textId="77777777">
        <w:trPr>
          <w:trHeight w:val="340"/>
        </w:trPr>
        <w:tc>
          <w:tcPr>
            <w:tcW w:w="9776" w:type="dxa"/>
            <w:gridSpan w:val="9"/>
            <w:shd w:val="clear" w:color="auto" w:fill="B2CFDC" w:themeFill="accent1" w:themeFillTint="40"/>
            <w:vAlign w:val="center"/>
          </w:tcPr>
          <w:p w14:paraId="37540F13" w14:textId="77777777" w:rsidR="00DD35A9" w:rsidRPr="00092C30" w:rsidRDefault="00DD35A9">
            <w:pPr>
              <w:rPr>
                <w:sz w:val="20"/>
                <w:szCs w:val="20"/>
              </w:rPr>
            </w:pPr>
            <w:r w:rsidRPr="00092C30">
              <w:rPr>
                <w:b/>
                <w:bCs/>
                <w:sz w:val="20"/>
                <w:szCs w:val="20"/>
              </w:rPr>
              <w:t xml:space="preserve">Stage </w:t>
            </w:r>
            <w:r>
              <w:rPr>
                <w:b/>
                <w:bCs/>
                <w:sz w:val="20"/>
                <w:szCs w:val="20"/>
              </w:rPr>
              <w:t>6</w:t>
            </w:r>
            <w:r w:rsidRPr="00092C30">
              <w:rPr>
                <w:b/>
                <w:bCs/>
                <w:sz w:val="20"/>
                <w:szCs w:val="20"/>
              </w:rPr>
              <w:t>:</w:t>
            </w:r>
            <w:r w:rsidRPr="00092C30">
              <w:rPr>
                <w:sz w:val="20"/>
                <w:szCs w:val="20"/>
              </w:rPr>
              <w:t xml:space="preserve"> </w:t>
            </w:r>
            <w:r>
              <w:rPr>
                <w:sz w:val="20"/>
                <w:szCs w:val="20"/>
              </w:rPr>
              <w:t xml:space="preserve">Review and </w:t>
            </w:r>
            <w:proofErr w:type="gramStart"/>
            <w:r>
              <w:rPr>
                <w:sz w:val="20"/>
                <w:szCs w:val="20"/>
              </w:rPr>
              <w:t>Reconcile</w:t>
            </w:r>
            <w:proofErr w:type="gramEnd"/>
          </w:p>
        </w:tc>
      </w:tr>
      <w:tr w:rsidR="00DD35A9" w14:paraId="5F04ECBC" w14:textId="77777777">
        <w:trPr>
          <w:trHeight w:val="340"/>
        </w:trPr>
        <w:tc>
          <w:tcPr>
            <w:tcW w:w="5053" w:type="dxa"/>
            <w:vAlign w:val="center"/>
          </w:tcPr>
          <w:p w14:paraId="75D47643" w14:textId="77777777" w:rsidR="00DD35A9" w:rsidRPr="00092C30" w:rsidRDefault="00DD35A9">
            <w:pPr>
              <w:ind w:left="170"/>
              <w:rPr>
                <w:sz w:val="20"/>
                <w:szCs w:val="20"/>
              </w:rPr>
            </w:pPr>
            <w:r w:rsidRPr="00092C30">
              <w:rPr>
                <w:sz w:val="20"/>
                <w:szCs w:val="20"/>
              </w:rPr>
              <w:t>6.1 Data Quality Framework</w:t>
            </w:r>
          </w:p>
        </w:tc>
        <w:tc>
          <w:tcPr>
            <w:tcW w:w="590" w:type="dxa"/>
            <w:vAlign w:val="center"/>
          </w:tcPr>
          <w:p w14:paraId="72C9D475" w14:textId="53901485" w:rsidR="00DD35A9" w:rsidRPr="00092C30" w:rsidRDefault="00C565EF">
            <w:pPr>
              <w:jc w:val="center"/>
              <w:rPr>
                <w:sz w:val="20"/>
                <w:szCs w:val="20"/>
              </w:rPr>
            </w:pPr>
            <w:r w:rsidRPr="00647BFA">
              <w:rPr>
                <w:rFonts w:ascii="Wingdings" w:hAnsi="Wingdings" w:cs="Wingdings"/>
                <w:color w:val="auto"/>
                <w:sz w:val="20"/>
                <w:szCs w:val="20"/>
              </w:rPr>
              <w:t>ü</w:t>
            </w:r>
          </w:p>
        </w:tc>
        <w:tc>
          <w:tcPr>
            <w:tcW w:w="590" w:type="dxa"/>
            <w:vAlign w:val="center"/>
          </w:tcPr>
          <w:p w14:paraId="43E890E7"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4C0BC642"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7AC1B1BB"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73CC5861"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01676E6A" w14:textId="77777777" w:rsidR="00DD35A9" w:rsidRPr="00092C30" w:rsidRDefault="00DD35A9">
            <w:pPr>
              <w:jc w:val="center"/>
              <w:rPr>
                <w:sz w:val="20"/>
                <w:szCs w:val="20"/>
              </w:rPr>
            </w:pPr>
            <w:r>
              <w:rPr>
                <w:rFonts w:ascii="Wingdings" w:hAnsi="Wingdings" w:cs="Wingdings"/>
                <w:color w:val="auto"/>
                <w:sz w:val="26"/>
                <w:szCs w:val="26"/>
              </w:rPr>
              <w:t>l</w:t>
            </w:r>
          </w:p>
        </w:tc>
        <w:tc>
          <w:tcPr>
            <w:tcW w:w="590" w:type="dxa"/>
            <w:vAlign w:val="center"/>
          </w:tcPr>
          <w:p w14:paraId="78037EA5"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shd w:val="clear" w:color="auto" w:fill="D9D9D9" w:themeFill="background2" w:themeFillShade="D9"/>
            <w:vAlign w:val="center"/>
          </w:tcPr>
          <w:p w14:paraId="391E6B3E" w14:textId="77777777" w:rsidR="00DD35A9" w:rsidRPr="00092C30" w:rsidRDefault="00DD35A9">
            <w:pPr>
              <w:jc w:val="center"/>
              <w:rPr>
                <w:sz w:val="20"/>
                <w:szCs w:val="20"/>
              </w:rPr>
            </w:pPr>
          </w:p>
        </w:tc>
      </w:tr>
      <w:tr w:rsidR="00DD35A9" w14:paraId="72C1E147" w14:textId="77777777">
        <w:trPr>
          <w:trHeight w:val="340"/>
        </w:trPr>
        <w:tc>
          <w:tcPr>
            <w:tcW w:w="5053" w:type="dxa"/>
            <w:vAlign w:val="center"/>
          </w:tcPr>
          <w:p w14:paraId="5AFABF83" w14:textId="77777777" w:rsidR="00DD35A9" w:rsidRPr="00092C30" w:rsidRDefault="00DD35A9">
            <w:pPr>
              <w:ind w:left="170"/>
              <w:rPr>
                <w:sz w:val="20"/>
                <w:szCs w:val="20"/>
              </w:rPr>
            </w:pPr>
            <w:r w:rsidRPr="00092C30">
              <w:rPr>
                <w:sz w:val="20"/>
                <w:szCs w:val="20"/>
              </w:rPr>
              <w:t>6.2 Reconciliation to Source Data</w:t>
            </w:r>
          </w:p>
        </w:tc>
        <w:tc>
          <w:tcPr>
            <w:tcW w:w="590" w:type="dxa"/>
            <w:vAlign w:val="center"/>
          </w:tcPr>
          <w:p w14:paraId="6091EEE9" w14:textId="5970222F" w:rsidR="00DD35A9" w:rsidRPr="00092C30" w:rsidRDefault="00C565EF">
            <w:pPr>
              <w:jc w:val="center"/>
              <w:rPr>
                <w:sz w:val="20"/>
                <w:szCs w:val="20"/>
              </w:rPr>
            </w:pPr>
            <w:r w:rsidRPr="00647BFA">
              <w:rPr>
                <w:rFonts w:ascii="Wingdings" w:hAnsi="Wingdings" w:cs="Wingdings"/>
                <w:color w:val="auto"/>
                <w:sz w:val="20"/>
                <w:szCs w:val="20"/>
              </w:rPr>
              <w:t>ü</w:t>
            </w:r>
          </w:p>
        </w:tc>
        <w:tc>
          <w:tcPr>
            <w:tcW w:w="590" w:type="dxa"/>
            <w:vAlign w:val="center"/>
          </w:tcPr>
          <w:p w14:paraId="5987572E"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38286730"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010B705D"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2EE23DAF"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vAlign w:val="center"/>
          </w:tcPr>
          <w:p w14:paraId="38652842"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0" w:type="dxa"/>
            <w:vAlign w:val="center"/>
          </w:tcPr>
          <w:p w14:paraId="1BC64E79" w14:textId="77777777" w:rsidR="00DD35A9" w:rsidRPr="00092C30" w:rsidRDefault="00DD35A9">
            <w:pPr>
              <w:jc w:val="center"/>
              <w:rPr>
                <w:sz w:val="20"/>
                <w:szCs w:val="20"/>
              </w:rPr>
            </w:pPr>
            <w:r w:rsidRPr="00647BFA">
              <w:rPr>
                <w:rFonts w:ascii="Wingdings" w:hAnsi="Wingdings" w:cs="Wingdings"/>
                <w:color w:val="auto"/>
                <w:sz w:val="20"/>
                <w:szCs w:val="20"/>
              </w:rPr>
              <w:t>ü</w:t>
            </w:r>
          </w:p>
        </w:tc>
        <w:tc>
          <w:tcPr>
            <w:tcW w:w="591" w:type="dxa"/>
            <w:shd w:val="clear" w:color="auto" w:fill="D9D9D9" w:themeFill="background2" w:themeFillShade="D9"/>
            <w:vAlign w:val="center"/>
          </w:tcPr>
          <w:p w14:paraId="21BD35B3" w14:textId="77777777" w:rsidR="00DD35A9" w:rsidRPr="00092C30" w:rsidRDefault="00DD35A9">
            <w:pPr>
              <w:jc w:val="center"/>
              <w:rPr>
                <w:sz w:val="20"/>
                <w:szCs w:val="20"/>
              </w:rPr>
            </w:pPr>
          </w:p>
        </w:tc>
      </w:tr>
    </w:tbl>
    <w:p w14:paraId="12EC450D" w14:textId="77777777" w:rsidR="00DD35A9" w:rsidRDefault="00DD35A9" w:rsidP="00DD35A9">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
        <w:gridCol w:w="2577"/>
        <w:gridCol w:w="411"/>
        <w:gridCol w:w="2607"/>
        <w:gridCol w:w="382"/>
        <w:gridCol w:w="2642"/>
      </w:tblGrid>
      <w:tr w:rsidR="00DD35A9" w14:paraId="48155F51" w14:textId="77777777">
        <w:tc>
          <w:tcPr>
            <w:tcW w:w="422" w:type="dxa"/>
            <w:vAlign w:val="center"/>
          </w:tcPr>
          <w:p w14:paraId="0D21B8B3" w14:textId="77777777" w:rsidR="00DD35A9" w:rsidRDefault="00DD35A9">
            <w:r w:rsidRPr="00647BFA">
              <w:rPr>
                <w:rFonts w:ascii="Wingdings" w:hAnsi="Wingdings" w:cs="Wingdings"/>
                <w:color w:val="auto"/>
                <w:sz w:val="20"/>
                <w:szCs w:val="20"/>
              </w:rPr>
              <w:t>ü</w:t>
            </w:r>
          </w:p>
        </w:tc>
        <w:tc>
          <w:tcPr>
            <w:tcW w:w="2577" w:type="dxa"/>
            <w:vAlign w:val="center"/>
          </w:tcPr>
          <w:p w14:paraId="61B76E9C" w14:textId="77777777" w:rsidR="00DD35A9" w:rsidRDefault="00DD35A9">
            <w:r>
              <w:t>Full compliance</w:t>
            </w:r>
          </w:p>
        </w:tc>
        <w:tc>
          <w:tcPr>
            <w:tcW w:w="411" w:type="dxa"/>
            <w:vAlign w:val="center"/>
          </w:tcPr>
          <w:p w14:paraId="551B50BB" w14:textId="77777777" w:rsidR="00DD35A9" w:rsidRDefault="00DD35A9">
            <w:r>
              <w:rPr>
                <w:rFonts w:ascii="Wingdings" w:hAnsi="Wingdings" w:cs="Wingdings"/>
                <w:color w:val="auto"/>
                <w:sz w:val="26"/>
                <w:szCs w:val="26"/>
              </w:rPr>
              <w:t>l</w:t>
            </w:r>
          </w:p>
        </w:tc>
        <w:tc>
          <w:tcPr>
            <w:tcW w:w="2607" w:type="dxa"/>
            <w:vAlign w:val="center"/>
          </w:tcPr>
          <w:p w14:paraId="13F4EBA8" w14:textId="77777777" w:rsidR="00DD35A9" w:rsidRDefault="00DD35A9">
            <w:r>
              <w:t>Partial compliance</w:t>
            </w:r>
          </w:p>
        </w:tc>
        <w:tc>
          <w:tcPr>
            <w:tcW w:w="357" w:type="dxa"/>
            <w:vAlign w:val="center"/>
          </w:tcPr>
          <w:p w14:paraId="360137B7" w14:textId="77777777" w:rsidR="00DD35A9" w:rsidRDefault="00DD35A9">
            <w:r>
              <w:rPr>
                <w:rFonts w:ascii="Wingdings" w:hAnsi="Wingdings" w:cs="Wingdings"/>
                <w:color w:val="auto"/>
                <w:sz w:val="26"/>
                <w:szCs w:val="26"/>
                <w14:ligatures w14:val="standardContextual"/>
              </w:rPr>
              <w:t>û</w:t>
            </w:r>
          </w:p>
        </w:tc>
        <w:tc>
          <w:tcPr>
            <w:tcW w:w="2642" w:type="dxa"/>
            <w:vAlign w:val="center"/>
          </w:tcPr>
          <w:p w14:paraId="67C33D59" w14:textId="77777777" w:rsidR="00DD35A9" w:rsidRDefault="00DD35A9">
            <w:r>
              <w:t>Non-compliant</w:t>
            </w:r>
          </w:p>
        </w:tc>
      </w:tr>
    </w:tbl>
    <w:bookmarkEnd w:id="34"/>
    <w:p w14:paraId="5C9549EC" w14:textId="57F30867" w:rsidR="00F14A3F" w:rsidRDefault="000B7FE1" w:rsidP="006008CF">
      <w:pPr>
        <w:spacing w:before="160" w:line="259" w:lineRule="auto"/>
      </w:pPr>
      <w:r>
        <w:t>The NHCDC Public Sector</w:t>
      </w:r>
      <w:r w:rsidR="00C77B29">
        <w:t xml:space="preserve"> </w:t>
      </w:r>
      <w:r>
        <w:t xml:space="preserve">2022-23 </w:t>
      </w:r>
      <w:r w:rsidR="004838F3">
        <w:t xml:space="preserve">Review Report </w:t>
      </w:r>
      <w:r w:rsidR="00C77B29">
        <w:t>found</w:t>
      </w:r>
      <w:r>
        <w:t xml:space="preserve"> that the </w:t>
      </w:r>
      <w:r w:rsidR="00124275">
        <w:t>DQS</w:t>
      </w:r>
      <w:r w:rsidR="00C77B29">
        <w:t>’</w:t>
      </w:r>
      <w:r>
        <w:t xml:space="preserve"> provided by the jurisdictions </w:t>
      </w:r>
      <w:r w:rsidR="00C77B29">
        <w:t xml:space="preserve">are </w:t>
      </w:r>
      <w:r>
        <w:t>sound a</w:t>
      </w:r>
      <w:r w:rsidR="00F519D6">
        <w:t xml:space="preserve">nd demonstrate adherence to the </w:t>
      </w:r>
      <w:r>
        <w:t xml:space="preserve">AHPCS. </w:t>
      </w:r>
      <w:r w:rsidR="0058006C">
        <w:t xml:space="preserve">NHCDC data provided by jurisdictions </w:t>
      </w:r>
      <w:r w:rsidR="00C77B29">
        <w:t xml:space="preserve">is </w:t>
      </w:r>
      <w:r w:rsidR="0058006C">
        <w:t>deemed to be fit</w:t>
      </w:r>
      <w:r w:rsidR="00F519D6">
        <w:t>-</w:t>
      </w:r>
      <w:r w:rsidR="0058006C">
        <w:t>for</w:t>
      </w:r>
      <w:r w:rsidR="00F519D6">
        <w:t>-</w:t>
      </w:r>
      <w:r w:rsidR="0058006C">
        <w:t>purpose to inform the NEP</w:t>
      </w:r>
      <w:r w:rsidR="004838F3">
        <w:t>.</w:t>
      </w:r>
      <w:r w:rsidR="00F14A3F">
        <w:br w:type="page"/>
      </w:r>
    </w:p>
    <w:p w14:paraId="3391AC68" w14:textId="7D6CE8E1" w:rsidR="00F14A3F" w:rsidRPr="00F14A3F" w:rsidRDefault="001D3BFC" w:rsidP="003A4201">
      <w:pPr>
        <w:pStyle w:val="Heading1"/>
      </w:pPr>
      <w:bookmarkStart w:id="35" w:name="_Toc179296638"/>
      <w:r>
        <w:lastRenderedPageBreak/>
        <w:t xml:space="preserve">NHCDC </w:t>
      </w:r>
      <w:r w:rsidR="00F14A3F">
        <w:t>Data Quality Statements</w:t>
      </w:r>
      <w:r>
        <w:t xml:space="preserve"> 2022-23</w:t>
      </w:r>
      <w:bookmarkEnd w:id="35"/>
    </w:p>
    <w:p w14:paraId="640C31DE" w14:textId="562F094F" w:rsidR="00D8678B" w:rsidRDefault="003E469D" w:rsidP="003A4201">
      <w:pPr>
        <w:pStyle w:val="Heading2"/>
      </w:pPr>
      <w:bookmarkStart w:id="36" w:name="_Toc179296639"/>
      <w:r>
        <w:t xml:space="preserve">Common </w:t>
      </w:r>
      <w:r w:rsidR="00DD35A9">
        <w:t>themes</w:t>
      </w:r>
      <w:bookmarkEnd w:id="36"/>
    </w:p>
    <w:p w14:paraId="31C53E02" w14:textId="1E6CC3FC" w:rsidR="00DB24E6" w:rsidRDefault="009320E4" w:rsidP="001E3D8F">
      <w:r w:rsidRPr="003643C9">
        <w:t xml:space="preserve">IHACPA </w:t>
      </w:r>
      <w:r w:rsidR="00C8662E" w:rsidRPr="003643C9">
        <w:t>reviewed</w:t>
      </w:r>
      <w:r w:rsidR="00C668F9" w:rsidRPr="003643C9">
        <w:t xml:space="preserve"> </w:t>
      </w:r>
      <w:r w:rsidR="009D1D57" w:rsidRPr="003643C9">
        <w:t xml:space="preserve">all </w:t>
      </w:r>
      <w:r w:rsidR="00FA53A8" w:rsidRPr="003643C9">
        <w:t xml:space="preserve">the </w:t>
      </w:r>
      <w:r w:rsidR="00124275">
        <w:t>Data Quality Statements (</w:t>
      </w:r>
      <w:r w:rsidR="00A46270" w:rsidRPr="003643C9">
        <w:t>DQ</w:t>
      </w:r>
      <w:r w:rsidR="009D1D57" w:rsidRPr="003643C9">
        <w:t>S</w:t>
      </w:r>
      <w:r w:rsidR="00124275">
        <w:t>)</w:t>
      </w:r>
      <w:r w:rsidR="00C83BC3" w:rsidRPr="003643C9">
        <w:t xml:space="preserve"> </w:t>
      </w:r>
      <w:r w:rsidR="00212ADD" w:rsidRPr="003643C9">
        <w:t xml:space="preserve">and </w:t>
      </w:r>
      <w:r w:rsidRPr="003643C9">
        <w:t xml:space="preserve">identified </w:t>
      </w:r>
      <w:r w:rsidR="001E3D8F" w:rsidRPr="003643C9">
        <w:t xml:space="preserve">common </w:t>
      </w:r>
      <w:r w:rsidR="00C668F9" w:rsidRPr="003643C9">
        <w:t xml:space="preserve">areas of interest across </w:t>
      </w:r>
      <w:r w:rsidR="00F5548F" w:rsidRPr="003643C9">
        <w:t xml:space="preserve">the </w:t>
      </w:r>
      <w:r w:rsidR="00C668F9" w:rsidRPr="003643C9">
        <w:t>jurisdictions.</w:t>
      </w:r>
      <w:r w:rsidR="007329EE">
        <w:t xml:space="preserve"> Jurisdictions have </w:t>
      </w:r>
      <w:r w:rsidR="003D5D6A">
        <w:t>adhered to</w:t>
      </w:r>
      <w:r w:rsidR="007329EE">
        <w:t xml:space="preserve"> the </w:t>
      </w:r>
      <w:r w:rsidR="00124275">
        <w:t>Australian Hospital Patient Costing Standards (</w:t>
      </w:r>
      <w:r w:rsidR="000D7666">
        <w:t>AHPCS</w:t>
      </w:r>
      <w:r w:rsidR="00124275">
        <w:t>)</w:t>
      </w:r>
      <w:r w:rsidR="007329EE">
        <w:t xml:space="preserve"> across submissions</w:t>
      </w:r>
      <w:r w:rsidR="003D5D6A">
        <w:t xml:space="preserve">, with </w:t>
      </w:r>
      <w:r w:rsidR="00FA65D3">
        <w:t>some deviations that have a minimal impact on the NHCDC dataset</w:t>
      </w:r>
      <w:r w:rsidR="007329EE">
        <w:t>.</w:t>
      </w:r>
      <w:r w:rsidR="00FA53A8" w:rsidRPr="003643C9">
        <w:t xml:space="preserve"> </w:t>
      </w:r>
      <w:r w:rsidR="00283495" w:rsidRPr="003643C9">
        <w:t xml:space="preserve">Any </w:t>
      </w:r>
      <w:r w:rsidR="00960C1C" w:rsidRPr="003643C9">
        <w:t xml:space="preserve">other </w:t>
      </w:r>
      <w:r w:rsidR="00283495" w:rsidRPr="003643C9">
        <w:t>a</w:t>
      </w:r>
      <w:r w:rsidR="00FA53A8" w:rsidRPr="003643C9">
        <w:t>reas raised by</w:t>
      </w:r>
      <w:r w:rsidR="00960C1C" w:rsidRPr="003643C9">
        <w:t xml:space="preserve"> </w:t>
      </w:r>
      <w:r w:rsidR="00262E73" w:rsidRPr="003643C9">
        <w:t>individual</w:t>
      </w:r>
      <w:r w:rsidR="00735191" w:rsidRPr="003643C9">
        <w:t xml:space="preserve"> </w:t>
      </w:r>
      <w:r w:rsidR="00FA53A8" w:rsidRPr="003643C9">
        <w:t xml:space="preserve">jurisdictions are </w:t>
      </w:r>
      <w:r w:rsidR="00276083" w:rsidRPr="003643C9">
        <w:t xml:space="preserve">explored </w:t>
      </w:r>
      <w:r w:rsidR="00FA53A8" w:rsidRPr="003643C9">
        <w:t xml:space="preserve">in </w:t>
      </w:r>
      <w:r w:rsidR="00DA18BD" w:rsidRPr="003643C9">
        <w:t xml:space="preserve">the </w:t>
      </w:r>
      <w:r w:rsidR="00AF0799" w:rsidRPr="003643C9">
        <w:t xml:space="preserve">respective </w:t>
      </w:r>
      <w:r w:rsidR="00DA18BD" w:rsidRPr="003643C9">
        <w:t>jurisdictional summaries.</w:t>
      </w:r>
    </w:p>
    <w:p w14:paraId="38646448" w14:textId="6584ED98" w:rsidR="005941CC" w:rsidRDefault="005941CC" w:rsidP="003A4201">
      <w:pPr>
        <w:pStyle w:val="Heading3"/>
      </w:pPr>
      <w:r w:rsidRPr="000B6B75">
        <w:t>M</w:t>
      </w:r>
      <w:r>
        <w:t xml:space="preserve">ental </w:t>
      </w:r>
      <w:r w:rsidR="00DD35A9">
        <w:t>h</w:t>
      </w:r>
      <w:r>
        <w:t>ealth</w:t>
      </w:r>
    </w:p>
    <w:p w14:paraId="4AB483C2" w14:textId="6239B8B7" w:rsidR="00BB141A" w:rsidRPr="00895767" w:rsidRDefault="009124E3" w:rsidP="006008CF">
      <w:r w:rsidRPr="00895767">
        <w:t>Several</w:t>
      </w:r>
      <w:r w:rsidR="0012447F" w:rsidRPr="00895767">
        <w:t xml:space="preserve"> jurisdictions</w:t>
      </w:r>
      <w:r w:rsidR="0012053C" w:rsidRPr="00895767">
        <w:t xml:space="preserve"> </w:t>
      </w:r>
      <w:r w:rsidR="00EB6865" w:rsidRPr="00895767">
        <w:t>provided information</w:t>
      </w:r>
      <w:r w:rsidR="0012053C" w:rsidRPr="00895767">
        <w:t xml:space="preserve"> </w:t>
      </w:r>
      <w:r w:rsidR="009C7BBC" w:rsidRPr="00895767">
        <w:t>on the</w:t>
      </w:r>
      <w:r w:rsidR="00BC1EB5" w:rsidRPr="00895767">
        <w:t xml:space="preserve"> current state of costing mental health activity </w:t>
      </w:r>
      <w:r w:rsidR="00EB6865" w:rsidRPr="00895767">
        <w:t xml:space="preserve">at the phase level </w:t>
      </w:r>
      <w:r w:rsidR="00BC1EB5" w:rsidRPr="00895767">
        <w:t>in their DQS</w:t>
      </w:r>
      <w:r w:rsidR="00EB6865" w:rsidRPr="00895767">
        <w:t xml:space="preserve">, </w:t>
      </w:r>
      <w:r w:rsidR="00DF69E2" w:rsidRPr="00895767">
        <w:t>with Western Australia (WA) and Tasmania reporting continu</w:t>
      </w:r>
      <w:r w:rsidR="00F77452" w:rsidRPr="00895767">
        <w:t>ing</w:t>
      </w:r>
      <w:r w:rsidR="00DF69E2" w:rsidRPr="00895767">
        <w:t xml:space="preserve"> improvements</w:t>
      </w:r>
      <w:r w:rsidR="00FE349E" w:rsidRPr="00895767">
        <w:t xml:space="preserve"> in processes</w:t>
      </w:r>
      <w:r w:rsidR="00DF69E2" w:rsidRPr="00895767">
        <w:t>.</w:t>
      </w:r>
    </w:p>
    <w:p w14:paraId="2D34D046" w14:textId="379BCE84" w:rsidR="00BB141A" w:rsidRDefault="00C84794" w:rsidP="006008CF">
      <w:r w:rsidRPr="00895767">
        <w:t xml:space="preserve">WA reported that 2022-23 is the first year in which community mental health </w:t>
      </w:r>
      <w:r w:rsidR="00591D5A" w:rsidRPr="00895767">
        <w:t xml:space="preserve">(CMH) </w:t>
      </w:r>
      <w:r w:rsidRPr="00895767">
        <w:t>episode level costs were included in their NHCDC submission. WA has continued costing mental health at the phase level but as their processes have not yet fully matured, these were not submitted to the NHCDC 2022-23. However, WA aims to submit at the phase level for the NHCDC 2023-24.</w:t>
      </w:r>
    </w:p>
    <w:p w14:paraId="4495E9CA" w14:textId="4E8FD875" w:rsidR="007411E9" w:rsidRPr="00895767" w:rsidRDefault="007411E9" w:rsidP="006008CF">
      <w:r w:rsidRPr="00895767">
        <w:t xml:space="preserve">Tasmania reported their costing of </w:t>
      </w:r>
      <w:r w:rsidR="0066053A">
        <w:t>CMH</w:t>
      </w:r>
      <w:r w:rsidRPr="00895767">
        <w:t xml:space="preserve"> continues to evolve each year, with improved cost separations that align with service delivery and the activity data.</w:t>
      </w:r>
    </w:p>
    <w:p w14:paraId="730ED092" w14:textId="3EC9A830" w:rsidR="00BB141A" w:rsidRPr="00895767" w:rsidRDefault="001428C4" w:rsidP="006008CF">
      <w:r w:rsidRPr="00895767">
        <w:t>The</w:t>
      </w:r>
      <w:r w:rsidR="0066053A">
        <w:t xml:space="preserve"> Norther</w:t>
      </w:r>
      <w:r w:rsidR="00E2571A">
        <w:t>n</w:t>
      </w:r>
      <w:r w:rsidR="0066053A">
        <w:t xml:space="preserve"> Territory</w:t>
      </w:r>
      <w:r w:rsidRPr="00895767">
        <w:t xml:space="preserve"> </w:t>
      </w:r>
      <w:r w:rsidR="0066053A">
        <w:t>(</w:t>
      </w:r>
      <w:r w:rsidRPr="00895767">
        <w:t>NT</w:t>
      </w:r>
      <w:r w:rsidR="0066053A">
        <w:t>)</w:t>
      </w:r>
      <w:r w:rsidRPr="00895767">
        <w:t xml:space="preserve"> has not submitted phase level cost data for admitted </w:t>
      </w:r>
      <w:r w:rsidR="00F51BB9" w:rsidRPr="00895767">
        <w:t xml:space="preserve">mental health </w:t>
      </w:r>
      <w:r w:rsidR="00591D5A" w:rsidRPr="00895767">
        <w:t xml:space="preserve">(AMH) </w:t>
      </w:r>
      <w:r w:rsidRPr="00895767">
        <w:t xml:space="preserve">or </w:t>
      </w:r>
      <w:r w:rsidR="00F51BB9" w:rsidRPr="00895767">
        <w:t>CMH</w:t>
      </w:r>
      <w:r w:rsidR="00067BCB" w:rsidRPr="00895767">
        <w:t xml:space="preserve"> and reported that phase level activity data was not available for 2022-23</w:t>
      </w:r>
      <w:r w:rsidRPr="00895767">
        <w:t>.</w:t>
      </w:r>
    </w:p>
    <w:p w14:paraId="473A1FF3" w14:textId="73E21C14" w:rsidR="0012447F" w:rsidRPr="00895767" w:rsidRDefault="001E0215" w:rsidP="0012447F">
      <w:r w:rsidRPr="00895767">
        <w:t xml:space="preserve">Table </w:t>
      </w:r>
      <w:r w:rsidR="00F4426A">
        <w:t>2</w:t>
      </w:r>
      <w:r w:rsidRPr="00895767">
        <w:t xml:space="preserve"> shows a summary of the </w:t>
      </w:r>
      <w:r w:rsidR="003579AD" w:rsidRPr="00895767">
        <w:t xml:space="preserve">mental health cost data </w:t>
      </w:r>
      <w:r w:rsidR="00F54848" w:rsidRPr="00895767">
        <w:t xml:space="preserve">IHACPA </w:t>
      </w:r>
      <w:r w:rsidR="003579AD" w:rsidRPr="00895767">
        <w:t>received from jurisdictions.</w:t>
      </w:r>
      <w:r w:rsidR="000245F6">
        <w:t xml:space="preserve"> Phase level reporting is </w:t>
      </w:r>
      <w:r w:rsidR="006A3D7E">
        <w:t>the</w:t>
      </w:r>
      <w:r w:rsidR="000245F6">
        <w:t xml:space="preserve"> preferred </w:t>
      </w:r>
      <w:proofErr w:type="gramStart"/>
      <w:r w:rsidR="006A3D7E">
        <w:t>method,</w:t>
      </w:r>
      <w:proofErr w:type="gramEnd"/>
      <w:r w:rsidR="006A3D7E">
        <w:t xml:space="preserve"> however e</w:t>
      </w:r>
      <w:r w:rsidR="000245F6">
        <w:t>pisode level reporting</w:t>
      </w:r>
      <w:r w:rsidR="006A3D7E">
        <w:t xml:space="preserve"> can be used in its absence.</w:t>
      </w:r>
    </w:p>
    <w:p w14:paraId="7BCF1D67" w14:textId="445C124B" w:rsidR="00E078C1" w:rsidRDefault="00E078C1" w:rsidP="003A4201">
      <w:pPr>
        <w:pStyle w:val="Caption"/>
      </w:pPr>
      <w:r>
        <w:t xml:space="preserve">Table </w:t>
      </w:r>
      <w:r w:rsidR="00F4426A">
        <w:t>2</w:t>
      </w:r>
      <w:r>
        <w:t>: Summary of mental health cost data submitted by jurisdictions</w:t>
      </w:r>
    </w:p>
    <w:tbl>
      <w:tblPr>
        <w:tblStyle w:val="TableGrid"/>
        <w:tblW w:w="0" w:type="auto"/>
        <w:tblBorders>
          <w:top w:val="single" w:sz="4" w:space="0" w:color="DFEBF1" w:themeColor="accent1" w:themeTint="1A"/>
          <w:left w:val="none" w:sz="0" w:space="0" w:color="auto"/>
          <w:bottom w:val="single" w:sz="4" w:space="0" w:color="DFEBF1" w:themeColor="accent1" w:themeTint="1A"/>
          <w:right w:val="none" w:sz="0" w:space="0" w:color="auto"/>
          <w:insideH w:val="single" w:sz="4" w:space="0" w:color="DFEBF1" w:themeColor="accent1" w:themeTint="1A"/>
          <w:insideV w:val="single" w:sz="4" w:space="0" w:color="DFEBF1" w:themeColor="accent1" w:themeTint="1A"/>
        </w:tblBorders>
        <w:tblLook w:val="04A0" w:firstRow="1" w:lastRow="0" w:firstColumn="1" w:lastColumn="0" w:noHBand="0" w:noVBand="1"/>
      </w:tblPr>
      <w:tblGrid>
        <w:gridCol w:w="2193"/>
        <w:gridCol w:w="942"/>
        <w:gridCol w:w="943"/>
        <w:gridCol w:w="943"/>
        <w:gridCol w:w="943"/>
        <w:gridCol w:w="943"/>
        <w:gridCol w:w="943"/>
        <w:gridCol w:w="943"/>
        <w:gridCol w:w="943"/>
      </w:tblGrid>
      <w:tr w:rsidR="000D3214" w14:paraId="5C375A82" w14:textId="77777777" w:rsidTr="003A4201">
        <w:trPr>
          <w:trHeight w:val="397"/>
        </w:trPr>
        <w:tc>
          <w:tcPr>
            <w:tcW w:w="2193" w:type="dxa"/>
            <w:shd w:val="clear" w:color="auto" w:fill="104F99" w:themeFill="accent2"/>
          </w:tcPr>
          <w:p w14:paraId="55BB9EA5" w14:textId="77777777" w:rsidR="000D3214" w:rsidRPr="003A4201" w:rsidRDefault="000D3214" w:rsidP="0012447F">
            <w:pPr>
              <w:rPr>
                <w:color w:val="FFFFFF" w:themeColor="background2"/>
                <w:sz w:val="20"/>
                <w:szCs w:val="20"/>
              </w:rPr>
            </w:pPr>
          </w:p>
        </w:tc>
        <w:tc>
          <w:tcPr>
            <w:tcW w:w="942" w:type="dxa"/>
            <w:shd w:val="clear" w:color="auto" w:fill="104F99" w:themeFill="accent2"/>
            <w:vAlign w:val="center"/>
          </w:tcPr>
          <w:p w14:paraId="19C1F1EA" w14:textId="4309A1B9" w:rsidR="000D3214" w:rsidRPr="003A4201" w:rsidRDefault="000D3214" w:rsidP="003A4201">
            <w:pPr>
              <w:jc w:val="center"/>
              <w:rPr>
                <w:b/>
                <w:bCs/>
                <w:color w:val="FFFFFF" w:themeColor="background2"/>
                <w:sz w:val="20"/>
                <w:szCs w:val="20"/>
              </w:rPr>
            </w:pPr>
            <w:r w:rsidRPr="003A4201">
              <w:rPr>
                <w:b/>
                <w:bCs/>
                <w:color w:val="FFFFFF" w:themeColor="background2"/>
                <w:sz w:val="20"/>
                <w:szCs w:val="20"/>
              </w:rPr>
              <w:t>NSW</w:t>
            </w:r>
          </w:p>
        </w:tc>
        <w:tc>
          <w:tcPr>
            <w:tcW w:w="943" w:type="dxa"/>
            <w:shd w:val="clear" w:color="auto" w:fill="104F99" w:themeFill="accent2"/>
            <w:vAlign w:val="center"/>
          </w:tcPr>
          <w:p w14:paraId="406A6CE8" w14:textId="14DC95B7" w:rsidR="000D3214" w:rsidRPr="003A4201" w:rsidRDefault="000D3214" w:rsidP="003A4201">
            <w:pPr>
              <w:jc w:val="center"/>
              <w:rPr>
                <w:b/>
                <w:bCs/>
                <w:color w:val="FFFFFF" w:themeColor="background2"/>
                <w:sz w:val="20"/>
                <w:szCs w:val="20"/>
              </w:rPr>
            </w:pPr>
            <w:r w:rsidRPr="003A4201">
              <w:rPr>
                <w:b/>
                <w:bCs/>
                <w:color w:val="FFFFFF" w:themeColor="background2"/>
                <w:sz w:val="20"/>
                <w:szCs w:val="20"/>
              </w:rPr>
              <w:t>Vic</w:t>
            </w:r>
          </w:p>
        </w:tc>
        <w:tc>
          <w:tcPr>
            <w:tcW w:w="943" w:type="dxa"/>
            <w:shd w:val="clear" w:color="auto" w:fill="104F99" w:themeFill="accent2"/>
            <w:vAlign w:val="center"/>
          </w:tcPr>
          <w:p w14:paraId="4DE0E463" w14:textId="467E2FD2" w:rsidR="000D3214" w:rsidRPr="003A4201" w:rsidRDefault="000D3214" w:rsidP="003A4201">
            <w:pPr>
              <w:jc w:val="center"/>
              <w:rPr>
                <w:b/>
                <w:bCs/>
                <w:color w:val="FFFFFF" w:themeColor="background2"/>
                <w:sz w:val="20"/>
                <w:szCs w:val="20"/>
              </w:rPr>
            </w:pPr>
            <w:r w:rsidRPr="003A4201">
              <w:rPr>
                <w:b/>
                <w:bCs/>
                <w:color w:val="FFFFFF" w:themeColor="background2"/>
                <w:sz w:val="20"/>
                <w:szCs w:val="20"/>
              </w:rPr>
              <w:t>Qld</w:t>
            </w:r>
          </w:p>
        </w:tc>
        <w:tc>
          <w:tcPr>
            <w:tcW w:w="943" w:type="dxa"/>
            <w:shd w:val="clear" w:color="auto" w:fill="104F99" w:themeFill="accent2"/>
            <w:vAlign w:val="center"/>
          </w:tcPr>
          <w:p w14:paraId="47A67737" w14:textId="552D8CA8" w:rsidR="000D3214" w:rsidRPr="003A4201" w:rsidRDefault="000D3214" w:rsidP="003A4201">
            <w:pPr>
              <w:jc w:val="center"/>
              <w:rPr>
                <w:b/>
                <w:bCs/>
                <w:color w:val="FFFFFF" w:themeColor="background2"/>
                <w:sz w:val="20"/>
                <w:szCs w:val="20"/>
              </w:rPr>
            </w:pPr>
            <w:r w:rsidRPr="003A4201">
              <w:rPr>
                <w:b/>
                <w:bCs/>
                <w:color w:val="FFFFFF" w:themeColor="background2"/>
                <w:sz w:val="20"/>
                <w:szCs w:val="20"/>
              </w:rPr>
              <w:t>SA</w:t>
            </w:r>
          </w:p>
        </w:tc>
        <w:tc>
          <w:tcPr>
            <w:tcW w:w="943" w:type="dxa"/>
            <w:shd w:val="clear" w:color="auto" w:fill="104F99" w:themeFill="accent2"/>
            <w:vAlign w:val="center"/>
          </w:tcPr>
          <w:p w14:paraId="58385D3C" w14:textId="76E4E1CD" w:rsidR="000D3214" w:rsidRPr="003A4201" w:rsidRDefault="000D3214" w:rsidP="003A4201">
            <w:pPr>
              <w:jc w:val="center"/>
              <w:rPr>
                <w:b/>
                <w:bCs/>
                <w:color w:val="FFFFFF" w:themeColor="background2"/>
                <w:sz w:val="20"/>
                <w:szCs w:val="20"/>
              </w:rPr>
            </w:pPr>
            <w:r w:rsidRPr="003A4201">
              <w:rPr>
                <w:b/>
                <w:bCs/>
                <w:color w:val="FFFFFF" w:themeColor="background2"/>
                <w:sz w:val="20"/>
                <w:szCs w:val="20"/>
              </w:rPr>
              <w:t>WA</w:t>
            </w:r>
          </w:p>
        </w:tc>
        <w:tc>
          <w:tcPr>
            <w:tcW w:w="943" w:type="dxa"/>
            <w:shd w:val="clear" w:color="auto" w:fill="104F99" w:themeFill="accent2"/>
            <w:vAlign w:val="center"/>
          </w:tcPr>
          <w:p w14:paraId="055DA1FD" w14:textId="53DB2C50" w:rsidR="000D3214" w:rsidRPr="003A4201" w:rsidRDefault="000D3214" w:rsidP="003A4201">
            <w:pPr>
              <w:jc w:val="center"/>
              <w:rPr>
                <w:b/>
                <w:bCs/>
                <w:color w:val="FFFFFF" w:themeColor="background2"/>
                <w:sz w:val="20"/>
                <w:szCs w:val="20"/>
              </w:rPr>
            </w:pPr>
            <w:r w:rsidRPr="003A4201">
              <w:rPr>
                <w:b/>
                <w:bCs/>
                <w:color w:val="FFFFFF" w:themeColor="background2"/>
                <w:sz w:val="20"/>
                <w:szCs w:val="20"/>
              </w:rPr>
              <w:t>Tas</w:t>
            </w:r>
          </w:p>
        </w:tc>
        <w:tc>
          <w:tcPr>
            <w:tcW w:w="943" w:type="dxa"/>
            <w:shd w:val="clear" w:color="auto" w:fill="104F99" w:themeFill="accent2"/>
            <w:vAlign w:val="center"/>
          </w:tcPr>
          <w:p w14:paraId="741C1C8E" w14:textId="14562379" w:rsidR="000D3214" w:rsidRPr="003A4201" w:rsidRDefault="000D3214" w:rsidP="003A4201">
            <w:pPr>
              <w:jc w:val="center"/>
              <w:rPr>
                <w:b/>
                <w:bCs/>
                <w:color w:val="FFFFFF" w:themeColor="background2"/>
                <w:sz w:val="20"/>
                <w:szCs w:val="20"/>
              </w:rPr>
            </w:pPr>
            <w:r w:rsidRPr="003A4201">
              <w:rPr>
                <w:b/>
                <w:bCs/>
                <w:color w:val="FFFFFF" w:themeColor="background2"/>
                <w:sz w:val="20"/>
                <w:szCs w:val="20"/>
              </w:rPr>
              <w:t>NT</w:t>
            </w:r>
          </w:p>
        </w:tc>
        <w:tc>
          <w:tcPr>
            <w:tcW w:w="943" w:type="dxa"/>
            <w:shd w:val="clear" w:color="auto" w:fill="104F99" w:themeFill="accent2"/>
            <w:vAlign w:val="center"/>
          </w:tcPr>
          <w:p w14:paraId="758075E2" w14:textId="190B21EF" w:rsidR="000D3214" w:rsidRPr="003A4201" w:rsidRDefault="000D3214" w:rsidP="003A4201">
            <w:pPr>
              <w:jc w:val="center"/>
              <w:rPr>
                <w:b/>
                <w:bCs/>
                <w:color w:val="FFFFFF" w:themeColor="background2"/>
                <w:sz w:val="20"/>
                <w:szCs w:val="20"/>
              </w:rPr>
            </w:pPr>
            <w:r w:rsidRPr="003A4201">
              <w:rPr>
                <w:b/>
                <w:bCs/>
                <w:color w:val="FFFFFF" w:themeColor="background2"/>
                <w:sz w:val="20"/>
                <w:szCs w:val="20"/>
              </w:rPr>
              <w:t>ACT</w:t>
            </w:r>
          </w:p>
        </w:tc>
      </w:tr>
      <w:tr w:rsidR="005E724C" w14:paraId="74C6CF47" w14:textId="77777777" w:rsidTr="003A4201">
        <w:tc>
          <w:tcPr>
            <w:tcW w:w="2193" w:type="dxa"/>
          </w:tcPr>
          <w:p w14:paraId="52980D5C" w14:textId="09566A0E" w:rsidR="005E724C" w:rsidRPr="003A4201" w:rsidRDefault="005E724C" w:rsidP="005E724C">
            <w:pPr>
              <w:rPr>
                <w:sz w:val="20"/>
                <w:szCs w:val="20"/>
              </w:rPr>
            </w:pPr>
            <w:r w:rsidRPr="003A4201">
              <w:rPr>
                <w:sz w:val="20"/>
                <w:szCs w:val="20"/>
              </w:rPr>
              <w:t xml:space="preserve">AMH – </w:t>
            </w:r>
            <w:r w:rsidRPr="003A4201">
              <w:rPr>
                <w:i/>
                <w:iCs/>
                <w:sz w:val="20"/>
                <w:szCs w:val="20"/>
              </w:rPr>
              <w:t>episodes</w:t>
            </w:r>
          </w:p>
        </w:tc>
        <w:tc>
          <w:tcPr>
            <w:tcW w:w="942" w:type="dxa"/>
            <w:vAlign w:val="center"/>
          </w:tcPr>
          <w:p w14:paraId="2E455DFC" w14:textId="248DC9C1" w:rsidR="005E724C" w:rsidRPr="005E724C" w:rsidRDefault="005E724C" w:rsidP="003A4201">
            <w:pPr>
              <w:jc w:val="center"/>
            </w:pPr>
          </w:p>
        </w:tc>
        <w:tc>
          <w:tcPr>
            <w:tcW w:w="943" w:type="dxa"/>
            <w:vAlign w:val="center"/>
          </w:tcPr>
          <w:p w14:paraId="3633650A" w14:textId="235305F8" w:rsidR="005E724C" w:rsidRPr="005E724C" w:rsidRDefault="005E724C" w:rsidP="003A4201">
            <w:pPr>
              <w:jc w:val="center"/>
            </w:pPr>
            <w:r w:rsidRPr="00647BFA">
              <w:rPr>
                <w:rFonts w:ascii="Wingdings" w:hAnsi="Wingdings" w:cs="Wingdings"/>
                <w:color w:val="auto"/>
                <w:sz w:val="20"/>
                <w:szCs w:val="20"/>
              </w:rPr>
              <w:t>ü</w:t>
            </w:r>
          </w:p>
        </w:tc>
        <w:tc>
          <w:tcPr>
            <w:tcW w:w="943" w:type="dxa"/>
            <w:vAlign w:val="center"/>
          </w:tcPr>
          <w:p w14:paraId="6CB7F7F6" w14:textId="5D92FA17" w:rsidR="005E724C" w:rsidRPr="005E724C" w:rsidRDefault="005E724C" w:rsidP="003A4201">
            <w:pPr>
              <w:jc w:val="center"/>
            </w:pPr>
            <w:r w:rsidRPr="00647BFA">
              <w:rPr>
                <w:rFonts w:ascii="Wingdings" w:hAnsi="Wingdings" w:cs="Wingdings"/>
                <w:color w:val="auto"/>
                <w:sz w:val="20"/>
                <w:szCs w:val="20"/>
              </w:rPr>
              <w:t>ü</w:t>
            </w:r>
          </w:p>
        </w:tc>
        <w:tc>
          <w:tcPr>
            <w:tcW w:w="943" w:type="dxa"/>
            <w:vAlign w:val="center"/>
          </w:tcPr>
          <w:p w14:paraId="68B09592" w14:textId="23678418" w:rsidR="005E724C" w:rsidRPr="005E724C" w:rsidRDefault="005E724C" w:rsidP="003A4201">
            <w:pPr>
              <w:jc w:val="center"/>
            </w:pPr>
            <w:r w:rsidRPr="00647BFA">
              <w:rPr>
                <w:rFonts w:ascii="Wingdings" w:hAnsi="Wingdings" w:cs="Wingdings"/>
                <w:color w:val="auto"/>
                <w:sz w:val="20"/>
                <w:szCs w:val="20"/>
              </w:rPr>
              <w:t>ü</w:t>
            </w:r>
          </w:p>
        </w:tc>
        <w:tc>
          <w:tcPr>
            <w:tcW w:w="943" w:type="dxa"/>
            <w:vAlign w:val="center"/>
          </w:tcPr>
          <w:p w14:paraId="5966EFF5" w14:textId="3F53781D" w:rsidR="005E724C" w:rsidRPr="005E724C" w:rsidRDefault="005E724C" w:rsidP="003A4201">
            <w:pPr>
              <w:jc w:val="center"/>
            </w:pPr>
            <w:r w:rsidRPr="00647BFA">
              <w:rPr>
                <w:rFonts w:ascii="Wingdings" w:hAnsi="Wingdings" w:cs="Wingdings"/>
                <w:color w:val="auto"/>
                <w:sz w:val="20"/>
                <w:szCs w:val="20"/>
              </w:rPr>
              <w:t>ü</w:t>
            </w:r>
          </w:p>
        </w:tc>
        <w:tc>
          <w:tcPr>
            <w:tcW w:w="943" w:type="dxa"/>
            <w:vAlign w:val="center"/>
          </w:tcPr>
          <w:p w14:paraId="5D1075C0" w14:textId="1097029F" w:rsidR="005E724C" w:rsidRPr="005E724C" w:rsidRDefault="005E724C" w:rsidP="003A4201">
            <w:pPr>
              <w:jc w:val="center"/>
            </w:pPr>
            <w:r w:rsidRPr="00647BFA">
              <w:rPr>
                <w:rFonts w:ascii="Wingdings" w:hAnsi="Wingdings" w:cs="Wingdings"/>
                <w:color w:val="auto"/>
                <w:sz w:val="20"/>
                <w:szCs w:val="20"/>
              </w:rPr>
              <w:t>ü</w:t>
            </w:r>
          </w:p>
        </w:tc>
        <w:tc>
          <w:tcPr>
            <w:tcW w:w="943" w:type="dxa"/>
            <w:vAlign w:val="center"/>
          </w:tcPr>
          <w:p w14:paraId="5B82283B" w14:textId="3783B38E" w:rsidR="005E724C" w:rsidRPr="005E724C" w:rsidRDefault="00DA2370" w:rsidP="003A4201">
            <w:pPr>
              <w:jc w:val="center"/>
            </w:pPr>
            <w:r w:rsidRPr="00647BFA">
              <w:rPr>
                <w:rFonts w:ascii="Wingdings" w:hAnsi="Wingdings" w:cs="Wingdings"/>
                <w:color w:val="auto"/>
                <w:sz w:val="20"/>
                <w:szCs w:val="20"/>
              </w:rPr>
              <w:t>ü</w:t>
            </w:r>
          </w:p>
        </w:tc>
        <w:tc>
          <w:tcPr>
            <w:tcW w:w="943" w:type="dxa"/>
            <w:vAlign w:val="center"/>
          </w:tcPr>
          <w:p w14:paraId="2B4E4556" w14:textId="77777777" w:rsidR="005E724C" w:rsidRPr="005E724C" w:rsidRDefault="005E724C" w:rsidP="003A4201">
            <w:pPr>
              <w:jc w:val="center"/>
            </w:pPr>
          </w:p>
        </w:tc>
      </w:tr>
      <w:tr w:rsidR="005E724C" w14:paraId="22587080" w14:textId="77777777" w:rsidTr="003A4201">
        <w:tc>
          <w:tcPr>
            <w:tcW w:w="2193" w:type="dxa"/>
            <w:shd w:val="clear" w:color="auto" w:fill="DFEBF1" w:themeFill="accent1" w:themeFillTint="1A"/>
          </w:tcPr>
          <w:p w14:paraId="1B3AA42C" w14:textId="5F832FE1" w:rsidR="005E724C" w:rsidRPr="003A4201" w:rsidRDefault="005E724C" w:rsidP="005E724C">
            <w:pPr>
              <w:rPr>
                <w:sz w:val="20"/>
                <w:szCs w:val="20"/>
              </w:rPr>
            </w:pPr>
            <w:r w:rsidRPr="003A4201">
              <w:rPr>
                <w:sz w:val="20"/>
                <w:szCs w:val="20"/>
              </w:rPr>
              <w:t xml:space="preserve">AMH – </w:t>
            </w:r>
            <w:r w:rsidRPr="003A4201">
              <w:rPr>
                <w:i/>
                <w:iCs/>
                <w:sz w:val="20"/>
                <w:szCs w:val="20"/>
              </w:rPr>
              <w:t>phases</w:t>
            </w:r>
          </w:p>
        </w:tc>
        <w:tc>
          <w:tcPr>
            <w:tcW w:w="942" w:type="dxa"/>
            <w:shd w:val="clear" w:color="auto" w:fill="DFEBF1" w:themeFill="accent1" w:themeFillTint="1A"/>
            <w:vAlign w:val="center"/>
          </w:tcPr>
          <w:p w14:paraId="33B8F2F1" w14:textId="29071FB0" w:rsidR="005E724C" w:rsidRPr="005E724C" w:rsidRDefault="005E724C" w:rsidP="003A4201">
            <w:pPr>
              <w:jc w:val="center"/>
            </w:pPr>
            <w:r w:rsidRPr="00647BFA">
              <w:rPr>
                <w:rFonts w:ascii="Wingdings" w:hAnsi="Wingdings" w:cs="Wingdings"/>
                <w:color w:val="auto"/>
                <w:sz w:val="20"/>
                <w:szCs w:val="20"/>
              </w:rPr>
              <w:t>ü</w:t>
            </w:r>
          </w:p>
        </w:tc>
        <w:tc>
          <w:tcPr>
            <w:tcW w:w="943" w:type="dxa"/>
            <w:shd w:val="clear" w:color="auto" w:fill="DFEBF1" w:themeFill="accent1" w:themeFillTint="1A"/>
            <w:vAlign w:val="center"/>
          </w:tcPr>
          <w:p w14:paraId="594CE1EA" w14:textId="0FC1C918" w:rsidR="005E724C" w:rsidRPr="005E724C" w:rsidRDefault="005E724C" w:rsidP="003A4201">
            <w:pPr>
              <w:jc w:val="center"/>
            </w:pPr>
            <w:r w:rsidRPr="00647BFA">
              <w:rPr>
                <w:rFonts w:ascii="Wingdings" w:hAnsi="Wingdings" w:cs="Wingdings"/>
                <w:color w:val="auto"/>
                <w:sz w:val="20"/>
                <w:szCs w:val="20"/>
              </w:rPr>
              <w:t>ü</w:t>
            </w:r>
          </w:p>
        </w:tc>
        <w:tc>
          <w:tcPr>
            <w:tcW w:w="943" w:type="dxa"/>
            <w:shd w:val="clear" w:color="auto" w:fill="DFEBF1" w:themeFill="accent1" w:themeFillTint="1A"/>
            <w:vAlign w:val="center"/>
          </w:tcPr>
          <w:p w14:paraId="7583AA17" w14:textId="6A9123BD" w:rsidR="005E724C" w:rsidRPr="005E724C" w:rsidRDefault="005E724C" w:rsidP="003A4201">
            <w:pPr>
              <w:jc w:val="center"/>
            </w:pPr>
            <w:r w:rsidRPr="00647BFA">
              <w:rPr>
                <w:rFonts w:ascii="Wingdings" w:hAnsi="Wingdings" w:cs="Wingdings"/>
                <w:color w:val="auto"/>
                <w:sz w:val="20"/>
                <w:szCs w:val="20"/>
              </w:rPr>
              <w:t>ü</w:t>
            </w:r>
          </w:p>
        </w:tc>
        <w:tc>
          <w:tcPr>
            <w:tcW w:w="943" w:type="dxa"/>
            <w:shd w:val="clear" w:color="auto" w:fill="DFEBF1" w:themeFill="accent1" w:themeFillTint="1A"/>
            <w:vAlign w:val="center"/>
          </w:tcPr>
          <w:p w14:paraId="57213D9F" w14:textId="55434E6E" w:rsidR="005E724C" w:rsidRPr="005E724C" w:rsidRDefault="005E724C" w:rsidP="003A4201">
            <w:pPr>
              <w:jc w:val="center"/>
            </w:pPr>
            <w:r w:rsidRPr="00647BFA">
              <w:rPr>
                <w:rFonts w:ascii="Wingdings" w:hAnsi="Wingdings" w:cs="Wingdings"/>
                <w:color w:val="auto"/>
                <w:sz w:val="20"/>
                <w:szCs w:val="20"/>
              </w:rPr>
              <w:t>ü</w:t>
            </w:r>
          </w:p>
        </w:tc>
        <w:tc>
          <w:tcPr>
            <w:tcW w:w="943" w:type="dxa"/>
            <w:shd w:val="clear" w:color="auto" w:fill="DFEBF1" w:themeFill="accent1" w:themeFillTint="1A"/>
            <w:vAlign w:val="center"/>
          </w:tcPr>
          <w:p w14:paraId="3145F3F9" w14:textId="5274E450" w:rsidR="005E724C" w:rsidRPr="005E724C" w:rsidRDefault="005E724C" w:rsidP="003A4201">
            <w:pPr>
              <w:jc w:val="center"/>
            </w:pPr>
          </w:p>
        </w:tc>
        <w:tc>
          <w:tcPr>
            <w:tcW w:w="943" w:type="dxa"/>
            <w:shd w:val="clear" w:color="auto" w:fill="DFEBF1" w:themeFill="accent1" w:themeFillTint="1A"/>
            <w:vAlign w:val="center"/>
          </w:tcPr>
          <w:p w14:paraId="63AD70EB" w14:textId="77777777" w:rsidR="005E724C" w:rsidRPr="005E724C" w:rsidRDefault="005E724C" w:rsidP="003A4201">
            <w:pPr>
              <w:jc w:val="center"/>
            </w:pPr>
          </w:p>
        </w:tc>
        <w:tc>
          <w:tcPr>
            <w:tcW w:w="943" w:type="dxa"/>
            <w:shd w:val="clear" w:color="auto" w:fill="DFEBF1" w:themeFill="accent1" w:themeFillTint="1A"/>
            <w:vAlign w:val="center"/>
          </w:tcPr>
          <w:p w14:paraId="0FD1E2EE" w14:textId="77777777" w:rsidR="005E724C" w:rsidRPr="005E724C" w:rsidRDefault="005E724C" w:rsidP="003A4201">
            <w:pPr>
              <w:jc w:val="center"/>
            </w:pPr>
          </w:p>
        </w:tc>
        <w:tc>
          <w:tcPr>
            <w:tcW w:w="943" w:type="dxa"/>
            <w:shd w:val="clear" w:color="auto" w:fill="DFEBF1" w:themeFill="accent1" w:themeFillTint="1A"/>
            <w:vAlign w:val="center"/>
          </w:tcPr>
          <w:p w14:paraId="01FB8C19" w14:textId="77777777" w:rsidR="005E724C" w:rsidRPr="005E724C" w:rsidRDefault="005E724C" w:rsidP="003A4201">
            <w:pPr>
              <w:jc w:val="center"/>
            </w:pPr>
          </w:p>
        </w:tc>
      </w:tr>
      <w:tr w:rsidR="005E724C" w14:paraId="7DF0F912" w14:textId="77777777" w:rsidTr="003A4201">
        <w:tc>
          <w:tcPr>
            <w:tcW w:w="2193" w:type="dxa"/>
          </w:tcPr>
          <w:p w14:paraId="6519A16E" w14:textId="3DA89E05" w:rsidR="005E724C" w:rsidRPr="003A4201" w:rsidRDefault="005E724C" w:rsidP="005E724C">
            <w:pPr>
              <w:rPr>
                <w:sz w:val="20"/>
                <w:szCs w:val="20"/>
              </w:rPr>
            </w:pPr>
            <w:r w:rsidRPr="003A4201">
              <w:rPr>
                <w:sz w:val="20"/>
                <w:szCs w:val="20"/>
              </w:rPr>
              <w:t xml:space="preserve">CMH – </w:t>
            </w:r>
            <w:r w:rsidRPr="003A4201">
              <w:rPr>
                <w:i/>
                <w:iCs/>
                <w:sz w:val="20"/>
                <w:szCs w:val="20"/>
              </w:rPr>
              <w:t>episodes</w:t>
            </w:r>
          </w:p>
        </w:tc>
        <w:tc>
          <w:tcPr>
            <w:tcW w:w="942" w:type="dxa"/>
            <w:vAlign w:val="center"/>
          </w:tcPr>
          <w:p w14:paraId="2352F558" w14:textId="0326D181" w:rsidR="005E724C" w:rsidRPr="005E724C" w:rsidRDefault="005E724C" w:rsidP="003A4201">
            <w:pPr>
              <w:jc w:val="center"/>
            </w:pPr>
          </w:p>
        </w:tc>
        <w:tc>
          <w:tcPr>
            <w:tcW w:w="943" w:type="dxa"/>
            <w:vAlign w:val="center"/>
          </w:tcPr>
          <w:p w14:paraId="409AF887" w14:textId="6ECA1806" w:rsidR="005E724C" w:rsidRPr="005E724C" w:rsidRDefault="005E724C" w:rsidP="003A4201">
            <w:pPr>
              <w:jc w:val="center"/>
            </w:pPr>
            <w:r w:rsidRPr="00647BFA">
              <w:rPr>
                <w:rFonts w:ascii="Wingdings" w:hAnsi="Wingdings" w:cs="Wingdings"/>
                <w:color w:val="auto"/>
                <w:sz w:val="20"/>
                <w:szCs w:val="20"/>
              </w:rPr>
              <w:t>ü</w:t>
            </w:r>
          </w:p>
        </w:tc>
        <w:tc>
          <w:tcPr>
            <w:tcW w:w="943" w:type="dxa"/>
            <w:vAlign w:val="center"/>
          </w:tcPr>
          <w:p w14:paraId="143D186E" w14:textId="5D14EC44" w:rsidR="005E724C" w:rsidRPr="005E724C" w:rsidRDefault="005E724C" w:rsidP="003A4201">
            <w:pPr>
              <w:jc w:val="center"/>
            </w:pPr>
            <w:r w:rsidRPr="00647BFA">
              <w:rPr>
                <w:rFonts w:ascii="Wingdings" w:hAnsi="Wingdings" w:cs="Wingdings"/>
                <w:color w:val="auto"/>
                <w:sz w:val="20"/>
                <w:szCs w:val="20"/>
              </w:rPr>
              <w:t>ü</w:t>
            </w:r>
          </w:p>
        </w:tc>
        <w:tc>
          <w:tcPr>
            <w:tcW w:w="943" w:type="dxa"/>
            <w:vAlign w:val="center"/>
          </w:tcPr>
          <w:p w14:paraId="06DEEF15" w14:textId="7FB0FA22" w:rsidR="005E724C" w:rsidRPr="005E724C" w:rsidRDefault="005E724C" w:rsidP="003A4201">
            <w:pPr>
              <w:jc w:val="center"/>
            </w:pPr>
          </w:p>
        </w:tc>
        <w:tc>
          <w:tcPr>
            <w:tcW w:w="943" w:type="dxa"/>
            <w:vAlign w:val="center"/>
          </w:tcPr>
          <w:p w14:paraId="3186B82B" w14:textId="5CEA9372" w:rsidR="005E724C" w:rsidRPr="005E724C" w:rsidRDefault="005E724C" w:rsidP="003A4201">
            <w:pPr>
              <w:jc w:val="center"/>
            </w:pPr>
            <w:r w:rsidRPr="00647BFA">
              <w:rPr>
                <w:rFonts w:ascii="Wingdings" w:hAnsi="Wingdings" w:cs="Wingdings"/>
                <w:color w:val="auto"/>
                <w:sz w:val="20"/>
                <w:szCs w:val="20"/>
              </w:rPr>
              <w:t>ü</w:t>
            </w:r>
          </w:p>
        </w:tc>
        <w:tc>
          <w:tcPr>
            <w:tcW w:w="943" w:type="dxa"/>
            <w:vAlign w:val="center"/>
          </w:tcPr>
          <w:p w14:paraId="185424A9" w14:textId="4EAFCF86" w:rsidR="005E724C" w:rsidRPr="005E724C" w:rsidRDefault="005E724C" w:rsidP="003A4201">
            <w:pPr>
              <w:jc w:val="center"/>
            </w:pPr>
            <w:r w:rsidRPr="00647BFA">
              <w:rPr>
                <w:rFonts w:ascii="Wingdings" w:hAnsi="Wingdings" w:cs="Wingdings"/>
                <w:color w:val="auto"/>
                <w:sz w:val="20"/>
                <w:szCs w:val="20"/>
              </w:rPr>
              <w:t>ü</w:t>
            </w:r>
          </w:p>
        </w:tc>
        <w:tc>
          <w:tcPr>
            <w:tcW w:w="943" w:type="dxa"/>
            <w:vAlign w:val="center"/>
          </w:tcPr>
          <w:p w14:paraId="6F0F3578" w14:textId="77777777" w:rsidR="005E724C" w:rsidRPr="005E724C" w:rsidRDefault="005E724C" w:rsidP="003A4201">
            <w:pPr>
              <w:jc w:val="center"/>
            </w:pPr>
          </w:p>
        </w:tc>
        <w:tc>
          <w:tcPr>
            <w:tcW w:w="943" w:type="dxa"/>
            <w:vAlign w:val="center"/>
          </w:tcPr>
          <w:p w14:paraId="358320C6" w14:textId="77777777" w:rsidR="005E724C" w:rsidRPr="005E724C" w:rsidRDefault="005E724C" w:rsidP="003A4201">
            <w:pPr>
              <w:jc w:val="center"/>
            </w:pPr>
          </w:p>
        </w:tc>
      </w:tr>
      <w:tr w:rsidR="005E724C" w14:paraId="0AA28B93" w14:textId="77777777" w:rsidTr="003A4201">
        <w:tc>
          <w:tcPr>
            <w:tcW w:w="2193" w:type="dxa"/>
            <w:shd w:val="clear" w:color="auto" w:fill="DFEBF1" w:themeFill="accent1" w:themeFillTint="1A"/>
          </w:tcPr>
          <w:p w14:paraId="1FBFB6DC" w14:textId="713EA96B" w:rsidR="005E724C" w:rsidRPr="003A4201" w:rsidRDefault="005E724C" w:rsidP="005E724C">
            <w:pPr>
              <w:rPr>
                <w:sz w:val="20"/>
                <w:szCs w:val="20"/>
              </w:rPr>
            </w:pPr>
            <w:r w:rsidRPr="003A4201">
              <w:rPr>
                <w:sz w:val="20"/>
                <w:szCs w:val="20"/>
              </w:rPr>
              <w:t xml:space="preserve">CMH – </w:t>
            </w:r>
            <w:r w:rsidRPr="003A4201">
              <w:rPr>
                <w:i/>
                <w:iCs/>
                <w:sz w:val="20"/>
                <w:szCs w:val="20"/>
              </w:rPr>
              <w:t>phases</w:t>
            </w:r>
          </w:p>
        </w:tc>
        <w:tc>
          <w:tcPr>
            <w:tcW w:w="942" w:type="dxa"/>
            <w:shd w:val="clear" w:color="auto" w:fill="DFEBF1" w:themeFill="accent1" w:themeFillTint="1A"/>
            <w:vAlign w:val="center"/>
          </w:tcPr>
          <w:p w14:paraId="18D6CDAC" w14:textId="7C9F9911" w:rsidR="005E724C" w:rsidRPr="005E724C" w:rsidRDefault="005E724C" w:rsidP="003A4201">
            <w:pPr>
              <w:jc w:val="center"/>
            </w:pPr>
            <w:r w:rsidRPr="00647BFA">
              <w:rPr>
                <w:rFonts w:ascii="Wingdings" w:hAnsi="Wingdings" w:cs="Wingdings"/>
                <w:color w:val="auto"/>
                <w:sz w:val="20"/>
                <w:szCs w:val="20"/>
              </w:rPr>
              <w:t>ü</w:t>
            </w:r>
          </w:p>
        </w:tc>
        <w:tc>
          <w:tcPr>
            <w:tcW w:w="943" w:type="dxa"/>
            <w:shd w:val="clear" w:color="auto" w:fill="DFEBF1" w:themeFill="accent1" w:themeFillTint="1A"/>
            <w:vAlign w:val="center"/>
          </w:tcPr>
          <w:p w14:paraId="039CF85C" w14:textId="4B5EF90D" w:rsidR="005E724C" w:rsidRPr="005E724C" w:rsidRDefault="005E724C" w:rsidP="003A4201">
            <w:pPr>
              <w:jc w:val="center"/>
            </w:pPr>
            <w:r w:rsidRPr="00647BFA">
              <w:rPr>
                <w:rFonts w:ascii="Wingdings" w:hAnsi="Wingdings" w:cs="Wingdings"/>
                <w:color w:val="auto"/>
                <w:sz w:val="20"/>
                <w:szCs w:val="20"/>
              </w:rPr>
              <w:t>ü</w:t>
            </w:r>
          </w:p>
        </w:tc>
        <w:tc>
          <w:tcPr>
            <w:tcW w:w="943" w:type="dxa"/>
            <w:shd w:val="clear" w:color="auto" w:fill="DFEBF1" w:themeFill="accent1" w:themeFillTint="1A"/>
            <w:vAlign w:val="center"/>
          </w:tcPr>
          <w:p w14:paraId="37F08FBA" w14:textId="06B8C80B" w:rsidR="005E724C" w:rsidRPr="005E724C" w:rsidRDefault="005E724C" w:rsidP="003A4201">
            <w:pPr>
              <w:jc w:val="center"/>
            </w:pPr>
            <w:r w:rsidRPr="00647BFA">
              <w:rPr>
                <w:rFonts w:ascii="Wingdings" w:hAnsi="Wingdings" w:cs="Wingdings"/>
                <w:color w:val="auto"/>
                <w:sz w:val="20"/>
                <w:szCs w:val="20"/>
              </w:rPr>
              <w:t>ü</w:t>
            </w:r>
          </w:p>
        </w:tc>
        <w:tc>
          <w:tcPr>
            <w:tcW w:w="943" w:type="dxa"/>
            <w:shd w:val="clear" w:color="auto" w:fill="DFEBF1" w:themeFill="accent1" w:themeFillTint="1A"/>
            <w:vAlign w:val="center"/>
          </w:tcPr>
          <w:p w14:paraId="22C6B627" w14:textId="52485B39" w:rsidR="005E724C" w:rsidRPr="005E724C" w:rsidRDefault="005E724C" w:rsidP="003A4201">
            <w:pPr>
              <w:jc w:val="center"/>
            </w:pPr>
          </w:p>
        </w:tc>
        <w:tc>
          <w:tcPr>
            <w:tcW w:w="943" w:type="dxa"/>
            <w:shd w:val="clear" w:color="auto" w:fill="DFEBF1" w:themeFill="accent1" w:themeFillTint="1A"/>
            <w:vAlign w:val="center"/>
          </w:tcPr>
          <w:p w14:paraId="3C46B901" w14:textId="49DD6889" w:rsidR="005E724C" w:rsidRPr="005E724C" w:rsidRDefault="005E724C" w:rsidP="003A4201">
            <w:pPr>
              <w:jc w:val="center"/>
            </w:pPr>
          </w:p>
        </w:tc>
        <w:tc>
          <w:tcPr>
            <w:tcW w:w="943" w:type="dxa"/>
            <w:shd w:val="clear" w:color="auto" w:fill="DFEBF1" w:themeFill="accent1" w:themeFillTint="1A"/>
            <w:vAlign w:val="center"/>
          </w:tcPr>
          <w:p w14:paraId="0034361B" w14:textId="38927D4F" w:rsidR="005E724C" w:rsidRPr="005E724C" w:rsidRDefault="005E724C" w:rsidP="003A4201">
            <w:pPr>
              <w:jc w:val="center"/>
            </w:pPr>
            <w:r w:rsidRPr="00647BFA">
              <w:rPr>
                <w:rFonts w:ascii="Wingdings" w:hAnsi="Wingdings" w:cs="Wingdings"/>
                <w:color w:val="auto"/>
                <w:sz w:val="20"/>
                <w:szCs w:val="20"/>
              </w:rPr>
              <w:t>ü</w:t>
            </w:r>
          </w:p>
        </w:tc>
        <w:tc>
          <w:tcPr>
            <w:tcW w:w="943" w:type="dxa"/>
            <w:shd w:val="clear" w:color="auto" w:fill="DFEBF1" w:themeFill="accent1" w:themeFillTint="1A"/>
            <w:vAlign w:val="center"/>
          </w:tcPr>
          <w:p w14:paraId="6E0C5C02" w14:textId="77777777" w:rsidR="005E724C" w:rsidRPr="005E724C" w:rsidRDefault="005E724C" w:rsidP="003A4201">
            <w:pPr>
              <w:jc w:val="center"/>
            </w:pPr>
          </w:p>
        </w:tc>
        <w:tc>
          <w:tcPr>
            <w:tcW w:w="943" w:type="dxa"/>
            <w:shd w:val="clear" w:color="auto" w:fill="DFEBF1" w:themeFill="accent1" w:themeFillTint="1A"/>
            <w:vAlign w:val="center"/>
          </w:tcPr>
          <w:p w14:paraId="6B32AD64" w14:textId="77777777" w:rsidR="005E724C" w:rsidRPr="005E724C" w:rsidRDefault="005E724C" w:rsidP="003A4201">
            <w:pPr>
              <w:jc w:val="center"/>
            </w:pPr>
          </w:p>
        </w:tc>
      </w:tr>
    </w:tbl>
    <w:p w14:paraId="59BC3681" w14:textId="7FA0D5D3" w:rsidR="00DB24E6" w:rsidRDefault="00DB24E6" w:rsidP="003A4201">
      <w:pPr>
        <w:pStyle w:val="Heading3"/>
      </w:pPr>
      <w:r w:rsidRPr="00E34D45">
        <w:t xml:space="preserve">Patient </w:t>
      </w:r>
      <w:r w:rsidR="0048045C">
        <w:t>transport</w:t>
      </w:r>
    </w:p>
    <w:p w14:paraId="3241DD93" w14:textId="6360F45F" w:rsidR="006E20DA" w:rsidRPr="00DD35A9" w:rsidRDefault="006E20DA" w:rsidP="006008CF">
      <w:r w:rsidRPr="003A4201">
        <w:t>Jurisd</w:t>
      </w:r>
      <w:r w:rsidRPr="00982F40">
        <w:t>ictions highlighted different aspects of patient transport as areas requiring improvement</w:t>
      </w:r>
      <w:r w:rsidR="00DB2662" w:rsidRPr="00982F40">
        <w:t xml:space="preserve">, </w:t>
      </w:r>
      <w:r w:rsidR="00DC46EB" w:rsidRPr="00982F40">
        <w:t>in avenues for reporting actual resource allocation where current c</w:t>
      </w:r>
      <w:r w:rsidR="00DC46EB" w:rsidRPr="00DD35A9">
        <w:t>lassifications do</w:t>
      </w:r>
      <w:r w:rsidR="00982F40" w:rsidRPr="00DD35A9">
        <w:t xml:space="preserve"> not</w:t>
      </w:r>
      <w:r w:rsidR="00DC46EB" w:rsidRPr="00DD35A9">
        <w:t xml:space="preserve"> allow</w:t>
      </w:r>
      <w:r w:rsidR="00982F40" w:rsidRPr="00DD35A9">
        <w:t>.</w:t>
      </w:r>
    </w:p>
    <w:p w14:paraId="0688AD47" w14:textId="13F867FB" w:rsidR="004A482B" w:rsidRPr="003A4201" w:rsidRDefault="004A482B" w:rsidP="006008CF">
      <w:r w:rsidRPr="00DD35A9">
        <w:lastRenderedPageBreak/>
        <w:t xml:space="preserve">Queensland </w:t>
      </w:r>
      <w:r w:rsidR="00EE4D87" w:rsidRPr="00DD35A9">
        <w:t>reported</w:t>
      </w:r>
      <w:r w:rsidR="00351DAF" w:rsidRPr="00DD35A9">
        <w:t xml:space="preserve"> that</w:t>
      </w:r>
      <w:r w:rsidR="00EE4D87" w:rsidRPr="00DD35A9">
        <w:t xml:space="preserve"> patient transport costs are </w:t>
      </w:r>
      <w:proofErr w:type="gramStart"/>
      <w:r w:rsidR="00EE4D87" w:rsidRPr="00DD35A9">
        <w:t>significant</w:t>
      </w:r>
      <w:proofErr w:type="gramEnd"/>
      <w:r w:rsidR="007D4DA4">
        <w:t xml:space="preserve"> and</w:t>
      </w:r>
      <w:r w:rsidR="00825D10">
        <w:t xml:space="preserve"> all</w:t>
      </w:r>
      <w:r w:rsidR="008C00C8" w:rsidRPr="00500DC2">
        <w:t xml:space="preserve"> </w:t>
      </w:r>
      <w:r w:rsidR="007D4DA4">
        <w:t>in-scope</w:t>
      </w:r>
      <w:r w:rsidR="008C00C8" w:rsidRPr="00DD35A9">
        <w:t xml:space="preserve"> costs </w:t>
      </w:r>
      <w:r w:rsidR="00D905B1" w:rsidRPr="00DD35A9">
        <w:t xml:space="preserve">were included in </w:t>
      </w:r>
      <w:r w:rsidR="008C00C8" w:rsidRPr="00DD35A9">
        <w:t>the NHCDC</w:t>
      </w:r>
      <w:r w:rsidR="00EE4D87" w:rsidRPr="00DD35A9">
        <w:t>.</w:t>
      </w:r>
    </w:p>
    <w:p w14:paraId="2C548DAE" w14:textId="444BD297" w:rsidR="00DB1A8C" w:rsidRDefault="00912793" w:rsidP="001E3D8F">
      <w:bookmarkStart w:id="37" w:name="_Hlk178167432"/>
      <w:r>
        <w:t>New South Wales (</w:t>
      </w:r>
      <w:r w:rsidR="00DB1A8C">
        <w:t>NSW</w:t>
      </w:r>
      <w:r>
        <w:t>)</w:t>
      </w:r>
      <w:r w:rsidR="00DB1A8C">
        <w:t xml:space="preserve"> </w:t>
      </w:r>
      <w:r w:rsidR="004B2BE5">
        <w:t xml:space="preserve">reported </w:t>
      </w:r>
      <w:r w:rsidR="005523DB">
        <w:t xml:space="preserve">limitations </w:t>
      </w:r>
      <w:r w:rsidR="00555D1A">
        <w:t>in</w:t>
      </w:r>
      <w:r w:rsidR="005523DB">
        <w:t xml:space="preserve"> </w:t>
      </w:r>
      <w:r w:rsidR="00F814A3">
        <w:t>capturing</w:t>
      </w:r>
      <w:r w:rsidR="005523DB">
        <w:t xml:space="preserve"> </w:t>
      </w:r>
      <w:r w:rsidR="006A3D7E">
        <w:t xml:space="preserve">costs associate with clinical consultations, assessment, stabilisation, and handover </w:t>
      </w:r>
      <w:r w:rsidR="005523DB">
        <w:t xml:space="preserve">for </w:t>
      </w:r>
      <w:r w:rsidR="00AF71F5">
        <w:t>newborn and paediatric emergency transport service (</w:t>
      </w:r>
      <w:r w:rsidR="00DB1A8C">
        <w:t>NETS</w:t>
      </w:r>
      <w:r w:rsidR="00AF71F5">
        <w:t>)</w:t>
      </w:r>
      <w:r w:rsidR="004D2678">
        <w:t>.</w:t>
      </w:r>
    </w:p>
    <w:bookmarkEnd w:id="37"/>
    <w:p w14:paraId="022D216D" w14:textId="2B6B0178" w:rsidR="00BC0C21" w:rsidRPr="00865B9A" w:rsidRDefault="00BC0C21" w:rsidP="00BC0C21">
      <w:r>
        <w:t>Patient transport is an ongoing area of improvement for Tasmania. The costs associated with non-emergency patient transport provided by Tasmanian Ambulance are not captured in the NHCDC submission due to the absence of patient data until a patient is admitted to hospital. Tasmania has identified that further work and investigation is required to better understand ensure these costs are included and allocated</w:t>
      </w:r>
      <w:r w:rsidR="00500DC2">
        <w:t>.</w:t>
      </w:r>
    </w:p>
    <w:p w14:paraId="7C8D7142" w14:textId="5AA4EAEF" w:rsidR="003643C9" w:rsidRDefault="00E57F41" w:rsidP="00085476">
      <w:r>
        <w:t>Victor</w:t>
      </w:r>
      <w:r w:rsidR="00BC67CF">
        <w:t>i</w:t>
      </w:r>
      <w:r>
        <w:t>a identified issues using the new PatTran-Other line item accurately across the state</w:t>
      </w:r>
      <w:r w:rsidR="00500DC2">
        <w:t>,</w:t>
      </w:r>
      <w:r>
        <w:t xml:space="preserve"> </w:t>
      </w:r>
      <w:r w:rsidR="00500DC2">
        <w:t>using the PatTran and PatTran-Other line item i</w:t>
      </w:r>
      <w:r>
        <w:t>nterchangeably in the general ledger</w:t>
      </w:r>
      <w:r w:rsidR="00160466">
        <w:t>, however they were not used interchangeably within the NHCDC submission.</w:t>
      </w:r>
    </w:p>
    <w:p w14:paraId="10B0A8F0" w14:textId="3B62C8E4" w:rsidR="005C7088" w:rsidRDefault="00FA2E49" w:rsidP="00085476">
      <w:r>
        <w:t>S</w:t>
      </w:r>
      <w:r w:rsidR="001454AB">
        <w:t xml:space="preserve">outh Australia (SA) </w:t>
      </w:r>
      <w:r w:rsidR="000C0B41">
        <w:t>advised that</w:t>
      </w:r>
      <w:r w:rsidR="00C24028">
        <w:t xml:space="preserve"> </w:t>
      </w:r>
      <w:r w:rsidR="000C0B41">
        <w:t xml:space="preserve">the costs associated with </w:t>
      </w:r>
      <w:r>
        <w:t xml:space="preserve">interhospital transfers for aeromedical transport </w:t>
      </w:r>
      <w:r w:rsidR="000C0B41">
        <w:t xml:space="preserve">was not </w:t>
      </w:r>
      <w:r>
        <w:t xml:space="preserve">included in </w:t>
      </w:r>
      <w:r w:rsidR="00E74927">
        <w:t>the submission</w:t>
      </w:r>
      <w:r w:rsidR="000C0B41">
        <w:t xml:space="preserve"> </w:t>
      </w:r>
      <w:r w:rsidR="00E74927" w:rsidRPr="00E74927">
        <w:t>due to data quality issues with flight discharge information</w:t>
      </w:r>
      <w:r w:rsidR="00E74927">
        <w:t xml:space="preserve"> </w:t>
      </w:r>
      <w:r w:rsidR="000C0B41">
        <w:t>and</w:t>
      </w:r>
      <w:r w:rsidR="00010C23">
        <w:t xml:space="preserve"> that this</w:t>
      </w:r>
      <w:r>
        <w:t xml:space="preserve"> continues to be an area </w:t>
      </w:r>
      <w:r w:rsidR="004A3351">
        <w:t xml:space="preserve">for </w:t>
      </w:r>
      <w:r>
        <w:t>improvement.</w:t>
      </w:r>
    </w:p>
    <w:p w14:paraId="287A9098" w14:textId="780859D3" w:rsidR="00603487" w:rsidRDefault="00B52B07" w:rsidP="003A4201">
      <w:pPr>
        <w:pStyle w:val="Heading3"/>
      </w:pPr>
      <w:r>
        <w:t xml:space="preserve">Blood products and </w:t>
      </w:r>
      <w:r w:rsidR="00DD35A9">
        <w:t>p</w:t>
      </w:r>
      <w:r w:rsidR="00603487">
        <w:t>athology</w:t>
      </w:r>
    </w:p>
    <w:p w14:paraId="365060B4" w14:textId="2FD19F98" w:rsidR="000D482B" w:rsidRDefault="000D482B" w:rsidP="001E3D8F">
      <w:r>
        <w:t xml:space="preserve">The inclusion and allocation of costs relating to blood products and pathology continue to be an area </w:t>
      </w:r>
      <w:r w:rsidR="00A34FFF">
        <w:t>of</w:t>
      </w:r>
      <w:r>
        <w:t xml:space="preserve"> improvement for several of the jurisdictions</w:t>
      </w:r>
      <w:r w:rsidR="00DE5334">
        <w:t>, including SA, WA</w:t>
      </w:r>
      <w:r w:rsidR="00E74927">
        <w:t>,</w:t>
      </w:r>
      <w:r w:rsidR="00DE5334">
        <w:t xml:space="preserve"> and Tasmania.</w:t>
      </w:r>
    </w:p>
    <w:p w14:paraId="317F1DE6" w14:textId="66B5A5ED" w:rsidR="00C346CE" w:rsidRDefault="005B0A5F" w:rsidP="001E3D8F">
      <w:r>
        <w:t xml:space="preserve">Tasmania </w:t>
      </w:r>
      <w:r w:rsidR="00A57EE4">
        <w:t>reported issues with</w:t>
      </w:r>
      <w:r>
        <w:t xml:space="preserve"> </w:t>
      </w:r>
      <w:r w:rsidR="00D01758">
        <w:t xml:space="preserve">availability of </w:t>
      </w:r>
      <w:r>
        <w:t>blood and pathology data at one of the</w:t>
      </w:r>
      <w:r w:rsidR="004639C0">
        <w:t>ir</w:t>
      </w:r>
      <w:r>
        <w:t xml:space="preserve"> hospital</w:t>
      </w:r>
      <w:r w:rsidR="004639C0">
        <w:t>’</w:t>
      </w:r>
      <w:r>
        <w:t>s</w:t>
      </w:r>
      <w:r w:rsidR="004639C0">
        <w:t xml:space="preserve"> pathology units</w:t>
      </w:r>
      <w:r>
        <w:t xml:space="preserve"> due to system changes</w:t>
      </w:r>
      <w:r w:rsidR="00C346CE">
        <w:t>.</w:t>
      </w:r>
      <w:r w:rsidR="00A94466">
        <w:t xml:space="preserve"> </w:t>
      </w:r>
      <w:r w:rsidR="00C346CE">
        <w:t xml:space="preserve">The service weights by diagnosis related group (DRG) from another hospital </w:t>
      </w:r>
      <w:r w:rsidR="00B11374">
        <w:t xml:space="preserve">with blood and pathology data </w:t>
      </w:r>
      <w:r w:rsidR="00C346CE">
        <w:t>w</w:t>
      </w:r>
      <w:r w:rsidR="00B60043">
        <w:t>ere</w:t>
      </w:r>
      <w:r w:rsidR="00C346CE">
        <w:t xml:space="preserve"> applied</w:t>
      </w:r>
      <w:r w:rsidR="00770FC3">
        <w:t xml:space="preserve"> to </w:t>
      </w:r>
      <w:r w:rsidR="0018123E">
        <w:t xml:space="preserve">best </w:t>
      </w:r>
      <w:r w:rsidR="00770FC3">
        <w:t>reflect resource utilisation</w:t>
      </w:r>
      <w:r w:rsidR="00D30CFA">
        <w:t>.</w:t>
      </w:r>
    </w:p>
    <w:p w14:paraId="6708CD81" w14:textId="637CA5E4" w:rsidR="00E74927" w:rsidRDefault="00E74927" w:rsidP="001E3D8F">
      <w:r>
        <w:t xml:space="preserve">National Blood Allocation and Health Service Victoria costs are not included in the </w:t>
      </w:r>
      <w:r w:rsidR="004F62AB">
        <w:t>general ledger (</w:t>
      </w:r>
      <w:r>
        <w:t>GL</w:t>
      </w:r>
      <w:r w:rsidR="004F62AB">
        <w:t>)</w:t>
      </w:r>
      <w:r>
        <w:t xml:space="preserve">. </w:t>
      </w:r>
      <w:r w:rsidRPr="002E3AE8">
        <w:t>Blood product costs have been included as a line item in the submission as has the separation of Pharmaceutical Benefits Scheme (PBS) and Non-Pharmaceutical Benefits Scheme (</w:t>
      </w:r>
      <w:r w:rsidR="0024494C">
        <w:t>N</w:t>
      </w:r>
      <w:r w:rsidRPr="002E3AE8">
        <w:t>PBS) drugs.</w:t>
      </w:r>
    </w:p>
    <w:p w14:paraId="0C922CE1" w14:textId="61AB57ED" w:rsidR="000F19CC" w:rsidRPr="00216A6E" w:rsidRDefault="00216A6E" w:rsidP="003A4201">
      <w:pPr>
        <w:pStyle w:val="Heading3"/>
      </w:pPr>
      <w:r w:rsidRPr="001F1CA6">
        <w:t xml:space="preserve">Contracted </w:t>
      </w:r>
      <w:r w:rsidR="00DD35A9">
        <w:t>c</w:t>
      </w:r>
      <w:r w:rsidRPr="001F1CA6">
        <w:t>are</w:t>
      </w:r>
    </w:p>
    <w:p w14:paraId="7121146A" w14:textId="1A33BC19" w:rsidR="008C0D10" w:rsidRDefault="00BC588B" w:rsidP="001E3D8F">
      <w:r>
        <w:t xml:space="preserve">Queensland and WA reported that the costing of </w:t>
      </w:r>
      <w:r w:rsidR="00A34FFF">
        <w:t>contracted care services is an ongoing area for improvement</w:t>
      </w:r>
      <w:r w:rsidR="00735ED4">
        <w:t>, with</w:t>
      </w:r>
      <w:r w:rsidR="00EA67B1">
        <w:t xml:space="preserve"> WA advis</w:t>
      </w:r>
      <w:r w:rsidR="003F2E41">
        <w:t>ing</w:t>
      </w:r>
      <w:r w:rsidR="00EA67B1">
        <w:t xml:space="preserve"> </w:t>
      </w:r>
      <w:r w:rsidR="00753723">
        <w:t>they undertook</w:t>
      </w:r>
      <w:r w:rsidR="00EA67B1">
        <w:t xml:space="preserve"> significant work to improve contracted care costs and activity for the NHCDC 2022-23</w:t>
      </w:r>
      <w:r w:rsidR="00226524">
        <w:t>.</w:t>
      </w:r>
    </w:p>
    <w:p w14:paraId="43AD4A14" w14:textId="0FB80BD4" w:rsidR="00747119" w:rsidRDefault="004D41C3" w:rsidP="00895767">
      <w:r>
        <w:t>In NSW, the c</w:t>
      </w:r>
      <w:r w:rsidR="003B4EC1">
        <w:t>ost of contracted care or outsourced services were reported using the goods and services line item</w:t>
      </w:r>
      <w:r w:rsidR="00DF704A">
        <w:t xml:space="preserve">, reflecting the state chart of account code in the </w:t>
      </w:r>
      <w:r w:rsidR="00D73DE0">
        <w:t>GL</w:t>
      </w:r>
      <w:r w:rsidR="00DF704A">
        <w:t>. NSW notes that the disaggregation of these costs into separate line items is not feasible due to the volume of contracted care.</w:t>
      </w:r>
    </w:p>
    <w:p w14:paraId="7EA6FA88" w14:textId="1B8B53DE" w:rsidR="001E3D8F" w:rsidRDefault="001F5242" w:rsidP="003A4201">
      <w:pPr>
        <w:pStyle w:val="Heading2"/>
      </w:pPr>
      <w:bookmarkStart w:id="38" w:name="_Toc179296640"/>
      <w:r>
        <w:t xml:space="preserve">Quality </w:t>
      </w:r>
      <w:r w:rsidR="00D5634B">
        <w:t>assurance processes</w:t>
      </w:r>
      <w:bookmarkEnd w:id="38"/>
    </w:p>
    <w:p w14:paraId="5E0B04A8" w14:textId="79F70DC5" w:rsidR="00504DBD" w:rsidRDefault="00A42832" w:rsidP="00895767">
      <w:r>
        <w:t>A</w:t>
      </w:r>
      <w:r w:rsidR="00E22F98">
        <w:t>ll jurisdictions</w:t>
      </w:r>
      <w:r>
        <w:t xml:space="preserve"> provided a</w:t>
      </w:r>
      <w:r w:rsidR="00E22F98">
        <w:t xml:space="preserve"> description of their </w:t>
      </w:r>
      <w:r>
        <w:t xml:space="preserve">processes for performing </w:t>
      </w:r>
      <w:r w:rsidR="00E22F98">
        <w:t>quality assurance checks</w:t>
      </w:r>
      <w:r w:rsidR="000A1B4D">
        <w:t xml:space="preserve"> </w:t>
      </w:r>
      <w:r w:rsidR="003A29F8">
        <w:t xml:space="preserve">with </w:t>
      </w:r>
      <w:r w:rsidR="006933AF">
        <w:t>some</w:t>
      </w:r>
      <w:r w:rsidR="003A29F8">
        <w:t xml:space="preserve"> variation in the frequency of these checks. </w:t>
      </w:r>
      <w:r w:rsidR="004F2F36">
        <w:t xml:space="preserve">Most jurisdictions reported </w:t>
      </w:r>
      <w:r w:rsidR="009B3F6B">
        <w:t xml:space="preserve">having a system </w:t>
      </w:r>
      <w:r w:rsidR="00FF7479">
        <w:lastRenderedPageBreak/>
        <w:t xml:space="preserve">that enabled </w:t>
      </w:r>
      <w:r w:rsidR="00D07E3E">
        <w:t xml:space="preserve">internal </w:t>
      </w:r>
      <w:r w:rsidR="009B3F6B">
        <w:t xml:space="preserve">reviews and corrections to occur </w:t>
      </w:r>
      <w:r w:rsidR="00E22F98">
        <w:t>at the LHN (or equivalent) level</w:t>
      </w:r>
      <w:r w:rsidR="00320DCD">
        <w:t xml:space="preserve"> </w:t>
      </w:r>
      <w:r w:rsidR="00541513">
        <w:t xml:space="preserve">before final checks are </w:t>
      </w:r>
      <w:r w:rsidR="00EA1A94">
        <w:t xml:space="preserve">conducted </w:t>
      </w:r>
      <w:r w:rsidR="00541513">
        <w:t xml:space="preserve">at </w:t>
      </w:r>
      <w:r w:rsidR="00320DCD">
        <w:t>the jurisdictional level.</w:t>
      </w:r>
      <w:r>
        <w:t xml:space="preserve"> </w:t>
      </w:r>
      <w:r w:rsidR="005F1D68" w:rsidRPr="00982F40">
        <w:t>Some jurisdictions reported on their quality assurances processes in greater detail than others</w:t>
      </w:r>
      <w:r w:rsidR="00BD4335" w:rsidRPr="00982F40">
        <w:t>.</w:t>
      </w:r>
      <w:r w:rsidR="00BD4335">
        <w:t xml:space="preserve"> </w:t>
      </w:r>
      <w:r w:rsidR="003A2749">
        <w:t xml:space="preserve">Jurisdictions </w:t>
      </w:r>
      <w:r w:rsidR="003E6712">
        <w:t xml:space="preserve">did </w:t>
      </w:r>
      <w:r w:rsidR="003A2749">
        <w:t>not</w:t>
      </w:r>
      <w:r w:rsidR="000A2AB2">
        <w:t xml:space="preserve"> report </w:t>
      </w:r>
      <w:r w:rsidR="003A2749">
        <w:t>any</w:t>
      </w:r>
      <w:r w:rsidR="007411E9">
        <w:t xml:space="preserve"> significant</w:t>
      </w:r>
      <w:r w:rsidR="003A2749">
        <w:t xml:space="preserve"> </w:t>
      </w:r>
      <w:r w:rsidR="000A2AB2">
        <w:t>change in the quality assurance processes</w:t>
      </w:r>
      <w:r w:rsidR="003A2749">
        <w:t xml:space="preserve"> for the 2022-23 NHCDC submission</w:t>
      </w:r>
      <w:r w:rsidR="00DE479F">
        <w:t>.</w:t>
      </w:r>
    </w:p>
    <w:p w14:paraId="6A316870" w14:textId="29F88861" w:rsidR="00BF4460" w:rsidRPr="00A963D6" w:rsidRDefault="00BF4460" w:rsidP="00566394">
      <w:pPr>
        <w:sectPr w:rsidR="00BF4460" w:rsidRPr="00A963D6">
          <w:pgSz w:w="11906" w:h="16838" w:code="9"/>
          <w:pgMar w:top="1440" w:right="1080" w:bottom="1440" w:left="1080" w:header="708" w:footer="708" w:gutter="0"/>
          <w:cols w:space="708"/>
          <w:docGrid w:linePitch="360"/>
        </w:sectPr>
      </w:pPr>
    </w:p>
    <w:p w14:paraId="0480820F" w14:textId="2B557025" w:rsidR="002920B4" w:rsidRDefault="002920B4" w:rsidP="003A4201">
      <w:pPr>
        <w:pStyle w:val="Heading2"/>
      </w:pPr>
      <w:bookmarkStart w:id="39" w:name="_Ref176174182"/>
      <w:bookmarkStart w:id="40" w:name="_Toc179296641"/>
      <w:r>
        <w:lastRenderedPageBreak/>
        <w:t>Reconciliation</w:t>
      </w:r>
      <w:bookmarkEnd w:id="39"/>
      <w:bookmarkEnd w:id="40"/>
    </w:p>
    <w:p w14:paraId="510A261B" w14:textId="5A86C10A" w:rsidR="002920B4" w:rsidRDefault="00136F24" w:rsidP="006008CF">
      <w:r>
        <w:t xml:space="preserve">The </w:t>
      </w:r>
      <w:r w:rsidR="00AF5E9E">
        <w:t>GL</w:t>
      </w:r>
      <w:r>
        <w:t xml:space="preserve"> reconciliation process involve</w:t>
      </w:r>
      <w:r w:rsidR="00F62A3E">
        <w:t>s</w:t>
      </w:r>
      <w:r>
        <w:t xml:space="preserve"> </w:t>
      </w:r>
      <w:r w:rsidR="002920B4">
        <w:t xml:space="preserve">comparing figures sourced from </w:t>
      </w:r>
      <w:r w:rsidR="00F62A3E">
        <w:t xml:space="preserve">jurisdictions’ </w:t>
      </w:r>
      <w:r>
        <w:t xml:space="preserve">GL </w:t>
      </w:r>
      <w:r w:rsidR="002920B4">
        <w:t>information</w:t>
      </w:r>
      <w:r w:rsidR="003E6712">
        <w:t xml:space="preserve"> with NHCDC submitted to IHACPA</w:t>
      </w:r>
      <w:r>
        <w:t>, including</w:t>
      </w:r>
      <w:r w:rsidR="002920B4">
        <w:t xml:space="preserve"> adjustments to the GL</w:t>
      </w:r>
      <w:r w:rsidR="003E6712">
        <w:t xml:space="preserve"> </w:t>
      </w:r>
      <w:r w:rsidR="00F62A3E">
        <w:t>and the total cost ledger</w:t>
      </w:r>
      <w:r w:rsidR="002920B4">
        <w:t xml:space="preserve">. </w:t>
      </w:r>
      <w:r w:rsidR="00A745E2">
        <w:fldChar w:fldCharType="begin"/>
      </w:r>
      <w:r w:rsidR="00A745E2">
        <w:instrText xml:space="preserve"> REF _Ref175925564 \h </w:instrText>
      </w:r>
      <w:r w:rsidR="00A745E2">
        <w:fldChar w:fldCharType="separate"/>
      </w:r>
      <w:r w:rsidR="00282C17">
        <w:t xml:space="preserve">Table </w:t>
      </w:r>
      <w:r w:rsidR="00282C17">
        <w:rPr>
          <w:noProof/>
        </w:rPr>
        <w:t>3</w:t>
      </w:r>
      <w:r w:rsidR="00A745E2">
        <w:fldChar w:fldCharType="end"/>
      </w:r>
      <w:r w:rsidR="00A745E2">
        <w:t xml:space="preserve"> </w:t>
      </w:r>
      <w:r w:rsidR="002920B4">
        <w:t>contains a summary of GL</w:t>
      </w:r>
      <w:r w:rsidR="001744BF">
        <w:t xml:space="preserve"> and cost ledger</w:t>
      </w:r>
      <w:r w:rsidR="002920B4">
        <w:t xml:space="preserve"> information </w:t>
      </w:r>
      <w:r w:rsidR="00F62A3E">
        <w:t xml:space="preserve">at </w:t>
      </w:r>
      <w:r w:rsidR="002920B4">
        <w:t xml:space="preserve">various stages </w:t>
      </w:r>
      <w:r w:rsidR="008172FD">
        <w:t>both before and after submission to the NHCDC</w:t>
      </w:r>
      <w:r w:rsidR="002920B4">
        <w:t>.</w:t>
      </w:r>
    </w:p>
    <w:p w14:paraId="6CC827E7" w14:textId="0CDC71B1" w:rsidR="002920B4" w:rsidRPr="003A4201" w:rsidRDefault="002920B4" w:rsidP="006008CF">
      <w:r w:rsidRPr="003A4201">
        <w:t>No material variances were identified between jurisdictional and IHACPA</w:t>
      </w:r>
      <w:r w:rsidR="001F30A7" w:rsidRPr="003A4201">
        <w:t>’s</w:t>
      </w:r>
      <w:r w:rsidRPr="003A4201">
        <w:t xml:space="preserve"> records through this process. This confirms all appropriate costs included in the </w:t>
      </w:r>
      <w:r w:rsidR="00FB4D78">
        <w:t>GL</w:t>
      </w:r>
      <w:r w:rsidRPr="003A4201">
        <w:t xml:space="preserve"> have been included in the NHCDC </w:t>
      </w:r>
      <w:r w:rsidR="00D25565" w:rsidRPr="003A4201">
        <w:t>2022-23</w:t>
      </w:r>
      <w:r w:rsidRPr="003A4201">
        <w:t xml:space="preserve"> national dataset.</w:t>
      </w:r>
    </w:p>
    <w:p w14:paraId="55AFC1C7" w14:textId="716DBCF4" w:rsidR="002920B4" w:rsidRPr="00E96C8D" w:rsidRDefault="00A745E2" w:rsidP="00A745E2">
      <w:pPr>
        <w:pStyle w:val="Caption"/>
      </w:pPr>
      <w:bookmarkStart w:id="41" w:name="_Ref175925564"/>
      <w:bookmarkStart w:id="42" w:name="_Ref156570886"/>
      <w:r>
        <w:t xml:space="preserve">Table </w:t>
      </w:r>
      <w:r>
        <w:fldChar w:fldCharType="begin"/>
      </w:r>
      <w:r>
        <w:instrText xml:space="preserve"> SEQ Table \* ARABIC </w:instrText>
      </w:r>
      <w:r>
        <w:fldChar w:fldCharType="separate"/>
      </w:r>
      <w:r w:rsidR="00282C17">
        <w:rPr>
          <w:noProof/>
        </w:rPr>
        <w:t>3</w:t>
      </w:r>
      <w:r>
        <w:fldChar w:fldCharType="end"/>
      </w:r>
      <w:bookmarkEnd w:id="41"/>
      <w:r w:rsidR="002920B4" w:rsidRPr="00E96C8D">
        <w:t>:</w:t>
      </w:r>
      <w:bookmarkEnd w:id="42"/>
      <w:r w:rsidR="002920B4" w:rsidRPr="00E96C8D">
        <w:t xml:space="preserve"> General </w:t>
      </w:r>
      <w:r w:rsidR="00921158">
        <w:t>l</w:t>
      </w:r>
      <w:r w:rsidR="002920B4" w:rsidRPr="00E96C8D">
        <w:t xml:space="preserve">edger </w:t>
      </w:r>
      <w:r w:rsidR="00921158">
        <w:t>r</w:t>
      </w:r>
      <w:r w:rsidR="002920B4" w:rsidRPr="00E96C8D">
        <w:t>econciliati</w:t>
      </w:r>
      <w:r w:rsidR="002920B4" w:rsidRPr="00500DC2">
        <w:t xml:space="preserve">on, </w:t>
      </w:r>
      <w:r w:rsidR="002920B4" w:rsidRPr="00895767">
        <w:t>$ million</w:t>
      </w:r>
    </w:p>
    <w:tbl>
      <w:tblPr>
        <w:tblStyle w:val="ListTable3-Accent2"/>
        <w:tblW w:w="15001" w:type="dxa"/>
        <w:jc w:val="center"/>
        <w:tblLayout w:type="fixed"/>
        <w:tblLook w:val="0020" w:firstRow="1" w:lastRow="0" w:firstColumn="0" w:lastColumn="0" w:noHBand="0" w:noVBand="0"/>
      </w:tblPr>
      <w:tblGrid>
        <w:gridCol w:w="3964"/>
        <w:gridCol w:w="1560"/>
        <w:gridCol w:w="1308"/>
        <w:gridCol w:w="1434"/>
        <w:gridCol w:w="1389"/>
        <w:gridCol w:w="1434"/>
        <w:gridCol w:w="1389"/>
        <w:gridCol w:w="1389"/>
        <w:gridCol w:w="1134"/>
      </w:tblGrid>
      <w:tr w:rsidR="00825D10" w:rsidRPr="00E96C8D" w14:paraId="1340EF6E" w14:textId="77777777" w:rsidTr="00884FDF">
        <w:trPr>
          <w:cnfStyle w:val="100000000000" w:firstRow="1" w:lastRow="0" w:firstColumn="0" w:lastColumn="0" w:oddVBand="0" w:evenVBand="0" w:oddHBand="0" w:evenHBand="0" w:firstRowFirstColumn="0" w:firstRowLastColumn="0" w:lastRowFirstColumn="0" w:lastRowLastColumn="0"/>
          <w:trHeight w:val="18"/>
          <w:jc w:val="center"/>
        </w:trPr>
        <w:tc>
          <w:tcPr>
            <w:cnfStyle w:val="000010000000" w:firstRow="0" w:lastRow="0" w:firstColumn="0" w:lastColumn="0" w:oddVBand="1" w:evenVBand="0" w:oddHBand="0" w:evenHBand="0" w:firstRowFirstColumn="0" w:firstRowLastColumn="0" w:lastRowFirstColumn="0" w:lastRowLastColumn="0"/>
            <w:tcW w:w="3964" w:type="dxa"/>
            <w:shd w:val="clear" w:color="auto" w:fill="005F92" w:themeFill="accent3" w:themeFillShade="BF"/>
            <w:vAlign w:val="center"/>
          </w:tcPr>
          <w:p w14:paraId="52A9C8AE" w14:textId="77777777" w:rsidR="00825D10" w:rsidRPr="008A4B1E" w:rsidRDefault="00825D10" w:rsidP="00825D10">
            <w:pPr>
              <w:spacing w:before="20" w:after="20"/>
              <w:rPr>
                <w:color w:val="FFFFFF" w:themeColor="background2"/>
                <w:sz w:val="20"/>
                <w:szCs w:val="20"/>
              </w:rPr>
            </w:pPr>
            <w:bookmarkStart w:id="43" w:name="_Hlk181625872"/>
          </w:p>
        </w:tc>
        <w:tc>
          <w:tcPr>
            <w:tcW w:w="1560" w:type="dxa"/>
            <w:shd w:val="clear" w:color="auto" w:fill="005F92" w:themeFill="accent3" w:themeFillShade="BF"/>
            <w:vAlign w:val="center"/>
          </w:tcPr>
          <w:p w14:paraId="5684AFCC" w14:textId="507D5B5A" w:rsidR="00825D10" w:rsidRPr="006008CF" w:rsidRDefault="00825D10" w:rsidP="00825D10">
            <w:pPr>
              <w:spacing w:before="20" w:after="20"/>
              <w:jc w:val="center"/>
              <w:cnfStyle w:val="100000000000" w:firstRow="1" w:lastRow="0" w:firstColumn="0" w:lastColumn="0" w:oddVBand="0" w:evenVBand="0" w:oddHBand="0" w:evenHBand="0" w:firstRowFirstColumn="0" w:firstRowLastColumn="0" w:lastRowFirstColumn="0" w:lastRowLastColumn="0"/>
              <w:rPr>
                <w:color w:val="379887" w:themeColor="background1" w:themeShade="BF"/>
                <w:sz w:val="20"/>
                <w:szCs w:val="20"/>
              </w:rPr>
            </w:pPr>
            <w:r>
              <w:rPr>
                <w:color w:val="FFFFFF" w:themeColor="background2"/>
                <w:sz w:val="20"/>
                <w:szCs w:val="20"/>
              </w:rPr>
              <w:t>NSW</w:t>
            </w:r>
          </w:p>
        </w:tc>
        <w:tc>
          <w:tcPr>
            <w:cnfStyle w:val="000010000000" w:firstRow="0" w:lastRow="0" w:firstColumn="0" w:lastColumn="0" w:oddVBand="1" w:evenVBand="0" w:oddHBand="0" w:evenHBand="0" w:firstRowFirstColumn="0" w:firstRowLastColumn="0" w:lastRowFirstColumn="0" w:lastRowLastColumn="0"/>
            <w:tcW w:w="1308" w:type="dxa"/>
            <w:shd w:val="clear" w:color="auto" w:fill="005F92" w:themeFill="accent3" w:themeFillShade="BF"/>
            <w:vAlign w:val="center"/>
          </w:tcPr>
          <w:p w14:paraId="3B59173A" w14:textId="742679FD" w:rsidR="00825D10" w:rsidRPr="006008CF" w:rsidRDefault="00825D10" w:rsidP="00825D10">
            <w:pPr>
              <w:spacing w:before="20" w:after="20"/>
              <w:jc w:val="center"/>
              <w:rPr>
                <w:color w:val="379887" w:themeColor="background1" w:themeShade="BF"/>
                <w:sz w:val="20"/>
                <w:szCs w:val="20"/>
              </w:rPr>
            </w:pPr>
            <w:r w:rsidRPr="006008CF">
              <w:rPr>
                <w:color w:val="FFFFFF" w:themeColor="background2"/>
                <w:sz w:val="20"/>
                <w:szCs w:val="20"/>
              </w:rPr>
              <w:t>Vic</w:t>
            </w:r>
          </w:p>
        </w:tc>
        <w:tc>
          <w:tcPr>
            <w:tcW w:w="1434" w:type="dxa"/>
            <w:shd w:val="clear" w:color="auto" w:fill="005F92" w:themeFill="accent3" w:themeFillShade="BF"/>
            <w:vAlign w:val="center"/>
          </w:tcPr>
          <w:p w14:paraId="63DCD80C" w14:textId="77777777" w:rsidR="00825D10" w:rsidRPr="008A4B1E" w:rsidRDefault="00825D10" w:rsidP="00825D10">
            <w:pPr>
              <w:spacing w:before="20" w:after="20"/>
              <w:jc w:val="center"/>
              <w:cnfStyle w:val="100000000000" w:firstRow="1" w:lastRow="0" w:firstColumn="0" w:lastColumn="0" w:oddVBand="0" w:evenVBand="0" w:oddHBand="0" w:evenHBand="0" w:firstRowFirstColumn="0" w:firstRowLastColumn="0" w:lastRowFirstColumn="0" w:lastRowLastColumn="0"/>
              <w:rPr>
                <w:color w:val="FFFFFF" w:themeColor="background2"/>
                <w:sz w:val="20"/>
                <w:szCs w:val="20"/>
              </w:rPr>
            </w:pPr>
            <w:r>
              <w:rPr>
                <w:color w:val="FFFFFF" w:themeColor="background2"/>
                <w:sz w:val="20"/>
                <w:szCs w:val="20"/>
              </w:rPr>
              <w:t>Qld</w:t>
            </w:r>
          </w:p>
        </w:tc>
        <w:tc>
          <w:tcPr>
            <w:cnfStyle w:val="000010000000" w:firstRow="0" w:lastRow="0" w:firstColumn="0" w:lastColumn="0" w:oddVBand="1" w:evenVBand="0" w:oddHBand="0" w:evenHBand="0" w:firstRowFirstColumn="0" w:firstRowLastColumn="0" w:lastRowFirstColumn="0" w:lastRowLastColumn="0"/>
            <w:tcW w:w="1389" w:type="dxa"/>
            <w:shd w:val="clear" w:color="auto" w:fill="005F92" w:themeFill="accent3" w:themeFillShade="BF"/>
            <w:vAlign w:val="center"/>
          </w:tcPr>
          <w:p w14:paraId="2A59253E" w14:textId="77777777" w:rsidR="00825D10" w:rsidRPr="008A4B1E" w:rsidRDefault="00825D10" w:rsidP="00825D10">
            <w:pPr>
              <w:spacing w:before="20" w:after="20"/>
              <w:jc w:val="center"/>
              <w:rPr>
                <w:color w:val="FFFFFF" w:themeColor="background2"/>
                <w:sz w:val="20"/>
                <w:szCs w:val="20"/>
              </w:rPr>
            </w:pPr>
            <w:r>
              <w:rPr>
                <w:color w:val="FFFFFF" w:themeColor="background2"/>
                <w:sz w:val="20"/>
                <w:szCs w:val="20"/>
              </w:rPr>
              <w:t>SA</w:t>
            </w:r>
          </w:p>
        </w:tc>
        <w:tc>
          <w:tcPr>
            <w:tcW w:w="1434" w:type="dxa"/>
            <w:shd w:val="clear" w:color="auto" w:fill="005F92" w:themeFill="accent3" w:themeFillShade="BF"/>
            <w:vAlign w:val="center"/>
          </w:tcPr>
          <w:p w14:paraId="38F6900B" w14:textId="77777777" w:rsidR="00825D10" w:rsidRPr="0014443A" w:rsidRDefault="00825D10" w:rsidP="00825D10">
            <w:pPr>
              <w:spacing w:before="20" w:after="20"/>
              <w:jc w:val="center"/>
              <w:cnfStyle w:val="100000000000" w:firstRow="1" w:lastRow="0" w:firstColumn="0" w:lastColumn="0" w:oddVBand="0" w:evenVBand="0" w:oddHBand="0" w:evenHBand="0" w:firstRowFirstColumn="0" w:firstRowLastColumn="0" w:lastRowFirstColumn="0" w:lastRowLastColumn="0"/>
              <w:rPr>
                <w:color w:val="FFFFFF" w:themeColor="background2"/>
                <w:sz w:val="20"/>
                <w:szCs w:val="20"/>
              </w:rPr>
            </w:pPr>
            <w:r w:rsidRPr="0014443A">
              <w:rPr>
                <w:color w:val="FFFFFF" w:themeColor="background2"/>
                <w:sz w:val="20"/>
                <w:szCs w:val="20"/>
              </w:rPr>
              <w:t>WA</w:t>
            </w:r>
          </w:p>
        </w:tc>
        <w:tc>
          <w:tcPr>
            <w:cnfStyle w:val="000010000000" w:firstRow="0" w:lastRow="0" w:firstColumn="0" w:lastColumn="0" w:oddVBand="1" w:evenVBand="0" w:oddHBand="0" w:evenHBand="0" w:firstRowFirstColumn="0" w:firstRowLastColumn="0" w:lastRowFirstColumn="0" w:lastRowLastColumn="0"/>
            <w:tcW w:w="1389" w:type="dxa"/>
            <w:shd w:val="clear" w:color="auto" w:fill="005F92" w:themeFill="accent3" w:themeFillShade="BF"/>
            <w:vAlign w:val="center"/>
          </w:tcPr>
          <w:p w14:paraId="6600CBA3" w14:textId="77777777" w:rsidR="00825D10" w:rsidRPr="0014443A" w:rsidRDefault="00825D10" w:rsidP="00825D10">
            <w:pPr>
              <w:spacing w:before="20" w:after="20"/>
              <w:jc w:val="center"/>
              <w:rPr>
                <w:color w:val="FFFFFF" w:themeColor="background2"/>
                <w:sz w:val="20"/>
                <w:szCs w:val="20"/>
              </w:rPr>
            </w:pPr>
            <w:r w:rsidRPr="0014443A">
              <w:rPr>
                <w:color w:val="FFFFFF" w:themeColor="background2"/>
                <w:sz w:val="20"/>
                <w:szCs w:val="20"/>
              </w:rPr>
              <w:t>Tas</w:t>
            </w:r>
          </w:p>
        </w:tc>
        <w:tc>
          <w:tcPr>
            <w:tcW w:w="1389" w:type="dxa"/>
            <w:shd w:val="clear" w:color="auto" w:fill="005F92" w:themeFill="accent3" w:themeFillShade="BF"/>
            <w:vAlign w:val="center"/>
          </w:tcPr>
          <w:p w14:paraId="47911DA8" w14:textId="77777777" w:rsidR="00825D10" w:rsidRPr="008A4B1E" w:rsidRDefault="00825D10" w:rsidP="00825D10">
            <w:pPr>
              <w:spacing w:before="20" w:after="20"/>
              <w:jc w:val="center"/>
              <w:cnfStyle w:val="100000000000" w:firstRow="1" w:lastRow="0" w:firstColumn="0" w:lastColumn="0" w:oddVBand="0" w:evenVBand="0" w:oddHBand="0" w:evenHBand="0" w:firstRowFirstColumn="0" w:firstRowLastColumn="0" w:lastRowFirstColumn="0" w:lastRowLastColumn="0"/>
              <w:rPr>
                <w:color w:val="FFFFFF" w:themeColor="background2"/>
                <w:sz w:val="20"/>
                <w:szCs w:val="20"/>
              </w:rPr>
            </w:pPr>
            <w:r>
              <w:rPr>
                <w:color w:val="FFFFFF" w:themeColor="background2"/>
                <w:sz w:val="20"/>
                <w:szCs w:val="20"/>
              </w:rPr>
              <w:t>NT</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005F92" w:themeFill="accent3" w:themeFillShade="BF"/>
            <w:vAlign w:val="center"/>
          </w:tcPr>
          <w:p w14:paraId="252B9006" w14:textId="77777777" w:rsidR="00825D10" w:rsidRPr="008A4B1E" w:rsidRDefault="00825D10" w:rsidP="00825D10">
            <w:pPr>
              <w:spacing w:before="20" w:after="20"/>
              <w:jc w:val="center"/>
              <w:rPr>
                <w:color w:val="FFFFFF" w:themeColor="background2"/>
                <w:sz w:val="20"/>
                <w:szCs w:val="20"/>
              </w:rPr>
            </w:pPr>
            <w:r w:rsidRPr="00400506">
              <w:rPr>
                <w:color w:val="FFFFFF" w:themeColor="background2"/>
                <w:sz w:val="20"/>
                <w:szCs w:val="20"/>
              </w:rPr>
              <w:t>ACT</w:t>
            </w:r>
          </w:p>
        </w:tc>
      </w:tr>
      <w:tr w:rsidR="00825D10" w:rsidRPr="00E96C8D" w14:paraId="7E3F5E36" w14:textId="77777777" w:rsidTr="00884FDF">
        <w:trPr>
          <w:cnfStyle w:val="000000100000" w:firstRow="0" w:lastRow="0" w:firstColumn="0" w:lastColumn="0" w:oddVBand="0" w:evenVBand="0" w:oddHBand="1" w:evenHBand="0" w:firstRowFirstColumn="0" w:firstRowLastColumn="0" w:lastRowFirstColumn="0" w:lastRowLastColumn="0"/>
          <w:trHeight w:val="70"/>
          <w:jc w:val="center"/>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3D2DF9BF" w14:textId="77777777" w:rsidR="00825D10" w:rsidRPr="00E96C8D" w:rsidRDefault="00825D10" w:rsidP="00825D10">
            <w:pPr>
              <w:spacing w:before="20" w:after="20"/>
              <w:rPr>
                <w:color w:val="1C1C1C"/>
                <w:sz w:val="16"/>
                <w:szCs w:val="16"/>
              </w:rPr>
            </w:pPr>
            <w:r w:rsidRPr="00E96C8D">
              <w:rPr>
                <w:color w:val="1C1C1C"/>
                <w:sz w:val="16"/>
                <w:szCs w:val="16"/>
              </w:rPr>
              <w:t>General ledger (GL)</w:t>
            </w:r>
          </w:p>
        </w:tc>
        <w:tc>
          <w:tcPr>
            <w:tcW w:w="1560" w:type="dxa"/>
          </w:tcPr>
          <w:p w14:paraId="27D2E35D" w14:textId="2221C45F" w:rsidR="00825D10" w:rsidRPr="006008CF" w:rsidRDefault="00761F19" w:rsidP="00825D10">
            <w:pPr>
              <w:spacing w:before="20" w:after="20"/>
              <w:jc w:val="right"/>
              <w:cnfStyle w:val="000000100000" w:firstRow="0" w:lastRow="0" w:firstColumn="0" w:lastColumn="0" w:oddVBand="0" w:evenVBand="0" w:oddHBand="1" w:evenHBand="0" w:firstRowFirstColumn="0" w:firstRowLastColumn="0" w:lastRowFirstColumn="0" w:lastRowLastColumn="0"/>
              <w:rPr>
                <w:color w:val="379887" w:themeColor="background1" w:themeShade="BF"/>
                <w:sz w:val="16"/>
                <w:szCs w:val="16"/>
              </w:rPr>
            </w:pPr>
            <w:r>
              <w:rPr>
                <w:color w:val="1C1C1C"/>
                <w:sz w:val="16"/>
                <w:szCs w:val="16"/>
              </w:rPr>
              <w:t>$24,350</w:t>
            </w:r>
          </w:p>
        </w:tc>
        <w:tc>
          <w:tcPr>
            <w:cnfStyle w:val="000010000000" w:firstRow="0" w:lastRow="0" w:firstColumn="0" w:lastColumn="0" w:oddVBand="1" w:evenVBand="0" w:oddHBand="0" w:evenHBand="0" w:firstRowFirstColumn="0" w:firstRowLastColumn="0" w:lastRowFirstColumn="0" w:lastRowLastColumn="0"/>
            <w:tcW w:w="1308" w:type="dxa"/>
          </w:tcPr>
          <w:p w14:paraId="60692B7E" w14:textId="22102B35" w:rsidR="00825D10" w:rsidRPr="006008CF" w:rsidRDefault="00F21BD0" w:rsidP="00825D10">
            <w:pPr>
              <w:spacing w:before="20" w:after="20"/>
              <w:jc w:val="right"/>
              <w:rPr>
                <w:color w:val="379887" w:themeColor="background1" w:themeShade="BF"/>
                <w:sz w:val="16"/>
                <w:szCs w:val="16"/>
              </w:rPr>
            </w:pPr>
            <w:r>
              <w:rPr>
                <w:color w:val="1C1C1C"/>
                <w:sz w:val="16"/>
                <w:szCs w:val="16"/>
              </w:rPr>
              <w:t>$23,781</w:t>
            </w:r>
          </w:p>
        </w:tc>
        <w:tc>
          <w:tcPr>
            <w:tcW w:w="1434" w:type="dxa"/>
          </w:tcPr>
          <w:p w14:paraId="3DB67044" w14:textId="3A55D35B" w:rsidR="00825D10" w:rsidRPr="006672DD" w:rsidRDefault="00825D10" w:rsidP="00825D10">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493DF4">
              <w:rPr>
                <w:color w:val="1C1C1C"/>
                <w:sz w:val="16"/>
                <w:szCs w:val="16"/>
              </w:rPr>
              <w:t>$20,47</w:t>
            </w:r>
            <w:r>
              <w:rPr>
                <w:color w:val="1C1C1C"/>
                <w:sz w:val="16"/>
                <w:szCs w:val="16"/>
              </w:rPr>
              <w:t>3</w:t>
            </w:r>
          </w:p>
        </w:tc>
        <w:tc>
          <w:tcPr>
            <w:cnfStyle w:val="000010000000" w:firstRow="0" w:lastRow="0" w:firstColumn="0" w:lastColumn="0" w:oddVBand="1" w:evenVBand="0" w:oddHBand="0" w:evenHBand="0" w:firstRowFirstColumn="0" w:firstRowLastColumn="0" w:lastRowFirstColumn="0" w:lastRowLastColumn="0"/>
            <w:tcW w:w="1389" w:type="dxa"/>
          </w:tcPr>
          <w:p w14:paraId="1AFDC556" w14:textId="099A1092" w:rsidR="00825D10" w:rsidRPr="006672DD" w:rsidRDefault="00825D10" w:rsidP="00825D10">
            <w:pPr>
              <w:spacing w:before="20" w:after="20"/>
              <w:jc w:val="right"/>
              <w:rPr>
                <w:color w:val="1C1C1C"/>
                <w:sz w:val="16"/>
                <w:szCs w:val="16"/>
              </w:rPr>
            </w:pPr>
            <w:r>
              <w:rPr>
                <w:color w:val="1C1C1C"/>
                <w:sz w:val="16"/>
                <w:szCs w:val="16"/>
              </w:rPr>
              <w:t>$5,108</w:t>
            </w:r>
          </w:p>
        </w:tc>
        <w:tc>
          <w:tcPr>
            <w:tcW w:w="1434" w:type="dxa"/>
          </w:tcPr>
          <w:p w14:paraId="1488258C" w14:textId="767A6197" w:rsidR="00825D10" w:rsidRPr="006672DD" w:rsidRDefault="00825D10" w:rsidP="00825D10">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Pr>
                <w:color w:val="1C1C1C"/>
                <w:sz w:val="16"/>
                <w:szCs w:val="16"/>
              </w:rPr>
              <w:t>$9,204</w:t>
            </w:r>
          </w:p>
        </w:tc>
        <w:tc>
          <w:tcPr>
            <w:cnfStyle w:val="000010000000" w:firstRow="0" w:lastRow="0" w:firstColumn="0" w:lastColumn="0" w:oddVBand="1" w:evenVBand="0" w:oddHBand="0" w:evenHBand="0" w:firstRowFirstColumn="0" w:firstRowLastColumn="0" w:lastRowFirstColumn="0" w:lastRowLastColumn="0"/>
            <w:tcW w:w="1389" w:type="dxa"/>
          </w:tcPr>
          <w:p w14:paraId="46153344" w14:textId="4FFED2AB" w:rsidR="00825D10" w:rsidRPr="006672DD" w:rsidRDefault="00825D10" w:rsidP="00825D10">
            <w:pPr>
              <w:spacing w:before="20" w:after="20"/>
              <w:jc w:val="right"/>
              <w:rPr>
                <w:color w:val="1C1C1C"/>
                <w:sz w:val="16"/>
                <w:szCs w:val="16"/>
              </w:rPr>
            </w:pPr>
            <w:r>
              <w:rPr>
                <w:color w:val="1C1C1C"/>
                <w:sz w:val="16"/>
                <w:szCs w:val="16"/>
              </w:rPr>
              <w:t>$2,590</w:t>
            </w:r>
          </w:p>
        </w:tc>
        <w:tc>
          <w:tcPr>
            <w:tcW w:w="1389" w:type="dxa"/>
          </w:tcPr>
          <w:p w14:paraId="365C9584" w14:textId="7DE4CADA" w:rsidR="00825D10" w:rsidRPr="006672DD" w:rsidRDefault="00825D10" w:rsidP="00825D10">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Pr>
                <w:color w:val="1C1C1C"/>
                <w:sz w:val="16"/>
                <w:szCs w:val="16"/>
              </w:rPr>
              <w:t>$</w:t>
            </w:r>
            <w:r w:rsidRPr="00556133">
              <w:rPr>
                <w:color w:val="1C1C1C"/>
                <w:sz w:val="16"/>
                <w:szCs w:val="16"/>
              </w:rPr>
              <w:t>2,057</w:t>
            </w:r>
          </w:p>
        </w:tc>
        <w:tc>
          <w:tcPr>
            <w:cnfStyle w:val="000010000000" w:firstRow="0" w:lastRow="0" w:firstColumn="0" w:lastColumn="0" w:oddVBand="1" w:evenVBand="0" w:oddHBand="0" w:evenHBand="0" w:firstRowFirstColumn="0" w:firstRowLastColumn="0" w:lastRowFirstColumn="0" w:lastRowLastColumn="0"/>
            <w:tcW w:w="1134" w:type="dxa"/>
          </w:tcPr>
          <w:p w14:paraId="18E0AC51" w14:textId="7B955EAE" w:rsidR="00825D10" w:rsidRPr="006672DD" w:rsidRDefault="00825D10" w:rsidP="00825D10">
            <w:pPr>
              <w:spacing w:before="20" w:after="20"/>
              <w:jc w:val="right"/>
              <w:rPr>
                <w:color w:val="1C1C1C"/>
                <w:sz w:val="16"/>
                <w:szCs w:val="16"/>
              </w:rPr>
            </w:pPr>
            <w:r>
              <w:rPr>
                <w:color w:val="1C1C1C"/>
                <w:sz w:val="16"/>
                <w:szCs w:val="16"/>
              </w:rPr>
              <w:t>-</w:t>
            </w:r>
          </w:p>
        </w:tc>
      </w:tr>
      <w:tr w:rsidR="00825D10" w:rsidRPr="00E96C8D" w14:paraId="62A9F53F" w14:textId="77777777" w:rsidTr="00884FDF">
        <w:trPr>
          <w:trHeight w:val="338"/>
          <w:jc w:val="center"/>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600E460F" w14:textId="77777777" w:rsidR="00825D10" w:rsidRPr="00E96C8D" w:rsidRDefault="00825D10" w:rsidP="00825D10">
            <w:pPr>
              <w:spacing w:before="20" w:after="20"/>
              <w:rPr>
                <w:i/>
                <w:iCs/>
                <w:color w:val="1C1C1C"/>
                <w:sz w:val="16"/>
                <w:szCs w:val="16"/>
              </w:rPr>
            </w:pPr>
            <w:r w:rsidRPr="00E96C8D">
              <w:rPr>
                <w:color w:val="1C1C1C"/>
                <w:sz w:val="16"/>
                <w:szCs w:val="16"/>
              </w:rPr>
              <w:t xml:space="preserve">Adjustments to the GL – </w:t>
            </w:r>
            <w:r w:rsidRPr="00E96C8D">
              <w:rPr>
                <w:i/>
                <w:iCs/>
                <w:color w:val="1C1C1C"/>
                <w:sz w:val="16"/>
                <w:szCs w:val="16"/>
              </w:rPr>
              <w:t>Inclusions</w:t>
            </w:r>
          </w:p>
        </w:tc>
        <w:tc>
          <w:tcPr>
            <w:tcW w:w="1560" w:type="dxa"/>
            <w:vAlign w:val="center"/>
          </w:tcPr>
          <w:p w14:paraId="1EA2A4D0" w14:textId="0477221E" w:rsidR="00825D10" w:rsidRPr="006008CF" w:rsidRDefault="00761F19" w:rsidP="00825D10">
            <w:pPr>
              <w:spacing w:before="20" w:after="20"/>
              <w:jc w:val="right"/>
              <w:cnfStyle w:val="000000000000" w:firstRow="0" w:lastRow="0" w:firstColumn="0" w:lastColumn="0" w:oddVBand="0" w:evenVBand="0" w:oddHBand="0" w:evenHBand="0" w:firstRowFirstColumn="0" w:firstRowLastColumn="0" w:lastRowFirstColumn="0" w:lastRowLastColumn="0"/>
              <w:rPr>
                <w:rFonts w:cs="Arial"/>
                <w:color w:val="379887" w:themeColor="background1" w:themeShade="BF"/>
                <w:sz w:val="16"/>
                <w:szCs w:val="16"/>
              </w:rPr>
            </w:pPr>
            <w:r>
              <w:rPr>
                <w:color w:val="1C1C1C"/>
                <w:sz w:val="16"/>
                <w:szCs w:val="16"/>
              </w:rPr>
              <w:t>$1,799</w:t>
            </w:r>
          </w:p>
        </w:tc>
        <w:tc>
          <w:tcPr>
            <w:cnfStyle w:val="000010000000" w:firstRow="0" w:lastRow="0" w:firstColumn="0" w:lastColumn="0" w:oddVBand="1" w:evenVBand="0" w:oddHBand="0" w:evenHBand="0" w:firstRowFirstColumn="0" w:firstRowLastColumn="0" w:lastRowFirstColumn="0" w:lastRowLastColumn="0"/>
            <w:tcW w:w="1308" w:type="dxa"/>
            <w:vAlign w:val="center"/>
          </w:tcPr>
          <w:p w14:paraId="60998099" w14:textId="61564CDF" w:rsidR="00825D10" w:rsidRPr="006008CF" w:rsidRDefault="00F21BD0" w:rsidP="00825D10">
            <w:pPr>
              <w:spacing w:before="20" w:after="20"/>
              <w:jc w:val="right"/>
              <w:rPr>
                <w:color w:val="379887" w:themeColor="background1" w:themeShade="BF"/>
                <w:sz w:val="16"/>
                <w:szCs w:val="16"/>
              </w:rPr>
            </w:pPr>
            <w:r>
              <w:rPr>
                <w:color w:val="1C1C1C"/>
                <w:sz w:val="16"/>
                <w:szCs w:val="16"/>
              </w:rPr>
              <w:t>$842</w:t>
            </w:r>
          </w:p>
        </w:tc>
        <w:tc>
          <w:tcPr>
            <w:tcW w:w="1434" w:type="dxa"/>
            <w:vAlign w:val="center"/>
          </w:tcPr>
          <w:p w14:paraId="7BE760E5" w14:textId="36F7151D" w:rsidR="00825D10" w:rsidRPr="00D25565" w:rsidRDefault="00825D10" w:rsidP="00825D10">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493DF4">
              <w:rPr>
                <w:color w:val="1C1C1C"/>
                <w:sz w:val="16"/>
                <w:szCs w:val="16"/>
              </w:rPr>
              <w:t xml:space="preserve"> $30</w:t>
            </w:r>
            <w:r>
              <w:rPr>
                <w:color w:val="1C1C1C"/>
                <w:sz w:val="16"/>
                <w:szCs w:val="16"/>
              </w:rPr>
              <w:t>3</w:t>
            </w:r>
          </w:p>
        </w:tc>
        <w:tc>
          <w:tcPr>
            <w:cnfStyle w:val="000010000000" w:firstRow="0" w:lastRow="0" w:firstColumn="0" w:lastColumn="0" w:oddVBand="1" w:evenVBand="0" w:oddHBand="0" w:evenHBand="0" w:firstRowFirstColumn="0" w:firstRowLastColumn="0" w:lastRowFirstColumn="0" w:lastRowLastColumn="0"/>
            <w:tcW w:w="1389" w:type="dxa"/>
            <w:vAlign w:val="center"/>
          </w:tcPr>
          <w:p w14:paraId="767D1FEF" w14:textId="3FF1D1CD" w:rsidR="00825D10" w:rsidRPr="006672DD" w:rsidRDefault="00825D10" w:rsidP="00825D10">
            <w:pPr>
              <w:spacing w:before="20" w:after="20"/>
              <w:jc w:val="right"/>
              <w:rPr>
                <w:color w:val="1C1C1C"/>
                <w:sz w:val="16"/>
                <w:szCs w:val="16"/>
              </w:rPr>
            </w:pPr>
            <w:r>
              <w:rPr>
                <w:color w:val="1C1C1C"/>
                <w:sz w:val="16"/>
                <w:szCs w:val="16"/>
              </w:rPr>
              <w:t>$894</w:t>
            </w:r>
          </w:p>
        </w:tc>
        <w:tc>
          <w:tcPr>
            <w:tcW w:w="1434" w:type="dxa"/>
            <w:vAlign w:val="center"/>
          </w:tcPr>
          <w:p w14:paraId="393EFFA6" w14:textId="3B0A7E43" w:rsidR="00825D10" w:rsidRPr="006672DD" w:rsidRDefault="00825D10" w:rsidP="00825D10">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Pr>
                <w:color w:val="1C1C1C"/>
                <w:sz w:val="16"/>
                <w:szCs w:val="16"/>
              </w:rPr>
              <w:t>$841</w:t>
            </w:r>
          </w:p>
        </w:tc>
        <w:tc>
          <w:tcPr>
            <w:cnfStyle w:val="000010000000" w:firstRow="0" w:lastRow="0" w:firstColumn="0" w:lastColumn="0" w:oddVBand="1" w:evenVBand="0" w:oddHBand="0" w:evenHBand="0" w:firstRowFirstColumn="0" w:firstRowLastColumn="0" w:lastRowFirstColumn="0" w:lastRowLastColumn="0"/>
            <w:tcW w:w="1389" w:type="dxa"/>
            <w:vAlign w:val="center"/>
          </w:tcPr>
          <w:p w14:paraId="40E24577" w14:textId="7034BEFA" w:rsidR="00825D10" w:rsidRPr="006672DD" w:rsidRDefault="00825D10" w:rsidP="00825D10">
            <w:pPr>
              <w:spacing w:before="20" w:after="20"/>
              <w:jc w:val="right"/>
              <w:rPr>
                <w:color w:val="1C1C1C"/>
                <w:sz w:val="16"/>
                <w:szCs w:val="16"/>
              </w:rPr>
            </w:pPr>
            <w:r>
              <w:rPr>
                <w:color w:val="1C1C1C"/>
                <w:sz w:val="16"/>
                <w:szCs w:val="16"/>
              </w:rPr>
              <w:t>$</w:t>
            </w:r>
            <w:r w:rsidR="00326551">
              <w:rPr>
                <w:color w:val="1C1C1C"/>
                <w:sz w:val="16"/>
                <w:szCs w:val="16"/>
              </w:rPr>
              <w:t>50</w:t>
            </w:r>
          </w:p>
        </w:tc>
        <w:tc>
          <w:tcPr>
            <w:tcW w:w="1389" w:type="dxa"/>
            <w:vAlign w:val="center"/>
          </w:tcPr>
          <w:p w14:paraId="438FCEFB" w14:textId="75E6C837" w:rsidR="00825D10" w:rsidRPr="006672DD" w:rsidRDefault="00825D10" w:rsidP="00825D10">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556133">
              <w:rPr>
                <w:color w:val="1C1C1C"/>
                <w:sz w:val="16"/>
                <w:szCs w:val="16"/>
              </w:rPr>
              <w:t>$39</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7F044A79" w14:textId="2C5E2722" w:rsidR="00825D10" w:rsidRPr="006672DD" w:rsidRDefault="00825D10" w:rsidP="00825D10">
            <w:pPr>
              <w:spacing w:before="20" w:after="20"/>
              <w:jc w:val="right"/>
              <w:rPr>
                <w:color w:val="1C1C1C"/>
                <w:sz w:val="16"/>
                <w:szCs w:val="16"/>
              </w:rPr>
            </w:pPr>
            <w:r>
              <w:rPr>
                <w:color w:val="1C1C1C"/>
                <w:sz w:val="16"/>
                <w:szCs w:val="16"/>
              </w:rPr>
              <w:t>-</w:t>
            </w:r>
          </w:p>
        </w:tc>
      </w:tr>
      <w:tr w:rsidR="00825D10" w:rsidRPr="00E96C8D" w14:paraId="49DDB71E" w14:textId="77777777" w:rsidTr="00884FDF">
        <w:trPr>
          <w:cnfStyle w:val="000000100000" w:firstRow="0" w:lastRow="0" w:firstColumn="0" w:lastColumn="0" w:oddVBand="0" w:evenVBand="0" w:oddHBand="1" w:evenHBand="0" w:firstRowFirstColumn="0" w:firstRowLastColumn="0" w:lastRowFirstColumn="0" w:lastRowLastColumn="0"/>
          <w:trHeight w:val="64"/>
          <w:jc w:val="center"/>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2D32644E" w14:textId="77777777" w:rsidR="00825D10" w:rsidRPr="00E96C8D" w:rsidRDefault="00825D10" w:rsidP="00825D10">
            <w:pPr>
              <w:spacing w:before="20" w:after="20"/>
              <w:rPr>
                <w:i/>
                <w:iCs/>
                <w:color w:val="1C1C1C"/>
                <w:sz w:val="16"/>
                <w:szCs w:val="16"/>
              </w:rPr>
            </w:pPr>
            <w:r w:rsidRPr="00E96C8D">
              <w:rPr>
                <w:color w:val="1C1C1C"/>
                <w:sz w:val="16"/>
                <w:szCs w:val="16"/>
              </w:rPr>
              <w:t xml:space="preserve">Adjustments to the GL – </w:t>
            </w:r>
            <w:r w:rsidRPr="00E96C8D">
              <w:rPr>
                <w:i/>
                <w:iCs/>
                <w:color w:val="1C1C1C"/>
                <w:sz w:val="16"/>
                <w:szCs w:val="16"/>
              </w:rPr>
              <w:t>Exclusions</w:t>
            </w:r>
          </w:p>
        </w:tc>
        <w:tc>
          <w:tcPr>
            <w:tcW w:w="1560" w:type="dxa"/>
          </w:tcPr>
          <w:p w14:paraId="013EC5D4" w14:textId="7675335A" w:rsidR="00825D10" w:rsidRPr="00833680" w:rsidRDefault="00833680" w:rsidP="00833680">
            <w:pPr>
              <w:pStyle w:val="ListParagraph"/>
              <w:spacing w:before="20" w:after="20"/>
              <w:jc w:val="center"/>
              <w:cnfStyle w:val="000000100000" w:firstRow="0" w:lastRow="0" w:firstColumn="0" w:lastColumn="0" w:oddVBand="0" w:evenVBand="0" w:oddHBand="1" w:evenHBand="0" w:firstRowFirstColumn="0" w:firstRowLastColumn="0" w:lastRowFirstColumn="0" w:lastRowLastColumn="0"/>
              <w:rPr>
                <w:color w:val="379887" w:themeColor="background1" w:themeShade="BF"/>
                <w:sz w:val="16"/>
                <w:szCs w:val="16"/>
              </w:rPr>
            </w:pPr>
            <w:r w:rsidRPr="00493DF4">
              <w:rPr>
                <w:color w:val="1C1C1C"/>
                <w:sz w:val="16"/>
                <w:szCs w:val="16"/>
              </w:rPr>
              <w:t>-</w:t>
            </w:r>
            <w:r w:rsidR="00761F19" w:rsidRPr="00833680">
              <w:rPr>
                <w:color w:val="1C1C1C"/>
                <w:sz w:val="16"/>
                <w:szCs w:val="16"/>
              </w:rPr>
              <w:t>$5,953</w:t>
            </w:r>
          </w:p>
        </w:tc>
        <w:tc>
          <w:tcPr>
            <w:cnfStyle w:val="000010000000" w:firstRow="0" w:lastRow="0" w:firstColumn="0" w:lastColumn="0" w:oddVBand="1" w:evenVBand="0" w:oddHBand="0" w:evenHBand="0" w:firstRowFirstColumn="0" w:firstRowLastColumn="0" w:lastRowFirstColumn="0" w:lastRowLastColumn="0"/>
            <w:tcW w:w="1308" w:type="dxa"/>
          </w:tcPr>
          <w:p w14:paraId="6038000C" w14:textId="63AA8F10" w:rsidR="00825D10" w:rsidRPr="006008CF" w:rsidRDefault="00884FDF" w:rsidP="00825D10">
            <w:pPr>
              <w:spacing w:before="20" w:after="20"/>
              <w:jc w:val="right"/>
              <w:rPr>
                <w:color w:val="379887" w:themeColor="background1" w:themeShade="BF"/>
                <w:sz w:val="16"/>
                <w:szCs w:val="16"/>
              </w:rPr>
            </w:pPr>
            <w:r>
              <w:rPr>
                <w:color w:val="1C1C1C"/>
                <w:sz w:val="16"/>
                <w:szCs w:val="16"/>
              </w:rPr>
              <w:t>-</w:t>
            </w:r>
            <w:r w:rsidR="00F21BD0">
              <w:rPr>
                <w:color w:val="1C1C1C"/>
                <w:sz w:val="16"/>
                <w:szCs w:val="16"/>
              </w:rPr>
              <w:t>$7,030</w:t>
            </w:r>
          </w:p>
        </w:tc>
        <w:tc>
          <w:tcPr>
            <w:tcW w:w="1434" w:type="dxa"/>
          </w:tcPr>
          <w:p w14:paraId="5F66C8BD" w14:textId="4253A7FF" w:rsidR="00825D10" w:rsidRPr="00D25565" w:rsidRDefault="00825D10" w:rsidP="00825D10">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493DF4">
              <w:rPr>
                <w:color w:val="1C1C1C"/>
                <w:sz w:val="16"/>
                <w:szCs w:val="16"/>
              </w:rPr>
              <w:t>-$4,29</w:t>
            </w:r>
            <w:r>
              <w:rPr>
                <w:color w:val="1C1C1C"/>
                <w:sz w:val="16"/>
                <w:szCs w:val="16"/>
              </w:rPr>
              <w:t>3</w:t>
            </w:r>
          </w:p>
        </w:tc>
        <w:tc>
          <w:tcPr>
            <w:cnfStyle w:val="000010000000" w:firstRow="0" w:lastRow="0" w:firstColumn="0" w:lastColumn="0" w:oddVBand="1" w:evenVBand="0" w:oddHBand="0" w:evenHBand="0" w:firstRowFirstColumn="0" w:firstRowLastColumn="0" w:lastRowFirstColumn="0" w:lastRowLastColumn="0"/>
            <w:tcW w:w="1389" w:type="dxa"/>
          </w:tcPr>
          <w:p w14:paraId="052FF40C" w14:textId="1E60A91F" w:rsidR="00825D10" w:rsidRPr="006672DD" w:rsidRDefault="00825D10" w:rsidP="00825D10">
            <w:pPr>
              <w:spacing w:before="20" w:after="20"/>
              <w:jc w:val="right"/>
              <w:rPr>
                <w:color w:val="1C1C1C"/>
                <w:sz w:val="16"/>
                <w:szCs w:val="16"/>
              </w:rPr>
            </w:pPr>
            <w:r>
              <w:rPr>
                <w:color w:val="1C1C1C"/>
                <w:sz w:val="16"/>
                <w:szCs w:val="16"/>
              </w:rPr>
              <w:t>-$572</w:t>
            </w:r>
          </w:p>
        </w:tc>
        <w:tc>
          <w:tcPr>
            <w:tcW w:w="1434" w:type="dxa"/>
          </w:tcPr>
          <w:p w14:paraId="1BB22DBA" w14:textId="7D44C8AC" w:rsidR="00825D10" w:rsidRPr="006672DD" w:rsidRDefault="00825D10" w:rsidP="00825D10">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Pr>
                <w:color w:val="1C1C1C"/>
                <w:sz w:val="16"/>
                <w:szCs w:val="16"/>
              </w:rPr>
              <w:t>-$2,457</w:t>
            </w:r>
          </w:p>
        </w:tc>
        <w:tc>
          <w:tcPr>
            <w:cnfStyle w:val="000010000000" w:firstRow="0" w:lastRow="0" w:firstColumn="0" w:lastColumn="0" w:oddVBand="1" w:evenVBand="0" w:oddHBand="0" w:evenHBand="0" w:firstRowFirstColumn="0" w:firstRowLastColumn="0" w:lastRowFirstColumn="0" w:lastRowLastColumn="0"/>
            <w:tcW w:w="1389" w:type="dxa"/>
          </w:tcPr>
          <w:p w14:paraId="1D910958" w14:textId="0D72C68F" w:rsidR="00825D10" w:rsidRPr="006672DD" w:rsidRDefault="00825D10" w:rsidP="00825D10">
            <w:pPr>
              <w:spacing w:before="20" w:after="20"/>
              <w:jc w:val="right"/>
              <w:rPr>
                <w:color w:val="1C1C1C"/>
                <w:sz w:val="16"/>
                <w:szCs w:val="16"/>
              </w:rPr>
            </w:pPr>
            <w:r>
              <w:rPr>
                <w:color w:val="1C1C1C"/>
                <w:sz w:val="16"/>
                <w:szCs w:val="16"/>
              </w:rPr>
              <w:t>-$634</w:t>
            </w:r>
          </w:p>
        </w:tc>
        <w:tc>
          <w:tcPr>
            <w:tcW w:w="1389" w:type="dxa"/>
          </w:tcPr>
          <w:p w14:paraId="60204777" w14:textId="0CD5B7B0" w:rsidR="00825D10" w:rsidRPr="006672DD" w:rsidRDefault="00884FDF" w:rsidP="00825D10">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Pr>
                <w:color w:val="1C1C1C"/>
                <w:sz w:val="16"/>
                <w:szCs w:val="16"/>
              </w:rPr>
              <w:t>-</w:t>
            </w:r>
            <w:r w:rsidR="00825D10" w:rsidRPr="00556133">
              <w:rPr>
                <w:color w:val="1C1C1C"/>
                <w:sz w:val="16"/>
                <w:szCs w:val="16"/>
              </w:rPr>
              <w:t>$724</w:t>
            </w:r>
          </w:p>
        </w:tc>
        <w:tc>
          <w:tcPr>
            <w:cnfStyle w:val="000010000000" w:firstRow="0" w:lastRow="0" w:firstColumn="0" w:lastColumn="0" w:oddVBand="1" w:evenVBand="0" w:oddHBand="0" w:evenHBand="0" w:firstRowFirstColumn="0" w:firstRowLastColumn="0" w:lastRowFirstColumn="0" w:lastRowLastColumn="0"/>
            <w:tcW w:w="1134" w:type="dxa"/>
          </w:tcPr>
          <w:p w14:paraId="5162798B" w14:textId="331008D0" w:rsidR="00825D10" w:rsidRPr="006672DD" w:rsidRDefault="00825D10" w:rsidP="00825D10">
            <w:pPr>
              <w:spacing w:before="20" w:after="20"/>
              <w:jc w:val="right"/>
              <w:rPr>
                <w:color w:val="1C1C1C"/>
                <w:sz w:val="16"/>
                <w:szCs w:val="16"/>
              </w:rPr>
            </w:pPr>
            <w:r>
              <w:rPr>
                <w:color w:val="1C1C1C"/>
                <w:sz w:val="16"/>
                <w:szCs w:val="16"/>
              </w:rPr>
              <w:t>-</w:t>
            </w:r>
          </w:p>
        </w:tc>
      </w:tr>
      <w:tr w:rsidR="00825D10" w:rsidRPr="00E96C8D" w14:paraId="34FFF7A4" w14:textId="77777777" w:rsidTr="00884FDF">
        <w:trPr>
          <w:trHeight w:val="64"/>
          <w:jc w:val="center"/>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59C6C9C5" w14:textId="65875E5F" w:rsidR="00825D10" w:rsidRPr="00D25565" w:rsidRDefault="00825D10" w:rsidP="00825D10">
            <w:pPr>
              <w:spacing w:before="20" w:after="20"/>
              <w:rPr>
                <w:b/>
                <w:bCs/>
                <w:color w:val="1C1C1C"/>
                <w:sz w:val="16"/>
                <w:szCs w:val="16"/>
              </w:rPr>
            </w:pPr>
            <w:r w:rsidRPr="00D25565">
              <w:rPr>
                <w:b/>
                <w:bCs/>
                <w:color w:val="1C1C1C"/>
                <w:sz w:val="16"/>
                <w:szCs w:val="16"/>
              </w:rPr>
              <w:t>Total Cost Ledger</w:t>
            </w:r>
          </w:p>
        </w:tc>
        <w:tc>
          <w:tcPr>
            <w:tcW w:w="1560" w:type="dxa"/>
          </w:tcPr>
          <w:p w14:paraId="3A377C88" w14:textId="52D44040" w:rsidR="00825D10" w:rsidRPr="006008CF" w:rsidRDefault="00761F19" w:rsidP="00825D10">
            <w:pPr>
              <w:spacing w:before="20" w:after="20"/>
              <w:jc w:val="right"/>
              <w:cnfStyle w:val="000000000000" w:firstRow="0" w:lastRow="0" w:firstColumn="0" w:lastColumn="0" w:oddVBand="0" w:evenVBand="0" w:oddHBand="0" w:evenHBand="0" w:firstRowFirstColumn="0" w:firstRowLastColumn="0" w:lastRowFirstColumn="0" w:lastRowLastColumn="0"/>
              <w:rPr>
                <w:b/>
                <w:color w:val="379887" w:themeColor="background1" w:themeShade="BF"/>
                <w:sz w:val="16"/>
                <w:szCs w:val="16"/>
              </w:rPr>
            </w:pPr>
            <w:r>
              <w:rPr>
                <w:b/>
                <w:bCs/>
                <w:color w:val="1C1C1C"/>
                <w:sz w:val="16"/>
                <w:szCs w:val="16"/>
              </w:rPr>
              <w:t>$20,196</w:t>
            </w:r>
          </w:p>
        </w:tc>
        <w:tc>
          <w:tcPr>
            <w:cnfStyle w:val="000010000000" w:firstRow="0" w:lastRow="0" w:firstColumn="0" w:lastColumn="0" w:oddVBand="1" w:evenVBand="0" w:oddHBand="0" w:evenHBand="0" w:firstRowFirstColumn="0" w:firstRowLastColumn="0" w:lastRowFirstColumn="0" w:lastRowLastColumn="0"/>
            <w:tcW w:w="1308" w:type="dxa"/>
          </w:tcPr>
          <w:p w14:paraId="7DB151CF" w14:textId="2FA4405C" w:rsidR="00825D10" w:rsidRPr="006008CF" w:rsidRDefault="00F21BD0" w:rsidP="00825D10">
            <w:pPr>
              <w:spacing w:before="20" w:after="20"/>
              <w:jc w:val="right"/>
              <w:rPr>
                <w:b/>
                <w:color w:val="379887" w:themeColor="background1" w:themeShade="BF"/>
                <w:sz w:val="16"/>
                <w:szCs w:val="16"/>
              </w:rPr>
            </w:pPr>
            <w:r>
              <w:rPr>
                <w:b/>
                <w:bCs/>
                <w:color w:val="1C1C1C"/>
                <w:sz w:val="16"/>
                <w:szCs w:val="16"/>
              </w:rPr>
              <w:t>$17,593</w:t>
            </w:r>
          </w:p>
        </w:tc>
        <w:tc>
          <w:tcPr>
            <w:tcW w:w="1434" w:type="dxa"/>
          </w:tcPr>
          <w:p w14:paraId="169C5B54" w14:textId="1D0D55E6" w:rsidR="00825D10" w:rsidRPr="00D25565" w:rsidRDefault="00825D10" w:rsidP="00825D10">
            <w:pPr>
              <w:spacing w:before="20" w:after="20"/>
              <w:jc w:val="right"/>
              <w:cnfStyle w:val="000000000000" w:firstRow="0" w:lastRow="0" w:firstColumn="0" w:lastColumn="0" w:oddVBand="0" w:evenVBand="0" w:oddHBand="0" w:evenHBand="0" w:firstRowFirstColumn="0" w:firstRowLastColumn="0" w:lastRowFirstColumn="0" w:lastRowLastColumn="0"/>
              <w:rPr>
                <w:b/>
                <w:bCs/>
                <w:color w:val="1C1C1C"/>
                <w:sz w:val="16"/>
                <w:szCs w:val="16"/>
              </w:rPr>
            </w:pPr>
            <w:r w:rsidRPr="00493DF4">
              <w:rPr>
                <w:b/>
                <w:bCs/>
                <w:color w:val="1C1C1C"/>
                <w:sz w:val="16"/>
                <w:szCs w:val="16"/>
              </w:rPr>
              <w:t>$16,48</w:t>
            </w:r>
            <w:r>
              <w:rPr>
                <w:b/>
                <w:bCs/>
                <w:color w:val="1C1C1C"/>
                <w:sz w:val="16"/>
                <w:szCs w:val="16"/>
              </w:rPr>
              <w:t>3</w:t>
            </w:r>
          </w:p>
        </w:tc>
        <w:tc>
          <w:tcPr>
            <w:cnfStyle w:val="000010000000" w:firstRow="0" w:lastRow="0" w:firstColumn="0" w:lastColumn="0" w:oddVBand="1" w:evenVBand="0" w:oddHBand="0" w:evenHBand="0" w:firstRowFirstColumn="0" w:firstRowLastColumn="0" w:lastRowFirstColumn="0" w:lastRowLastColumn="0"/>
            <w:tcW w:w="1389" w:type="dxa"/>
          </w:tcPr>
          <w:p w14:paraId="07685300" w14:textId="23A514E0" w:rsidR="00825D10" w:rsidRPr="00D25565" w:rsidRDefault="00825D10" w:rsidP="00825D10">
            <w:pPr>
              <w:spacing w:before="20" w:after="20"/>
              <w:jc w:val="right"/>
              <w:rPr>
                <w:b/>
                <w:bCs/>
                <w:color w:val="1C1C1C"/>
                <w:sz w:val="16"/>
                <w:szCs w:val="16"/>
              </w:rPr>
            </w:pPr>
            <w:r>
              <w:rPr>
                <w:b/>
                <w:bCs/>
                <w:color w:val="1C1C1C"/>
                <w:sz w:val="16"/>
                <w:szCs w:val="16"/>
              </w:rPr>
              <w:t>$5,430</w:t>
            </w:r>
          </w:p>
        </w:tc>
        <w:tc>
          <w:tcPr>
            <w:tcW w:w="1434" w:type="dxa"/>
          </w:tcPr>
          <w:p w14:paraId="4844E44B" w14:textId="0F1E9152" w:rsidR="00825D10" w:rsidRPr="00D25565" w:rsidRDefault="00825D10" w:rsidP="00825D10">
            <w:pPr>
              <w:spacing w:before="20" w:after="20"/>
              <w:jc w:val="right"/>
              <w:cnfStyle w:val="000000000000" w:firstRow="0" w:lastRow="0" w:firstColumn="0" w:lastColumn="0" w:oddVBand="0" w:evenVBand="0" w:oddHBand="0" w:evenHBand="0" w:firstRowFirstColumn="0" w:firstRowLastColumn="0" w:lastRowFirstColumn="0" w:lastRowLastColumn="0"/>
              <w:rPr>
                <w:b/>
                <w:bCs/>
                <w:color w:val="1C1C1C"/>
                <w:sz w:val="16"/>
                <w:szCs w:val="16"/>
              </w:rPr>
            </w:pPr>
            <w:r>
              <w:rPr>
                <w:b/>
                <w:bCs/>
                <w:color w:val="1C1C1C"/>
                <w:sz w:val="16"/>
                <w:szCs w:val="16"/>
              </w:rPr>
              <w:t>$7,588</w:t>
            </w:r>
          </w:p>
        </w:tc>
        <w:tc>
          <w:tcPr>
            <w:cnfStyle w:val="000010000000" w:firstRow="0" w:lastRow="0" w:firstColumn="0" w:lastColumn="0" w:oddVBand="1" w:evenVBand="0" w:oddHBand="0" w:evenHBand="0" w:firstRowFirstColumn="0" w:firstRowLastColumn="0" w:lastRowFirstColumn="0" w:lastRowLastColumn="0"/>
            <w:tcW w:w="1389" w:type="dxa"/>
          </w:tcPr>
          <w:p w14:paraId="15F6DB0E" w14:textId="58E8DBBC" w:rsidR="00825D10" w:rsidRPr="00D25565" w:rsidRDefault="00825D10" w:rsidP="00825D10">
            <w:pPr>
              <w:spacing w:before="20" w:after="20"/>
              <w:jc w:val="right"/>
              <w:rPr>
                <w:b/>
                <w:bCs/>
                <w:color w:val="1C1C1C"/>
                <w:sz w:val="16"/>
                <w:szCs w:val="16"/>
              </w:rPr>
            </w:pPr>
            <w:r w:rsidRPr="00326551">
              <w:rPr>
                <w:b/>
                <w:bCs/>
                <w:color w:val="1C1C1C"/>
                <w:sz w:val="16"/>
                <w:szCs w:val="16"/>
              </w:rPr>
              <w:t>$2,005</w:t>
            </w:r>
          </w:p>
        </w:tc>
        <w:tc>
          <w:tcPr>
            <w:tcW w:w="1389" w:type="dxa"/>
          </w:tcPr>
          <w:p w14:paraId="3A3E5857" w14:textId="4991AFAF" w:rsidR="00825D10" w:rsidRPr="00D25565" w:rsidRDefault="00825D10" w:rsidP="00825D10">
            <w:pPr>
              <w:spacing w:before="20" w:after="20"/>
              <w:jc w:val="right"/>
              <w:cnfStyle w:val="000000000000" w:firstRow="0" w:lastRow="0" w:firstColumn="0" w:lastColumn="0" w:oddVBand="0" w:evenVBand="0" w:oddHBand="0" w:evenHBand="0" w:firstRowFirstColumn="0" w:firstRowLastColumn="0" w:lastRowFirstColumn="0" w:lastRowLastColumn="0"/>
              <w:rPr>
                <w:b/>
                <w:bCs/>
                <w:color w:val="1C1C1C"/>
                <w:sz w:val="16"/>
                <w:szCs w:val="16"/>
              </w:rPr>
            </w:pPr>
            <w:r w:rsidRPr="00556133">
              <w:rPr>
                <w:b/>
                <w:bCs/>
                <w:color w:val="1C1C1C"/>
                <w:sz w:val="16"/>
                <w:szCs w:val="16"/>
              </w:rPr>
              <w:t>$1,372</w:t>
            </w:r>
          </w:p>
        </w:tc>
        <w:tc>
          <w:tcPr>
            <w:cnfStyle w:val="000010000000" w:firstRow="0" w:lastRow="0" w:firstColumn="0" w:lastColumn="0" w:oddVBand="1" w:evenVBand="0" w:oddHBand="0" w:evenHBand="0" w:firstRowFirstColumn="0" w:firstRowLastColumn="0" w:lastRowFirstColumn="0" w:lastRowLastColumn="0"/>
            <w:tcW w:w="1134" w:type="dxa"/>
          </w:tcPr>
          <w:p w14:paraId="04CFDA8D" w14:textId="092ED5A7" w:rsidR="00825D10" w:rsidRPr="00D25565" w:rsidRDefault="00825D10" w:rsidP="00825D10">
            <w:pPr>
              <w:spacing w:before="20" w:after="20"/>
              <w:jc w:val="right"/>
              <w:rPr>
                <w:b/>
                <w:bCs/>
                <w:color w:val="1C1C1C"/>
                <w:sz w:val="16"/>
                <w:szCs w:val="16"/>
              </w:rPr>
            </w:pPr>
            <w:r w:rsidRPr="00D25565">
              <w:rPr>
                <w:b/>
                <w:bCs/>
                <w:color w:val="1C1C1C"/>
                <w:sz w:val="16"/>
                <w:szCs w:val="16"/>
              </w:rPr>
              <w:t>-</w:t>
            </w:r>
          </w:p>
        </w:tc>
      </w:tr>
      <w:tr w:rsidR="00825D10" w:rsidRPr="00E96C8D" w14:paraId="47F91105" w14:textId="77777777" w:rsidTr="00884FDF">
        <w:trPr>
          <w:cnfStyle w:val="000000100000" w:firstRow="0" w:lastRow="0" w:firstColumn="0" w:lastColumn="0" w:oddVBand="0" w:evenVBand="0" w:oddHBand="1" w:evenHBand="0" w:firstRowFirstColumn="0" w:firstRowLastColumn="0" w:lastRowFirstColumn="0" w:lastRowLastColumn="0"/>
          <w:trHeight w:val="64"/>
          <w:jc w:val="center"/>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5ACC0CB1" w14:textId="77777777" w:rsidR="00825D10" w:rsidRPr="00493DF4" w:rsidRDefault="00825D10" w:rsidP="00825D10">
            <w:pPr>
              <w:spacing w:before="20" w:after="20"/>
              <w:rPr>
                <w:b/>
                <w:bCs/>
                <w:color w:val="1C1C1C"/>
                <w:sz w:val="16"/>
                <w:szCs w:val="16"/>
              </w:rPr>
            </w:pPr>
            <w:r w:rsidRPr="00493DF4">
              <w:rPr>
                <w:b/>
                <w:bCs/>
                <w:color w:val="1C1C1C"/>
                <w:sz w:val="16"/>
                <w:szCs w:val="16"/>
              </w:rPr>
              <w:t>Total NHCDC Submission Received</w:t>
            </w:r>
          </w:p>
        </w:tc>
        <w:tc>
          <w:tcPr>
            <w:tcW w:w="1560" w:type="dxa"/>
          </w:tcPr>
          <w:p w14:paraId="610FD264" w14:textId="5E9ABCFD" w:rsidR="00825D10" w:rsidRPr="006008CF" w:rsidRDefault="00A00C50" w:rsidP="00825D10">
            <w:pPr>
              <w:spacing w:before="20" w:after="20"/>
              <w:jc w:val="right"/>
              <w:cnfStyle w:val="000000100000" w:firstRow="0" w:lastRow="0" w:firstColumn="0" w:lastColumn="0" w:oddVBand="0" w:evenVBand="0" w:oddHBand="1" w:evenHBand="0" w:firstRowFirstColumn="0" w:firstRowLastColumn="0" w:lastRowFirstColumn="0" w:lastRowLastColumn="0"/>
              <w:rPr>
                <w:b/>
                <w:color w:val="379887" w:themeColor="background1" w:themeShade="BF"/>
                <w:sz w:val="16"/>
                <w:szCs w:val="16"/>
              </w:rPr>
            </w:pPr>
            <w:r>
              <w:rPr>
                <w:b/>
                <w:bCs/>
                <w:color w:val="1C1C1C"/>
                <w:sz w:val="16"/>
                <w:szCs w:val="16"/>
              </w:rPr>
              <w:t>$20,196</w:t>
            </w:r>
          </w:p>
        </w:tc>
        <w:tc>
          <w:tcPr>
            <w:cnfStyle w:val="000010000000" w:firstRow="0" w:lastRow="0" w:firstColumn="0" w:lastColumn="0" w:oddVBand="1" w:evenVBand="0" w:oddHBand="0" w:evenHBand="0" w:firstRowFirstColumn="0" w:firstRowLastColumn="0" w:lastRowFirstColumn="0" w:lastRowLastColumn="0"/>
            <w:tcW w:w="1308" w:type="dxa"/>
          </w:tcPr>
          <w:p w14:paraId="37073C57" w14:textId="4B45DEFD" w:rsidR="00825D10" w:rsidRPr="006008CF" w:rsidRDefault="00F21BD0" w:rsidP="00825D10">
            <w:pPr>
              <w:spacing w:before="20" w:after="20"/>
              <w:jc w:val="right"/>
              <w:rPr>
                <w:b/>
                <w:color w:val="379887" w:themeColor="background1" w:themeShade="BF"/>
                <w:sz w:val="16"/>
                <w:szCs w:val="16"/>
              </w:rPr>
            </w:pPr>
            <w:r>
              <w:rPr>
                <w:b/>
                <w:bCs/>
                <w:color w:val="1C1C1C"/>
                <w:sz w:val="16"/>
                <w:szCs w:val="16"/>
              </w:rPr>
              <w:t>$17,592</w:t>
            </w:r>
          </w:p>
        </w:tc>
        <w:tc>
          <w:tcPr>
            <w:tcW w:w="1434" w:type="dxa"/>
          </w:tcPr>
          <w:p w14:paraId="2BA2B2AB" w14:textId="2690CF5F" w:rsidR="00825D10" w:rsidRPr="00493DF4" w:rsidRDefault="00825D10" w:rsidP="00825D10">
            <w:pPr>
              <w:spacing w:before="20" w:after="20"/>
              <w:jc w:val="right"/>
              <w:cnfStyle w:val="000000100000" w:firstRow="0" w:lastRow="0" w:firstColumn="0" w:lastColumn="0" w:oddVBand="0" w:evenVBand="0" w:oddHBand="1" w:evenHBand="0" w:firstRowFirstColumn="0" w:firstRowLastColumn="0" w:lastRowFirstColumn="0" w:lastRowLastColumn="0"/>
              <w:rPr>
                <w:b/>
                <w:bCs/>
                <w:color w:val="1C1C1C"/>
                <w:sz w:val="16"/>
                <w:szCs w:val="16"/>
              </w:rPr>
            </w:pPr>
            <w:r w:rsidRPr="00493DF4">
              <w:rPr>
                <w:b/>
                <w:bCs/>
                <w:color w:val="1C1C1C"/>
                <w:sz w:val="16"/>
                <w:szCs w:val="16"/>
              </w:rPr>
              <w:t>$16,48</w:t>
            </w:r>
            <w:r>
              <w:rPr>
                <w:b/>
                <w:bCs/>
                <w:color w:val="1C1C1C"/>
                <w:sz w:val="16"/>
                <w:szCs w:val="16"/>
              </w:rPr>
              <w:t>3</w:t>
            </w:r>
          </w:p>
        </w:tc>
        <w:tc>
          <w:tcPr>
            <w:cnfStyle w:val="000010000000" w:firstRow="0" w:lastRow="0" w:firstColumn="0" w:lastColumn="0" w:oddVBand="1" w:evenVBand="0" w:oddHBand="0" w:evenHBand="0" w:firstRowFirstColumn="0" w:firstRowLastColumn="0" w:lastRowFirstColumn="0" w:lastRowLastColumn="0"/>
            <w:tcW w:w="1389" w:type="dxa"/>
          </w:tcPr>
          <w:p w14:paraId="1BAD1487" w14:textId="380024F7" w:rsidR="00825D10" w:rsidRPr="00493DF4" w:rsidRDefault="00825D10" w:rsidP="00825D10">
            <w:pPr>
              <w:spacing w:before="20" w:after="20"/>
              <w:jc w:val="right"/>
              <w:rPr>
                <w:b/>
                <w:bCs/>
                <w:color w:val="1C1C1C"/>
                <w:sz w:val="16"/>
                <w:szCs w:val="16"/>
              </w:rPr>
            </w:pPr>
            <w:r w:rsidRPr="00493DF4">
              <w:rPr>
                <w:b/>
                <w:bCs/>
                <w:color w:val="1C1C1C"/>
                <w:sz w:val="16"/>
                <w:szCs w:val="16"/>
              </w:rPr>
              <w:t>$5,4</w:t>
            </w:r>
            <w:r>
              <w:rPr>
                <w:b/>
                <w:bCs/>
                <w:color w:val="1C1C1C"/>
                <w:sz w:val="16"/>
                <w:szCs w:val="16"/>
              </w:rPr>
              <w:t>30</w:t>
            </w:r>
          </w:p>
        </w:tc>
        <w:tc>
          <w:tcPr>
            <w:tcW w:w="1434" w:type="dxa"/>
          </w:tcPr>
          <w:p w14:paraId="59F940AE" w14:textId="7896F05E" w:rsidR="00825D10" w:rsidRPr="00493DF4" w:rsidRDefault="00825D10" w:rsidP="00825D10">
            <w:pPr>
              <w:spacing w:before="20" w:after="20"/>
              <w:jc w:val="right"/>
              <w:cnfStyle w:val="000000100000" w:firstRow="0" w:lastRow="0" w:firstColumn="0" w:lastColumn="0" w:oddVBand="0" w:evenVBand="0" w:oddHBand="1" w:evenHBand="0" w:firstRowFirstColumn="0" w:firstRowLastColumn="0" w:lastRowFirstColumn="0" w:lastRowLastColumn="0"/>
              <w:rPr>
                <w:b/>
                <w:bCs/>
                <w:color w:val="1C1C1C"/>
                <w:sz w:val="16"/>
                <w:szCs w:val="16"/>
              </w:rPr>
            </w:pPr>
            <w:r w:rsidRPr="00493DF4">
              <w:rPr>
                <w:b/>
                <w:bCs/>
                <w:color w:val="1C1C1C"/>
                <w:sz w:val="16"/>
                <w:szCs w:val="16"/>
              </w:rPr>
              <w:t>$7,58</w:t>
            </w:r>
            <w:r>
              <w:rPr>
                <w:b/>
                <w:bCs/>
                <w:color w:val="1C1C1C"/>
                <w:sz w:val="16"/>
                <w:szCs w:val="16"/>
              </w:rPr>
              <w:t>8</w:t>
            </w:r>
          </w:p>
        </w:tc>
        <w:tc>
          <w:tcPr>
            <w:cnfStyle w:val="000010000000" w:firstRow="0" w:lastRow="0" w:firstColumn="0" w:lastColumn="0" w:oddVBand="1" w:evenVBand="0" w:oddHBand="0" w:evenHBand="0" w:firstRowFirstColumn="0" w:firstRowLastColumn="0" w:lastRowFirstColumn="0" w:lastRowLastColumn="0"/>
            <w:tcW w:w="1389" w:type="dxa"/>
          </w:tcPr>
          <w:p w14:paraId="4A33318C" w14:textId="519041C8" w:rsidR="00825D10" w:rsidRPr="00493DF4" w:rsidRDefault="00825D10" w:rsidP="00825D10">
            <w:pPr>
              <w:spacing w:before="20" w:after="20"/>
              <w:jc w:val="right"/>
              <w:rPr>
                <w:b/>
                <w:bCs/>
                <w:color w:val="1C1C1C"/>
                <w:sz w:val="16"/>
                <w:szCs w:val="16"/>
              </w:rPr>
            </w:pPr>
            <w:r w:rsidRPr="00493DF4">
              <w:rPr>
                <w:b/>
                <w:bCs/>
                <w:color w:val="1C1C1C"/>
                <w:sz w:val="16"/>
                <w:szCs w:val="16"/>
              </w:rPr>
              <w:t>$2,005</w:t>
            </w:r>
          </w:p>
        </w:tc>
        <w:tc>
          <w:tcPr>
            <w:tcW w:w="1389" w:type="dxa"/>
          </w:tcPr>
          <w:p w14:paraId="290095A3" w14:textId="26386468" w:rsidR="00825D10" w:rsidRPr="00493DF4" w:rsidRDefault="00825D10" w:rsidP="00825D10">
            <w:pPr>
              <w:spacing w:before="20" w:after="20"/>
              <w:jc w:val="right"/>
              <w:cnfStyle w:val="000000100000" w:firstRow="0" w:lastRow="0" w:firstColumn="0" w:lastColumn="0" w:oddVBand="0" w:evenVBand="0" w:oddHBand="1" w:evenHBand="0" w:firstRowFirstColumn="0" w:firstRowLastColumn="0" w:lastRowFirstColumn="0" w:lastRowLastColumn="0"/>
              <w:rPr>
                <w:b/>
                <w:bCs/>
                <w:color w:val="1C1C1C"/>
                <w:sz w:val="16"/>
                <w:szCs w:val="16"/>
              </w:rPr>
            </w:pPr>
            <w:r w:rsidRPr="00493DF4">
              <w:rPr>
                <w:b/>
                <w:bCs/>
                <w:color w:val="1C1C1C"/>
                <w:sz w:val="16"/>
                <w:szCs w:val="16"/>
              </w:rPr>
              <w:t>$1,372</w:t>
            </w:r>
          </w:p>
        </w:tc>
        <w:tc>
          <w:tcPr>
            <w:cnfStyle w:val="000010000000" w:firstRow="0" w:lastRow="0" w:firstColumn="0" w:lastColumn="0" w:oddVBand="1" w:evenVBand="0" w:oddHBand="0" w:evenHBand="0" w:firstRowFirstColumn="0" w:firstRowLastColumn="0" w:lastRowFirstColumn="0" w:lastRowLastColumn="0"/>
            <w:tcW w:w="1134" w:type="dxa"/>
          </w:tcPr>
          <w:p w14:paraId="16795686" w14:textId="64C72316" w:rsidR="00825D10" w:rsidRPr="00493DF4" w:rsidRDefault="00825D10" w:rsidP="00825D10">
            <w:pPr>
              <w:spacing w:before="20" w:after="20"/>
              <w:jc w:val="right"/>
              <w:rPr>
                <w:b/>
                <w:bCs/>
                <w:color w:val="1C1C1C"/>
                <w:sz w:val="16"/>
                <w:szCs w:val="16"/>
              </w:rPr>
            </w:pPr>
            <w:r w:rsidRPr="00493DF4">
              <w:rPr>
                <w:b/>
                <w:bCs/>
                <w:color w:val="1C1C1C"/>
                <w:sz w:val="16"/>
                <w:szCs w:val="16"/>
              </w:rPr>
              <w:t>-</w:t>
            </w:r>
          </w:p>
        </w:tc>
      </w:tr>
      <w:tr w:rsidR="00825D10" w:rsidRPr="00E96C8D" w14:paraId="3D150A81" w14:textId="77777777" w:rsidTr="00884FDF">
        <w:trPr>
          <w:trHeight w:val="64"/>
          <w:jc w:val="center"/>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390ECB74" w14:textId="77777777" w:rsidR="00825D10" w:rsidRPr="00E96C8D" w:rsidRDefault="00825D10" w:rsidP="00825D10">
            <w:pPr>
              <w:spacing w:before="20" w:after="20"/>
              <w:rPr>
                <w:color w:val="1C1C1C"/>
                <w:sz w:val="16"/>
                <w:szCs w:val="16"/>
              </w:rPr>
            </w:pPr>
            <w:r w:rsidRPr="00E96C8D">
              <w:rPr>
                <w:color w:val="1C1C1C"/>
                <w:sz w:val="16"/>
                <w:szCs w:val="16"/>
              </w:rPr>
              <w:t>Unqualified Baby Adjustment</w:t>
            </w:r>
          </w:p>
        </w:tc>
        <w:tc>
          <w:tcPr>
            <w:tcW w:w="1560" w:type="dxa"/>
          </w:tcPr>
          <w:p w14:paraId="079FE46E" w14:textId="1B6A3EA3" w:rsidR="00825D10" w:rsidRPr="006008CF" w:rsidRDefault="00825D10" w:rsidP="00825D10">
            <w:pPr>
              <w:spacing w:before="20" w:after="20"/>
              <w:jc w:val="right"/>
              <w:cnfStyle w:val="000000000000" w:firstRow="0" w:lastRow="0" w:firstColumn="0" w:lastColumn="0" w:oddVBand="0" w:evenVBand="0" w:oddHBand="0" w:evenHBand="0" w:firstRowFirstColumn="0" w:firstRowLastColumn="0" w:lastRowFirstColumn="0" w:lastRowLastColumn="0"/>
              <w:rPr>
                <w:color w:val="379887" w:themeColor="background1" w:themeShade="BF"/>
                <w:sz w:val="16"/>
                <w:szCs w:val="16"/>
              </w:rPr>
            </w:pPr>
            <w:r>
              <w:rPr>
                <w:color w:val="1C1C1C"/>
                <w:sz w:val="16"/>
                <w:szCs w:val="16"/>
              </w:rPr>
              <w:t>-</w:t>
            </w:r>
          </w:p>
        </w:tc>
        <w:tc>
          <w:tcPr>
            <w:cnfStyle w:val="000010000000" w:firstRow="0" w:lastRow="0" w:firstColumn="0" w:lastColumn="0" w:oddVBand="1" w:evenVBand="0" w:oddHBand="0" w:evenHBand="0" w:firstRowFirstColumn="0" w:firstRowLastColumn="0" w:lastRowFirstColumn="0" w:lastRowLastColumn="0"/>
            <w:tcW w:w="1308" w:type="dxa"/>
          </w:tcPr>
          <w:p w14:paraId="1C0B07C9" w14:textId="55F1B0F4" w:rsidR="00825D10" w:rsidRPr="006008CF" w:rsidRDefault="00825D10" w:rsidP="00825D10">
            <w:pPr>
              <w:spacing w:before="20" w:after="20"/>
              <w:jc w:val="right"/>
              <w:rPr>
                <w:color w:val="379887" w:themeColor="background1" w:themeShade="BF"/>
                <w:sz w:val="16"/>
                <w:szCs w:val="16"/>
              </w:rPr>
            </w:pPr>
            <w:r>
              <w:rPr>
                <w:color w:val="1C1C1C"/>
                <w:sz w:val="16"/>
                <w:szCs w:val="16"/>
              </w:rPr>
              <w:t>-</w:t>
            </w:r>
          </w:p>
        </w:tc>
        <w:tc>
          <w:tcPr>
            <w:tcW w:w="1434" w:type="dxa"/>
          </w:tcPr>
          <w:p w14:paraId="6E3669DB" w14:textId="142BD8D8" w:rsidR="00825D10" w:rsidRPr="005029AB" w:rsidRDefault="00825D10" w:rsidP="00825D10">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493DF4">
              <w:rPr>
                <w:color w:val="1C1C1C"/>
                <w:sz w:val="16"/>
                <w:szCs w:val="16"/>
              </w:rPr>
              <w:t>-$</w:t>
            </w:r>
            <w:r>
              <w:rPr>
                <w:color w:val="1C1C1C"/>
                <w:sz w:val="16"/>
                <w:szCs w:val="16"/>
              </w:rPr>
              <w:t>0.0</w:t>
            </w:r>
            <w:r w:rsidRPr="00493DF4">
              <w:rPr>
                <w:color w:val="1C1C1C"/>
                <w:sz w:val="16"/>
                <w:szCs w:val="16"/>
              </w:rPr>
              <w:t>4</w:t>
            </w:r>
          </w:p>
        </w:tc>
        <w:tc>
          <w:tcPr>
            <w:cnfStyle w:val="000010000000" w:firstRow="0" w:lastRow="0" w:firstColumn="0" w:lastColumn="0" w:oddVBand="1" w:evenVBand="0" w:oddHBand="0" w:evenHBand="0" w:firstRowFirstColumn="0" w:firstRowLastColumn="0" w:lastRowFirstColumn="0" w:lastRowLastColumn="0"/>
            <w:tcW w:w="1389" w:type="dxa"/>
          </w:tcPr>
          <w:p w14:paraId="3887ED78" w14:textId="32C6D27F" w:rsidR="00825D10" w:rsidRPr="005029AB" w:rsidRDefault="00825D10" w:rsidP="00825D10">
            <w:pPr>
              <w:spacing w:before="20" w:after="20"/>
              <w:jc w:val="right"/>
              <w:rPr>
                <w:color w:val="1C1C1C"/>
                <w:sz w:val="16"/>
                <w:szCs w:val="16"/>
              </w:rPr>
            </w:pPr>
            <w:r>
              <w:rPr>
                <w:color w:val="1C1C1C"/>
                <w:sz w:val="16"/>
                <w:szCs w:val="16"/>
              </w:rPr>
              <w:t>-</w:t>
            </w:r>
          </w:p>
        </w:tc>
        <w:tc>
          <w:tcPr>
            <w:tcW w:w="1434" w:type="dxa"/>
          </w:tcPr>
          <w:p w14:paraId="51ADF89F" w14:textId="712AA404" w:rsidR="00825D10" w:rsidRPr="005029AB" w:rsidRDefault="00825D10" w:rsidP="00825D10">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493DF4">
              <w:rPr>
                <w:color w:val="1C1C1C"/>
                <w:sz w:val="16"/>
                <w:szCs w:val="16"/>
              </w:rPr>
              <w:t xml:space="preserve"> $</w:t>
            </w:r>
            <w:r>
              <w:rPr>
                <w:color w:val="1C1C1C"/>
                <w:sz w:val="16"/>
                <w:szCs w:val="16"/>
              </w:rPr>
              <w:t>0.0</w:t>
            </w:r>
            <w:r w:rsidRPr="00493DF4">
              <w:rPr>
                <w:color w:val="1C1C1C"/>
                <w:sz w:val="16"/>
                <w:szCs w:val="16"/>
              </w:rPr>
              <w:t>5</w:t>
            </w:r>
          </w:p>
        </w:tc>
        <w:tc>
          <w:tcPr>
            <w:cnfStyle w:val="000010000000" w:firstRow="0" w:lastRow="0" w:firstColumn="0" w:lastColumn="0" w:oddVBand="1" w:evenVBand="0" w:oddHBand="0" w:evenHBand="0" w:firstRowFirstColumn="0" w:firstRowLastColumn="0" w:lastRowFirstColumn="0" w:lastRowLastColumn="0"/>
            <w:tcW w:w="1389" w:type="dxa"/>
          </w:tcPr>
          <w:p w14:paraId="1A27D869" w14:textId="0BE32D96" w:rsidR="00825D10" w:rsidRPr="005029AB" w:rsidRDefault="00825D10" w:rsidP="00825D10">
            <w:pPr>
              <w:spacing w:before="20" w:after="20"/>
              <w:jc w:val="right"/>
              <w:rPr>
                <w:color w:val="1C1C1C"/>
                <w:sz w:val="16"/>
                <w:szCs w:val="16"/>
              </w:rPr>
            </w:pPr>
            <w:r w:rsidRPr="00493DF4">
              <w:rPr>
                <w:color w:val="1C1C1C"/>
                <w:sz w:val="16"/>
                <w:szCs w:val="16"/>
              </w:rPr>
              <w:t>-$</w:t>
            </w:r>
            <w:r>
              <w:rPr>
                <w:color w:val="1C1C1C"/>
                <w:sz w:val="16"/>
                <w:szCs w:val="16"/>
              </w:rPr>
              <w:t>0.00</w:t>
            </w:r>
            <w:r w:rsidRPr="00493DF4">
              <w:rPr>
                <w:color w:val="1C1C1C"/>
                <w:sz w:val="16"/>
                <w:szCs w:val="16"/>
              </w:rPr>
              <w:t>2</w:t>
            </w:r>
          </w:p>
        </w:tc>
        <w:tc>
          <w:tcPr>
            <w:tcW w:w="1389" w:type="dxa"/>
          </w:tcPr>
          <w:p w14:paraId="05A5F629" w14:textId="5C70BFF3" w:rsidR="00825D10" w:rsidRPr="005029AB" w:rsidRDefault="00825D10" w:rsidP="00825D10">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Pr>
                <w:color w:val="1C1C1C"/>
                <w:sz w:val="16"/>
                <w:szCs w:val="16"/>
              </w:rPr>
              <w:t>-</w:t>
            </w:r>
          </w:p>
        </w:tc>
        <w:tc>
          <w:tcPr>
            <w:cnfStyle w:val="000010000000" w:firstRow="0" w:lastRow="0" w:firstColumn="0" w:lastColumn="0" w:oddVBand="1" w:evenVBand="0" w:oddHBand="0" w:evenHBand="0" w:firstRowFirstColumn="0" w:firstRowLastColumn="0" w:lastRowFirstColumn="0" w:lastRowLastColumn="0"/>
            <w:tcW w:w="1134" w:type="dxa"/>
          </w:tcPr>
          <w:p w14:paraId="4AE13758" w14:textId="4699DE68" w:rsidR="00825D10" w:rsidRPr="005029AB" w:rsidRDefault="00825D10" w:rsidP="00825D10">
            <w:pPr>
              <w:spacing w:before="20" w:after="20"/>
              <w:jc w:val="right"/>
              <w:rPr>
                <w:color w:val="1C1C1C"/>
                <w:sz w:val="16"/>
                <w:szCs w:val="16"/>
              </w:rPr>
            </w:pPr>
            <w:r>
              <w:rPr>
                <w:color w:val="1C1C1C"/>
                <w:sz w:val="16"/>
                <w:szCs w:val="16"/>
              </w:rPr>
              <w:t>-</w:t>
            </w:r>
          </w:p>
        </w:tc>
      </w:tr>
      <w:tr w:rsidR="00F21BD0" w:rsidRPr="00E96C8D" w14:paraId="2008DA22" w14:textId="77777777" w:rsidTr="00884FDF">
        <w:trPr>
          <w:cnfStyle w:val="000000100000" w:firstRow="0" w:lastRow="0" w:firstColumn="0" w:lastColumn="0" w:oddVBand="0" w:evenVBand="0" w:oddHBand="1" w:evenHBand="0" w:firstRowFirstColumn="0" w:firstRowLastColumn="0" w:lastRowFirstColumn="0" w:lastRowLastColumn="0"/>
          <w:trHeight w:val="64"/>
          <w:jc w:val="center"/>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6B40C10A" w14:textId="77777777" w:rsidR="00F21BD0" w:rsidRPr="00E96C8D" w:rsidRDefault="00F21BD0" w:rsidP="00F21BD0">
            <w:pPr>
              <w:spacing w:before="20" w:after="20"/>
              <w:rPr>
                <w:color w:val="1C1C1C"/>
                <w:sz w:val="16"/>
                <w:szCs w:val="16"/>
              </w:rPr>
            </w:pPr>
            <w:r w:rsidRPr="00E96C8D">
              <w:rPr>
                <w:color w:val="1C1C1C"/>
                <w:sz w:val="16"/>
                <w:szCs w:val="16"/>
              </w:rPr>
              <w:t>NHCDC Dataset</w:t>
            </w:r>
          </w:p>
        </w:tc>
        <w:tc>
          <w:tcPr>
            <w:tcW w:w="1560" w:type="dxa"/>
          </w:tcPr>
          <w:p w14:paraId="2E3A9618" w14:textId="33B1C279" w:rsidR="00F21BD0" w:rsidRPr="006008CF" w:rsidRDefault="00761F19" w:rsidP="00F21BD0">
            <w:pPr>
              <w:spacing w:before="20" w:after="20"/>
              <w:jc w:val="right"/>
              <w:cnfStyle w:val="000000100000" w:firstRow="0" w:lastRow="0" w:firstColumn="0" w:lastColumn="0" w:oddVBand="0" w:evenVBand="0" w:oddHBand="1" w:evenHBand="0" w:firstRowFirstColumn="0" w:firstRowLastColumn="0" w:lastRowFirstColumn="0" w:lastRowLastColumn="0"/>
              <w:rPr>
                <w:color w:val="379887" w:themeColor="background1" w:themeShade="BF"/>
                <w:sz w:val="16"/>
                <w:szCs w:val="16"/>
              </w:rPr>
            </w:pPr>
            <w:r>
              <w:rPr>
                <w:color w:val="1C1C1C"/>
                <w:sz w:val="16"/>
                <w:szCs w:val="16"/>
              </w:rPr>
              <w:t>$20,196</w:t>
            </w:r>
          </w:p>
        </w:tc>
        <w:tc>
          <w:tcPr>
            <w:cnfStyle w:val="000010000000" w:firstRow="0" w:lastRow="0" w:firstColumn="0" w:lastColumn="0" w:oddVBand="1" w:evenVBand="0" w:oddHBand="0" w:evenHBand="0" w:firstRowFirstColumn="0" w:firstRowLastColumn="0" w:lastRowFirstColumn="0" w:lastRowLastColumn="0"/>
            <w:tcW w:w="1308" w:type="dxa"/>
          </w:tcPr>
          <w:p w14:paraId="189CDB22" w14:textId="52887A62" w:rsidR="00F21BD0" w:rsidRPr="00F21BD0" w:rsidRDefault="00F21BD0" w:rsidP="00F21BD0">
            <w:pPr>
              <w:spacing w:before="20" w:after="20"/>
              <w:jc w:val="right"/>
              <w:rPr>
                <w:color w:val="379887" w:themeColor="background1" w:themeShade="BF"/>
                <w:sz w:val="16"/>
                <w:szCs w:val="16"/>
              </w:rPr>
            </w:pPr>
            <w:r w:rsidRPr="008D13B8">
              <w:rPr>
                <w:color w:val="1C1C1C"/>
                <w:sz w:val="16"/>
                <w:szCs w:val="16"/>
              </w:rPr>
              <w:t>$17,592</w:t>
            </w:r>
          </w:p>
        </w:tc>
        <w:tc>
          <w:tcPr>
            <w:tcW w:w="1434" w:type="dxa"/>
          </w:tcPr>
          <w:p w14:paraId="548F549B" w14:textId="4DFFC3A1" w:rsidR="00F21BD0" w:rsidRPr="00F87E2D" w:rsidRDefault="00F21BD0" w:rsidP="00F21BD0">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493DF4">
              <w:rPr>
                <w:color w:val="1C1C1C"/>
                <w:sz w:val="16"/>
                <w:szCs w:val="16"/>
              </w:rPr>
              <w:t>$16,48</w:t>
            </w:r>
            <w:r>
              <w:rPr>
                <w:color w:val="1C1C1C"/>
                <w:sz w:val="16"/>
                <w:szCs w:val="16"/>
              </w:rPr>
              <w:t>3</w:t>
            </w:r>
          </w:p>
        </w:tc>
        <w:tc>
          <w:tcPr>
            <w:cnfStyle w:val="000010000000" w:firstRow="0" w:lastRow="0" w:firstColumn="0" w:lastColumn="0" w:oddVBand="1" w:evenVBand="0" w:oddHBand="0" w:evenHBand="0" w:firstRowFirstColumn="0" w:firstRowLastColumn="0" w:lastRowFirstColumn="0" w:lastRowLastColumn="0"/>
            <w:tcW w:w="1389" w:type="dxa"/>
          </w:tcPr>
          <w:p w14:paraId="19ADB36D" w14:textId="6C80A2C5" w:rsidR="00F21BD0" w:rsidRPr="005029AB" w:rsidRDefault="00F21BD0" w:rsidP="00F21BD0">
            <w:pPr>
              <w:spacing w:before="20" w:after="20"/>
              <w:jc w:val="right"/>
              <w:rPr>
                <w:color w:val="1C1C1C"/>
                <w:sz w:val="16"/>
                <w:szCs w:val="16"/>
              </w:rPr>
            </w:pPr>
            <w:r w:rsidRPr="00493DF4">
              <w:rPr>
                <w:color w:val="1C1C1C"/>
                <w:sz w:val="16"/>
                <w:szCs w:val="16"/>
              </w:rPr>
              <w:t>$5,</w:t>
            </w:r>
            <w:r>
              <w:rPr>
                <w:color w:val="1C1C1C"/>
                <w:sz w:val="16"/>
                <w:szCs w:val="16"/>
              </w:rPr>
              <w:t>430</w:t>
            </w:r>
          </w:p>
        </w:tc>
        <w:tc>
          <w:tcPr>
            <w:tcW w:w="1434" w:type="dxa"/>
          </w:tcPr>
          <w:p w14:paraId="37C90C67" w14:textId="0522F5E5" w:rsidR="00F21BD0" w:rsidRPr="005029AB" w:rsidRDefault="00F21BD0" w:rsidP="00F21BD0">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493DF4">
              <w:rPr>
                <w:color w:val="1C1C1C"/>
                <w:sz w:val="16"/>
                <w:szCs w:val="16"/>
              </w:rPr>
              <w:t xml:space="preserve"> $7,58</w:t>
            </w:r>
            <w:r>
              <w:rPr>
                <w:color w:val="1C1C1C"/>
                <w:sz w:val="16"/>
                <w:szCs w:val="16"/>
              </w:rPr>
              <w:t>8</w:t>
            </w:r>
          </w:p>
        </w:tc>
        <w:tc>
          <w:tcPr>
            <w:cnfStyle w:val="000010000000" w:firstRow="0" w:lastRow="0" w:firstColumn="0" w:lastColumn="0" w:oddVBand="1" w:evenVBand="0" w:oddHBand="0" w:evenHBand="0" w:firstRowFirstColumn="0" w:firstRowLastColumn="0" w:lastRowFirstColumn="0" w:lastRowLastColumn="0"/>
            <w:tcW w:w="1389" w:type="dxa"/>
          </w:tcPr>
          <w:p w14:paraId="36EDA0E9" w14:textId="1DF14313" w:rsidR="00F21BD0" w:rsidRPr="005029AB" w:rsidRDefault="00F21BD0" w:rsidP="00F21BD0">
            <w:pPr>
              <w:spacing w:before="20" w:after="20"/>
              <w:jc w:val="right"/>
              <w:rPr>
                <w:color w:val="1C1C1C"/>
                <w:sz w:val="16"/>
                <w:szCs w:val="16"/>
              </w:rPr>
            </w:pPr>
            <w:r w:rsidRPr="00493DF4">
              <w:rPr>
                <w:color w:val="1C1C1C"/>
                <w:sz w:val="16"/>
                <w:szCs w:val="16"/>
              </w:rPr>
              <w:t>$2,005</w:t>
            </w:r>
          </w:p>
        </w:tc>
        <w:tc>
          <w:tcPr>
            <w:tcW w:w="1389" w:type="dxa"/>
          </w:tcPr>
          <w:p w14:paraId="5542EE26" w14:textId="7D93CE9C" w:rsidR="00F21BD0" w:rsidRPr="005029AB" w:rsidRDefault="00F21BD0" w:rsidP="00F21BD0">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493DF4">
              <w:rPr>
                <w:color w:val="1C1C1C"/>
                <w:sz w:val="16"/>
                <w:szCs w:val="16"/>
              </w:rPr>
              <w:t>$1,</w:t>
            </w:r>
            <w:r>
              <w:rPr>
                <w:color w:val="1C1C1C"/>
                <w:sz w:val="16"/>
                <w:szCs w:val="16"/>
              </w:rPr>
              <w:t>3</w:t>
            </w:r>
            <w:r w:rsidR="00326551">
              <w:rPr>
                <w:color w:val="1C1C1C"/>
                <w:sz w:val="16"/>
                <w:szCs w:val="16"/>
              </w:rPr>
              <w:t>72</w:t>
            </w:r>
          </w:p>
        </w:tc>
        <w:tc>
          <w:tcPr>
            <w:cnfStyle w:val="000010000000" w:firstRow="0" w:lastRow="0" w:firstColumn="0" w:lastColumn="0" w:oddVBand="1" w:evenVBand="0" w:oddHBand="0" w:evenHBand="0" w:firstRowFirstColumn="0" w:firstRowLastColumn="0" w:lastRowFirstColumn="0" w:lastRowLastColumn="0"/>
            <w:tcW w:w="1134" w:type="dxa"/>
          </w:tcPr>
          <w:p w14:paraId="03B70A0A" w14:textId="17F60656" w:rsidR="00F21BD0" w:rsidRPr="005029AB" w:rsidRDefault="00F21BD0" w:rsidP="00F21BD0">
            <w:pPr>
              <w:spacing w:before="20" w:after="20"/>
              <w:jc w:val="right"/>
              <w:rPr>
                <w:color w:val="1C1C1C"/>
                <w:sz w:val="16"/>
                <w:szCs w:val="16"/>
              </w:rPr>
            </w:pPr>
            <w:r>
              <w:rPr>
                <w:color w:val="1C1C1C"/>
                <w:sz w:val="16"/>
                <w:szCs w:val="16"/>
              </w:rPr>
              <w:t>-</w:t>
            </w:r>
          </w:p>
        </w:tc>
      </w:tr>
      <w:tr w:rsidR="00F21BD0" w:rsidRPr="00E96C8D" w14:paraId="319C92BC" w14:textId="77777777" w:rsidTr="00884FDF">
        <w:trPr>
          <w:trHeight w:val="64"/>
          <w:jc w:val="center"/>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0EA4FC2F" w14:textId="77777777" w:rsidR="00F21BD0" w:rsidRPr="00E96C8D" w:rsidRDefault="00F21BD0" w:rsidP="00F21BD0">
            <w:pPr>
              <w:spacing w:before="20" w:after="20"/>
              <w:rPr>
                <w:color w:val="1C1C1C"/>
                <w:sz w:val="16"/>
                <w:szCs w:val="16"/>
              </w:rPr>
            </w:pPr>
            <w:r w:rsidRPr="00E96C8D">
              <w:rPr>
                <w:color w:val="1C1C1C"/>
                <w:sz w:val="16"/>
                <w:szCs w:val="16"/>
              </w:rPr>
              <w:t>NHCDC Unlinked Cost</w:t>
            </w:r>
          </w:p>
        </w:tc>
        <w:tc>
          <w:tcPr>
            <w:tcW w:w="1560" w:type="dxa"/>
          </w:tcPr>
          <w:p w14:paraId="6A6B4288" w14:textId="41D9B0D6" w:rsidR="00F21BD0" w:rsidRPr="006008CF" w:rsidRDefault="00F21BD0" w:rsidP="00F21BD0">
            <w:pPr>
              <w:spacing w:before="20" w:after="20"/>
              <w:jc w:val="right"/>
              <w:cnfStyle w:val="000000000000" w:firstRow="0" w:lastRow="0" w:firstColumn="0" w:lastColumn="0" w:oddVBand="0" w:evenVBand="0" w:oddHBand="0" w:evenHBand="0" w:firstRowFirstColumn="0" w:firstRowLastColumn="0" w:lastRowFirstColumn="0" w:lastRowLastColumn="0"/>
              <w:rPr>
                <w:color w:val="379887" w:themeColor="background1" w:themeShade="BF"/>
                <w:sz w:val="16"/>
                <w:szCs w:val="16"/>
              </w:rPr>
            </w:pPr>
            <w:r>
              <w:rPr>
                <w:color w:val="1C1C1C"/>
                <w:sz w:val="16"/>
                <w:szCs w:val="16"/>
              </w:rPr>
              <w:t>-</w:t>
            </w:r>
          </w:p>
        </w:tc>
        <w:tc>
          <w:tcPr>
            <w:cnfStyle w:val="000010000000" w:firstRow="0" w:lastRow="0" w:firstColumn="0" w:lastColumn="0" w:oddVBand="1" w:evenVBand="0" w:oddHBand="0" w:evenHBand="0" w:firstRowFirstColumn="0" w:firstRowLastColumn="0" w:lastRowFirstColumn="0" w:lastRowLastColumn="0"/>
            <w:tcW w:w="1308" w:type="dxa"/>
          </w:tcPr>
          <w:p w14:paraId="2FE442BC" w14:textId="118A0435" w:rsidR="00F21BD0" w:rsidRPr="006008CF" w:rsidRDefault="00833680" w:rsidP="00F21BD0">
            <w:pPr>
              <w:spacing w:before="20" w:after="20"/>
              <w:jc w:val="right"/>
              <w:rPr>
                <w:color w:val="379887" w:themeColor="background1" w:themeShade="BF"/>
                <w:sz w:val="16"/>
                <w:szCs w:val="16"/>
              </w:rPr>
            </w:pPr>
            <w:r>
              <w:rPr>
                <w:color w:val="1C1C1C"/>
                <w:sz w:val="16"/>
                <w:szCs w:val="16"/>
              </w:rPr>
              <w:t>-</w:t>
            </w:r>
            <w:r w:rsidR="00F21BD0">
              <w:rPr>
                <w:color w:val="1C1C1C"/>
                <w:sz w:val="16"/>
                <w:szCs w:val="16"/>
              </w:rPr>
              <w:t>$</w:t>
            </w:r>
            <w:r w:rsidR="00AF045F">
              <w:rPr>
                <w:color w:val="1C1C1C"/>
                <w:sz w:val="16"/>
                <w:szCs w:val="16"/>
              </w:rPr>
              <w:t>299</w:t>
            </w:r>
          </w:p>
        </w:tc>
        <w:tc>
          <w:tcPr>
            <w:tcW w:w="1434" w:type="dxa"/>
          </w:tcPr>
          <w:p w14:paraId="62E0EC47" w14:textId="4B9AAF21" w:rsidR="00F21BD0" w:rsidRPr="00F87E2D" w:rsidRDefault="00F21BD0" w:rsidP="00F21BD0">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493DF4">
              <w:rPr>
                <w:color w:val="1C1C1C"/>
                <w:sz w:val="16"/>
                <w:szCs w:val="16"/>
              </w:rPr>
              <w:t>-$2</w:t>
            </w:r>
            <w:r>
              <w:rPr>
                <w:color w:val="1C1C1C"/>
                <w:sz w:val="16"/>
                <w:szCs w:val="16"/>
              </w:rPr>
              <w:t>9</w:t>
            </w:r>
          </w:p>
        </w:tc>
        <w:tc>
          <w:tcPr>
            <w:cnfStyle w:val="000010000000" w:firstRow="0" w:lastRow="0" w:firstColumn="0" w:lastColumn="0" w:oddVBand="1" w:evenVBand="0" w:oddHBand="0" w:evenHBand="0" w:firstRowFirstColumn="0" w:firstRowLastColumn="0" w:lastRowFirstColumn="0" w:lastRowLastColumn="0"/>
            <w:tcW w:w="1389" w:type="dxa"/>
          </w:tcPr>
          <w:p w14:paraId="69D552A8" w14:textId="083D5ED5" w:rsidR="00F21BD0" w:rsidRPr="005029AB" w:rsidRDefault="00F21BD0" w:rsidP="00F21BD0">
            <w:pPr>
              <w:spacing w:before="20" w:after="20"/>
              <w:jc w:val="right"/>
              <w:rPr>
                <w:color w:val="1C1C1C"/>
                <w:sz w:val="16"/>
                <w:szCs w:val="16"/>
              </w:rPr>
            </w:pPr>
            <w:r w:rsidRPr="00493DF4">
              <w:rPr>
                <w:color w:val="1C1C1C"/>
                <w:sz w:val="16"/>
                <w:szCs w:val="16"/>
              </w:rPr>
              <w:t>-$</w:t>
            </w:r>
            <w:r>
              <w:rPr>
                <w:color w:val="1C1C1C"/>
                <w:sz w:val="16"/>
                <w:szCs w:val="16"/>
              </w:rPr>
              <w:t>7</w:t>
            </w:r>
          </w:p>
        </w:tc>
        <w:tc>
          <w:tcPr>
            <w:tcW w:w="1434" w:type="dxa"/>
          </w:tcPr>
          <w:p w14:paraId="37D0E254" w14:textId="356BBCB0" w:rsidR="00F21BD0" w:rsidRPr="005029AB" w:rsidRDefault="00F21BD0" w:rsidP="00F21BD0">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493DF4">
              <w:rPr>
                <w:color w:val="1C1C1C"/>
                <w:sz w:val="16"/>
                <w:szCs w:val="16"/>
              </w:rPr>
              <w:t>-$13</w:t>
            </w:r>
            <w:r>
              <w:rPr>
                <w:color w:val="1C1C1C"/>
                <w:sz w:val="16"/>
                <w:szCs w:val="16"/>
              </w:rPr>
              <w:t>7</w:t>
            </w:r>
          </w:p>
        </w:tc>
        <w:tc>
          <w:tcPr>
            <w:cnfStyle w:val="000010000000" w:firstRow="0" w:lastRow="0" w:firstColumn="0" w:lastColumn="0" w:oddVBand="1" w:evenVBand="0" w:oddHBand="0" w:evenHBand="0" w:firstRowFirstColumn="0" w:firstRowLastColumn="0" w:lastRowFirstColumn="0" w:lastRowLastColumn="0"/>
            <w:tcW w:w="1389" w:type="dxa"/>
          </w:tcPr>
          <w:p w14:paraId="63878E8C" w14:textId="01328555" w:rsidR="00F21BD0" w:rsidRPr="005029AB" w:rsidRDefault="00F21BD0" w:rsidP="00F21BD0">
            <w:pPr>
              <w:spacing w:before="20" w:after="20"/>
              <w:jc w:val="right"/>
              <w:rPr>
                <w:color w:val="1C1C1C"/>
                <w:sz w:val="16"/>
                <w:szCs w:val="16"/>
              </w:rPr>
            </w:pPr>
            <w:r w:rsidRPr="00493DF4">
              <w:rPr>
                <w:color w:val="1C1C1C"/>
                <w:sz w:val="16"/>
                <w:szCs w:val="16"/>
              </w:rPr>
              <w:t>-$11</w:t>
            </w:r>
          </w:p>
        </w:tc>
        <w:tc>
          <w:tcPr>
            <w:tcW w:w="1389" w:type="dxa"/>
          </w:tcPr>
          <w:p w14:paraId="62748F7D" w14:textId="0A31B5BF" w:rsidR="00F21BD0" w:rsidRPr="005029AB" w:rsidRDefault="00F21BD0" w:rsidP="00F21BD0">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493DF4">
              <w:rPr>
                <w:color w:val="1C1C1C"/>
                <w:sz w:val="16"/>
                <w:szCs w:val="16"/>
              </w:rPr>
              <w:t>-$47</w:t>
            </w:r>
          </w:p>
        </w:tc>
        <w:tc>
          <w:tcPr>
            <w:cnfStyle w:val="000010000000" w:firstRow="0" w:lastRow="0" w:firstColumn="0" w:lastColumn="0" w:oddVBand="1" w:evenVBand="0" w:oddHBand="0" w:evenHBand="0" w:firstRowFirstColumn="0" w:firstRowLastColumn="0" w:lastRowFirstColumn="0" w:lastRowLastColumn="0"/>
            <w:tcW w:w="1134" w:type="dxa"/>
          </w:tcPr>
          <w:p w14:paraId="2CB18734" w14:textId="545DE0D1" w:rsidR="00F21BD0" w:rsidRPr="005029AB" w:rsidRDefault="00F21BD0" w:rsidP="00F21BD0">
            <w:pPr>
              <w:spacing w:before="20" w:after="20"/>
              <w:jc w:val="right"/>
              <w:rPr>
                <w:color w:val="1C1C1C"/>
                <w:sz w:val="16"/>
                <w:szCs w:val="16"/>
              </w:rPr>
            </w:pPr>
            <w:r>
              <w:rPr>
                <w:color w:val="1C1C1C"/>
                <w:sz w:val="16"/>
                <w:szCs w:val="16"/>
              </w:rPr>
              <w:t>-</w:t>
            </w:r>
          </w:p>
        </w:tc>
      </w:tr>
      <w:tr w:rsidR="00F21BD0" w:rsidRPr="00E96C8D" w14:paraId="321E5229" w14:textId="77777777" w:rsidTr="00884FDF">
        <w:trPr>
          <w:cnfStyle w:val="000000100000" w:firstRow="0" w:lastRow="0" w:firstColumn="0" w:lastColumn="0" w:oddVBand="0" w:evenVBand="0" w:oddHBand="1" w:evenHBand="0" w:firstRowFirstColumn="0" w:firstRowLastColumn="0" w:lastRowFirstColumn="0" w:lastRowLastColumn="0"/>
          <w:trHeight w:val="64"/>
          <w:jc w:val="center"/>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5EB5FCA7" w14:textId="77777777" w:rsidR="00F21BD0" w:rsidRPr="00E96C8D" w:rsidRDefault="00F21BD0" w:rsidP="00F21BD0">
            <w:pPr>
              <w:spacing w:before="20" w:after="20"/>
              <w:rPr>
                <w:color w:val="1C1C1C"/>
                <w:sz w:val="16"/>
                <w:szCs w:val="16"/>
              </w:rPr>
            </w:pPr>
            <w:r>
              <w:rPr>
                <w:color w:val="1C1C1C"/>
                <w:sz w:val="16"/>
                <w:szCs w:val="16"/>
              </w:rPr>
              <w:t>WIP</w:t>
            </w:r>
            <w:r w:rsidRPr="00E96C8D">
              <w:rPr>
                <w:color w:val="1C1C1C"/>
                <w:sz w:val="16"/>
                <w:szCs w:val="16"/>
              </w:rPr>
              <w:t xml:space="preserve"> (2 years) </w:t>
            </w:r>
            <w:r>
              <w:rPr>
                <w:color w:val="1C1C1C"/>
                <w:sz w:val="16"/>
                <w:szCs w:val="16"/>
              </w:rPr>
              <w:t>and</w:t>
            </w:r>
            <w:r w:rsidRPr="00E96C8D">
              <w:rPr>
                <w:color w:val="1C1C1C"/>
                <w:sz w:val="16"/>
                <w:szCs w:val="16"/>
              </w:rPr>
              <w:t xml:space="preserve"> Exclude Cost Bucket</w:t>
            </w:r>
          </w:p>
        </w:tc>
        <w:tc>
          <w:tcPr>
            <w:tcW w:w="1560" w:type="dxa"/>
          </w:tcPr>
          <w:p w14:paraId="06AA8204" w14:textId="074868AA" w:rsidR="00F21BD0" w:rsidRPr="006008CF" w:rsidRDefault="00833680" w:rsidP="00F21BD0">
            <w:pPr>
              <w:spacing w:before="20" w:after="20"/>
              <w:jc w:val="right"/>
              <w:cnfStyle w:val="000000100000" w:firstRow="0" w:lastRow="0" w:firstColumn="0" w:lastColumn="0" w:oddVBand="0" w:evenVBand="0" w:oddHBand="1" w:evenHBand="0" w:firstRowFirstColumn="0" w:firstRowLastColumn="0" w:lastRowFirstColumn="0" w:lastRowLastColumn="0"/>
              <w:rPr>
                <w:color w:val="379887" w:themeColor="background1" w:themeShade="BF"/>
                <w:sz w:val="16"/>
                <w:szCs w:val="16"/>
              </w:rPr>
            </w:pPr>
            <w:r>
              <w:rPr>
                <w:color w:val="1C1C1C"/>
                <w:sz w:val="16"/>
                <w:szCs w:val="16"/>
              </w:rPr>
              <w:t>-</w:t>
            </w:r>
            <w:r w:rsidR="00761F19">
              <w:rPr>
                <w:color w:val="1C1C1C"/>
                <w:sz w:val="16"/>
                <w:szCs w:val="16"/>
              </w:rPr>
              <w:t>$1</w:t>
            </w:r>
            <w:r w:rsidR="002543A0">
              <w:rPr>
                <w:color w:val="1C1C1C"/>
                <w:sz w:val="16"/>
                <w:szCs w:val="16"/>
              </w:rPr>
              <w:t>5</w:t>
            </w:r>
          </w:p>
        </w:tc>
        <w:tc>
          <w:tcPr>
            <w:cnfStyle w:val="000010000000" w:firstRow="0" w:lastRow="0" w:firstColumn="0" w:lastColumn="0" w:oddVBand="1" w:evenVBand="0" w:oddHBand="0" w:evenHBand="0" w:firstRowFirstColumn="0" w:firstRowLastColumn="0" w:lastRowFirstColumn="0" w:lastRowLastColumn="0"/>
            <w:tcW w:w="1308" w:type="dxa"/>
          </w:tcPr>
          <w:p w14:paraId="564A83C8" w14:textId="76D00D90" w:rsidR="00F21BD0" w:rsidRPr="006008CF" w:rsidRDefault="00833680" w:rsidP="00F21BD0">
            <w:pPr>
              <w:spacing w:before="20" w:after="20"/>
              <w:jc w:val="right"/>
              <w:rPr>
                <w:color w:val="379887" w:themeColor="background1" w:themeShade="BF"/>
                <w:sz w:val="16"/>
                <w:szCs w:val="16"/>
              </w:rPr>
            </w:pPr>
            <w:r>
              <w:rPr>
                <w:color w:val="1C1C1C"/>
                <w:sz w:val="16"/>
                <w:szCs w:val="16"/>
              </w:rPr>
              <w:t>-</w:t>
            </w:r>
            <w:r w:rsidR="002E10BE">
              <w:rPr>
                <w:color w:val="1C1C1C"/>
                <w:sz w:val="16"/>
                <w:szCs w:val="16"/>
              </w:rPr>
              <w:t>$</w:t>
            </w:r>
            <w:r w:rsidR="00AF045F">
              <w:rPr>
                <w:color w:val="1C1C1C"/>
                <w:sz w:val="16"/>
                <w:szCs w:val="16"/>
              </w:rPr>
              <w:t>37</w:t>
            </w:r>
          </w:p>
        </w:tc>
        <w:tc>
          <w:tcPr>
            <w:tcW w:w="1434" w:type="dxa"/>
          </w:tcPr>
          <w:p w14:paraId="03AE6F92" w14:textId="028CA76B" w:rsidR="00F21BD0" w:rsidRPr="00F87E2D" w:rsidRDefault="00F21BD0" w:rsidP="00F21BD0">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sidRPr="00493DF4">
              <w:rPr>
                <w:color w:val="1C1C1C"/>
                <w:sz w:val="16"/>
                <w:szCs w:val="16"/>
              </w:rPr>
              <w:t xml:space="preserve"> </w:t>
            </w:r>
            <w:r w:rsidR="00833680">
              <w:rPr>
                <w:color w:val="1C1C1C"/>
                <w:sz w:val="16"/>
                <w:szCs w:val="16"/>
              </w:rPr>
              <w:t>-</w:t>
            </w:r>
            <w:r w:rsidRPr="00493DF4">
              <w:rPr>
                <w:color w:val="1C1C1C"/>
                <w:sz w:val="16"/>
                <w:szCs w:val="16"/>
              </w:rPr>
              <w:t>$84</w:t>
            </w:r>
          </w:p>
        </w:tc>
        <w:tc>
          <w:tcPr>
            <w:cnfStyle w:val="000010000000" w:firstRow="0" w:lastRow="0" w:firstColumn="0" w:lastColumn="0" w:oddVBand="1" w:evenVBand="0" w:oddHBand="0" w:evenHBand="0" w:firstRowFirstColumn="0" w:firstRowLastColumn="0" w:lastRowFirstColumn="0" w:lastRowLastColumn="0"/>
            <w:tcW w:w="1389" w:type="dxa"/>
          </w:tcPr>
          <w:p w14:paraId="55FAD455" w14:textId="68FF5EBA" w:rsidR="00F21BD0" w:rsidRPr="005029AB" w:rsidRDefault="00833680" w:rsidP="00F21BD0">
            <w:pPr>
              <w:spacing w:before="20" w:after="20"/>
              <w:jc w:val="right"/>
              <w:rPr>
                <w:color w:val="1C1C1C"/>
                <w:sz w:val="16"/>
                <w:szCs w:val="16"/>
              </w:rPr>
            </w:pPr>
            <w:r>
              <w:rPr>
                <w:color w:val="1C1C1C"/>
                <w:sz w:val="16"/>
                <w:szCs w:val="16"/>
              </w:rPr>
              <w:t>-</w:t>
            </w:r>
            <w:r w:rsidR="00F21BD0" w:rsidRPr="00493DF4">
              <w:rPr>
                <w:color w:val="1C1C1C"/>
                <w:sz w:val="16"/>
                <w:szCs w:val="16"/>
              </w:rPr>
              <w:t>$1</w:t>
            </w:r>
            <w:r w:rsidR="00F21BD0">
              <w:rPr>
                <w:color w:val="1C1C1C"/>
                <w:sz w:val="16"/>
                <w:szCs w:val="16"/>
              </w:rPr>
              <w:t>9</w:t>
            </w:r>
          </w:p>
        </w:tc>
        <w:tc>
          <w:tcPr>
            <w:tcW w:w="1434" w:type="dxa"/>
          </w:tcPr>
          <w:p w14:paraId="12B0A5BC" w14:textId="429DCED0" w:rsidR="00F21BD0" w:rsidRPr="005029AB" w:rsidRDefault="00F21BD0" w:rsidP="00F21BD0">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Pr>
                <w:color w:val="1C1C1C"/>
                <w:sz w:val="16"/>
                <w:szCs w:val="16"/>
              </w:rPr>
              <w:t>-</w:t>
            </w:r>
            <w:r w:rsidRPr="00493DF4">
              <w:rPr>
                <w:color w:val="1C1C1C"/>
                <w:sz w:val="16"/>
                <w:szCs w:val="16"/>
              </w:rPr>
              <w:t xml:space="preserve"> $2</w:t>
            </w:r>
            <w:r>
              <w:rPr>
                <w:color w:val="1C1C1C"/>
                <w:sz w:val="16"/>
                <w:szCs w:val="16"/>
              </w:rPr>
              <w:t>5</w:t>
            </w:r>
          </w:p>
        </w:tc>
        <w:tc>
          <w:tcPr>
            <w:cnfStyle w:val="000010000000" w:firstRow="0" w:lastRow="0" w:firstColumn="0" w:lastColumn="0" w:oddVBand="1" w:evenVBand="0" w:oddHBand="0" w:evenHBand="0" w:firstRowFirstColumn="0" w:firstRowLastColumn="0" w:lastRowFirstColumn="0" w:lastRowLastColumn="0"/>
            <w:tcW w:w="1389" w:type="dxa"/>
          </w:tcPr>
          <w:p w14:paraId="1DD2E382" w14:textId="52F61010" w:rsidR="00F21BD0" w:rsidRPr="005029AB" w:rsidRDefault="00F21BD0" w:rsidP="00F21BD0">
            <w:pPr>
              <w:spacing w:before="20" w:after="20"/>
              <w:jc w:val="right"/>
              <w:rPr>
                <w:color w:val="1C1C1C"/>
                <w:sz w:val="16"/>
                <w:szCs w:val="16"/>
              </w:rPr>
            </w:pPr>
            <w:r w:rsidRPr="00493DF4">
              <w:rPr>
                <w:color w:val="1C1C1C"/>
                <w:sz w:val="16"/>
                <w:szCs w:val="16"/>
              </w:rPr>
              <w:t xml:space="preserve"> </w:t>
            </w:r>
            <w:r w:rsidR="00884FDF">
              <w:rPr>
                <w:color w:val="1C1C1C"/>
                <w:sz w:val="16"/>
                <w:szCs w:val="16"/>
              </w:rPr>
              <w:t>-</w:t>
            </w:r>
            <w:r w:rsidRPr="00493DF4">
              <w:rPr>
                <w:color w:val="1C1C1C"/>
                <w:sz w:val="16"/>
                <w:szCs w:val="16"/>
              </w:rPr>
              <w:t>$15</w:t>
            </w:r>
          </w:p>
        </w:tc>
        <w:tc>
          <w:tcPr>
            <w:tcW w:w="1389" w:type="dxa"/>
          </w:tcPr>
          <w:p w14:paraId="3E6EAD45" w14:textId="6752EEEF" w:rsidR="00F21BD0" w:rsidRPr="005029AB" w:rsidRDefault="00F21BD0" w:rsidP="00F21BD0">
            <w:pPr>
              <w:spacing w:before="20" w:after="20"/>
              <w:jc w:val="right"/>
              <w:cnfStyle w:val="000000100000" w:firstRow="0" w:lastRow="0" w:firstColumn="0" w:lastColumn="0" w:oddVBand="0" w:evenVBand="0" w:oddHBand="1" w:evenHBand="0" w:firstRowFirstColumn="0" w:firstRowLastColumn="0" w:lastRowFirstColumn="0" w:lastRowLastColumn="0"/>
              <w:rPr>
                <w:color w:val="1C1C1C"/>
                <w:sz w:val="16"/>
                <w:szCs w:val="16"/>
              </w:rPr>
            </w:pPr>
            <w:r>
              <w:rPr>
                <w:color w:val="1C1C1C"/>
                <w:sz w:val="16"/>
                <w:szCs w:val="16"/>
              </w:rPr>
              <w:t>-</w:t>
            </w:r>
            <w:r w:rsidR="00326551">
              <w:rPr>
                <w:color w:val="1C1C1C"/>
                <w:sz w:val="16"/>
                <w:szCs w:val="16"/>
              </w:rPr>
              <w:t>$59</w:t>
            </w:r>
          </w:p>
        </w:tc>
        <w:tc>
          <w:tcPr>
            <w:cnfStyle w:val="000010000000" w:firstRow="0" w:lastRow="0" w:firstColumn="0" w:lastColumn="0" w:oddVBand="1" w:evenVBand="0" w:oddHBand="0" w:evenHBand="0" w:firstRowFirstColumn="0" w:firstRowLastColumn="0" w:lastRowFirstColumn="0" w:lastRowLastColumn="0"/>
            <w:tcW w:w="1134" w:type="dxa"/>
          </w:tcPr>
          <w:p w14:paraId="36FA0F00" w14:textId="30868805" w:rsidR="00F21BD0" w:rsidRPr="005029AB" w:rsidRDefault="00F21BD0" w:rsidP="00F21BD0">
            <w:pPr>
              <w:spacing w:before="20" w:after="20"/>
              <w:jc w:val="right"/>
              <w:rPr>
                <w:color w:val="1C1C1C"/>
                <w:sz w:val="16"/>
                <w:szCs w:val="16"/>
              </w:rPr>
            </w:pPr>
            <w:r>
              <w:rPr>
                <w:color w:val="1C1C1C"/>
                <w:sz w:val="16"/>
                <w:szCs w:val="16"/>
              </w:rPr>
              <w:t>-</w:t>
            </w:r>
          </w:p>
        </w:tc>
      </w:tr>
      <w:tr w:rsidR="00F21BD0" w:rsidRPr="00E96C8D" w14:paraId="4E4094BB" w14:textId="77777777" w:rsidTr="00884FDF">
        <w:trPr>
          <w:trHeight w:val="64"/>
          <w:jc w:val="center"/>
        </w:trPr>
        <w:tc>
          <w:tcPr>
            <w:cnfStyle w:val="000010000000" w:firstRow="0" w:lastRow="0" w:firstColumn="0" w:lastColumn="0" w:oddVBand="1" w:evenVBand="0" w:oddHBand="0" w:evenHBand="0" w:firstRowFirstColumn="0" w:firstRowLastColumn="0" w:lastRowFirstColumn="0" w:lastRowLastColumn="0"/>
            <w:tcW w:w="3964" w:type="dxa"/>
            <w:vAlign w:val="center"/>
          </w:tcPr>
          <w:p w14:paraId="2B49FAEC" w14:textId="17BA7120" w:rsidR="00F21BD0" w:rsidRPr="00E96C8D" w:rsidRDefault="00F21BD0" w:rsidP="00F21BD0">
            <w:pPr>
              <w:spacing w:before="20" w:after="20"/>
              <w:rPr>
                <w:color w:val="1C1C1C"/>
                <w:sz w:val="16"/>
                <w:szCs w:val="16"/>
              </w:rPr>
            </w:pPr>
            <w:r>
              <w:rPr>
                <w:color w:val="1C1C1C"/>
                <w:sz w:val="16"/>
                <w:szCs w:val="16"/>
              </w:rPr>
              <w:t xml:space="preserve">Total In-Scope </w:t>
            </w:r>
            <w:r w:rsidRPr="00E96C8D">
              <w:rPr>
                <w:color w:val="1C1C1C"/>
                <w:sz w:val="16"/>
                <w:szCs w:val="16"/>
              </w:rPr>
              <w:t>NHCDC</w:t>
            </w:r>
            <w:r>
              <w:rPr>
                <w:color w:val="1C1C1C"/>
                <w:sz w:val="16"/>
                <w:szCs w:val="16"/>
              </w:rPr>
              <w:t xml:space="preserve"> </w:t>
            </w:r>
            <w:r w:rsidRPr="00E96C8D">
              <w:rPr>
                <w:color w:val="1C1C1C"/>
                <w:sz w:val="16"/>
                <w:szCs w:val="16"/>
              </w:rPr>
              <w:t>Cost</w:t>
            </w:r>
          </w:p>
        </w:tc>
        <w:tc>
          <w:tcPr>
            <w:tcW w:w="1560" w:type="dxa"/>
            <w:vAlign w:val="center"/>
          </w:tcPr>
          <w:p w14:paraId="502BF232" w14:textId="1F0F8992" w:rsidR="00F21BD0" w:rsidRPr="006008CF" w:rsidRDefault="00761F19" w:rsidP="00F21BD0">
            <w:pPr>
              <w:spacing w:before="20" w:after="20"/>
              <w:jc w:val="right"/>
              <w:cnfStyle w:val="000000000000" w:firstRow="0" w:lastRow="0" w:firstColumn="0" w:lastColumn="0" w:oddVBand="0" w:evenVBand="0" w:oddHBand="0" w:evenHBand="0" w:firstRowFirstColumn="0" w:firstRowLastColumn="0" w:lastRowFirstColumn="0" w:lastRowLastColumn="0"/>
              <w:rPr>
                <w:color w:val="379887" w:themeColor="background1" w:themeShade="BF"/>
                <w:sz w:val="16"/>
                <w:szCs w:val="16"/>
              </w:rPr>
            </w:pPr>
            <w:r>
              <w:rPr>
                <w:color w:val="1C1C1C"/>
                <w:sz w:val="16"/>
                <w:szCs w:val="16"/>
              </w:rPr>
              <w:t>$20,181</w:t>
            </w:r>
          </w:p>
        </w:tc>
        <w:tc>
          <w:tcPr>
            <w:cnfStyle w:val="000010000000" w:firstRow="0" w:lastRow="0" w:firstColumn="0" w:lastColumn="0" w:oddVBand="1" w:evenVBand="0" w:oddHBand="0" w:evenHBand="0" w:firstRowFirstColumn="0" w:firstRowLastColumn="0" w:lastRowFirstColumn="0" w:lastRowLastColumn="0"/>
            <w:tcW w:w="1308" w:type="dxa"/>
            <w:vAlign w:val="center"/>
          </w:tcPr>
          <w:p w14:paraId="40F7466D" w14:textId="26A542E0" w:rsidR="00F21BD0" w:rsidRPr="006008CF" w:rsidRDefault="002E10BE" w:rsidP="00F21BD0">
            <w:pPr>
              <w:spacing w:before="20" w:after="20"/>
              <w:jc w:val="right"/>
              <w:rPr>
                <w:color w:val="379887" w:themeColor="background1" w:themeShade="BF"/>
                <w:sz w:val="16"/>
                <w:szCs w:val="16"/>
              </w:rPr>
            </w:pPr>
            <w:r>
              <w:rPr>
                <w:color w:val="1C1C1C"/>
                <w:sz w:val="16"/>
                <w:szCs w:val="16"/>
              </w:rPr>
              <w:t>$17,</w:t>
            </w:r>
            <w:r w:rsidR="006E4315">
              <w:rPr>
                <w:color w:val="1C1C1C"/>
                <w:sz w:val="16"/>
                <w:szCs w:val="16"/>
              </w:rPr>
              <w:t>2</w:t>
            </w:r>
            <w:r w:rsidR="00AF045F">
              <w:rPr>
                <w:color w:val="1C1C1C"/>
                <w:sz w:val="16"/>
                <w:szCs w:val="16"/>
              </w:rPr>
              <w:t>56</w:t>
            </w:r>
          </w:p>
        </w:tc>
        <w:tc>
          <w:tcPr>
            <w:tcW w:w="1434" w:type="dxa"/>
            <w:vAlign w:val="center"/>
          </w:tcPr>
          <w:p w14:paraId="69558A67" w14:textId="0E661147" w:rsidR="00F21BD0" w:rsidRPr="005029AB" w:rsidRDefault="00F21BD0" w:rsidP="00F21BD0">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493DF4">
              <w:rPr>
                <w:color w:val="1C1C1C"/>
                <w:sz w:val="16"/>
                <w:szCs w:val="16"/>
              </w:rPr>
              <w:t>$16,3</w:t>
            </w:r>
            <w:r>
              <w:rPr>
                <w:color w:val="1C1C1C"/>
                <w:sz w:val="16"/>
                <w:szCs w:val="16"/>
              </w:rPr>
              <w:t>70</w:t>
            </w:r>
          </w:p>
        </w:tc>
        <w:tc>
          <w:tcPr>
            <w:cnfStyle w:val="000010000000" w:firstRow="0" w:lastRow="0" w:firstColumn="0" w:lastColumn="0" w:oddVBand="1" w:evenVBand="0" w:oddHBand="0" w:evenHBand="0" w:firstRowFirstColumn="0" w:firstRowLastColumn="0" w:lastRowFirstColumn="0" w:lastRowLastColumn="0"/>
            <w:tcW w:w="1389" w:type="dxa"/>
            <w:vAlign w:val="center"/>
          </w:tcPr>
          <w:p w14:paraId="11AB8436" w14:textId="6F3454BD" w:rsidR="00F21BD0" w:rsidRPr="005029AB" w:rsidRDefault="00F21BD0" w:rsidP="00F21BD0">
            <w:pPr>
              <w:spacing w:before="20" w:after="20"/>
              <w:jc w:val="right"/>
              <w:rPr>
                <w:color w:val="1C1C1C"/>
                <w:sz w:val="16"/>
                <w:szCs w:val="16"/>
              </w:rPr>
            </w:pPr>
            <w:r w:rsidRPr="00493DF4">
              <w:rPr>
                <w:color w:val="1C1C1C"/>
                <w:sz w:val="16"/>
                <w:szCs w:val="16"/>
              </w:rPr>
              <w:t>$5,404</w:t>
            </w:r>
          </w:p>
        </w:tc>
        <w:tc>
          <w:tcPr>
            <w:tcW w:w="1434" w:type="dxa"/>
            <w:vAlign w:val="center"/>
          </w:tcPr>
          <w:p w14:paraId="7BFBC994" w14:textId="4465179F" w:rsidR="00F21BD0" w:rsidRPr="005029AB" w:rsidRDefault="00F21BD0" w:rsidP="00F21BD0">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493DF4">
              <w:rPr>
                <w:color w:val="1C1C1C"/>
                <w:sz w:val="16"/>
                <w:szCs w:val="16"/>
              </w:rPr>
              <w:t xml:space="preserve"> $7,426</w:t>
            </w:r>
          </w:p>
        </w:tc>
        <w:tc>
          <w:tcPr>
            <w:cnfStyle w:val="000010000000" w:firstRow="0" w:lastRow="0" w:firstColumn="0" w:lastColumn="0" w:oddVBand="1" w:evenVBand="0" w:oddHBand="0" w:evenHBand="0" w:firstRowFirstColumn="0" w:firstRowLastColumn="0" w:lastRowFirstColumn="0" w:lastRowLastColumn="0"/>
            <w:tcW w:w="1389" w:type="dxa"/>
            <w:vAlign w:val="center"/>
          </w:tcPr>
          <w:p w14:paraId="05713B4A" w14:textId="45A3CAA6" w:rsidR="00F21BD0" w:rsidRPr="005029AB" w:rsidRDefault="00F21BD0" w:rsidP="00F21BD0">
            <w:pPr>
              <w:spacing w:before="20" w:after="20"/>
              <w:jc w:val="right"/>
              <w:rPr>
                <w:color w:val="1C1C1C"/>
                <w:sz w:val="16"/>
                <w:szCs w:val="16"/>
              </w:rPr>
            </w:pPr>
            <w:r w:rsidRPr="00493DF4">
              <w:rPr>
                <w:color w:val="1C1C1C"/>
                <w:sz w:val="16"/>
                <w:szCs w:val="16"/>
              </w:rPr>
              <w:t>$1,97</w:t>
            </w:r>
            <w:r>
              <w:rPr>
                <w:color w:val="1C1C1C"/>
                <w:sz w:val="16"/>
                <w:szCs w:val="16"/>
              </w:rPr>
              <w:t>9</w:t>
            </w:r>
          </w:p>
        </w:tc>
        <w:tc>
          <w:tcPr>
            <w:tcW w:w="1389" w:type="dxa"/>
            <w:vAlign w:val="center"/>
          </w:tcPr>
          <w:p w14:paraId="63FC378F" w14:textId="37A2230A" w:rsidR="00F21BD0" w:rsidRPr="005029AB" w:rsidRDefault="00F21BD0" w:rsidP="00F21BD0">
            <w:pPr>
              <w:spacing w:before="20" w:after="20"/>
              <w:jc w:val="right"/>
              <w:cnfStyle w:val="000000000000" w:firstRow="0" w:lastRow="0" w:firstColumn="0" w:lastColumn="0" w:oddVBand="0" w:evenVBand="0" w:oddHBand="0" w:evenHBand="0" w:firstRowFirstColumn="0" w:firstRowLastColumn="0" w:lastRowFirstColumn="0" w:lastRowLastColumn="0"/>
              <w:rPr>
                <w:color w:val="1C1C1C"/>
                <w:sz w:val="16"/>
                <w:szCs w:val="16"/>
              </w:rPr>
            </w:pPr>
            <w:r w:rsidRPr="00326551">
              <w:rPr>
                <w:color w:val="1C1C1C"/>
                <w:sz w:val="16"/>
                <w:szCs w:val="16"/>
              </w:rPr>
              <w:t>$1,266</w:t>
            </w:r>
          </w:p>
        </w:tc>
        <w:tc>
          <w:tcPr>
            <w:cnfStyle w:val="000010000000" w:firstRow="0" w:lastRow="0" w:firstColumn="0" w:lastColumn="0" w:oddVBand="1" w:evenVBand="0" w:oddHBand="0" w:evenHBand="0" w:firstRowFirstColumn="0" w:firstRowLastColumn="0" w:lastRowFirstColumn="0" w:lastRowLastColumn="0"/>
            <w:tcW w:w="1134" w:type="dxa"/>
            <w:vAlign w:val="center"/>
          </w:tcPr>
          <w:p w14:paraId="5DEC5332" w14:textId="341CF658" w:rsidR="00F21BD0" w:rsidRPr="005029AB" w:rsidRDefault="00F21BD0" w:rsidP="00F21BD0">
            <w:pPr>
              <w:spacing w:before="20" w:after="20"/>
              <w:jc w:val="right"/>
              <w:rPr>
                <w:color w:val="1C1C1C"/>
                <w:sz w:val="16"/>
                <w:szCs w:val="16"/>
              </w:rPr>
            </w:pPr>
            <w:r>
              <w:rPr>
                <w:color w:val="1C1C1C"/>
                <w:sz w:val="16"/>
                <w:szCs w:val="16"/>
              </w:rPr>
              <w:t>-</w:t>
            </w:r>
          </w:p>
        </w:tc>
      </w:tr>
      <w:bookmarkEnd w:id="6"/>
      <w:bookmarkEnd w:id="43"/>
    </w:tbl>
    <w:p w14:paraId="5E1B35AC" w14:textId="77777777" w:rsidR="002920B4" w:rsidRDefault="002920B4" w:rsidP="002920B4">
      <w:pPr>
        <w:sectPr w:rsidR="002920B4">
          <w:pgSz w:w="16838" w:h="11906" w:orient="landscape" w:code="9"/>
          <w:pgMar w:top="1080" w:right="1440" w:bottom="1080" w:left="1440" w:header="708" w:footer="708" w:gutter="0"/>
          <w:cols w:space="708"/>
          <w:docGrid w:linePitch="360"/>
        </w:sectPr>
      </w:pPr>
    </w:p>
    <w:p w14:paraId="54E6FFE5" w14:textId="5744854D" w:rsidR="002920B4" w:rsidRDefault="00BA0AF2" w:rsidP="00540552">
      <w:pPr>
        <w:pStyle w:val="Heading1"/>
      </w:pPr>
      <w:bookmarkStart w:id="44" w:name="_Toc157602329"/>
      <w:bookmarkStart w:id="45" w:name="_Toc157602330"/>
      <w:bookmarkStart w:id="46" w:name="_Toc157602331"/>
      <w:bookmarkStart w:id="47" w:name="_Toc157602332"/>
      <w:bookmarkStart w:id="48" w:name="_Toc157602333"/>
      <w:bookmarkStart w:id="49" w:name="_Toc157602334"/>
      <w:bookmarkStart w:id="50" w:name="_Toc157602347"/>
      <w:bookmarkStart w:id="51" w:name="_Toc164430031"/>
      <w:bookmarkStart w:id="52" w:name="_Toc179296642"/>
      <w:bookmarkStart w:id="53" w:name="_Toc153890146"/>
      <w:bookmarkEnd w:id="44"/>
      <w:bookmarkEnd w:id="45"/>
      <w:bookmarkEnd w:id="46"/>
      <w:bookmarkEnd w:id="47"/>
      <w:bookmarkEnd w:id="48"/>
      <w:bookmarkEnd w:id="49"/>
      <w:bookmarkEnd w:id="50"/>
      <w:r>
        <w:lastRenderedPageBreak/>
        <w:t>Jurisdiction Summary</w:t>
      </w:r>
      <w:bookmarkEnd w:id="51"/>
      <w:bookmarkEnd w:id="52"/>
    </w:p>
    <w:p w14:paraId="48DB83B2" w14:textId="0E13087A" w:rsidR="00A3367F" w:rsidRDefault="00907E0E" w:rsidP="00A3367F">
      <w:pPr>
        <w:pStyle w:val="Heading2"/>
      </w:pPr>
      <w:bookmarkStart w:id="54" w:name="_Toc179296643"/>
      <w:r>
        <w:t xml:space="preserve">New South </w:t>
      </w:r>
      <w:r w:rsidRPr="00A3367F">
        <w:t>Wales</w:t>
      </w:r>
      <w:bookmarkEnd w:id="54"/>
    </w:p>
    <w:p w14:paraId="5D14909F" w14:textId="55D433FE" w:rsidR="00C84348" w:rsidRPr="00A3367F" w:rsidRDefault="00C84348" w:rsidP="00A3367F">
      <w:pPr>
        <w:pStyle w:val="Heading3"/>
      </w:pPr>
      <w:r w:rsidRPr="00A3367F">
        <w:t>Summary</w:t>
      </w:r>
    </w:p>
    <w:p w14:paraId="39AD313E" w14:textId="135E8D4C" w:rsidR="00712640" w:rsidRPr="00116959" w:rsidRDefault="00712640" w:rsidP="00712640">
      <w:bookmarkStart w:id="55" w:name="_Toc153890153"/>
      <w:r w:rsidRPr="00116959">
        <w:t xml:space="preserve">New South Wales (NSW) submitted cost data from </w:t>
      </w:r>
      <w:r w:rsidR="00E74927">
        <w:t>15</w:t>
      </w:r>
      <w:r w:rsidR="00A3751E">
        <w:t>3</w:t>
      </w:r>
      <w:r w:rsidR="00E74927">
        <w:t xml:space="preserve"> </w:t>
      </w:r>
      <w:r w:rsidRPr="00116959">
        <w:t xml:space="preserve">hospitals (including health services) across </w:t>
      </w:r>
      <w:r w:rsidR="00E74927">
        <w:t>1</w:t>
      </w:r>
      <w:r w:rsidR="00F52D35">
        <w:t>5</w:t>
      </w:r>
      <w:r w:rsidRPr="00116959">
        <w:t xml:space="preserve"> local health districts (LHDs), </w:t>
      </w:r>
      <w:r w:rsidR="00DF704A">
        <w:t>2</w:t>
      </w:r>
      <w:r w:rsidR="00F52D35">
        <w:t xml:space="preserve"> </w:t>
      </w:r>
      <w:r w:rsidRPr="00116959">
        <w:t xml:space="preserve">Specialty Health Network (SHN) and </w:t>
      </w:r>
      <w:r w:rsidR="00A95651">
        <w:t xml:space="preserve">statewide </w:t>
      </w:r>
      <w:r w:rsidRPr="00116959">
        <w:t xml:space="preserve">ambulatory mental health, with </w:t>
      </w:r>
      <w:r w:rsidR="00E74927">
        <w:t>15.0</w:t>
      </w:r>
      <w:r w:rsidRPr="00116959">
        <w:t xml:space="preserve"> million records and a cost of $</w:t>
      </w:r>
      <w:r w:rsidR="00E74927">
        <w:t>20.2</w:t>
      </w:r>
      <w:r w:rsidRPr="00116959">
        <w:t xml:space="preserve"> billion in 2022-23.</w:t>
      </w:r>
    </w:p>
    <w:p w14:paraId="7180C4A0" w14:textId="598AA58A" w:rsidR="00712640" w:rsidRPr="00116959" w:rsidRDefault="00E75E13" w:rsidP="00712640">
      <w:r>
        <w:t xml:space="preserve">NSW have not reported any changes </w:t>
      </w:r>
      <w:r w:rsidRPr="00116959">
        <w:t>to the</w:t>
      </w:r>
      <w:r>
        <w:t>ir</w:t>
      </w:r>
      <w:r w:rsidRPr="00116959">
        <w:t xml:space="preserve"> governance and quality assurance processes </w:t>
      </w:r>
      <w:r>
        <w:t>in preparing their data for the NHCDC</w:t>
      </w:r>
      <w:r w:rsidRPr="00116959">
        <w:t xml:space="preserve"> 2022-23</w:t>
      </w:r>
      <w:r w:rsidR="0012086D">
        <w:t xml:space="preserve">. </w:t>
      </w:r>
      <w:r w:rsidR="00712640" w:rsidRPr="00116959">
        <w:t>IHACPA’s review of NSW’s</w:t>
      </w:r>
      <w:r w:rsidR="00F67C5A">
        <w:t xml:space="preserve"> reported</w:t>
      </w:r>
      <w:r w:rsidR="00712640" w:rsidRPr="00116959">
        <w:t xml:space="preserve"> costing and governance processes for the NHCDC 202</w:t>
      </w:r>
      <w:r w:rsidR="00B11961">
        <w:t>2</w:t>
      </w:r>
      <w:r w:rsidR="00712640" w:rsidRPr="00116959">
        <w:t>-2</w:t>
      </w:r>
      <w:r w:rsidR="00B11961">
        <w:t>3</w:t>
      </w:r>
      <w:r w:rsidR="00712640" w:rsidRPr="00116959">
        <w:t xml:space="preserve"> indicated a technical and robust approach to hospital costing was applied consistently across the submitted LHDs/SHNs. </w:t>
      </w:r>
    </w:p>
    <w:p w14:paraId="0263B5B7" w14:textId="7F904254" w:rsidR="00F701A8" w:rsidRDefault="00A00646" w:rsidP="003A4201">
      <w:r>
        <w:t>Costing in NSW is undertaken by the LHDs/SHNs in a consistent manner with any changes to</w:t>
      </w:r>
      <w:r w:rsidR="00CD2E7A">
        <w:t xml:space="preserve"> the methodology for</w:t>
      </w:r>
      <w:r>
        <w:t xml:space="preserve"> activity recording or costing communicated to costing practitioners</w:t>
      </w:r>
      <w:r w:rsidR="00F52D35">
        <w:t xml:space="preserve"> </w:t>
      </w:r>
      <w:r w:rsidR="00FB65D9">
        <w:t>through</w:t>
      </w:r>
      <w:r w:rsidR="00F52D35">
        <w:t xml:space="preserve"> the </w:t>
      </w:r>
      <w:r w:rsidR="00A43418">
        <w:t xml:space="preserve">NSW Health’s </w:t>
      </w:r>
      <w:r w:rsidR="00F52D35">
        <w:t>Costing Standards User Group</w:t>
      </w:r>
      <w:r>
        <w:t xml:space="preserve">. </w:t>
      </w:r>
      <w:r w:rsidR="00620DFB">
        <w:t xml:space="preserve">NSW advised </w:t>
      </w:r>
      <w:r w:rsidR="007E01EA">
        <w:t>IHACPA that f</w:t>
      </w:r>
      <w:r w:rsidR="00F701A8">
        <w:t xml:space="preserve">ollowing the conclusion of the </w:t>
      </w:r>
      <w:r w:rsidR="00F701A8" w:rsidRPr="00116959">
        <w:t>National Partnership on COVID-19 Response (NPCR)</w:t>
      </w:r>
      <w:r w:rsidR="00A95651">
        <w:t>,</w:t>
      </w:r>
      <w:r w:rsidR="00F701A8" w:rsidRPr="00116959">
        <w:t xml:space="preserve"> on 31</w:t>
      </w:r>
      <w:r w:rsidR="00BB4DA7">
        <w:t> </w:t>
      </w:r>
      <w:r w:rsidR="00F701A8" w:rsidRPr="00116959">
        <w:t>December</w:t>
      </w:r>
      <w:r w:rsidR="00BB4DA7">
        <w:t> </w:t>
      </w:r>
      <w:r w:rsidR="00F701A8" w:rsidRPr="00116959">
        <w:t>2022</w:t>
      </w:r>
      <w:r w:rsidR="00F701A8">
        <w:t xml:space="preserve">, </w:t>
      </w:r>
      <w:r w:rsidR="002A3AF7">
        <w:t>they</w:t>
      </w:r>
      <w:r w:rsidR="00F701A8">
        <w:t xml:space="preserve"> updated their costing process for COVID-19 activity from 1</w:t>
      </w:r>
      <w:r w:rsidR="00327BBF">
        <w:t> </w:t>
      </w:r>
      <w:r w:rsidR="00F701A8">
        <w:t>January</w:t>
      </w:r>
      <w:r w:rsidR="00327BBF">
        <w:t> </w:t>
      </w:r>
      <w:r w:rsidR="00F701A8">
        <w:t>2023</w:t>
      </w:r>
      <w:r w:rsidR="00F701A8" w:rsidRPr="00116959">
        <w:t>.</w:t>
      </w:r>
    </w:p>
    <w:p w14:paraId="738E9127" w14:textId="7D7F244B" w:rsidR="007175E7" w:rsidRPr="00F701A8" w:rsidRDefault="007175E7" w:rsidP="003A4201">
      <w:r>
        <w:t xml:space="preserve">NSW has requested </w:t>
      </w:r>
      <w:r w:rsidR="00367B89">
        <w:t xml:space="preserve">that IHACPA </w:t>
      </w:r>
      <w:r w:rsidR="00367B89" w:rsidRPr="00367B89">
        <w:t xml:space="preserve">exclude Illawarra Shoalhaven LHD from </w:t>
      </w:r>
      <w:r w:rsidR="00367B89">
        <w:t xml:space="preserve">the </w:t>
      </w:r>
      <w:r w:rsidR="00FB4D78">
        <w:t>national efficient price (</w:t>
      </w:r>
      <w:r w:rsidR="00367B89" w:rsidRPr="00367B89">
        <w:t>NEP</w:t>
      </w:r>
      <w:r w:rsidR="00FB4D78">
        <w:t>)</w:t>
      </w:r>
      <w:r w:rsidR="00367B89" w:rsidRPr="00367B89">
        <w:t xml:space="preserve"> determinations</w:t>
      </w:r>
      <w:r w:rsidR="00367B89">
        <w:t>.</w:t>
      </w:r>
    </w:p>
    <w:p w14:paraId="7D0B5426" w14:textId="1A6ED78E" w:rsidR="00BF4460" w:rsidRDefault="003A4201" w:rsidP="00A3367F">
      <w:pPr>
        <w:pStyle w:val="Heading3"/>
      </w:pPr>
      <w:r>
        <w:t>Applying</w:t>
      </w:r>
      <w:r w:rsidR="00D90FF4">
        <w:t xml:space="preserve"> the </w:t>
      </w:r>
      <w:bookmarkEnd w:id="55"/>
      <w:r w:rsidR="00FB4D78">
        <w:t>Australian Hospital Patient Costing Standards (</w:t>
      </w:r>
      <w:r w:rsidR="00D61CBF">
        <w:t>AHPCS</w:t>
      </w:r>
      <w:r w:rsidR="00FB4D78">
        <w:t>)</w:t>
      </w:r>
    </w:p>
    <w:p w14:paraId="189AF288" w14:textId="06676876" w:rsidR="00B656EE" w:rsidRDefault="00D06E6E" w:rsidP="00CB3AA9">
      <w:r>
        <w:t xml:space="preserve">NSW reported that its compliance with the AHPCS is unchanged from the NHCDC 2021-22. </w:t>
      </w:r>
      <w:r w:rsidR="00B656EE" w:rsidRPr="00116959">
        <w:t>NSW</w:t>
      </w:r>
      <w:r w:rsidR="00FA5FAE">
        <w:t>’</w:t>
      </w:r>
      <w:r w:rsidR="00490974">
        <w:t>s</w:t>
      </w:r>
      <w:r w:rsidR="00B656EE" w:rsidRPr="00116959">
        <w:t xml:space="preserve"> costing practitioners adhere to the</w:t>
      </w:r>
      <w:r w:rsidR="00712640">
        <w:t xml:space="preserve"> NSW developed Costing Accounting Guidelines</w:t>
      </w:r>
      <w:r w:rsidR="00B656EE" w:rsidRPr="00116959">
        <w:t xml:space="preserve"> </w:t>
      </w:r>
      <w:r w:rsidR="00712640">
        <w:t>(</w:t>
      </w:r>
      <w:r w:rsidR="00B656EE" w:rsidRPr="00116959">
        <w:t>CAG</w:t>
      </w:r>
      <w:r w:rsidR="00712640">
        <w:t>)</w:t>
      </w:r>
      <w:r w:rsidR="00A37B7A">
        <w:t>, which includes a standard list of accounts</w:t>
      </w:r>
      <w:r w:rsidR="00B656EE" w:rsidRPr="00116959">
        <w:t xml:space="preserve"> and </w:t>
      </w:r>
      <w:r w:rsidR="00A37B7A">
        <w:t xml:space="preserve">a </w:t>
      </w:r>
      <w:r w:rsidR="00155314" w:rsidRPr="00116959">
        <w:t>standardised</w:t>
      </w:r>
      <w:r w:rsidR="00A37B7A">
        <w:t xml:space="preserve"> costing methodology</w:t>
      </w:r>
      <w:r w:rsidR="00CE262E">
        <w:t>.</w:t>
      </w:r>
      <w:r w:rsidR="00155314" w:rsidRPr="00116959">
        <w:t xml:space="preserve"> </w:t>
      </w:r>
      <w:r w:rsidR="00B656EE" w:rsidRPr="00116959">
        <w:t>The CAG complies with the AHPCS and is updated regularly to reflect any changes to costing practices within NSW.</w:t>
      </w:r>
      <w:r w:rsidR="003E40DD">
        <w:t xml:space="preserve"> </w:t>
      </w:r>
    </w:p>
    <w:p w14:paraId="4AA768D5" w14:textId="2805659B" w:rsidR="00FA57F1" w:rsidRPr="00540552" w:rsidRDefault="00FA57F1" w:rsidP="009A66D6">
      <w:pPr>
        <w:pStyle w:val="Heading4"/>
      </w:pPr>
      <w:r w:rsidRPr="00540552">
        <w:rPr>
          <w:rFonts w:eastAsiaTheme="minorHAnsi"/>
        </w:rPr>
        <w:t>Stage 1</w:t>
      </w:r>
      <w:r w:rsidR="00324584">
        <w:rPr>
          <w:rFonts w:eastAsiaTheme="minorHAnsi"/>
        </w:rPr>
        <w:t>:</w:t>
      </w:r>
      <w:r w:rsidRPr="00540552">
        <w:rPr>
          <w:rFonts w:eastAsiaTheme="minorHAnsi"/>
        </w:rPr>
        <w:t xml:space="preserve"> </w:t>
      </w:r>
      <w:r w:rsidR="00324584">
        <w:rPr>
          <w:rFonts w:eastAsiaTheme="minorHAnsi"/>
        </w:rPr>
        <w:t>I</w:t>
      </w:r>
      <w:r w:rsidRPr="00540552">
        <w:rPr>
          <w:rFonts w:eastAsiaTheme="minorHAnsi"/>
        </w:rPr>
        <w:t xml:space="preserve">dentify </w:t>
      </w:r>
      <w:r w:rsidR="00324584">
        <w:rPr>
          <w:rFonts w:eastAsiaTheme="minorHAnsi"/>
        </w:rPr>
        <w:t>R</w:t>
      </w:r>
      <w:r w:rsidRPr="00540552">
        <w:rPr>
          <w:rFonts w:eastAsiaTheme="minorHAnsi"/>
        </w:rPr>
        <w:t xml:space="preserve">elevant </w:t>
      </w:r>
      <w:r w:rsidR="00324584">
        <w:rPr>
          <w:rFonts w:eastAsiaTheme="minorHAnsi"/>
        </w:rPr>
        <w:t>E</w:t>
      </w:r>
      <w:r w:rsidRPr="00540552">
        <w:rPr>
          <w:rFonts w:eastAsiaTheme="minorHAnsi"/>
        </w:rPr>
        <w:t>xpenses</w:t>
      </w:r>
    </w:p>
    <w:p w14:paraId="717E48B6" w14:textId="562407ED" w:rsidR="000460D5" w:rsidRDefault="00A157B9" w:rsidP="000460D5">
      <w:bookmarkStart w:id="56" w:name="_Hlk178168253"/>
      <w:r w:rsidRPr="00116959">
        <w:t xml:space="preserve">NSW reported full compliance with the </w:t>
      </w:r>
      <w:r w:rsidR="001D75AC">
        <w:t>S</w:t>
      </w:r>
      <w:r w:rsidRPr="00116959">
        <w:t>tandards in Stage 1, except for Standard 1.2</w:t>
      </w:r>
      <w:r w:rsidR="005B5A86">
        <w:t xml:space="preserve"> Third-Party Expenses</w:t>
      </w:r>
      <w:r w:rsidRPr="00116959">
        <w:t xml:space="preserve">. </w:t>
      </w:r>
      <w:r w:rsidR="00DA0A29" w:rsidRPr="009948B2">
        <w:t xml:space="preserve">Expenses </w:t>
      </w:r>
      <w:r w:rsidR="005B5A86" w:rsidRPr="009948B2">
        <w:t xml:space="preserve">held </w:t>
      </w:r>
      <w:r w:rsidR="00DF704A">
        <w:t>centrally for</w:t>
      </w:r>
      <w:r w:rsidR="0025303D">
        <w:t xml:space="preserve"> private patient </w:t>
      </w:r>
      <w:r w:rsidR="00DF704A">
        <w:t>pathology</w:t>
      </w:r>
      <w:r w:rsidR="0025303D">
        <w:t>,</w:t>
      </w:r>
      <w:r w:rsidR="00DA0A29">
        <w:t xml:space="preserve"> </w:t>
      </w:r>
      <w:r w:rsidR="00DF704A">
        <w:t>are not</w:t>
      </w:r>
      <w:r w:rsidR="003E108A">
        <w:t xml:space="preserve"> </w:t>
      </w:r>
      <w:r w:rsidR="005B5A86">
        <w:t xml:space="preserve">included </w:t>
      </w:r>
      <w:r w:rsidR="00976373">
        <w:t>in the cost ledger</w:t>
      </w:r>
      <w:r w:rsidR="00D26656">
        <w:t>.</w:t>
      </w:r>
      <w:r w:rsidR="00976373">
        <w:t xml:space="preserve"> </w:t>
      </w:r>
    </w:p>
    <w:bookmarkEnd w:id="56"/>
    <w:p w14:paraId="74923C73" w14:textId="09C6E97A" w:rsidR="00FA57F1" w:rsidRPr="00116959" w:rsidRDefault="00FA57F1" w:rsidP="00A3367F">
      <w:pPr>
        <w:pStyle w:val="Heading4"/>
      </w:pPr>
      <w:r w:rsidRPr="00116959">
        <w:t>Stage 2</w:t>
      </w:r>
      <w:r w:rsidR="00324584">
        <w:t>: C</w:t>
      </w:r>
      <w:r w:rsidRPr="00116959">
        <w:t xml:space="preserve">reate the </w:t>
      </w:r>
      <w:r w:rsidR="00324584">
        <w:t>C</w:t>
      </w:r>
      <w:r w:rsidRPr="00116959">
        <w:t xml:space="preserve">ost </w:t>
      </w:r>
      <w:r w:rsidR="00324584">
        <w:t>L</w:t>
      </w:r>
      <w:r w:rsidRPr="00116959">
        <w:t>edger</w:t>
      </w:r>
    </w:p>
    <w:p w14:paraId="1B34CB65" w14:textId="44B2A59B" w:rsidR="00153DB4" w:rsidRDefault="00153DB4" w:rsidP="000460D5">
      <w:r>
        <w:t>NSW identified a change to Standard 2.</w:t>
      </w:r>
      <w:r w:rsidR="00A43418">
        <w:t>1</w:t>
      </w:r>
      <w:r>
        <w:t xml:space="preserve"> Cost Ledger Framework, </w:t>
      </w:r>
      <w:r w:rsidR="00DF704A">
        <w:t xml:space="preserve">discontinuing </w:t>
      </w:r>
      <w:r>
        <w:t xml:space="preserve">the </w:t>
      </w:r>
      <w:r w:rsidR="00DF704A">
        <w:t xml:space="preserve">use of the </w:t>
      </w:r>
      <w:r>
        <w:t>COVID-19 cost centres in line with the retirement of the</w:t>
      </w:r>
      <w:r w:rsidR="00324584">
        <w:t xml:space="preserve"> </w:t>
      </w:r>
      <w:r>
        <w:t>NPCR on 31 December 2022.</w:t>
      </w:r>
    </w:p>
    <w:p w14:paraId="0191797E" w14:textId="187D20D2" w:rsidR="003D6BBA" w:rsidRPr="00116959" w:rsidRDefault="003D6BBA" w:rsidP="000460D5">
      <w:r w:rsidRPr="00116959">
        <w:t>NSW reported there is variation in the level of service data available across LHDs/SHNs, however, the range and extent of service data is expanding which is helping to improve product and expense matching.</w:t>
      </w:r>
    </w:p>
    <w:p w14:paraId="0FD274F9" w14:textId="3F20B69A" w:rsidR="000460D5" w:rsidRDefault="000460D5" w:rsidP="00A3367F">
      <w:pPr>
        <w:pStyle w:val="Heading4"/>
      </w:pPr>
      <w:r w:rsidRPr="005C370E">
        <w:lastRenderedPageBreak/>
        <w:t>Stage 3</w:t>
      </w:r>
      <w:r w:rsidR="00324584">
        <w:t>:</w:t>
      </w:r>
      <w:r w:rsidRPr="005C370E">
        <w:t xml:space="preserve"> </w:t>
      </w:r>
      <w:r w:rsidR="00324584">
        <w:t>C</w:t>
      </w:r>
      <w:r w:rsidRPr="005C370E">
        <w:t xml:space="preserve">reate </w:t>
      </w:r>
      <w:r w:rsidR="00324584">
        <w:t>F</w:t>
      </w:r>
      <w:r w:rsidRPr="005C370E">
        <w:t xml:space="preserve">inal </w:t>
      </w:r>
      <w:r w:rsidR="00324584">
        <w:t>C</w:t>
      </w:r>
      <w:r w:rsidRPr="005C370E">
        <w:t xml:space="preserve">ost </w:t>
      </w:r>
      <w:r w:rsidR="00324584">
        <w:t>C</w:t>
      </w:r>
      <w:r w:rsidRPr="005C370E">
        <w:t>entres</w:t>
      </w:r>
    </w:p>
    <w:p w14:paraId="472D5E4F" w14:textId="650A1034" w:rsidR="00F23F30" w:rsidRDefault="00BD46CB" w:rsidP="00F23F30">
      <w:r>
        <w:rPr>
          <w:color w:val="14272E"/>
        </w:rPr>
        <w:t xml:space="preserve">Centralised services, such as pathology, patient transport, information technology, linen or food services, are </w:t>
      </w:r>
      <w:proofErr w:type="gramStart"/>
      <w:r>
        <w:rPr>
          <w:color w:val="14272E"/>
        </w:rPr>
        <w:t>cross-charged</w:t>
      </w:r>
      <w:proofErr w:type="gramEnd"/>
      <w:r>
        <w:rPr>
          <w:color w:val="14272E"/>
        </w:rPr>
        <w:t xml:space="preserve"> to LHDs and SHNs (and other NSW Health Entities where appropriate), each month using the relevant intra-health account code in the general ledger</w:t>
      </w:r>
      <w:r w:rsidR="00E94BA8">
        <w:rPr>
          <w:color w:val="14272E"/>
        </w:rPr>
        <w:t xml:space="preserve"> (GL)</w:t>
      </w:r>
      <w:r>
        <w:rPr>
          <w:color w:val="14272E"/>
        </w:rPr>
        <w:t xml:space="preserve">. All costs (salaries and wages or goods and services) associated with the </w:t>
      </w:r>
      <w:proofErr w:type="gramStart"/>
      <w:r>
        <w:rPr>
          <w:color w:val="14272E"/>
        </w:rPr>
        <w:t>particular centralised</w:t>
      </w:r>
      <w:proofErr w:type="gramEnd"/>
      <w:r>
        <w:rPr>
          <w:color w:val="14272E"/>
        </w:rPr>
        <w:t xml:space="preserve"> service are reflected in the relevant intra-health account code in the </w:t>
      </w:r>
      <w:r w:rsidR="00E94BA8">
        <w:rPr>
          <w:color w:val="14272E"/>
        </w:rPr>
        <w:t>GL</w:t>
      </w:r>
      <w:r>
        <w:rPr>
          <w:color w:val="14272E"/>
        </w:rPr>
        <w:t xml:space="preserve"> for the LHD/SHN.</w:t>
      </w:r>
    </w:p>
    <w:p w14:paraId="13061D90" w14:textId="1816A2CC" w:rsidR="00F3773A" w:rsidRDefault="00F23F30" w:rsidP="00F3773A">
      <w:r>
        <w:t xml:space="preserve">Within NSW, there are instances where Intensive Care Units (ICU) and High Dependency Units </w:t>
      </w:r>
      <w:r w:rsidR="00CA5231">
        <w:t>(</w:t>
      </w:r>
      <w:r>
        <w:t>HDU</w:t>
      </w:r>
      <w:r w:rsidR="00CA5231">
        <w:t>)</w:t>
      </w:r>
      <w:r>
        <w:t xml:space="preserve"> occur in the same ward, with one cost centre, and bed type is used to differentiate between ICU and HDU days/hours. The final cost allocation reflects appropriate </w:t>
      </w:r>
      <w:r w:rsidR="00BD46CB">
        <w:t>costs</w:t>
      </w:r>
      <w:r>
        <w:t xml:space="preserve"> for ICU and HDU patients, however there may be instances where HDU patients </w:t>
      </w:r>
      <w:r w:rsidR="00BD46CB">
        <w:t xml:space="preserve">may have cost reported within </w:t>
      </w:r>
      <w:r>
        <w:t xml:space="preserve">a critical care cost centre, </w:t>
      </w:r>
      <w:r w:rsidR="00BD46CB">
        <w:t>even though they only had HDU hours.</w:t>
      </w:r>
      <w:r w:rsidR="00F3773A">
        <w:t xml:space="preserve"> This reporting method for critical care services deviates from the Critical Care Costing Guideline.</w:t>
      </w:r>
    </w:p>
    <w:p w14:paraId="1D94A853" w14:textId="53082087" w:rsidR="005E144C" w:rsidRDefault="005E144C" w:rsidP="00875E78">
      <w:pPr>
        <w:pStyle w:val="Heading4"/>
      </w:pPr>
      <w:r w:rsidRPr="00116959">
        <w:t xml:space="preserve">Stage </w:t>
      </w:r>
      <w:r>
        <w:t>4</w:t>
      </w:r>
      <w:r w:rsidR="00324584">
        <w:t>:</w:t>
      </w:r>
      <w:r w:rsidR="00875E78">
        <w:t xml:space="preserve"> </w:t>
      </w:r>
      <w:r w:rsidR="00324584">
        <w:t>I</w:t>
      </w:r>
      <w:r w:rsidR="00875E78">
        <w:t xml:space="preserve">dentify </w:t>
      </w:r>
      <w:r w:rsidR="00324584">
        <w:t>P</w:t>
      </w:r>
      <w:r w:rsidR="00875E78">
        <w:t>roducts</w:t>
      </w:r>
    </w:p>
    <w:p w14:paraId="091142E9" w14:textId="217DCEE7" w:rsidR="00153DB4" w:rsidRPr="00116959" w:rsidRDefault="00153DB4" w:rsidP="00153DB4">
      <w:r w:rsidRPr="00153DB4">
        <w:t>Costing is undertaken by LHDs/SHNs</w:t>
      </w:r>
      <w:r>
        <w:t xml:space="preserve">, sourcing data from </w:t>
      </w:r>
      <w:r w:rsidR="00BD46CB">
        <w:t xml:space="preserve">numerous </w:t>
      </w:r>
      <w:r>
        <w:t xml:space="preserve">local </w:t>
      </w:r>
      <w:r w:rsidR="00BD46CB">
        <w:t xml:space="preserve">and stateside clinical and corporate </w:t>
      </w:r>
      <w:r>
        <w:t>systems, before submitting to NSW Health. This ensures products are correctly identified in line with Standard 4.1 Product Types and costs are correctly allocated in line with Standard 2.2 Matching Cost Objects and Expenses.</w:t>
      </w:r>
    </w:p>
    <w:p w14:paraId="13E346CF" w14:textId="35127CF2" w:rsidR="00875E78" w:rsidRDefault="005E144C" w:rsidP="00A3367F">
      <w:pPr>
        <w:pStyle w:val="Heading4"/>
      </w:pPr>
      <w:r w:rsidRPr="00116959">
        <w:t xml:space="preserve">Stage </w:t>
      </w:r>
      <w:r>
        <w:t>5</w:t>
      </w:r>
      <w:r w:rsidR="00324584">
        <w:t>: A</w:t>
      </w:r>
      <w:r w:rsidR="00875E78">
        <w:t xml:space="preserve">ssign </w:t>
      </w:r>
      <w:r w:rsidR="00324584">
        <w:t>E</w:t>
      </w:r>
      <w:r w:rsidR="00875E78">
        <w:t xml:space="preserve">xpenses to </w:t>
      </w:r>
      <w:r w:rsidR="00324584">
        <w:t>P</w:t>
      </w:r>
      <w:r w:rsidR="00875E78">
        <w:t>roducts</w:t>
      </w:r>
    </w:p>
    <w:p w14:paraId="0A0B235E" w14:textId="1ADA68BD" w:rsidR="00BD46CB" w:rsidRDefault="00056DEA" w:rsidP="00BD46CB">
      <w:r>
        <w:t>NSW identified a deviation to Standard 5.1 Final Products, regarding contracted care. When costing patient care from the contracted establishment, expenses are reported using the goods and services line item</w:t>
      </w:r>
      <w:r w:rsidR="00BD46CB">
        <w:t xml:space="preserve"> reflecting the state chart of account code in the </w:t>
      </w:r>
      <w:r w:rsidR="00E94BA8">
        <w:t>GL</w:t>
      </w:r>
      <w:r>
        <w:t>.</w:t>
      </w:r>
      <w:r w:rsidR="00BD46CB">
        <w:t xml:space="preserve"> NSW notes that the disaggregation of these costs into separate line items is not feasible due to the volume of contract care.</w:t>
      </w:r>
    </w:p>
    <w:p w14:paraId="55474985" w14:textId="4288B26A" w:rsidR="002B6C38" w:rsidRDefault="00BD46CB" w:rsidP="00BD46CB">
      <w:r>
        <w:t>Costs associated with the Newborn and Paediatric Emergency Transport Service (NETS) reflect actual transport costs and exclude pre- or post-transport clinical consultation, assessment, stabilisation or handover related costs. The cost associated with NETS consultations which do not result in patient transport are not included.</w:t>
      </w:r>
      <w:r w:rsidR="00056DEA">
        <w:t xml:space="preserve"> </w:t>
      </w:r>
    </w:p>
    <w:p w14:paraId="7AA9D93D" w14:textId="4A07054B" w:rsidR="00FA57F1" w:rsidRPr="00116959" w:rsidRDefault="005E144C" w:rsidP="00A3367F">
      <w:pPr>
        <w:pStyle w:val="Heading4"/>
      </w:pPr>
      <w:r w:rsidRPr="00116959">
        <w:t>Stage 6</w:t>
      </w:r>
      <w:r w:rsidR="000905D1">
        <w:t>: R</w:t>
      </w:r>
      <w:r w:rsidR="00FA57F1" w:rsidRPr="00116959">
        <w:t xml:space="preserve">eview and </w:t>
      </w:r>
      <w:r w:rsidR="000905D1">
        <w:t>R</w:t>
      </w:r>
      <w:r w:rsidR="00FA57F1" w:rsidRPr="00116959">
        <w:t>econcile</w:t>
      </w:r>
    </w:p>
    <w:p w14:paraId="0EE84BB7" w14:textId="06329E79" w:rsidR="00440235" w:rsidRPr="00116959" w:rsidRDefault="00B656EE" w:rsidP="00493DF4">
      <w:r>
        <w:t>NSW have s</w:t>
      </w:r>
      <w:r w:rsidRPr="00116959">
        <w:t xml:space="preserve">tandardised tools, activity data extracts, and data quality checks </w:t>
      </w:r>
      <w:r>
        <w:t xml:space="preserve">that </w:t>
      </w:r>
      <w:r w:rsidRPr="00116959">
        <w:t xml:space="preserve">contribute to ensuring consistency in reporting, </w:t>
      </w:r>
      <w:r>
        <w:t xml:space="preserve">which are </w:t>
      </w:r>
      <w:r w:rsidRPr="00116959">
        <w:t xml:space="preserve">continuously refined through consultations with costing practitioners. </w:t>
      </w:r>
      <w:r w:rsidR="0004049E" w:rsidRPr="00116959">
        <w:t xml:space="preserve">NSW has reported they have </w:t>
      </w:r>
      <w:r w:rsidR="00A157B9" w:rsidRPr="00116959">
        <w:t>a comprehensive data quality framework</w:t>
      </w:r>
      <w:r w:rsidR="002272BF" w:rsidRPr="00116959">
        <w:t>, including quality assurance processes</w:t>
      </w:r>
      <w:r w:rsidR="00A157B9" w:rsidRPr="00116959">
        <w:t xml:space="preserve"> </w:t>
      </w:r>
      <w:r w:rsidR="003F7371" w:rsidRPr="00116959">
        <w:t xml:space="preserve">throughout the </w:t>
      </w:r>
      <w:r w:rsidR="003F7371">
        <w:t xml:space="preserve">costing process and preparation of a data set </w:t>
      </w:r>
      <w:r w:rsidR="003F7371" w:rsidRPr="00116959">
        <w:t>for submission to the NHCDC.</w:t>
      </w:r>
    </w:p>
    <w:p w14:paraId="5CBCE6D5" w14:textId="0A62E039" w:rsidR="00A157B9" w:rsidRPr="00116959" w:rsidRDefault="00A157B9" w:rsidP="00493DF4">
      <w:r w:rsidRPr="00116959">
        <w:t>NSW completes internal quality assurance processes to ensure the NHCDC contains high</w:t>
      </w:r>
      <w:r w:rsidR="00C94740">
        <w:noBreakHyphen/>
      </w:r>
      <w:r w:rsidRPr="00116959">
        <w:t>quality data. It has been identified that NSW conducted several annual checks and assessments prior to a formal sign off by the NSW Health Chief Executive to ensure a robust costing submission to IHACPA.</w:t>
      </w:r>
      <w:r w:rsidR="000C5A07" w:rsidRPr="00116959">
        <w:t xml:space="preserve"> This process remains unchanged from previous years.</w:t>
      </w:r>
    </w:p>
    <w:p w14:paraId="55F053AB" w14:textId="546F8B5F" w:rsidR="00A157B9" w:rsidRPr="00116959" w:rsidRDefault="00A157B9" w:rsidP="00493DF4">
      <w:r w:rsidRPr="00116959">
        <w:lastRenderedPageBreak/>
        <w:t>To ensure all in-scope cost</w:t>
      </w:r>
      <w:r w:rsidR="007A2FB9" w:rsidRPr="00116959">
        <w:t>s</w:t>
      </w:r>
      <w:r w:rsidRPr="00116959">
        <w:t xml:space="preserve"> have been included in the NHCDC 2022-23, a</w:t>
      </w:r>
      <w:r w:rsidR="007A2FB9" w:rsidRPr="00116959">
        <w:t>n extensive expense and activity</w:t>
      </w:r>
      <w:r w:rsidRPr="00116959">
        <w:t xml:space="preserve"> reconciliation </w:t>
      </w:r>
      <w:r w:rsidR="007A2FB9" w:rsidRPr="00116959">
        <w:t xml:space="preserve">process is completed. </w:t>
      </w:r>
      <w:r w:rsidRPr="00116959">
        <w:t xml:space="preserve">NSW’s </w:t>
      </w:r>
      <w:r w:rsidR="000905D1">
        <w:t>GL</w:t>
      </w:r>
      <w:r w:rsidRPr="00116959">
        <w:t xml:space="preserve"> reconciles with the cost ledger as well as the costs submitted to IHACPA.</w:t>
      </w:r>
    </w:p>
    <w:p w14:paraId="20F824AD" w14:textId="19DE4992" w:rsidR="002920B4" w:rsidRPr="008D1686" w:rsidRDefault="00224968" w:rsidP="00A93D98">
      <w:pPr>
        <w:pStyle w:val="Heading2"/>
      </w:pPr>
      <w:bookmarkStart w:id="57" w:name="_Toc178923275"/>
      <w:bookmarkStart w:id="58" w:name="_Toc178945326"/>
      <w:bookmarkStart w:id="59" w:name="_Toc179296644"/>
      <w:bookmarkStart w:id="60" w:name="_Toc178923276"/>
      <w:bookmarkStart w:id="61" w:name="_Toc178945327"/>
      <w:bookmarkStart w:id="62" w:name="_Toc179296645"/>
      <w:bookmarkEnd w:id="57"/>
      <w:bookmarkEnd w:id="58"/>
      <w:bookmarkEnd w:id="59"/>
      <w:bookmarkEnd w:id="60"/>
      <w:bookmarkEnd w:id="61"/>
      <w:bookmarkEnd w:id="62"/>
      <w:r>
        <w:br w:type="page"/>
      </w:r>
      <w:bookmarkStart w:id="63" w:name="_Toc179296646"/>
      <w:r w:rsidR="003B15A5" w:rsidRPr="008D1686">
        <w:lastRenderedPageBreak/>
        <w:t>Victoria</w:t>
      </w:r>
      <w:bookmarkEnd w:id="63"/>
    </w:p>
    <w:p w14:paraId="2A187A7C" w14:textId="08E052C2" w:rsidR="003C6C8E" w:rsidRDefault="003C6C8E" w:rsidP="00A3367F">
      <w:pPr>
        <w:pStyle w:val="Heading3"/>
      </w:pPr>
      <w:r>
        <w:t>Summary</w:t>
      </w:r>
    </w:p>
    <w:p w14:paraId="081FB99F" w14:textId="2D0B0CEF" w:rsidR="003C6C8E" w:rsidRDefault="003C6C8E" w:rsidP="003C6C8E">
      <w:r w:rsidRPr="00116959">
        <w:t>Victoria submitted cost data from 91 hospitals (including health services) across 38 local health networks (LHNs) with 9.9 million records and a cost of $17.</w:t>
      </w:r>
      <w:r w:rsidR="00963A99">
        <w:t>6</w:t>
      </w:r>
      <w:r w:rsidRPr="00116959">
        <w:t xml:space="preserve"> billion in 2022-23. IHACPA consulted Victoria to confirm the Standards were correctly applied</w:t>
      </w:r>
      <w:r w:rsidR="006A16B7" w:rsidRPr="00116959">
        <w:t xml:space="preserve"> and</w:t>
      </w:r>
      <w:r w:rsidRPr="00116959">
        <w:t xml:space="preserve"> review</w:t>
      </w:r>
      <w:r w:rsidR="006A16B7" w:rsidRPr="00116959">
        <w:t>ed</w:t>
      </w:r>
      <w:r w:rsidRPr="00116959">
        <w:t xml:space="preserve"> any exceptions</w:t>
      </w:r>
      <w:r w:rsidR="006A16B7" w:rsidRPr="00116959">
        <w:t>.</w:t>
      </w:r>
    </w:p>
    <w:p w14:paraId="4FEC4E17" w14:textId="17B85888" w:rsidR="00171C8C" w:rsidRPr="00E14BFC" w:rsidRDefault="00171C8C" w:rsidP="00B54C4F">
      <w:pPr>
        <w:rPr>
          <w:color w:val="auto"/>
        </w:rPr>
      </w:pPr>
      <w:r w:rsidRPr="00E14BFC">
        <w:rPr>
          <w:color w:val="auto"/>
        </w:rPr>
        <w:t>Findings of the review indicate that Victoria capture</w:t>
      </w:r>
      <w:r w:rsidR="00963A99">
        <w:rPr>
          <w:color w:val="auto"/>
        </w:rPr>
        <w:t>d</w:t>
      </w:r>
      <w:r w:rsidRPr="00E14BFC">
        <w:rPr>
          <w:color w:val="auto"/>
        </w:rPr>
        <w:t xml:space="preserve"> and allocate</w:t>
      </w:r>
      <w:r w:rsidR="00963A99">
        <w:rPr>
          <w:color w:val="auto"/>
        </w:rPr>
        <w:t>d</w:t>
      </w:r>
      <w:r w:rsidRPr="00E14BFC">
        <w:rPr>
          <w:color w:val="auto"/>
        </w:rPr>
        <w:t xml:space="preserve"> costs </w:t>
      </w:r>
      <w:r w:rsidR="00113ADC">
        <w:rPr>
          <w:color w:val="auto"/>
        </w:rPr>
        <w:t>accurately</w:t>
      </w:r>
      <w:r>
        <w:rPr>
          <w:color w:val="auto"/>
        </w:rPr>
        <w:t xml:space="preserve"> across the state</w:t>
      </w:r>
      <w:r w:rsidR="00B54C4F">
        <w:t>. Victoria</w:t>
      </w:r>
      <w:r w:rsidR="00B54C4F" w:rsidRPr="00116959">
        <w:t xml:space="preserve"> Health uses the </w:t>
      </w:r>
      <w:r w:rsidR="009E6722" w:rsidRPr="009E6722">
        <w:rPr>
          <w:color w:val="auto"/>
        </w:rPr>
        <w:t>Victorian Activity Based Costing (VICABC) documentation to develop the Victorian Cost Data Collection (VCDC).</w:t>
      </w:r>
      <w:r w:rsidR="009E6722">
        <w:rPr>
          <w:color w:val="auto"/>
        </w:rPr>
        <w:t xml:space="preserve"> These guidelines ensure</w:t>
      </w:r>
      <w:r w:rsidRPr="00E14BFC">
        <w:rPr>
          <w:color w:val="auto"/>
        </w:rPr>
        <w:t xml:space="preserve"> expenses are captured accurately, including the contracted care costs base</w:t>
      </w:r>
      <w:r>
        <w:rPr>
          <w:color w:val="auto"/>
        </w:rPr>
        <w:t>d</w:t>
      </w:r>
      <w:r w:rsidRPr="00E14BFC">
        <w:rPr>
          <w:color w:val="auto"/>
        </w:rPr>
        <w:t xml:space="preserve"> on financial arrangements between jurisdictions</w:t>
      </w:r>
      <w:r>
        <w:rPr>
          <w:color w:val="auto"/>
        </w:rPr>
        <w:t xml:space="preserve"> and </w:t>
      </w:r>
      <w:r w:rsidR="008E08B9">
        <w:rPr>
          <w:color w:val="auto"/>
        </w:rPr>
        <w:t>LHNs</w:t>
      </w:r>
      <w:r w:rsidRPr="00E14BFC">
        <w:rPr>
          <w:color w:val="auto"/>
        </w:rPr>
        <w:t>.</w:t>
      </w:r>
    </w:p>
    <w:p w14:paraId="6D355DEE" w14:textId="57CE3455" w:rsidR="00171C8C" w:rsidRPr="003A4201" w:rsidRDefault="00171C8C" w:rsidP="003C6C8E">
      <w:pPr>
        <w:rPr>
          <w:color w:val="auto"/>
        </w:rPr>
      </w:pPr>
      <w:r w:rsidRPr="00E14BFC">
        <w:rPr>
          <w:color w:val="auto"/>
        </w:rPr>
        <w:t>Victoria has standardised guidance on the allocation of third-party costs to ensure costs are appropriately allocated to patients. However, there are variations in the application of this guidance across health entities.</w:t>
      </w:r>
      <w:r w:rsidR="006132CE" w:rsidRPr="006132CE">
        <w:t xml:space="preserve"> </w:t>
      </w:r>
      <w:r w:rsidR="006132CE" w:rsidRPr="00116959">
        <w:t xml:space="preserve">This process remains unchanged from </w:t>
      </w:r>
      <w:r w:rsidR="006132CE">
        <w:t>Victoria</w:t>
      </w:r>
      <w:r w:rsidR="006132CE" w:rsidRPr="00116959">
        <w:t>’s 2021-22 submission, as reported in their</w:t>
      </w:r>
      <w:r w:rsidR="008E08B9">
        <w:t xml:space="preserve"> data quality statement</w:t>
      </w:r>
      <w:r w:rsidR="006132CE" w:rsidRPr="00116959">
        <w:t xml:space="preserve"> </w:t>
      </w:r>
      <w:r w:rsidR="008E08B9">
        <w:t>(</w:t>
      </w:r>
      <w:r w:rsidR="006132CE" w:rsidRPr="00116959">
        <w:t>DQS</w:t>
      </w:r>
      <w:r w:rsidR="008E08B9">
        <w:t>)</w:t>
      </w:r>
      <w:r w:rsidR="006132CE" w:rsidRPr="00116959">
        <w:t xml:space="preserve"> 2021-22.</w:t>
      </w:r>
    </w:p>
    <w:p w14:paraId="05E12166" w14:textId="10979BE1" w:rsidR="008D1686" w:rsidRDefault="003A4201" w:rsidP="00A3367F">
      <w:pPr>
        <w:pStyle w:val="Heading3"/>
      </w:pPr>
      <w:r>
        <w:t xml:space="preserve">Applying </w:t>
      </w:r>
      <w:r w:rsidR="006D5294">
        <w:t>the AHPCS</w:t>
      </w:r>
    </w:p>
    <w:p w14:paraId="7667090D" w14:textId="380FD21D" w:rsidR="00BC4E62" w:rsidRDefault="000342AE" w:rsidP="000342AE">
      <w:pPr>
        <w:rPr>
          <w:color w:val="auto"/>
        </w:rPr>
      </w:pPr>
      <w:r>
        <w:t>Victoria reported that its compliance with the AHPCS is unchanged from the NHCDC 2021</w:t>
      </w:r>
      <w:r w:rsidR="00C94740">
        <w:noBreakHyphen/>
      </w:r>
      <w:r>
        <w:t>22</w:t>
      </w:r>
      <w:r w:rsidR="007F70C2">
        <w:t xml:space="preserve"> and</w:t>
      </w:r>
      <w:r w:rsidR="007F70C2" w:rsidRPr="00116959">
        <w:t xml:space="preserve"> has reported full compliance with the AHPCS.</w:t>
      </w:r>
    </w:p>
    <w:p w14:paraId="0F70F21E" w14:textId="5746BC49" w:rsidR="00AE36E8" w:rsidRDefault="009917E1" w:rsidP="000342AE">
      <w:r w:rsidRPr="00F42A5D">
        <w:t xml:space="preserve">The VICABC </w:t>
      </w:r>
      <w:r>
        <w:t xml:space="preserve">includes </w:t>
      </w:r>
      <w:r w:rsidR="008E08B9">
        <w:t>d</w:t>
      </w:r>
      <w:r>
        <w:t xml:space="preserve">ata </w:t>
      </w:r>
      <w:r w:rsidR="008E08B9">
        <w:t>r</w:t>
      </w:r>
      <w:r w:rsidRPr="00113ADC">
        <w:t xml:space="preserve">equest </w:t>
      </w:r>
      <w:r w:rsidR="008E08B9">
        <w:t>s</w:t>
      </w:r>
      <w:r w:rsidRPr="00113ADC">
        <w:t xml:space="preserve">pecifications </w:t>
      </w:r>
      <w:r>
        <w:t>that</w:t>
      </w:r>
      <w:r w:rsidRPr="00113ADC">
        <w:t xml:space="preserve"> details of the requirements of the files to be submitted including the structure, values, and validation rules.</w:t>
      </w:r>
      <w:r>
        <w:t xml:space="preserve"> The documentation also includes a standardised process for mapping Victoria’s cost centres to IHACPA’s NHCDC final cost centres. The VCDC b</w:t>
      </w:r>
      <w:r w:rsidRPr="00113ADC">
        <w:t xml:space="preserve">usiness </w:t>
      </w:r>
      <w:r>
        <w:t>r</w:t>
      </w:r>
      <w:r w:rsidRPr="00113ADC">
        <w:t>ules</w:t>
      </w:r>
      <w:r>
        <w:t xml:space="preserve"> provide</w:t>
      </w:r>
      <w:r w:rsidRPr="00113ADC">
        <w:t xml:space="preserve"> guidance</w:t>
      </w:r>
      <w:r w:rsidR="00E2571A">
        <w:t xml:space="preserve"> to local health networks (LHN)</w:t>
      </w:r>
      <w:r w:rsidRPr="00113ADC">
        <w:t xml:space="preserve"> </w:t>
      </w:r>
      <w:r>
        <w:t>for</w:t>
      </w:r>
      <w:r w:rsidRPr="00113ADC">
        <w:t xml:space="preserve"> reporting and costing to </w:t>
      </w:r>
      <w:r w:rsidR="002E71EC">
        <w:t>Victoria’s c</w:t>
      </w:r>
      <w:r w:rsidRPr="00113ADC">
        <w:t>ollection</w:t>
      </w:r>
      <w:r>
        <w:t>, derived from the latest version of the</w:t>
      </w:r>
      <w:r w:rsidRPr="00113ADC">
        <w:t xml:space="preserve"> AHPCS.</w:t>
      </w:r>
    </w:p>
    <w:p w14:paraId="7C286B64" w14:textId="425FC8BD" w:rsidR="000342AE" w:rsidRPr="00540552" w:rsidRDefault="000342AE" w:rsidP="000342AE">
      <w:pPr>
        <w:pStyle w:val="Heading4"/>
      </w:pPr>
      <w:r w:rsidRPr="00540552">
        <w:rPr>
          <w:rFonts w:eastAsiaTheme="minorHAnsi"/>
        </w:rPr>
        <w:t>Stage 1</w:t>
      </w:r>
      <w:r w:rsidR="001B2ADF">
        <w:rPr>
          <w:rFonts w:eastAsiaTheme="minorHAnsi"/>
        </w:rPr>
        <w:t>: I</w:t>
      </w:r>
      <w:r w:rsidRPr="00540552">
        <w:rPr>
          <w:rFonts w:eastAsiaTheme="minorHAnsi"/>
        </w:rPr>
        <w:t xml:space="preserve">dentify </w:t>
      </w:r>
      <w:r w:rsidR="001B2ADF">
        <w:rPr>
          <w:rFonts w:eastAsiaTheme="minorHAnsi"/>
        </w:rPr>
        <w:t>R</w:t>
      </w:r>
      <w:r w:rsidRPr="00540552">
        <w:rPr>
          <w:rFonts w:eastAsiaTheme="minorHAnsi"/>
        </w:rPr>
        <w:t xml:space="preserve">elevant </w:t>
      </w:r>
      <w:r w:rsidR="001B2ADF">
        <w:rPr>
          <w:rFonts w:eastAsiaTheme="minorHAnsi"/>
        </w:rPr>
        <w:t>E</w:t>
      </w:r>
      <w:r w:rsidRPr="00540552">
        <w:rPr>
          <w:rFonts w:eastAsiaTheme="minorHAnsi"/>
        </w:rPr>
        <w:t>xpenses</w:t>
      </w:r>
    </w:p>
    <w:p w14:paraId="41BB0D92" w14:textId="68ACA464" w:rsidR="00171C8C" w:rsidRDefault="00703935" w:rsidP="00171C8C">
      <w:r w:rsidRPr="00F42A5D">
        <w:t xml:space="preserve">Victoria reported </w:t>
      </w:r>
      <w:r>
        <w:t>they adhered to</w:t>
      </w:r>
      <w:r w:rsidRPr="00F42A5D">
        <w:t xml:space="preserve"> the </w:t>
      </w:r>
      <w:r w:rsidR="001D75AC">
        <w:t>S</w:t>
      </w:r>
      <w:r w:rsidRPr="00F42A5D">
        <w:t xml:space="preserve">tandards in Stage </w:t>
      </w:r>
      <w:r>
        <w:t>1, a</w:t>
      </w:r>
      <w:r w:rsidR="00171C8C">
        <w:t>ll</w:t>
      </w:r>
      <w:r>
        <w:t xml:space="preserve"> </w:t>
      </w:r>
      <w:r w:rsidR="001D75AC">
        <w:t>GL</w:t>
      </w:r>
      <w:r w:rsidR="00171C8C">
        <w:t xml:space="preserve"> expenses used in patient treatments</w:t>
      </w:r>
      <w:r>
        <w:t xml:space="preserve"> have been allocated and reconciled</w:t>
      </w:r>
      <w:r w:rsidR="00171C8C">
        <w:t xml:space="preserve">. </w:t>
      </w:r>
      <w:bookmarkStart w:id="64" w:name="_Hlk187055266"/>
      <w:r w:rsidR="00A93D98">
        <w:t xml:space="preserve">Victoria excludes expenses not used in providing treatment to patients, including </w:t>
      </w:r>
      <w:r w:rsidR="00171C8C">
        <w:t>specific purpose accounts not relating to the provision of treatment, capital, and depreciation expenses</w:t>
      </w:r>
      <w:r w:rsidR="00A93D98">
        <w:t xml:space="preserve">. </w:t>
      </w:r>
      <w:bookmarkEnd w:id="64"/>
      <w:r w:rsidR="00A93D98">
        <w:t>Other co</w:t>
      </w:r>
      <w:r w:rsidR="00171C8C">
        <w:t xml:space="preserve">sts excluded </w:t>
      </w:r>
      <w:r w:rsidR="00A93D98">
        <w:t>include</w:t>
      </w:r>
      <w:r w:rsidR="00171C8C">
        <w:t xml:space="preserve"> out of scope programs not related to </w:t>
      </w:r>
      <w:proofErr w:type="gramStart"/>
      <w:r w:rsidR="002E71EC">
        <w:t>a</w:t>
      </w:r>
      <w:r w:rsidR="00171C8C">
        <w:t xml:space="preserve">ctivity </w:t>
      </w:r>
      <w:r w:rsidR="002E71EC">
        <w:t>b</w:t>
      </w:r>
      <w:r w:rsidR="00171C8C">
        <w:t>ased</w:t>
      </w:r>
      <w:proofErr w:type="gramEnd"/>
      <w:r w:rsidR="00171C8C">
        <w:t xml:space="preserve"> </w:t>
      </w:r>
      <w:r w:rsidR="002E71EC">
        <w:t>f</w:t>
      </w:r>
      <w:r w:rsidR="00171C8C">
        <w:t>unding</w:t>
      </w:r>
      <w:r w:rsidR="002E71EC">
        <w:t xml:space="preserve"> (ABF)</w:t>
      </w:r>
      <w:r w:rsidR="00A93D98">
        <w:t xml:space="preserve">, </w:t>
      </w:r>
      <w:r w:rsidR="00171C8C">
        <w:t>unlinked costs</w:t>
      </w:r>
      <w:r w:rsidR="00A93D98">
        <w:t xml:space="preserve"> and research </w:t>
      </w:r>
      <w:r w:rsidR="00A93D98" w:rsidRPr="009D18A9">
        <w:t>pending further developments in the Activity Based Funding work stream</w:t>
      </w:r>
      <w:r w:rsidR="00171C8C">
        <w:t>.</w:t>
      </w:r>
    </w:p>
    <w:p w14:paraId="5BCAE5A8" w14:textId="190C9B77" w:rsidR="00171C8C" w:rsidRPr="003A4201" w:rsidRDefault="00A93D98" w:rsidP="00171C8C">
      <w:r>
        <w:t>A</w:t>
      </w:r>
      <w:r w:rsidRPr="009D18A9">
        <w:t>ll medical expenses are allocated to patients regardless of funding source</w:t>
      </w:r>
      <w:r>
        <w:t>, except where</w:t>
      </w:r>
      <w:r w:rsidR="00171C8C" w:rsidRPr="003A4201">
        <w:t xml:space="preserve"> medical expenses only relating to private patients can be distinguished between medical expenses relating to public.</w:t>
      </w:r>
    </w:p>
    <w:p w14:paraId="48E1BE52" w14:textId="1BC87FEA" w:rsidR="00171C8C" w:rsidRDefault="00A93D98" w:rsidP="00171C8C">
      <w:r>
        <w:t xml:space="preserve">National Blood Allocation and Health Service Victoria costs </w:t>
      </w:r>
      <w:r w:rsidR="008C3D43">
        <w:t xml:space="preserve">are not included in </w:t>
      </w:r>
      <w:r>
        <w:t xml:space="preserve">the GL. </w:t>
      </w:r>
      <w:r w:rsidR="00171C8C" w:rsidRPr="003A4201">
        <w:t>Blood product costs have been included as a line item in the submission as has the separation of Pharmaceutical Benefits Scheme (PBS) and Non-Pharmaceutical Benefits Scheme (PBS) drugs.</w:t>
      </w:r>
    </w:p>
    <w:p w14:paraId="2163E858" w14:textId="2ACB56C6" w:rsidR="00A3751E" w:rsidRDefault="00A3751E" w:rsidP="00A3751E">
      <w:pPr>
        <w:pStyle w:val="Heading4"/>
      </w:pPr>
      <w:r w:rsidRPr="00116959">
        <w:lastRenderedPageBreak/>
        <w:t>Stage 2</w:t>
      </w:r>
      <w:r w:rsidR="001B2ADF">
        <w:t>: C</w:t>
      </w:r>
      <w:r w:rsidRPr="00116959">
        <w:t xml:space="preserve">reate the </w:t>
      </w:r>
      <w:r w:rsidR="001B2ADF">
        <w:t>C</w:t>
      </w:r>
      <w:r w:rsidRPr="00116959">
        <w:t xml:space="preserve">ost </w:t>
      </w:r>
      <w:r w:rsidR="001B2ADF">
        <w:t>L</w:t>
      </w:r>
      <w:r w:rsidRPr="00116959">
        <w:t>edger</w:t>
      </w:r>
    </w:p>
    <w:p w14:paraId="00A5C0EA" w14:textId="27F2D71B" w:rsidR="00A953AA" w:rsidRDefault="00BF123F" w:rsidP="00500DC2">
      <w:r w:rsidRPr="00F42A5D">
        <w:t xml:space="preserve">Victoria reported </w:t>
      </w:r>
      <w:r>
        <w:t>they adhered to</w:t>
      </w:r>
      <w:r w:rsidRPr="00F42A5D">
        <w:t xml:space="preserve"> the </w:t>
      </w:r>
      <w:r w:rsidR="001D75AC">
        <w:t>S</w:t>
      </w:r>
      <w:r w:rsidRPr="00F42A5D">
        <w:t>tandards in Stage 2</w:t>
      </w:r>
      <w:r w:rsidR="00D11DC3">
        <w:t>, create the cost ledger</w:t>
      </w:r>
      <w:r w:rsidR="002843B6">
        <w:t>, with an exception to the PatTran and PatTran-Other line item</w:t>
      </w:r>
      <w:r>
        <w:t>. Victor</w:t>
      </w:r>
      <w:r w:rsidR="00BC67CF">
        <w:t>i</w:t>
      </w:r>
      <w:r>
        <w:t>a identified issues using the new line item</w:t>
      </w:r>
      <w:r w:rsidR="002843B6">
        <w:t>s</w:t>
      </w:r>
      <w:r>
        <w:t xml:space="preserve"> accurately in 2022-23. </w:t>
      </w:r>
      <w:r w:rsidR="00A953AA">
        <w:t>There were some instances where c</w:t>
      </w:r>
      <w:r>
        <w:t xml:space="preserve">osting practitioners across the state </w:t>
      </w:r>
      <w:r w:rsidR="00A953AA">
        <w:t xml:space="preserve">interchangeably used </w:t>
      </w:r>
      <w:r>
        <w:t>the PatTran and PatTran-Other line item</w:t>
      </w:r>
      <w:r w:rsidR="00A953AA">
        <w:t>,</w:t>
      </w:r>
      <w:r>
        <w:t xml:space="preserve"> </w:t>
      </w:r>
      <w:r w:rsidR="00A953AA">
        <w:t>as they were</w:t>
      </w:r>
      <w:r>
        <w:t xml:space="preserve"> unable to distinguish between them</w:t>
      </w:r>
      <w:r w:rsidR="00A953AA">
        <w:t xml:space="preserve"> in the </w:t>
      </w:r>
      <w:r w:rsidR="001B2ADF">
        <w:t>GL</w:t>
      </w:r>
      <w:r>
        <w:t>.</w:t>
      </w:r>
      <w:r w:rsidR="00677FBC">
        <w:t xml:space="preserve"> </w:t>
      </w:r>
      <w:r w:rsidR="003D2863">
        <w:t>However, they were not used interchangeably within the NHCDC submission.</w:t>
      </w:r>
    </w:p>
    <w:p w14:paraId="1365A8C3" w14:textId="2F9E112E" w:rsidR="00A3751E" w:rsidRPr="00116959" w:rsidRDefault="00A3751E" w:rsidP="00A3751E">
      <w:pPr>
        <w:pStyle w:val="Heading4"/>
      </w:pPr>
      <w:r w:rsidRPr="00116959">
        <w:t>Stage 3</w:t>
      </w:r>
      <w:r w:rsidR="009D09AD">
        <w:t>: C</w:t>
      </w:r>
      <w:r w:rsidRPr="00116959">
        <w:t xml:space="preserve">reate </w:t>
      </w:r>
      <w:r w:rsidR="009D09AD">
        <w:t>F</w:t>
      </w:r>
      <w:r w:rsidRPr="00116959">
        <w:t xml:space="preserve">inal </w:t>
      </w:r>
      <w:r w:rsidR="009D09AD">
        <w:t>C</w:t>
      </w:r>
      <w:r w:rsidRPr="00116959">
        <w:t xml:space="preserve">ost </w:t>
      </w:r>
      <w:r w:rsidR="009D09AD">
        <w:t>C</w:t>
      </w:r>
      <w:r w:rsidRPr="00116959">
        <w:t>entres</w:t>
      </w:r>
    </w:p>
    <w:p w14:paraId="3D4C8105" w14:textId="1D88C030" w:rsidR="00113ADC" w:rsidRDefault="00BF123F" w:rsidP="00703935">
      <w:r w:rsidRPr="00F42A5D">
        <w:t xml:space="preserve">Victoria reported </w:t>
      </w:r>
      <w:r>
        <w:t>they adhered to</w:t>
      </w:r>
      <w:r w:rsidRPr="00F42A5D">
        <w:t xml:space="preserve"> the </w:t>
      </w:r>
      <w:r w:rsidR="001D75AC">
        <w:t>S</w:t>
      </w:r>
      <w:r w:rsidRPr="00F42A5D">
        <w:t xml:space="preserve">tandards in Stage </w:t>
      </w:r>
      <w:r w:rsidR="00F42A5D" w:rsidRPr="00F42A5D">
        <w:t>3</w:t>
      </w:r>
      <w:r w:rsidR="00D11DC3">
        <w:t>, create final cost centres</w:t>
      </w:r>
      <w:r w:rsidR="00F42A5D">
        <w:t>.</w:t>
      </w:r>
      <w:r>
        <w:t xml:space="preserve"> </w:t>
      </w:r>
      <w:r w:rsidR="00703935">
        <w:t>The use of nationally derived</w:t>
      </w:r>
      <w:r w:rsidR="00703935" w:rsidRPr="00703935">
        <w:t xml:space="preserve"> </w:t>
      </w:r>
      <w:r w:rsidR="00703935">
        <w:t>relative value units</w:t>
      </w:r>
      <w:r w:rsidR="009D09AD">
        <w:t xml:space="preserve"> (RVUs)</w:t>
      </w:r>
      <w:r w:rsidR="00703935" w:rsidRPr="00703935">
        <w:t xml:space="preserve"> used for cost allocation </w:t>
      </w:r>
      <w:r w:rsidR="00703935">
        <w:t>is avoided to remove any bias that would impact the integrity of the results. RVUs are updated by the LHNs regularly and in accordance with the AHPCS. It is t</w:t>
      </w:r>
      <w:r w:rsidR="00703935" w:rsidRPr="00703935">
        <w:t>he responsibility of the health services’ costing team and/or costing consultants</w:t>
      </w:r>
      <w:r w:rsidR="00703935">
        <w:t>,</w:t>
      </w:r>
      <w:r w:rsidR="00703935" w:rsidRPr="00703935">
        <w:t xml:space="preserve"> in conjunction with their stakeholders</w:t>
      </w:r>
      <w:r w:rsidR="00703935">
        <w:t>, to update the RVUs as deemed appropriate.</w:t>
      </w:r>
    </w:p>
    <w:p w14:paraId="757ADF14" w14:textId="08BBB84D" w:rsidR="000F3BD3" w:rsidRDefault="00022A20" w:rsidP="0030317A">
      <w:pPr>
        <w:pStyle w:val="Heading4"/>
      </w:pPr>
      <w:r w:rsidRPr="00116959">
        <w:t>Stage 4</w:t>
      </w:r>
      <w:r w:rsidR="009D09AD">
        <w:t>: I</w:t>
      </w:r>
      <w:r w:rsidRPr="00116959">
        <w:t xml:space="preserve">dentify </w:t>
      </w:r>
      <w:r w:rsidR="009D09AD">
        <w:t>P</w:t>
      </w:r>
      <w:r w:rsidRPr="00116959">
        <w:t>roducts</w:t>
      </w:r>
    </w:p>
    <w:p w14:paraId="59EF68A6" w14:textId="249A0BEF" w:rsidR="00113ADC" w:rsidRPr="009D18A9" w:rsidRDefault="0018509C" w:rsidP="00113ADC">
      <w:r w:rsidRPr="00F42A5D">
        <w:t xml:space="preserve">Victoria reported </w:t>
      </w:r>
      <w:r>
        <w:t>they adhered to</w:t>
      </w:r>
      <w:r w:rsidRPr="00F42A5D">
        <w:t xml:space="preserve"> the </w:t>
      </w:r>
      <w:r w:rsidR="001D75AC">
        <w:t>S</w:t>
      </w:r>
      <w:r w:rsidRPr="00F42A5D">
        <w:t xml:space="preserve">tandards in Stage </w:t>
      </w:r>
      <w:r>
        <w:t xml:space="preserve">4, </w:t>
      </w:r>
      <w:r w:rsidR="000879E1">
        <w:t>identify</w:t>
      </w:r>
      <w:r>
        <w:t xml:space="preserve"> products into patient and non</w:t>
      </w:r>
      <w:r w:rsidR="00C94740">
        <w:noBreakHyphen/>
      </w:r>
      <w:r>
        <w:t>patient products. W</w:t>
      </w:r>
      <w:r w:rsidR="00113ADC" w:rsidRPr="009D18A9">
        <w:t xml:space="preserve">here the sole purpose of </w:t>
      </w:r>
      <w:r>
        <w:t>an</w:t>
      </w:r>
      <w:r w:rsidR="00113ADC" w:rsidRPr="009D18A9">
        <w:t xml:space="preserve"> activity is teaching, and training Victoria includes these costs as an overhead. Where teaching and training cannot be separated from routine work undertaken, it </w:t>
      </w:r>
      <w:r>
        <w:t>is</w:t>
      </w:r>
      <w:r w:rsidR="00113ADC" w:rsidRPr="009D18A9">
        <w:t xml:space="preserve"> included as a salary and wages expense. </w:t>
      </w:r>
      <w:r w:rsidR="00BE3297">
        <w:t>This r</w:t>
      </w:r>
      <w:r w:rsidR="00BE3297" w:rsidRPr="00116959">
        <w:t xml:space="preserve">emains unchanged from </w:t>
      </w:r>
      <w:r w:rsidR="00BE3297">
        <w:t>Victoria</w:t>
      </w:r>
      <w:r w:rsidR="00BE3297" w:rsidRPr="00116959">
        <w:t>’s 2021-22 submission, as reported in their DQS 2021-22.</w:t>
      </w:r>
    </w:p>
    <w:p w14:paraId="04BAB636" w14:textId="66D63EB8" w:rsidR="00022A20" w:rsidRDefault="000F3BD3" w:rsidP="0030317A">
      <w:pPr>
        <w:pStyle w:val="Heading4"/>
      </w:pPr>
      <w:r w:rsidRPr="00116959">
        <w:t>Stage 5</w:t>
      </w:r>
      <w:r w:rsidR="009D09AD">
        <w:t>: A</w:t>
      </w:r>
      <w:r w:rsidR="00022A20" w:rsidRPr="00116959">
        <w:t>ssign</w:t>
      </w:r>
      <w:r w:rsidRPr="00116959">
        <w:t xml:space="preserve"> </w:t>
      </w:r>
      <w:r w:rsidR="009D09AD">
        <w:t>E</w:t>
      </w:r>
      <w:r w:rsidR="00022A20" w:rsidRPr="00116959">
        <w:t>xpenses</w:t>
      </w:r>
      <w:r w:rsidRPr="00116959">
        <w:t xml:space="preserve"> to </w:t>
      </w:r>
      <w:r w:rsidR="009D09AD">
        <w:t>P</w:t>
      </w:r>
      <w:r w:rsidRPr="00116959">
        <w:t>roducts</w:t>
      </w:r>
    </w:p>
    <w:p w14:paraId="3CCDA5DB" w14:textId="4431135A" w:rsidR="00171C8C" w:rsidRPr="00C77B29" w:rsidRDefault="0018509C" w:rsidP="00171C8C">
      <w:r w:rsidRPr="002E71EC">
        <w:t xml:space="preserve">Victoria reported they adhered to the </w:t>
      </w:r>
      <w:r w:rsidR="001D75AC" w:rsidRPr="002E71EC">
        <w:t>S</w:t>
      </w:r>
      <w:r w:rsidRPr="002E71EC">
        <w:t>tandards in Stage 5</w:t>
      </w:r>
      <w:r w:rsidR="00BE3297" w:rsidRPr="002E71EC">
        <w:t>, assign expenses to products</w:t>
      </w:r>
      <w:r w:rsidRPr="002E71EC">
        <w:t xml:space="preserve">. </w:t>
      </w:r>
      <w:r w:rsidR="00171C8C" w:rsidRPr="00C77B29">
        <w:t>It was noted that posthumous organ donation expenses have been allocated to the associated products but may not align with the relevant AHPCS costing standards and guideline</w:t>
      </w:r>
      <w:r w:rsidR="009D09AD" w:rsidRPr="00C77B29">
        <w:t>s</w:t>
      </w:r>
      <w:r w:rsidR="00171C8C" w:rsidRPr="00C77B29">
        <w:t>.</w:t>
      </w:r>
      <w:r w:rsidR="00B92A4E" w:rsidRPr="00C77B29">
        <w:t xml:space="preserve"> </w:t>
      </w:r>
      <w:r w:rsidR="00911700" w:rsidRPr="002E71EC">
        <w:t>This remains unchanged from Victoria’s 2021-22 submission, as reported in their DQS 2021</w:t>
      </w:r>
      <w:r w:rsidR="6ED276A9" w:rsidRPr="002E71EC">
        <w:t>-</w:t>
      </w:r>
      <w:r w:rsidR="00911700" w:rsidRPr="002E71EC">
        <w:t>22.</w:t>
      </w:r>
    </w:p>
    <w:p w14:paraId="1D358FA4" w14:textId="4EEBA39B" w:rsidR="00022A20" w:rsidRDefault="00022A20" w:rsidP="0030317A">
      <w:pPr>
        <w:pStyle w:val="Heading4"/>
      </w:pPr>
      <w:r w:rsidRPr="00116959">
        <w:t>Stage 6</w:t>
      </w:r>
      <w:r w:rsidR="009D09AD">
        <w:t>: R</w:t>
      </w:r>
      <w:r w:rsidRPr="00116959">
        <w:t xml:space="preserve">eview and </w:t>
      </w:r>
      <w:r w:rsidR="009D09AD">
        <w:t>R</w:t>
      </w:r>
      <w:r w:rsidRPr="00116959">
        <w:t>econcile</w:t>
      </w:r>
    </w:p>
    <w:p w14:paraId="03049194" w14:textId="6A3C1ECE" w:rsidR="00A93D98" w:rsidRPr="00171C8C" w:rsidRDefault="0018509C" w:rsidP="003A4201">
      <w:r w:rsidRPr="00F42A5D">
        <w:t xml:space="preserve">Victoria reported </w:t>
      </w:r>
      <w:r>
        <w:t>they adhered to</w:t>
      </w:r>
      <w:r w:rsidRPr="00F42A5D">
        <w:t xml:space="preserve"> the</w:t>
      </w:r>
      <w:r w:rsidR="001D75AC">
        <w:t xml:space="preserve"> S</w:t>
      </w:r>
      <w:r w:rsidRPr="00F42A5D">
        <w:t xml:space="preserve">tandards in Stage </w:t>
      </w:r>
      <w:r>
        <w:t>6</w:t>
      </w:r>
      <w:r w:rsidR="00B92A4E">
        <w:t>, review and reconcile</w:t>
      </w:r>
      <w:r>
        <w:t xml:space="preserve">. </w:t>
      </w:r>
      <w:r w:rsidR="00171C8C" w:rsidRPr="00171C8C">
        <w:t xml:space="preserve">The VICABC contains a comprehensive and robust data quality framework, </w:t>
      </w:r>
      <w:r w:rsidRPr="00171C8C">
        <w:t>assurance,</w:t>
      </w:r>
      <w:r w:rsidR="00171C8C" w:rsidRPr="00171C8C">
        <w:t xml:space="preserve"> and a 5-stage process to guide the costing practitioners</w:t>
      </w:r>
      <w:r w:rsidR="00963A99">
        <w:t xml:space="preserve"> to</w:t>
      </w:r>
      <w:r w:rsidR="00171C8C" w:rsidRPr="00171C8C">
        <w:t xml:space="preserve"> identify costing information and submission requirements. Each health entity provides a data quality statement to the Victorian Department of Health, confirming their data preparation, how the VICABC guidance has been applied and that the submission complies with the AHPCS. </w:t>
      </w:r>
      <w:r w:rsidR="00171C8C">
        <w:t xml:space="preserve">To ensure all in-scope cost have been included in the NHCDC </w:t>
      </w:r>
      <w:r>
        <w:t>2022</w:t>
      </w:r>
      <w:r w:rsidR="00C94740">
        <w:noBreakHyphen/>
      </w:r>
      <w:r>
        <w:t>23</w:t>
      </w:r>
      <w:r w:rsidR="00171C8C">
        <w:t xml:space="preserve">, a reconciliation review was completed between Victoria’s </w:t>
      </w:r>
      <w:r w:rsidR="009D09AD">
        <w:t>GL</w:t>
      </w:r>
      <w:r w:rsidR="00171C8C">
        <w:t xml:space="preserve"> and the costs submitted to IHACPA. Victoria’s </w:t>
      </w:r>
      <w:r w:rsidR="009D09AD">
        <w:t xml:space="preserve">GL </w:t>
      </w:r>
      <w:r w:rsidR="00171C8C">
        <w:t>reconciles with the cost ledger as well as the costs submitted to IHACPA.</w:t>
      </w:r>
      <w:r w:rsidR="00A93D98">
        <w:t xml:space="preserve"> Victoria identified a minor reconciliation variance between the total submitted to the NHCDC submission and the NHCDC Quality Assurance Reports, however confirmed the variance is not material.</w:t>
      </w:r>
    </w:p>
    <w:p w14:paraId="6C575452" w14:textId="6D4ACCDD" w:rsidR="00224968" w:rsidRDefault="00224968">
      <w:pPr>
        <w:spacing w:line="259" w:lineRule="auto"/>
        <w:rPr>
          <w:rFonts w:eastAsiaTheme="majorEastAsia" w:cstheme="majorBidi"/>
          <w:b/>
          <w:color w:val="104F99" w:themeColor="accent2"/>
          <w:sz w:val="36"/>
          <w:szCs w:val="26"/>
        </w:rPr>
      </w:pPr>
      <w:r>
        <w:br w:type="page"/>
      </w:r>
    </w:p>
    <w:p w14:paraId="1F716034" w14:textId="5C66BC6C" w:rsidR="002920B4" w:rsidRDefault="003B15A5" w:rsidP="00A3367F">
      <w:pPr>
        <w:pStyle w:val="Heading2"/>
      </w:pPr>
      <w:bookmarkStart w:id="65" w:name="_Toc179296647"/>
      <w:r>
        <w:lastRenderedPageBreak/>
        <w:t>Queensland</w:t>
      </w:r>
      <w:bookmarkEnd w:id="65"/>
    </w:p>
    <w:p w14:paraId="009CE9EE" w14:textId="2999FFA1" w:rsidR="00E11C2B" w:rsidRPr="00A11E72" w:rsidRDefault="00E11C2B" w:rsidP="00A3367F">
      <w:pPr>
        <w:pStyle w:val="Heading3"/>
      </w:pPr>
      <w:r>
        <w:t>Summary</w:t>
      </w:r>
    </w:p>
    <w:p w14:paraId="0C8247E6" w14:textId="4E1BBA69" w:rsidR="00F63C74" w:rsidRDefault="00F63C74" w:rsidP="00F63C74">
      <w:bookmarkStart w:id="66" w:name="_Toc153890171"/>
      <w:r w:rsidRPr="00116959">
        <w:t>Queensland submitted cost data from 360 hospitals (including health services) across 16 Hospital and Health Services (HHS) with 13.1 million records and a cost of $16.48 billion in 2022</w:t>
      </w:r>
      <w:r w:rsidR="00FF4FA1">
        <w:noBreakHyphen/>
      </w:r>
      <w:r w:rsidRPr="00116959">
        <w:t>23.</w:t>
      </w:r>
    </w:p>
    <w:p w14:paraId="1E6768AB" w14:textId="086067D2" w:rsidR="00087AD5" w:rsidRPr="00116959" w:rsidRDefault="00087AD5" w:rsidP="003C4E7C">
      <w:r w:rsidRPr="002C1DE4">
        <w:t xml:space="preserve">It should be noted there was a </w:t>
      </w:r>
      <w:r w:rsidR="00D806F5" w:rsidRPr="002C1DE4">
        <w:t xml:space="preserve">small </w:t>
      </w:r>
      <w:r w:rsidRPr="002C1DE4">
        <w:t xml:space="preserve">variation in the </w:t>
      </w:r>
      <w:r w:rsidR="00F63C74" w:rsidRPr="002C1DE4">
        <w:t xml:space="preserve">number of </w:t>
      </w:r>
      <w:r w:rsidR="00D02C8E" w:rsidRPr="002C1DE4">
        <w:t xml:space="preserve">activity </w:t>
      </w:r>
      <w:r w:rsidR="00F63C74" w:rsidRPr="002C1DE4">
        <w:t>records reported by Q</w:t>
      </w:r>
      <w:r w:rsidR="00597362">
        <w:t>ueensland</w:t>
      </w:r>
      <w:r w:rsidR="00F63C74" w:rsidRPr="002C1DE4">
        <w:t xml:space="preserve"> compared to the NHCDC records</w:t>
      </w:r>
      <w:r w:rsidRPr="002C1DE4">
        <w:t xml:space="preserve">. </w:t>
      </w:r>
      <w:r w:rsidRPr="00116959">
        <w:t xml:space="preserve">This is primarily due to ambulatory service contacts </w:t>
      </w:r>
      <w:r w:rsidR="00DA4376" w:rsidRPr="00116959">
        <w:t xml:space="preserve">being </w:t>
      </w:r>
      <w:r w:rsidRPr="00116959">
        <w:t>rolled into a sing</w:t>
      </w:r>
      <w:r w:rsidR="00DA4376" w:rsidRPr="00116959">
        <w:t>le</w:t>
      </w:r>
      <w:r w:rsidRPr="00116959">
        <w:t xml:space="preserve"> episode</w:t>
      </w:r>
      <w:r w:rsidR="00DA4376" w:rsidRPr="00116959">
        <w:t xml:space="preserve"> in the NHCDC</w:t>
      </w:r>
      <w:r w:rsidRPr="00116959">
        <w:t>, wh</w:t>
      </w:r>
      <w:r w:rsidR="000903DC" w:rsidRPr="00116959">
        <w:t>ile</w:t>
      </w:r>
      <w:r w:rsidRPr="00116959">
        <w:t xml:space="preserve"> </w:t>
      </w:r>
      <w:r w:rsidR="009B051D" w:rsidRPr="00116959">
        <w:t>Q</w:t>
      </w:r>
      <w:r w:rsidR="009B051D">
        <w:t>ueensland</w:t>
      </w:r>
      <w:r w:rsidR="009B051D" w:rsidRPr="00116959">
        <w:t xml:space="preserve"> </w:t>
      </w:r>
      <w:r w:rsidR="00434123" w:rsidRPr="00116959">
        <w:t>count</w:t>
      </w:r>
      <w:r w:rsidR="009D09AD">
        <w:t>s</w:t>
      </w:r>
      <w:r w:rsidR="00434123" w:rsidRPr="00116959">
        <w:t xml:space="preserve"> </w:t>
      </w:r>
      <w:r w:rsidR="00DA4376" w:rsidRPr="00116959">
        <w:t xml:space="preserve">these as </w:t>
      </w:r>
      <w:r w:rsidRPr="00116959">
        <w:t>separate events.</w:t>
      </w:r>
    </w:p>
    <w:p w14:paraId="0347DFA5" w14:textId="6F9C666F" w:rsidR="003C4E7C" w:rsidRPr="00116959" w:rsidRDefault="00962E51" w:rsidP="003C4E7C">
      <w:r w:rsidRPr="00116959">
        <w:t xml:space="preserve">IHACPA’s </w:t>
      </w:r>
      <w:r w:rsidR="001C29EE" w:rsidRPr="00116959">
        <w:t xml:space="preserve">review of </w:t>
      </w:r>
      <w:r w:rsidR="009B051D" w:rsidRPr="00116959">
        <w:t>Q</w:t>
      </w:r>
      <w:r w:rsidR="009B051D">
        <w:t>ueensland</w:t>
      </w:r>
      <w:r w:rsidR="009B051D" w:rsidRPr="00116959">
        <w:t xml:space="preserve">’s </w:t>
      </w:r>
      <w:r w:rsidR="001C29EE" w:rsidRPr="00116959">
        <w:t>costing processes</w:t>
      </w:r>
      <w:r w:rsidR="00493428" w:rsidRPr="00116959">
        <w:t>,</w:t>
      </w:r>
      <w:r w:rsidR="001C29EE" w:rsidRPr="00116959">
        <w:t xml:space="preserve"> as detailed in their DQS </w:t>
      </w:r>
      <w:r w:rsidRPr="00116959">
        <w:t>202</w:t>
      </w:r>
      <w:r w:rsidR="001C29EE" w:rsidRPr="00116959">
        <w:t>2</w:t>
      </w:r>
      <w:r w:rsidRPr="00116959">
        <w:t>-2</w:t>
      </w:r>
      <w:r w:rsidR="001C29EE" w:rsidRPr="00116959">
        <w:t>3</w:t>
      </w:r>
      <w:r w:rsidR="00493428" w:rsidRPr="00116959">
        <w:t>,</w:t>
      </w:r>
      <w:r w:rsidRPr="00116959">
        <w:t xml:space="preserve"> </w:t>
      </w:r>
      <w:r w:rsidR="001C29EE" w:rsidRPr="00116959">
        <w:t xml:space="preserve">found that the </w:t>
      </w:r>
      <w:r w:rsidR="00B36C1E" w:rsidRPr="00116959">
        <w:t xml:space="preserve">costing </w:t>
      </w:r>
      <w:r w:rsidR="001C29EE" w:rsidRPr="00116959">
        <w:t>frequency</w:t>
      </w:r>
      <w:r w:rsidR="00B36C1E" w:rsidRPr="00116959">
        <w:t xml:space="preserve"> </w:t>
      </w:r>
      <w:r w:rsidR="00A3751E">
        <w:t xml:space="preserve">remains </w:t>
      </w:r>
      <w:r w:rsidR="00F63C74" w:rsidRPr="00116959">
        <w:t>unchanged from 2021-22</w:t>
      </w:r>
      <w:r w:rsidR="00A3751E">
        <w:t xml:space="preserve"> and HHS continue to use either CostPro or Power Performance Manager</w:t>
      </w:r>
      <w:r w:rsidR="00B36C1E" w:rsidRPr="00116959">
        <w:t xml:space="preserve">. </w:t>
      </w:r>
      <w:r w:rsidR="00A3751E">
        <w:t xml:space="preserve">HHSs complete costing from daily to annually, with the majority completing a monthly process. </w:t>
      </w:r>
      <w:r w:rsidR="00B36C1E" w:rsidRPr="00116959">
        <w:t>However, Q</w:t>
      </w:r>
      <w:r w:rsidR="00901D83">
        <w:t>ueensland</w:t>
      </w:r>
      <w:r w:rsidR="00B36C1E" w:rsidRPr="00116959">
        <w:t xml:space="preserve"> noted</w:t>
      </w:r>
      <w:r w:rsidR="004A6888" w:rsidRPr="00116959">
        <w:t xml:space="preserve"> </w:t>
      </w:r>
      <w:r w:rsidR="00E214FB" w:rsidRPr="00116959">
        <w:t xml:space="preserve">they have implemented </w:t>
      </w:r>
      <w:r w:rsidR="004A6888" w:rsidRPr="00116959">
        <w:t xml:space="preserve">changes </w:t>
      </w:r>
      <w:r w:rsidR="00814508" w:rsidRPr="00116959">
        <w:t>aim</w:t>
      </w:r>
      <w:r w:rsidR="00D25AED" w:rsidRPr="00116959">
        <w:t>ed</w:t>
      </w:r>
      <w:r w:rsidR="00814508" w:rsidRPr="00116959">
        <w:t xml:space="preserve"> </w:t>
      </w:r>
      <w:r w:rsidR="00D25AED" w:rsidRPr="00116959">
        <w:t xml:space="preserve">at building </w:t>
      </w:r>
      <w:r w:rsidR="004A6888" w:rsidRPr="00116959">
        <w:t xml:space="preserve">costing practitioner capability and </w:t>
      </w:r>
      <w:r w:rsidR="00814508" w:rsidRPr="00116959">
        <w:t>updates</w:t>
      </w:r>
      <w:r w:rsidR="004A6888" w:rsidRPr="00116959">
        <w:t xml:space="preserve"> to</w:t>
      </w:r>
      <w:r w:rsidR="00B47F3E" w:rsidRPr="00116959">
        <w:t xml:space="preserve"> feeder</w:t>
      </w:r>
      <w:r w:rsidR="004A6888" w:rsidRPr="00116959">
        <w:t xml:space="preserve"> systems to improve service level data.</w:t>
      </w:r>
    </w:p>
    <w:p w14:paraId="7316B200" w14:textId="7410F78D" w:rsidR="00B83C2C" w:rsidRPr="00116959" w:rsidRDefault="00B83C2C" w:rsidP="003C4E7C">
      <w:bookmarkStart w:id="67" w:name="_Hlk178148892"/>
      <w:r w:rsidRPr="00116959">
        <w:t>In 2021-22, Q</w:t>
      </w:r>
      <w:r w:rsidR="0037271C">
        <w:t>ueensland</w:t>
      </w:r>
      <w:r w:rsidRPr="00116959">
        <w:t xml:space="preserve"> previously reported they identified that contracted services may not have been costed optimally but have </w:t>
      </w:r>
      <w:r w:rsidR="00963A03" w:rsidRPr="00116959">
        <w:t>outlined in their DQS</w:t>
      </w:r>
      <w:r w:rsidRPr="00116959">
        <w:t xml:space="preserve"> 2022-23 </w:t>
      </w:r>
      <w:r w:rsidR="00D05301" w:rsidRPr="00116959">
        <w:t xml:space="preserve">their approach to costing </w:t>
      </w:r>
      <w:r w:rsidR="009812C2" w:rsidRPr="00116959">
        <w:t>with</w:t>
      </w:r>
      <w:r w:rsidR="00914B4E" w:rsidRPr="00116959">
        <w:t xml:space="preserve"> </w:t>
      </w:r>
      <w:r w:rsidR="00D05301" w:rsidRPr="00116959">
        <w:t>contracted care arrangeme</w:t>
      </w:r>
      <w:r w:rsidR="00F63C74" w:rsidRPr="00116959">
        <w:t>nts.</w:t>
      </w:r>
    </w:p>
    <w:bookmarkEnd w:id="67"/>
    <w:p w14:paraId="55496677" w14:textId="6A7EB474" w:rsidR="00962E51" w:rsidRPr="00116959" w:rsidRDefault="00962E51" w:rsidP="003C4E7C">
      <w:r w:rsidRPr="00116959">
        <w:t>Q</w:t>
      </w:r>
      <w:r w:rsidR="00D425C6">
        <w:t>ueensland</w:t>
      </w:r>
      <w:r w:rsidRPr="00116959">
        <w:t xml:space="preserve"> have standardised </w:t>
      </w:r>
      <w:r w:rsidR="009D09AD">
        <w:t>GLs</w:t>
      </w:r>
      <w:r w:rsidRPr="00116959">
        <w:t xml:space="preserve"> in place to ensure ledgers flow across HHS’ and all third-party costs are appropriately allocated with billings to relevant entities.</w:t>
      </w:r>
    </w:p>
    <w:bookmarkEnd w:id="66"/>
    <w:p w14:paraId="48B51526" w14:textId="1FAF775B" w:rsidR="009933DF" w:rsidRPr="00A11E72" w:rsidRDefault="003A4201" w:rsidP="00A3367F">
      <w:pPr>
        <w:pStyle w:val="Heading3"/>
      </w:pPr>
      <w:r>
        <w:t xml:space="preserve">Applying </w:t>
      </w:r>
      <w:r w:rsidR="007A04BE">
        <w:t>the AHPCS</w:t>
      </w:r>
    </w:p>
    <w:p w14:paraId="274BDEB2" w14:textId="77777777" w:rsidR="001454AB" w:rsidRPr="00116959" w:rsidRDefault="001454AB" w:rsidP="001454AB">
      <w:r w:rsidRPr="00116959">
        <w:t xml:space="preserve">Queensland Health </w:t>
      </w:r>
      <w:r>
        <w:t>continues to use</w:t>
      </w:r>
      <w:r w:rsidRPr="00116959">
        <w:t xml:space="preserve"> the Queensland Clinical Costing Guidelines (QCCG)</w:t>
      </w:r>
      <w:r>
        <w:t xml:space="preserve">, </w:t>
      </w:r>
      <w:r w:rsidRPr="00116959">
        <w:t xml:space="preserve">a </w:t>
      </w:r>
      <w:r>
        <w:t xml:space="preserve">jurisdictional adaptation of the </w:t>
      </w:r>
      <w:r w:rsidRPr="00116959">
        <w:t>AHPCS</w:t>
      </w:r>
      <w:r>
        <w:t xml:space="preserve">, to consistently guide </w:t>
      </w:r>
      <w:r w:rsidRPr="00116959">
        <w:t xml:space="preserve">costing </w:t>
      </w:r>
      <w:r>
        <w:t>practitioners on the application of the</w:t>
      </w:r>
      <w:r w:rsidRPr="00116959">
        <w:t xml:space="preserve"> AHPCS </w:t>
      </w:r>
      <w:r>
        <w:t xml:space="preserve">in a </w:t>
      </w:r>
      <w:r w:rsidRPr="00116959">
        <w:t>technical environment</w:t>
      </w:r>
      <w:r>
        <w:t>.</w:t>
      </w:r>
    </w:p>
    <w:p w14:paraId="33995487" w14:textId="18CB1A6D" w:rsidR="00320EDA" w:rsidRPr="00116959" w:rsidRDefault="00255546" w:rsidP="00320EDA">
      <w:r>
        <w:t>Queensland</w:t>
      </w:r>
      <w:r w:rsidR="0002496E">
        <w:t xml:space="preserve"> reported that its compliance with the AHPCS is unchanged from the NHCDC 2021</w:t>
      </w:r>
      <w:r w:rsidR="00C94740">
        <w:noBreakHyphen/>
      </w:r>
      <w:r w:rsidR="0002496E">
        <w:t>22</w:t>
      </w:r>
      <w:r w:rsidR="006616A5">
        <w:t xml:space="preserve"> and has reported full compliance with the AHPCS.</w:t>
      </w:r>
    </w:p>
    <w:p w14:paraId="161ECCBE" w14:textId="6C55F9B5" w:rsidR="00825560" w:rsidRPr="00BE6151" w:rsidRDefault="00825560" w:rsidP="003A4201">
      <w:pPr>
        <w:rPr>
          <w:bCs/>
        </w:rPr>
      </w:pPr>
      <w:r w:rsidRPr="003A4201">
        <w:rPr>
          <w:b/>
          <w:bCs/>
        </w:rPr>
        <w:t>Stage 1</w:t>
      </w:r>
      <w:r w:rsidR="009D09AD">
        <w:rPr>
          <w:b/>
          <w:bCs/>
        </w:rPr>
        <w:t>: I</w:t>
      </w:r>
      <w:r w:rsidR="00D25565" w:rsidRPr="003A4201">
        <w:rPr>
          <w:b/>
          <w:bCs/>
        </w:rPr>
        <w:t>dentify</w:t>
      </w:r>
      <w:r w:rsidRPr="003A4201">
        <w:rPr>
          <w:b/>
          <w:bCs/>
        </w:rPr>
        <w:t xml:space="preserve"> </w:t>
      </w:r>
      <w:r w:rsidR="009D09AD">
        <w:rPr>
          <w:b/>
          <w:bCs/>
        </w:rPr>
        <w:t>R</w:t>
      </w:r>
      <w:r w:rsidRPr="003A4201">
        <w:rPr>
          <w:b/>
          <w:bCs/>
        </w:rPr>
        <w:t xml:space="preserve">elevant </w:t>
      </w:r>
      <w:r w:rsidR="009D09AD">
        <w:rPr>
          <w:b/>
          <w:bCs/>
        </w:rPr>
        <w:t>E</w:t>
      </w:r>
      <w:r w:rsidRPr="003A4201">
        <w:rPr>
          <w:b/>
          <w:bCs/>
        </w:rPr>
        <w:t>xpenses</w:t>
      </w:r>
    </w:p>
    <w:p w14:paraId="3477382C" w14:textId="39597D34" w:rsidR="00011A76" w:rsidRPr="00116959" w:rsidRDefault="00011A76" w:rsidP="00011A76">
      <w:pPr>
        <w:pStyle w:val="ListLevel1"/>
        <w:numPr>
          <w:ilvl w:val="0"/>
          <w:numId w:val="0"/>
        </w:numPr>
        <w:contextualSpacing w:val="0"/>
      </w:pPr>
      <w:r w:rsidRPr="00116959">
        <w:t>Q</w:t>
      </w:r>
      <w:r w:rsidR="00CE0188">
        <w:t>ueensland</w:t>
      </w:r>
      <w:r w:rsidRPr="00116959">
        <w:t xml:space="preserve"> Health operates a unified state-wide </w:t>
      </w:r>
      <w:r w:rsidR="009D09AD">
        <w:t>GL</w:t>
      </w:r>
      <w:r w:rsidRPr="00116959">
        <w:t xml:space="preserve"> where each HHS maintains a subledger within the overarching main ledger. All costs related to the provision of public health services by Q</w:t>
      </w:r>
      <w:r w:rsidR="00872360">
        <w:t>ueensland</w:t>
      </w:r>
      <w:r w:rsidRPr="00116959">
        <w:t xml:space="preserve"> Health are consolidated within the ledger. This remains unchanged from </w:t>
      </w:r>
      <w:r w:rsidR="002D710A" w:rsidRPr="00116959">
        <w:t>Q</w:t>
      </w:r>
      <w:r w:rsidR="00872360">
        <w:t>ueensland</w:t>
      </w:r>
      <w:r w:rsidR="002D710A" w:rsidRPr="00116959">
        <w:t xml:space="preserve">’s </w:t>
      </w:r>
      <w:r w:rsidRPr="00116959">
        <w:t>2021-22 submission.</w:t>
      </w:r>
    </w:p>
    <w:p w14:paraId="0AC7A80A" w14:textId="352C33EC" w:rsidR="00D02C8E" w:rsidRPr="00116959" w:rsidRDefault="00011A76" w:rsidP="00011A76">
      <w:r w:rsidRPr="00116959">
        <w:t>Q</w:t>
      </w:r>
      <w:r w:rsidR="00872360">
        <w:t>ueensland</w:t>
      </w:r>
      <w:r w:rsidRPr="00116959">
        <w:t xml:space="preserve"> noted that any mental health activity that does not meet the Mental Health National Best Endeavours Data Set submission requirements is not submitted, and the corresponding costs are therefore also excluded from their submission to the NHCDC. This remains unchanged from Q</w:t>
      </w:r>
      <w:r w:rsidR="00EB478E">
        <w:t>ueensland</w:t>
      </w:r>
      <w:r w:rsidRPr="00116959">
        <w:t>’s process for the NHCDC 2021-22.</w:t>
      </w:r>
    </w:p>
    <w:p w14:paraId="131E1094" w14:textId="20C121A5" w:rsidR="003E2B85" w:rsidRDefault="003E2B85" w:rsidP="003E2B85">
      <w:pPr>
        <w:pStyle w:val="Heading4"/>
      </w:pPr>
      <w:r w:rsidRPr="00116959">
        <w:lastRenderedPageBreak/>
        <w:t>Stage 2</w:t>
      </w:r>
      <w:r w:rsidR="009D09AD">
        <w:t>: C</w:t>
      </w:r>
      <w:r w:rsidRPr="00116959">
        <w:t xml:space="preserve">reate the </w:t>
      </w:r>
      <w:r w:rsidR="009D09AD">
        <w:t>C</w:t>
      </w:r>
      <w:r w:rsidRPr="00116959">
        <w:t xml:space="preserve">ost </w:t>
      </w:r>
      <w:r w:rsidR="009D09AD">
        <w:t>L</w:t>
      </w:r>
      <w:r w:rsidRPr="00116959">
        <w:t>edger</w:t>
      </w:r>
    </w:p>
    <w:p w14:paraId="6BF33542" w14:textId="075892E5" w:rsidR="00D2603C" w:rsidRDefault="00A36101" w:rsidP="00D2603C">
      <w:r>
        <w:t xml:space="preserve">Queensland Health did not identify any issues in Stage 2 of the AHPCS standards and were in full compliance. </w:t>
      </w:r>
      <w:r w:rsidR="00BD02C5">
        <w:t>Queensland identified that expenditure attributed to business services and defined accounts that are considered out-of-scope for the NHCDC are mapped to direct departments and costed to a virtual patient. This is unchanged from 2021-22.</w:t>
      </w:r>
    </w:p>
    <w:p w14:paraId="4CD3A331" w14:textId="252A441E" w:rsidR="003E2B85" w:rsidRDefault="003E2B85" w:rsidP="003E2B85">
      <w:pPr>
        <w:pStyle w:val="Heading4"/>
      </w:pPr>
      <w:r w:rsidRPr="00116959">
        <w:t>Stage 3</w:t>
      </w:r>
      <w:r w:rsidR="00BA7642">
        <w:t>: C</w:t>
      </w:r>
      <w:r w:rsidRPr="00116959">
        <w:t xml:space="preserve">reate </w:t>
      </w:r>
      <w:r w:rsidR="00BA7642">
        <w:t>F</w:t>
      </w:r>
      <w:r w:rsidRPr="00116959">
        <w:t xml:space="preserve">inal </w:t>
      </w:r>
      <w:r w:rsidR="00BA7642">
        <w:t>c</w:t>
      </w:r>
      <w:r w:rsidRPr="00116959">
        <w:t xml:space="preserve">ost </w:t>
      </w:r>
      <w:r w:rsidR="00BA7642">
        <w:t>C</w:t>
      </w:r>
      <w:r w:rsidRPr="00116959">
        <w:t>entres</w:t>
      </w:r>
    </w:p>
    <w:p w14:paraId="05721C6D" w14:textId="4266EC24" w:rsidR="003E2B85" w:rsidRPr="003E2B85" w:rsidRDefault="003E2B85" w:rsidP="006008CF">
      <w:r>
        <w:t xml:space="preserve">Queensland reported full compliance with Stage 3’s </w:t>
      </w:r>
      <w:r w:rsidR="001D75AC">
        <w:t>S</w:t>
      </w:r>
      <w:r>
        <w:t xml:space="preserve">tandards but noted that </w:t>
      </w:r>
      <w:r w:rsidR="00BA7642">
        <w:t>c</w:t>
      </w:r>
      <w:r>
        <w:t xml:space="preserve">ontracted </w:t>
      </w:r>
      <w:r w:rsidR="00BA7642">
        <w:t>c</w:t>
      </w:r>
      <w:r>
        <w:t xml:space="preserve">are activity is incorporated in the jurisdictional corporate HOMER Queensland Interface Data feed. Invoiced amounts are allocated into facility specific Costing Departments with </w:t>
      </w:r>
      <w:r w:rsidR="00BA7642">
        <w:t>RVUs</w:t>
      </w:r>
      <w:r>
        <w:t xml:space="preserve"> utilised to apportion the charges across specific products. Where these changes were not individually itemised, they were submitted under the Goods and Services Line Item and applied to an appropriate Final Cost Centre.</w:t>
      </w:r>
    </w:p>
    <w:p w14:paraId="6E2865CA" w14:textId="2D902D4F" w:rsidR="003E2B85" w:rsidRDefault="003E2B85" w:rsidP="003E2B85">
      <w:pPr>
        <w:pStyle w:val="Heading4"/>
      </w:pPr>
      <w:r w:rsidRPr="00116959">
        <w:t>Stage 4</w:t>
      </w:r>
      <w:r w:rsidR="00BA7642">
        <w:t>: I</w:t>
      </w:r>
      <w:r w:rsidRPr="00116959">
        <w:t xml:space="preserve">dentify </w:t>
      </w:r>
      <w:r w:rsidR="00BA7642">
        <w:t>P</w:t>
      </w:r>
      <w:r w:rsidRPr="00116959">
        <w:t>roducts</w:t>
      </w:r>
    </w:p>
    <w:p w14:paraId="6CF8D985" w14:textId="0F27080B" w:rsidR="001536CF" w:rsidRPr="00612CFB" w:rsidRDefault="001536CF" w:rsidP="001536CF">
      <w:r>
        <w:t>Business rule 4.2C Feeder Data and Matching, aims to ensure that costed products are derived from expenses and activity that have been matched using feeder data from local activity information systems and to ensure that intermediate products described in feeder data are matched to the appropriate patient activity and final product. Queensland identified a significant improvement to the feeder systems was the inclusion of enterprise patients, admissions, discharges, and transfers data to feed nursing home and multi-purpose health service activity data into the costing system.</w:t>
      </w:r>
    </w:p>
    <w:p w14:paraId="3FC1B7A7" w14:textId="21BDC458" w:rsidR="00612CFB" w:rsidRDefault="00612CFB">
      <w:r>
        <w:t xml:space="preserve">Queensland Health did not identify any issues in Stage </w:t>
      </w:r>
      <w:r w:rsidR="006E40C6">
        <w:t>4</w:t>
      </w:r>
      <w:r>
        <w:t xml:space="preserve"> of the AHPCS standards and were in full compliance.</w:t>
      </w:r>
    </w:p>
    <w:p w14:paraId="69F1063C" w14:textId="1D0E3C95" w:rsidR="00825560" w:rsidRPr="00116959" w:rsidRDefault="00825560" w:rsidP="00A3367F">
      <w:pPr>
        <w:pStyle w:val="Heading4"/>
      </w:pPr>
      <w:r w:rsidRPr="00116959">
        <w:t>Stage 5</w:t>
      </w:r>
      <w:r w:rsidR="00BA7642">
        <w:t>: A</w:t>
      </w:r>
      <w:r w:rsidRPr="00116959">
        <w:t xml:space="preserve">ssign </w:t>
      </w:r>
      <w:r w:rsidR="00BA7642">
        <w:t>E</w:t>
      </w:r>
      <w:r w:rsidRPr="00116959">
        <w:t>xpenses</w:t>
      </w:r>
      <w:r w:rsidR="00830098" w:rsidRPr="00116959">
        <w:t xml:space="preserve"> to </w:t>
      </w:r>
      <w:r w:rsidR="00BA7642">
        <w:t>P</w:t>
      </w:r>
      <w:r w:rsidR="00830098" w:rsidRPr="00116959">
        <w:t>roducts</w:t>
      </w:r>
    </w:p>
    <w:p w14:paraId="138DE176" w14:textId="4636E6C9" w:rsidR="00011A76" w:rsidRDefault="00011A76" w:rsidP="00011A76">
      <w:r w:rsidRPr="00116959">
        <w:t>Q</w:t>
      </w:r>
      <w:r w:rsidR="00BE5F71">
        <w:t>ueensland</w:t>
      </w:r>
      <w:r w:rsidRPr="00116959">
        <w:t xml:space="preserve"> reported full compliance with the </w:t>
      </w:r>
      <w:r w:rsidR="001D75AC">
        <w:t>S</w:t>
      </w:r>
      <w:r w:rsidRPr="00116959">
        <w:t xml:space="preserve">tandards in Stage 5, </w:t>
      </w:r>
      <w:r w:rsidR="005A46DD">
        <w:t>all expenses in final cost centres will be matched to final cost objects. H</w:t>
      </w:r>
      <w:r w:rsidRPr="00116959">
        <w:t>owever, they have noted that various factors continue to influence their submissions to the NHCDC, including costs related to unlinked activity, virtual patients</w:t>
      </w:r>
      <w:r w:rsidR="005A46DD">
        <w:t>,</w:t>
      </w:r>
      <w:r w:rsidRPr="00116959">
        <w:t xml:space="preserve"> and patient travel.</w:t>
      </w:r>
    </w:p>
    <w:p w14:paraId="4DD13843" w14:textId="520D880A" w:rsidR="00D4014F" w:rsidRPr="003A4201" w:rsidRDefault="00D4014F" w:rsidP="006008CF">
      <w:r>
        <w:t>Unlinked activity such as pathology, imaging and pharmacy records that are not able to be matched or linked to an episode through data matching are currently out of scope for the NHCDC.</w:t>
      </w:r>
      <w:r w:rsidR="002D4195">
        <w:t xml:space="preserve"> All </w:t>
      </w:r>
      <w:r w:rsidR="00E7031C">
        <w:t xml:space="preserve">cost assorted with a </w:t>
      </w:r>
      <w:r w:rsidR="002D4195">
        <w:t xml:space="preserve">virtual patient </w:t>
      </w:r>
      <w:r w:rsidR="00E7031C">
        <w:t xml:space="preserve">with no activity </w:t>
      </w:r>
      <w:r w:rsidR="002D4195">
        <w:t xml:space="preserve">is </w:t>
      </w:r>
      <w:r w:rsidR="002D4195" w:rsidRPr="001D241B">
        <w:t>excluded from the NHCDC</w:t>
      </w:r>
      <w:r w:rsidR="00931AC7" w:rsidRPr="001D241B">
        <w:t>.</w:t>
      </w:r>
      <w:r w:rsidR="000F49BC" w:rsidRPr="001D241B">
        <w:t xml:space="preserve"> </w:t>
      </w:r>
      <w:bookmarkStart w:id="68" w:name="_Hlk178157170"/>
      <w:r w:rsidR="000F49BC" w:rsidRPr="001D241B">
        <w:t xml:space="preserve">Queensland reported that patient transport costs are significant, but only </w:t>
      </w:r>
      <w:r w:rsidR="000F49BC" w:rsidRPr="00500DC2">
        <w:t>35%</w:t>
      </w:r>
      <w:r w:rsidR="000F49BC" w:rsidRPr="001D241B">
        <w:t xml:space="preserve"> of these costs were included in the NHCDC</w:t>
      </w:r>
      <w:r w:rsidR="001D241B">
        <w:t>. When there is an</w:t>
      </w:r>
      <w:r w:rsidR="000F49BC" w:rsidRPr="001D241B">
        <w:t xml:space="preserve"> absence of patient level data</w:t>
      </w:r>
      <w:r w:rsidR="001D241B">
        <w:t xml:space="preserve"> Queensland allocates the cost to virtual patients and excludes from the NHCDC submission</w:t>
      </w:r>
      <w:r w:rsidR="000F49BC" w:rsidRPr="001D241B">
        <w:t>.</w:t>
      </w:r>
      <w:bookmarkEnd w:id="68"/>
    </w:p>
    <w:p w14:paraId="1053A97E" w14:textId="4F4B63A2" w:rsidR="00E25398" w:rsidRPr="00116959" w:rsidRDefault="00E25398" w:rsidP="00A3367F">
      <w:pPr>
        <w:pStyle w:val="Heading4"/>
      </w:pPr>
      <w:r w:rsidRPr="00116959">
        <w:t>Stage 6</w:t>
      </w:r>
      <w:r w:rsidR="00BA7642">
        <w:t>: R</w:t>
      </w:r>
      <w:r w:rsidRPr="00116959">
        <w:t xml:space="preserve">eview and </w:t>
      </w:r>
      <w:r w:rsidR="00BA7642">
        <w:t>R</w:t>
      </w:r>
      <w:r w:rsidRPr="00116959">
        <w:t>econcile</w:t>
      </w:r>
    </w:p>
    <w:p w14:paraId="48CEC140" w14:textId="443275E0" w:rsidR="00011A76" w:rsidRPr="00116959" w:rsidRDefault="00BA5264" w:rsidP="003A4201">
      <w:r w:rsidRPr="00116959">
        <w:t>Q</w:t>
      </w:r>
      <w:r>
        <w:t>ueensland</w:t>
      </w:r>
      <w:r w:rsidRPr="00116959">
        <w:t xml:space="preserve"> reported full compliance with the </w:t>
      </w:r>
      <w:r w:rsidR="001D75AC">
        <w:t>S</w:t>
      </w:r>
      <w:r w:rsidRPr="00116959">
        <w:t xml:space="preserve">tandards in Stage </w:t>
      </w:r>
      <w:r>
        <w:t xml:space="preserve">6. </w:t>
      </w:r>
      <w:r w:rsidR="00011A76" w:rsidRPr="00116959">
        <w:t>Q</w:t>
      </w:r>
      <w:r w:rsidR="00681C03">
        <w:t>ueensland</w:t>
      </w:r>
      <w:r w:rsidR="00011A76" w:rsidRPr="00116959">
        <w:t xml:space="preserve"> implements quality assurance checks and processes at the HHS and Department level, before submission to ensure the NHCDC contains high-quality data that can be used to develop the </w:t>
      </w:r>
      <w:r w:rsidR="00BA7642">
        <w:t>NEP</w:t>
      </w:r>
      <w:r w:rsidR="00011A76" w:rsidRPr="00116959">
        <w:t xml:space="preserve">. </w:t>
      </w:r>
      <w:r w:rsidR="005A46DD">
        <w:t xml:space="preserve">A </w:t>
      </w:r>
      <w:r w:rsidR="005A46DD" w:rsidRPr="00116959">
        <w:t>fin</w:t>
      </w:r>
      <w:r w:rsidR="005A46DD">
        <w:t>ancial</w:t>
      </w:r>
      <w:r w:rsidR="005A46DD" w:rsidRPr="00116959">
        <w:t xml:space="preserve"> reconciliation process undertaken </w:t>
      </w:r>
      <w:r w:rsidR="005A46DD">
        <w:t xml:space="preserve">at the </w:t>
      </w:r>
      <w:r w:rsidR="005A46DD" w:rsidRPr="00116959">
        <w:t>HHS</w:t>
      </w:r>
      <w:r w:rsidR="005A46DD">
        <w:t xml:space="preserve"> level and Departmental level before submission to IHACPA.</w:t>
      </w:r>
      <w:r w:rsidR="005A46DD" w:rsidRPr="00116959">
        <w:t xml:space="preserve"> </w:t>
      </w:r>
      <w:r w:rsidR="00011A76" w:rsidRPr="00116959">
        <w:t>It has been identified that Q</w:t>
      </w:r>
      <w:r w:rsidR="00681C03">
        <w:t>ueensland</w:t>
      </w:r>
      <w:r w:rsidR="00011A76" w:rsidRPr="00116959">
        <w:t xml:space="preserve"> conducted several annual checks and assessments </w:t>
      </w:r>
      <w:r w:rsidR="00011A76" w:rsidRPr="00116959">
        <w:lastRenderedPageBreak/>
        <w:t>prior to a formal sign off by the Deputy Director General to ensure a robust costing submission to IHACPA. This process remains unchanged from previous years.</w:t>
      </w:r>
    </w:p>
    <w:p w14:paraId="432116A3" w14:textId="56096D50" w:rsidR="002C1DE4" w:rsidRDefault="00011A76" w:rsidP="00011A76">
      <w:r w:rsidRPr="00116959">
        <w:t xml:space="preserve">To ensure all in-scope cost have been included in the NHCDC 2022-23, a reconciliation review was completed between Queensland’s </w:t>
      </w:r>
      <w:r w:rsidR="00BA7642">
        <w:t>GL</w:t>
      </w:r>
      <w:r w:rsidRPr="00116959">
        <w:t xml:space="preserve"> and the costs submitted to IHACPA. Queensland’s </w:t>
      </w:r>
      <w:r w:rsidR="00BA7642">
        <w:t>GL</w:t>
      </w:r>
      <w:r w:rsidRPr="00116959">
        <w:t xml:space="preserve"> reconciles with the cost ledger as well as the costs submitted to IHACPA.</w:t>
      </w:r>
    </w:p>
    <w:p w14:paraId="761F964C" w14:textId="32E62B8A" w:rsidR="00224968" w:rsidRDefault="00224968" w:rsidP="00011A76">
      <w:r>
        <w:br w:type="page"/>
      </w:r>
    </w:p>
    <w:p w14:paraId="651705E3" w14:textId="24A8D108" w:rsidR="002920B4" w:rsidRDefault="003F5624" w:rsidP="00A3367F">
      <w:pPr>
        <w:pStyle w:val="Heading2"/>
      </w:pPr>
      <w:bookmarkStart w:id="69" w:name="_Toc179296648"/>
      <w:r>
        <w:lastRenderedPageBreak/>
        <w:t>South Australia</w:t>
      </w:r>
      <w:bookmarkEnd w:id="69"/>
    </w:p>
    <w:p w14:paraId="04B63BBD" w14:textId="6764B0B9" w:rsidR="009933DF" w:rsidRDefault="009933DF" w:rsidP="00A3367F">
      <w:pPr>
        <w:pStyle w:val="Heading3"/>
      </w:pPr>
      <w:r>
        <w:t>Summary</w:t>
      </w:r>
    </w:p>
    <w:p w14:paraId="5B64AA94" w14:textId="4F1A641E" w:rsidR="003C4E7C" w:rsidRPr="00116959" w:rsidRDefault="003C4E7C" w:rsidP="003C4E7C">
      <w:r w:rsidRPr="00116959">
        <w:t xml:space="preserve">South Australia </w:t>
      </w:r>
      <w:r w:rsidR="00602583" w:rsidRPr="00116959">
        <w:t xml:space="preserve">(SA) </w:t>
      </w:r>
      <w:r w:rsidRPr="00116959">
        <w:t>submitted cost data from 25 hospitals (including health services) across 11 LHNs with 2.9 million records and a cost of $5.2 billion in 2022-23.</w:t>
      </w:r>
    </w:p>
    <w:p w14:paraId="5135D4C0" w14:textId="4CD05D5E" w:rsidR="009933DF" w:rsidRPr="00116959" w:rsidRDefault="009933DF" w:rsidP="009933DF">
      <w:r w:rsidRPr="00116959">
        <w:t xml:space="preserve">The review of </w:t>
      </w:r>
      <w:r w:rsidR="00602583" w:rsidRPr="00116959">
        <w:t>SA’s</w:t>
      </w:r>
      <w:r w:rsidRPr="00116959">
        <w:t xml:space="preserve"> costing and governance processes has indicated that costs are assigned appropriately. These costs are robustly allocated to patients with quality assurance checks that ensure</w:t>
      </w:r>
      <w:r w:rsidR="002A2743" w:rsidRPr="00116959">
        <w:t xml:space="preserve"> </w:t>
      </w:r>
      <w:r w:rsidRPr="00116959">
        <w:t>consistency and accuracy.</w:t>
      </w:r>
      <w:r w:rsidR="00602583" w:rsidRPr="00116959">
        <w:t xml:space="preserve"> This process remains unchanged from SA’s 2021-22 submission</w:t>
      </w:r>
      <w:r w:rsidR="00B312BF" w:rsidRPr="00116959">
        <w:t>, as reported in their DQS 2021-22</w:t>
      </w:r>
      <w:r w:rsidR="00602583" w:rsidRPr="00116959">
        <w:t>.</w:t>
      </w:r>
    </w:p>
    <w:bookmarkEnd w:id="53"/>
    <w:p w14:paraId="1B484A4A" w14:textId="75561872" w:rsidR="003C4E7C" w:rsidRPr="00116959" w:rsidRDefault="0070728D" w:rsidP="003C4E7C">
      <w:r>
        <w:t>It has been identified that the</w:t>
      </w:r>
      <w:r w:rsidR="003C4E7C" w:rsidRPr="00116959">
        <w:t xml:space="preserve"> major cause of overall activity </w:t>
      </w:r>
      <w:r>
        <w:t xml:space="preserve">and cost </w:t>
      </w:r>
      <w:r w:rsidR="003C4E7C" w:rsidRPr="00116959">
        <w:t xml:space="preserve">variance to the dataset for 2022-23 </w:t>
      </w:r>
      <w:r w:rsidR="001D241B">
        <w:t>is</w:t>
      </w:r>
      <w:r w:rsidR="003C4E7C" w:rsidRPr="00116959">
        <w:t xml:space="preserve"> the exclusion of COVID-19 vaccinations.</w:t>
      </w:r>
    </w:p>
    <w:p w14:paraId="3F56B81F" w14:textId="4F82F753" w:rsidR="003C4E7C" w:rsidRPr="00116959" w:rsidRDefault="00B312BF" w:rsidP="003C4E7C">
      <w:r w:rsidRPr="00116959">
        <w:t>SA reported their p</w:t>
      </w:r>
      <w:r w:rsidR="003C4E7C" w:rsidRPr="00116959">
        <w:t xml:space="preserve">rocesses and methodology have been consistent with prior </w:t>
      </w:r>
      <w:r w:rsidR="00A21B5D" w:rsidRPr="00116959">
        <w:t>NHCDC submissions</w:t>
      </w:r>
      <w:r w:rsidR="003C4E7C" w:rsidRPr="00116959">
        <w:t xml:space="preserve">. While development of local costing standards and guidelines are in progress, there is currently no standardised approach to costing practices across LHNs for the </w:t>
      </w:r>
      <w:r w:rsidR="00A20C0B">
        <w:t>GL</w:t>
      </w:r>
      <w:r w:rsidR="003C4E7C" w:rsidRPr="00116959">
        <w:t>.</w:t>
      </w:r>
    </w:p>
    <w:p w14:paraId="447AAD49" w14:textId="0510B1AF" w:rsidR="001304E1" w:rsidRPr="00E96C8D" w:rsidRDefault="003A4201" w:rsidP="00A3367F">
      <w:pPr>
        <w:pStyle w:val="Heading3"/>
      </w:pPr>
      <w:r>
        <w:t xml:space="preserve">Applying </w:t>
      </w:r>
      <w:r w:rsidR="007A04BE">
        <w:t>the AHPCS</w:t>
      </w:r>
    </w:p>
    <w:p w14:paraId="4383FBFA" w14:textId="3FF09044" w:rsidR="0006060C" w:rsidRPr="00116959" w:rsidRDefault="00DD32C9" w:rsidP="0006060C">
      <w:r>
        <w:t>SA reported that its compliance with the AHPCS is unchanged from the NHCDC 2021-22 and</w:t>
      </w:r>
      <w:r w:rsidR="0006060C" w:rsidRPr="00116959">
        <w:t xml:space="preserve"> has reported full compliance with the AHPCS.</w:t>
      </w:r>
    </w:p>
    <w:p w14:paraId="218B16FB" w14:textId="29E75C62" w:rsidR="00FA57F1" w:rsidRPr="00116959" w:rsidRDefault="00F30038" w:rsidP="00A3367F">
      <w:pPr>
        <w:pStyle w:val="Heading4"/>
      </w:pPr>
      <w:r w:rsidRPr="00F30038">
        <w:t>Stage 1</w:t>
      </w:r>
      <w:r w:rsidR="00A20C0B">
        <w:t xml:space="preserve">: </w:t>
      </w:r>
      <w:r w:rsidR="00A20C0B">
        <w:rPr>
          <w:rFonts w:eastAsiaTheme="minorHAnsi"/>
        </w:rPr>
        <w:t>I</w:t>
      </w:r>
      <w:r w:rsidR="00FA57F1" w:rsidRPr="00116959">
        <w:rPr>
          <w:rFonts w:eastAsiaTheme="minorHAnsi"/>
        </w:rPr>
        <w:t xml:space="preserve">dentify </w:t>
      </w:r>
      <w:r w:rsidR="00A20C0B">
        <w:rPr>
          <w:rFonts w:eastAsiaTheme="minorHAnsi"/>
        </w:rPr>
        <w:t>R</w:t>
      </w:r>
      <w:r w:rsidR="00FA57F1" w:rsidRPr="00116959">
        <w:rPr>
          <w:rFonts w:eastAsiaTheme="minorHAnsi"/>
        </w:rPr>
        <w:t xml:space="preserve">elevant </w:t>
      </w:r>
      <w:r w:rsidR="00A20C0B">
        <w:rPr>
          <w:rFonts w:eastAsiaTheme="minorHAnsi"/>
        </w:rPr>
        <w:t>E</w:t>
      </w:r>
      <w:r w:rsidR="00FA57F1" w:rsidRPr="00116959">
        <w:rPr>
          <w:rFonts w:eastAsiaTheme="minorHAnsi"/>
        </w:rPr>
        <w:t>xpenses</w:t>
      </w:r>
    </w:p>
    <w:p w14:paraId="518F7368" w14:textId="078692FD" w:rsidR="000A1513" w:rsidRPr="00116959" w:rsidRDefault="00BB1FC7" w:rsidP="000A1513">
      <w:pPr>
        <w:pStyle w:val="ListLevel1"/>
        <w:numPr>
          <w:ilvl w:val="0"/>
          <w:numId w:val="0"/>
        </w:numPr>
        <w:contextualSpacing w:val="0"/>
      </w:pPr>
      <w:r w:rsidRPr="00116959">
        <w:t>SA</w:t>
      </w:r>
      <w:r w:rsidR="00BD1BF3" w:rsidRPr="00116959">
        <w:t xml:space="preserve"> reported full compliance with the </w:t>
      </w:r>
      <w:r w:rsidR="00BA5264">
        <w:t>S</w:t>
      </w:r>
      <w:r w:rsidR="00BD1BF3" w:rsidRPr="00116959">
        <w:t xml:space="preserve">tandards in Stage 1 of the costing process. </w:t>
      </w:r>
      <w:r w:rsidR="001304E1" w:rsidRPr="00116959">
        <w:t>Data quality for health entities is updated through centralised patient costing systems and is checked to ensure high standards of the cost data are maintained.</w:t>
      </w:r>
    </w:p>
    <w:p w14:paraId="1A51B750" w14:textId="4D20A8DC" w:rsidR="001304E1" w:rsidRDefault="000A1513" w:rsidP="00493DF4">
      <w:pPr>
        <w:pStyle w:val="ListLevel1"/>
        <w:numPr>
          <w:ilvl w:val="0"/>
          <w:numId w:val="0"/>
        </w:numPr>
        <w:contextualSpacing w:val="0"/>
      </w:pPr>
      <w:r w:rsidRPr="00116959">
        <w:t xml:space="preserve">It should be noted, </w:t>
      </w:r>
      <w:r w:rsidR="00AF54ED" w:rsidRPr="00116959">
        <w:t>i</w:t>
      </w:r>
      <w:r w:rsidRPr="00116959">
        <w:t>nterhospital transfers for aeromedical transport have not been included in the 2022-23 costing data and continues to be an area for improvement.</w:t>
      </w:r>
    </w:p>
    <w:p w14:paraId="327B5690" w14:textId="5FE79EFA" w:rsidR="001536CF" w:rsidRDefault="001536CF" w:rsidP="001536CF">
      <w:pPr>
        <w:pStyle w:val="Heading4"/>
      </w:pPr>
      <w:r w:rsidRPr="00116959">
        <w:t>Stage 2</w:t>
      </w:r>
      <w:r w:rsidR="00A20C0B">
        <w:t>: C</w:t>
      </w:r>
      <w:r w:rsidRPr="00116959">
        <w:t xml:space="preserve">reate the </w:t>
      </w:r>
      <w:r w:rsidR="00A20C0B">
        <w:t>C</w:t>
      </w:r>
      <w:r w:rsidRPr="00116959">
        <w:t xml:space="preserve">ost </w:t>
      </w:r>
      <w:r w:rsidR="00A20C0B">
        <w:t>L</w:t>
      </w:r>
      <w:r w:rsidRPr="00116959">
        <w:t>edger</w:t>
      </w:r>
    </w:p>
    <w:p w14:paraId="2BFD6043" w14:textId="2E22EAF4" w:rsidR="00D34D72" w:rsidRPr="00D34D72" w:rsidRDefault="00D34D72" w:rsidP="006008CF">
      <w:r>
        <w:t xml:space="preserve">SA reported full compliance to </w:t>
      </w:r>
      <w:r w:rsidR="00BA5264">
        <w:t>S</w:t>
      </w:r>
      <w:r>
        <w:t>tage 2, create the cost ledger, LHNs use the same guidelines for costing patient level data, while LHNs may choose different cost drivers in particular instances, the methodology is consistent.</w:t>
      </w:r>
    </w:p>
    <w:p w14:paraId="6A8E5042" w14:textId="0FCBC8C2" w:rsidR="001536CF" w:rsidRDefault="001536CF" w:rsidP="001536CF">
      <w:pPr>
        <w:pStyle w:val="Heading4"/>
      </w:pPr>
      <w:r w:rsidRPr="00116959">
        <w:t>Stage 3</w:t>
      </w:r>
      <w:r w:rsidR="00A20C0B">
        <w:t>: C</w:t>
      </w:r>
      <w:r w:rsidRPr="00116959">
        <w:t xml:space="preserve">reate </w:t>
      </w:r>
      <w:r w:rsidR="00A20C0B">
        <w:t>F</w:t>
      </w:r>
      <w:r w:rsidRPr="00116959">
        <w:t xml:space="preserve">inal </w:t>
      </w:r>
      <w:r w:rsidR="00A20C0B">
        <w:t>C</w:t>
      </w:r>
      <w:r w:rsidRPr="00116959">
        <w:t xml:space="preserve">ost </w:t>
      </w:r>
      <w:r w:rsidR="00A20C0B">
        <w:t>C</w:t>
      </w:r>
      <w:r w:rsidRPr="00116959">
        <w:t>entres</w:t>
      </w:r>
    </w:p>
    <w:p w14:paraId="45AB07AE" w14:textId="6348F269" w:rsidR="002C1DC2" w:rsidRPr="002C1DC2" w:rsidRDefault="002C1DC2" w:rsidP="006008CF">
      <w:r>
        <w:t xml:space="preserve">SA reported full compliance to </w:t>
      </w:r>
      <w:r w:rsidR="00BA5264">
        <w:t>S</w:t>
      </w:r>
      <w:r>
        <w:t>tage 3, create final cost centres. The process of matching final</w:t>
      </w:r>
      <w:r w:rsidR="004E22E2">
        <w:t xml:space="preserve"> and </w:t>
      </w:r>
      <w:r>
        <w:t>intermediate products is well-established and quality assurance checks are consistently performed to correct any discrepancies in the data. This remains unchanged from SA’s NHCDC 2021-22 submission.</w:t>
      </w:r>
    </w:p>
    <w:p w14:paraId="3E914DDB" w14:textId="2D2ADD95" w:rsidR="001536CF" w:rsidRDefault="001536CF" w:rsidP="001536CF">
      <w:pPr>
        <w:pStyle w:val="Heading4"/>
      </w:pPr>
      <w:r w:rsidRPr="00116959">
        <w:lastRenderedPageBreak/>
        <w:t>Stage 4</w:t>
      </w:r>
      <w:r w:rsidR="00A20C0B">
        <w:t>: I</w:t>
      </w:r>
      <w:r w:rsidRPr="00116959">
        <w:t xml:space="preserve">dentify </w:t>
      </w:r>
      <w:r w:rsidR="00A20C0B">
        <w:t>p</w:t>
      </w:r>
      <w:r w:rsidRPr="00116959">
        <w:t>roducts</w:t>
      </w:r>
    </w:p>
    <w:p w14:paraId="6CF156A1" w14:textId="2BC32FF0" w:rsidR="001536CF" w:rsidRDefault="002C1DC2" w:rsidP="00493DF4">
      <w:pPr>
        <w:pStyle w:val="ListLevel1"/>
        <w:numPr>
          <w:ilvl w:val="0"/>
          <w:numId w:val="0"/>
        </w:numPr>
        <w:contextualSpacing w:val="0"/>
      </w:pPr>
      <w:r>
        <w:t xml:space="preserve">SA reported full compliance with the </w:t>
      </w:r>
      <w:r w:rsidR="001D75AC">
        <w:t>S</w:t>
      </w:r>
      <w:r>
        <w:t>tandards in Stage</w:t>
      </w:r>
      <w:r w:rsidR="00D34D72">
        <w:t xml:space="preserve"> </w:t>
      </w:r>
      <w:r>
        <w:t xml:space="preserve">4, identify products. </w:t>
      </w:r>
      <w:r>
        <w:rPr>
          <w:color w:val="auto"/>
        </w:rPr>
        <w:t xml:space="preserve">LHNs have standardised </w:t>
      </w:r>
      <w:r w:rsidR="00A20C0B">
        <w:rPr>
          <w:color w:val="auto"/>
        </w:rPr>
        <w:t xml:space="preserve">quality assurance </w:t>
      </w:r>
      <w:r>
        <w:rPr>
          <w:color w:val="auto"/>
        </w:rPr>
        <w:t>processes, covering aspects such as activity and cost data linking and negative costs.</w:t>
      </w:r>
    </w:p>
    <w:p w14:paraId="24BD69C4" w14:textId="28D1514D" w:rsidR="00B3403F" w:rsidRPr="00116959" w:rsidRDefault="00B3403F" w:rsidP="00A3367F">
      <w:pPr>
        <w:pStyle w:val="Heading4"/>
      </w:pPr>
      <w:r w:rsidRPr="00116959">
        <w:t xml:space="preserve">Stage </w:t>
      </w:r>
      <w:r w:rsidR="00BD1BF3" w:rsidRPr="00116959">
        <w:t>5</w:t>
      </w:r>
      <w:r w:rsidR="00A20C0B">
        <w:t>: A</w:t>
      </w:r>
      <w:r w:rsidRPr="00116959">
        <w:t xml:space="preserve">ssign </w:t>
      </w:r>
      <w:r w:rsidR="00A20C0B">
        <w:t>E</w:t>
      </w:r>
      <w:r w:rsidRPr="00116959">
        <w:t>xpenses</w:t>
      </w:r>
      <w:r w:rsidR="00BD1BF3" w:rsidRPr="00116959">
        <w:t xml:space="preserve"> to </w:t>
      </w:r>
      <w:r w:rsidR="00A20C0B">
        <w:t>P</w:t>
      </w:r>
      <w:r w:rsidR="00BD1BF3" w:rsidRPr="00116959">
        <w:t>roducts</w:t>
      </w:r>
    </w:p>
    <w:p w14:paraId="20712B9E" w14:textId="0128BD1C" w:rsidR="001304E1" w:rsidRPr="00116959" w:rsidRDefault="00BB1FC7" w:rsidP="003A4201">
      <w:pPr>
        <w:pStyle w:val="ListLevel1"/>
        <w:numPr>
          <w:ilvl w:val="0"/>
          <w:numId w:val="0"/>
        </w:numPr>
        <w:contextualSpacing w:val="0"/>
      </w:pPr>
      <w:r w:rsidRPr="00116959">
        <w:t>SA</w:t>
      </w:r>
      <w:r w:rsidR="00A6763A" w:rsidRPr="00116959">
        <w:t xml:space="preserve"> reported full compliance with the </w:t>
      </w:r>
      <w:r w:rsidR="001D75AC">
        <w:t>S</w:t>
      </w:r>
      <w:r w:rsidR="00A6763A" w:rsidRPr="00116959">
        <w:t>tandards in Stage 5 of the costing process, however</w:t>
      </w:r>
      <w:r w:rsidR="00AF54ED" w:rsidRPr="00116959">
        <w:t>,</w:t>
      </w:r>
      <w:r w:rsidR="00A6763A" w:rsidRPr="00116959">
        <w:t xml:space="preserve"> </w:t>
      </w:r>
      <w:r w:rsidR="000A1513" w:rsidRPr="00116959">
        <w:t>has identified</w:t>
      </w:r>
      <w:r w:rsidR="00B96B1F">
        <w:t xml:space="preserve"> they do</w:t>
      </w:r>
      <w:r w:rsidR="003B4CA3">
        <w:t xml:space="preserve"> not cost private patient pathology at patient level as data matching is not accurate enough to provide adequate costing allocations</w:t>
      </w:r>
      <w:r w:rsidR="00B96B1F">
        <w:t xml:space="preserve">. </w:t>
      </w:r>
      <w:r w:rsidR="00B96B1F" w:rsidRPr="00116959">
        <w:t xml:space="preserve">This remains unchanged from </w:t>
      </w:r>
      <w:r w:rsidR="00B96B1F">
        <w:t>SA</w:t>
      </w:r>
      <w:r w:rsidR="00B96B1F" w:rsidRPr="00116959">
        <w:t>’s 2021-22 submission</w:t>
      </w:r>
      <w:r w:rsidR="00B96B1F">
        <w:t>.</w:t>
      </w:r>
    </w:p>
    <w:p w14:paraId="32639020" w14:textId="194AE799" w:rsidR="00B3403F" w:rsidRPr="00116959" w:rsidRDefault="00B3403F" w:rsidP="00A3367F">
      <w:pPr>
        <w:pStyle w:val="Heading4"/>
      </w:pPr>
      <w:r w:rsidRPr="00116959">
        <w:t>Stage 6</w:t>
      </w:r>
      <w:r w:rsidR="00A20C0B">
        <w:t>: R</w:t>
      </w:r>
      <w:r w:rsidRPr="00116959">
        <w:t xml:space="preserve">eview and </w:t>
      </w:r>
      <w:r w:rsidR="00A20C0B">
        <w:t>R</w:t>
      </w:r>
      <w:r w:rsidRPr="00116959">
        <w:t>econcile</w:t>
      </w:r>
    </w:p>
    <w:p w14:paraId="78AF2100" w14:textId="0088A228" w:rsidR="001304E1" w:rsidRPr="00116959" w:rsidRDefault="00930096" w:rsidP="001304E1">
      <w:r>
        <w:t>LHNs follow standardised guidelines to cost patient level data. The cost data</w:t>
      </w:r>
      <w:r w:rsidR="005A46DD">
        <w:t xml:space="preserve"> is</w:t>
      </w:r>
      <w:r>
        <w:t xml:space="preserve"> then</w:t>
      </w:r>
      <w:r w:rsidR="005A46DD">
        <w:t xml:space="preserve"> submitted to SA’s central Patient Costing Team in</w:t>
      </w:r>
      <w:r w:rsidR="006E40C6">
        <w:t xml:space="preserve"> the Department of Health and Wellbeing (DHW)</w:t>
      </w:r>
      <w:r w:rsidR="005A46DD">
        <w:t xml:space="preserve"> who also apply</w:t>
      </w:r>
      <w:r>
        <w:t xml:space="preserve"> a standardised methodology to create the NHCDC submission</w:t>
      </w:r>
      <w:r w:rsidR="005A46DD">
        <w:t xml:space="preserve">. </w:t>
      </w:r>
      <w:r w:rsidR="00661203" w:rsidRPr="00116959">
        <w:t>SA</w:t>
      </w:r>
      <w:r w:rsidR="001304E1" w:rsidRPr="00116959">
        <w:t xml:space="preserve"> maintains a centralised costing function that runs a review, reconciliation, and assurance process in consultation with submitting LHNs.</w:t>
      </w:r>
      <w:r w:rsidR="000A1513" w:rsidRPr="00116959">
        <w:t xml:space="preserve"> </w:t>
      </w:r>
      <w:r w:rsidR="00AF54ED" w:rsidRPr="00116959">
        <w:t>The</w:t>
      </w:r>
      <w:r w:rsidR="001304E1" w:rsidRPr="00116959">
        <w:t xml:space="preserve"> cost reconciliation process is undertaken across all LHNs to ensure that all expenses and allocation methods are correctly undertaken.</w:t>
      </w:r>
    </w:p>
    <w:p w14:paraId="7191F57B" w14:textId="69A39A5E" w:rsidR="001304E1" w:rsidRPr="00116959" w:rsidRDefault="00661203" w:rsidP="001304E1">
      <w:bookmarkStart w:id="70" w:name="_Toc153890162"/>
      <w:r w:rsidRPr="00116959">
        <w:t>SA</w:t>
      </w:r>
      <w:r w:rsidR="001304E1" w:rsidRPr="00116959">
        <w:t xml:space="preserve"> completes internal quality assurance processes to ensure the NHCDC contains high-quality data that can be used to develop the </w:t>
      </w:r>
      <w:r w:rsidR="00A20C0B">
        <w:t>NEP</w:t>
      </w:r>
      <w:r w:rsidR="001304E1" w:rsidRPr="00116959">
        <w:t xml:space="preserve">. </w:t>
      </w:r>
      <w:r w:rsidRPr="00116959">
        <w:t>SA</w:t>
      </w:r>
      <w:r w:rsidR="001304E1" w:rsidRPr="00116959">
        <w:t xml:space="preserve"> </w:t>
      </w:r>
      <w:r w:rsidR="00E46155">
        <w:t xml:space="preserve">reports they </w:t>
      </w:r>
      <w:r w:rsidR="001304E1" w:rsidRPr="00116959">
        <w:t>conduct several annual checks and assessments prior to a formal sign off by the C</w:t>
      </w:r>
      <w:r w:rsidR="00162767" w:rsidRPr="00116959">
        <w:t xml:space="preserve">hief </w:t>
      </w:r>
      <w:r w:rsidR="001304E1" w:rsidRPr="00116959">
        <w:t>E</w:t>
      </w:r>
      <w:r w:rsidR="00162767" w:rsidRPr="00116959">
        <w:t xml:space="preserve">xecutive </w:t>
      </w:r>
      <w:r w:rsidR="001304E1" w:rsidRPr="00116959">
        <w:t>O</w:t>
      </w:r>
      <w:r w:rsidR="00162767" w:rsidRPr="00116959">
        <w:t xml:space="preserve">fficer </w:t>
      </w:r>
      <w:r w:rsidR="001304E1" w:rsidRPr="00116959">
        <w:t>to ensure a robust costing submission to IHACPA.</w:t>
      </w:r>
    </w:p>
    <w:p w14:paraId="58DB240A" w14:textId="40E43543" w:rsidR="001304E1" w:rsidRDefault="001304E1" w:rsidP="001304E1">
      <w:r w:rsidRPr="00116959">
        <w:t>To ensure all in-scope cost</w:t>
      </w:r>
      <w:r w:rsidR="00AF54ED" w:rsidRPr="00116959">
        <w:t>s</w:t>
      </w:r>
      <w:r w:rsidRPr="00116959">
        <w:t xml:space="preserve"> have been included in the NHCDC 202</w:t>
      </w:r>
      <w:r w:rsidR="003C4E7C" w:rsidRPr="00116959">
        <w:t>2</w:t>
      </w:r>
      <w:r w:rsidRPr="00116959">
        <w:t>-2</w:t>
      </w:r>
      <w:r w:rsidR="003C4E7C" w:rsidRPr="00116959">
        <w:t>3</w:t>
      </w:r>
      <w:r w:rsidRPr="00116959">
        <w:t xml:space="preserve">, a reconciliation review was completed between </w:t>
      </w:r>
      <w:r w:rsidR="00661203" w:rsidRPr="00116959">
        <w:t>SA’s</w:t>
      </w:r>
      <w:r w:rsidR="00661868">
        <w:t xml:space="preserve"> LHN</w:t>
      </w:r>
      <w:r w:rsidR="00661868" w:rsidDel="00D34D72">
        <w:t xml:space="preserve"> </w:t>
      </w:r>
      <w:r w:rsidR="006E51A7">
        <w:t>GL</w:t>
      </w:r>
      <w:r w:rsidR="00353986" w:rsidRPr="00116959">
        <w:t>,</w:t>
      </w:r>
      <w:r w:rsidRPr="00116959">
        <w:t xml:space="preserve"> and the costs submitted to IHACPA. </w:t>
      </w:r>
      <w:r w:rsidR="00661203" w:rsidRPr="00116959">
        <w:t>SA’s</w:t>
      </w:r>
      <w:r w:rsidRPr="00116959">
        <w:t xml:space="preserve"> </w:t>
      </w:r>
      <w:r w:rsidR="00A20C0B">
        <w:t>GL</w:t>
      </w:r>
      <w:r w:rsidRPr="00116959">
        <w:t xml:space="preserve"> reconciles with the cost ledger as well as the costs submitted to IHACPA.</w:t>
      </w:r>
      <w:bookmarkEnd w:id="70"/>
    </w:p>
    <w:p w14:paraId="1702186F" w14:textId="270960E3" w:rsidR="005D4F2D" w:rsidRDefault="005D4F2D">
      <w:pPr>
        <w:spacing w:line="259" w:lineRule="auto"/>
      </w:pPr>
      <w:r>
        <w:br w:type="page"/>
      </w:r>
    </w:p>
    <w:p w14:paraId="55A52469" w14:textId="5B6EC9A4" w:rsidR="002920B4" w:rsidRDefault="009A0432" w:rsidP="00A3367F">
      <w:pPr>
        <w:pStyle w:val="Heading2"/>
      </w:pPr>
      <w:bookmarkStart w:id="71" w:name="_Toc179296649"/>
      <w:r>
        <w:lastRenderedPageBreak/>
        <w:t>Western Australia</w:t>
      </w:r>
      <w:bookmarkEnd w:id="71"/>
    </w:p>
    <w:p w14:paraId="2CB19FA6" w14:textId="2A32C29B" w:rsidR="003C6C8E" w:rsidRDefault="003C6C8E" w:rsidP="00A3367F">
      <w:pPr>
        <w:pStyle w:val="Heading3"/>
      </w:pPr>
      <w:r w:rsidRPr="00A3367F">
        <w:t>Summary</w:t>
      </w:r>
    </w:p>
    <w:p w14:paraId="470AF0AC" w14:textId="2E6CAEFF" w:rsidR="004265CF" w:rsidRDefault="003C6C8E" w:rsidP="00116959">
      <w:r>
        <w:t xml:space="preserve">Western Australia </w:t>
      </w:r>
      <w:r w:rsidR="002E64FA">
        <w:t xml:space="preserve">(WA) </w:t>
      </w:r>
      <w:r>
        <w:t>submitted cost data from 36</w:t>
      </w:r>
      <w:r w:rsidRPr="007B7CF1">
        <w:t xml:space="preserve"> </w:t>
      </w:r>
      <w:r>
        <w:t>hospitals (including health services) across 5 health service providers (HSP) with 4.68 million records and a cost of $7.59 billion in 2022</w:t>
      </w:r>
      <w:r w:rsidR="5F3F4AB7">
        <w:t>-</w:t>
      </w:r>
      <w:r>
        <w:t xml:space="preserve">23. </w:t>
      </w:r>
      <w:r w:rsidR="002E64FA">
        <w:t>WA’s</w:t>
      </w:r>
      <w:r w:rsidR="004265CF">
        <w:t xml:space="preserve"> 2022-23 submission </w:t>
      </w:r>
      <w:r w:rsidR="00B8272D">
        <w:t xml:space="preserve">included </w:t>
      </w:r>
      <w:r w:rsidR="004265CF">
        <w:t>community</w:t>
      </w:r>
      <w:r w:rsidR="008953D9">
        <w:t xml:space="preserve"> mental</w:t>
      </w:r>
      <w:r w:rsidR="004265CF">
        <w:t xml:space="preserve"> health </w:t>
      </w:r>
      <w:r w:rsidR="00A20C0B">
        <w:t xml:space="preserve">(CMH) </w:t>
      </w:r>
      <w:r w:rsidR="004265CF">
        <w:t>costs</w:t>
      </w:r>
      <w:r w:rsidR="00B8272D">
        <w:t xml:space="preserve"> for the first time</w:t>
      </w:r>
      <w:r w:rsidR="007F7F44">
        <w:t xml:space="preserve"> from an additional 23 sites.</w:t>
      </w:r>
    </w:p>
    <w:p w14:paraId="6B3911C0" w14:textId="7BC7BB62" w:rsidR="003C6C8E" w:rsidRDefault="003C6C8E" w:rsidP="00116959">
      <w:r w:rsidRPr="00E02029">
        <w:t xml:space="preserve">The review of WA’s costing and governance processes </w:t>
      </w:r>
      <w:r>
        <w:t>demonstrated that there are r</w:t>
      </w:r>
      <w:r w:rsidRPr="00E02029">
        <w:t>igorous</w:t>
      </w:r>
      <w:r>
        <w:t xml:space="preserve"> costing</w:t>
      </w:r>
      <w:r w:rsidRPr="00E02029">
        <w:t xml:space="preserve"> </w:t>
      </w:r>
      <w:r>
        <w:t>processes in place</w:t>
      </w:r>
      <w:bookmarkStart w:id="72" w:name="_Toc153890147"/>
      <w:r w:rsidR="00DC03CE">
        <w:t>.</w:t>
      </w:r>
      <w:r w:rsidR="002E64FA" w:rsidRPr="002E64FA">
        <w:t xml:space="preserve"> </w:t>
      </w:r>
      <w:r w:rsidR="002E64FA">
        <w:t xml:space="preserve">This process remains unchanged from WA’s </w:t>
      </w:r>
      <w:r w:rsidR="0070728D" w:rsidRPr="00116959">
        <w:t>2021</w:t>
      </w:r>
      <w:r w:rsidR="00C94740">
        <w:noBreakHyphen/>
      </w:r>
      <w:r w:rsidR="0070728D" w:rsidRPr="00116959">
        <w:t>22 submission, as reported in their DQS 2021-22</w:t>
      </w:r>
      <w:r w:rsidR="00BF123F">
        <w:t>.</w:t>
      </w:r>
    </w:p>
    <w:bookmarkEnd w:id="72"/>
    <w:p w14:paraId="076AE5C5" w14:textId="49683C56" w:rsidR="003C6C8E" w:rsidRPr="00E96C8D" w:rsidRDefault="003A4201" w:rsidP="00A3367F">
      <w:pPr>
        <w:pStyle w:val="Heading3"/>
      </w:pPr>
      <w:r>
        <w:t xml:space="preserve">Applying </w:t>
      </w:r>
      <w:r w:rsidR="00826DE0">
        <w:t>the AHPCS</w:t>
      </w:r>
    </w:p>
    <w:p w14:paraId="6D85E02F" w14:textId="6E48F9D7" w:rsidR="008553C5" w:rsidRDefault="00A00A92" w:rsidP="008553C5">
      <w:pPr>
        <w:rPr>
          <w:b/>
          <w:bCs/>
        </w:rPr>
      </w:pPr>
      <w:r w:rsidRPr="004A6FD7">
        <w:t>HSPs use the Western Australia Costing Guidelines which provide localised guidance to support practitioners in applying and complying with the AHPCS</w:t>
      </w:r>
      <w:r w:rsidRPr="00865B9A">
        <w:t xml:space="preserve">. </w:t>
      </w:r>
      <w:r w:rsidR="002E64FA">
        <w:t>WA</w:t>
      </w:r>
      <w:r w:rsidR="00992603">
        <w:t xml:space="preserve"> has reported </w:t>
      </w:r>
      <w:r w:rsidR="00992603" w:rsidRPr="0033437A">
        <w:t>full compliance</w:t>
      </w:r>
      <w:r w:rsidR="00992603">
        <w:t xml:space="preserve"> with the AHPCS</w:t>
      </w:r>
      <w:r w:rsidR="0033437A">
        <w:t>, except for standard 4.2</w:t>
      </w:r>
      <w:r w:rsidR="00992603">
        <w:t>.</w:t>
      </w:r>
    </w:p>
    <w:p w14:paraId="31AA42CF" w14:textId="3B45D6FD" w:rsidR="008553C5" w:rsidRPr="00BC0C21" w:rsidRDefault="008553C5" w:rsidP="003A4201">
      <w:pPr>
        <w:pStyle w:val="Heading4"/>
      </w:pPr>
      <w:r w:rsidRPr="00BC0C21">
        <w:t>Stage 1</w:t>
      </w:r>
      <w:r w:rsidR="00A20C0B">
        <w:t>: I</w:t>
      </w:r>
      <w:r w:rsidRPr="00BC0C21">
        <w:t xml:space="preserve">dentify </w:t>
      </w:r>
      <w:r w:rsidR="00A20C0B">
        <w:t>R</w:t>
      </w:r>
      <w:r w:rsidRPr="00BC0C21">
        <w:t xml:space="preserve">elevant </w:t>
      </w:r>
      <w:r w:rsidR="00A20C0B">
        <w:t>E</w:t>
      </w:r>
      <w:r w:rsidRPr="00BC0C21">
        <w:t>xpenses</w:t>
      </w:r>
    </w:p>
    <w:p w14:paraId="78D3F09F" w14:textId="01557517" w:rsidR="006653C1" w:rsidRDefault="002E64FA" w:rsidP="009B1625">
      <w:r w:rsidRPr="00865B9A">
        <w:t>WA</w:t>
      </w:r>
      <w:r w:rsidR="003C6C8E" w:rsidRPr="00865B9A">
        <w:t xml:space="preserve"> reported full compliance with the </w:t>
      </w:r>
      <w:r w:rsidR="001D75AC">
        <w:t>S</w:t>
      </w:r>
      <w:r w:rsidR="003C6C8E" w:rsidRPr="00865B9A">
        <w:t>tandards in Stage 1</w:t>
      </w:r>
      <w:r w:rsidR="00677415" w:rsidRPr="00865B9A">
        <w:t>,</w:t>
      </w:r>
      <w:r w:rsidR="003C6C8E" w:rsidRPr="00865B9A">
        <w:t xml:space="preserve"> except </w:t>
      </w:r>
      <w:r w:rsidR="00285002" w:rsidRPr="00865B9A">
        <w:t xml:space="preserve">the </w:t>
      </w:r>
      <w:r w:rsidR="004265CF" w:rsidRPr="00865B9A">
        <w:t>cost</w:t>
      </w:r>
      <w:r w:rsidR="00285002" w:rsidRPr="00865B9A">
        <w:t>ing</w:t>
      </w:r>
      <w:r w:rsidR="004265CF" w:rsidRPr="00865B9A">
        <w:t xml:space="preserve"> </w:t>
      </w:r>
      <w:r w:rsidR="00285002" w:rsidRPr="00865B9A">
        <w:t xml:space="preserve">of </w:t>
      </w:r>
      <w:r w:rsidR="004265CF" w:rsidRPr="00865B9A">
        <w:t>ancillary services such as pharmacy, pathology and imaging that were not linked</w:t>
      </w:r>
      <w:r w:rsidR="00F0100E" w:rsidRPr="00865B9A">
        <w:t xml:space="preserve"> to</w:t>
      </w:r>
      <w:r w:rsidR="004265CF" w:rsidRPr="00865B9A">
        <w:t xml:space="preserve"> activity</w:t>
      </w:r>
      <w:r w:rsidR="008953D9" w:rsidRPr="00865B9A">
        <w:t xml:space="preserve">, </w:t>
      </w:r>
      <w:r w:rsidR="004265CF" w:rsidRPr="00865B9A">
        <w:t>have been excluded.</w:t>
      </w:r>
      <w:r w:rsidR="006653C1">
        <w:t xml:space="preserve"> </w:t>
      </w:r>
      <w:r w:rsidR="009B1625">
        <w:t>B</w:t>
      </w:r>
      <w:r w:rsidR="006653C1">
        <w:t xml:space="preserve">lood products have also been excluded in WA’s </w:t>
      </w:r>
      <w:proofErr w:type="gramStart"/>
      <w:r w:rsidR="006653C1">
        <w:t>submission</w:t>
      </w:r>
      <w:proofErr w:type="gramEnd"/>
      <w:r w:rsidR="006653C1">
        <w:t xml:space="preserve"> and they are looking to include blood products in future submissions.</w:t>
      </w:r>
    </w:p>
    <w:p w14:paraId="514AC621" w14:textId="7E2CD8A2" w:rsidR="00B55C76" w:rsidRDefault="00B55C76" w:rsidP="00B55C76">
      <w:pPr>
        <w:spacing w:after="120"/>
      </w:pPr>
      <w:r w:rsidRPr="00865B9A">
        <w:t xml:space="preserve">Significant work has been undertaken around contracted care services in </w:t>
      </w:r>
      <w:proofErr w:type="gramStart"/>
      <w:r w:rsidRPr="00865B9A">
        <w:t>WA,</w:t>
      </w:r>
      <w:proofErr w:type="gramEnd"/>
      <w:r w:rsidRPr="00865B9A">
        <w:t xml:space="preserve"> however</w:t>
      </w:r>
      <w:r>
        <w:t>,</w:t>
      </w:r>
      <w:r w:rsidRPr="00865B9A">
        <w:t xml:space="preserve"> it has been identified </w:t>
      </w:r>
      <w:r>
        <w:t xml:space="preserve">that </w:t>
      </w:r>
      <w:r w:rsidRPr="00865B9A">
        <w:t xml:space="preserve">further work is </w:t>
      </w:r>
      <w:r w:rsidR="00353986" w:rsidRPr="00865B9A">
        <w:t>required,</w:t>
      </w:r>
      <w:r w:rsidRPr="00865B9A">
        <w:t xml:space="preserve"> </w:t>
      </w:r>
      <w:r w:rsidRPr="00DC0B15">
        <w:t>and WA reported their intention to include contracted care activity and costs in future submissions to the NHCD</w:t>
      </w:r>
      <w:r>
        <w:t>C.</w:t>
      </w:r>
    </w:p>
    <w:p w14:paraId="3FB3016F" w14:textId="4EB158DC" w:rsidR="00B55C76" w:rsidRPr="00865B9A" w:rsidRDefault="00B55C76" w:rsidP="00B55C76">
      <w:pPr>
        <w:spacing w:after="120"/>
      </w:pPr>
      <w:r>
        <w:t>All cost identified for exclusion in their NHCDC submission for 2022</w:t>
      </w:r>
      <w:r w:rsidR="1A02C9E1">
        <w:t>-</w:t>
      </w:r>
      <w:r>
        <w:t>23 remains unchanged from WA’s 2021-22 submission, as reported in their DQS 2021</w:t>
      </w:r>
      <w:r w:rsidR="0BB2BE1F">
        <w:t>-</w:t>
      </w:r>
      <w:r>
        <w:t>22.</w:t>
      </w:r>
    </w:p>
    <w:p w14:paraId="5B452A52" w14:textId="5C284E53" w:rsidR="00A6763A" w:rsidRDefault="004966AF" w:rsidP="00A6763A">
      <w:r w:rsidRPr="00865B9A">
        <w:t>WA</w:t>
      </w:r>
      <w:r w:rsidR="00A6763A" w:rsidRPr="00865B9A">
        <w:t xml:space="preserve"> reported that </w:t>
      </w:r>
      <w:r w:rsidR="008553C5">
        <w:t xml:space="preserve">WA’s </w:t>
      </w:r>
      <w:r w:rsidR="00A6763A" w:rsidRPr="00865B9A">
        <w:t xml:space="preserve">costing guidelines relating to teaching and training does not comply with the </w:t>
      </w:r>
      <w:r w:rsidR="001D75AC">
        <w:t>S</w:t>
      </w:r>
      <w:r w:rsidR="00A6763A" w:rsidRPr="00865B9A">
        <w:t>tandards, therefore</w:t>
      </w:r>
      <w:r w:rsidR="00963A99">
        <w:t xml:space="preserve"> being</w:t>
      </w:r>
      <w:r w:rsidR="00A6763A" w:rsidRPr="00865B9A">
        <w:t xml:space="preserve"> excluded from the submission.</w:t>
      </w:r>
    </w:p>
    <w:p w14:paraId="5BFACB2B" w14:textId="279B8508" w:rsidR="00BC0C21" w:rsidRDefault="00BC0C21" w:rsidP="00BC0C21">
      <w:pPr>
        <w:pStyle w:val="Heading4"/>
      </w:pPr>
      <w:r w:rsidRPr="00116959">
        <w:t>Stage 2</w:t>
      </w:r>
      <w:r w:rsidR="00A20C0B">
        <w:t>:</w:t>
      </w:r>
      <w:r w:rsidRPr="00116959">
        <w:t xml:space="preserve"> </w:t>
      </w:r>
      <w:r w:rsidR="006245FB">
        <w:t>C</w:t>
      </w:r>
      <w:r w:rsidRPr="00116959">
        <w:t xml:space="preserve">reate the </w:t>
      </w:r>
      <w:r w:rsidR="00A20C0B">
        <w:t>C</w:t>
      </w:r>
      <w:r w:rsidRPr="00116959">
        <w:t xml:space="preserve">ost </w:t>
      </w:r>
      <w:r w:rsidR="00A20C0B">
        <w:t>L</w:t>
      </w:r>
      <w:r w:rsidRPr="00116959">
        <w:t>edger</w:t>
      </w:r>
    </w:p>
    <w:p w14:paraId="3279D043" w14:textId="2991E2FC" w:rsidR="00B55C76" w:rsidRDefault="0098259F" w:rsidP="00B55C76">
      <w:r>
        <w:t xml:space="preserve">WA reported full compliance with the Standards in Stage 2, create the cost ledger. </w:t>
      </w:r>
      <w:proofErr w:type="gramStart"/>
      <w:r w:rsidR="00B55C76">
        <w:t>Similar to</w:t>
      </w:r>
      <w:proofErr w:type="gramEnd"/>
      <w:r w:rsidR="00B55C76">
        <w:t xml:space="preserve"> 2021-22, WA </w:t>
      </w:r>
      <w:r w:rsidR="00A20C0B">
        <w:t>H</w:t>
      </w:r>
      <w:r w:rsidR="00B55C76">
        <w:t>ealth has continued to focus</w:t>
      </w:r>
      <w:r w:rsidR="00B55C76" w:rsidRPr="00B55C76">
        <w:t xml:space="preserve"> on standardising costing practices across HSP, but variation may occur due to specific HSP requirements.</w:t>
      </w:r>
      <w:r w:rsidR="00661868">
        <w:t xml:space="preserve"> HSPs</w:t>
      </w:r>
      <w:r w:rsidR="00661868" w:rsidRPr="00661868">
        <w:t xml:space="preserve"> </w:t>
      </w:r>
      <w:r w:rsidR="00661868">
        <w:t xml:space="preserve">are </w:t>
      </w:r>
      <w:r w:rsidR="00661868" w:rsidRPr="00661868">
        <w:t>responsible and accountable for the delivery of safe, high</w:t>
      </w:r>
      <w:r w:rsidR="00BA7642">
        <w:t>-</w:t>
      </w:r>
      <w:r w:rsidR="00661868" w:rsidRPr="00661868">
        <w:t>quality, efficient and economical health services to their local areas and communities.</w:t>
      </w:r>
    </w:p>
    <w:p w14:paraId="0F1BC414" w14:textId="231FEBAE" w:rsidR="001536CF" w:rsidRDefault="001536CF">
      <w:pPr>
        <w:pStyle w:val="Heading4"/>
      </w:pPr>
      <w:r w:rsidRPr="00116959">
        <w:t>Stage 3</w:t>
      </w:r>
      <w:r w:rsidR="00A20C0B">
        <w:t>: C</w:t>
      </w:r>
      <w:r w:rsidRPr="00116959">
        <w:t xml:space="preserve">reate </w:t>
      </w:r>
      <w:r w:rsidR="00A20C0B">
        <w:t>F</w:t>
      </w:r>
      <w:r w:rsidRPr="00116959">
        <w:t xml:space="preserve">inal </w:t>
      </w:r>
      <w:r w:rsidR="00A20C0B">
        <w:t>C</w:t>
      </w:r>
      <w:r w:rsidRPr="00116959">
        <w:t xml:space="preserve">ost </w:t>
      </w:r>
      <w:r w:rsidR="00A20C0B">
        <w:t>C</w:t>
      </w:r>
      <w:r w:rsidRPr="00116959">
        <w:t>entres</w:t>
      </w:r>
    </w:p>
    <w:p w14:paraId="0B63F85E" w14:textId="6A6A69C0" w:rsidR="00D34D72" w:rsidRPr="00D34D72" w:rsidRDefault="00D34D72" w:rsidP="00D34D72">
      <w:r>
        <w:t xml:space="preserve">WA reported full compliance with the </w:t>
      </w:r>
      <w:r w:rsidR="0098259F">
        <w:t>Standards in Stage</w:t>
      </w:r>
      <w:r>
        <w:t xml:space="preserve"> 3, create final cost centres. WA has implemented standardised costing practices wherever feasible across HSP, but variation may occur due to specific HSP requirements.</w:t>
      </w:r>
    </w:p>
    <w:p w14:paraId="5D0EA6D9" w14:textId="07039401" w:rsidR="00B3403F" w:rsidRPr="00865B9A" w:rsidRDefault="00B3403F" w:rsidP="00A3367F">
      <w:pPr>
        <w:pStyle w:val="Heading4"/>
      </w:pPr>
      <w:r w:rsidRPr="00865B9A">
        <w:lastRenderedPageBreak/>
        <w:t>Stage 4</w:t>
      </w:r>
      <w:r w:rsidR="00A20C0B">
        <w:t>: I</w:t>
      </w:r>
      <w:r w:rsidRPr="00865B9A">
        <w:t xml:space="preserve">dentify </w:t>
      </w:r>
      <w:r w:rsidR="00A20C0B">
        <w:t>P</w:t>
      </w:r>
      <w:r w:rsidRPr="00865B9A">
        <w:t>roducts</w:t>
      </w:r>
    </w:p>
    <w:p w14:paraId="3A5427F1" w14:textId="6A09E84D" w:rsidR="003C6C8E" w:rsidRDefault="004966AF" w:rsidP="003C6C8E">
      <w:r w:rsidRPr="00865B9A">
        <w:t>WA</w:t>
      </w:r>
      <w:r w:rsidR="003C6C8E" w:rsidRPr="00865B9A">
        <w:t xml:space="preserve"> reported partial compli</w:t>
      </w:r>
      <w:r w:rsidR="00EB46EB">
        <w:t>ance</w:t>
      </w:r>
      <w:r w:rsidR="003C6C8E" w:rsidRPr="00865B9A">
        <w:t xml:space="preserve"> with </w:t>
      </w:r>
      <w:r w:rsidR="00EB46EB">
        <w:t>S</w:t>
      </w:r>
      <w:r w:rsidR="003C6C8E" w:rsidRPr="00865B9A">
        <w:t xml:space="preserve">tandard 4.2 </w:t>
      </w:r>
      <w:r w:rsidR="00AC547C">
        <w:t>I</w:t>
      </w:r>
      <w:r w:rsidR="005E2436">
        <w:t>nformation Requiremen</w:t>
      </w:r>
      <w:r w:rsidR="00AC547C">
        <w:t>ts,</w:t>
      </w:r>
      <w:r w:rsidR="003C6C8E" w:rsidRPr="00865B9A">
        <w:t xml:space="preserve"> as mental health costs were not submitted at the phase level due to data limitations</w:t>
      </w:r>
      <w:r w:rsidR="006653C1">
        <w:t>,</w:t>
      </w:r>
      <w:r w:rsidR="00A00A92">
        <w:t xml:space="preserve"> this remains unchanged from WA’s 2021</w:t>
      </w:r>
      <w:r w:rsidR="00C94740">
        <w:noBreakHyphen/>
      </w:r>
      <w:r w:rsidR="00A00A92">
        <w:t>22 submission, as reported in their DQS 2021-22.</w:t>
      </w:r>
      <w:r w:rsidR="004A6FD7">
        <w:t xml:space="preserve"> WA intends to submit at the phase </w:t>
      </w:r>
      <w:r w:rsidR="003A4201">
        <w:t xml:space="preserve">level </w:t>
      </w:r>
      <w:r w:rsidR="004A6FD7">
        <w:t>in future submissions</w:t>
      </w:r>
      <w:r w:rsidR="00A00A92">
        <w:t>.</w:t>
      </w:r>
      <w:r w:rsidR="003C6C8E" w:rsidRPr="00865B9A">
        <w:t xml:space="preserve"> </w:t>
      </w:r>
      <w:r w:rsidR="004A6FD7">
        <w:t>T</w:t>
      </w:r>
      <w:r w:rsidR="003C6C8E" w:rsidRPr="00865B9A">
        <w:t>his</w:t>
      </w:r>
      <w:r w:rsidR="004A6FD7">
        <w:t xml:space="preserve"> should be noted that it</w:t>
      </w:r>
      <w:r w:rsidR="003C6C8E" w:rsidRPr="00865B9A">
        <w:t xml:space="preserve"> was the first </w:t>
      </w:r>
      <w:r w:rsidR="004265CF" w:rsidRPr="00865B9A">
        <w:t xml:space="preserve">year </w:t>
      </w:r>
      <w:r w:rsidR="0037514A">
        <w:t xml:space="preserve">that WA included </w:t>
      </w:r>
      <w:r w:rsidR="00A20C0B">
        <w:t>CMH</w:t>
      </w:r>
      <w:r w:rsidR="003C6C8E" w:rsidRPr="00865B9A">
        <w:t xml:space="preserve"> costs </w:t>
      </w:r>
      <w:r w:rsidR="0037514A">
        <w:t xml:space="preserve">in </w:t>
      </w:r>
      <w:r w:rsidR="003C6C8E" w:rsidRPr="00865B9A">
        <w:t>the</w:t>
      </w:r>
      <w:r w:rsidR="0037514A">
        <w:t>ir</w:t>
      </w:r>
      <w:r w:rsidR="003C6C8E" w:rsidRPr="00865B9A">
        <w:t xml:space="preserve"> submission.</w:t>
      </w:r>
    </w:p>
    <w:p w14:paraId="3E49DCBC" w14:textId="7FBBD11C" w:rsidR="001536CF" w:rsidRPr="00865B9A" w:rsidRDefault="001536CF" w:rsidP="001536CF">
      <w:pPr>
        <w:pStyle w:val="Heading4"/>
      </w:pPr>
      <w:r w:rsidRPr="00865B9A">
        <w:rPr>
          <w:rFonts w:eastAsiaTheme="minorHAnsi"/>
        </w:rPr>
        <w:t>Stage 5</w:t>
      </w:r>
      <w:r w:rsidR="006245FB">
        <w:rPr>
          <w:rFonts w:eastAsiaTheme="minorHAnsi"/>
        </w:rPr>
        <w:t>: A</w:t>
      </w:r>
      <w:r w:rsidRPr="00865B9A">
        <w:rPr>
          <w:rFonts w:eastAsiaTheme="minorHAnsi"/>
        </w:rPr>
        <w:t xml:space="preserve">ssign </w:t>
      </w:r>
      <w:r w:rsidR="006245FB">
        <w:rPr>
          <w:rFonts w:eastAsiaTheme="minorHAnsi"/>
        </w:rPr>
        <w:t>E</w:t>
      </w:r>
      <w:r w:rsidRPr="00865B9A">
        <w:rPr>
          <w:rFonts w:eastAsiaTheme="minorHAnsi"/>
        </w:rPr>
        <w:t xml:space="preserve">xpenses to </w:t>
      </w:r>
      <w:r w:rsidR="006245FB">
        <w:rPr>
          <w:rFonts w:eastAsiaTheme="minorHAnsi"/>
        </w:rPr>
        <w:t>P</w:t>
      </w:r>
      <w:r w:rsidRPr="00865B9A">
        <w:rPr>
          <w:rFonts w:eastAsiaTheme="minorHAnsi"/>
        </w:rPr>
        <w:t>roducts</w:t>
      </w:r>
    </w:p>
    <w:p w14:paraId="0D0C7C5A" w14:textId="15F23AE6" w:rsidR="001536CF" w:rsidRPr="00865B9A" w:rsidRDefault="00793B53" w:rsidP="003C6C8E">
      <w:r>
        <w:t xml:space="preserve">WA reported full compliance to </w:t>
      </w:r>
      <w:r w:rsidR="00AC547C">
        <w:t>the Standards in</w:t>
      </w:r>
      <w:r>
        <w:t xml:space="preserve"> Stage 5. WA Health costing is undertaken in a consistent manner through WA Health and is all conducted using a single instance of the Power Performance Management </w:t>
      </w:r>
      <w:r w:rsidR="002E71EC">
        <w:t xml:space="preserve">version </w:t>
      </w:r>
      <w:r>
        <w:t>2 patient costing system.</w:t>
      </w:r>
    </w:p>
    <w:p w14:paraId="4A1ECD59" w14:textId="614DEED3" w:rsidR="00B3403F" w:rsidRPr="00865B9A" w:rsidRDefault="00B3403F" w:rsidP="00A3367F">
      <w:pPr>
        <w:pStyle w:val="Heading4"/>
      </w:pPr>
      <w:r w:rsidRPr="00865B9A">
        <w:t>Stage 6</w:t>
      </w:r>
      <w:r w:rsidR="006245FB">
        <w:t>: R</w:t>
      </w:r>
      <w:r w:rsidRPr="00865B9A">
        <w:t xml:space="preserve">eview and </w:t>
      </w:r>
      <w:r w:rsidR="006245FB">
        <w:t>R</w:t>
      </w:r>
      <w:r w:rsidRPr="00865B9A">
        <w:t>econcile</w:t>
      </w:r>
    </w:p>
    <w:p w14:paraId="7802B666" w14:textId="6A8DA404" w:rsidR="00DC03CE" w:rsidRDefault="00AC547C" w:rsidP="003C6C8E">
      <w:r>
        <w:t xml:space="preserve">WA reported full compliance to the Standards in Stage 6. </w:t>
      </w:r>
      <w:r w:rsidR="003C6C8E" w:rsidRPr="00865B9A">
        <w:t xml:space="preserve">Quality assurance and reconciliation processes are undertaken at the </w:t>
      </w:r>
      <w:r w:rsidR="00DC03CE" w:rsidRPr="00865B9A">
        <w:t>individual</w:t>
      </w:r>
      <w:r w:rsidR="003C6C8E" w:rsidRPr="00865B9A">
        <w:t xml:space="preserve"> HSP level as well as at the </w:t>
      </w:r>
      <w:r w:rsidR="00A413F3">
        <w:t>jurisdictional</w:t>
      </w:r>
      <w:r w:rsidR="00A413F3" w:rsidRPr="00865B9A">
        <w:t xml:space="preserve"> </w:t>
      </w:r>
      <w:r w:rsidR="003C6C8E" w:rsidRPr="00865B9A">
        <w:t xml:space="preserve">level. Within the </w:t>
      </w:r>
      <w:r w:rsidR="00DC03CE" w:rsidRPr="00865B9A">
        <w:t xml:space="preserve">patient costing </w:t>
      </w:r>
      <w:r w:rsidR="003C6C8E" w:rsidRPr="00865B9A">
        <w:t xml:space="preserve">system </w:t>
      </w:r>
      <w:r w:rsidR="0033437A" w:rsidRPr="00865B9A">
        <w:t>WA</w:t>
      </w:r>
      <w:r w:rsidR="003C6C8E" w:rsidRPr="00865B9A">
        <w:t xml:space="preserve"> utilise standardised systematic checks for validation at the HSP level.</w:t>
      </w:r>
    </w:p>
    <w:p w14:paraId="14E83069" w14:textId="74F375DF" w:rsidR="006727CC" w:rsidRPr="00865B9A" w:rsidRDefault="006727CC" w:rsidP="003C6C8E">
      <w:r w:rsidRPr="003A4201">
        <w:t>WA reports that the HSPs undertake rigorous quality assurance processes, utilising a set of quality assurance tests developed by WA Health prior to submitting their costing data to the Department. Submissions are reviewed by the Department, and unexpected results are resolved prior to submission to the NHCDC</w:t>
      </w:r>
      <w:r w:rsidR="00BF123F">
        <w:t>.</w:t>
      </w:r>
    </w:p>
    <w:p w14:paraId="7E2E5A1A" w14:textId="531E79C0" w:rsidR="003C6C8E" w:rsidRPr="00865B9A" w:rsidRDefault="0033437A" w:rsidP="003C6C8E">
      <w:r w:rsidRPr="00865B9A">
        <w:t>WA</w:t>
      </w:r>
      <w:r w:rsidR="003C6C8E" w:rsidRPr="00865B9A">
        <w:t xml:space="preserve"> completes internal quality assurance processes to ensure the NHCDC contains high-quality data that can be used to develop the </w:t>
      </w:r>
      <w:r w:rsidR="006245FB">
        <w:t>NEP</w:t>
      </w:r>
      <w:r w:rsidR="003C6C8E" w:rsidRPr="00865B9A">
        <w:t>. It has been identified that W</w:t>
      </w:r>
      <w:r w:rsidRPr="00865B9A">
        <w:t xml:space="preserve">A </w:t>
      </w:r>
      <w:r w:rsidR="003C6C8E" w:rsidRPr="00865B9A">
        <w:t>conduct</w:t>
      </w:r>
      <w:r w:rsidRPr="00865B9A">
        <w:t>s</w:t>
      </w:r>
      <w:r w:rsidR="003C6C8E" w:rsidRPr="00865B9A">
        <w:t xml:space="preserve"> several annual checks and assessments prior to a formal sign off by the Director General to ensure a robust costing submission to IHACPA.</w:t>
      </w:r>
    </w:p>
    <w:p w14:paraId="6F534BBA" w14:textId="26C0B9CE" w:rsidR="008553C5" w:rsidRDefault="003C6C8E" w:rsidP="003C6C8E">
      <w:r w:rsidRPr="00865B9A">
        <w:t xml:space="preserve">To ensure all in-scope cost have been included in the NHCDC 2022-23, a reconciliation review was completed between </w:t>
      </w:r>
      <w:r w:rsidR="006245FB">
        <w:t>WA’s</w:t>
      </w:r>
      <w:r w:rsidRPr="00865B9A">
        <w:t xml:space="preserve"> </w:t>
      </w:r>
      <w:r w:rsidR="006245FB">
        <w:t xml:space="preserve">GL </w:t>
      </w:r>
      <w:r w:rsidRPr="00865B9A">
        <w:t xml:space="preserve">and the costs submitted to IHACPA. </w:t>
      </w:r>
      <w:r w:rsidR="006245FB">
        <w:t xml:space="preserve">WA’s GL </w:t>
      </w:r>
      <w:r w:rsidRPr="00865B9A">
        <w:t>reconciles with the cost ledger as well as the costs submitted to IHACPA.</w:t>
      </w:r>
    </w:p>
    <w:p w14:paraId="32864AD9" w14:textId="77777777" w:rsidR="00224968" w:rsidRDefault="00224968">
      <w:pPr>
        <w:spacing w:line="259" w:lineRule="auto"/>
      </w:pPr>
      <w:r>
        <w:br w:type="page"/>
      </w:r>
    </w:p>
    <w:p w14:paraId="3D0166F4" w14:textId="6EB678A3" w:rsidR="00BD2562" w:rsidRPr="00BD2562" w:rsidRDefault="009A0432" w:rsidP="00A3367F">
      <w:pPr>
        <w:pStyle w:val="Heading2"/>
      </w:pPr>
      <w:bookmarkStart w:id="73" w:name="_Toc179296650"/>
      <w:r>
        <w:lastRenderedPageBreak/>
        <w:t>Tasmania</w:t>
      </w:r>
      <w:bookmarkStart w:id="74" w:name="_Toc153890176"/>
      <w:bookmarkEnd w:id="73"/>
    </w:p>
    <w:p w14:paraId="79D76DB0" w14:textId="2EDA42A0" w:rsidR="00BD2562" w:rsidRDefault="00BD2562" w:rsidP="00A3367F">
      <w:pPr>
        <w:pStyle w:val="Heading3"/>
      </w:pPr>
      <w:r>
        <w:t>Summary</w:t>
      </w:r>
    </w:p>
    <w:p w14:paraId="5897EAFA" w14:textId="60D6CE0D" w:rsidR="00BD2562" w:rsidRPr="00865B9A" w:rsidRDefault="00BD2562" w:rsidP="00BD2562">
      <w:r w:rsidRPr="00865B9A">
        <w:t>Tasmania submitted cost data from 24 hospitals (including health services) across one LHN with 1.12 million records and a cost of $2.74 billion in 2022-23.</w:t>
      </w:r>
    </w:p>
    <w:p w14:paraId="79BA4656" w14:textId="064AFF66" w:rsidR="00797C70" w:rsidRDefault="00797C70" w:rsidP="00797C70">
      <w:r w:rsidRPr="00E02029">
        <w:t xml:space="preserve">The review of </w:t>
      </w:r>
      <w:r>
        <w:t>Tasmania</w:t>
      </w:r>
      <w:r w:rsidRPr="00E02029">
        <w:t xml:space="preserve">’s costing and governance processes </w:t>
      </w:r>
      <w:r w:rsidRPr="00116959">
        <w:t>as detailed in their DQS 2022</w:t>
      </w:r>
      <w:r w:rsidR="00C94740">
        <w:noBreakHyphen/>
      </w:r>
      <w:r w:rsidRPr="00116959">
        <w:t xml:space="preserve">23, found that the costing frequency and systems </w:t>
      </w:r>
      <w:r>
        <w:t>remains</w:t>
      </w:r>
      <w:r w:rsidRPr="00116959">
        <w:t xml:space="preserve"> unchanged from </w:t>
      </w:r>
      <w:r>
        <w:t xml:space="preserve">Tasmania’s </w:t>
      </w:r>
      <w:r w:rsidRPr="00116959">
        <w:t>2021</w:t>
      </w:r>
      <w:r w:rsidR="00C94740">
        <w:noBreakHyphen/>
      </w:r>
      <w:r w:rsidRPr="00116959">
        <w:t>22</w:t>
      </w:r>
      <w:r>
        <w:t xml:space="preserve"> submission, </w:t>
      </w:r>
      <w:r w:rsidRPr="00116959">
        <w:t>as reported in their DQS 2021-22</w:t>
      </w:r>
      <w:r>
        <w:t>.</w:t>
      </w:r>
    </w:p>
    <w:p w14:paraId="0F4A4BBD" w14:textId="3D7F0404" w:rsidR="00C62354" w:rsidRPr="00865B9A" w:rsidRDefault="00C62354" w:rsidP="00092C30">
      <w:pPr>
        <w:pStyle w:val="ListLevel1"/>
        <w:numPr>
          <w:ilvl w:val="0"/>
          <w:numId w:val="0"/>
        </w:numPr>
        <w:contextualSpacing w:val="0"/>
      </w:pPr>
      <w:r w:rsidRPr="00865B9A">
        <w:t>Episodes submitted as part of the NHCDC decreased by 15</w:t>
      </w:r>
      <w:r w:rsidR="003643C9">
        <w:t>%</w:t>
      </w:r>
      <w:r w:rsidRPr="00865B9A">
        <w:t xml:space="preserve"> from previous year. The decrease is due to a reduction in outpatient appointments including COVID</w:t>
      </w:r>
      <w:r w:rsidR="00C94740">
        <w:noBreakHyphen/>
      </w:r>
      <w:r w:rsidRPr="00865B9A">
        <w:t>19 vaccinations and COVID</w:t>
      </w:r>
      <w:r w:rsidR="00C94740">
        <w:noBreakHyphen/>
      </w:r>
      <w:r w:rsidRPr="00865B9A">
        <w:t>19 diagnosis appointment.</w:t>
      </w:r>
    </w:p>
    <w:p w14:paraId="43FC508C" w14:textId="027A6620" w:rsidR="00BD2562" w:rsidRPr="00E96C8D" w:rsidRDefault="003A4201" w:rsidP="00A3367F">
      <w:pPr>
        <w:pStyle w:val="Heading3"/>
      </w:pPr>
      <w:r>
        <w:t xml:space="preserve">Applying </w:t>
      </w:r>
      <w:r w:rsidR="00826DE0">
        <w:t>the AHPCS</w:t>
      </w:r>
    </w:p>
    <w:p w14:paraId="31B8477D" w14:textId="1DEA4421" w:rsidR="0014443A" w:rsidRDefault="005D7DFA" w:rsidP="00895767">
      <w:r w:rsidRPr="00C94740">
        <w:t xml:space="preserve">Tasmanian Department of Health </w:t>
      </w:r>
      <w:r w:rsidR="00B83B58" w:rsidRPr="00C94740">
        <w:t>un</w:t>
      </w:r>
      <w:r w:rsidR="00DD5043" w:rsidRPr="00C94740">
        <w:t>der</w:t>
      </w:r>
      <w:r w:rsidR="00B83B58" w:rsidRPr="00C94740">
        <w:t>takes the costing within Tasmania</w:t>
      </w:r>
      <w:r w:rsidR="00DD5043" w:rsidRPr="00C94740">
        <w:t xml:space="preserve"> </w:t>
      </w:r>
      <w:r w:rsidR="00731D00" w:rsidRPr="00C94740">
        <w:t>this results in costing being consistent across the jurisdiction</w:t>
      </w:r>
      <w:r w:rsidR="00F57EEF" w:rsidRPr="00C94740">
        <w:t>.</w:t>
      </w:r>
      <w:r w:rsidR="00731D00" w:rsidRPr="00C94740">
        <w:t xml:space="preserve"> </w:t>
      </w:r>
      <w:r w:rsidR="00CE606F" w:rsidRPr="00C94740">
        <w:t xml:space="preserve">Tasmania </w:t>
      </w:r>
      <w:r w:rsidR="003C10AF" w:rsidRPr="00C94740">
        <w:t>reported that its compliance with the AHPCS is unchanged from the NHCDC 2021-22</w:t>
      </w:r>
      <w:r w:rsidR="00AE6A87" w:rsidRPr="00C94740">
        <w:t xml:space="preserve"> and </w:t>
      </w:r>
      <w:r w:rsidR="0033437A" w:rsidRPr="00C94740">
        <w:t xml:space="preserve">has reported partial compliance with </w:t>
      </w:r>
      <w:r w:rsidR="0036030C" w:rsidRPr="00C94740">
        <w:t>the following stages from the</w:t>
      </w:r>
      <w:r w:rsidR="0033437A" w:rsidRPr="00C94740">
        <w:t xml:space="preserve"> AHPCS.</w:t>
      </w:r>
    </w:p>
    <w:p w14:paraId="0D2D64BA" w14:textId="452FE3E8" w:rsidR="00B3403F" w:rsidRPr="003A4201" w:rsidRDefault="00B3403F" w:rsidP="0014443A">
      <w:pPr>
        <w:pStyle w:val="Heading4"/>
      </w:pPr>
      <w:r w:rsidRPr="003A4201">
        <w:t>Stage 1</w:t>
      </w:r>
      <w:r w:rsidR="006245FB">
        <w:t>: I</w:t>
      </w:r>
      <w:r w:rsidRPr="003A4201">
        <w:t xml:space="preserve">dentify </w:t>
      </w:r>
      <w:r w:rsidR="006245FB">
        <w:t>R</w:t>
      </w:r>
      <w:r w:rsidRPr="003A4201">
        <w:t xml:space="preserve">elevant </w:t>
      </w:r>
      <w:r w:rsidR="006245FB">
        <w:t>E</w:t>
      </w:r>
      <w:r w:rsidRPr="003A4201">
        <w:t>xpenses</w:t>
      </w:r>
    </w:p>
    <w:p w14:paraId="51FDD0C1" w14:textId="154A4BB9" w:rsidR="00BD2562" w:rsidRPr="00865B9A" w:rsidRDefault="00BD2562" w:rsidP="00BD2562">
      <w:r w:rsidRPr="00865B9A">
        <w:t xml:space="preserve">Tasmania reported full compliance with the </w:t>
      </w:r>
      <w:r w:rsidR="001D75AC">
        <w:t>S</w:t>
      </w:r>
      <w:r w:rsidRPr="00865B9A">
        <w:t xml:space="preserve">tandards in Stage 1 </w:t>
      </w:r>
      <w:r w:rsidR="00677415" w:rsidRPr="00865B9A">
        <w:t>of the costing process,</w:t>
      </w:r>
      <w:r w:rsidRPr="00865B9A">
        <w:t xml:space="preserve"> except for </w:t>
      </w:r>
      <w:r w:rsidR="006245FB">
        <w:t>S</w:t>
      </w:r>
      <w:r w:rsidRPr="00865B9A">
        <w:t>tandard 1.2</w:t>
      </w:r>
      <w:r w:rsidR="00053032">
        <w:t>,</w:t>
      </w:r>
      <w:r w:rsidRPr="00865B9A">
        <w:t xml:space="preserve"> reporting partial compliance. There are instances where third-party expenses were not clearly identified by the LHNs to the Tasmanian Department of Health’s costing team.</w:t>
      </w:r>
      <w:r w:rsidR="0033437A" w:rsidRPr="00865B9A">
        <w:t xml:space="preserve"> </w:t>
      </w:r>
      <w:r w:rsidR="00797C70" w:rsidRPr="00865B9A">
        <w:t>This remains unchanged from</w:t>
      </w:r>
      <w:r w:rsidR="00797C70">
        <w:t xml:space="preserve"> Tasmania’s 2021-22 submission, as reported in their DQS 2021</w:t>
      </w:r>
      <w:r w:rsidR="00C94740">
        <w:noBreakHyphen/>
      </w:r>
      <w:r w:rsidR="00797C70">
        <w:t>22.</w:t>
      </w:r>
    </w:p>
    <w:p w14:paraId="392087E7" w14:textId="6E571E04" w:rsidR="00797C70" w:rsidRDefault="00797C70" w:rsidP="00797C70">
      <w:r w:rsidRPr="009556DA">
        <w:t xml:space="preserve">Tasmania has reported that all contracted care services are included in the cost calculation to ensure accurate and comprehensive costing, </w:t>
      </w:r>
      <w:r w:rsidRPr="006C3A80">
        <w:t>however,</w:t>
      </w:r>
      <w:r w:rsidRPr="009556DA">
        <w:t xml:space="preserve"> there remains ongoing challenges due to the absence of patient</w:t>
      </w:r>
      <w:r w:rsidR="00BA7642">
        <w:t xml:space="preserve"> </w:t>
      </w:r>
      <w:r w:rsidRPr="009556DA">
        <w:t>level data, costs are distributed based on the contracted value, however there is a possibility of costs not reconciling due to the financial year boundary.</w:t>
      </w:r>
      <w:r>
        <w:t xml:space="preserve"> </w:t>
      </w:r>
      <w:r w:rsidRPr="00865B9A">
        <w:t>This remains unchanged from</w:t>
      </w:r>
      <w:r>
        <w:t xml:space="preserve"> Tasmania’s 2021-22 submission, as reported in their DQS 2021</w:t>
      </w:r>
      <w:r w:rsidR="00C94740" w:rsidDel="00771B74">
        <w:noBreakHyphen/>
      </w:r>
      <w:r>
        <w:t>22.</w:t>
      </w:r>
    </w:p>
    <w:p w14:paraId="6EB61713" w14:textId="5DA45720" w:rsidR="0084362D" w:rsidRDefault="00BC0C21" w:rsidP="00797C70">
      <w:r>
        <w:t>Patient transport is an ongoing area of an improvement for Tasmania. The costs associated with non-emergency patient transport provided by Tasmanian Ambulance are not captured in the NHCDC submission due to the absence of patient data until a patient is admitted to hospital. Tasmania has identified that further work and investigation is required to better understand ensure these costs are included and allocated.</w:t>
      </w:r>
    </w:p>
    <w:p w14:paraId="300A71B6" w14:textId="1BE79457" w:rsidR="00797C70" w:rsidRDefault="0084362D" w:rsidP="00797C70">
      <w:r>
        <w:t>Due to</w:t>
      </w:r>
      <w:r w:rsidR="00BC0C21">
        <w:t xml:space="preserve"> the change in cost bucket name from ‘patient travel’ to ‘patient transport’ in the AHPCS, Tasmania </w:t>
      </w:r>
      <w:r>
        <w:t xml:space="preserve">was required </w:t>
      </w:r>
      <w:r w:rsidR="00BC0C21">
        <w:t>to undertake significant reworking o</w:t>
      </w:r>
      <w:r>
        <w:t>f</w:t>
      </w:r>
      <w:r w:rsidR="00BC0C21">
        <w:t xml:space="preserve"> the transport costs across their GL</w:t>
      </w:r>
      <w:r>
        <w:t xml:space="preserve"> to ensure they were identified and included.</w:t>
      </w:r>
    </w:p>
    <w:p w14:paraId="5184C65A" w14:textId="07DFF8E1" w:rsidR="001536CF" w:rsidRDefault="001536CF" w:rsidP="001536CF">
      <w:pPr>
        <w:pStyle w:val="Heading4"/>
      </w:pPr>
      <w:r w:rsidRPr="00116959">
        <w:t>Stage 2</w:t>
      </w:r>
      <w:r w:rsidR="006245FB">
        <w:t>: C</w:t>
      </w:r>
      <w:r w:rsidRPr="00116959">
        <w:t xml:space="preserve">reate the </w:t>
      </w:r>
      <w:r w:rsidR="006245FB">
        <w:t>C</w:t>
      </w:r>
      <w:r w:rsidRPr="00116959">
        <w:t xml:space="preserve">ost </w:t>
      </w:r>
      <w:r w:rsidR="006245FB">
        <w:t>L</w:t>
      </w:r>
      <w:r w:rsidRPr="00116959">
        <w:t>edger</w:t>
      </w:r>
    </w:p>
    <w:p w14:paraId="2D9C8069" w14:textId="365B86A9" w:rsidR="00FC7BB4" w:rsidRDefault="00241624">
      <w:r>
        <w:t xml:space="preserve">Tasmania reported full compliance with </w:t>
      </w:r>
      <w:r w:rsidR="001D75AC">
        <w:t>S</w:t>
      </w:r>
      <w:r>
        <w:t xml:space="preserve">tage 2, </w:t>
      </w:r>
      <w:r w:rsidR="00FC7BB4">
        <w:t>ensuring c</w:t>
      </w:r>
      <w:r w:rsidR="00FC7BB4" w:rsidRPr="00BF4551">
        <w:t>orporate cost centres that provide a service to the LHN</w:t>
      </w:r>
      <w:r w:rsidR="00FC7BB4">
        <w:t xml:space="preserve"> are included and ensuring stakeholders are consulted to accurately allocate </w:t>
      </w:r>
      <w:r w:rsidR="00FC7BB4">
        <w:lastRenderedPageBreak/>
        <w:t>overhead cost centres to production cost centres.</w:t>
      </w:r>
      <w:r w:rsidR="00FC732C">
        <w:t xml:space="preserve"> The DQS outlines a </w:t>
      </w:r>
      <w:r w:rsidR="00B9290B">
        <w:t xml:space="preserve">consistent, standardised </w:t>
      </w:r>
      <w:r w:rsidR="00FC732C">
        <w:t>preference for matching</w:t>
      </w:r>
      <w:r w:rsidR="00B9290B">
        <w:t>.</w:t>
      </w:r>
    </w:p>
    <w:p w14:paraId="6DBA4B20" w14:textId="5C2A3A83" w:rsidR="001536CF" w:rsidRDefault="001536CF" w:rsidP="001536CF">
      <w:pPr>
        <w:pStyle w:val="Heading4"/>
      </w:pPr>
      <w:r w:rsidRPr="00116959">
        <w:t>Stage 3</w:t>
      </w:r>
      <w:r w:rsidR="006245FB">
        <w:t>: C</w:t>
      </w:r>
      <w:r w:rsidRPr="00116959">
        <w:t xml:space="preserve">reate </w:t>
      </w:r>
      <w:r w:rsidR="006245FB">
        <w:t>F</w:t>
      </w:r>
      <w:r w:rsidRPr="00116959">
        <w:t xml:space="preserve">inal </w:t>
      </w:r>
      <w:r w:rsidR="006245FB">
        <w:t>C</w:t>
      </w:r>
      <w:r w:rsidRPr="00116959">
        <w:t xml:space="preserve">ost </w:t>
      </w:r>
      <w:r w:rsidR="006245FB">
        <w:t>C</w:t>
      </w:r>
      <w:r w:rsidRPr="00116959">
        <w:t>entres</w:t>
      </w:r>
    </w:p>
    <w:p w14:paraId="25480CD8" w14:textId="5B139991" w:rsidR="00BA0979" w:rsidRPr="00BA0979" w:rsidRDefault="00BA0979" w:rsidP="006008CF">
      <w:r>
        <w:t xml:space="preserve">Tasmania reported full compliance with </w:t>
      </w:r>
      <w:r w:rsidR="006245FB">
        <w:t>S</w:t>
      </w:r>
      <w:r>
        <w:t>tage 3, create final cost centres. Tasmania has reported standard expenditure data processes regardless of the NHCDC 2022-23 submission, this allows for easier reconciliation. Any expenditure that does not form part of the Tasmania’s costing standards is allocated to a non-patient product and can be reported on internally. This process remains unchanged from Tasmania’s 2021-22 submission.</w:t>
      </w:r>
    </w:p>
    <w:p w14:paraId="1EE10210" w14:textId="3A8B1449" w:rsidR="001536CF" w:rsidRDefault="001536CF" w:rsidP="001536CF">
      <w:pPr>
        <w:pStyle w:val="Heading4"/>
      </w:pPr>
      <w:r w:rsidRPr="00116959">
        <w:t>Stage 4</w:t>
      </w:r>
      <w:r w:rsidR="006245FB">
        <w:t>: I</w:t>
      </w:r>
      <w:r w:rsidRPr="00116959">
        <w:t xml:space="preserve">dentify </w:t>
      </w:r>
      <w:r w:rsidR="006245FB">
        <w:t>P</w:t>
      </w:r>
      <w:r w:rsidRPr="00116959">
        <w:t>roducts</w:t>
      </w:r>
    </w:p>
    <w:p w14:paraId="3BCB8B96" w14:textId="0496152E" w:rsidR="001536CF" w:rsidRPr="006008CF" w:rsidRDefault="00241624" w:rsidP="00797C70">
      <w:pPr>
        <w:rPr>
          <w:color w:val="auto"/>
        </w:rPr>
      </w:pPr>
      <w:r>
        <w:t>Tasmania reported full compliance with</w:t>
      </w:r>
      <w:r w:rsidR="006245FB">
        <w:t xml:space="preserve"> S</w:t>
      </w:r>
      <w:r>
        <w:t xml:space="preserve">tage 4, identify products. </w:t>
      </w:r>
      <w:r w:rsidRPr="00266236">
        <w:rPr>
          <w:color w:val="auto"/>
        </w:rPr>
        <w:t>However, there are limitations in the ability to identify teaching and training expenses due to data quality issues, resulting in the exclusion of these expenses. There are also data quality issues regarding the linking of subacute, mental health (phase and episode level) and palliative care cost data with activity data.</w:t>
      </w:r>
      <w:r w:rsidR="00266236" w:rsidRPr="00266236">
        <w:t xml:space="preserve"> </w:t>
      </w:r>
      <w:r w:rsidR="00266236">
        <w:t>This remains unchanged from Tasmania’s 2021-22 submission, as reported in their DQS 2021</w:t>
      </w:r>
      <w:r w:rsidR="7A8D05A2">
        <w:t>-</w:t>
      </w:r>
      <w:r w:rsidR="00266236">
        <w:t>22.</w:t>
      </w:r>
    </w:p>
    <w:p w14:paraId="73456AA9" w14:textId="3716407D" w:rsidR="00647BFA" w:rsidRPr="00865B9A" w:rsidRDefault="00647BFA" w:rsidP="00A3367F">
      <w:pPr>
        <w:pStyle w:val="Heading4"/>
      </w:pPr>
      <w:r w:rsidRPr="00865B9A">
        <w:rPr>
          <w:rFonts w:eastAsiaTheme="minorHAnsi"/>
        </w:rPr>
        <w:t>Stage 5</w:t>
      </w:r>
      <w:r w:rsidR="0047262F">
        <w:rPr>
          <w:rFonts w:eastAsiaTheme="minorHAnsi"/>
        </w:rPr>
        <w:t>: A</w:t>
      </w:r>
      <w:r w:rsidRPr="00865B9A">
        <w:rPr>
          <w:rFonts w:eastAsiaTheme="minorHAnsi"/>
        </w:rPr>
        <w:t xml:space="preserve">ssign </w:t>
      </w:r>
      <w:r w:rsidR="0047262F">
        <w:rPr>
          <w:rFonts w:eastAsiaTheme="minorHAnsi"/>
        </w:rPr>
        <w:t>E</w:t>
      </w:r>
      <w:r w:rsidRPr="00865B9A">
        <w:rPr>
          <w:rFonts w:eastAsiaTheme="minorHAnsi"/>
        </w:rPr>
        <w:t xml:space="preserve">xpenses to </w:t>
      </w:r>
      <w:r w:rsidR="0047262F">
        <w:rPr>
          <w:rFonts w:eastAsiaTheme="minorHAnsi"/>
        </w:rPr>
        <w:t>P</w:t>
      </w:r>
      <w:r w:rsidRPr="00865B9A">
        <w:rPr>
          <w:rFonts w:eastAsiaTheme="minorHAnsi"/>
        </w:rPr>
        <w:t>roducts</w:t>
      </w:r>
    </w:p>
    <w:p w14:paraId="64681B14" w14:textId="56C5A6F2" w:rsidR="00C62354" w:rsidRPr="00865B9A" w:rsidRDefault="00C62354" w:rsidP="00BD2562">
      <w:pPr>
        <w:pStyle w:val="ListLevel1"/>
        <w:numPr>
          <w:ilvl w:val="0"/>
          <w:numId w:val="0"/>
        </w:numPr>
        <w:contextualSpacing w:val="0"/>
      </w:pPr>
      <w:r w:rsidRPr="00865B9A">
        <w:t xml:space="preserve">Tasmania </w:t>
      </w:r>
      <w:r w:rsidR="00C42E6E" w:rsidRPr="00865B9A">
        <w:t xml:space="preserve">reported full compliance with the </w:t>
      </w:r>
      <w:r w:rsidR="00AC547C">
        <w:t>S</w:t>
      </w:r>
      <w:r w:rsidR="00C42E6E" w:rsidRPr="00865B9A">
        <w:t>tandards in Stage 5</w:t>
      </w:r>
      <w:r w:rsidR="00053032">
        <w:t>,</w:t>
      </w:r>
      <w:r w:rsidR="00C42E6E" w:rsidRPr="00865B9A">
        <w:t xml:space="preserve"> however</w:t>
      </w:r>
      <w:r w:rsidR="00053032">
        <w:t>,</w:t>
      </w:r>
      <w:r w:rsidR="00C42E6E" w:rsidRPr="00865B9A">
        <w:t xml:space="preserve"> it </w:t>
      </w:r>
      <w:r w:rsidRPr="00865B9A">
        <w:t xml:space="preserve">has </w:t>
      </w:r>
      <w:r w:rsidR="00C42E6E" w:rsidRPr="00865B9A">
        <w:t xml:space="preserve">been </w:t>
      </w:r>
      <w:r w:rsidRPr="00865B9A">
        <w:t>identified that blood and pathology data from one of the four major hospitals could not be sourced</w:t>
      </w:r>
      <w:r w:rsidR="00E43658" w:rsidRPr="00865B9A">
        <w:t xml:space="preserve"> in 2022</w:t>
      </w:r>
      <w:r w:rsidR="00C94740">
        <w:noBreakHyphen/>
      </w:r>
      <w:r w:rsidR="00E43658" w:rsidRPr="00865B9A">
        <w:t>23</w:t>
      </w:r>
      <w:r w:rsidRPr="00865B9A">
        <w:t xml:space="preserve">. </w:t>
      </w:r>
      <w:r w:rsidR="00E43658" w:rsidRPr="00865B9A">
        <w:t>Therefore, s</w:t>
      </w:r>
      <w:r w:rsidRPr="00865B9A">
        <w:t xml:space="preserve">ervice weights based on the same AR-DRG at another hospital </w:t>
      </w:r>
      <w:r w:rsidR="00797C70">
        <w:t xml:space="preserve">in Tasmania </w:t>
      </w:r>
      <w:r w:rsidRPr="00865B9A">
        <w:t xml:space="preserve">was used to ensure consistency of service allocation across the </w:t>
      </w:r>
      <w:r w:rsidR="00E43658" w:rsidRPr="00865B9A">
        <w:t>jurisdiction</w:t>
      </w:r>
      <w:r w:rsidRPr="00865B9A">
        <w:t>.</w:t>
      </w:r>
    </w:p>
    <w:p w14:paraId="2990F95B" w14:textId="6BB4DFA9" w:rsidR="00771B74" w:rsidRPr="00865B9A" w:rsidRDefault="00771B74" w:rsidP="006008CF">
      <w:r w:rsidRPr="009556DA">
        <w:t xml:space="preserve">Tasmania has reported that all contracted care services are included in the cost calculation to ensure accurate and comprehensive costing, </w:t>
      </w:r>
      <w:r w:rsidRPr="006C3A80">
        <w:t>however,</w:t>
      </w:r>
      <w:r w:rsidRPr="009556DA">
        <w:t xml:space="preserve"> there remains ongoing challenges due to the absence of patient</w:t>
      </w:r>
      <w:r w:rsidR="00BA7642">
        <w:t xml:space="preserve"> </w:t>
      </w:r>
      <w:r w:rsidRPr="009556DA">
        <w:t>level data, costs are distributed based on the contracted value, however there is a possibility of costs not reconciling due to the financial year boundary.</w:t>
      </w:r>
      <w:r>
        <w:t xml:space="preserve"> </w:t>
      </w:r>
      <w:r w:rsidRPr="00865B9A">
        <w:t>This remains unchanged from</w:t>
      </w:r>
      <w:r>
        <w:t xml:space="preserve"> Tasmania’s 2021-22 submission, as reported in their DQS 2021</w:t>
      </w:r>
      <w:r w:rsidR="2734BC6D">
        <w:t>-</w:t>
      </w:r>
      <w:r>
        <w:t>22.</w:t>
      </w:r>
    </w:p>
    <w:p w14:paraId="6EC9024B" w14:textId="7F8F9284" w:rsidR="00BD2562" w:rsidRPr="00865B9A" w:rsidRDefault="00797C70" w:rsidP="00BD2562">
      <w:pPr>
        <w:pStyle w:val="ListLevel1"/>
        <w:numPr>
          <w:ilvl w:val="0"/>
          <w:numId w:val="0"/>
        </w:numPr>
      </w:pPr>
      <w:r>
        <w:t>It has been identified that</w:t>
      </w:r>
      <w:r w:rsidR="00E37D85" w:rsidRPr="00865B9A">
        <w:t xml:space="preserve"> </w:t>
      </w:r>
      <w:r w:rsidR="00BD2562" w:rsidRPr="00865B9A">
        <w:t>Tasmania’s home delivered outpatient services have not been fully captured in the past, some of these services were costed in other areas such as pharmacy, allied health</w:t>
      </w:r>
      <w:r w:rsidR="0014443A">
        <w:t>,</w:t>
      </w:r>
      <w:r w:rsidR="00BD2562" w:rsidRPr="00865B9A">
        <w:t xml:space="preserve"> or </w:t>
      </w:r>
      <w:r w:rsidR="0047262F">
        <w:t>ICU</w:t>
      </w:r>
      <w:r w:rsidR="00BD2562" w:rsidRPr="00865B9A">
        <w:t>. The Clinical Costing Unit have consulted internally and have align</w:t>
      </w:r>
      <w:r w:rsidR="00053032">
        <w:t>ed</w:t>
      </w:r>
      <w:r w:rsidR="00BD2562" w:rsidRPr="00865B9A">
        <w:t xml:space="preserve"> cost with the service </w:t>
      </w:r>
      <w:r w:rsidR="00014399" w:rsidRPr="00865B9A">
        <w:t>delivery;</w:t>
      </w:r>
      <w:r w:rsidR="00BD2562" w:rsidRPr="00865B9A">
        <w:t xml:space="preserve"> however</w:t>
      </w:r>
      <w:r w:rsidR="00053032">
        <w:t>,</w:t>
      </w:r>
      <w:r w:rsidR="00BD2562" w:rsidRPr="00865B9A">
        <w:t xml:space="preserve"> further work is required to accurately reflect the cost of the service.</w:t>
      </w:r>
    </w:p>
    <w:p w14:paraId="35B5D782" w14:textId="6699CC96" w:rsidR="00B3403F" w:rsidRPr="00865B9A" w:rsidRDefault="00B3403F" w:rsidP="00A3367F">
      <w:pPr>
        <w:pStyle w:val="Heading4"/>
      </w:pPr>
      <w:r w:rsidRPr="00865B9A">
        <w:t>Stage 6</w:t>
      </w:r>
      <w:r w:rsidR="0047262F">
        <w:t>: R</w:t>
      </w:r>
      <w:r w:rsidRPr="00865B9A">
        <w:t xml:space="preserve">eview and </w:t>
      </w:r>
      <w:r w:rsidR="0047262F">
        <w:t>R</w:t>
      </w:r>
      <w:r w:rsidRPr="00865B9A">
        <w:t>econcile</w:t>
      </w:r>
    </w:p>
    <w:p w14:paraId="68E86F52" w14:textId="07757F1C" w:rsidR="00BD2562" w:rsidRPr="00865B9A" w:rsidRDefault="00BD2562" w:rsidP="00BD2562">
      <w:r w:rsidRPr="00865B9A">
        <w:t xml:space="preserve">Tasmania </w:t>
      </w:r>
      <w:r w:rsidR="002624D8" w:rsidRPr="00865B9A">
        <w:t xml:space="preserve">reported </w:t>
      </w:r>
      <w:r w:rsidR="00C62354" w:rsidRPr="00865B9A">
        <w:t>partial</w:t>
      </w:r>
      <w:r w:rsidR="002624D8" w:rsidRPr="00865B9A">
        <w:t xml:space="preserve"> compliance </w:t>
      </w:r>
      <w:r w:rsidR="00AC547C">
        <w:t>to</w:t>
      </w:r>
      <w:r w:rsidR="00AC547C" w:rsidRPr="00865B9A">
        <w:t xml:space="preserve"> </w:t>
      </w:r>
      <w:r w:rsidR="00C62354" w:rsidRPr="00865B9A">
        <w:t>S</w:t>
      </w:r>
      <w:r w:rsidR="002624D8" w:rsidRPr="00865B9A">
        <w:t>tandard 6</w:t>
      </w:r>
      <w:r w:rsidR="00C62354" w:rsidRPr="00865B9A">
        <w:t>.1</w:t>
      </w:r>
      <w:r w:rsidR="00C53405" w:rsidRPr="00865B9A">
        <w:t xml:space="preserve"> </w:t>
      </w:r>
      <w:r w:rsidR="006A16B7" w:rsidRPr="00865B9A">
        <w:t xml:space="preserve">of the costing process, </w:t>
      </w:r>
      <w:r w:rsidR="00C62354" w:rsidRPr="00865B9A">
        <w:t>but full complian</w:t>
      </w:r>
      <w:r w:rsidR="00053032">
        <w:t>ce</w:t>
      </w:r>
      <w:r w:rsidR="00C62354" w:rsidRPr="00865B9A">
        <w:t xml:space="preserve"> with Standard 6.2</w:t>
      </w:r>
      <w:r w:rsidRPr="00865B9A">
        <w:t xml:space="preserve">. </w:t>
      </w:r>
      <w:r w:rsidR="00C62354" w:rsidRPr="00865B9A">
        <w:t xml:space="preserve">While a robust data quality framework is in place, there is minimal independent assurance of the cost data and no formal auditing. Tasmania has identified that further work in this area is </w:t>
      </w:r>
      <w:r w:rsidR="00C53405" w:rsidRPr="00865B9A">
        <w:t xml:space="preserve">required. </w:t>
      </w:r>
      <w:r w:rsidR="00797C70" w:rsidRPr="00144981">
        <w:t>This remains unchanged from Tasmania’s 2021-22 submission, as reported in their DQS 2021-22.</w:t>
      </w:r>
    </w:p>
    <w:p w14:paraId="380385D7" w14:textId="3AC03D6F" w:rsidR="00BD2562" w:rsidRPr="00865B9A" w:rsidRDefault="00BD2562" w:rsidP="00BD2562">
      <w:r w:rsidRPr="00865B9A">
        <w:t xml:space="preserve">The Tasmanian Department of Health completes patient costing annually. Due to the size of Tasmania’s </w:t>
      </w:r>
      <w:r w:rsidR="002624D8" w:rsidRPr="00865B9A">
        <w:t>Clinical Costing Unit</w:t>
      </w:r>
      <w:r w:rsidRPr="00865B9A">
        <w:t xml:space="preserve">, the Department performs the functions of a </w:t>
      </w:r>
      <w:r w:rsidR="00AC45E1">
        <w:t>LHN</w:t>
      </w:r>
      <w:r w:rsidR="002624D8" w:rsidRPr="00865B9A">
        <w:t xml:space="preserve"> and jurisdiction, this results in costing being consistent across the jurisdiction with minor regional difference.</w:t>
      </w:r>
    </w:p>
    <w:p w14:paraId="7A3255E7" w14:textId="61C00F72" w:rsidR="00BD2562" w:rsidRPr="00865B9A" w:rsidRDefault="00BD2562" w:rsidP="006008CF">
      <w:r w:rsidRPr="00865B9A">
        <w:lastRenderedPageBreak/>
        <w:t>Tasmania completes internal quality assurance processes to ensure the NHCDC contains high</w:t>
      </w:r>
      <w:r w:rsidR="00C94740">
        <w:noBreakHyphen/>
      </w:r>
      <w:r w:rsidRPr="00865B9A">
        <w:t xml:space="preserve">quality data that can be used to develop the </w:t>
      </w:r>
      <w:r w:rsidR="00AC45E1">
        <w:t>NEP</w:t>
      </w:r>
      <w:r w:rsidRPr="00865B9A">
        <w:t xml:space="preserve">. The </w:t>
      </w:r>
      <w:r w:rsidR="00493DF4" w:rsidRPr="00865B9A">
        <w:t xml:space="preserve">quality assurance </w:t>
      </w:r>
      <w:r w:rsidRPr="00865B9A">
        <w:t>process includes annual review of activity data with source feeder systems, trend analysis and a consultation and governance process overlaying the costing process. It is noted Tasmania maintains no local costing guidelines. It has been identified that Tasmania conducted several annual checks and assessments prior to a formal sign off by the Associate Secretary to ensure a robust costing submission to IHACPA.</w:t>
      </w:r>
    </w:p>
    <w:p w14:paraId="78168616" w14:textId="22B98481" w:rsidR="00BD2562" w:rsidRDefault="00BD2562" w:rsidP="006008CF">
      <w:r w:rsidRPr="00865B9A">
        <w:t xml:space="preserve">To ensure all in-scope cost have been included in the NHCDC 2022-23, a reconciliation review was completed between Tasmania’s </w:t>
      </w:r>
      <w:r w:rsidR="00AC45E1">
        <w:t>GL</w:t>
      </w:r>
      <w:r w:rsidRPr="00865B9A">
        <w:t xml:space="preserve"> and the costs submitted to IHACPA. Tasmania’s </w:t>
      </w:r>
      <w:r w:rsidR="00AC45E1">
        <w:t xml:space="preserve">GL </w:t>
      </w:r>
      <w:r w:rsidRPr="00865B9A">
        <w:t>reconciles with the cost ledger as well as the costs submitted to IHACPA.</w:t>
      </w:r>
    </w:p>
    <w:p w14:paraId="223D0EF9" w14:textId="41E52D38" w:rsidR="007A3A23" w:rsidRDefault="00806ED1" w:rsidP="003A4201">
      <w:pPr>
        <w:spacing w:line="259" w:lineRule="auto"/>
      </w:pPr>
      <w:r>
        <w:br w:type="page"/>
      </w:r>
    </w:p>
    <w:p w14:paraId="2E97198D" w14:textId="3EFF71DD" w:rsidR="002920B4" w:rsidRDefault="009A0432" w:rsidP="00A3367F">
      <w:pPr>
        <w:pStyle w:val="Heading2"/>
      </w:pPr>
      <w:bookmarkStart w:id="75" w:name="_Toc179296651"/>
      <w:r>
        <w:lastRenderedPageBreak/>
        <w:t>Northe</w:t>
      </w:r>
      <w:r w:rsidR="006660E4">
        <w:t>r</w:t>
      </w:r>
      <w:r>
        <w:t>n Territory</w:t>
      </w:r>
      <w:bookmarkEnd w:id="75"/>
    </w:p>
    <w:p w14:paraId="4782BDFE" w14:textId="77777777" w:rsidR="009F0220" w:rsidRDefault="009F0220" w:rsidP="00A3367F">
      <w:pPr>
        <w:pStyle w:val="Heading3"/>
      </w:pPr>
      <w:r>
        <w:t>Summary</w:t>
      </w:r>
    </w:p>
    <w:p w14:paraId="2566006F" w14:textId="1A8973A5" w:rsidR="00DB1034" w:rsidRPr="003A4201" w:rsidRDefault="00530B92" w:rsidP="00530B92">
      <w:r w:rsidRPr="003A4201">
        <w:t xml:space="preserve">The Northern Territory </w:t>
      </w:r>
      <w:r w:rsidR="00344D59" w:rsidRPr="003A4201">
        <w:t>(NT)</w:t>
      </w:r>
      <w:r w:rsidRPr="003A4201">
        <w:t xml:space="preserve"> submitted cost data from 6 hospitals (including health services) with 0.7 million records and a cost of $1.</w:t>
      </w:r>
      <w:r w:rsidR="00DB1034" w:rsidRPr="003A4201">
        <w:t>4</w:t>
      </w:r>
      <w:r w:rsidRPr="003A4201">
        <w:t xml:space="preserve"> billion in </w:t>
      </w:r>
      <w:r w:rsidR="00DB1034" w:rsidRPr="003A4201">
        <w:t>2022-23</w:t>
      </w:r>
      <w:r w:rsidRPr="003A4201">
        <w:t>.</w:t>
      </w:r>
    </w:p>
    <w:p w14:paraId="4BFD91DC" w14:textId="174B7ECE" w:rsidR="006B56AD" w:rsidRDefault="006B56AD" w:rsidP="00530B92">
      <w:r w:rsidRPr="006B56AD">
        <w:t xml:space="preserve">NT </w:t>
      </w:r>
      <w:r w:rsidR="002E71EC">
        <w:t xml:space="preserve">Department of </w:t>
      </w:r>
      <w:r w:rsidRPr="006B56AD">
        <w:t xml:space="preserve">Health are </w:t>
      </w:r>
      <w:r w:rsidR="00D96FF9">
        <w:t>in the process of</w:t>
      </w:r>
      <w:r w:rsidRPr="006B56AD">
        <w:t xml:space="preserve"> replacing the current clinical administration system across the jurisdiction</w:t>
      </w:r>
      <w:r w:rsidR="00D96FF9">
        <w:t xml:space="preserve"> </w:t>
      </w:r>
      <w:r w:rsidR="005D6523">
        <w:t xml:space="preserve">which resulted in a </w:t>
      </w:r>
      <w:r w:rsidRPr="006B56AD">
        <w:t xml:space="preserve">delayed </w:t>
      </w:r>
      <w:r w:rsidR="005D6523">
        <w:t xml:space="preserve">in </w:t>
      </w:r>
      <w:r w:rsidRPr="006B56AD">
        <w:t xml:space="preserve">the NHCDC </w:t>
      </w:r>
      <w:r w:rsidR="00D96FF9">
        <w:t xml:space="preserve">submission </w:t>
      </w:r>
      <w:r w:rsidRPr="006B56AD">
        <w:t>this year. The implementation</w:t>
      </w:r>
      <w:r w:rsidR="003F0313">
        <w:t xml:space="preserve"> and build of the data warehouse</w:t>
      </w:r>
      <w:r w:rsidRPr="006B56AD">
        <w:t xml:space="preserve"> </w:t>
      </w:r>
      <w:proofErr w:type="gramStart"/>
      <w:r w:rsidR="00D96FF9">
        <w:t>is</w:t>
      </w:r>
      <w:proofErr w:type="gramEnd"/>
      <w:r w:rsidR="00D96FF9">
        <w:t xml:space="preserve"> not</w:t>
      </w:r>
      <w:r w:rsidRPr="006B56AD">
        <w:t xml:space="preserve"> complete</w:t>
      </w:r>
      <w:r w:rsidR="003F0313">
        <w:t xml:space="preserve"> and NT expect </w:t>
      </w:r>
      <w:r w:rsidRPr="006B56AD">
        <w:t xml:space="preserve">that there will be further delays </w:t>
      </w:r>
      <w:r w:rsidR="003F0313">
        <w:t>for the NHCDC 2023-24.</w:t>
      </w:r>
    </w:p>
    <w:p w14:paraId="4FFAA6C1" w14:textId="419A1815" w:rsidR="00531978" w:rsidRDefault="003F0313" w:rsidP="00530B92">
      <w:r>
        <w:t>C</w:t>
      </w:r>
      <w:r w:rsidR="00DE029B" w:rsidRPr="00DE029B">
        <w:t xml:space="preserve">osting is </w:t>
      </w:r>
      <w:r>
        <w:t>completed by</w:t>
      </w:r>
      <w:r w:rsidR="00DE029B" w:rsidRPr="00DE029B">
        <w:t xml:space="preserve"> one team </w:t>
      </w:r>
      <w:r>
        <w:t>in</w:t>
      </w:r>
      <w:r w:rsidR="00DE029B" w:rsidRPr="00DE029B">
        <w:t xml:space="preserve"> NT </w:t>
      </w:r>
      <w:r w:rsidR="00300E2C">
        <w:t xml:space="preserve">Department of </w:t>
      </w:r>
      <w:r w:rsidR="00DE029B" w:rsidRPr="00DE029B">
        <w:t>Health,</w:t>
      </w:r>
      <w:r w:rsidR="00DE029B">
        <w:t xml:space="preserve"> completing</w:t>
      </w:r>
      <w:r w:rsidR="00531978" w:rsidRPr="00531978">
        <w:t xml:space="preserve"> costing at the hospital level applying a consistent methodology across all facilities that is compliant with the national costing standards and guidelines.</w:t>
      </w:r>
      <w:r w:rsidR="000F57BE">
        <w:t xml:space="preserve"> This process </w:t>
      </w:r>
      <w:r w:rsidR="000A605A">
        <w:t>remains</w:t>
      </w:r>
      <w:r w:rsidR="000F57BE">
        <w:t xml:space="preserve"> the same </w:t>
      </w:r>
      <w:r w:rsidR="003338D3">
        <w:t>as previous submissions.</w:t>
      </w:r>
    </w:p>
    <w:p w14:paraId="28D06ACB" w14:textId="63142FD4" w:rsidR="009F0220" w:rsidRDefault="003A4201" w:rsidP="00A3367F">
      <w:pPr>
        <w:pStyle w:val="Heading3"/>
      </w:pPr>
      <w:r>
        <w:t xml:space="preserve">Applying </w:t>
      </w:r>
      <w:r w:rsidR="000532D7">
        <w:t>the AHPCS</w:t>
      </w:r>
    </w:p>
    <w:p w14:paraId="08A320FD" w14:textId="4F9ABF56" w:rsidR="0073777B" w:rsidRDefault="0073777B" w:rsidP="0073777B">
      <w:r>
        <w:t>NT</w:t>
      </w:r>
      <w:r w:rsidRPr="00C94740">
        <w:t xml:space="preserve"> reported that its compliance with the AHPCS is unchanged from the NHCDC 2021-22 and has reported partial compliance with the following stages from the AHPCS.</w:t>
      </w:r>
    </w:p>
    <w:p w14:paraId="5E9DAB8F" w14:textId="21A482EA" w:rsidR="009F0220" w:rsidRDefault="009F0220" w:rsidP="00A3367F">
      <w:pPr>
        <w:pStyle w:val="Heading4"/>
        <w:rPr>
          <w:rFonts w:eastAsiaTheme="minorHAnsi"/>
        </w:rPr>
      </w:pPr>
      <w:r w:rsidRPr="00865B9A">
        <w:rPr>
          <w:rFonts w:eastAsiaTheme="minorHAnsi"/>
        </w:rPr>
        <w:t>Stage 1</w:t>
      </w:r>
      <w:r w:rsidR="00AC45E1">
        <w:rPr>
          <w:rFonts w:eastAsiaTheme="minorHAnsi"/>
        </w:rPr>
        <w:t>: I</w:t>
      </w:r>
      <w:r w:rsidRPr="00865B9A">
        <w:rPr>
          <w:rFonts w:eastAsiaTheme="minorHAnsi"/>
        </w:rPr>
        <w:t xml:space="preserve">dentify </w:t>
      </w:r>
      <w:r w:rsidR="00AC45E1">
        <w:rPr>
          <w:rFonts w:eastAsiaTheme="minorHAnsi"/>
        </w:rPr>
        <w:t>R</w:t>
      </w:r>
      <w:r w:rsidRPr="00865B9A">
        <w:rPr>
          <w:rFonts w:eastAsiaTheme="minorHAnsi"/>
        </w:rPr>
        <w:t xml:space="preserve">elevant </w:t>
      </w:r>
      <w:r w:rsidR="00AC45E1">
        <w:rPr>
          <w:rFonts w:eastAsiaTheme="minorHAnsi"/>
        </w:rPr>
        <w:t>E</w:t>
      </w:r>
      <w:r w:rsidRPr="00865B9A">
        <w:rPr>
          <w:rFonts w:eastAsiaTheme="minorHAnsi"/>
        </w:rPr>
        <w:t>xpenses</w:t>
      </w:r>
    </w:p>
    <w:p w14:paraId="716CAC91" w14:textId="72956019" w:rsidR="00A07B1D" w:rsidRDefault="00344D59" w:rsidP="003A4201">
      <w:r>
        <w:t>NT</w:t>
      </w:r>
      <w:r w:rsidRPr="00344D59">
        <w:t xml:space="preserve"> reported </w:t>
      </w:r>
      <w:r w:rsidR="001B391D">
        <w:t xml:space="preserve">partial </w:t>
      </w:r>
      <w:r w:rsidR="00392E81">
        <w:t>compliance</w:t>
      </w:r>
      <w:r w:rsidRPr="00344D59">
        <w:t xml:space="preserve"> to the </w:t>
      </w:r>
      <w:r w:rsidR="001D75AC">
        <w:t>Standards</w:t>
      </w:r>
      <w:r w:rsidRPr="00344D59">
        <w:t xml:space="preserve"> in Stage 1</w:t>
      </w:r>
      <w:r>
        <w:t>,</w:t>
      </w:r>
      <w:r w:rsidR="0080150B">
        <w:t xml:space="preserve"> identity relevant expenses,</w:t>
      </w:r>
      <w:r>
        <w:t xml:space="preserve"> </w:t>
      </w:r>
      <w:r w:rsidR="00563A33">
        <w:t xml:space="preserve">including medical costs reported in the </w:t>
      </w:r>
      <w:r w:rsidR="00AC45E1">
        <w:t>GL</w:t>
      </w:r>
      <w:r w:rsidR="00234ADC">
        <w:t>,</w:t>
      </w:r>
      <w:r w:rsidR="001B391D">
        <w:t xml:space="preserve"> </w:t>
      </w:r>
      <w:r w:rsidR="00A07B1D">
        <w:t xml:space="preserve">as </w:t>
      </w:r>
      <w:r w:rsidR="00234ADC">
        <w:t>expenses that sit outside financial accounts</w:t>
      </w:r>
      <w:r w:rsidR="00BE328A">
        <w:t xml:space="preserve"> (third</w:t>
      </w:r>
      <w:r w:rsidR="001536CF">
        <w:noBreakHyphen/>
      </w:r>
      <w:r w:rsidR="00BE328A">
        <w:t>party expenses)</w:t>
      </w:r>
      <w:r w:rsidR="00A07B1D">
        <w:t xml:space="preserve"> are not included</w:t>
      </w:r>
      <w:r w:rsidR="00234ADC">
        <w:t>. There is ongoing work to include these costs in future submissions.</w:t>
      </w:r>
      <w:r w:rsidR="0014443A">
        <w:t xml:space="preserve"> </w:t>
      </w:r>
      <w:r w:rsidR="00A07B1D" w:rsidRPr="00144981">
        <w:t xml:space="preserve">This remains unchanged from </w:t>
      </w:r>
      <w:r w:rsidR="00A07B1D">
        <w:t>NT</w:t>
      </w:r>
      <w:r w:rsidR="00A07B1D" w:rsidRPr="00144981">
        <w:t>’s 2021-22 submission, as reported in their DQS 2021-22.</w:t>
      </w:r>
    </w:p>
    <w:p w14:paraId="253310A1" w14:textId="73BA380C" w:rsidR="001536CF" w:rsidRDefault="00BC0C21" w:rsidP="00B178EB">
      <w:pPr>
        <w:pStyle w:val="Heading4"/>
        <w:tabs>
          <w:tab w:val="left" w:pos="4027"/>
        </w:tabs>
      </w:pPr>
      <w:r w:rsidRPr="00116959">
        <w:t xml:space="preserve">Stage </w:t>
      </w:r>
      <w:r w:rsidR="0014443A">
        <w:t>2</w:t>
      </w:r>
      <w:r w:rsidR="00AC45E1">
        <w:t>: C</w:t>
      </w:r>
      <w:r w:rsidR="0014443A" w:rsidRPr="00116959">
        <w:t xml:space="preserve">reate the </w:t>
      </w:r>
      <w:r w:rsidR="00AC45E1">
        <w:t>C</w:t>
      </w:r>
      <w:r w:rsidR="0014443A" w:rsidRPr="00116959">
        <w:t xml:space="preserve">ost </w:t>
      </w:r>
      <w:r w:rsidR="00AC45E1">
        <w:t>L</w:t>
      </w:r>
      <w:r w:rsidR="0014443A" w:rsidRPr="00116959">
        <w:t>edger</w:t>
      </w:r>
    </w:p>
    <w:p w14:paraId="2D9D51E4" w14:textId="2F42168E" w:rsidR="00B178EB" w:rsidRPr="00B178EB" w:rsidRDefault="00AC45E1" w:rsidP="006008CF">
      <w:r>
        <w:t>NT</w:t>
      </w:r>
      <w:r w:rsidR="00B178EB">
        <w:t xml:space="preserve"> has a robust approach to Stage 2</w:t>
      </w:r>
      <w:r w:rsidR="002C2AB9">
        <w:t>,</w:t>
      </w:r>
      <w:r w:rsidR="00B178EB">
        <w:t xml:space="preserve"> </w:t>
      </w:r>
      <w:r w:rsidR="002C2AB9">
        <w:t>c</w:t>
      </w:r>
      <w:r w:rsidR="00B178EB">
        <w:t xml:space="preserve">reate </w:t>
      </w:r>
      <w:r w:rsidR="002C2AB9">
        <w:t>t</w:t>
      </w:r>
      <w:r w:rsidR="00B178EB">
        <w:t xml:space="preserve">he </w:t>
      </w:r>
      <w:r w:rsidR="002C2AB9">
        <w:t>c</w:t>
      </w:r>
      <w:r w:rsidR="00B178EB">
        <w:t xml:space="preserve">ost ledger, ensuring the organisation’s </w:t>
      </w:r>
      <w:r>
        <w:t>GL</w:t>
      </w:r>
      <w:r w:rsidR="00B178EB">
        <w:t xml:space="preserve"> is transformed into a structured financial statement that enables product costing. F</w:t>
      </w:r>
      <w:r w:rsidR="00B178EB" w:rsidRPr="00B178EB">
        <w:t>inancial, clinical and activity information</w:t>
      </w:r>
      <w:r w:rsidR="00B178EB">
        <w:t xml:space="preserve"> is extracted and </w:t>
      </w:r>
      <w:r w:rsidR="00B178EB" w:rsidRPr="00B178EB">
        <w:t xml:space="preserve">loaded </w:t>
      </w:r>
      <w:r w:rsidR="00B178EB">
        <w:t>in</w:t>
      </w:r>
      <w:r w:rsidR="00B178EB" w:rsidRPr="00B178EB">
        <w:t xml:space="preserve">to </w:t>
      </w:r>
      <w:r w:rsidR="00B178EB">
        <w:t xml:space="preserve">the clinical costing software </w:t>
      </w:r>
      <w:r w:rsidR="00B178EB" w:rsidRPr="00B178EB">
        <w:t>PPM</w:t>
      </w:r>
      <w:r w:rsidR="00B178EB">
        <w:t xml:space="preserve">. NT has an extensive </w:t>
      </w:r>
      <w:r w:rsidR="00B178EB" w:rsidRPr="00B178EB">
        <w:t xml:space="preserve">engagement process </w:t>
      </w:r>
      <w:r w:rsidR="00F92CCD">
        <w:t>that drives any changes to</w:t>
      </w:r>
      <w:r w:rsidR="00B178EB" w:rsidRPr="00B178EB">
        <w:t xml:space="preserve"> RVUs, linking of activity to areas, financial modelling</w:t>
      </w:r>
      <w:r w:rsidR="00F92CCD">
        <w:t>,</w:t>
      </w:r>
      <w:r w:rsidR="00B178EB" w:rsidRPr="00B178EB">
        <w:t xml:space="preserve"> and reclassification of journals</w:t>
      </w:r>
      <w:r w:rsidR="00765052">
        <w:t xml:space="preserve">, to ensure </w:t>
      </w:r>
      <w:r w:rsidR="00710A78">
        <w:t>a consistent, defensible approach is applied.</w:t>
      </w:r>
    </w:p>
    <w:p w14:paraId="33EBADE5" w14:textId="21EA6931" w:rsidR="00BC0C21" w:rsidRPr="00BC0C21" w:rsidRDefault="001536CF" w:rsidP="00BC0C21">
      <w:pPr>
        <w:pStyle w:val="Heading4"/>
      </w:pPr>
      <w:r w:rsidRPr="00116959">
        <w:t>Stage 3</w:t>
      </w:r>
      <w:r w:rsidR="00AC45E1">
        <w:t>: C</w:t>
      </w:r>
      <w:r w:rsidR="00BC0C21" w:rsidRPr="00116959">
        <w:t xml:space="preserve">reate </w:t>
      </w:r>
      <w:r w:rsidR="00AC45E1">
        <w:t>F</w:t>
      </w:r>
      <w:r w:rsidR="00BC0C21" w:rsidRPr="00116959">
        <w:t xml:space="preserve">inal </w:t>
      </w:r>
      <w:r w:rsidR="00AC45E1">
        <w:t>C</w:t>
      </w:r>
      <w:r w:rsidR="00BC0C21" w:rsidRPr="00116959">
        <w:t xml:space="preserve">ost </w:t>
      </w:r>
      <w:r w:rsidR="00AC45E1">
        <w:t>C</w:t>
      </w:r>
      <w:r w:rsidR="00BC0C21" w:rsidRPr="00116959">
        <w:t>entres</w:t>
      </w:r>
    </w:p>
    <w:p w14:paraId="1B559C96" w14:textId="0F7DED60" w:rsidR="004D38F2" w:rsidRDefault="0079031E" w:rsidP="00895767">
      <w:r w:rsidRPr="00F14732">
        <w:t xml:space="preserve">NT reported </w:t>
      </w:r>
      <w:r w:rsidR="00A07B1D">
        <w:t>compliance</w:t>
      </w:r>
      <w:r w:rsidRPr="00F14732">
        <w:t xml:space="preserve"> to </w:t>
      </w:r>
      <w:r w:rsidR="001D75AC">
        <w:t>the S</w:t>
      </w:r>
      <w:r w:rsidR="00241624">
        <w:t>tandards</w:t>
      </w:r>
      <w:r w:rsidRPr="00F14732">
        <w:t xml:space="preserve"> </w:t>
      </w:r>
      <w:r w:rsidR="00AC45E1">
        <w:t xml:space="preserve">in </w:t>
      </w:r>
      <w:r w:rsidRPr="00F14732">
        <w:t>Stage 3</w:t>
      </w:r>
      <w:r w:rsidR="00241624">
        <w:t>, create final cost centre</w:t>
      </w:r>
      <w:r w:rsidR="0039394E" w:rsidRPr="003A4201">
        <w:t xml:space="preserve">. </w:t>
      </w:r>
      <w:r w:rsidR="002C6E2A">
        <w:t xml:space="preserve">It should be noted that </w:t>
      </w:r>
      <w:r w:rsidR="0039394E" w:rsidRPr="003A4201">
        <w:t xml:space="preserve">NT </w:t>
      </w:r>
      <w:r w:rsidR="004D38F2" w:rsidRPr="003A4201">
        <w:t>does</w:t>
      </w:r>
      <w:r w:rsidR="00964C24" w:rsidRPr="003A4201">
        <w:t xml:space="preserve"> </w:t>
      </w:r>
      <w:r w:rsidR="00964C24" w:rsidRPr="000A2AB2">
        <w:t xml:space="preserve">not </w:t>
      </w:r>
      <w:r w:rsidR="004D38F2" w:rsidRPr="003A4201">
        <w:t xml:space="preserve">implement </w:t>
      </w:r>
      <w:r w:rsidR="00964C24" w:rsidRPr="00F14732">
        <w:t>costing guidelines</w:t>
      </w:r>
      <w:r w:rsidR="002E71EC">
        <w:t xml:space="preserve"> for t</w:t>
      </w:r>
      <w:r w:rsidR="002E71EC" w:rsidRPr="003A4201">
        <w:t>eaching and training</w:t>
      </w:r>
      <w:r w:rsidR="002E71EC">
        <w:t>, r</w:t>
      </w:r>
      <w:r w:rsidR="002E71EC" w:rsidRPr="003A4201">
        <w:t>esearch</w:t>
      </w:r>
      <w:r w:rsidR="002E71EC">
        <w:t>, p</w:t>
      </w:r>
      <w:r w:rsidR="002E71EC" w:rsidRPr="003A4201">
        <w:t>osthumous organ donation</w:t>
      </w:r>
      <w:r w:rsidR="002E71EC">
        <w:t xml:space="preserve"> and m</w:t>
      </w:r>
      <w:r w:rsidR="002E71EC" w:rsidRPr="003A4201">
        <w:t xml:space="preserve">ental </w:t>
      </w:r>
      <w:r w:rsidR="002E71EC">
        <w:t>h</w:t>
      </w:r>
      <w:r w:rsidR="002E71EC" w:rsidRPr="003A4201">
        <w:t xml:space="preserve">ealth </w:t>
      </w:r>
      <w:r w:rsidR="002E71EC">
        <w:t>s</w:t>
      </w:r>
      <w:r w:rsidR="002E71EC" w:rsidRPr="003A4201">
        <w:t>ervices</w:t>
      </w:r>
      <w:r w:rsidR="002E71EC">
        <w:t>,</w:t>
      </w:r>
      <w:r w:rsidR="00964C24" w:rsidRPr="00F14732">
        <w:t xml:space="preserve"> as these are not practicable to implement due to system and data limitations, noting that the principles in the Standards have been followed to allocate costs appropriately</w:t>
      </w:r>
      <w:r w:rsidR="00C94740">
        <w:t xml:space="preserve">. </w:t>
      </w:r>
      <w:r w:rsidR="005325C4" w:rsidRPr="00144981">
        <w:t xml:space="preserve">This remains unchanged from </w:t>
      </w:r>
      <w:r w:rsidR="005325C4">
        <w:t>NT</w:t>
      </w:r>
      <w:r w:rsidR="005325C4" w:rsidRPr="00144981">
        <w:t>’s 2021-22 submission, as reported in their DQS 2021-22.</w:t>
      </w:r>
    </w:p>
    <w:p w14:paraId="581B4C8A" w14:textId="20B23B29" w:rsidR="009F0220" w:rsidRPr="00865B9A" w:rsidRDefault="009F0220" w:rsidP="00A3367F">
      <w:pPr>
        <w:pStyle w:val="Heading4"/>
      </w:pPr>
      <w:r w:rsidRPr="00865B9A">
        <w:lastRenderedPageBreak/>
        <w:t>Stage 4</w:t>
      </w:r>
      <w:r w:rsidR="00AC45E1">
        <w:t>: A</w:t>
      </w:r>
      <w:r w:rsidRPr="00865B9A">
        <w:t xml:space="preserve">ssign </w:t>
      </w:r>
      <w:r w:rsidR="00AC45E1">
        <w:t>E</w:t>
      </w:r>
      <w:r w:rsidRPr="00865B9A">
        <w:t>xpenses</w:t>
      </w:r>
    </w:p>
    <w:p w14:paraId="407ED503" w14:textId="08CCBC46" w:rsidR="00371864" w:rsidRDefault="00544133" w:rsidP="00371864">
      <w:r w:rsidRPr="003A4201">
        <w:t xml:space="preserve">NT reported </w:t>
      </w:r>
      <w:r w:rsidR="00517E7C" w:rsidRPr="003A4201">
        <w:t>c</w:t>
      </w:r>
      <w:r w:rsidR="00517E7C">
        <w:t>ompliance</w:t>
      </w:r>
      <w:r w:rsidRPr="003A4201">
        <w:t xml:space="preserve"> to the </w:t>
      </w:r>
      <w:r w:rsidR="001D75AC">
        <w:t>Standards</w:t>
      </w:r>
      <w:r w:rsidRPr="003A4201">
        <w:t xml:space="preserve"> in Stage </w:t>
      </w:r>
      <w:r w:rsidR="00517E7C">
        <w:t>4</w:t>
      </w:r>
      <w:r w:rsidR="00924899">
        <w:t>, except for 4.2 information requirements</w:t>
      </w:r>
      <w:r w:rsidRPr="003A4201">
        <w:t>.</w:t>
      </w:r>
      <w:r w:rsidR="0014443A">
        <w:t xml:space="preserve"> NT undergo significant clinical and non-clinical stakeholder engagement to ensure the cost allocation using </w:t>
      </w:r>
      <w:r w:rsidR="00AC45E1">
        <w:t>RVUs</w:t>
      </w:r>
      <w:r w:rsidR="0014443A">
        <w:t xml:space="preserve"> are calculated correctly.</w:t>
      </w:r>
      <w:r w:rsidR="00195C2C">
        <w:t xml:space="preserve"> However, </w:t>
      </w:r>
      <w:r w:rsidR="00371864">
        <w:t xml:space="preserve">NT has reported that the </w:t>
      </w:r>
      <w:r w:rsidR="00371864" w:rsidRPr="003A4201">
        <w:t>Community Care Information System (CCIS) and Primary Care Information System (PCIS) data is excluded from costing process but is included in the submission files due to completeness of the data and data quality issues.</w:t>
      </w:r>
    </w:p>
    <w:p w14:paraId="5AEA8FD3" w14:textId="768A5A19" w:rsidR="00D42B1B" w:rsidRDefault="00196AF8" w:rsidP="00371864">
      <w:r>
        <w:t>Standard 4.2 Information Requirements, outlines that the m</w:t>
      </w:r>
      <w:r w:rsidRPr="00196AF8">
        <w:t>easurement of patient products shall align with specification in a related National Data collection for the reporting period.</w:t>
      </w:r>
      <w:r>
        <w:t xml:space="preserve"> NT reported that m</w:t>
      </w:r>
      <w:r w:rsidR="00D42B1B" w:rsidRPr="00E02260">
        <w:t>ental health was submitted at the episode level due to the absence of phase level activity data available for 2022-23.</w:t>
      </w:r>
      <w:r>
        <w:t xml:space="preserve"> This </w:t>
      </w:r>
      <w:r w:rsidR="00297D3C">
        <w:t xml:space="preserve">approach is compliant with the standard, </w:t>
      </w:r>
      <w:r w:rsidR="006A7190">
        <w:t xml:space="preserve">as </w:t>
      </w:r>
      <w:r w:rsidR="00E015D1">
        <w:t>it aligns with the Mental Health National Best Endeavours Data Set (NBEDS).</w:t>
      </w:r>
    </w:p>
    <w:p w14:paraId="3AA645C1" w14:textId="0F1ABEAA" w:rsidR="001536CF" w:rsidRPr="00865B9A" w:rsidRDefault="001536CF" w:rsidP="001536CF">
      <w:pPr>
        <w:pStyle w:val="Heading4"/>
      </w:pPr>
      <w:r w:rsidRPr="00865B9A">
        <w:rPr>
          <w:rFonts w:eastAsiaTheme="minorHAnsi"/>
        </w:rPr>
        <w:t>Stage 5</w:t>
      </w:r>
      <w:r w:rsidR="00AC45E1">
        <w:rPr>
          <w:rFonts w:eastAsiaTheme="minorHAnsi"/>
        </w:rPr>
        <w:t>: A</w:t>
      </w:r>
      <w:r w:rsidRPr="00865B9A">
        <w:rPr>
          <w:rFonts w:eastAsiaTheme="minorHAnsi"/>
        </w:rPr>
        <w:t xml:space="preserve">ssign </w:t>
      </w:r>
      <w:r w:rsidR="00AC45E1">
        <w:rPr>
          <w:rFonts w:eastAsiaTheme="minorHAnsi"/>
        </w:rPr>
        <w:t>E</w:t>
      </w:r>
      <w:r w:rsidRPr="00865B9A">
        <w:rPr>
          <w:rFonts w:eastAsiaTheme="minorHAnsi"/>
        </w:rPr>
        <w:t xml:space="preserve">xpenses to </w:t>
      </w:r>
      <w:r w:rsidR="00AC45E1">
        <w:rPr>
          <w:rFonts w:eastAsiaTheme="minorHAnsi"/>
        </w:rPr>
        <w:t>P</w:t>
      </w:r>
      <w:r w:rsidRPr="00865B9A">
        <w:rPr>
          <w:rFonts w:eastAsiaTheme="minorHAnsi"/>
        </w:rPr>
        <w:t>roducts</w:t>
      </w:r>
    </w:p>
    <w:p w14:paraId="0C88F604" w14:textId="10112A78" w:rsidR="00371864" w:rsidRPr="003A4201" w:rsidRDefault="00B72445" w:rsidP="0015714E">
      <w:r w:rsidRPr="003A4201">
        <w:t>NT reported c</w:t>
      </w:r>
      <w:r>
        <w:t>ompliance</w:t>
      </w:r>
      <w:r w:rsidRPr="003A4201">
        <w:t xml:space="preserve"> to the </w:t>
      </w:r>
      <w:r w:rsidR="001D75AC">
        <w:t>Standards</w:t>
      </w:r>
      <w:r w:rsidRPr="003A4201">
        <w:t xml:space="preserve"> in Stage </w:t>
      </w:r>
      <w:r>
        <w:t xml:space="preserve">5. NT ensures </w:t>
      </w:r>
      <w:r w:rsidR="00486FEA">
        <w:t>a</w:t>
      </w:r>
      <w:r w:rsidR="00486FEA" w:rsidRPr="00486FEA">
        <w:t>ll expense</w:t>
      </w:r>
      <w:r w:rsidR="00486FEA">
        <w:t>s</w:t>
      </w:r>
      <w:r w:rsidR="00486FEA" w:rsidRPr="00486FEA">
        <w:t xml:space="preserve"> in final cost centres </w:t>
      </w:r>
      <w:r w:rsidR="00486FEA">
        <w:t>are</w:t>
      </w:r>
      <w:r w:rsidR="00486FEA" w:rsidRPr="00486FEA">
        <w:t xml:space="preserve"> be matched to final cost objects.</w:t>
      </w:r>
      <w:r w:rsidR="00804E41">
        <w:t xml:space="preserve"> NT Health ensures the </w:t>
      </w:r>
      <w:r w:rsidRPr="00B72445">
        <w:t xml:space="preserve">completeness of activity and cost data </w:t>
      </w:r>
      <w:r w:rsidR="00800BE5">
        <w:t xml:space="preserve">through </w:t>
      </w:r>
      <w:r w:rsidR="00804E41" w:rsidRPr="00804E41">
        <w:t>consultation with clinical and hospital stakeholders.</w:t>
      </w:r>
      <w:r w:rsidR="00605E11">
        <w:t xml:space="preserve"> Draft </w:t>
      </w:r>
      <w:r w:rsidR="00605E11" w:rsidRPr="00605E11">
        <w:t xml:space="preserve">results are </w:t>
      </w:r>
      <w:r w:rsidR="00605E11">
        <w:t>presented</w:t>
      </w:r>
      <w:r w:rsidR="00605E11" w:rsidRPr="00605E11">
        <w:t xml:space="preserve"> to reference groups and executives for approval and verification</w:t>
      </w:r>
      <w:r w:rsidR="00605E11">
        <w:t>.</w:t>
      </w:r>
    </w:p>
    <w:p w14:paraId="2A5425B2" w14:textId="54CAA6BC" w:rsidR="009F0220" w:rsidRDefault="009F0220" w:rsidP="00A3367F">
      <w:pPr>
        <w:pStyle w:val="Heading4"/>
      </w:pPr>
      <w:r w:rsidRPr="00865B9A">
        <w:t>Stage 6</w:t>
      </w:r>
      <w:r w:rsidR="00AC45E1">
        <w:t>: R</w:t>
      </w:r>
      <w:r w:rsidRPr="00865B9A">
        <w:t xml:space="preserve">eview and </w:t>
      </w:r>
      <w:r w:rsidR="00AC45E1">
        <w:t>R</w:t>
      </w:r>
      <w:r w:rsidRPr="00865B9A">
        <w:t>econcile</w:t>
      </w:r>
    </w:p>
    <w:p w14:paraId="2DA662D4" w14:textId="7D6B5F39" w:rsidR="0014443A" w:rsidRPr="00F14732" w:rsidRDefault="008C62EB" w:rsidP="00BD630F">
      <w:r w:rsidRPr="00E02260">
        <w:t xml:space="preserve">NT reported </w:t>
      </w:r>
      <w:r w:rsidR="00517E7C">
        <w:t>compliance</w:t>
      </w:r>
      <w:r w:rsidRPr="00E02260">
        <w:t xml:space="preserve"> to the </w:t>
      </w:r>
      <w:r w:rsidR="001D75AC">
        <w:t>Standards</w:t>
      </w:r>
      <w:r w:rsidRPr="00E02260">
        <w:t xml:space="preserve"> in Stage </w:t>
      </w:r>
      <w:r>
        <w:t>6.</w:t>
      </w:r>
      <w:r w:rsidR="0014443A" w:rsidRPr="0014443A">
        <w:t xml:space="preserve"> </w:t>
      </w:r>
      <w:r w:rsidR="0014443A" w:rsidRPr="003A4201">
        <w:t>The validation and review processes currently in place are robust</w:t>
      </w:r>
      <w:r w:rsidR="0014443A">
        <w:t>, utilising significant clinical and non-clinical stakeholder engagement throughout the costing process</w:t>
      </w:r>
      <w:r w:rsidR="0014443A" w:rsidRPr="003A4201">
        <w:t>.</w:t>
      </w:r>
      <w:r w:rsidR="0014443A">
        <w:t xml:space="preserve"> NT regularly r</w:t>
      </w:r>
      <w:r w:rsidR="00BD630F" w:rsidRPr="00F14732">
        <w:t>eview granular level data with administrative teams and clinical team leaders to drive data quality improvements and costing process</w:t>
      </w:r>
      <w:r w:rsidR="0014443A">
        <w:t xml:space="preserve"> improvement</w:t>
      </w:r>
      <w:r w:rsidR="00BD630F" w:rsidRPr="00F14732">
        <w:t>.</w:t>
      </w:r>
      <w:r w:rsidR="0014443A">
        <w:t xml:space="preserve"> Several</w:t>
      </w:r>
      <w:r w:rsidR="0014443A" w:rsidRPr="00F14732">
        <w:t xml:space="preserve"> quality assurance tests are undertaken throughout the costing exercise with a focus on accuracy of costing methodology as well as completeness of activity and cost data utilised in the costing study.</w:t>
      </w:r>
    </w:p>
    <w:p w14:paraId="6F7B6EBA" w14:textId="69B34C81" w:rsidR="00BD630F" w:rsidRDefault="00BD630F" w:rsidP="00BD630F">
      <w:r w:rsidRPr="00F14732">
        <w:t>Post engagement phase, the costing team use robust operational knowledge and clinical expertise provided by clinical leaders to progress through the clinical costing submission preparation along with the external consultants Power Health Solutions.</w:t>
      </w:r>
    </w:p>
    <w:p w14:paraId="15326982" w14:textId="550DBBE5" w:rsidR="007C4F36" w:rsidRPr="00500DC2" w:rsidRDefault="003A4201" w:rsidP="0014443A">
      <w:pPr>
        <w:rPr>
          <w:i/>
          <w:iCs/>
        </w:rPr>
      </w:pPr>
      <w:r w:rsidRPr="003A4201">
        <w:t xml:space="preserve">To ensure all in-scope cost have been included in the NHCDC 2022-23, a reconciliation review was completed between </w:t>
      </w:r>
      <w:r w:rsidR="00AC45E1">
        <w:t>NT’s GL</w:t>
      </w:r>
      <w:r w:rsidRPr="003A4201">
        <w:t xml:space="preserve"> and the costs submitted to IHACPA. </w:t>
      </w:r>
      <w:r w:rsidRPr="00500DC2">
        <w:t>NT’s</w:t>
      </w:r>
      <w:r w:rsidRPr="003A4201">
        <w:t xml:space="preserve"> </w:t>
      </w:r>
      <w:r w:rsidR="00AC45E1">
        <w:t xml:space="preserve">GL </w:t>
      </w:r>
      <w:r w:rsidRPr="003A4201">
        <w:t>reconciles with the cost ledger as well as the costs submitted to IHACPA.</w:t>
      </w:r>
      <w:r w:rsidRPr="00500DC2" w:rsidDel="003A4201">
        <w:t xml:space="preserve"> </w:t>
      </w:r>
      <w:r w:rsidR="007C4F36" w:rsidRPr="00500DC2">
        <w:rPr>
          <w:i/>
          <w:iCs/>
        </w:rPr>
        <w:br w:type="page"/>
      </w:r>
    </w:p>
    <w:p w14:paraId="5CA14937" w14:textId="0F801B61" w:rsidR="00502A09" w:rsidRDefault="009A0432" w:rsidP="0030317A">
      <w:pPr>
        <w:pStyle w:val="Heading2"/>
      </w:pPr>
      <w:bookmarkStart w:id="76" w:name="_Toc179296652"/>
      <w:r>
        <w:lastRenderedPageBreak/>
        <w:t>Australian Capital Territory</w:t>
      </w:r>
      <w:bookmarkEnd w:id="74"/>
      <w:bookmarkEnd w:id="76"/>
    </w:p>
    <w:p w14:paraId="50C583F1" w14:textId="2B681A01" w:rsidR="003C6C8E" w:rsidRDefault="003C6C8E" w:rsidP="0030317A">
      <w:pPr>
        <w:pStyle w:val="Heading3"/>
      </w:pPr>
      <w:r>
        <w:t>Summary</w:t>
      </w:r>
    </w:p>
    <w:p w14:paraId="3C12CE68" w14:textId="0C9A8E98" w:rsidR="00E37D85" w:rsidRPr="00865B9A" w:rsidRDefault="003C6C8E" w:rsidP="00500DC2">
      <w:r w:rsidRPr="00865B9A">
        <w:t>A</w:t>
      </w:r>
      <w:r w:rsidR="00B3403F" w:rsidRPr="00865B9A">
        <w:t xml:space="preserve">ustralian Capital </w:t>
      </w:r>
      <w:r w:rsidRPr="00865B9A">
        <w:t>T</w:t>
      </w:r>
      <w:r w:rsidR="00B3403F" w:rsidRPr="00865B9A">
        <w:t>erritory</w:t>
      </w:r>
      <w:r w:rsidRPr="00865B9A">
        <w:t xml:space="preserve"> </w:t>
      </w:r>
      <w:r w:rsidR="00AC45E1">
        <w:t xml:space="preserve">(ACT) </w:t>
      </w:r>
      <w:r w:rsidRPr="00865B9A">
        <w:t>was unable to submit NHCDC data for 2022-23 due to internal circumstances</w:t>
      </w:r>
      <w:r w:rsidR="001865A8">
        <w:t xml:space="preserve">. </w:t>
      </w:r>
      <w:r w:rsidR="00AC45E1">
        <w:t xml:space="preserve">ACT’s </w:t>
      </w:r>
      <w:r w:rsidRPr="00865B9A">
        <w:t>data has not been included in this review report.</w:t>
      </w:r>
    </w:p>
    <w:p w14:paraId="561EAAE2" w14:textId="3993BF57" w:rsidR="000C5A07" w:rsidRDefault="000C5A07" w:rsidP="00F95700">
      <w:pPr>
        <w:spacing w:after="360"/>
        <w:sectPr w:rsidR="000C5A07" w:rsidSect="00C5503B">
          <w:pgSz w:w="11906" w:h="16838" w:code="9"/>
          <w:pgMar w:top="1440" w:right="1080" w:bottom="1440" w:left="1080" w:header="708" w:footer="708" w:gutter="0"/>
          <w:cols w:space="708"/>
          <w:docGrid w:linePitch="360"/>
        </w:sectPr>
      </w:pPr>
      <w:r w:rsidRPr="00865B9A">
        <w:t xml:space="preserve"> </w:t>
      </w:r>
    </w:p>
    <w:p w14:paraId="3676A43C" w14:textId="37B5385E" w:rsidR="00502A09" w:rsidRDefault="00502A09" w:rsidP="00502A09">
      <w:pPr>
        <w:spacing w:after="360"/>
        <w:rPr>
          <w:color w:val="FFFFFF" w:themeColor="background2"/>
        </w:rPr>
      </w:pPr>
      <w:r>
        <w:rPr>
          <w:noProof/>
          <w:color w:val="FFFFFF" w:themeColor="background2"/>
        </w:rPr>
        <w:lastRenderedPageBreak/>
        <w:drawing>
          <wp:inline distT="0" distB="0" distL="0" distR="0" wp14:anchorId="064A7C53" wp14:editId="7290273C">
            <wp:extent cx="1764880" cy="396484"/>
            <wp:effectExtent l="0" t="0" r="6985" b="3810"/>
            <wp:docPr id="108" name="Picture 108" descr="Independent Health and Aged Care Pricing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Independent Health and Aged Care Pricing Authority logo"/>
                    <pic:cNvPicPr>
                      <a:picLocks noChangeAspect="1" noChangeArrowheads="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bwMode="auto">
                    <a:xfrm>
                      <a:off x="0" y="0"/>
                      <a:ext cx="1764880" cy="396484"/>
                    </a:xfrm>
                    <a:prstGeom prst="rect">
                      <a:avLst/>
                    </a:prstGeom>
                  </pic:spPr>
                </pic:pic>
              </a:graphicData>
            </a:graphic>
          </wp:inline>
        </w:drawing>
      </w:r>
    </w:p>
    <w:p w14:paraId="00876532" w14:textId="77777777" w:rsidR="00502A09" w:rsidRPr="00502A09" w:rsidRDefault="00502A09" w:rsidP="00502A09">
      <w:pPr>
        <w:spacing w:after="360"/>
      </w:pPr>
      <w:r w:rsidRPr="00502A09">
        <w:t>Independent Health and Aged Care Pricing Authority</w:t>
      </w:r>
    </w:p>
    <w:p w14:paraId="6541E902" w14:textId="77777777" w:rsidR="00502A09" w:rsidRPr="00502A09" w:rsidRDefault="00335758" w:rsidP="00502A09">
      <w:pPr>
        <w:spacing w:after="360"/>
        <w:rPr>
          <w:color w:val="104F99" w:themeColor="accent2"/>
        </w:rPr>
      </w:pPr>
      <w:r>
        <w:rPr>
          <w:color w:val="104F99" w:themeColor="accent2"/>
        </w:rPr>
        <w:t xml:space="preserve">Eora Nation, </w:t>
      </w:r>
      <w:r w:rsidR="00502A09" w:rsidRPr="00502A09">
        <w:rPr>
          <w:color w:val="104F99" w:themeColor="accent2"/>
        </w:rPr>
        <w:t xml:space="preserve">Level </w:t>
      </w:r>
      <w:r w:rsidR="00B64398">
        <w:rPr>
          <w:color w:val="104F99" w:themeColor="accent2"/>
        </w:rPr>
        <w:t>12</w:t>
      </w:r>
      <w:r w:rsidR="00502A09" w:rsidRPr="00502A09">
        <w:rPr>
          <w:color w:val="104F99" w:themeColor="accent2"/>
        </w:rPr>
        <w:t>, 1 Oxford Street</w:t>
      </w:r>
      <w:r w:rsidR="00502A09" w:rsidRPr="00502A09">
        <w:rPr>
          <w:color w:val="104F99" w:themeColor="accent2"/>
        </w:rPr>
        <w:br/>
        <w:t>Sydney NSW 2000</w:t>
      </w:r>
    </w:p>
    <w:p w14:paraId="2C94D443" w14:textId="56B0BE48" w:rsidR="00502A09" w:rsidRPr="00502A09" w:rsidRDefault="00502A09" w:rsidP="00502A09">
      <w:pPr>
        <w:spacing w:after="360"/>
      </w:pPr>
      <w:r w:rsidRPr="00502A09">
        <w:t xml:space="preserve">Phone </w:t>
      </w:r>
      <w:r w:rsidRPr="00502A09">
        <w:rPr>
          <w:color w:val="104F99" w:themeColor="accent2"/>
        </w:rPr>
        <w:t>02 8215 1100</w:t>
      </w:r>
      <w:r w:rsidRPr="00502A09">
        <w:br/>
        <w:t xml:space="preserve">Email </w:t>
      </w:r>
      <w:hyperlink r:id="rId18" w:history="1">
        <w:r w:rsidR="00DF2CB4" w:rsidRPr="008D05F7">
          <w:rPr>
            <w:rStyle w:val="URLChar"/>
          </w:rPr>
          <w:t>enquiries.ihacpa@ihacpa.gov.au</w:t>
        </w:r>
      </w:hyperlink>
    </w:p>
    <w:p w14:paraId="649FC7CF" w14:textId="45793CA0" w:rsidR="00502A09" w:rsidRPr="008D05F7" w:rsidRDefault="00502A09" w:rsidP="008D05F7">
      <w:pPr>
        <w:pStyle w:val="URL"/>
      </w:pPr>
      <w:hyperlink r:id="rId19" w:history="1">
        <w:r w:rsidRPr="008D05F7">
          <w:rPr>
            <w:rStyle w:val="Hyperlink"/>
            <w:color w:val="15272F" w:themeColor="accent1"/>
          </w:rPr>
          <w:t>www.ih</w:t>
        </w:r>
        <w:r w:rsidR="00B64398" w:rsidRPr="008D05F7">
          <w:rPr>
            <w:rStyle w:val="Hyperlink"/>
            <w:color w:val="15272F" w:themeColor="accent1"/>
          </w:rPr>
          <w:t>ac</w:t>
        </w:r>
        <w:r w:rsidRPr="008D05F7">
          <w:rPr>
            <w:rStyle w:val="Hyperlink"/>
            <w:color w:val="15272F" w:themeColor="accent1"/>
          </w:rPr>
          <w:t>pa.gov.au</w:t>
        </w:r>
      </w:hyperlink>
    </w:p>
    <w:p w14:paraId="60C13640" w14:textId="77777777" w:rsidR="00502A09" w:rsidRPr="00502A09" w:rsidRDefault="00502A09" w:rsidP="00F95700">
      <w:pPr>
        <w:spacing w:after="360"/>
        <w:rPr>
          <w:color w:val="104F99" w:themeColor="accent2"/>
        </w:rPr>
      </w:pPr>
    </w:p>
    <w:sectPr w:rsidR="00502A09" w:rsidRPr="00502A09" w:rsidSect="00C5503B">
      <w:headerReference w:type="default" r:id="rId20"/>
      <w:footerReference w:type="default" r:id="rId2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5403F" w14:textId="77777777" w:rsidR="0013101F" w:rsidRDefault="0013101F" w:rsidP="00DC0458">
      <w:pPr>
        <w:spacing w:after="0" w:line="240" w:lineRule="auto"/>
      </w:pPr>
      <w:r>
        <w:separator/>
      </w:r>
    </w:p>
  </w:endnote>
  <w:endnote w:type="continuationSeparator" w:id="0">
    <w:p w14:paraId="45384853" w14:textId="77777777" w:rsidR="0013101F" w:rsidRDefault="0013101F" w:rsidP="00DC0458">
      <w:pPr>
        <w:spacing w:after="0" w:line="240" w:lineRule="auto"/>
      </w:pPr>
      <w:r>
        <w:continuationSeparator/>
      </w:r>
    </w:p>
  </w:endnote>
  <w:endnote w:type="continuationNotice" w:id="1">
    <w:p w14:paraId="4FAE302E" w14:textId="77777777" w:rsidR="0013101F" w:rsidRDefault="001310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ira Sans regular">
    <w:altName w:val="Calibri"/>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Josefin Sans Bold">
    <w:charset w:val="00"/>
    <w:family w:val="auto"/>
    <w:pitch w:val="variable"/>
    <w:sig w:usb0="A00000FF" w:usb1="4000204B"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873F1F" w:rsidRPr="00873F1F" w14:paraId="248152EB" w14:textId="77777777">
      <w:tc>
        <w:tcPr>
          <w:tcW w:w="4868" w:type="dxa"/>
        </w:tcPr>
        <w:p w14:paraId="450460BE" w14:textId="764900E8" w:rsidR="00873F1F" w:rsidRPr="00873F1F" w:rsidRDefault="00873F1F" w:rsidP="00873F1F">
          <w:pPr>
            <w:pStyle w:val="Footer"/>
            <w:rPr>
              <w:color w:val="FFFFFF" w:themeColor="background2"/>
            </w:rPr>
          </w:pPr>
          <w:r w:rsidRPr="00873F1F">
            <w:rPr>
              <w:color w:val="FFFFFF" w:themeColor="background2"/>
            </w:rPr>
            <w:br/>
          </w:r>
          <w:r w:rsidRPr="00873F1F">
            <w:rPr>
              <w:color w:val="FFFFFF" w:themeColor="background2"/>
            </w:rPr>
            <w:br/>
          </w:r>
          <w:r w:rsidR="00D128F9">
            <w:rPr>
              <w:color w:val="FFFFFF" w:themeColor="background2"/>
            </w:rPr>
            <w:t xml:space="preserve">March </w:t>
          </w:r>
          <w:r w:rsidR="0082151A">
            <w:rPr>
              <w:color w:val="FFFFFF" w:themeColor="background2"/>
            </w:rPr>
            <w:t>202</w:t>
          </w:r>
          <w:r w:rsidR="001865A8">
            <w:rPr>
              <w:color w:val="FFFFFF" w:themeColor="background2"/>
            </w:rPr>
            <w:t>5</w:t>
          </w:r>
        </w:p>
      </w:tc>
      <w:tc>
        <w:tcPr>
          <w:tcW w:w="4868" w:type="dxa"/>
        </w:tcPr>
        <w:p w14:paraId="54002467" w14:textId="77777777" w:rsidR="00873F1F" w:rsidRPr="00873F1F" w:rsidRDefault="00873F1F" w:rsidP="00873F1F">
          <w:pPr>
            <w:pStyle w:val="Footer"/>
            <w:jc w:val="right"/>
            <w:rPr>
              <w:color w:val="FFFFFF" w:themeColor="background2"/>
            </w:rPr>
          </w:pPr>
          <w:r>
            <w:rPr>
              <w:noProof/>
            </w:rPr>
            <w:drawing>
              <wp:inline distT="0" distB="0" distL="0" distR="0" wp14:anchorId="1587FBE9" wp14:editId="1CD7E04E">
                <wp:extent cx="1137600" cy="712800"/>
                <wp:effectExtent l="0" t="0" r="5715" b="0"/>
                <wp:docPr id="2094376947" name="Graphic 2094376947" descr="Independent Health and Aged Care Pricing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ndependent Health and Aged Care Pricing Authority logo"/>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137600" cy="712800"/>
                        </a:xfrm>
                        <a:prstGeom prst="rect">
                          <a:avLst/>
                        </a:prstGeom>
                      </pic:spPr>
                    </pic:pic>
                  </a:graphicData>
                </a:graphic>
              </wp:inline>
            </w:drawing>
          </w:r>
        </w:p>
      </w:tc>
    </w:tr>
  </w:tbl>
  <w:p w14:paraId="1056D080" w14:textId="77777777" w:rsidR="00D60A37" w:rsidRDefault="00D60A37" w:rsidP="00873F1F">
    <w:pPr>
      <w:pStyle w:val="Footer"/>
      <w:tabs>
        <w:tab w:val="clear" w:pos="4680"/>
        <w:tab w:val="clear" w:pos="9360"/>
        <w:tab w:val="left" w:pos="233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D71C2" w14:textId="11908588" w:rsidR="001F2735" w:rsidRDefault="00A80ADF" w:rsidP="00E24D0E">
    <w:pPr>
      <w:pStyle w:val="Footer"/>
      <w:tabs>
        <w:tab w:val="clear" w:pos="4680"/>
        <w:tab w:val="clear" w:pos="9360"/>
        <w:tab w:val="center" w:pos="9498"/>
        <w:tab w:val="right" w:pos="9746"/>
      </w:tabs>
    </w:pPr>
    <w:r>
      <w:rPr>
        <w:b/>
        <w:bCs/>
      </w:rPr>
      <w:t>IHACPA</w:t>
    </w:r>
    <w:r>
      <w:t xml:space="preserve"> NHCDC Public Sector Review Report</w:t>
    </w:r>
    <w:r w:rsidR="009A0577">
      <w:t xml:space="preserve"> 2022-23</w:t>
    </w:r>
    <w:r w:rsidR="001F2735">
      <w:tab/>
    </w:r>
    <w:r w:rsidR="001F2735">
      <w:fldChar w:fldCharType="begin"/>
    </w:r>
    <w:r w:rsidR="001F2735">
      <w:instrText xml:space="preserve"> PAGE   \* MERGEFORMAT </w:instrText>
    </w:r>
    <w:r w:rsidR="001F2735">
      <w:fldChar w:fldCharType="separate"/>
    </w:r>
    <w:r w:rsidR="001F2735">
      <w:rPr>
        <w:noProof/>
      </w:rPr>
      <w:t>1</w:t>
    </w:r>
    <w:r w:rsidR="001F273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A6B34" w14:textId="2D0CCC0F" w:rsidR="000312AE" w:rsidRDefault="000312AE" w:rsidP="00E24D0E">
    <w:pPr>
      <w:pStyle w:val="Footer"/>
      <w:tabs>
        <w:tab w:val="clear" w:pos="4680"/>
        <w:tab w:val="clear" w:pos="9360"/>
        <w:tab w:val="center" w:pos="9498"/>
        <w:tab w:val="right" w:pos="9746"/>
      </w:tabs>
    </w:pP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6E6D1" w14:textId="77777777" w:rsidR="0013101F" w:rsidRDefault="0013101F" w:rsidP="00DC0458">
      <w:pPr>
        <w:spacing w:after="0" w:line="240" w:lineRule="auto"/>
      </w:pPr>
      <w:r>
        <w:separator/>
      </w:r>
    </w:p>
  </w:footnote>
  <w:footnote w:type="continuationSeparator" w:id="0">
    <w:p w14:paraId="5BEAAC49" w14:textId="77777777" w:rsidR="0013101F" w:rsidRDefault="0013101F" w:rsidP="00DC0458">
      <w:pPr>
        <w:spacing w:after="0" w:line="240" w:lineRule="auto"/>
      </w:pPr>
      <w:r>
        <w:continuationSeparator/>
      </w:r>
    </w:p>
  </w:footnote>
  <w:footnote w:type="continuationNotice" w:id="1">
    <w:p w14:paraId="3A59F035" w14:textId="77777777" w:rsidR="0013101F" w:rsidRDefault="001310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0CC61" w14:textId="77777777" w:rsidR="00D60A37" w:rsidRDefault="00D60A37">
    <w:pPr>
      <w:pStyle w:val="Header"/>
    </w:pPr>
    <w:r>
      <w:rPr>
        <w:noProof/>
      </w:rPr>
      <w:drawing>
        <wp:anchor distT="0" distB="0" distL="114300" distR="114300" simplePos="0" relativeHeight="251656704" behindDoc="1" locked="0" layoutInCell="1" allowOverlap="1" wp14:anchorId="71417935" wp14:editId="77D3DB10">
          <wp:simplePos x="0" y="0"/>
          <wp:positionH relativeFrom="margin">
            <wp:posOffset>-685800</wp:posOffset>
          </wp:positionH>
          <wp:positionV relativeFrom="paragraph">
            <wp:posOffset>-447422</wp:posOffset>
          </wp:positionV>
          <wp:extent cx="7573925" cy="10707858"/>
          <wp:effectExtent l="0" t="0" r="8255" b="0"/>
          <wp:wrapNone/>
          <wp:docPr id="1920529827" name="Picture 19205298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0785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261E8" w14:textId="4C767E95" w:rsidR="001F2735" w:rsidRDefault="001F27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1856988"/>
      <w:docPartObj>
        <w:docPartGallery w:val="Watermarks"/>
        <w:docPartUnique/>
      </w:docPartObj>
    </w:sdtPr>
    <w:sdtContent>
      <w:p w14:paraId="1C339512" w14:textId="68D90B96" w:rsidR="00CC1F5A" w:rsidRDefault="00CC1F5A">
        <w:pPr>
          <w:pStyle w:val="Header"/>
        </w:pPr>
        <w:r>
          <w:rPr>
            <w:noProof/>
          </w:rPr>
          <w:drawing>
            <wp:anchor distT="0" distB="0" distL="114300" distR="114300" simplePos="0" relativeHeight="251657728" behindDoc="1" locked="0" layoutInCell="1" allowOverlap="1" wp14:anchorId="132B8423" wp14:editId="45166625">
              <wp:simplePos x="0" y="0"/>
              <wp:positionH relativeFrom="page">
                <wp:align>left</wp:align>
              </wp:positionH>
              <wp:positionV relativeFrom="paragraph">
                <wp:posOffset>-446405</wp:posOffset>
              </wp:positionV>
              <wp:extent cx="7565082" cy="10699668"/>
              <wp:effectExtent l="0" t="0" r="0" b="6985"/>
              <wp:wrapNone/>
              <wp:docPr id="109" name="Picture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082"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02903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A15"/>
    <w:multiLevelType w:val="hybridMultilevel"/>
    <w:tmpl w:val="CA5CA7E4"/>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2ED79B9"/>
    <w:multiLevelType w:val="multilevel"/>
    <w:tmpl w:val="9A2AB876"/>
    <w:numStyleLink w:val="Style2"/>
  </w:abstractNum>
  <w:abstractNum w:abstractNumId="2" w15:restartNumberingAfterBreak="0">
    <w:nsid w:val="071551C5"/>
    <w:multiLevelType w:val="hybridMultilevel"/>
    <w:tmpl w:val="6F021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ED5BCB"/>
    <w:multiLevelType w:val="hybridMultilevel"/>
    <w:tmpl w:val="89728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725D26"/>
    <w:multiLevelType w:val="multilevel"/>
    <w:tmpl w:val="5A085FFA"/>
    <w:lvl w:ilvl="0">
      <w:start w:val="1"/>
      <w:numFmt w:val="decimal"/>
      <w:pStyle w:val="Heading1"/>
      <w:lvlText w:val="%1"/>
      <w:lvlJc w:val="left"/>
      <w:pPr>
        <w:ind w:left="1134" w:hanging="1134"/>
      </w:pPr>
      <w:rPr>
        <w:rFonts w:ascii="Arial Bold" w:hAnsi="Arial Bold" w:cstheme="majorBidi" w:hint="default"/>
        <w:b/>
        <w:i w:val="0"/>
        <w:color w:val="15272F" w:themeColor="text1"/>
        <w:sz w:val="72"/>
      </w:rPr>
    </w:lvl>
    <w:lvl w:ilvl="1">
      <w:start w:val="1"/>
      <w:numFmt w:val="decimal"/>
      <w:pStyle w:val="Heading2"/>
      <w:isLgl/>
      <w:lvlText w:val="%1.%2"/>
      <w:lvlJc w:val="left"/>
      <w:pPr>
        <w:ind w:left="1134" w:hanging="1134"/>
      </w:pPr>
      <w:rPr>
        <w:rFonts w:ascii="Arial Bold" w:hAnsi="Arial Bold" w:hint="default"/>
        <w:b/>
        <w:i w:val="0"/>
        <w:color w:val="104F99" w:themeColor="accent2"/>
        <w:sz w:val="36"/>
      </w:rPr>
    </w:lvl>
    <w:lvl w:ilvl="2">
      <w:start w:val="1"/>
      <w:numFmt w:val="decimal"/>
      <w:pStyle w:val="Heading3"/>
      <w:isLgl/>
      <w:lvlText w:val="%1.%2.%3"/>
      <w:lvlJc w:val="left"/>
      <w:pPr>
        <w:ind w:left="1134" w:hanging="1134"/>
      </w:pPr>
    </w:lvl>
    <w:lvl w:ilvl="3">
      <w:start w:val="1"/>
      <w:numFmt w:val="upperLetter"/>
      <w:lvlText w:val="1.3.2%4"/>
      <w:lvlJc w:val="left"/>
      <w:pPr>
        <w:ind w:left="360" w:hanging="360"/>
      </w:pPr>
      <w:rPr>
        <w:rFonts w:ascii="Arial" w:hAnsi="Arial" w:hint="default"/>
        <w:color w:val="15272F" w:themeColor="text1"/>
        <w:sz w:val="20"/>
        <w:u w:val="none"/>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5" w15:restartNumberingAfterBreak="0">
    <w:nsid w:val="1C5D6222"/>
    <w:multiLevelType w:val="hybridMultilevel"/>
    <w:tmpl w:val="69C667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B90FA8"/>
    <w:multiLevelType w:val="hybridMultilevel"/>
    <w:tmpl w:val="AC9A38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14918E2"/>
    <w:multiLevelType w:val="hybridMultilevel"/>
    <w:tmpl w:val="B5DAE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2479B3"/>
    <w:multiLevelType w:val="multilevel"/>
    <w:tmpl w:val="5A085FFA"/>
    <w:lvl w:ilvl="0">
      <w:start w:val="1"/>
      <w:numFmt w:val="decimal"/>
      <w:lvlText w:val="%1"/>
      <w:lvlJc w:val="left"/>
      <w:pPr>
        <w:ind w:left="1134" w:hanging="1134"/>
      </w:pPr>
      <w:rPr>
        <w:rFonts w:ascii="Arial Bold" w:hAnsi="Arial Bold" w:cstheme="majorBidi" w:hint="default"/>
        <w:b/>
        <w:i w:val="0"/>
        <w:color w:val="15272F" w:themeColor="text1"/>
        <w:sz w:val="72"/>
      </w:rPr>
    </w:lvl>
    <w:lvl w:ilvl="1">
      <w:start w:val="1"/>
      <w:numFmt w:val="decimal"/>
      <w:isLgl/>
      <w:lvlText w:val="%1.%2"/>
      <w:lvlJc w:val="left"/>
      <w:pPr>
        <w:ind w:left="1134" w:hanging="1134"/>
      </w:pPr>
      <w:rPr>
        <w:rFonts w:ascii="Arial Bold" w:hAnsi="Arial Bold" w:hint="default"/>
        <w:b/>
        <w:i w:val="0"/>
        <w:color w:val="104F99" w:themeColor="accent2"/>
        <w:sz w:val="36"/>
      </w:rPr>
    </w:lvl>
    <w:lvl w:ilvl="2">
      <w:start w:val="1"/>
      <w:numFmt w:val="decimal"/>
      <w:isLgl/>
      <w:lvlText w:val="%1.%2.%3"/>
      <w:lvlJc w:val="left"/>
      <w:pPr>
        <w:ind w:left="1134" w:hanging="1134"/>
      </w:pPr>
    </w:lvl>
    <w:lvl w:ilvl="3">
      <w:start w:val="1"/>
      <w:numFmt w:val="upperLetter"/>
      <w:lvlText w:val="1.3.2%4"/>
      <w:lvlJc w:val="left"/>
      <w:pPr>
        <w:ind w:left="360" w:hanging="360"/>
      </w:pPr>
      <w:rPr>
        <w:rFonts w:ascii="Arial" w:hAnsi="Arial" w:hint="default"/>
        <w:color w:val="15272F" w:themeColor="text1"/>
        <w:sz w:val="20"/>
        <w:u w:val="none"/>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9" w15:restartNumberingAfterBreak="0">
    <w:nsid w:val="2C3A62D4"/>
    <w:multiLevelType w:val="hybridMultilevel"/>
    <w:tmpl w:val="1E5AE5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4B5B59"/>
    <w:multiLevelType w:val="hybridMultilevel"/>
    <w:tmpl w:val="3B4C5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47538F"/>
    <w:multiLevelType w:val="hybridMultilevel"/>
    <w:tmpl w:val="15B073FE"/>
    <w:lvl w:ilvl="0" w:tplc="422E6802">
      <w:start w:val="1"/>
      <w:numFmt w:val="upperLetter"/>
      <w:lvlText w:val="1.3.2%1"/>
      <w:lvlJc w:val="left"/>
      <w:pPr>
        <w:ind w:left="720" w:hanging="360"/>
      </w:pPr>
      <w:rPr>
        <w:rFonts w:ascii="Arial" w:hAnsi="Arial" w:hint="default"/>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F12C77"/>
    <w:multiLevelType w:val="hybridMultilevel"/>
    <w:tmpl w:val="7384F640"/>
    <w:lvl w:ilvl="0" w:tplc="F5A2FAF6">
      <w:numFmt w:val="bullet"/>
      <w:lvlText w:val="•"/>
      <w:lvlJc w:val="left"/>
      <w:pPr>
        <w:ind w:left="1080" w:hanging="720"/>
      </w:pPr>
      <w:rPr>
        <w:rFonts w:ascii="Arial" w:eastAsia="Fira Sans regular"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B97B88"/>
    <w:multiLevelType w:val="hybridMultilevel"/>
    <w:tmpl w:val="40AA07EE"/>
    <w:lvl w:ilvl="0" w:tplc="FFFFFFFF">
      <w:numFmt w:val="bullet"/>
      <w:lvlText w:val="–"/>
      <w:lvlJc w:val="left"/>
      <w:pPr>
        <w:ind w:left="720" w:hanging="720"/>
      </w:pPr>
      <w:rPr>
        <w:rFonts w:ascii="Fira Sans regular" w:eastAsiaTheme="minorHAnsi" w:hAnsi="Fira Sans regular" w:cstheme="minorBidi" w:hint="default"/>
      </w:rPr>
    </w:lvl>
    <w:lvl w:ilvl="1" w:tplc="9B12A150">
      <w:start w:val="1"/>
      <w:numFmt w:val="bullet"/>
      <w:pStyle w:val="ListLevel2"/>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8513EB5"/>
    <w:multiLevelType w:val="multilevel"/>
    <w:tmpl w:val="11DC9BCE"/>
    <w:styleLink w:val="Style1"/>
    <w:lvl w:ilvl="0">
      <w:start w:val="1"/>
      <w:numFmt w:val="decimal"/>
      <w:lvlText w:val="%1"/>
      <w:lvlJc w:val="left"/>
      <w:pPr>
        <w:ind w:left="1134" w:hanging="1134"/>
      </w:pPr>
      <w:rPr>
        <w:rFonts w:ascii="Arial Bold" w:hAnsi="Arial Bold" w:cstheme="majorBidi" w:hint="default"/>
        <w:b/>
        <w:i w:val="0"/>
        <w:color w:val="15272F" w:themeColor="text1"/>
        <w:sz w:val="72"/>
      </w:rPr>
    </w:lvl>
    <w:lvl w:ilvl="1">
      <w:start w:val="1"/>
      <w:numFmt w:val="decimal"/>
      <w:isLgl/>
      <w:lvlText w:val="%1.%2"/>
      <w:lvlJc w:val="left"/>
      <w:pPr>
        <w:ind w:left="1134" w:hanging="1134"/>
      </w:pPr>
      <w:rPr>
        <w:rFonts w:ascii="Arial Bold" w:hAnsi="Arial Bold" w:hint="default"/>
        <w:b/>
        <w:i w:val="0"/>
        <w:color w:val="104F99" w:themeColor="accent2"/>
        <w:sz w:val="36"/>
      </w:rPr>
    </w:lvl>
    <w:lvl w:ilvl="2">
      <w:start w:val="1"/>
      <w:numFmt w:val="decimal"/>
      <w:isLgl/>
      <w:lvlText w:val="%1.%2.%3"/>
      <w:lvlJc w:val="left"/>
      <w:pPr>
        <w:ind w:left="1134" w:hanging="1134"/>
      </w:pPr>
      <w:rPr>
        <w:rFonts w:hint="default"/>
      </w:rPr>
    </w:lvl>
    <w:lvl w:ilvl="3">
      <w:start w:val="1"/>
      <w:numFmt w:val="upperLetter"/>
      <w:lvlText w:val="%1.%2.%3%4"/>
      <w:lvlJc w:val="left"/>
      <w:pPr>
        <w:ind w:left="851" w:hanging="851"/>
      </w:pPr>
      <w:rPr>
        <w:rFonts w:ascii="Arial" w:hAnsi="Arial" w:hint="default"/>
        <w:color w:val="15272F" w:themeColor="text1"/>
        <w:sz w:val="20"/>
        <w:u w:val="none"/>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15" w15:restartNumberingAfterBreak="0">
    <w:nsid w:val="39DF6F19"/>
    <w:multiLevelType w:val="hybridMultilevel"/>
    <w:tmpl w:val="90A8F8AA"/>
    <w:lvl w:ilvl="0" w:tplc="6D46B6D4">
      <w:numFmt w:val="bullet"/>
      <w:lvlText w:val="-"/>
      <w:lvlJc w:val="left"/>
      <w:pPr>
        <w:ind w:left="720" w:hanging="360"/>
      </w:pPr>
      <w:rPr>
        <w:rFonts w:ascii="Arial" w:eastAsiaTheme="minorHAnsi" w:hAnsi="Arial" w:cs="Arial" w:hint="default"/>
        <w:color w:val="1C1C1C"/>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A24161"/>
    <w:multiLevelType w:val="hybridMultilevel"/>
    <w:tmpl w:val="69C667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F3488B"/>
    <w:multiLevelType w:val="hybridMultilevel"/>
    <w:tmpl w:val="6B4A6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D2261B"/>
    <w:multiLevelType w:val="hybridMultilevel"/>
    <w:tmpl w:val="3B2EB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6007F7"/>
    <w:multiLevelType w:val="hybridMultilevel"/>
    <w:tmpl w:val="2D242506"/>
    <w:lvl w:ilvl="0" w:tplc="7D92ACA8">
      <w:start w:val="1"/>
      <w:numFmt w:val="decimal"/>
      <w:lvlText w:val="%1."/>
      <w:lvlJc w:val="left"/>
      <w:pPr>
        <w:ind w:left="1211" w:hanging="360"/>
      </w:pPr>
      <w:rPr>
        <w:rFonts w:hint="default"/>
        <w:sz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15:restartNumberingAfterBreak="0">
    <w:nsid w:val="447F0D0D"/>
    <w:multiLevelType w:val="hybridMultilevel"/>
    <w:tmpl w:val="C70A5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A6D47"/>
    <w:multiLevelType w:val="hybridMultilevel"/>
    <w:tmpl w:val="F0DA69C4"/>
    <w:lvl w:ilvl="0" w:tplc="1CC2B7B4">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E5391"/>
    <w:multiLevelType w:val="hybridMultilevel"/>
    <w:tmpl w:val="5A8AB2EE"/>
    <w:lvl w:ilvl="0" w:tplc="D9144EB4">
      <w:start w:val="1"/>
      <w:numFmt w:val="decimal"/>
      <w:lvlText w:val="%1."/>
      <w:lvlJc w:val="left"/>
      <w:pPr>
        <w:ind w:left="1020" w:hanging="360"/>
      </w:pPr>
    </w:lvl>
    <w:lvl w:ilvl="1" w:tplc="B16CE974">
      <w:start w:val="1"/>
      <w:numFmt w:val="decimal"/>
      <w:lvlText w:val="%2."/>
      <w:lvlJc w:val="left"/>
      <w:pPr>
        <w:ind w:left="1020" w:hanging="360"/>
      </w:pPr>
    </w:lvl>
    <w:lvl w:ilvl="2" w:tplc="B8146008">
      <w:start w:val="1"/>
      <w:numFmt w:val="decimal"/>
      <w:lvlText w:val="%3."/>
      <w:lvlJc w:val="left"/>
      <w:pPr>
        <w:ind w:left="1020" w:hanging="360"/>
      </w:pPr>
    </w:lvl>
    <w:lvl w:ilvl="3" w:tplc="A3769488">
      <w:start w:val="1"/>
      <w:numFmt w:val="decimal"/>
      <w:lvlText w:val="%4."/>
      <w:lvlJc w:val="left"/>
      <w:pPr>
        <w:ind w:left="1020" w:hanging="360"/>
      </w:pPr>
    </w:lvl>
    <w:lvl w:ilvl="4" w:tplc="915AC6BC">
      <w:start w:val="1"/>
      <w:numFmt w:val="decimal"/>
      <w:lvlText w:val="%5."/>
      <w:lvlJc w:val="left"/>
      <w:pPr>
        <w:ind w:left="1020" w:hanging="360"/>
      </w:pPr>
    </w:lvl>
    <w:lvl w:ilvl="5" w:tplc="9290070E">
      <w:start w:val="1"/>
      <w:numFmt w:val="decimal"/>
      <w:lvlText w:val="%6."/>
      <w:lvlJc w:val="left"/>
      <w:pPr>
        <w:ind w:left="1020" w:hanging="360"/>
      </w:pPr>
    </w:lvl>
    <w:lvl w:ilvl="6" w:tplc="1ECCBB14">
      <w:start w:val="1"/>
      <w:numFmt w:val="decimal"/>
      <w:lvlText w:val="%7."/>
      <w:lvlJc w:val="left"/>
      <w:pPr>
        <w:ind w:left="1020" w:hanging="360"/>
      </w:pPr>
    </w:lvl>
    <w:lvl w:ilvl="7" w:tplc="84D4608C">
      <w:start w:val="1"/>
      <w:numFmt w:val="decimal"/>
      <w:lvlText w:val="%8."/>
      <w:lvlJc w:val="left"/>
      <w:pPr>
        <w:ind w:left="1020" w:hanging="360"/>
      </w:pPr>
    </w:lvl>
    <w:lvl w:ilvl="8" w:tplc="3CD87F3A">
      <w:start w:val="1"/>
      <w:numFmt w:val="decimal"/>
      <w:lvlText w:val="%9."/>
      <w:lvlJc w:val="left"/>
      <w:pPr>
        <w:ind w:left="1020" w:hanging="360"/>
      </w:pPr>
    </w:lvl>
  </w:abstractNum>
  <w:abstractNum w:abstractNumId="23" w15:restartNumberingAfterBreak="0">
    <w:nsid w:val="4B90237E"/>
    <w:multiLevelType w:val="multilevel"/>
    <w:tmpl w:val="11DC9BCE"/>
    <w:numStyleLink w:val="Style1"/>
  </w:abstractNum>
  <w:abstractNum w:abstractNumId="24" w15:restartNumberingAfterBreak="0">
    <w:nsid w:val="4FF65B57"/>
    <w:multiLevelType w:val="hybridMultilevel"/>
    <w:tmpl w:val="69C667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870637"/>
    <w:multiLevelType w:val="hybridMultilevel"/>
    <w:tmpl w:val="73AE781A"/>
    <w:lvl w:ilvl="0" w:tplc="FFFFFFFF">
      <w:numFmt w:val="bullet"/>
      <w:lvlText w:val="–"/>
      <w:lvlJc w:val="left"/>
      <w:pPr>
        <w:ind w:left="720" w:hanging="720"/>
      </w:pPr>
      <w:rPr>
        <w:rFonts w:ascii="Fira Sans regular" w:eastAsiaTheme="minorHAnsi" w:hAnsi="Fira Sans regular" w:cstheme="minorBidi" w:hint="default"/>
      </w:rPr>
    </w:lvl>
    <w:lvl w:ilvl="1" w:tplc="18EA2DE2">
      <w:start w:val="1"/>
      <w:numFmt w:val="bullet"/>
      <w:pStyle w:val="ListLevel1"/>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511559CC"/>
    <w:multiLevelType w:val="hybridMultilevel"/>
    <w:tmpl w:val="6D9A1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33565B"/>
    <w:multiLevelType w:val="hybridMultilevel"/>
    <w:tmpl w:val="105264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007BAD"/>
    <w:multiLevelType w:val="hybridMultilevel"/>
    <w:tmpl w:val="FF841A06"/>
    <w:lvl w:ilvl="0" w:tplc="D1927A1E">
      <w:start w:val="1"/>
      <w:numFmt w:val="bullet"/>
      <w:lvlText w:val=""/>
      <w:lvlJc w:val="left"/>
      <w:pPr>
        <w:ind w:left="1440" w:hanging="360"/>
      </w:pPr>
      <w:rPr>
        <w:rFonts w:ascii="Symbol" w:hAnsi="Symbol"/>
      </w:rPr>
    </w:lvl>
    <w:lvl w:ilvl="1" w:tplc="63EA95BE">
      <w:start w:val="1"/>
      <w:numFmt w:val="bullet"/>
      <w:lvlText w:val=""/>
      <w:lvlJc w:val="left"/>
      <w:pPr>
        <w:ind w:left="1440" w:hanging="360"/>
      </w:pPr>
      <w:rPr>
        <w:rFonts w:ascii="Symbol" w:hAnsi="Symbol"/>
      </w:rPr>
    </w:lvl>
    <w:lvl w:ilvl="2" w:tplc="39EEB1CE">
      <w:start w:val="1"/>
      <w:numFmt w:val="bullet"/>
      <w:lvlText w:val=""/>
      <w:lvlJc w:val="left"/>
      <w:pPr>
        <w:ind w:left="1440" w:hanging="360"/>
      </w:pPr>
      <w:rPr>
        <w:rFonts w:ascii="Symbol" w:hAnsi="Symbol"/>
      </w:rPr>
    </w:lvl>
    <w:lvl w:ilvl="3" w:tplc="DA98B972">
      <w:start w:val="1"/>
      <w:numFmt w:val="bullet"/>
      <w:lvlText w:val=""/>
      <w:lvlJc w:val="left"/>
      <w:pPr>
        <w:ind w:left="1440" w:hanging="360"/>
      </w:pPr>
      <w:rPr>
        <w:rFonts w:ascii="Symbol" w:hAnsi="Symbol"/>
      </w:rPr>
    </w:lvl>
    <w:lvl w:ilvl="4" w:tplc="B8D2C97C">
      <w:start w:val="1"/>
      <w:numFmt w:val="bullet"/>
      <w:lvlText w:val=""/>
      <w:lvlJc w:val="left"/>
      <w:pPr>
        <w:ind w:left="1440" w:hanging="360"/>
      </w:pPr>
      <w:rPr>
        <w:rFonts w:ascii="Symbol" w:hAnsi="Symbol"/>
      </w:rPr>
    </w:lvl>
    <w:lvl w:ilvl="5" w:tplc="11C2BBB4">
      <w:start w:val="1"/>
      <w:numFmt w:val="bullet"/>
      <w:lvlText w:val=""/>
      <w:lvlJc w:val="left"/>
      <w:pPr>
        <w:ind w:left="1440" w:hanging="360"/>
      </w:pPr>
      <w:rPr>
        <w:rFonts w:ascii="Symbol" w:hAnsi="Symbol"/>
      </w:rPr>
    </w:lvl>
    <w:lvl w:ilvl="6" w:tplc="61BE3450">
      <w:start w:val="1"/>
      <w:numFmt w:val="bullet"/>
      <w:lvlText w:val=""/>
      <w:lvlJc w:val="left"/>
      <w:pPr>
        <w:ind w:left="1440" w:hanging="360"/>
      </w:pPr>
      <w:rPr>
        <w:rFonts w:ascii="Symbol" w:hAnsi="Symbol"/>
      </w:rPr>
    </w:lvl>
    <w:lvl w:ilvl="7" w:tplc="6D2EE24E">
      <w:start w:val="1"/>
      <w:numFmt w:val="bullet"/>
      <w:lvlText w:val=""/>
      <w:lvlJc w:val="left"/>
      <w:pPr>
        <w:ind w:left="1440" w:hanging="360"/>
      </w:pPr>
      <w:rPr>
        <w:rFonts w:ascii="Symbol" w:hAnsi="Symbol"/>
      </w:rPr>
    </w:lvl>
    <w:lvl w:ilvl="8" w:tplc="7BD40EEA">
      <w:start w:val="1"/>
      <w:numFmt w:val="bullet"/>
      <w:lvlText w:val=""/>
      <w:lvlJc w:val="left"/>
      <w:pPr>
        <w:ind w:left="1440" w:hanging="360"/>
      </w:pPr>
      <w:rPr>
        <w:rFonts w:ascii="Symbol" w:hAnsi="Symbol"/>
      </w:rPr>
    </w:lvl>
  </w:abstractNum>
  <w:abstractNum w:abstractNumId="29" w15:restartNumberingAfterBreak="0">
    <w:nsid w:val="544D5031"/>
    <w:multiLevelType w:val="hybridMultilevel"/>
    <w:tmpl w:val="78A81F56"/>
    <w:lvl w:ilvl="0" w:tplc="6630B8F8">
      <w:start w:val="1"/>
      <w:numFmt w:val="bullet"/>
      <w:lvlText w:val=""/>
      <w:lvlJc w:val="left"/>
      <w:pPr>
        <w:ind w:left="1440" w:hanging="360"/>
      </w:pPr>
      <w:rPr>
        <w:rFonts w:ascii="Symbol" w:hAnsi="Symbol"/>
      </w:rPr>
    </w:lvl>
    <w:lvl w:ilvl="1" w:tplc="BBE6EFDA">
      <w:start w:val="1"/>
      <w:numFmt w:val="bullet"/>
      <w:lvlText w:val=""/>
      <w:lvlJc w:val="left"/>
      <w:pPr>
        <w:ind w:left="1440" w:hanging="360"/>
      </w:pPr>
      <w:rPr>
        <w:rFonts w:ascii="Symbol" w:hAnsi="Symbol"/>
      </w:rPr>
    </w:lvl>
    <w:lvl w:ilvl="2" w:tplc="03DEDA86">
      <w:start w:val="1"/>
      <w:numFmt w:val="bullet"/>
      <w:lvlText w:val=""/>
      <w:lvlJc w:val="left"/>
      <w:pPr>
        <w:ind w:left="1440" w:hanging="360"/>
      </w:pPr>
      <w:rPr>
        <w:rFonts w:ascii="Symbol" w:hAnsi="Symbol"/>
      </w:rPr>
    </w:lvl>
    <w:lvl w:ilvl="3" w:tplc="F6A238F4">
      <w:start w:val="1"/>
      <w:numFmt w:val="bullet"/>
      <w:lvlText w:val=""/>
      <w:lvlJc w:val="left"/>
      <w:pPr>
        <w:ind w:left="1440" w:hanging="360"/>
      </w:pPr>
      <w:rPr>
        <w:rFonts w:ascii="Symbol" w:hAnsi="Symbol"/>
      </w:rPr>
    </w:lvl>
    <w:lvl w:ilvl="4" w:tplc="610EE7EA">
      <w:start w:val="1"/>
      <w:numFmt w:val="bullet"/>
      <w:lvlText w:val=""/>
      <w:lvlJc w:val="left"/>
      <w:pPr>
        <w:ind w:left="1440" w:hanging="360"/>
      </w:pPr>
      <w:rPr>
        <w:rFonts w:ascii="Symbol" w:hAnsi="Symbol"/>
      </w:rPr>
    </w:lvl>
    <w:lvl w:ilvl="5" w:tplc="82BE4A02">
      <w:start w:val="1"/>
      <w:numFmt w:val="bullet"/>
      <w:lvlText w:val=""/>
      <w:lvlJc w:val="left"/>
      <w:pPr>
        <w:ind w:left="1440" w:hanging="360"/>
      </w:pPr>
      <w:rPr>
        <w:rFonts w:ascii="Symbol" w:hAnsi="Symbol"/>
      </w:rPr>
    </w:lvl>
    <w:lvl w:ilvl="6" w:tplc="ACA24044">
      <w:start w:val="1"/>
      <w:numFmt w:val="bullet"/>
      <w:lvlText w:val=""/>
      <w:lvlJc w:val="left"/>
      <w:pPr>
        <w:ind w:left="1440" w:hanging="360"/>
      </w:pPr>
      <w:rPr>
        <w:rFonts w:ascii="Symbol" w:hAnsi="Symbol"/>
      </w:rPr>
    </w:lvl>
    <w:lvl w:ilvl="7" w:tplc="F454F59A">
      <w:start w:val="1"/>
      <w:numFmt w:val="bullet"/>
      <w:lvlText w:val=""/>
      <w:lvlJc w:val="left"/>
      <w:pPr>
        <w:ind w:left="1440" w:hanging="360"/>
      </w:pPr>
      <w:rPr>
        <w:rFonts w:ascii="Symbol" w:hAnsi="Symbol"/>
      </w:rPr>
    </w:lvl>
    <w:lvl w:ilvl="8" w:tplc="E03AD63C">
      <w:start w:val="1"/>
      <w:numFmt w:val="bullet"/>
      <w:lvlText w:val=""/>
      <w:lvlJc w:val="left"/>
      <w:pPr>
        <w:ind w:left="1440" w:hanging="360"/>
      </w:pPr>
      <w:rPr>
        <w:rFonts w:ascii="Symbol" w:hAnsi="Symbol"/>
      </w:rPr>
    </w:lvl>
  </w:abstractNum>
  <w:abstractNum w:abstractNumId="30" w15:restartNumberingAfterBreak="0">
    <w:nsid w:val="58C83B76"/>
    <w:multiLevelType w:val="multilevel"/>
    <w:tmpl w:val="9A2AB876"/>
    <w:styleLink w:val="Style2"/>
    <w:lvl w:ilvl="0">
      <w:start w:val="1"/>
      <w:numFmt w:val="decimal"/>
      <w:lvlText w:val="%1"/>
      <w:lvlJc w:val="left"/>
      <w:pPr>
        <w:ind w:left="1134" w:hanging="1134"/>
      </w:pPr>
      <w:rPr>
        <w:rFonts w:ascii="Arial Bold" w:hAnsi="Arial Bold" w:cstheme="majorBidi" w:hint="default"/>
        <w:b/>
        <w:i w:val="0"/>
        <w:color w:val="15272F" w:themeColor="text1"/>
        <w:sz w:val="72"/>
      </w:rPr>
    </w:lvl>
    <w:lvl w:ilvl="1">
      <w:start w:val="1"/>
      <w:numFmt w:val="decimal"/>
      <w:isLgl/>
      <w:lvlText w:val="%1.%2"/>
      <w:lvlJc w:val="left"/>
      <w:pPr>
        <w:ind w:left="1134" w:hanging="1134"/>
      </w:pPr>
      <w:rPr>
        <w:rFonts w:ascii="Arial Bold" w:hAnsi="Arial Bold" w:hint="default"/>
        <w:b/>
        <w:i w:val="0"/>
        <w:color w:val="104F99" w:themeColor="accent2"/>
        <w:sz w:val="36"/>
      </w:rPr>
    </w:lvl>
    <w:lvl w:ilvl="2">
      <w:start w:val="1"/>
      <w:numFmt w:val="decimal"/>
      <w:isLgl/>
      <w:lvlText w:val="%1.%2.%3"/>
      <w:lvlJc w:val="left"/>
      <w:pPr>
        <w:ind w:left="1134" w:hanging="1134"/>
      </w:pPr>
      <w:rPr>
        <w:rFonts w:hint="default"/>
      </w:rPr>
    </w:lvl>
    <w:lvl w:ilvl="3">
      <w:start w:val="1"/>
      <w:numFmt w:val="upperLetter"/>
      <w:lvlText w:val="%1.%2.%3%4"/>
      <w:lvlJc w:val="left"/>
      <w:pPr>
        <w:ind w:left="851" w:hanging="851"/>
      </w:pPr>
      <w:rPr>
        <w:rFonts w:ascii="Arial" w:hAnsi="Arial" w:hint="default"/>
        <w:color w:val="15272F" w:themeColor="text1"/>
        <w:sz w:val="20"/>
        <w:u w:val="none"/>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31" w15:restartNumberingAfterBreak="0">
    <w:nsid w:val="5F674547"/>
    <w:multiLevelType w:val="hybridMultilevel"/>
    <w:tmpl w:val="DC86A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77078C"/>
    <w:multiLevelType w:val="hybridMultilevel"/>
    <w:tmpl w:val="49887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B441ED"/>
    <w:multiLevelType w:val="hybridMultilevel"/>
    <w:tmpl w:val="CB6692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1C67E6"/>
    <w:multiLevelType w:val="hybridMultilevel"/>
    <w:tmpl w:val="69C667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944C15"/>
    <w:multiLevelType w:val="hybridMultilevel"/>
    <w:tmpl w:val="FA901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EA3961"/>
    <w:multiLevelType w:val="hybridMultilevel"/>
    <w:tmpl w:val="EE442B42"/>
    <w:lvl w:ilvl="0" w:tplc="71BE2A7A">
      <w:start w:val="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302DFA"/>
    <w:multiLevelType w:val="hybridMultilevel"/>
    <w:tmpl w:val="CADC054A"/>
    <w:lvl w:ilvl="0" w:tplc="051E97CA">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8" w15:restartNumberingAfterBreak="0">
    <w:nsid w:val="6CC92763"/>
    <w:multiLevelType w:val="hybridMultilevel"/>
    <w:tmpl w:val="CF2EAF1C"/>
    <w:lvl w:ilvl="0" w:tplc="06CC3A54">
      <w:start w:val="1"/>
      <w:numFmt w:val="bullet"/>
      <w:lvlText w:val=""/>
      <w:lvlJc w:val="left"/>
      <w:pPr>
        <w:ind w:left="1440" w:hanging="360"/>
      </w:pPr>
      <w:rPr>
        <w:rFonts w:ascii="Symbol" w:hAnsi="Symbol"/>
      </w:rPr>
    </w:lvl>
    <w:lvl w:ilvl="1" w:tplc="79A07ED4">
      <w:start w:val="1"/>
      <w:numFmt w:val="bullet"/>
      <w:lvlText w:val=""/>
      <w:lvlJc w:val="left"/>
      <w:pPr>
        <w:ind w:left="2160" w:hanging="360"/>
      </w:pPr>
      <w:rPr>
        <w:rFonts w:ascii="Symbol" w:hAnsi="Symbol"/>
      </w:rPr>
    </w:lvl>
    <w:lvl w:ilvl="2" w:tplc="4656E782">
      <w:start w:val="1"/>
      <w:numFmt w:val="bullet"/>
      <w:lvlText w:val=""/>
      <w:lvlJc w:val="left"/>
      <w:pPr>
        <w:ind w:left="2880" w:hanging="360"/>
      </w:pPr>
      <w:rPr>
        <w:rFonts w:ascii="Symbol" w:hAnsi="Symbol"/>
      </w:rPr>
    </w:lvl>
    <w:lvl w:ilvl="3" w:tplc="AD3A2C96">
      <w:start w:val="1"/>
      <w:numFmt w:val="bullet"/>
      <w:lvlText w:val=""/>
      <w:lvlJc w:val="left"/>
      <w:pPr>
        <w:ind w:left="1440" w:hanging="360"/>
      </w:pPr>
      <w:rPr>
        <w:rFonts w:ascii="Symbol" w:hAnsi="Symbol"/>
      </w:rPr>
    </w:lvl>
    <w:lvl w:ilvl="4" w:tplc="E39EC310">
      <w:start w:val="1"/>
      <w:numFmt w:val="bullet"/>
      <w:lvlText w:val=""/>
      <w:lvlJc w:val="left"/>
      <w:pPr>
        <w:ind w:left="1440" w:hanging="360"/>
      </w:pPr>
      <w:rPr>
        <w:rFonts w:ascii="Symbol" w:hAnsi="Symbol"/>
      </w:rPr>
    </w:lvl>
    <w:lvl w:ilvl="5" w:tplc="B240B7EC">
      <w:start w:val="1"/>
      <w:numFmt w:val="bullet"/>
      <w:lvlText w:val=""/>
      <w:lvlJc w:val="left"/>
      <w:pPr>
        <w:ind w:left="1440" w:hanging="360"/>
      </w:pPr>
      <w:rPr>
        <w:rFonts w:ascii="Symbol" w:hAnsi="Symbol"/>
      </w:rPr>
    </w:lvl>
    <w:lvl w:ilvl="6" w:tplc="5CCC64C0">
      <w:start w:val="1"/>
      <w:numFmt w:val="bullet"/>
      <w:lvlText w:val=""/>
      <w:lvlJc w:val="left"/>
      <w:pPr>
        <w:ind w:left="1440" w:hanging="360"/>
      </w:pPr>
      <w:rPr>
        <w:rFonts w:ascii="Symbol" w:hAnsi="Symbol"/>
      </w:rPr>
    </w:lvl>
    <w:lvl w:ilvl="7" w:tplc="A1721890">
      <w:start w:val="1"/>
      <w:numFmt w:val="bullet"/>
      <w:lvlText w:val=""/>
      <w:lvlJc w:val="left"/>
      <w:pPr>
        <w:ind w:left="1440" w:hanging="360"/>
      </w:pPr>
      <w:rPr>
        <w:rFonts w:ascii="Symbol" w:hAnsi="Symbol"/>
      </w:rPr>
    </w:lvl>
    <w:lvl w:ilvl="8" w:tplc="AA14348C">
      <w:start w:val="1"/>
      <w:numFmt w:val="bullet"/>
      <w:lvlText w:val=""/>
      <w:lvlJc w:val="left"/>
      <w:pPr>
        <w:ind w:left="1440" w:hanging="360"/>
      </w:pPr>
      <w:rPr>
        <w:rFonts w:ascii="Symbol" w:hAnsi="Symbol"/>
      </w:rPr>
    </w:lvl>
  </w:abstractNum>
  <w:abstractNum w:abstractNumId="39" w15:restartNumberingAfterBreak="0">
    <w:nsid w:val="70801BF2"/>
    <w:multiLevelType w:val="hybridMultilevel"/>
    <w:tmpl w:val="87FAE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4F734C"/>
    <w:multiLevelType w:val="hybridMultilevel"/>
    <w:tmpl w:val="EA7AD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BC4567"/>
    <w:multiLevelType w:val="multilevel"/>
    <w:tmpl w:val="11DC9BCE"/>
    <w:numStyleLink w:val="Style1"/>
  </w:abstractNum>
  <w:abstractNum w:abstractNumId="42" w15:restartNumberingAfterBreak="0">
    <w:nsid w:val="7A9C7C25"/>
    <w:multiLevelType w:val="hybridMultilevel"/>
    <w:tmpl w:val="E76E0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F577BD"/>
    <w:multiLevelType w:val="multilevel"/>
    <w:tmpl w:val="AFFCEE60"/>
    <w:lvl w:ilvl="0">
      <w:start w:val="3"/>
      <w:numFmt w:val="decimal"/>
      <w:lvlText w:val="%1"/>
      <w:lvlJc w:val="left"/>
      <w:pPr>
        <w:ind w:left="500" w:hanging="5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718" w:hanging="144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6288" w:hanging="2880"/>
      </w:pPr>
      <w:rPr>
        <w:rFonts w:hint="default"/>
      </w:rPr>
    </w:lvl>
  </w:abstractNum>
  <w:abstractNum w:abstractNumId="44" w15:restartNumberingAfterBreak="0">
    <w:nsid w:val="7E2D5DA5"/>
    <w:multiLevelType w:val="hybridMultilevel"/>
    <w:tmpl w:val="ABC652B0"/>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FAD66D8"/>
    <w:multiLevelType w:val="hybridMultilevel"/>
    <w:tmpl w:val="0780FC38"/>
    <w:lvl w:ilvl="0" w:tplc="C7B26AB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5097547">
    <w:abstractNumId w:val="25"/>
  </w:num>
  <w:num w:numId="2" w16cid:durableId="1925458730">
    <w:abstractNumId w:val="13"/>
  </w:num>
  <w:num w:numId="3" w16cid:durableId="506214995">
    <w:abstractNumId w:val="4"/>
  </w:num>
  <w:num w:numId="4" w16cid:durableId="1875648973">
    <w:abstractNumId w:val="40"/>
  </w:num>
  <w:num w:numId="5" w16cid:durableId="1230193391">
    <w:abstractNumId w:val="3"/>
  </w:num>
  <w:num w:numId="6" w16cid:durableId="704908740">
    <w:abstractNumId w:val="18"/>
  </w:num>
  <w:num w:numId="7" w16cid:durableId="1450510195">
    <w:abstractNumId w:val="14"/>
  </w:num>
  <w:num w:numId="8" w16cid:durableId="1346594328">
    <w:abstractNumId w:val="30"/>
  </w:num>
  <w:num w:numId="9" w16cid:durableId="1957330390">
    <w:abstractNumId w:val="19"/>
  </w:num>
  <w:num w:numId="10" w16cid:durableId="1552839486">
    <w:abstractNumId w:val="32"/>
  </w:num>
  <w:num w:numId="11" w16cid:durableId="1713772718">
    <w:abstractNumId w:val="12"/>
  </w:num>
  <w:num w:numId="12" w16cid:durableId="1922059621">
    <w:abstractNumId w:val="31"/>
  </w:num>
  <w:num w:numId="13" w16cid:durableId="10571652">
    <w:abstractNumId w:val="26"/>
  </w:num>
  <w:num w:numId="14" w16cid:durableId="1196846066">
    <w:abstractNumId w:val="0"/>
  </w:num>
  <w:num w:numId="15" w16cid:durableId="1152524378">
    <w:abstractNumId w:val="37"/>
  </w:num>
  <w:num w:numId="16" w16cid:durableId="1894653477">
    <w:abstractNumId w:val="36"/>
  </w:num>
  <w:num w:numId="17" w16cid:durableId="1408848211">
    <w:abstractNumId w:val="28"/>
  </w:num>
  <w:num w:numId="18" w16cid:durableId="748159846">
    <w:abstractNumId w:val="43"/>
  </w:num>
  <w:num w:numId="19" w16cid:durableId="168453258">
    <w:abstractNumId w:val="17"/>
  </w:num>
  <w:num w:numId="20" w16cid:durableId="1629773331">
    <w:abstractNumId w:val="20"/>
  </w:num>
  <w:num w:numId="21" w16cid:durableId="1911308114">
    <w:abstractNumId w:val="35"/>
  </w:num>
  <w:num w:numId="22" w16cid:durableId="1364818457">
    <w:abstractNumId w:val="45"/>
  </w:num>
  <w:num w:numId="23" w16cid:durableId="1208838301">
    <w:abstractNumId w:val="7"/>
  </w:num>
  <w:num w:numId="24" w16cid:durableId="380635836">
    <w:abstractNumId w:val="21"/>
  </w:num>
  <w:num w:numId="25" w16cid:durableId="462625862">
    <w:abstractNumId w:val="39"/>
  </w:num>
  <w:num w:numId="26" w16cid:durableId="6991615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60887768">
    <w:abstractNumId w:val="33"/>
  </w:num>
  <w:num w:numId="28" w16cid:durableId="1591620626">
    <w:abstractNumId w:val="44"/>
  </w:num>
  <w:num w:numId="29" w16cid:durableId="1300262103">
    <w:abstractNumId w:val="10"/>
  </w:num>
  <w:num w:numId="30" w16cid:durableId="313030964">
    <w:abstractNumId w:val="2"/>
  </w:num>
  <w:num w:numId="31" w16cid:durableId="1144271694">
    <w:abstractNumId w:val="42"/>
  </w:num>
  <w:num w:numId="32" w16cid:durableId="1813211697">
    <w:abstractNumId w:val="11"/>
  </w:num>
  <w:num w:numId="33" w16cid:durableId="1498960810">
    <w:abstractNumId w:val="8"/>
  </w:num>
  <w:num w:numId="34" w16cid:durableId="1183130952">
    <w:abstractNumId w:val="41"/>
  </w:num>
  <w:num w:numId="35" w16cid:durableId="1423724121">
    <w:abstractNumId w:val="1"/>
  </w:num>
  <w:num w:numId="36" w16cid:durableId="2085031981">
    <w:abstractNumId w:val="23"/>
    <w:lvlOverride w:ilvl="0">
      <w:lvl w:ilvl="0">
        <w:start w:val="1"/>
        <w:numFmt w:val="decimal"/>
        <w:lvlText w:val="%1"/>
        <w:lvlJc w:val="left"/>
        <w:pPr>
          <w:ind w:left="1134" w:hanging="1134"/>
        </w:pPr>
        <w:rPr>
          <w:rFonts w:ascii="Arial Bold" w:hAnsi="Arial Bold" w:cstheme="majorBidi" w:hint="default"/>
          <w:b/>
          <w:i w:val="0"/>
          <w:color w:val="15272F" w:themeColor="text1"/>
          <w:sz w:val="72"/>
        </w:rPr>
      </w:lvl>
    </w:lvlOverride>
    <w:lvlOverride w:ilvl="1">
      <w:lvl w:ilvl="1">
        <w:start w:val="1"/>
        <w:numFmt w:val="decimal"/>
        <w:isLgl/>
        <w:lvlText w:val="%1.%2"/>
        <w:lvlJc w:val="left"/>
        <w:pPr>
          <w:ind w:left="1134" w:hanging="1134"/>
        </w:pPr>
        <w:rPr>
          <w:rFonts w:ascii="Arial Bold" w:hAnsi="Arial Bold" w:hint="default"/>
          <w:b/>
          <w:i w:val="0"/>
          <w:color w:val="104F99" w:themeColor="accent2"/>
          <w:sz w:val="36"/>
        </w:rPr>
      </w:lvl>
    </w:lvlOverride>
    <w:lvlOverride w:ilvl="2">
      <w:lvl w:ilvl="2">
        <w:start w:val="1"/>
        <w:numFmt w:val="decimal"/>
        <w:isLgl/>
        <w:lvlText w:val="%1.%2.%3"/>
        <w:lvlJc w:val="left"/>
        <w:pPr>
          <w:ind w:left="1134" w:hanging="1134"/>
        </w:pPr>
        <w:rPr>
          <w:rFonts w:hint="default"/>
        </w:rPr>
      </w:lvl>
    </w:lvlOverride>
    <w:lvlOverride w:ilvl="3">
      <w:lvl w:ilvl="3">
        <w:start w:val="1"/>
        <w:numFmt w:val="upperLetter"/>
        <w:lvlText w:val="%1.%2.%3%4"/>
        <w:lvlJc w:val="left"/>
        <w:pPr>
          <w:ind w:left="851" w:hanging="851"/>
        </w:pPr>
        <w:rPr>
          <w:rFonts w:ascii="Arial" w:hAnsi="Arial" w:hint="default"/>
          <w:color w:val="15272F" w:themeColor="text1"/>
          <w:sz w:val="20"/>
          <w:u w:val="none"/>
        </w:rPr>
      </w:lvl>
    </w:lvlOverride>
    <w:lvlOverride w:ilvl="4">
      <w:lvl w:ilvl="4">
        <w:start w:val="1"/>
        <w:numFmt w:val="decimal"/>
        <w:isLgl/>
        <w:lvlText w:val="%1.%2.%3.%4.%5"/>
        <w:lvlJc w:val="left"/>
        <w:pPr>
          <w:ind w:left="1134" w:hanging="1134"/>
        </w:pPr>
        <w:rPr>
          <w:rFonts w:hint="default"/>
        </w:rPr>
      </w:lvl>
    </w:lvlOverride>
    <w:lvlOverride w:ilvl="5">
      <w:lvl w:ilvl="5">
        <w:start w:val="1"/>
        <w:numFmt w:val="decimal"/>
        <w:isLgl/>
        <w:lvlText w:val="%1.%2.%3.%4.%5.%6"/>
        <w:lvlJc w:val="left"/>
        <w:pPr>
          <w:ind w:left="1134" w:hanging="1134"/>
        </w:pPr>
        <w:rPr>
          <w:rFonts w:hint="default"/>
        </w:rPr>
      </w:lvl>
    </w:lvlOverride>
    <w:lvlOverride w:ilvl="6">
      <w:lvl w:ilvl="6">
        <w:start w:val="1"/>
        <w:numFmt w:val="decimal"/>
        <w:isLgl/>
        <w:lvlText w:val="%1.%2.%3.%4.%5.%6.%7"/>
        <w:lvlJc w:val="left"/>
        <w:pPr>
          <w:ind w:left="1134" w:hanging="1134"/>
        </w:pPr>
        <w:rPr>
          <w:rFonts w:hint="default"/>
        </w:rPr>
      </w:lvl>
    </w:lvlOverride>
    <w:lvlOverride w:ilvl="7">
      <w:lvl w:ilvl="7">
        <w:start w:val="1"/>
        <w:numFmt w:val="decimal"/>
        <w:isLgl/>
        <w:lvlText w:val="%1.%2.%3.%4.%5.%6.%7.%8"/>
        <w:lvlJc w:val="left"/>
        <w:pPr>
          <w:ind w:left="1134" w:hanging="1134"/>
        </w:pPr>
        <w:rPr>
          <w:rFonts w:hint="default"/>
        </w:rPr>
      </w:lvl>
    </w:lvlOverride>
    <w:lvlOverride w:ilvl="8">
      <w:lvl w:ilvl="8">
        <w:start w:val="1"/>
        <w:numFmt w:val="decimal"/>
        <w:isLgl/>
        <w:lvlText w:val="%1.%2.%3.%4.%5.%6.%7.%8.%9"/>
        <w:lvlJc w:val="left"/>
        <w:pPr>
          <w:ind w:left="1134" w:hanging="1134"/>
        </w:pPr>
        <w:rPr>
          <w:rFonts w:hint="default"/>
        </w:rPr>
      </w:lvl>
    </w:lvlOverride>
  </w:num>
  <w:num w:numId="37" w16cid:durableId="658388093">
    <w:abstractNumId w:val="23"/>
    <w:lvlOverride w:ilvl="0">
      <w:lvl w:ilvl="0">
        <w:start w:val="1"/>
        <w:numFmt w:val="decimal"/>
        <w:lvlText w:val="%1"/>
        <w:lvlJc w:val="left"/>
        <w:pPr>
          <w:ind w:left="1134" w:hanging="1134"/>
        </w:pPr>
        <w:rPr>
          <w:rFonts w:ascii="Arial Bold" w:hAnsi="Arial Bold" w:cstheme="majorBidi" w:hint="default"/>
          <w:b/>
          <w:i w:val="0"/>
          <w:color w:val="15272F" w:themeColor="text1"/>
          <w:sz w:val="72"/>
        </w:rPr>
      </w:lvl>
    </w:lvlOverride>
    <w:lvlOverride w:ilvl="1">
      <w:lvl w:ilvl="1">
        <w:start w:val="1"/>
        <w:numFmt w:val="decimal"/>
        <w:isLgl/>
        <w:lvlText w:val="%1.%2"/>
        <w:lvlJc w:val="left"/>
        <w:pPr>
          <w:ind w:left="1134" w:hanging="1134"/>
        </w:pPr>
        <w:rPr>
          <w:rFonts w:ascii="Arial Bold" w:hAnsi="Arial Bold" w:hint="default"/>
          <w:b/>
          <w:i w:val="0"/>
          <w:color w:val="104F99" w:themeColor="accent2"/>
          <w:sz w:val="36"/>
        </w:rPr>
      </w:lvl>
    </w:lvlOverride>
    <w:lvlOverride w:ilvl="2">
      <w:lvl w:ilvl="2">
        <w:start w:val="1"/>
        <w:numFmt w:val="decimal"/>
        <w:isLgl/>
        <w:lvlText w:val="%1.%2.%3"/>
        <w:lvlJc w:val="left"/>
        <w:pPr>
          <w:ind w:left="1134" w:hanging="1134"/>
        </w:pPr>
        <w:rPr>
          <w:rFonts w:hint="default"/>
        </w:rPr>
      </w:lvl>
    </w:lvlOverride>
    <w:lvlOverride w:ilvl="3">
      <w:lvl w:ilvl="3">
        <w:start w:val="1"/>
        <w:numFmt w:val="upperLetter"/>
        <w:lvlText w:val="%1.%2.%3%4"/>
        <w:lvlJc w:val="left"/>
        <w:pPr>
          <w:ind w:left="851" w:hanging="851"/>
        </w:pPr>
        <w:rPr>
          <w:rFonts w:ascii="Arial" w:hAnsi="Arial" w:hint="default"/>
          <w:color w:val="15272F" w:themeColor="text1"/>
          <w:sz w:val="20"/>
          <w:u w:val="none"/>
        </w:rPr>
      </w:lvl>
    </w:lvlOverride>
    <w:lvlOverride w:ilvl="4">
      <w:lvl w:ilvl="4">
        <w:start w:val="1"/>
        <w:numFmt w:val="decimal"/>
        <w:isLgl/>
        <w:lvlText w:val="%1.%2.%3.%4.%5"/>
        <w:lvlJc w:val="left"/>
        <w:pPr>
          <w:ind w:left="1134" w:hanging="1134"/>
        </w:pPr>
        <w:rPr>
          <w:rFonts w:hint="default"/>
        </w:rPr>
      </w:lvl>
    </w:lvlOverride>
    <w:lvlOverride w:ilvl="5">
      <w:lvl w:ilvl="5">
        <w:start w:val="1"/>
        <w:numFmt w:val="decimal"/>
        <w:isLgl/>
        <w:lvlText w:val="%1.%2.%3.%4.%5.%6"/>
        <w:lvlJc w:val="left"/>
        <w:pPr>
          <w:ind w:left="1134" w:hanging="1134"/>
        </w:pPr>
        <w:rPr>
          <w:rFonts w:hint="default"/>
        </w:rPr>
      </w:lvl>
    </w:lvlOverride>
    <w:lvlOverride w:ilvl="6">
      <w:lvl w:ilvl="6">
        <w:start w:val="1"/>
        <w:numFmt w:val="decimal"/>
        <w:isLgl/>
        <w:lvlText w:val="%1.%2.%3.%4.%5.%6.%7"/>
        <w:lvlJc w:val="left"/>
        <w:pPr>
          <w:ind w:left="1134" w:hanging="1134"/>
        </w:pPr>
        <w:rPr>
          <w:rFonts w:hint="default"/>
        </w:rPr>
      </w:lvl>
    </w:lvlOverride>
    <w:lvlOverride w:ilvl="7">
      <w:lvl w:ilvl="7">
        <w:start w:val="1"/>
        <w:numFmt w:val="decimal"/>
        <w:isLgl/>
        <w:lvlText w:val="%1.%2.%3.%4.%5.%6.%7.%8"/>
        <w:lvlJc w:val="left"/>
        <w:pPr>
          <w:ind w:left="1134" w:hanging="1134"/>
        </w:pPr>
        <w:rPr>
          <w:rFonts w:hint="default"/>
        </w:rPr>
      </w:lvl>
    </w:lvlOverride>
    <w:lvlOverride w:ilvl="8">
      <w:lvl w:ilvl="8">
        <w:start w:val="1"/>
        <w:numFmt w:val="decimal"/>
        <w:isLgl/>
        <w:lvlText w:val="%1.%2.%3.%4.%5.%6.%7.%8.%9"/>
        <w:lvlJc w:val="left"/>
        <w:pPr>
          <w:ind w:left="1134" w:hanging="1134"/>
        </w:pPr>
        <w:rPr>
          <w:rFonts w:hint="default"/>
        </w:rPr>
      </w:lvl>
    </w:lvlOverride>
  </w:num>
  <w:num w:numId="38" w16cid:durableId="491483598">
    <w:abstractNumId w:val="23"/>
    <w:lvlOverride w:ilvl="0">
      <w:lvl w:ilvl="0">
        <w:start w:val="1"/>
        <w:numFmt w:val="decimal"/>
        <w:lvlText w:val="%1"/>
        <w:lvlJc w:val="left"/>
        <w:pPr>
          <w:ind w:left="1134" w:hanging="1134"/>
        </w:pPr>
        <w:rPr>
          <w:rFonts w:ascii="Arial Bold" w:hAnsi="Arial Bold" w:cstheme="majorBidi" w:hint="default"/>
          <w:b/>
          <w:i w:val="0"/>
          <w:color w:val="15272F" w:themeColor="text1"/>
          <w:sz w:val="72"/>
        </w:rPr>
      </w:lvl>
    </w:lvlOverride>
    <w:lvlOverride w:ilvl="1">
      <w:lvl w:ilvl="1">
        <w:start w:val="1"/>
        <w:numFmt w:val="decimal"/>
        <w:isLgl/>
        <w:lvlText w:val="%1.%2"/>
        <w:lvlJc w:val="left"/>
        <w:pPr>
          <w:ind w:left="1134" w:hanging="1134"/>
        </w:pPr>
        <w:rPr>
          <w:rFonts w:ascii="Arial Bold" w:hAnsi="Arial Bold" w:hint="default"/>
          <w:b/>
          <w:i w:val="0"/>
          <w:color w:val="104F99" w:themeColor="accent2"/>
          <w:sz w:val="36"/>
        </w:rPr>
      </w:lvl>
    </w:lvlOverride>
    <w:lvlOverride w:ilvl="2">
      <w:lvl w:ilvl="2">
        <w:start w:val="1"/>
        <w:numFmt w:val="decimal"/>
        <w:isLgl/>
        <w:lvlText w:val="%1.%2.%3"/>
        <w:lvlJc w:val="left"/>
        <w:pPr>
          <w:ind w:left="1134" w:hanging="1134"/>
        </w:pPr>
        <w:rPr>
          <w:rFonts w:hint="default"/>
        </w:rPr>
      </w:lvl>
    </w:lvlOverride>
    <w:lvlOverride w:ilvl="3">
      <w:lvl w:ilvl="3">
        <w:start w:val="1"/>
        <w:numFmt w:val="upperLetter"/>
        <w:lvlText w:val="%1.%2.%3%4"/>
        <w:lvlJc w:val="left"/>
        <w:pPr>
          <w:ind w:left="851" w:hanging="851"/>
        </w:pPr>
        <w:rPr>
          <w:rFonts w:ascii="Arial" w:hAnsi="Arial" w:hint="default"/>
          <w:color w:val="15272F" w:themeColor="text1"/>
          <w:sz w:val="20"/>
          <w:u w:val="none"/>
        </w:rPr>
      </w:lvl>
    </w:lvlOverride>
    <w:lvlOverride w:ilvl="4">
      <w:lvl w:ilvl="4">
        <w:start w:val="1"/>
        <w:numFmt w:val="decimal"/>
        <w:isLgl/>
        <w:lvlText w:val="%1.%2.%3.%4.%5"/>
        <w:lvlJc w:val="left"/>
        <w:pPr>
          <w:ind w:left="1134" w:hanging="1134"/>
        </w:pPr>
        <w:rPr>
          <w:rFonts w:hint="default"/>
        </w:rPr>
      </w:lvl>
    </w:lvlOverride>
    <w:lvlOverride w:ilvl="5">
      <w:lvl w:ilvl="5">
        <w:start w:val="1"/>
        <w:numFmt w:val="decimal"/>
        <w:isLgl/>
        <w:lvlText w:val="%1.%2.%3.%4.%5.%6"/>
        <w:lvlJc w:val="left"/>
        <w:pPr>
          <w:ind w:left="1134" w:hanging="1134"/>
        </w:pPr>
        <w:rPr>
          <w:rFonts w:hint="default"/>
        </w:rPr>
      </w:lvl>
    </w:lvlOverride>
    <w:lvlOverride w:ilvl="6">
      <w:lvl w:ilvl="6">
        <w:start w:val="1"/>
        <w:numFmt w:val="decimal"/>
        <w:isLgl/>
        <w:lvlText w:val="%1.%2.%3.%4.%5.%6.%7"/>
        <w:lvlJc w:val="left"/>
        <w:pPr>
          <w:ind w:left="1134" w:hanging="1134"/>
        </w:pPr>
        <w:rPr>
          <w:rFonts w:hint="default"/>
        </w:rPr>
      </w:lvl>
    </w:lvlOverride>
    <w:lvlOverride w:ilvl="7">
      <w:lvl w:ilvl="7">
        <w:start w:val="1"/>
        <w:numFmt w:val="decimal"/>
        <w:isLgl/>
        <w:lvlText w:val="%1.%2.%3.%4.%5.%6.%7.%8"/>
        <w:lvlJc w:val="left"/>
        <w:pPr>
          <w:ind w:left="1134" w:hanging="1134"/>
        </w:pPr>
        <w:rPr>
          <w:rFonts w:hint="default"/>
        </w:rPr>
      </w:lvl>
    </w:lvlOverride>
    <w:lvlOverride w:ilvl="8">
      <w:lvl w:ilvl="8">
        <w:start w:val="1"/>
        <w:numFmt w:val="decimal"/>
        <w:isLgl/>
        <w:lvlText w:val="%1.%2.%3.%4.%5.%6.%7.%8.%9"/>
        <w:lvlJc w:val="left"/>
        <w:pPr>
          <w:ind w:left="1134" w:hanging="1134"/>
        </w:pPr>
        <w:rPr>
          <w:rFonts w:hint="default"/>
        </w:rPr>
      </w:lvl>
    </w:lvlOverride>
  </w:num>
  <w:num w:numId="39" w16cid:durableId="1650403877">
    <w:abstractNumId w:val="23"/>
    <w:lvlOverride w:ilvl="0">
      <w:startOverride w:val="1"/>
      <w:lvl w:ilvl="0">
        <w:start w:val="1"/>
        <w:numFmt w:val="decimal"/>
        <w:lvlText w:val="%1"/>
        <w:lvlJc w:val="left"/>
        <w:pPr>
          <w:ind w:left="1134" w:hanging="1134"/>
        </w:pPr>
        <w:rPr>
          <w:rFonts w:ascii="Arial Bold" w:hAnsi="Arial Bold" w:cstheme="majorBidi" w:hint="default"/>
          <w:b/>
          <w:i w:val="0"/>
          <w:color w:val="15272F" w:themeColor="text1"/>
          <w:sz w:val="72"/>
        </w:rPr>
      </w:lvl>
    </w:lvlOverride>
    <w:lvlOverride w:ilvl="1">
      <w:startOverride w:val="1"/>
      <w:lvl w:ilvl="1">
        <w:start w:val="1"/>
        <w:numFmt w:val="decimal"/>
        <w:isLgl/>
        <w:lvlText w:val="%1.%2"/>
        <w:lvlJc w:val="left"/>
        <w:pPr>
          <w:ind w:left="1134" w:hanging="1134"/>
        </w:pPr>
        <w:rPr>
          <w:rFonts w:ascii="Arial Bold" w:hAnsi="Arial Bold" w:hint="default"/>
          <w:b/>
          <w:i w:val="0"/>
          <w:color w:val="104F99" w:themeColor="accent2"/>
          <w:sz w:val="36"/>
        </w:rPr>
      </w:lvl>
    </w:lvlOverride>
    <w:lvlOverride w:ilvl="2">
      <w:startOverride w:val="1"/>
      <w:lvl w:ilvl="2">
        <w:start w:val="1"/>
        <w:numFmt w:val="decimal"/>
        <w:isLgl/>
        <w:lvlText w:val="%1.%2.%3"/>
        <w:lvlJc w:val="left"/>
        <w:pPr>
          <w:ind w:left="1134" w:hanging="1134"/>
        </w:pPr>
        <w:rPr>
          <w:rFonts w:hint="default"/>
        </w:rPr>
      </w:lvl>
    </w:lvlOverride>
    <w:lvlOverride w:ilvl="3">
      <w:startOverride w:val="1"/>
      <w:lvl w:ilvl="3">
        <w:start w:val="1"/>
        <w:numFmt w:val="upperLetter"/>
        <w:lvlText w:val="%1.%2.%3%4"/>
        <w:lvlJc w:val="left"/>
        <w:pPr>
          <w:ind w:left="851" w:hanging="851"/>
        </w:pPr>
        <w:rPr>
          <w:rFonts w:ascii="Arial" w:hAnsi="Arial" w:hint="default"/>
          <w:color w:val="15272F" w:themeColor="text1"/>
          <w:sz w:val="20"/>
          <w:u w:val="none"/>
        </w:rPr>
      </w:lvl>
    </w:lvlOverride>
    <w:lvlOverride w:ilvl="4">
      <w:startOverride w:val="1"/>
      <w:lvl w:ilvl="4">
        <w:start w:val="1"/>
        <w:numFmt w:val="decimal"/>
        <w:isLgl/>
        <w:lvlText w:val="%1.%2.%3.%4.%5"/>
        <w:lvlJc w:val="left"/>
        <w:pPr>
          <w:ind w:left="1134" w:hanging="1134"/>
        </w:pPr>
        <w:rPr>
          <w:rFonts w:hint="default"/>
        </w:rPr>
      </w:lvl>
    </w:lvlOverride>
    <w:lvlOverride w:ilvl="5">
      <w:startOverride w:val="1"/>
      <w:lvl w:ilvl="5">
        <w:start w:val="1"/>
        <w:numFmt w:val="decimal"/>
        <w:isLgl/>
        <w:lvlText w:val="%1.%2.%3.%4.%5.%6"/>
        <w:lvlJc w:val="left"/>
        <w:pPr>
          <w:ind w:left="1134" w:hanging="1134"/>
        </w:pPr>
        <w:rPr>
          <w:rFonts w:hint="default"/>
        </w:rPr>
      </w:lvl>
    </w:lvlOverride>
    <w:lvlOverride w:ilvl="6">
      <w:startOverride w:val="1"/>
      <w:lvl w:ilvl="6">
        <w:start w:val="1"/>
        <w:numFmt w:val="decimal"/>
        <w:isLgl/>
        <w:lvlText w:val="%1.%2.%3.%4.%5.%6.%7"/>
        <w:lvlJc w:val="left"/>
        <w:pPr>
          <w:ind w:left="1134" w:hanging="1134"/>
        </w:pPr>
        <w:rPr>
          <w:rFonts w:hint="default"/>
        </w:rPr>
      </w:lvl>
    </w:lvlOverride>
    <w:lvlOverride w:ilvl="7">
      <w:startOverride w:val="1"/>
      <w:lvl w:ilvl="7">
        <w:start w:val="1"/>
        <w:numFmt w:val="decimal"/>
        <w:isLgl/>
        <w:lvlText w:val="%1.%2.%3.%4.%5.%6.%7.%8"/>
        <w:lvlJc w:val="left"/>
        <w:pPr>
          <w:ind w:left="1134" w:hanging="1134"/>
        </w:pPr>
        <w:rPr>
          <w:rFonts w:hint="default"/>
        </w:rPr>
      </w:lvl>
    </w:lvlOverride>
    <w:lvlOverride w:ilvl="8">
      <w:startOverride w:val="1"/>
      <w:lvl w:ilvl="8">
        <w:start w:val="1"/>
        <w:numFmt w:val="decimal"/>
        <w:isLgl/>
        <w:lvlText w:val="%1.%2.%3.%4.%5.%6.%7.%8.%9"/>
        <w:lvlJc w:val="left"/>
        <w:pPr>
          <w:ind w:left="1134" w:hanging="1134"/>
        </w:pPr>
        <w:rPr>
          <w:rFonts w:hint="default"/>
        </w:rPr>
      </w:lvl>
    </w:lvlOverride>
  </w:num>
  <w:num w:numId="40" w16cid:durableId="856194595">
    <w:abstractNumId w:val="29"/>
  </w:num>
  <w:num w:numId="41" w16cid:durableId="1814331258">
    <w:abstractNumId w:val="34"/>
  </w:num>
  <w:num w:numId="42" w16cid:durableId="254679486">
    <w:abstractNumId w:val="5"/>
  </w:num>
  <w:num w:numId="43" w16cid:durableId="1773359914">
    <w:abstractNumId w:val="24"/>
  </w:num>
  <w:num w:numId="44" w16cid:durableId="1833443068">
    <w:abstractNumId w:val="6"/>
  </w:num>
  <w:num w:numId="45" w16cid:durableId="1812165569">
    <w:abstractNumId w:val="16"/>
  </w:num>
  <w:num w:numId="46" w16cid:durableId="889073212">
    <w:abstractNumId w:val="38"/>
  </w:num>
  <w:num w:numId="47" w16cid:durableId="677389557">
    <w:abstractNumId w:val="27"/>
  </w:num>
  <w:num w:numId="48" w16cid:durableId="814107144">
    <w:abstractNumId w:val="22"/>
  </w:num>
  <w:num w:numId="49" w16cid:durableId="464080854">
    <w:abstractNumId w:val="9"/>
  </w:num>
  <w:num w:numId="50" w16cid:durableId="177447317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0" w:nlCheck="1" w:checkStyle="0"/>
  <w:activeWritingStyle w:appName="MSWord" w:lang="en-US" w:vendorID="64" w:dllVersion="0" w:nlCheck="1" w:checkStyle="0"/>
  <w:proofState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977"/>
    <w:rsid w:val="00000111"/>
    <w:rsid w:val="00000C47"/>
    <w:rsid w:val="00001F99"/>
    <w:rsid w:val="00002F99"/>
    <w:rsid w:val="00003B38"/>
    <w:rsid w:val="000043EE"/>
    <w:rsid w:val="000049AB"/>
    <w:rsid w:val="00006557"/>
    <w:rsid w:val="00006A21"/>
    <w:rsid w:val="000100A1"/>
    <w:rsid w:val="00010C23"/>
    <w:rsid w:val="00010DBE"/>
    <w:rsid w:val="00011A76"/>
    <w:rsid w:val="00012266"/>
    <w:rsid w:val="00012F7A"/>
    <w:rsid w:val="000138DC"/>
    <w:rsid w:val="0001391E"/>
    <w:rsid w:val="00014399"/>
    <w:rsid w:val="000149CC"/>
    <w:rsid w:val="00016365"/>
    <w:rsid w:val="00016C74"/>
    <w:rsid w:val="00017199"/>
    <w:rsid w:val="000218FB"/>
    <w:rsid w:val="000223BF"/>
    <w:rsid w:val="00022A20"/>
    <w:rsid w:val="00023794"/>
    <w:rsid w:val="000245F6"/>
    <w:rsid w:val="0002496E"/>
    <w:rsid w:val="000277EC"/>
    <w:rsid w:val="0003022F"/>
    <w:rsid w:val="000312AE"/>
    <w:rsid w:val="00031DD7"/>
    <w:rsid w:val="00032BEF"/>
    <w:rsid w:val="0003335D"/>
    <w:rsid w:val="00033AA1"/>
    <w:rsid w:val="000342AE"/>
    <w:rsid w:val="000348DE"/>
    <w:rsid w:val="000363F3"/>
    <w:rsid w:val="0004049E"/>
    <w:rsid w:val="00040667"/>
    <w:rsid w:val="0004156A"/>
    <w:rsid w:val="00042C67"/>
    <w:rsid w:val="000442A8"/>
    <w:rsid w:val="0004573F"/>
    <w:rsid w:val="00045AC8"/>
    <w:rsid w:val="000460D5"/>
    <w:rsid w:val="00050320"/>
    <w:rsid w:val="00050DFA"/>
    <w:rsid w:val="00053032"/>
    <w:rsid w:val="000532D7"/>
    <w:rsid w:val="000562C5"/>
    <w:rsid w:val="00056DEA"/>
    <w:rsid w:val="0006060C"/>
    <w:rsid w:val="00060E4B"/>
    <w:rsid w:val="00061A59"/>
    <w:rsid w:val="0006261E"/>
    <w:rsid w:val="0006381D"/>
    <w:rsid w:val="00064B2E"/>
    <w:rsid w:val="00065042"/>
    <w:rsid w:val="00066FB6"/>
    <w:rsid w:val="00067B6B"/>
    <w:rsid w:val="00067BCB"/>
    <w:rsid w:val="000718FE"/>
    <w:rsid w:val="00073857"/>
    <w:rsid w:val="000746B1"/>
    <w:rsid w:val="00077CF5"/>
    <w:rsid w:val="00081415"/>
    <w:rsid w:val="000821E1"/>
    <w:rsid w:val="0008265C"/>
    <w:rsid w:val="00082F6F"/>
    <w:rsid w:val="00084EAC"/>
    <w:rsid w:val="00085476"/>
    <w:rsid w:val="00086FED"/>
    <w:rsid w:val="000879E1"/>
    <w:rsid w:val="00087AD5"/>
    <w:rsid w:val="00087FC9"/>
    <w:rsid w:val="000903DC"/>
    <w:rsid w:val="000905D1"/>
    <w:rsid w:val="000925B5"/>
    <w:rsid w:val="00092C30"/>
    <w:rsid w:val="000936DE"/>
    <w:rsid w:val="00095CB2"/>
    <w:rsid w:val="00096DA2"/>
    <w:rsid w:val="00096E82"/>
    <w:rsid w:val="000A1513"/>
    <w:rsid w:val="000A1538"/>
    <w:rsid w:val="000A1964"/>
    <w:rsid w:val="000A1B4D"/>
    <w:rsid w:val="000A2AB2"/>
    <w:rsid w:val="000A440F"/>
    <w:rsid w:val="000A5379"/>
    <w:rsid w:val="000A54CC"/>
    <w:rsid w:val="000A605A"/>
    <w:rsid w:val="000A6A66"/>
    <w:rsid w:val="000A6FA8"/>
    <w:rsid w:val="000A726B"/>
    <w:rsid w:val="000A7EBC"/>
    <w:rsid w:val="000B1606"/>
    <w:rsid w:val="000B39CB"/>
    <w:rsid w:val="000B3C5E"/>
    <w:rsid w:val="000B5951"/>
    <w:rsid w:val="000B596E"/>
    <w:rsid w:val="000B5B32"/>
    <w:rsid w:val="000B5E88"/>
    <w:rsid w:val="000B7FE1"/>
    <w:rsid w:val="000C0B41"/>
    <w:rsid w:val="000C2D41"/>
    <w:rsid w:val="000C3140"/>
    <w:rsid w:val="000C38E5"/>
    <w:rsid w:val="000C39D8"/>
    <w:rsid w:val="000C48D4"/>
    <w:rsid w:val="000C4D3B"/>
    <w:rsid w:val="000C59B4"/>
    <w:rsid w:val="000C5A07"/>
    <w:rsid w:val="000C5C50"/>
    <w:rsid w:val="000C6C92"/>
    <w:rsid w:val="000C74DA"/>
    <w:rsid w:val="000C77C4"/>
    <w:rsid w:val="000D236F"/>
    <w:rsid w:val="000D240F"/>
    <w:rsid w:val="000D277F"/>
    <w:rsid w:val="000D3214"/>
    <w:rsid w:val="000D33F6"/>
    <w:rsid w:val="000D479D"/>
    <w:rsid w:val="000D482B"/>
    <w:rsid w:val="000D4ED9"/>
    <w:rsid w:val="000D576A"/>
    <w:rsid w:val="000D5EE6"/>
    <w:rsid w:val="000D6A27"/>
    <w:rsid w:val="000D736F"/>
    <w:rsid w:val="000D7666"/>
    <w:rsid w:val="000E0E1C"/>
    <w:rsid w:val="000E4155"/>
    <w:rsid w:val="000E53A7"/>
    <w:rsid w:val="000E5E9B"/>
    <w:rsid w:val="000E6F6B"/>
    <w:rsid w:val="000E756C"/>
    <w:rsid w:val="000F00D1"/>
    <w:rsid w:val="000F19CC"/>
    <w:rsid w:val="000F30B8"/>
    <w:rsid w:val="000F3BD3"/>
    <w:rsid w:val="000F49BC"/>
    <w:rsid w:val="000F4D5F"/>
    <w:rsid w:val="000F57BE"/>
    <w:rsid w:val="000F5A78"/>
    <w:rsid w:val="000F613F"/>
    <w:rsid w:val="000F6908"/>
    <w:rsid w:val="000F757C"/>
    <w:rsid w:val="00100413"/>
    <w:rsid w:val="00100AEB"/>
    <w:rsid w:val="00102F5C"/>
    <w:rsid w:val="00103001"/>
    <w:rsid w:val="001035A0"/>
    <w:rsid w:val="0010480C"/>
    <w:rsid w:val="00105854"/>
    <w:rsid w:val="001063CE"/>
    <w:rsid w:val="001117E3"/>
    <w:rsid w:val="001124C8"/>
    <w:rsid w:val="001125C4"/>
    <w:rsid w:val="001126CF"/>
    <w:rsid w:val="00113ADC"/>
    <w:rsid w:val="00113F39"/>
    <w:rsid w:val="00113F63"/>
    <w:rsid w:val="0011544A"/>
    <w:rsid w:val="00115614"/>
    <w:rsid w:val="001166B8"/>
    <w:rsid w:val="0011675E"/>
    <w:rsid w:val="00116959"/>
    <w:rsid w:val="0011720E"/>
    <w:rsid w:val="0012053C"/>
    <w:rsid w:val="0012086D"/>
    <w:rsid w:val="00121022"/>
    <w:rsid w:val="00124275"/>
    <w:rsid w:val="0012447F"/>
    <w:rsid w:val="00124624"/>
    <w:rsid w:val="001266DF"/>
    <w:rsid w:val="001301C3"/>
    <w:rsid w:val="001302D1"/>
    <w:rsid w:val="001304E1"/>
    <w:rsid w:val="0013101F"/>
    <w:rsid w:val="00132F41"/>
    <w:rsid w:val="00133876"/>
    <w:rsid w:val="00136F24"/>
    <w:rsid w:val="00137C5C"/>
    <w:rsid w:val="00140097"/>
    <w:rsid w:val="00140C5C"/>
    <w:rsid w:val="0014260A"/>
    <w:rsid w:val="001428C4"/>
    <w:rsid w:val="00143CEE"/>
    <w:rsid w:val="0014422F"/>
    <w:rsid w:val="0014443A"/>
    <w:rsid w:val="001445DF"/>
    <w:rsid w:val="001454AB"/>
    <w:rsid w:val="0015002C"/>
    <w:rsid w:val="0015067D"/>
    <w:rsid w:val="001508EF"/>
    <w:rsid w:val="00152F11"/>
    <w:rsid w:val="001536CF"/>
    <w:rsid w:val="00153AFE"/>
    <w:rsid w:val="00153DB4"/>
    <w:rsid w:val="00155314"/>
    <w:rsid w:val="00155517"/>
    <w:rsid w:val="0015622A"/>
    <w:rsid w:val="0015714E"/>
    <w:rsid w:val="00160466"/>
    <w:rsid w:val="00160C8E"/>
    <w:rsid w:val="00162767"/>
    <w:rsid w:val="00163D09"/>
    <w:rsid w:val="001640D4"/>
    <w:rsid w:val="001640FB"/>
    <w:rsid w:val="00164884"/>
    <w:rsid w:val="00164D5F"/>
    <w:rsid w:val="001650A8"/>
    <w:rsid w:val="001653FA"/>
    <w:rsid w:val="00165410"/>
    <w:rsid w:val="0016592B"/>
    <w:rsid w:val="00165D3D"/>
    <w:rsid w:val="0017177F"/>
    <w:rsid w:val="00171C8C"/>
    <w:rsid w:val="00172079"/>
    <w:rsid w:val="0017306F"/>
    <w:rsid w:val="001744BF"/>
    <w:rsid w:val="00175191"/>
    <w:rsid w:val="00181032"/>
    <w:rsid w:val="0018123E"/>
    <w:rsid w:val="001813C1"/>
    <w:rsid w:val="001829AA"/>
    <w:rsid w:val="00183273"/>
    <w:rsid w:val="001832FA"/>
    <w:rsid w:val="001832FD"/>
    <w:rsid w:val="0018428B"/>
    <w:rsid w:val="00184BB7"/>
    <w:rsid w:val="0018509C"/>
    <w:rsid w:val="001857B7"/>
    <w:rsid w:val="00185AE6"/>
    <w:rsid w:val="00186526"/>
    <w:rsid w:val="001865A8"/>
    <w:rsid w:val="00186817"/>
    <w:rsid w:val="00190573"/>
    <w:rsid w:val="0019111C"/>
    <w:rsid w:val="00191B39"/>
    <w:rsid w:val="00192195"/>
    <w:rsid w:val="00193638"/>
    <w:rsid w:val="001939AB"/>
    <w:rsid w:val="0019429E"/>
    <w:rsid w:val="00195836"/>
    <w:rsid w:val="00195C2C"/>
    <w:rsid w:val="00196AF8"/>
    <w:rsid w:val="001970A7"/>
    <w:rsid w:val="001A1937"/>
    <w:rsid w:val="001A2844"/>
    <w:rsid w:val="001A2F96"/>
    <w:rsid w:val="001A6CFB"/>
    <w:rsid w:val="001B025C"/>
    <w:rsid w:val="001B0393"/>
    <w:rsid w:val="001B2405"/>
    <w:rsid w:val="001B269F"/>
    <w:rsid w:val="001B26F1"/>
    <w:rsid w:val="001B29EE"/>
    <w:rsid w:val="001B2ADF"/>
    <w:rsid w:val="001B391D"/>
    <w:rsid w:val="001B3B29"/>
    <w:rsid w:val="001B4391"/>
    <w:rsid w:val="001B4532"/>
    <w:rsid w:val="001B48F3"/>
    <w:rsid w:val="001B6C1C"/>
    <w:rsid w:val="001B6F4E"/>
    <w:rsid w:val="001C0CCF"/>
    <w:rsid w:val="001C1076"/>
    <w:rsid w:val="001C1144"/>
    <w:rsid w:val="001C187E"/>
    <w:rsid w:val="001C205C"/>
    <w:rsid w:val="001C29EE"/>
    <w:rsid w:val="001C37E3"/>
    <w:rsid w:val="001C4679"/>
    <w:rsid w:val="001C49E3"/>
    <w:rsid w:val="001C6D07"/>
    <w:rsid w:val="001C70D9"/>
    <w:rsid w:val="001C7682"/>
    <w:rsid w:val="001D0101"/>
    <w:rsid w:val="001D016E"/>
    <w:rsid w:val="001D089C"/>
    <w:rsid w:val="001D09B9"/>
    <w:rsid w:val="001D241B"/>
    <w:rsid w:val="001D2B2F"/>
    <w:rsid w:val="001D36E9"/>
    <w:rsid w:val="001D387F"/>
    <w:rsid w:val="001D3BFC"/>
    <w:rsid w:val="001D5367"/>
    <w:rsid w:val="001D55EC"/>
    <w:rsid w:val="001D5BBA"/>
    <w:rsid w:val="001D69D3"/>
    <w:rsid w:val="001D6A44"/>
    <w:rsid w:val="001D7282"/>
    <w:rsid w:val="001D75AC"/>
    <w:rsid w:val="001D789F"/>
    <w:rsid w:val="001D7EE8"/>
    <w:rsid w:val="001E014C"/>
    <w:rsid w:val="001E0215"/>
    <w:rsid w:val="001E0380"/>
    <w:rsid w:val="001E28B7"/>
    <w:rsid w:val="001E2F89"/>
    <w:rsid w:val="001E3D8F"/>
    <w:rsid w:val="001E4F4C"/>
    <w:rsid w:val="001F0ADD"/>
    <w:rsid w:val="001F16C1"/>
    <w:rsid w:val="001F1CA6"/>
    <w:rsid w:val="001F2735"/>
    <w:rsid w:val="001F30A7"/>
    <w:rsid w:val="001F34B0"/>
    <w:rsid w:val="001F3D45"/>
    <w:rsid w:val="001F4298"/>
    <w:rsid w:val="001F5242"/>
    <w:rsid w:val="001F75CE"/>
    <w:rsid w:val="001F7640"/>
    <w:rsid w:val="001F79A0"/>
    <w:rsid w:val="00200E5A"/>
    <w:rsid w:val="00202B35"/>
    <w:rsid w:val="00202B9E"/>
    <w:rsid w:val="00204736"/>
    <w:rsid w:val="00204897"/>
    <w:rsid w:val="00206BFA"/>
    <w:rsid w:val="00206C0E"/>
    <w:rsid w:val="00212ADD"/>
    <w:rsid w:val="0021315A"/>
    <w:rsid w:val="002145B6"/>
    <w:rsid w:val="00214D04"/>
    <w:rsid w:val="0021594C"/>
    <w:rsid w:val="00216A6E"/>
    <w:rsid w:val="00220937"/>
    <w:rsid w:val="00221A2E"/>
    <w:rsid w:val="00222CFC"/>
    <w:rsid w:val="00223846"/>
    <w:rsid w:val="00223A03"/>
    <w:rsid w:val="00223FCF"/>
    <w:rsid w:val="0022450C"/>
    <w:rsid w:val="00224968"/>
    <w:rsid w:val="002250AB"/>
    <w:rsid w:val="00226411"/>
    <w:rsid w:val="00226524"/>
    <w:rsid w:val="002267F1"/>
    <w:rsid w:val="002272BF"/>
    <w:rsid w:val="00227842"/>
    <w:rsid w:val="002317A3"/>
    <w:rsid w:val="00233D00"/>
    <w:rsid w:val="00234ADC"/>
    <w:rsid w:val="00234D7B"/>
    <w:rsid w:val="00235C29"/>
    <w:rsid w:val="00237973"/>
    <w:rsid w:val="00240F47"/>
    <w:rsid w:val="002410E6"/>
    <w:rsid w:val="00241624"/>
    <w:rsid w:val="0024494C"/>
    <w:rsid w:val="00244B96"/>
    <w:rsid w:val="00244FF8"/>
    <w:rsid w:val="0024696C"/>
    <w:rsid w:val="00246BA8"/>
    <w:rsid w:val="00250015"/>
    <w:rsid w:val="0025117A"/>
    <w:rsid w:val="00252D63"/>
    <w:rsid w:val="0025303D"/>
    <w:rsid w:val="002531BF"/>
    <w:rsid w:val="002543A0"/>
    <w:rsid w:val="00254781"/>
    <w:rsid w:val="00255546"/>
    <w:rsid w:val="00255E2A"/>
    <w:rsid w:val="002574FF"/>
    <w:rsid w:val="00257B0A"/>
    <w:rsid w:val="00257DF2"/>
    <w:rsid w:val="0026034E"/>
    <w:rsid w:val="00260DCF"/>
    <w:rsid w:val="00261248"/>
    <w:rsid w:val="002624D8"/>
    <w:rsid w:val="00262E73"/>
    <w:rsid w:val="00263AE6"/>
    <w:rsid w:val="00264D19"/>
    <w:rsid w:val="0026502F"/>
    <w:rsid w:val="002658C9"/>
    <w:rsid w:val="0026621F"/>
    <w:rsid w:val="00266236"/>
    <w:rsid w:val="00267702"/>
    <w:rsid w:val="00267EEE"/>
    <w:rsid w:val="00270F8E"/>
    <w:rsid w:val="00271943"/>
    <w:rsid w:val="0027215F"/>
    <w:rsid w:val="00272202"/>
    <w:rsid w:val="002722D9"/>
    <w:rsid w:val="00274200"/>
    <w:rsid w:val="00274952"/>
    <w:rsid w:val="00276083"/>
    <w:rsid w:val="00276588"/>
    <w:rsid w:val="00276BE4"/>
    <w:rsid w:val="002777EF"/>
    <w:rsid w:val="0027791C"/>
    <w:rsid w:val="00282C17"/>
    <w:rsid w:val="00283495"/>
    <w:rsid w:val="002843B6"/>
    <w:rsid w:val="00285002"/>
    <w:rsid w:val="002861EE"/>
    <w:rsid w:val="002900CC"/>
    <w:rsid w:val="00290285"/>
    <w:rsid w:val="00290B34"/>
    <w:rsid w:val="00290CCE"/>
    <w:rsid w:val="00291041"/>
    <w:rsid w:val="002920B4"/>
    <w:rsid w:val="0029224C"/>
    <w:rsid w:val="00292B05"/>
    <w:rsid w:val="00292F3E"/>
    <w:rsid w:val="00296049"/>
    <w:rsid w:val="00297253"/>
    <w:rsid w:val="00297C9A"/>
    <w:rsid w:val="00297D3C"/>
    <w:rsid w:val="002A0857"/>
    <w:rsid w:val="002A2284"/>
    <w:rsid w:val="002A2743"/>
    <w:rsid w:val="002A3AF7"/>
    <w:rsid w:val="002A3B26"/>
    <w:rsid w:val="002A3E9C"/>
    <w:rsid w:val="002A559C"/>
    <w:rsid w:val="002A6E31"/>
    <w:rsid w:val="002B1561"/>
    <w:rsid w:val="002B2098"/>
    <w:rsid w:val="002B20FB"/>
    <w:rsid w:val="002B283C"/>
    <w:rsid w:val="002B4AF7"/>
    <w:rsid w:val="002B6C38"/>
    <w:rsid w:val="002B7D0D"/>
    <w:rsid w:val="002C0BDF"/>
    <w:rsid w:val="002C1C04"/>
    <w:rsid w:val="002C1D51"/>
    <w:rsid w:val="002C1DC2"/>
    <w:rsid w:val="002C1DE4"/>
    <w:rsid w:val="002C2AB9"/>
    <w:rsid w:val="002C3A81"/>
    <w:rsid w:val="002C67A6"/>
    <w:rsid w:val="002C68FD"/>
    <w:rsid w:val="002C6E2A"/>
    <w:rsid w:val="002C7A70"/>
    <w:rsid w:val="002D0D05"/>
    <w:rsid w:val="002D1908"/>
    <w:rsid w:val="002D258E"/>
    <w:rsid w:val="002D363B"/>
    <w:rsid w:val="002D4195"/>
    <w:rsid w:val="002D54D5"/>
    <w:rsid w:val="002D6AE6"/>
    <w:rsid w:val="002D710A"/>
    <w:rsid w:val="002E10BE"/>
    <w:rsid w:val="002E125D"/>
    <w:rsid w:val="002E27DB"/>
    <w:rsid w:val="002E46FE"/>
    <w:rsid w:val="002E599C"/>
    <w:rsid w:val="002E6254"/>
    <w:rsid w:val="002E64FA"/>
    <w:rsid w:val="002E71EC"/>
    <w:rsid w:val="002F174B"/>
    <w:rsid w:val="002F2A12"/>
    <w:rsid w:val="002F3176"/>
    <w:rsid w:val="002F47A4"/>
    <w:rsid w:val="002F7854"/>
    <w:rsid w:val="002F7C9E"/>
    <w:rsid w:val="003004D4"/>
    <w:rsid w:val="00300E2C"/>
    <w:rsid w:val="00301788"/>
    <w:rsid w:val="003023FC"/>
    <w:rsid w:val="0030317A"/>
    <w:rsid w:val="00303372"/>
    <w:rsid w:val="00305421"/>
    <w:rsid w:val="00307D17"/>
    <w:rsid w:val="0031014F"/>
    <w:rsid w:val="0031146F"/>
    <w:rsid w:val="0031210B"/>
    <w:rsid w:val="0031428A"/>
    <w:rsid w:val="00315F56"/>
    <w:rsid w:val="003174E0"/>
    <w:rsid w:val="0032045E"/>
    <w:rsid w:val="00320DCD"/>
    <w:rsid w:val="00320EDA"/>
    <w:rsid w:val="00322635"/>
    <w:rsid w:val="0032358C"/>
    <w:rsid w:val="00324105"/>
    <w:rsid w:val="00324426"/>
    <w:rsid w:val="00324584"/>
    <w:rsid w:val="00324C12"/>
    <w:rsid w:val="00325F3D"/>
    <w:rsid w:val="003261D4"/>
    <w:rsid w:val="00326551"/>
    <w:rsid w:val="00327BBF"/>
    <w:rsid w:val="00327F5F"/>
    <w:rsid w:val="00330B92"/>
    <w:rsid w:val="003316D1"/>
    <w:rsid w:val="003338D3"/>
    <w:rsid w:val="00333C0F"/>
    <w:rsid w:val="0033437A"/>
    <w:rsid w:val="00335758"/>
    <w:rsid w:val="00335FEE"/>
    <w:rsid w:val="00342C90"/>
    <w:rsid w:val="003437B4"/>
    <w:rsid w:val="00344D59"/>
    <w:rsid w:val="00350E20"/>
    <w:rsid w:val="003511B4"/>
    <w:rsid w:val="00351DAF"/>
    <w:rsid w:val="003527EA"/>
    <w:rsid w:val="00352F9A"/>
    <w:rsid w:val="003532FE"/>
    <w:rsid w:val="00353986"/>
    <w:rsid w:val="003554D9"/>
    <w:rsid w:val="0035572D"/>
    <w:rsid w:val="00356F91"/>
    <w:rsid w:val="003579AD"/>
    <w:rsid w:val="00357B2D"/>
    <w:rsid w:val="0036030C"/>
    <w:rsid w:val="00361250"/>
    <w:rsid w:val="00361594"/>
    <w:rsid w:val="003627D1"/>
    <w:rsid w:val="00363CE7"/>
    <w:rsid w:val="003643C9"/>
    <w:rsid w:val="00364D6A"/>
    <w:rsid w:val="00365099"/>
    <w:rsid w:val="00367B89"/>
    <w:rsid w:val="00371864"/>
    <w:rsid w:val="00371EAC"/>
    <w:rsid w:val="00372017"/>
    <w:rsid w:val="00372040"/>
    <w:rsid w:val="00372129"/>
    <w:rsid w:val="00372323"/>
    <w:rsid w:val="00372594"/>
    <w:rsid w:val="0037271C"/>
    <w:rsid w:val="0037514A"/>
    <w:rsid w:val="0037551E"/>
    <w:rsid w:val="00375BE7"/>
    <w:rsid w:val="003773A8"/>
    <w:rsid w:val="00377DFA"/>
    <w:rsid w:val="003801B4"/>
    <w:rsid w:val="0038220D"/>
    <w:rsid w:val="00382799"/>
    <w:rsid w:val="00382F65"/>
    <w:rsid w:val="003836B2"/>
    <w:rsid w:val="003854DD"/>
    <w:rsid w:val="003909A9"/>
    <w:rsid w:val="00391773"/>
    <w:rsid w:val="00392E81"/>
    <w:rsid w:val="003934F6"/>
    <w:rsid w:val="0039394E"/>
    <w:rsid w:val="00393AA1"/>
    <w:rsid w:val="00394B44"/>
    <w:rsid w:val="003A0DAC"/>
    <w:rsid w:val="003A2749"/>
    <w:rsid w:val="003A29F8"/>
    <w:rsid w:val="003A2A58"/>
    <w:rsid w:val="003A3D5B"/>
    <w:rsid w:val="003A3FE7"/>
    <w:rsid w:val="003A4201"/>
    <w:rsid w:val="003A4203"/>
    <w:rsid w:val="003A51F2"/>
    <w:rsid w:val="003A5E5F"/>
    <w:rsid w:val="003A72FC"/>
    <w:rsid w:val="003A77B7"/>
    <w:rsid w:val="003A7CA6"/>
    <w:rsid w:val="003B15A5"/>
    <w:rsid w:val="003B1C69"/>
    <w:rsid w:val="003B24B2"/>
    <w:rsid w:val="003B3885"/>
    <w:rsid w:val="003B38BD"/>
    <w:rsid w:val="003B39B4"/>
    <w:rsid w:val="003B3CD3"/>
    <w:rsid w:val="003B4CA3"/>
    <w:rsid w:val="003B4CA7"/>
    <w:rsid w:val="003B4EC1"/>
    <w:rsid w:val="003B6574"/>
    <w:rsid w:val="003B6B0C"/>
    <w:rsid w:val="003B7F63"/>
    <w:rsid w:val="003C00BB"/>
    <w:rsid w:val="003C10AF"/>
    <w:rsid w:val="003C1C93"/>
    <w:rsid w:val="003C2A66"/>
    <w:rsid w:val="003C2B91"/>
    <w:rsid w:val="003C360C"/>
    <w:rsid w:val="003C3623"/>
    <w:rsid w:val="003C3EB2"/>
    <w:rsid w:val="003C4E7C"/>
    <w:rsid w:val="003C4F20"/>
    <w:rsid w:val="003C6B44"/>
    <w:rsid w:val="003C6BF7"/>
    <w:rsid w:val="003C6C8E"/>
    <w:rsid w:val="003C7370"/>
    <w:rsid w:val="003C76F2"/>
    <w:rsid w:val="003D1CE5"/>
    <w:rsid w:val="003D2863"/>
    <w:rsid w:val="003D2D01"/>
    <w:rsid w:val="003D34A3"/>
    <w:rsid w:val="003D3C18"/>
    <w:rsid w:val="003D3EC5"/>
    <w:rsid w:val="003D5D6A"/>
    <w:rsid w:val="003D5F2B"/>
    <w:rsid w:val="003D6BBA"/>
    <w:rsid w:val="003D6F87"/>
    <w:rsid w:val="003D75F9"/>
    <w:rsid w:val="003E108A"/>
    <w:rsid w:val="003E1370"/>
    <w:rsid w:val="003E21E0"/>
    <w:rsid w:val="003E2B85"/>
    <w:rsid w:val="003E40DD"/>
    <w:rsid w:val="003E469D"/>
    <w:rsid w:val="003E47F5"/>
    <w:rsid w:val="003E5937"/>
    <w:rsid w:val="003E5FE2"/>
    <w:rsid w:val="003E6712"/>
    <w:rsid w:val="003E682F"/>
    <w:rsid w:val="003E7115"/>
    <w:rsid w:val="003E767F"/>
    <w:rsid w:val="003E7E2D"/>
    <w:rsid w:val="003F0313"/>
    <w:rsid w:val="003F0396"/>
    <w:rsid w:val="003F0A63"/>
    <w:rsid w:val="003F1BA6"/>
    <w:rsid w:val="003F2287"/>
    <w:rsid w:val="003F2BA6"/>
    <w:rsid w:val="003F2E41"/>
    <w:rsid w:val="003F397E"/>
    <w:rsid w:val="003F5624"/>
    <w:rsid w:val="003F7077"/>
    <w:rsid w:val="003F7371"/>
    <w:rsid w:val="00400744"/>
    <w:rsid w:val="00400A85"/>
    <w:rsid w:val="00400B50"/>
    <w:rsid w:val="00401661"/>
    <w:rsid w:val="00401AFB"/>
    <w:rsid w:val="00401B3E"/>
    <w:rsid w:val="00401B78"/>
    <w:rsid w:val="00402020"/>
    <w:rsid w:val="00404268"/>
    <w:rsid w:val="00405BC1"/>
    <w:rsid w:val="00405C3C"/>
    <w:rsid w:val="004066E5"/>
    <w:rsid w:val="00407D22"/>
    <w:rsid w:val="00411526"/>
    <w:rsid w:val="00412E80"/>
    <w:rsid w:val="00415D44"/>
    <w:rsid w:val="004163B7"/>
    <w:rsid w:val="00417B20"/>
    <w:rsid w:val="00417F82"/>
    <w:rsid w:val="00421460"/>
    <w:rsid w:val="00421C08"/>
    <w:rsid w:val="00421EA6"/>
    <w:rsid w:val="004221B2"/>
    <w:rsid w:val="00423506"/>
    <w:rsid w:val="00423FA4"/>
    <w:rsid w:val="004262DE"/>
    <w:rsid w:val="004265CF"/>
    <w:rsid w:val="00426F6A"/>
    <w:rsid w:val="00427EB7"/>
    <w:rsid w:val="0043097B"/>
    <w:rsid w:val="00431B53"/>
    <w:rsid w:val="004324B0"/>
    <w:rsid w:val="00433C35"/>
    <w:rsid w:val="00433FEB"/>
    <w:rsid w:val="00434123"/>
    <w:rsid w:val="00434318"/>
    <w:rsid w:val="004351AC"/>
    <w:rsid w:val="004362B2"/>
    <w:rsid w:val="00436807"/>
    <w:rsid w:val="004401B2"/>
    <w:rsid w:val="00440235"/>
    <w:rsid w:val="004413EB"/>
    <w:rsid w:val="0044654A"/>
    <w:rsid w:val="00446F77"/>
    <w:rsid w:val="00446FBF"/>
    <w:rsid w:val="00447BAC"/>
    <w:rsid w:val="00450A43"/>
    <w:rsid w:val="00450F21"/>
    <w:rsid w:val="00451341"/>
    <w:rsid w:val="00451D78"/>
    <w:rsid w:val="004531D9"/>
    <w:rsid w:val="0045323D"/>
    <w:rsid w:val="00453D33"/>
    <w:rsid w:val="00453EAE"/>
    <w:rsid w:val="0045528A"/>
    <w:rsid w:val="00455D40"/>
    <w:rsid w:val="00456FA6"/>
    <w:rsid w:val="004602E9"/>
    <w:rsid w:val="004605FB"/>
    <w:rsid w:val="004608DA"/>
    <w:rsid w:val="00460DD8"/>
    <w:rsid w:val="00461B01"/>
    <w:rsid w:val="00462975"/>
    <w:rsid w:val="004639C0"/>
    <w:rsid w:val="00466144"/>
    <w:rsid w:val="00466812"/>
    <w:rsid w:val="00466F19"/>
    <w:rsid w:val="0047080C"/>
    <w:rsid w:val="0047262F"/>
    <w:rsid w:val="004729A8"/>
    <w:rsid w:val="00475E46"/>
    <w:rsid w:val="00477CA2"/>
    <w:rsid w:val="0048045C"/>
    <w:rsid w:val="00481F4F"/>
    <w:rsid w:val="0048266C"/>
    <w:rsid w:val="004828D4"/>
    <w:rsid w:val="00482CA6"/>
    <w:rsid w:val="004838F3"/>
    <w:rsid w:val="00484527"/>
    <w:rsid w:val="00484918"/>
    <w:rsid w:val="00485000"/>
    <w:rsid w:val="00486FEA"/>
    <w:rsid w:val="00487537"/>
    <w:rsid w:val="00490974"/>
    <w:rsid w:val="004921F3"/>
    <w:rsid w:val="00492429"/>
    <w:rsid w:val="004930EE"/>
    <w:rsid w:val="00493428"/>
    <w:rsid w:val="00493A0C"/>
    <w:rsid w:val="00493DF4"/>
    <w:rsid w:val="004966AF"/>
    <w:rsid w:val="004A09A8"/>
    <w:rsid w:val="004A0DF3"/>
    <w:rsid w:val="004A1274"/>
    <w:rsid w:val="004A3351"/>
    <w:rsid w:val="004A450D"/>
    <w:rsid w:val="004A482B"/>
    <w:rsid w:val="004A5D7A"/>
    <w:rsid w:val="004A6888"/>
    <w:rsid w:val="004A6DDB"/>
    <w:rsid w:val="004A6FD7"/>
    <w:rsid w:val="004A76F1"/>
    <w:rsid w:val="004B0D47"/>
    <w:rsid w:val="004B2BE5"/>
    <w:rsid w:val="004B3C30"/>
    <w:rsid w:val="004B4D59"/>
    <w:rsid w:val="004B6691"/>
    <w:rsid w:val="004C0E3E"/>
    <w:rsid w:val="004C17B2"/>
    <w:rsid w:val="004C279A"/>
    <w:rsid w:val="004C4E0F"/>
    <w:rsid w:val="004C5A43"/>
    <w:rsid w:val="004C609E"/>
    <w:rsid w:val="004C68A3"/>
    <w:rsid w:val="004C6D75"/>
    <w:rsid w:val="004C7F58"/>
    <w:rsid w:val="004D14E9"/>
    <w:rsid w:val="004D15AD"/>
    <w:rsid w:val="004D2678"/>
    <w:rsid w:val="004D29AE"/>
    <w:rsid w:val="004D2CA6"/>
    <w:rsid w:val="004D2E09"/>
    <w:rsid w:val="004D36CA"/>
    <w:rsid w:val="004D38F2"/>
    <w:rsid w:val="004D41C3"/>
    <w:rsid w:val="004D7DD4"/>
    <w:rsid w:val="004E0290"/>
    <w:rsid w:val="004E0B4D"/>
    <w:rsid w:val="004E22E2"/>
    <w:rsid w:val="004E3B0C"/>
    <w:rsid w:val="004E4D4C"/>
    <w:rsid w:val="004E4F1E"/>
    <w:rsid w:val="004E56C0"/>
    <w:rsid w:val="004E7424"/>
    <w:rsid w:val="004E7E64"/>
    <w:rsid w:val="004F0645"/>
    <w:rsid w:val="004F0903"/>
    <w:rsid w:val="004F2F36"/>
    <w:rsid w:val="004F5A3C"/>
    <w:rsid w:val="004F62AB"/>
    <w:rsid w:val="004F6E3F"/>
    <w:rsid w:val="004F730D"/>
    <w:rsid w:val="004F7927"/>
    <w:rsid w:val="004F7C5C"/>
    <w:rsid w:val="004F7C97"/>
    <w:rsid w:val="00500A4F"/>
    <w:rsid w:val="00500DC2"/>
    <w:rsid w:val="00501983"/>
    <w:rsid w:val="00502A09"/>
    <w:rsid w:val="00502D17"/>
    <w:rsid w:val="00502E48"/>
    <w:rsid w:val="0050393A"/>
    <w:rsid w:val="005047AD"/>
    <w:rsid w:val="00504DBD"/>
    <w:rsid w:val="00506A7B"/>
    <w:rsid w:val="005103AC"/>
    <w:rsid w:val="0051157D"/>
    <w:rsid w:val="00511D98"/>
    <w:rsid w:val="00512DDB"/>
    <w:rsid w:val="00514643"/>
    <w:rsid w:val="0051588A"/>
    <w:rsid w:val="0051667B"/>
    <w:rsid w:val="00517E7C"/>
    <w:rsid w:val="00520385"/>
    <w:rsid w:val="0052218D"/>
    <w:rsid w:val="00523006"/>
    <w:rsid w:val="005235C8"/>
    <w:rsid w:val="00524AA5"/>
    <w:rsid w:val="005274F5"/>
    <w:rsid w:val="00530B92"/>
    <w:rsid w:val="00531978"/>
    <w:rsid w:val="005325C4"/>
    <w:rsid w:val="00532B0C"/>
    <w:rsid w:val="005347A4"/>
    <w:rsid w:val="00535097"/>
    <w:rsid w:val="005364AA"/>
    <w:rsid w:val="00536752"/>
    <w:rsid w:val="0053715A"/>
    <w:rsid w:val="005402FE"/>
    <w:rsid w:val="00540552"/>
    <w:rsid w:val="00541513"/>
    <w:rsid w:val="00542389"/>
    <w:rsid w:val="00543703"/>
    <w:rsid w:val="00544133"/>
    <w:rsid w:val="0054731A"/>
    <w:rsid w:val="00547366"/>
    <w:rsid w:val="00550D35"/>
    <w:rsid w:val="005523DB"/>
    <w:rsid w:val="00552BCC"/>
    <w:rsid w:val="00554B2E"/>
    <w:rsid w:val="00555D1A"/>
    <w:rsid w:val="00556133"/>
    <w:rsid w:val="005566E3"/>
    <w:rsid w:val="005568D1"/>
    <w:rsid w:val="005569BA"/>
    <w:rsid w:val="00557E13"/>
    <w:rsid w:val="0056077B"/>
    <w:rsid w:val="00561482"/>
    <w:rsid w:val="00561E91"/>
    <w:rsid w:val="00562879"/>
    <w:rsid w:val="00562CF9"/>
    <w:rsid w:val="005633C4"/>
    <w:rsid w:val="00563A33"/>
    <w:rsid w:val="00564936"/>
    <w:rsid w:val="00565A6C"/>
    <w:rsid w:val="00566394"/>
    <w:rsid w:val="00567440"/>
    <w:rsid w:val="00571467"/>
    <w:rsid w:val="00571784"/>
    <w:rsid w:val="00572610"/>
    <w:rsid w:val="00572A35"/>
    <w:rsid w:val="00572AE9"/>
    <w:rsid w:val="0057388D"/>
    <w:rsid w:val="00573EBA"/>
    <w:rsid w:val="005742A2"/>
    <w:rsid w:val="00576E6A"/>
    <w:rsid w:val="00577E31"/>
    <w:rsid w:val="0058006C"/>
    <w:rsid w:val="00580F08"/>
    <w:rsid w:val="0058122F"/>
    <w:rsid w:val="0058142A"/>
    <w:rsid w:val="005828B1"/>
    <w:rsid w:val="005838EB"/>
    <w:rsid w:val="005844DD"/>
    <w:rsid w:val="00586DCB"/>
    <w:rsid w:val="00591D5A"/>
    <w:rsid w:val="005924A5"/>
    <w:rsid w:val="00592C7D"/>
    <w:rsid w:val="00593C5E"/>
    <w:rsid w:val="005941CC"/>
    <w:rsid w:val="005946C5"/>
    <w:rsid w:val="0059542C"/>
    <w:rsid w:val="0059586C"/>
    <w:rsid w:val="00596135"/>
    <w:rsid w:val="00596B0E"/>
    <w:rsid w:val="00596E30"/>
    <w:rsid w:val="00596FA5"/>
    <w:rsid w:val="00597362"/>
    <w:rsid w:val="005A1220"/>
    <w:rsid w:val="005A1BDB"/>
    <w:rsid w:val="005A24A3"/>
    <w:rsid w:val="005A46DD"/>
    <w:rsid w:val="005A5FC6"/>
    <w:rsid w:val="005A67C5"/>
    <w:rsid w:val="005A6890"/>
    <w:rsid w:val="005A699B"/>
    <w:rsid w:val="005B0A5F"/>
    <w:rsid w:val="005B1147"/>
    <w:rsid w:val="005B212C"/>
    <w:rsid w:val="005B3225"/>
    <w:rsid w:val="005B4DFE"/>
    <w:rsid w:val="005B4F94"/>
    <w:rsid w:val="005B5A86"/>
    <w:rsid w:val="005B6864"/>
    <w:rsid w:val="005B6E00"/>
    <w:rsid w:val="005C0B21"/>
    <w:rsid w:val="005C10BE"/>
    <w:rsid w:val="005C1E67"/>
    <w:rsid w:val="005C2688"/>
    <w:rsid w:val="005C26C4"/>
    <w:rsid w:val="005C3685"/>
    <w:rsid w:val="005C370E"/>
    <w:rsid w:val="005C56F1"/>
    <w:rsid w:val="005C5A95"/>
    <w:rsid w:val="005C5D24"/>
    <w:rsid w:val="005C6869"/>
    <w:rsid w:val="005C7088"/>
    <w:rsid w:val="005D065E"/>
    <w:rsid w:val="005D0991"/>
    <w:rsid w:val="005D21B3"/>
    <w:rsid w:val="005D4F2D"/>
    <w:rsid w:val="005D5412"/>
    <w:rsid w:val="005D5B7F"/>
    <w:rsid w:val="005D5E0F"/>
    <w:rsid w:val="005D6523"/>
    <w:rsid w:val="005D7DFA"/>
    <w:rsid w:val="005E06C3"/>
    <w:rsid w:val="005E0957"/>
    <w:rsid w:val="005E144C"/>
    <w:rsid w:val="005E2436"/>
    <w:rsid w:val="005E284D"/>
    <w:rsid w:val="005E3790"/>
    <w:rsid w:val="005E6738"/>
    <w:rsid w:val="005E724C"/>
    <w:rsid w:val="005F0FCA"/>
    <w:rsid w:val="005F10DE"/>
    <w:rsid w:val="005F1CD6"/>
    <w:rsid w:val="005F1D68"/>
    <w:rsid w:val="005F2026"/>
    <w:rsid w:val="005F2BD5"/>
    <w:rsid w:val="005F47B7"/>
    <w:rsid w:val="005F574F"/>
    <w:rsid w:val="005F5CCA"/>
    <w:rsid w:val="005F6A65"/>
    <w:rsid w:val="005F7854"/>
    <w:rsid w:val="005F7E6F"/>
    <w:rsid w:val="006004F9"/>
    <w:rsid w:val="006008CF"/>
    <w:rsid w:val="00601B96"/>
    <w:rsid w:val="00602583"/>
    <w:rsid w:val="00603487"/>
    <w:rsid w:val="006058CF"/>
    <w:rsid w:val="00605CE3"/>
    <w:rsid w:val="00605E11"/>
    <w:rsid w:val="00605FDC"/>
    <w:rsid w:val="00606245"/>
    <w:rsid w:val="006075BF"/>
    <w:rsid w:val="0061034E"/>
    <w:rsid w:val="00612577"/>
    <w:rsid w:val="00612614"/>
    <w:rsid w:val="00612A00"/>
    <w:rsid w:val="00612CFB"/>
    <w:rsid w:val="006132CE"/>
    <w:rsid w:val="00613ADA"/>
    <w:rsid w:val="006142BC"/>
    <w:rsid w:val="0061540A"/>
    <w:rsid w:val="006157E7"/>
    <w:rsid w:val="00616834"/>
    <w:rsid w:val="00620DFB"/>
    <w:rsid w:val="00620E1D"/>
    <w:rsid w:val="00621F20"/>
    <w:rsid w:val="006238EE"/>
    <w:rsid w:val="0062411F"/>
    <w:rsid w:val="006245FB"/>
    <w:rsid w:val="00624873"/>
    <w:rsid w:val="00630378"/>
    <w:rsid w:val="006317C5"/>
    <w:rsid w:val="00632793"/>
    <w:rsid w:val="0063340B"/>
    <w:rsid w:val="00633976"/>
    <w:rsid w:val="00633C1A"/>
    <w:rsid w:val="00635402"/>
    <w:rsid w:val="00636846"/>
    <w:rsid w:val="00636D58"/>
    <w:rsid w:val="00637542"/>
    <w:rsid w:val="00637C83"/>
    <w:rsid w:val="00637E0E"/>
    <w:rsid w:val="0064056F"/>
    <w:rsid w:val="00640A4E"/>
    <w:rsid w:val="006414DD"/>
    <w:rsid w:val="00641532"/>
    <w:rsid w:val="00642560"/>
    <w:rsid w:val="006431E1"/>
    <w:rsid w:val="00643D23"/>
    <w:rsid w:val="00644A24"/>
    <w:rsid w:val="00646689"/>
    <w:rsid w:val="0064680F"/>
    <w:rsid w:val="006472D1"/>
    <w:rsid w:val="00647BFA"/>
    <w:rsid w:val="00647FBE"/>
    <w:rsid w:val="00650289"/>
    <w:rsid w:val="00650412"/>
    <w:rsid w:val="00652187"/>
    <w:rsid w:val="00652580"/>
    <w:rsid w:val="006567F3"/>
    <w:rsid w:val="00660404"/>
    <w:rsid w:val="0066053A"/>
    <w:rsid w:val="00660A26"/>
    <w:rsid w:val="00661203"/>
    <w:rsid w:val="006616A5"/>
    <w:rsid w:val="00661868"/>
    <w:rsid w:val="006624E5"/>
    <w:rsid w:val="006636B6"/>
    <w:rsid w:val="00663B69"/>
    <w:rsid w:val="00665099"/>
    <w:rsid w:val="006653C1"/>
    <w:rsid w:val="006660E4"/>
    <w:rsid w:val="00666513"/>
    <w:rsid w:val="0066661C"/>
    <w:rsid w:val="00666E44"/>
    <w:rsid w:val="00671427"/>
    <w:rsid w:val="006727CC"/>
    <w:rsid w:val="00672FBA"/>
    <w:rsid w:val="0067353D"/>
    <w:rsid w:val="006738E6"/>
    <w:rsid w:val="0067499F"/>
    <w:rsid w:val="00674AE9"/>
    <w:rsid w:val="00677415"/>
    <w:rsid w:val="00677FBC"/>
    <w:rsid w:val="00680530"/>
    <w:rsid w:val="00680CB7"/>
    <w:rsid w:val="00681C03"/>
    <w:rsid w:val="00681C78"/>
    <w:rsid w:val="00682FCC"/>
    <w:rsid w:val="0068332C"/>
    <w:rsid w:val="006836C5"/>
    <w:rsid w:val="00684E64"/>
    <w:rsid w:val="00685E39"/>
    <w:rsid w:val="00685E62"/>
    <w:rsid w:val="00687449"/>
    <w:rsid w:val="006906D3"/>
    <w:rsid w:val="006912BD"/>
    <w:rsid w:val="006933AF"/>
    <w:rsid w:val="00693A50"/>
    <w:rsid w:val="00693BCD"/>
    <w:rsid w:val="00694254"/>
    <w:rsid w:val="00695790"/>
    <w:rsid w:val="006961FE"/>
    <w:rsid w:val="006962EE"/>
    <w:rsid w:val="006A007E"/>
    <w:rsid w:val="006A062C"/>
    <w:rsid w:val="006A1445"/>
    <w:rsid w:val="006A16B7"/>
    <w:rsid w:val="006A3D7E"/>
    <w:rsid w:val="006A5251"/>
    <w:rsid w:val="006A5880"/>
    <w:rsid w:val="006A6232"/>
    <w:rsid w:val="006A66DA"/>
    <w:rsid w:val="006A7190"/>
    <w:rsid w:val="006A7602"/>
    <w:rsid w:val="006A7D67"/>
    <w:rsid w:val="006B28A6"/>
    <w:rsid w:val="006B2EE2"/>
    <w:rsid w:val="006B3853"/>
    <w:rsid w:val="006B3CF9"/>
    <w:rsid w:val="006B451B"/>
    <w:rsid w:val="006B4716"/>
    <w:rsid w:val="006B48AB"/>
    <w:rsid w:val="006B4EC1"/>
    <w:rsid w:val="006B5007"/>
    <w:rsid w:val="006B530B"/>
    <w:rsid w:val="006B56AD"/>
    <w:rsid w:val="006B68B9"/>
    <w:rsid w:val="006C126B"/>
    <w:rsid w:val="006C18AF"/>
    <w:rsid w:val="006C2E6A"/>
    <w:rsid w:val="006D0126"/>
    <w:rsid w:val="006D125E"/>
    <w:rsid w:val="006D353C"/>
    <w:rsid w:val="006D3819"/>
    <w:rsid w:val="006D3FA9"/>
    <w:rsid w:val="006D4A63"/>
    <w:rsid w:val="006D5294"/>
    <w:rsid w:val="006D5E73"/>
    <w:rsid w:val="006D6246"/>
    <w:rsid w:val="006E0227"/>
    <w:rsid w:val="006E047D"/>
    <w:rsid w:val="006E0678"/>
    <w:rsid w:val="006E10EA"/>
    <w:rsid w:val="006E1677"/>
    <w:rsid w:val="006E2013"/>
    <w:rsid w:val="006E20DA"/>
    <w:rsid w:val="006E2286"/>
    <w:rsid w:val="006E2F9B"/>
    <w:rsid w:val="006E351D"/>
    <w:rsid w:val="006E40C6"/>
    <w:rsid w:val="006E41E4"/>
    <w:rsid w:val="006E4315"/>
    <w:rsid w:val="006E51A7"/>
    <w:rsid w:val="006E563B"/>
    <w:rsid w:val="006E57E6"/>
    <w:rsid w:val="006E6533"/>
    <w:rsid w:val="006E7430"/>
    <w:rsid w:val="006F02A2"/>
    <w:rsid w:val="006F2B2E"/>
    <w:rsid w:val="006F2B45"/>
    <w:rsid w:val="006F2EFC"/>
    <w:rsid w:val="006F43E0"/>
    <w:rsid w:val="006F580B"/>
    <w:rsid w:val="006F7381"/>
    <w:rsid w:val="00700156"/>
    <w:rsid w:val="007011F0"/>
    <w:rsid w:val="007013E6"/>
    <w:rsid w:val="0070226D"/>
    <w:rsid w:val="00702DB5"/>
    <w:rsid w:val="007038BC"/>
    <w:rsid w:val="00703935"/>
    <w:rsid w:val="00704243"/>
    <w:rsid w:val="007052D5"/>
    <w:rsid w:val="0070624A"/>
    <w:rsid w:val="007064C2"/>
    <w:rsid w:val="0070713E"/>
    <w:rsid w:val="0070728D"/>
    <w:rsid w:val="0070761A"/>
    <w:rsid w:val="00707A91"/>
    <w:rsid w:val="00710A78"/>
    <w:rsid w:val="00710DE8"/>
    <w:rsid w:val="00712640"/>
    <w:rsid w:val="0071339B"/>
    <w:rsid w:val="00713F68"/>
    <w:rsid w:val="0071666A"/>
    <w:rsid w:val="007175E7"/>
    <w:rsid w:val="00720665"/>
    <w:rsid w:val="00725DB4"/>
    <w:rsid w:val="007277BE"/>
    <w:rsid w:val="007279C4"/>
    <w:rsid w:val="007311F7"/>
    <w:rsid w:val="00731D00"/>
    <w:rsid w:val="0073249D"/>
    <w:rsid w:val="007329EE"/>
    <w:rsid w:val="00732FE5"/>
    <w:rsid w:val="0073340B"/>
    <w:rsid w:val="00733BCF"/>
    <w:rsid w:val="00735191"/>
    <w:rsid w:val="00735ED4"/>
    <w:rsid w:val="00735F10"/>
    <w:rsid w:val="0073623A"/>
    <w:rsid w:val="0073777B"/>
    <w:rsid w:val="007411E9"/>
    <w:rsid w:val="00744EE4"/>
    <w:rsid w:val="00747119"/>
    <w:rsid w:val="00747BF3"/>
    <w:rsid w:val="00752499"/>
    <w:rsid w:val="00753723"/>
    <w:rsid w:val="007545A0"/>
    <w:rsid w:val="007547D6"/>
    <w:rsid w:val="00756EE4"/>
    <w:rsid w:val="00761F19"/>
    <w:rsid w:val="00762DC9"/>
    <w:rsid w:val="007644E9"/>
    <w:rsid w:val="007647A4"/>
    <w:rsid w:val="00764DBF"/>
    <w:rsid w:val="00765052"/>
    <w:rsid w:val="00765717"/>
    <w:rsid w:val="00766A4A"/>
    <w:rsid w:val="0076755B"/>
    <w:rsid w:val="0076776B"/>
    <w:rsid w:val="00770EB3"/>
    <w:rsid w:val="00770FC3"/>
    <w:rsid w:val="00771B74"/>
    <w:rsid w:val="00772377"/>
    <w:rsid w:val="0077245A"/>
    <w:rsid w:val="00772D4F"/>
    <w:rsid w:val="00773A93"/>
    <w:rsid w:val="00774A5C"/>
    <w:rsid w:val="00774E73"/>
    <w:rsid w:val="00775BD3"/>
    <w:rsid w:val="00775E50"/>
    <w:rsid w:val="007764C1"/>
    <w:rsid w:val="00776EA1"/>
    <w:rsid w:val="007810C1"/>
    <w:rsid w:val="00781929"/>
    <w:rsid w:val="00782253"/>
    <w:rsid w:val="0078269F"/>
    <w:rsid w:val="007842D1"/>
    <w:rsid w:val="00785187"/>
    <w:rsid w:val="00785B74"/>
    <w:rsid w:val="007871F7"/>
    <w:rsid w:val="0079031E"/>
    <w:rsid w:val="007903EB"/>
    <w:rsid w:val="00790810"/>
    <w:rsid w:val="00790C87"/>
    <w:rsid w:val="00790FCB"/>
    <w:rsid w:val="00791170"/>
    <w:rsid w:val="00792C17"/>
    <w:rsid w:val="00793B53"/>
    <w:rsid w:val="00796C01"/>
    <w:rsid w:val="00796FDB"/>
    <w:rsid w:val="00797347"/>
    <w:rsid w:val="00797A39"/>
    <w:rsid w:val="00797C70"/>
    <w:rsid w:val="007A04BE"/>
    <w:rsid w:val="007A0B64"/>
    <w:rsid w:val="007A15D9"/>
    <w:rsid w:val="007A2FB9"/>
    <w:rsid w:val="007A3A23"/>
    <w:rsid w:val="007A3C52"/>
    <w:rsid w:val="007A3DFE"/>
    <w:rsid w:val="007A46CF"/>
    <w:rsid w:val="007B3ECC"/>
    <w:rsid w:val="007B5B8D"/>
    <w:rsid w:val="007B7B1E"/>
    <w:rsid w:val="007C31C2"/>
    <w:rsid w:val="007C355B"/>
    <w:rsid w:val="007C4F36"/>
    <w:rsid w:val="007C5B11"/>
    <w:rsid w:val="007C69D6"/>
    <w:rsid w:val="007C7482"/>
    <w:rsid w:val="007C756A"/>
    <w:rsid w:val="007C7E58"/>
    <w:rsid w:val="007D01F6"/>
    <w:rsid w:val="007D07DD"/>
    <w:rsid w:val="007D1AA4"/>
    <w:rsid w:val="007D1D99"/>
    <w:rsid w:val="007D3FFB"/>
    <w:rsid w:val="007D47D4"/>
    <w:rsid w:val="007D4DA4"/>
    <w:rsid w:val="007D51D7"/>
    <w:rsid w:val="007D5B26"/>
    <w:rsid w:val="007D694F"/>
    <w:rsid w:val="007E01EA"/>
    <w:rsid w:val="007E2123"/>
    <w:rsid w:val="007E4B3B"/>
    <w:rsid w:val="007E67CB"/>
    <w:rsid w:val="007E7DFF"/>
    <w:rsid w:val="007F1711"/>
    <w:rsid w:val="007F2238"/>
    <w:rsid w:val="007F330B"/>
    <w:rsid w:val="007F4469"/>
    <w:rsid w:val="007F6F44"/>
    <w:rsid w:val="007F70C2"/>
    <w:rsid w:val="007F7F44"/>
    <w:rsid w:val="007F7F7C"/>
    <w:rsid w:val="008002C4"/>
    <w:rsid w:val="00800BE5"/>
    <w:rsid w:val="0080121B"/>
    <w:rsid w:val="00801494"/>
    <w:rsid w:val="0080150B"/>
    <w:rsid w:val="00801B78"/>
    <w:rsid w:val="00802EE4"/>
    <w:rsid w:val="00804698"/>
    <w:rsid w:val="00804E41"/>
    <w:rsid w:val="00805678"/>
    <w:rsid w:val="00806ED1"/>
    <w:rsid w:val="00806F8F"/>
    <w:rsid w:val="00814508"/>
    <w:rsid w:val="00814C8B"/>
    <w:rsid w:val="008172FD"/>
    <w:rsid w:val="0081735E"/>
    <w:rsid w:val="00820C1E"/>
    <w:rsid w:val="0082151A"/>
    <w:rsid w:val="00824020"/>
    <w:rsid w:val="00825560"/>
    <w:rsid w:val="00825D10"/>
    <w:rsid w:val="00825E5F"/>
    <w:rsid w:val="00826DE0"/>
    <w:rsid w:val="00830098"/>
    <w:rsid w:val="00831B4D"/>
    <w:rsid w:val="00833680"/>
    <w:rsid w:val="00833A98"/>
    <w:rsid w:val="008343C1"/>
    <w:rsid w:val="008345CE"/>
    <w:rsid w:val="008359EA"/>
    <w:rsid w:val="00835FDA"/>
    <w:rsid w:val="00837054"/>
    <w:rsid w:val="008375D2"/>
    <w:rsid w:val="00837B50"/>
    <w:rsid w:val="0084149E"/>
    <w:rsid w:val="008417B2"/>
    <w:rsid w:val="00843502"/>
    <w:rsid w:val="0084362D"/>
    <w:rsid w:val="008452CF"/>
    <w:rsid w:val="00847AEB"/>
    <w:rsid w:val="00850196"/>
    <w:rsid w:val="00852057"/>
    <w:rsid w:val="008521F3"/>
    <w:rsid w:val="008538DE"/>
    <w:rsid w:val="008539D5"/>
    <w:rsid w:val="008545C2"/>
    <w:rsid w:val="008546A6"/>
    <w:rsid w:val="00855076"/>
    <w:rsid w:val="008553C5"/>
    <w:rsid w:val="00855DFD"/>
    <w:rsid w:val="00857EA4"/>
    <w:rsid w:val="00860AF7"/>
    <w:rsid w:val="00860C18"/>
    <w:rsid w:val="00861D5F"/>
    <w:rsid w:val="008628F0"/>
    <w:rsid w:val="00862B85"/>
    <w:rsid w:val="00864142"/>
    <w:rsid w:val="008649CE"/>
    <w:rsid w:val="00864B04"/>
    <w:rsid w:val="00864C78"/>
    <w:rsid w:val="0086564B"/>
    <w:rsid w:val="00865B4D"/>
    <w:rsid w:val="00865B9A"/>
    <w:rsid w:val="00866BC9"/>
    <w:rsid w:val="00872360"/>
    <w:rsid w:val="00872E51"/>
    <w:rsid w:val="00873F1F"/>
    <w:rsid w:val="00874366"/>
    <w:rsid w:val="00874B30"/>
    <w:rsid w:val="00875E78"/>
    <w:rsid w:val="008766EF"/>
    <w:rsid w:val="00876BB1"/>
    <w:rsid w:val="00877EE1"/>
    <w:rsid w:val="0088081F"/>
    <w:rsid w:val="00884142"/>
    <w:rsid w:val="00884E3B"/>
    <w:rsid w:val="00884FDF"/>
    <w:rsid w:val="008851AC"/>
    <w:rsid w:val="00886435"/>
    <w:rsid w:val="00887D33"/>
    <w:rsid w:val="00890295"/>
    <w:rsid w:val="008936B5"/>
    <w:rsid w:val="008939AB"/>
    <w:rsid w:val="0089524D"/>
    <w:rsid w:val="008953D9"/>
    <w:rsid w:val="00895767"/>
    <w:rsid w:val="00896AE5"/>
    <w:rsid w:val="008A0115"/>
    <w:rsid w:val="008A03AF"/>
    <w:rsid w:val="008A0B19"/>
    <w:rsid w:val="008A61EF"/>
    <w:rsid w:val="008B0079"/>
    <w:rsid w:val="008B1212"/>
    <w:rsid w:val="008B174A"/>
    <w:rsid w:val="008B273A"/>
    <w:rsid w:val="008B31DA"/>
    <w:rsid w:val="008B451C"/>
    <w:rsid w:val="008B6153"/>
    <w:rsid w:val="008B7679"/>
    <w:rsid w:val="008C00C8"/>
    <w:rsid w:val="008C0D10"/>
    <w:rsid w:val="008C2905"/>
    <w:rsid w:val="008C3D43"/>
    <w:rsid w:val="008C3F86"/>
    <w:rsid w:val="008C52A2"/>
    <w:rsid w:val="008C536A"/>
    <w:rsid w:val="008C6256"/>
    <w:rsid w:val="008C62EB"/>
    <w:rsid w:val="008D05F7"/>
    <w:rsid w:val="008D09BB"/>
    <w:rsid w:val="008D13B8"/>
    <w:rsid w:val="008D1588"/>
    <w:rsid w:val="008D1686"/>
    <w:rsid w:val="008D2FEB"/>
    <w:rsid w:val="008D3054"/>
    <w:rsid w:val="008D3833"/>
    <w:rsid w:val="008D3B15"/>
    <w:rsid w:val="008D4DCF"/>
    <w:rsid w:val="008D5A2D"/>
    <w:rsid w:val="008D5EBF"/>
    <w:rsid w:val="008D69CC"/>
    <w:rsid w:val="008E08B9"/>
    <w:rsid w:val="008E2141"/>
    <w:rsid w:val="008E2A99"/>
    <w:rsid w:val="008E2E0F"/>
    <w:rsid w:val="008E2ED1"/>
    <w:rsid w:val="008E2FBE"/>
    <w:rsid w:val="008E4633"/>
    <w:rsid w:val="008E4F97"/>
    <w:rsid w:val="008E7648"/>
    <w:rsid w:val="008F022D"/>
    <w:rsid w:val="008F151B"/>
    <w:rsid w:val="008F1E19"/>
    <w:rsid w:val="008F2439"/>
    <w:rsid w:val="008F26C1"/>
    <w:rsid w:val="008F2CCF"/>
    <w:rsid w:val="008F4C27"/>
    <w:rsid w:val="008F5143"/>
    <w:rsid w:val="008F6A2C"/>
    <w:rsid w:val="00901D83"/>
    <w:rsid w:val="00902107"/>
    <w:rsid w:val="0090256F"/>
    <w:rsid w:val="00903951"/>
    <w:rsid w:val="009039B6"/>
    <w:rsid w:val="00906836"/>
    <w:rsid w:val="00907092"/>
    <w:rsid w:val="00907179"/>
    <w:rsid w:val="00907E0E"/>
    <w:rsid w:val="00907EB0"/>
    <w:rsid w:val="00911700"/>
    <w:rsid w:val="009124E3"/>
    <w:rsid w:val="00912793"/>
    <w:rsid w:val="00912853"/>
    <w:rsid w:val="00914B4E"/>
    <w:rsid w:val="00915934"/>
    <w:rsid w:val="009166CE"/>
    <w:rsid w:val="00921158"/>
    <w:rsid w:val="009234E6"/>
    <w:rsid w:val="00923EDF"/>
    <w:rsid w:val="0092451A"/>
    <w:rsid w:val="00924899"/>
    <w:rsid w:val="00925487"/>
    <w:rsid w:val="00925F2A"/>
    <w:rsid w:val="00925FEB"/>
    <w:rsid w:val="009278A2"/>
    <w:rsid w:val="00930096"/>
    <w:rsid w:val="00931400"/>
    <w:rsid w:val="00931AC7"/>
    <w:rsid w:val="00931C28"/>
    <w:rsid w:val="00931D83"/>
    <w:rsid w:val="009320AD"/>
    <w:rsid w:val="009320E4"/>
    <w:rsid w:val="00932538"/>
    <w:rsid w:val="00934B5D"/>
    <w:rsid w:val="00934BE3"/>
    <w:rsid w:val="0093534E"/>
    <w:rsid w:val="009355A4"/>
    <w:rsid w:val="00937DE7"/>
    <w:rsid w:val="00940610"/>
    <w:rsid w:val="009406BA"/>
    <w:rsid w:val="009414B7"/>
    <w:rsid w:val="0094407D"/>
    <w:rsid w:val="00944214"/>
    <w:rsid w:val="00946693"/>
    <w:rsid w:val="00946F34"/>
    <w:rsid w:val="00946FAD"/>
    <w:rsid w:val="00947E01"/>
    <w:rsid w:val="0095018F"/>
    <w:rsid w:val="0095025E"/>
    <w:rsid w:val="00950E6A"/>
    <w:rsid w:val="009529F0"/>
    <w:rsid w:val="00952D53"/>
    <w:rsid w:val="009537D1"/>
    <w:rsid w:val="009543CE"/>
    <w:rsid w:val="00956192"/>
    <w:rsid w:val="00957DFF"/>
    <w:rsid w:val="009604BB"/>
    <w:rsid w:val="009604DE"/>
    <w:rsid w:val="00960C1C"/>
    <w:rsid w:val="00960E30"/>
    <w:rsid w:val="00961439"/>
    <w:rsid w:val="00962E51"/>
    <w:rsid w:val="00963A03"/>
    <w:rsid w:val="00963A99"/>
    <w:rsid w:val="00964C24"/>
    <w:rsid w:val="00964DF9"/>
    <w:rsid w:val="00967788"/>
    <w:rsid w:val="00970D55"/>
    <w:rsid w:val="00971CD5"/>
    <w:rsid w:val="009721F9"/>
    <w:rsid w:val="00974B65"/>
    <w:rsid w:val="00974B98"/>
    <w:rsid w:val="0097537B"/>
    <w:rsid w:val="00975E35"/>
    <w:rsid w:val="00976373"/>
    <w:rsid w:val="00977DDB"/>
    <w:rsid w:val="009812C2"/>
    <w:rsid w:val="00982150"/>
    <w:rsid w:val="0098259F"/>
    <w:rsid w:val="00982687"/>
    <w:rsid w:val="00982F40"/>
    <w:rsid w:val="00983528"/>
    <w:rsid w:val="0098719E"/>
    <w:rsid w:val="00987473"/>
    <w:rsid w:val="00987F91"/>
    <w:rsid w:val="009917E1"/>
    <w:rsid w:val="00992603"/>
    <w:rsid w:val="009933DF"/>
    <w:rsid w:val="0099410F"/>
    <w:rsid w:val="00994491"/>
    <w:rsid w:val="009948B2"/>
    <w:rsid w:val="00997F98"/>
    <w:rsid w:val="009A0432"/>
    <w:rsid w:val="009A0577"/>
    <w:rsid w:val="009A09DD"/>
    <w:rsid w:val="009A12A7"/>
    <w:rsid w:val="009A2B9E"/>
    <w:rsid w:val="009A2CC5"/>
    <w:rsid w:val="009A4175"/>
    <w:rsid w:val="009A66D6"/>
    <w:rsid w:val="009A6D6C"/>
    <w:rsid w:val="009A7309"/>
    <w:rsid w:val="009B051D"/>
    <w:rsid w:val="009B1625"/>
    <w:rsid w:val="009B3F6B"/>
    <w:rsid w:val="009B557C"/>
    <w:rsid w:val="009B5944"/>
    <w:rsid w:val="009B7508"/>
    <w:rsid w:val="009B7F90"/>
    <w:rsid w:val="009C0C58"/>
    <w:rsid w:val="009C1C7B"/>
    <w:rsid w:val="009C2076"/>
    <w:rsid w:val="009C2644"/>
    <w:rsid w:val="009C7BBC"/>
    <w:rsid w:val="009D09AD"/>
    <w:rsid w:val="009D1AAC"/>
    <w:rsid w:val="009D1B70"/>
    <w:rsid w:val="009D1D57"/>
    <w:rsid w:val="009D2BC3"/>
    <w:rsid w:val="009D316F"/>
    <w:rsid w:val="009D3409"/>
    <w:rsid w:val="009D3F37"/>
    <w:rsid w:val="009D49A7"/>
    <w:rsid w:val="009D67AE"/>
    <w:rsid w:val="009D69B4"/>
    <w:rsid w:val="009D6F27"/>
    <w:rsid w:val="009D7A72"/>
    <w:rsid w:val="009E1299"/>
    <w:rsid w:val="009E13BC"/>
    <w:rsid w:val="009E1D92"/>
    <w:rsid w:val="009E386D"/>
    <w:rsid w:val="009E3ADF"/>
    <w:rsid w:val="009E4594"/>
    <w:rsid w:val="009E556A"/>
    <w:rsid w:val="009E5C2A"/>
    <w:rsid w:val="009E5FB4"/>
    <w:rsid w:val="009E6722"/>
    <w:rsid w:val="009E6E31"/>
    <w:rsid w:val="009E75FA"/>
    <w:rsid w:val="009E772D"/>
    <w:rsid w:val="009E7C33"/>
    <w:rsid w:val="009F0220"/>
    <w:rsid w:val="009F0D18"/>
    <w:rsid w:val="009F0E76"/>
    <w:rsid w:val="009F1B0D"/>
    <w:rsid w:val="009F1C39"/>
    <w:rsid w:val="009F2207"/>
    <w:rsid w:val="009F2F26"/>
    <w:rsid w:val="009F4B78"/>
    <w:rsid w:val="009F4FEF"/>
    <w:rsid w:val="00A00646"/>
    <w:rsid w:val="00A00A92"/>
    <w:rsid w:val="00A00C50"/>
    <w:rsid w:val="00A00E49"/>
    <w:rsid w:val="00A0141E"/>
    <w:rsid w:val="00A019FF"/>
    <w:rsid w:val="00A022E2"/>
    <w:rsid w:val="00A03D2E"/>
    <w:rsid w:val="00A05ACC"/>
    <w:rsid w:val="00A0709C"/>
    <w:rsid w:val="00A07B1D"/>
    <w:rsid w:val="00A07E39"/>
    <w:rsid w:val="00A07E4E"/>
    <w:rsid w:val="00A10B9B"/>
    <w:rsid w:val="00A12144"/>
    <w:rsid w:val="00A12E45"/>
    <w:rsid w:val="00A1440C"/>
    <w:rsid w:val="00A1469F"/>
    <w:rsid w:val="00A157B9"/>
    <w:rsid w:val="00A1620E"/>
    <w:rsid w:val="00A165EE"/>
    <w:rsid w:val="00A2084D"/>
    <w:rsid w:val="00A208FE"/>
    <w:rsid w:val="00A20C0B"/>
    <w:rsid w:val="00A20E81"/>
    <w:rsid w:val="00A21B5D"/>
    <w:rsid w:val="00A2204F"/>
    <w:rsid w:val="00A228B6"/>
    <w:rsid w:val="00A2381A"/>
    <w:rsid w:val="00A23BF7"/>
    <w:rsid w:val="00A24910"/>
    <w:rsid w:val="00A24BC2"/>
    <w:rsid w:val="00A2501E"/>
    <w:rsid w:val="00A26714"/>
    <w:rsid w:val="00A26780"/>
    <w:rsid w:val="00A27EB4"/>
    <w:rsid w:val="00A30775"/>
    <w:rsid w:val="00A30CBF"/>
    <w:rsid w:val="00A3367F"/>
    <w:rsid w:val="00A3464C"/>
    <w:rsid w:val="00A34FFF"/>
    <w:rsid w:val="00A36101"/>
    <w:rsid w:val="00A36A90"/>
    <w:rsid w:val="00A3751E"/>
    <w:rsid w:val="00A37B7A"/>
    <w:rsid w:val="00A413F3"/>
    <w:rsid w:val="00A41A2F"/>
    <w:rsid w:val="00A427F0"/>
    <w:rsid w:val="00A42832"/>
    <w:rsid w:val="00A42C3C"/>
    <w:rsid w:val="00A43418"/>
    <w:rsid w:val="00A43AAE"/>
    <w:rsid w:val="00A43BB7"/>
    <w:rsid w:val="00A43F47"/>
    <w:rsid w:val="00A441BF"/>
    <w:rsid w:val="00A45B2A"/>
    <w:rsid w:val="00A45F18"/>
    <w:rsid w:val="00A46270"/>
    <w:rsid w:val="00A46D67"/>
    <w:rsid w:val="00A471C4"/>
    <w:rsid w:val="00A47BBB"/>
    <w:rsid w:val="00A5119D"/>
    <w:rsid w:val="00A53C98"/>
    <w:rsid w:val="00A54C2A"/>
    <w:rsid w:val="00A54D58"/>
    <w:rsid w:val="00A5626C"/>
    <w:rsid w:val="00A56291"/>
    <w:rsid w:val="00A57A4A"/>
    <w:rsid w:val="00A57EE4"/>
    <w:rsid w:val="00A60221"/>
    <w:rsid w:val="00A61148"/>
    <w:rsid w:val="00A669D4"/>
    <w:rsid w:val="00A67089"/>
    <w:rsid w:val="00A67453"/>
    <w:rsid w:val="00A6763A"/>
    <w:rsid w:val="00A676C7"/>
    <w:rsid w:val="00A67888"/>
    <w:rsid w:val="00A67BF7"/>
    <w:rsid w:val="00A70FAF"/>
    <w:rsid w:val="00A71675"/>
    <w:rsid w:val="00A71D3F"/>
    <w:rsid w:val="00A73928"/>
    <w:rsid w:val="00A745E2"/>
    <w:rsid w:val="00A76663"/>
    <w:rsid w:val="00A77B94"/>
    <w:rsid w:val="00A77E73"/>
    <w:rsid w:val="00A80ADF"/>
    <w:rsid w:val="00A81398"/>
    <w:rsid w:val="00A81B82"/>
    <w:rsid w:val="00A82C66"/>
    <w:rsid w:val="00A84585"/>
    <w:rsid w:val="00A8522D"/>
    <w:rsid w:val="00A856CC"/>
    <w:rsid w:val="00A90318"/>
    <w:rsid w:val="00A90D78"/>
    <w:rsid w:val="00A91168"/>
    <w:rsid w:val="00A916A8"/>
    <w:rsid w:val="00A92EA3"/>
    <w:rsid w:val="00A93D98"/>
    <w:rsid w:val="00A94466"/>
    <w:rsid w:val="00A953AA"/>
    <w:rsid w:val="00A95651"/>
    <w:rsid w:val="00A96356"/>
    <w:rsid w:val="00A963D6"/>
    <w:rsid w:val="00A97DAF"/>
    <w:rsid w:val="00AA12DE"/>
    <w:rsid w:val="00AA1DF2"/>
    <w:rsid w:val="00AA35C7"/>
    <w:rsid w:val="00AA4E68"/>
    <w:rsid w:val="00AA6CAE"/>
    <w:rsid w:val="00AA7120"/>
    <w:rsid w:val="00AA7411"/>
    <w:rsid w:val="00AB0583"/>
    <w:rsid w:val="00AB09D1"/>
    <w:rsid w:val="00AB11C3"/>
    <w:rsid w:val="00AB17DC"/>
    <w:rsid w:val="00AB1834"/>
    <w:rsid w:val="00AB1E2C"/>
    <w:rsid w:val="00AB1FFC"/>
    <w:rsid w:val="00AB4667"/>
    <w:rsid w:val="00AB5A1F"/>
    <w:rsid w:val="00AB67EE"/>
    <w:rsid w:val="00AB6A51"/>
    <w:rsid w:val="00AC2205"/>
    <w:rsid w:val="00AC2550"/>
    <w:rsid w:val="00AC3009"/>
    <w:rsid w:val="00AC3DF7"/>
    <w:rsid w:val="00AC40B3"/>
    <w:rsid w:val="00AC44C3"/>
    <w:rsid w:val="00AC45E1"/>
    <w:rsid w:val="00AC547C"/>
    <w:rsid w:val="00AC6EBA"/>
    <w:rsid w:val="00AC701F"/>
    <w:rsid w:val="00AD22E1"/>
    <w:rsid w:val="00AD3453"/>
    <w:rsid w:val="00AD3A3D"/>
    <w:rsid w:val="00AD43B5"/>
    <w:rsid w:val="00AD4453"/>
    <w:rsid w:val="00AD7041"/>
    <w:rsid w:val="00AE0C93"/>
    <w:rsid w:val="00AE2BC6"/>
    <w:rsid w:val="00AE33EC"/>
    <w:rsid w:val="00AE36E8"/>
    <w:rsid w:val="00AE3B39"/>
    <w:rsid w:val="00AE4B55"/>
    <w:rsid w:val="00AE6A87"/>
    <w:rsid w:val="00AF00F9"/>
    <w:rsid w:val="00AF045F"/>
    <w:rsid w:val="00AF0799"/>
    <w:rsid w:val="00AF0EDA"/>
    <w:rsid w:val="00AF12C1"/>
    <w:rsid w:val="00AF1A4A"/>
    <w:rsid w:val="00AF1D2F"/>
    <w:rsid w:val="00AF1FC9"/>
    <w:rsid w:val="00AF4E98"/>
    <w:rsid w:val="00AF54ED"/>
    <w:rsid w:val="00AF5658"/>
    <w:rsid w:val="00AF5E9E"/>
    <w:rsid w:val="00AF6485"/>
    <w:rsid w:val="00AF67D2"/>
    <w:rsid w:val="00AF6876"/>
    <w:rsid w:val="00AF71F5"/>
    <w:rsid w:val="00AF7659"/>
    <w:rsid w:val="00B0178E"/>
    <w:rsid w:val="00B01B62"/>
    <w:rsid w:val="00B02DF8"/>
    <w:rsid w:val="00B035A0"/>
    <w:rsid w:val="00B03C25"/>
    <w:rsid w:val="00B05CD6"/>
    <w:rsid w:val="00B05E6B"/>
    <w:rsid w:val="00B1017D"/>
    <w:rsid w:val="00B11374"/>
    <w:rsid w:val="00B11961"/>
    <w:rsid w:val="00B11AC8"/>
    <w:rsid w:val="00B11E69"/>
    <w:rsid w:val="00B12BEC"/>
    <w:rsid w:val="00B1346A"/>
    <w:rsid w:val="00B1756A"/>
    <w:rsid w:val="00B178EB"/>
    <w:rsid w:val="00B259E5"/>
    <w:rsid w:val="00B25B40"/>
    <w:rsid w:val="00B312BF"/>
    <w:rsid w:val="00B3403F"/>
    <w:rsid w:val="00B35FD1"/>
    <w:rsid w:val="00B36C1E"/>
    <w:rsid w:val="00B37F74"/>
    <w:rsid w:val="00B400D0"/>
    <w:rsid w:val="00B4010C"/>
    <w:rsid w:val="00B40EF9"/>
    <w:rsid w:val="00B42338"/>
    <w:rsid w:val="00B42E6B"/>
    <w:rsid w:val="00B44F8C"/>
    <w:rsid w:val="00B450F9"/>
    <w:rsid w:val="00B47F3E"/>
    <w:rsid w:val="00B504CB"/>
    <w:rsid w:val="00B50898"/>
    <w:rsid w:val="00B52B07"/>
    <w:rsid w:val="00B52BD6"/>
    <w:rsid w:val="00B52C53"/>
    <w:rsid w:val="00B52E14"/>
    <w:rsid w:val="00B53C8A"/>
    <w:rsid w:val="00B54C4F"/>
    <w:rsid w:val="00B54EFD"/>
    <w:rsid w:val="00B55214"/>
    <w:rsid w:val="00B55665"/>
    <w:rsid w:val="00B55C76"/>
    <w:rsid w:val="00B56469"/>
    <w:rsid w:val="00B56837"/>
    <w:rsid w:val="00B56A6D"/>
    <w:rsid w:val="00B56B30"/>
    <w:rsid w:val="00B56C5D"/>
    <w:rsid w:val="00B573E5"/>
    <w:rsid w:val="00B5792B"/>
    <w:rsid w:val="00B60043"/>
    <w:rsid w:val="00B6189E"/>
    <w:rsid w:val="00B61BFF"/>
    <w:rsid w:val="00B64398"/>
    <w:rsid w:val="00B64B9A"/>
    <w:rsid w:val="00B656DE"/>
    <w:rsid w:val="00B656EE"/>
    <w:rsid w:val="00B66340"/>
    <w:rsid w:val="00B66627"/>
    <w:rsid w:val="00B66FC8"/>
    <w:rsid w:val="00B672EE"/>
    <w:rsid w:val="00B70224"/>
    <w:rsid w:val="00B70E6F"/>
    <w:rsid w:val="00B72445"/>
    <w:rsid w:val="00B76DCC"/>
    <w:rsid w:val="00B77C44"/>
    <w:rsid w:val="00B8030D"/>
    <w:rsid w:val="00B80DBB"/>
    <w:rsid w:val="00B81174"/>
    <w:rsid w:val="00B82118"/>
    <w:rsid w:val="00B826F2"/>
    <w:rsid w:val="00B8272D"/>
    <w:rsid w:val="00B82805"/>
    <w:rsid w:val="00B82EF4"/>
    <w:rsid w:val="00B8341D"/>
    <w:rsid w:val="00B83B3E"/>
    <w:rsid w:val="00B83B58"/>
    <w:rsid w:val="00B83C2C"/>
    <w:rsid w:val="00B852A7"/>
    <w:rsid w:val="00B8747E"/>
    <w:rsid w:val="00B90627"/>
    <w:rsid w:val="00B90F95"/>
    <w:rsid w:val="00B91AC2"/>
    <w:rsid w:val="00B9290B"/>
    <w:rsid w:val="00B92A4E"/>
    <w:rsid w:val="00B9327E"/>
    <w:rsid w:val="00B93AC8"/>
    <w:rsid w:val="00B9402F"/>
    <w:rsid w:val="00B9463D"/>
    <w:rsid w:val="00B94FE2"/>
    <w:rsid w:val="00B95834"/>
    <w:rsid w:val="00B958B8"/>
    <w:rsid w:val="00B963E1"/>
    <w:rsid w:val="00B96B1F"/>
    <w:rsid w:val="00BA0949"/>
    <w:rsid w:val="00BA0979"/>
    <w:rsid w:val="00BA0AF2"/>
    <w:rsid w:val="00BA1D4B"/>
    <w:rsid w:val="00BA256F"/>
    <w:rsid w:val="00BA3386"/>
    <w:rsid w:val="00BA3A15"/>
    <w:rsid w:val="00BA3DAD"/>
    <w:rsid w:val="00BA5264"/>
    <w:rsid w:val="00BA5478"/>
    <w:rsid w:val="00BA5BAE"/>
    <w:rsid w:val="00BA5D67"/>
    <w:rsid w:val="00BA7642"/>
    <w:rsid w:val="00BA76F8"/>
    <w:rsid w:val="00BB0F58"/>
    <w:rsid w:val="00BB12D1"/>
    <w:rsid w:val="00BB141A"/>
    <w:rsid w:val="00BB1FC7"/>
    <w:rsid w:val="00BB2AE9"/>
    <w:rsid w:val="00BB4DA7"/>
    <w:rsid w:val="00BB6ACA"/>
    <w:rsid w:val="00BB7885"/>
    <w:rsid w:val="00BC01D2"/>
    <w:rsid w:val="00BC0C21"/>
    <w:rsid w:val="00BC1973"/>
    <w:rsid w:val="00BC1E6D"/>
    <w:rsid w:val="00BC1EB5"/>
    <w:rsid w:val="00BC3540"/>
    <w:rsid w:val="00BC4629"/>
    <w:rsid w:val="00BC4E62"/>
    <w:rsid w:val="00BC588B"/>
    <w:rsid w:val="00BC67CF"/>
    <w:rsid w:val="00BC7652"/>
    <w:rsid w:val="00BC76C7"/>
    <w:rsid w:val="00BD02C5"/>
    <w:rsid w:val="00BD0B95"/>
    <w:rsid w:val="00BD1BF3"/>
    <w:rsid w:val="00BD1CF5"/>
    <w:rsid w:val="00BD2562"/>
    <w:rsid w:val="00BD3F3A"/>
    <w:rsid w:val="00BD4335"/>
    <w:rsid w:val="00BD46CB"/>
    <w:rsid w:val="00BD53A4"/>
    <w:rsid w:val="00BD630F"/>
    <w:rsid w:val="00BE02A6"/>
    <w:rsid w:val="00BE3182"/>
    <w:rsid w:val="00BE328A"/>
    <w:rsid w:val="00BE3297"/>
    <w:rsid w:val="00BE4C5F"/>
    <w:rsid w:val="00BE5F71"/>
    <w:rsid w:val="00BE6151"/>
    <w:rsid w:val="00BE7E19"/>
    <w:rsid w:val="00BF123F"/>
    <w:rsid w:val="00BF1576"/>
    <w:rsid w:val="00BF2E62"/>
    <w:rsid w:val="00BF3B65"/>
    <w:rsid w:val="00BF4460"/>
    <w:rsid w:val="00BF4551"/>
    <w:rsid w:val="00BF45C7"/>
    <w:rsid w:val="00BF5236"/>
    <w:rsid w:val="00BF7B84"/>
    <w:rsid w:val="00C00D3C"/>
    <w:rsid w:val="00C00F23"/>
    <w:rsid w:val="00C01F51"/>
    <w:rsid w:val="00C02054"/>
    <w:rsid w:val="00C07401"/>
    <w:rsid w:val="00C10F3B"/>
    <w:rsid w:val="00C119CE"/>
    <w:rsid w:val="00C122FD"/>
    <w:rsid w:val="00C1414A"/>
    <w:rsid w:val="00C14E77"/>
    <w:rsid w:val="00C17633"/>
    <w:rsid w:val="00C17E8C"/>
    <w:rsid w:val="00C207FC"/>
    <w:rsid w:val="00C20E38"/>
    <w:rsid w:val="00C20F1E"/>
    <w:rsid w:val="00C21E5C"/>
    <w:rsid w:val="00C22519"/>
    <w:rsid w:val="00C2307A"/>
    <w:rsid w:val="00C23E75"/>
    <w:rsid w:val="00C24028"/>
    <w:rsid w:val="00C2404B"/>
    <w:rsid w:val="00C24268"/>
    <w:rsid w:val="00C25823"/>
    <w:rsid w:val="00C274F7"/>
    <w:rsid w:val="00C276FE"/>
    <w:rsid w:val="00C303E3"/>
    <w:rsid w:val="00C330F4"/>
    <w:rsid w:val="00C346CE"/>
    <w:rsid w:val="00C35186"/>
    <w:rsid w:val="00C36D4B"/>
    <w:rsid w:val="00C41C02"/>
    <w:rsid w:val="00C42E6E"/>
    <w:rsid w:val="00C43878"/>
    <w:rsid w:val="00C451A6"/>
    <w:rsid w:val="00C457BF"/>
    <w:rsid w:val="00C4675D"/>
    <w:rsid w:val="00C471F6"/>
    <w:rsid w:val="00C475B8"/>
    <w:rsid w:val="00C50938"/>
    <w:rsid w:val="00C53405"/>
    <w:rsid w:val="00C54AD4"/>
    <w:rsid w:val="00C5503B"/>
    <w:rsid w:val="00C565EF"/>
    <w:rsid w:val="00C604AD"/>
    <w:rsid w:val="00C61A87"/>
    <w:rsid w:val="00C62354"/>
    <w:rsid w:val="00C62EA5"/>
    <w:rsid w:val="00C63121"/>
    <w:rsid w:val="00C63706"/>
    <w:rsid w:val="00C637F1"/>
    <w:rsid w:val="00C651B5"/>
    <w:rsid w:val="00C668F9"/>
    <w:rsid w:val="00C672ED"/>
    <w:rsid w:val="00C73390"/>
    <w:rsid w:val="00C734FD"/>
    <w:rsid w:val="00C7365D"/>
    <w:rsid w:val="00C73E3A"/>
    <w:rsid w:val="00C77B29"/>
    <w:rsid w:val="00C81E85"/>
    <w:rsid w:val="00C8338D"/>
    <w:rsid w:val="00C83A0C"/>
    <w:rsid w:val="00C83BC3"/>
    <w:rsid w:val="00C84348"/>
    <w:rsid w:val="00C84794"/>
    <w:rsid w:val="00C84D8B"/>
    <w:rsid w:val="00C852DD"/>
    <w:rsid w:val="00C862E9"/>
    <w:rsid w:val="00C863E9"/>
    <w:rsid w:val="00C8662E"/>
    <w:rsid w:val="00C868EC"/>
    <w:rsid w:val="00C86BF6"/>
    <w:rsid w:val="00C86BFF"/>
    <w:rsid w:val="00C90AB4"/>
    <w:rsid w:val="00C92AE1"/>
    <w:rsid w:val="00C93669"/>
    <w:rsid w:val="00C93CE9"/>
    <w:rsid w:val="00C9437F"/>
    <w:rsid w:val="00C94740"/>
    <w:rsid w:val="00C9519B"/>
    <w:rsid w:val="00C95E20"/>
    <w:rsid w:val="00C9630C"/>
    <w:rsid w:val="00CA055D"/>
    <w:rsid w:val="00CA05B0"/>
    <w:rsid w:val="00CA1380"/>
    <w:rsid w:val="00CA29AE"/>
    <w:rsid w:val="00CA4275"/>
    <w:rsid w:val="00CA5231"/>
    <w:rsid w:val="00CA5833"/>
    <w:rsid w:val="00CA758C"/>
    <w:rsid w:val="00CA7AA5"/>
    <w:rsid w:val="00CB057C"/>
    <w:rsid w:val="00CB0DC7"/>
    <w:rsid w:val="00CB1CA3"/>
    <w:rsid w:val="00CB26F8"/>
    <w:rsid w:val="00CB2EE7"/>
    <w:rsid w:val="00CB3AA9"/>
    <w:rsid w:val="00CB3C2C"/>
    <w:rsid w:val="00CB4D04"/>
    <w:rsid w:val="00CB4FBC"/>
    <w:rsid w:val="00CB61BD"/>
    <w:rsid w:val="00CC1F5A"/>
    <w:rsid w:val="00CC2F9B"/>
    <w:rsid w:val="00CC41A6"/>
    <w:rsid w:val="00CC6270"/>
    <w:rsid w:val="00CC77B2"/>
    <w:rsid w:val="00CC7BB9"/>
    <w:rsid w:val="00CD0007"/>
    <w:rsid w:val="00CD2D7A"/>
    <w:rsid w:val="00CD2E7A"/>
    <w:rsid w:val="00CD6EFF"/>
    <w:rsid w:val="00CD708B"/>
    <w:rsid w:val="00CD7BC6"/>
    <w:rsid w:val="00CE006B"/>
    <w:rsid w:val="00CE0188"/>
    <w:rsid w:val="00CE09DF"/>
    <w:rsid w:val="00CE0E5B"/>
    <w:rsid w:val="00CE1236"/>
    <w:rsid w:val="00CE262E"/>
    <w:rsid w:val="00CE3556"/>
    <w:rsid w:val="00CE3C41"/>
    <w:rsid w:val="00CE3D86"/>
    <w:rsid w:val="00CE606F"/>
    <w:rsid w:val="00CE663D"/>
    <w:rsid w:val="00CF26C0"/>
    <w:rsid w:val="00CF2E90"/>
    <w:rsid w:val="00CF3039"/>
    <w:rsid w:val="00CF3631"/>
    <w:rsid w:val="00CF39F6"/>
    <w:rsid w:val="00CF4D08"/>
    <w:rsid w:val="00CF4FE3"/>
    <w:rsid w:val="00CF520B"/>
    <w:rsid w:val="00CF7B60"/>
    <w:rsid w:val="00D009CE"/>
    <w:rsid w:val="00D01758"/>
    <w:rsid w:val="00D02C8E"/>
    <w:rsid w:val="00D0443C"/>
    <w:rsid w:val="00D05301"/>
    <w:rsid w:val="00D06884"/>
    <w:rsid w:val="00D06E6E"/>
    <w:rsid w:val="00D07E3E"/>
    <w:rsid w:val="00D10B1C"/>
    <w:rsid w:val="00D11D24"/>
    <w:rsid w:val="00D11DC3"/>
    <w:rsid w:val="00D1265D"/>
    <w:rsid w:val="00D128F9"/>
    <w:rsid w:val="00D12E9C"/>
    <w:rsid w:val="00D12FAE"/>
    <w:rsid w:val="00D13A08"/>
    <w:rsid w:val="00D14000"/>
    <w:rsid w:val="00D16026"/>
    <w:rsid w:val="00D16196"/>
    <w:rsid w:val="00D200F7"/>
    <w:rsid w:val="00D20494"/>
    <w:rsid w:val="00D20B03"/>
    <w:rsid w:val="00D22A6F"/>
    <w:rsid w:val="00D22D92"/>
    <w:rsid w:val="00D23367"/>
    <w:rsid w:val="00D237AD"/>
    <w:rsid w:val="00D23A7A"/>
    <w:rsid w:val="00D25565"/>
    <w:rsid w:val="00D25AED"/>
    <w:rsid w:val="00D2603C"/>
    <w:rsid w:val="00D26656"/>
    <w:rsid w:val="00D2686E"/>
    <w:rsid w:val="00D26E2A"/>
    <w:rsid w:val="00D27555"/>
    <w:rsid w:val="00D27B3B"/>
    <w:rsid w:val="00D30C15"/>
    <w:rsid w:val="00D30CFA"/>
    <w:rsid w:val="00D3124F"/>
    <w:rsid w:val="00D31C36"/>
    <w:rsid w:val="00D327BD"/>
    <w:rsid w:val="00D33D3F"/>
    <w:rsid w:val="00D34592"/>
    <w:rsid w:val="00D34D72"/>
    <w:rsid w:val="00D355F8"/>
    <w:rsid w:val="00D36D85"/>
    <w:rsid w:val="00D3709D"/>
    <w:rsid w:val="00D4014F"/>
    <w:rsid w:val="00D40A60"/>
    <w:rsid w:val="00D413D1"/>
    <w:rsid w:val="00D4231F"/>
    <w:rsid w:val="00D425C6"/>
    <w:rsid w:val="00D42B1B"/>
    <w:rsid w:val="00D43054"/>
    <w:rsid w:val="00D43B2D"/>
    <w:rsid w:val="00D4452E"/>
    <w:rsid w:val="00D44EEE"/>
    <w:rsid w:val="00D46BBB"/>
    <w:rsid w:val="00D50568"/>
    <w:rsid w:val="00D5172C"/>
    <w:rsid w:val="00D52403"/>
    <w:rsid w:val="00D525D4"/>
    <w:rsid w:val="00D534D3"/>
    <w:rsid w:val="00D54AE6"/>
    <w:rsid w:val="00D55A01"/>
    <w:rsid w:val="00D5634B"/>
    <w:rsid w:val="00D5666B"/>
    <w:rsid w:val="00D56CC4"/>
    <w:rsid w:val="00D578F0"/>
    <w:rsid w:val="00D57D44"/>
    <w:rsid w:val="00D57FE9"/>
    <w:rsid w:val="00D60485"/>
    <w:rsid w:val="00D60A37"/>
    <w:rsid w:val="00D61CBF"/>
    <w:rsid w:val="00D63CE2"/>
    <w:rsid w:val="00D64B72"/>
    <w:rsid w:val="00D6588B"/>
    <w:rsid w:val="00D66902"/>
    <w:rsid w:val="00D7049A"/>
    <w:rsid w:val="00D722FA"/>
    <w:rsid w:val="00D73DE0"/>
    <w:rsid w:val="00D75856"/>
    <w:rsid w:val="00D75A1B"/>
    <w:rsid w:val="00D76133"/>
    <w:rsid w:val="00D775AA"/>
    <w:rsid w:val="00D806F5"/>
    <w:rsid w:val="00D810BF"/>
    <w:rsid w:val="00D82487"/>
    <w:rsid w:val="00D828E6"/>
    <w:rsid w:val="00D8514A"/>
    <w:rsid w:val="00D85368"/>
    <w:rsid w:val="00D86053"/>
    <w:rsid w:val="00D8678B"/>
    <w:rsid w:val="00D8680B"/>
    <w:rsid w:val="00D873A4"/>
    <w:rsid w:val="00D879DA"/>
    <w:rsid w:val="00D87FA5"/>
    <w:rsid w:val="00D905B1"/>
    <w:rsid w:val="00D90A5E"/>
    <w:rsid w:val="00D90FF4"/>
    <w:rsid w:val="00D9124B"/>
    <w:rsid w:val="00D912DF"/>
    <w:rsid w:val="00D93594"/>
    <w:rsid w:val="00D950DE"/>
    <w:rsid w:val="00D96FF9"/>
    <w:rsid w:val="00DA0A29"/>
    <w:rsid w:val="00DA1178"/>
    <w:rsid w:val="00DA1798"/>
    <w:rsid w:val="00DA18BD"/>
    <w:rsid w:val="00DA2370"/>
    <w:rsid w:val="00DA31A4"/>
    <w:rsid w:val="00DA3704"/>
    <w:rsid w:val="00DA4376"/>
    <w:rsid w:val="00DB1034"/>
    <w:rsid w:val="00DB1A8C"/>
    <w:rsid w:val="00DB24E6"/>
    <w:rsid w:val="00DB2662"/>
    <w:rsid w:val="00DB272E"/>
    <w:rsid w:val="00DB39A4"/>
    <w:rsid w:val="00DB4E88"/>
    <w:rsid w:val="00DB6636"/>
    <w:rsid w:val="00DC03CE"/>
    <w:rsid w:val="00DC0458"/>
    <w:rsid w:val="00DC0B15"/>
    <w:rsid w:val="00DC11EE"/>
    <w:rsid w:val="00DC180E"/>
    <w:rsid w:val="00DC2097"/>
    <w:rsid w:val="00DC4309"/>
    <w:rsid w:val="00DC46EB"/>
    <w:rsid w:val="00DC4ECB"/>
    <w:rsid w:val="00DC541F"/>
    <w:rsid w:val="00DC542A"/>
    <w:rsid w:val="00DD008E"/>
    <w:rsid w:val="00DD04D8"/>
    <w:rsid w:val="00DD17BE"/>
    <w:rsid w:val="00DD32C9"/>
    <w:rsid w:val="00DD35A9"/>
    <w:rsid w:val="00DD5043"/>
    <w:rsid w:val="00DD50D4"/>
    <w:rsid w:val="00DD5520"/>
    <w:rsid w:val="00DD7410"/>
    <w:rsid w:val="00DD790F"/>
    <w:rsid w:val="00DE029B"/>
    <w:rsid w:val="00DE069C"/>
    <w:rsid w:val="00DE1570"/>
    <w:rsid w:val="00DE1663"/>
    <w:rsid w:val="00DE1FBF"/>
    <w:rsid w:val="00DE2259"/>
    <w:rsid w:val="00DE311D"/>
    <w:rsid w:val="00DE479F"/>
    <w:rsid w:val="00DE4E4D"/>
    <w:rsid w:val="00DE5334"/>
    <w:rsid w:val="00DE6C23"/>
    <w:rsid w:val="00DF0E41"/>
    <w:rsid w:val="00DF1963"/>
    <w:rsid w:val="00DF262E"/>
    <w:rsid w:val="00DF2CB4"/>
    <w:rsid w:val="00DF2DDC"/>
    <w:rsid w:val="00DF304C"/>
    <w:rsid w:val="00DF4781"/>
    <w:rsid w:val="00DF4B82"/>
    <w:rsid w:val="00DF4FBC"/>
    <w:rsid w:val="00DF69E2"/>
    <w:rsid w:val="00DF704A"/>
    <w:rsid w:val="00E00486"/>
    <w:rsid w:val="00E015D1"/>
    <w:rsid w:val="00E030C9"/>
    <w:rsid w:val="00E04316"/>
    <w:rsid w:val="00E047F4"/>
    <w:rsid w:val="00E067D6"/>
    <w:rsid w:val="00E078C1"/>
    <w:rsid w:val="00E102A0"/>
    <w:rsid w:val="00E10860"/>
    <w:rsid w:val="00E11C2B"/>
    <w:rsid w:val="00E164B4"/>
    <w:rsid w:val="00E16692"/>
    <w:rsid w:val="00E1686C"/>
    <w:rsid w:val="00E1758F"/>
    <w:rsid w:val="00E214FB"/>
    <w:rsid w:val="00E221AE"/>
    <w:rsid w:val="00E2272A"/>
    <w:rsid w:val="00E22ACE"/>
    <w:rsid w:val="00E22F98"/>
    <w:rsid w:val="00E23664"/>
    <w:rsid w:val="00E24D0E"/>
    <w:rsid w:val="00E2518D"/>
    <w:rsid w:val="00E25398"/>
    <w:rsid w:val="00E2571A"/>
    <w:rsid w:val="00E26199"/>
    <w:rsid w:val="00E30698"/>
    <w:rsid w:val="00E32689"/>
    <w:rsid w:val="00E33F94"/>
    <w:rsid w:val="00E3430A"/>
    <w:rsid w:val="00E3452D"/>
    <w:rsid w:val="00E34D45"/>
    <w:rsid w:val="00E35246"/>
    <w:rsid w:val="00E353BC"/>
    <w:rsid w:val="00E35A8F"/>
    <w:rsid w:val="00E37D85"/>
    <w:rsid w:val="00E40CCE"/>
    <w:rsid w:val="00E4212A"/>
    <w:rsid w:val="00E42655"/>
    <w:rsid w:val="00E426C6"/>
    <w:rsid w:val="00E43596"/>
    <w:rsid w:val="00E43658"/>
    <w:rsid w:val="00E446FA"/>
    <w:rsid w:val="00E4518B"/>
    <w:rsid w:val="00E453E0"/>
    <w:rsid w:val="00E46155"/>
    <w:rsid w:val="00E50170"/>
    <w:rsid w:val="00E53146"/>
    <w:rsid w:val="00E53DE8"/>
    <w:rsid w:val="00E54AEC"/>
    <w:rsid w:val="00E55378"/>
    <w:rsid w:val="00E55531"/>
    <w:rsid w:val="00E55AFD"/>
    <w:rsid w:val="00E57F41"/>
    <w:rsid w:val="00E60FD6"/>
    <w:rsid w:val="00E62EDB"/>
    <w:rsid w:val="00E64923"/>
    <w:rsid w:val="00E65AAD"/>
    <w:rsid w:val="00E65E20"/>
    <w:rsid w:val="00E7031C"/>
    <w:rsid w:val="00E70977"/>
    <w:rsid w:val="00E70A80"/>
    <w:rsid w:val="00E713E1"/>
    <w:rsid w:val="00E74927"/>
    <w:rsid w:val="00E74FCC"/>
    <w:rsid w:val="00E75724"/>
    <w:rsid w:val="00E75E13"/>
    <w:rsid w:val="00E76C0E"/>
    <w:rsid w:val="00E823D0"/>
    <w:rsid w:val="00E830E4"/>
    <w:rsid w:val="00E847AC"/>
    <w:rsid w:val="00E90EC6"/>
    <w:rsid w:val="00E940C0"/>
    <w:rsid w:val="00E94BA8"/>
    <w:rsid w:val="00E96DA7"/>
    <w:rsid w:val="00E971DE"/>
    <w:rsid w:val="00EA070A"/>
    <w:rsid w:val="00EA1A94"/>
    <w:rsid w:val="00EA1F5D"/>
    <w:rsid w:val="00EA22AF"/>
    <w:rsid w:val="00EA26C6"/>
    <w:rsid w:val="00EA3650"/>
    <w:rsid w:val="00EA3E86"/>
    <w:rsid w:val="00EA48D2"/>
    <w:rsid w:val="00EA4BD2"/>
    <w:rsid w:val="00EA5CA6"/>
    <w:rsid w:val="00EA6429"/>
    <w:rsid w:val="00EA6583"/>
    <w:rsid w:val="00EA67B1"/>
    <w:rsid w:val="00EA6D47"/>
    <w:rsid w:val="00EA745A"/>
    <w:rsid w:val="00EA7F55"/>
    <w:rsid w:val="00EB27F5"/>
    <w:rsid w:val="00EB3480"/>
    <w:rsid w:val="00EB39CD"/>
    <w:rsid w:val="00EB3B4C"/>
    <w:rsid w:val="00EB40B0"/>
    <w:rsid w:val="00EB46EB"/>
    <w:rsid w:val="00EB478E"/>
    <w:rsid w:val="00EB4A32"/>
    <w:rsid w:val="00EB6865"/>
    <w:rsid w:val="00EB6DEB"/>
    <w:rsid w:val="00EB75BC"/>
    <w:rsid w:val="00EC083F"/>
    <w:rsid w:val="00EC28C7"/>
    <w:rsid w:val="00EC4537"/>
    <w:rsid w:val="00EC632B"/>
    <w:rsid w:val="00EC6DA9"/>
    <w:rsid w:val="00EC7389"/>
    <w:rsid w:val="00EC7D57"/>
    <w:rsid w:val="00ED0A5A"/>
    <w:rsid w:val="00ED0F5A"/>
    <w:rsid w:val="00ED21B1"/>
    <w:rsid w:val="00ED2C0E"/>
    <w:rsid w:val="00ED52E2"/>
    <w:rsid w:val="00ED6C9B"/>
    <w:rsid w:val="00EE1F10"/>
    <w:rsid w:val="00EE219D"/>
    <w:rsid w:val="00EE2AEF"/>
    <w:rsid w:val="00EE2E8D"/>
    <w:rsid w:val="00EE310F"/>
    <w:rsid w:val="00EE4D87"/>
    <w:rsid w:val="00EE57F9"/>
    <w:rsid w:val="00EE7A23"/>
    <w:rsid w:val="00EF13FC"/>
    <w:rsid w:val="00EF1974"/>
    <w:rsid w:val="00EF61F7"/>
    <w:rsid w:val="00EF63AB"/>
    <w:rsid w:val="00EF6A10"/>
    <w:rsid w:val="00EF6D67"/>
    <w:rsid w:val="00F00B5B"/>
    <w:rsid w:val="00F0100E"/>
    <w:rsid w:val="00F016EC"/>
    <w:rsid w:val="00F02F68"/>
    <w:rsid w:val="00F07882"/>
    <w:rsid w:val="00F107B1"/>
    <w:rsid w:val="00F11DA7"/>
    <w:rsid w:val="00F13AD4"/>
    <w:rsid w:val="00F14732"/>
    <w:rsid w:val="00F14A3F"/>
    <w:rsid w:val="00F15E40"/>
    <w:rsid w:val="00F1665E"/>
    <w:rsid w:val="00F20072"/>
    <w:rsid w:val="00F21BD0"/>
    <w:rsid w:val="00F23F30"/>
    <w:rsid w:val="00F24CFE"/>
    <w:rsid w:val="00F2587E"/>
    <w:rsid w:val="00F30038"/>
    <w:rsid w:val="00F30085"/>
    <w:rsid w:val="00F30555"/>
    <w:rsid w:val="00F32858"/>
    <w:rsid w:val="00F34141"/>
    <w:rsid w:val="00F373D9"/>
    <w:rsid w:val="00F3773A"/>
    <w:rsid w:val="00F37AA7"/>
    <w:rsid w:val="00F40EAC"/>
    <w:rsid w:val="00F428EF"/>
    <w:rsid w:val="00F42A5D"/>
    <w:rsid w:val="00F4426A"/>
    <w:rsid w:val="00F45793"/>
    <w:rsid w:val="00F45F0D"/>
    <w:rsid w:val="00F4634F"/>
    <w:rsid w:val="00F46849"/>
    <w:rsid w:val="00F47D65"/>
    <w:rsid w:val="00F519D6"/>
    <w:rsid w:val="00F51B3B"/>
    <w:rsid w:val="00F51BB9"/>
    <w:rsid w:val="00F52BB5"/>
    <w:rsid w:val="00F52D35"/>
    <w:rsid w:val="00F52DFB"/>
    <w:rsid w:val="00F5342B"/>
    <w:rsid w:val="00F536EA"/>
    <w:rsid w:val="00F5401F"/>
    <w:rsid w:val="00F54848"/>
    <w:rsid w:val="00F5548F"/>
    <w:rsid w:val="00F55C7A"/>
    <w:rsid w:val="00F560AC"/>
    <w:rsid w:val="00F57B76"/>
    <w:rsid w:val="00F57EEF"/>
    <w:rsid w:val="00F604EA"/>
    <w:rsid w:val="00F61BF9"/>
    <w:rsid w:val="00F61F65"/>
    <w:rsid w:val="00F62A3E"/>
    <w:rsid w:val="00F63C74"/>
    <w:rsid w:val="00F641FD"/>
    <w:rsid w:val="00F6420B"/>
    <w:rsid w:val="00F64290"/>
    <w:rsid w:val="00F66374"/>
    <w:rsid w:val="00F67821"/>
    <w:rsid w:val="00F67C5A"/>
    <w:rsid w:val="00F67CBC"/>
    <w:rsid w:val="00F701A8"/>
    <w:rsid w:val="00F719D4"/>
    <w:rsid w:val="00F72C9E"/>
    <w:rsid w:val="00F732B1"/>
    <w:rsid w:val="00F750C5"/>
    <w:rsid w:val="00F76BB2"/>
    <w:rsid w:val="00F77452"/>
    <w:rsid w:val="00F7769A"/>
    <w:rsid w:val="00F77C0E"/>
    <w:rsid w:val="00F80970"/>
    <w:rsid w:val="00F814A3"/>
    <w:rsid w:val="00F85142"/>
    <w:rsid w:val="00F86250"/>
    <w:rsid w:val="00F86DF4"/>
    <w:rsid w:val="00F87707"/>
    <w:rsid w:val="00F87BBD"/>
    <w:rsid w:val="00F87E2D"/>
    <w:rsid w:val="00F87F2B"/>
    <w:rsid w:val="00F92B43"/>
    <w:rsid w:val="00F92CCD"/>
    <w:rsid w:val="00F93209"/>
    <w:rsid w:val="00F93454"/>
    <w:rsid w:val="00F93FA5"/>
    <w:rsid w:val="00F95700"/>
    <w:rsid w:val="00F96291"/>
    <w:rsid w:val="00F96B9A"/>
    <w:rsid w:val="00F96FAB"/>
    <w:rsid w:val="00F97C68"/>
    <w:rsid w:val="00FA09DB"/>
    <w:rsid w:val="00FA0B55"/>
    <w:rsid w:val="00FA1B4A"/>
    <w:rsid w:val="00FA270B"/>
    <w:rsid w:val="00FA2E49"/>
    <w:rsid w:val="00FA3D28"/>
    <w:rsid w:val="00FA3F00"/>
    <w:rsid w:val="00FA53A8"/>
    <w:rsid w:val="00FA57F1"/>
    <w:rsid w:val="00FA5FAE"/>
    <w:rsid w:val="00FA63A4"/>
    <w:rsid w:val="00FA65D3"/>
    <w:rsid w:val="00FA69AE"/>
    <w:rsid w:val="00FA6B95"/>
    <w:rsid w:val="00FB0339"/>
    <w:rsid w:val="00FB17C1"/>
    <w:rsid w:val="00FB1C09"/>
    <w:rsid w:val="00FB4463"/>
    <w:rsid w:val="00FB4D78"/>
    <w:rsid w:val="00FB4EA5"/>
    <w:rsid w:val="00FB544B"/>
    <w:rsid w:val="00FB65D9"/>
    <w:rsid w:val="00FC3951"/>
    <w:rsid w:val="00FC40A4"/>
    <w:rsid w:val="00FC4B2D"/>
    <w:rsid w:val="00FC6BE0"/>
    <w:rsid w:val="00FC732C"/>
    <w:rsid w:val="00FC7BB4"/>
    <w:rsid w:val="00FD1FFF"/>
    <w:rsid w:val="00FD2570"/>
    <w:rsid w:val="00FD38C1"/>
    <w:rsid w:val="00FD3B5F"/>
    <w:rsid w:val="00FD3DC3"/>
    <w:rsid w:val="00FD42BA"/>
    <w:rsid w:val="00FD4700"/>
    <w:rsid w:val="00FD5C42"/>
    <w:rsid w:val="00FD6143"/>
    <w:rsid w:val="00FD6C49"/>
    <w:rsid w:val="00FD796B"/>
    <w:rsid w:val="00FD7D19"/>
    <w:rsid w:val="00FE2C7D"/>
    <w:rsid w:val="00FE349E"/>
    <w:rsid w:val="00FE3AD9"/>
    <w:rsid w:val="00FE5417"/>
    <w:rsid w:val="00FF13BD"/>
    <w:rsid w:val="00FF25CF"/>
    <w:rsid w:val="00FF2D7D"/>
    <w:rsid w:val="00FF3E7C"/>
    <w:rsid w:val="00FF4ECE"/>
    <w:rsid w:val="00FF4FA1"/>
    <w:rsid w:val="00FF7479"/>
    <w:rsid w:val="0173C3B8"/>
    <w:rsid w:val="02B8DCAC"/>
    <w:rsid w:val="05EAFBC8"/>
    <w:rsid w:val="05ECAE2E"/>
    <w:rsid w:val="06A5BFB5"/>
    <w:rsid w:val="0A722CA8"/>
    <w:rsid w:val="0BB2BE1F"/>
    <w:rsid w:val="0E15A8C8"/>
    <w:rsid w:val="0F99B27F"/>
    <w:rsid w:val="1347C33C"/>
    <w:rsid w:val="13A44068"/>
    <w:rsid w:val="13AE8C61"/>
    <w:rsid w:val="1433D407"/>
    <w:rsid w:val="160B6D65"/>
    <w:rsid w:val="170AF9AC"/>
    <w:rsid w:val="196E8081"/>
    <w:rsid w:val="1A02C9E1"/>
    <w:rsid w:val="20FEC5A3"/>
    <w:rsid w:val="21786219"/>
    <w:rsid w:val="23B6D654"/>
    <w:rsid w:val="23F8C45C"/>
    <w:rsid w:val="25A91F8F"/>
    <w:rsid w:val="271D58D0"/>
    <w:rsid w:val="2734BC6D"/>
    <w:rsid w:val="2AFFBA42"/>
    <w:rsid w:val="2E57907A"/>
    <w:rsid w:val="30EE8744"/>
    <w:rsid w:val="31D08689"/>
    <w:rsid w:val="3244F658"/>
    <w:rsid w:val="34C98F33"/>
    <w:rsid w:val="3BB7D629"/>
    <w:rsid w:val="40010129"/>
    <w:rsid w:val="444CD464"/>
    <w:rsid w:val="44FF4E14"/>
    <w:rsid w:val="46BE22E7"/>
    <w:rsid w:val="47E61C89"/>
    <w:rsid w:val="4B3AC17B"/>
    <w:rsid w:val="4B4E696A"/>
    <w:rsid w:val="4BC397E9"/>
    <w:rsid w:val="4C7FB1F4"/>
    <w:rsid w:val="52118F4B"/>
    <w:rsid w:val="5419BDE0"/>
    <w:rsid w:val="5BCDD524"/>
    <w:rsid w:val="5CDA0912"/>
    <w:rsid w:val="5E409BE3"/>
    <w:rsid w:val="5F3F4AB7"/>
    <w:rsid w:val="6089D5AE"/>
    <w:rsid w:val="62F5C2A6"/>
    <w:rsid w:val="65C3A457"/>
    <w:rsid w:val="66D32133"/>
    <w:rsid w:val="6A643969"/>
    <w:rsid w:val="6C0DB051"/>
    <w:rsid w:val="6C16DAD9"/>
    <w:rsid w:val="6D89F599"/>
    <w:rsid w:val="6ED276A9"/>
    <w:rsid w:val="6EDDE2C8"/>
    <w:rsid w:val="71D2F9E8"/>
    <w:rsid w:val="726B585E"/>
    <w:rsid w:val="732286DD"/>
    <w:rsid w:val="73D8FD30"/>
    <w:rsid w:val="746D7825"/>
    <w:rsid w:val="75003EDC"/>
    <w:rsid w:val="75B13CC7"/>
    <w:rsid w:val="76214A59"/>
    <w:rsid w:val="7A09250C"/>
    <w:rsid w:val="7A3129C0"/>
    <w:rsid w:val="7A8D05A2"/>
    <w:rsid w:val="7C812391"/>
    <w:rsid w:val="7EDEE6B1"/>
    <w:rsid w:val="7FC8326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1020D"/>
  <w15:chartTrackingRefBased/>
  <w15:docId w15:val="{C7A265BD-F5B4-4D02-84F7-AE4B4E5F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227842"/>
    <w:pPr>
      <w:spacing w:line="288" w:lineRule="auto"/>
    </w:pPr>
    <w:rPr>
      <w:rFonts w:ascii="Arial" w:hAnsi="Arial"/>
      <w:color w:val="15272F" w:themeColor="text1"/>
      <w:lang w:val="en-AU"/>
    </w:rPr>
  </w:style>
  <w:style w:type="paragraph" w:styleId="Heading1">
    <w:name w:val="heading 1"/>
    <w:basedOn w:val="Normal"/>
    <w:next w:val="Normal"/>
    <w:link w:val="Heading1Char"/>
    <w:uiPriority w:val="9"/>
    <w:qFormat/>
    <w:rsid w:val="00540552"/>
    <w:pPr>
      <w:keepNext/>
      <w:keepLines/>
      <w:numPr>
        <w:numId w:val="3"/>
      </w:numPr>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A3367F"/>
    <w:pPr>
      <w:keepNext/>
      <w:keepLines/>
      <w:numPr>
        <w:ilvl w:val="1"/>
        <w:numId w:val="3"/>
      </w:numPr>
      <w:spacing w:before="120" w:after="240"/>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9"/>
    <w:unhideWhenUsed/>
    <w:qFormat/>
    <w:rsid w:val="00A3367F"/>
    <w:pPr>
      <w:keepNext/>
      <w:keepLines/>
      <w:numPr>
        <w:ilvl w:val="2"/>
        <w:numId w:val="3"/>
      </w:numPr>
      <w:spacing w:before="120" w:after="240"/>
      <w:outlineLvl w:val="2"/>
    </w:pPr>
    <w:rPr>
      <w:rFonts w:eastAsiaTheme="majorEastAsia" w:cstheme="majorBidi"/>
      <w:b/>
      <w:color w:val="008550"/>
      <w:sz w:val="28"/>
      <w:szCs w:val="28"/>
    </w:rPr>
  </w:style>
  <w:style w:type="paragraph" w:styleId="Heading4">
    <w:name w:val="heading 4"/>
    <w:basedOn w:val="Normal"/>
    <w:next w:val="Normal"/>
    <w:link w:val="Heading4Char"/>
    <w:uiPriority w:val="9"/>
    <w:unhideWhenUsed/>
    <w:qFormat/>
    <w:rsid w:val="009355A4"/>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unhideWhenUsed/>
    <w:rsid w:val="009355A4"/>
    <w:pPr>
      <w:keepNext/>
      <w:keepLines/>
      <w:spacing w:before="40" w:after="0"/>
      <w:outlineLvl w:val="4"/>
    </w:pPr>
    <w:rPr>
      <w:rFonts w:eastAsiaTheme="majorEastAsia" w:cstheme="majorBidi"/>
      <w:b/>
      <w:color w:val="0F1D23" w:themeColor="accent1" w:themeShade="BF"/>
    </w:rPr>
  </w:style>
  <w:style w:type="paragraph" w:styleId="Heading6">
    <w:name w:val="heading 6"/>
    <w:basedOn w:val="Heading3"/>
    <w:next w:val="Normal"/>
    <w:link w:val="Heading6Char"/>
    <w:uiPriority w:val="9"/>
    <w:unhideWhenUsed/>
    <w:qFormat/>
    <w:rsid w:val="0080121B"/>
    <w:pPr>
      <w:numPr>
        <w:ilvl w:val="0"/>
        <w:numId w:val="0"/>
      </w:numPr>
      <w:ind w:left="851" w:hanging="851"/>
      <w:outlineLvl w:val="5"/>
    </w:pPr>
    <w:rPr>
      <w:b w:val="0"/>
      <w:bCs/>
      <w:color w:val="15272F" w:themeColor="text1"/>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552"/>
    <w:rPr>
      <w:rFonts w:ascii="Arial" w:eastAsiaTheme="majorEastAsia" w:hAnsi="Arial" w:cstheme="majorBidi"/>
      <w:b/>
      <w:color w:val="15272F" w:themeColor="text1"/>
      <w:sz w:val="72"/>
      <w:szCs w:val="32"/>
      <w:lang w:val="en-AU"/>
    </w:rPr>
  </w:style>
  <w:style w:type="paragraph" w:styleId="Title">
    <w:name w:val="Title"/>
    <w:basedOn w:val="Normal"/>
    <w:next w:val="Normal"/>
    <w:link w:val="TitleChar"/>
    <w:uiPriority w:val="10"/>
    <w:qFormat/>
    <w:rsid w:val="009355A4"/>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9355A4"/>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A3367F"/>
    <w:rPr>
      <w:rFonts w:ascii="Arial" w:eastAsiaTheme="majorEastAsia" w:hAnsi="Arial" w:cstheme="majorBidi"/>
      <w:b/>
      <w:color w:val="104F99" w:themeColor="accent2"/>
      <w:sz w:val="36"/>
      <w:szCs w:val="26"/>
      <w:lang w:val="en-AU"/>
    </w:rPr>
  </w:style>
  <w:style w:type="character" w:customStyle="1" w:styleId="Heading3Char">
    <w:name w:val="Heading 3 Char"/>
    <w:basedOn w:val="DefaultParagraphFont"/>
    <w:link w:val="Heading3"/>
    <w:uiPriority w:val="9"/>
    <w:rsid w:val="00A3367F"/>
    <w:rPr>
      <w:rFonts w:ascii="Arial" w:eastAsiaTheme="majorEastAsia" w:hAnsi="Arial" w:cstheme="majorBidi"/>
      <w:b/>
      <w:color w:val="008550"/>
      <w:sz w:val="28"/>
      <w:szCs w:val="28"/>
      <w:lang w:val="en-AU"/>
    </w:rPr>
  </w:style>
  <w:style w:type="character" w:customStyle="1" w:styleId="Heading4Char">
    <w:name w:val="Heading 4 Char"/>
    <w:basedOn w:val="DefaultParagraphFont"/>
    <w:link w:val="Heading4"/>
    <w:uiPriority w:val="9"/>
    <w:rsid w:val="009355A4"/>
    <w:rPr>
      <w:rFonts w:ascii="Arial" w:eastAsiaTheme="majorEastAsia" w:hAnsi="Arial" w:cstheme="majorBidi"/>
      <w:b/>
      <w:iCs/>
      <w:color w:val="15272F" w:themeColor="text1"/>
    </w:rPr>
  </w:style>
  <w:style w:type="paragraph" w:customStyle="1" w:styleId="ListLevel1">
    <w:name w:val="List Level 1"/>
    <w:basedOn w:val="ListLevel2"/>
    <w:link w:val="ListLevel1Char"/>
    <w:qFormat/>
    <w:rsid w:val="00F87BBD"/>
    <w:pPr>
      <w:numPr>
        <w:numId w:val="1"/>
      </w:numPr>
    </w:pPr>
  </w:style>
  <w:style w:type="paragraph" w:customStyle="1" w:styleId="ListLevel2">
    <w:name w:val="List Level 2"/>
    <w:basedOn w:val="Normal"/>
    <w:link w:val="ListLevel2Char"/>
    <w:qFormat/>
    <w:rsid w:val="00F87BBD"/>
    <w:pPr>
      <w:numPr>
        <w:ilvl w:val="1"/>
        <w:numId w:val="2"/>
      </w:numPr>
      <w:ind w:left="1134"/>
      <w:contextualSpacing/>
    </w:pPr>
  </w:style>
  <w:style w:type="paragraph" w:styleId="Header">
    <w:name w:val="header"/>
    <w:basedOn w:val="Normal"/>
    <w:link w:val="HeaderChar"/>
    <w:uiPriority w:val="99"/>
    <w:unhideWhenUsed/>
    <w:rsid w:val="009355A4"/>
    <w:pPr>
      <w:tabs>
        <w:tab w:val="center" w:pos="4680"/>
        <w:tab w:val="right" w:pos="9360"/>
      </w:tabs>
      <w:spacing w:after="0" w:line="240" w:lineRule="auto"/>
    </w:pPr>
  </w:style>
  <w:style w:type="character" w:customStyle="1" w:styleId="ListLevel1Char">
    <w:name w:val="List Level 1 Char"/>
    <w:basedOn w:val="ListLevel2Char"/>
    <w:link w:val="ListLevel1"/>
    <w:rsid w:val="00F87BBD"/>
    <w:rPr>
      <w:rFonts w:ascii="Arial" w:hAnsi="Arial"/>
      <w:color w:val="15272F" w:themeColor="text1"/>
      <w:lang w:val="en-AU"/>
    </w:rPr>
  </w:style>
  <w:style w:type="character" w:customStyle="1" w:styleId="ListLevel2Char">
    <w:name w:val="List Level 2 Char"/>
    <w:basedOn w:val="DefaultParagraphFont"/>
    <w:link w:val="ListLevel2"/>
    <w:rsid w:val="00F87BBD"/>
    <w:rPr>
      <w:rFonts w:ascii="Arial" w:hAnsi="Arial"/>
      <w:color w:val="15272F" w:themeColor="text1"/>
      <w:lang w:val="en-AU"/>
    </w:rPr>
  </w:style>
  <w:style w:type="character" w:customStyle="1" w:styleId="HeaderChar">
    <w:name w:val="Header Char"/>
    <w:basedOn w:val="DefaultParagraphFont"/>
    <w:link w:val="Header"/>
    <w:uiPriority w:val="99"/>
    <w:rsid w:val="009355A4"/>
    <w:rPr>
      <w:rFonts w:ascii="Arial" w:hAnsi="Arial"/>
      <w:color w:val="15272F" w:themeColor="text1"/>
    </w:rPr>
  </w:style>
  <w:style w:type="paragraph" w:styleId="Footer">
    <w:name w:val="footer"/>
    <w:basedOn w:val="Normal"/>
    <w:link w:val="FooterChar"/>
    <w:uiPriority w:val="99"/>
    <w:unhideWhenUsed/>
    <w:rsid w:val="00935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5A4"/>
    <w:rPr>
      <w:rFonts w:ascii="Arial" w:hAnsi="Arial"/>
      <w:color w:val="15272F" w:themeColor="text1"/>
    </w:rPr>
  </w:style>
  <w:style w:type="paragraph" w:styleId="ListParagraph">
    <w:name w:val="List Paragraph"/>
    <w:basedOn w:val="Normal"/>
    <w:uiPriority w:val="34"/>
    <w:qFormat/>
    <w:rsid w:val="009355A4"/>
    <w:pPr>
      <w:ind w:left="720"/>
      <w:contextualSpacing/>
    </w:pPr>
  </w:style>
  <w:style w:type="paragraph" w:customStyle="1" w:styleId="TableFigureheading">
    <w:name w:val="Table/Figure heading"/>
    <w:basedOn w:val="Heading4"/>
    <w:link w:val="TableFigureheadingChar"/>
    <w:qFormat/>
    <w:rsid w:val="009A4175"/>
    <w:pPr>
      <w:spacing w:before="240"/>
    </w:pPr>
    <w:rPr>
      <w:b w:val="0"/>
      <w:color w:val="104F99" w:themeColor="accent2"/>
    </w:rPr>
  </w:style>
  <w:style w:type="table" w:customStyle="1" w:styleId="IHACPATable">
    <w:name w:val="IHACPA Table"/>
    <w:basedOn w:val="TableNormal"/>
    <w:uiPriority w:val="99"/>
    <w:rsid w:val="009355A4"/>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9A4175"/>
    <w:rPr>
      <w:rFonts w:ascii="Arial" w:eastAsiaTheme="majorEastAsia" w:hAnsi="Arial" w:cstheme="majorBidi"/>
      <w:b w:val="0"/>
      <w:iCs/>
      <w:color w:val="104F99" w:themeColor="accent2"/>
    </w:rPr>
  </w:style>
  <w:style w:type="table" w:styleId="TableGrid">
    <w:name w:val="Table Grid"/>
    <w:basedOn w:val="TableNormal"/>
    <w:uiPriority w:val="39"/>
    <w:rsid w:val="009355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9355A4"/>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9355A4"/>
    <w:pPr>
      <w:spacing w:after="120"/>
    </w:pPr>
    <w:rPr>
      <w:sz w:val="16"/>
      <w:szCs w:val="15"/>
    </w:rPr>
  </w:style>
  <w:style w:type="character" w:customStyle="1" w:styleId="FootnoteChar">
    <w:name w:val="Footnote Char"/>
    <w:basedOn w:val="DefaultParagraphFont"/>
    <w:link w:val="Footnote"/>
    <w:rsid w:val="009355A4"/>
    <w:rPr>
      <w:rFonts w:ascii="Arial" w:hAnsi="Arial"/>
      <w:color w:val="15272F" w:themeColor="text1"/>
      <w:sz w:val="16"/>
      <w:szCs w:val="15"/>
    </w:rPr>
  </w:style>
  <w:style w:type="character" w:styleId="Hyperlink">
    <w:name w:val="Hyperlink"/>
    <w:basedOn w:val="DefaultParagraphFont"/>
    <w:uiPriority w:val="99"/>
    <w:unhideWhenUsed/>
    <w:rsid w:val="009355A4"/>
    <w:rPr>
      <w:color w:val="0080C4" w:themeColor="hyperlink"/>
      <w:u w:val="single"/>
    </w:rPr>
  </w:style>
  <w:style w:type="paragraph" w:styleId="TOC1">
    <w:name w:val="toc 1"/>
    <w:basedOn w:val="Normal"/>
    <w:next w:val="Normal"/>
    <w:autoRedefine/>
    <w:uiPriority w:val="39"/>
    <w:unhideWhenUsed/>
    <w:rsid w:val="00087AD5"/>
    <w:pPr>
      <w:tabs>
        <w:tab w:val="right" w:leader="dot" w:pos="9736"/>
      </w:tabs>
      <w:spacing w:after="360"/>
    </w:pPr>
    <w:rPr>
      <w:b/>
      <w:sz w:val="28"/>
    </w:rPr>
  </w:style>
  <w:style w:type="paragraph" w:customStyle="1" w:styleId="CoverTitle">
    <w:name w:val="Cover Title"/>
    <w:basedOn w:val="Title"/>
    <w:link w:val="CoverTitleChar"/>
    <w:qFormat/>
    <w:rsid w:val="009355A4"/>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9355A4"/>
    <w:rPr>
      <w:color w:val="54C1AF" w:themeColor="accent5"/>
      <w:sz w:val="48"/>
      <w:szCs w:val="48"/>
    </w:rPr>
  </w:style>
  <w:style w:type="character" w:customStyle="1" w:styleId="CoverTitleChar">
    <w:name w:val="Cover Title Char"/>
    <w:basedOn w:val="TitleChar"/>
    <w:link w:val="CoverTitle"/>
    <w:rsid w:val="009355A4"/>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9355A4"/>
    <w:rPr>
      <w:color w:val="605E5C"/>
      <w:shd w:val="clear" w:color="auto" w:fill="E1DFDD"/>
    </w:rPr>
  </w:style>
  <w:style w:type="character" w:customStyle="1" w:styleId="CoversubtitleChar">
    <w:name w:val="Cover subtitle Char"/>
    <w:basedOn w:val="CoverTitleChar"/>
    <w:link w:val="Coversubtitle"/>
    <w:rsid w:val="009355A4"/>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9355A4"/>
    <w:pPr>
      <w:ind w:right="4064"/>
    </w:pPr>
    <w:rPr>
      <w:sz w:val="18"/>
    </w:rPr>
  </w:style>
  <w:style w:type="paragraph" w:customStyle="1" w:styleId="Copyrightheading">
    <w:name w:val="Copyright heading"/>
    <w:basedOn w:val="Heading4"/>
    <w:next w:val="Normal"/>
    <w:qFormat/>
    <w:rsid w:val="009355A4"/>
  </w:style>
  <w:style w:type="character" w:customStyle="1" w:styleId="Heading5Char">
    <w:name w:val="Heading 5 Char"/>
    <w:basedOn w:val="DefaultParagraphFont"/>
    <w:link w:val="Heading5"/>
    <w:uiPriority w:val="9"/>
    <w:rsid w:val="009355A4"/>
    <w:rPr>
      <w:rFonts w:ascii="Arial" w:eastAsiaTheme="majorEastAsia" w:hAnsi="Arial" w:cstheme="majorBidi"/>
      <w:b/>
      <w:color w:val="0F1D23" w:themeColor="accent1" w:themeShade="BF"/>
    </w:rPr>
  </w:style>
  <w:style w:type="paragraph" w:styleId="NoSpacing">
    <w:name w:val="No Spacing"/>
    <w:uiPriority w:val="1"/>
    <w:rsid w:val="009355A4"/>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9355A4"/>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9355A4"/>
    <w:rPr>
      <w:rFonts w:ascii="Arial" w:eastAsiaTheme="minorEastAsia" w:hAnsi="Arial"/>
      <w:color w:val="45809A" w:themeColor="text1" w:themeTint="A5"/>
      <w:spacing w:val="15"/>
    </w:rPr>
  </w:style>
  <w:style w:type="character" w:styleId="FollowedHyperlink">
    <w:name w:val="FollowedHyperlink"/>
    <w:basedOn w:val="DefaultParagraphFont"/>
    <w:uiPriority w:val="99"/>
    <w:semiHidden/>
    <w:unhideWhenUsed/>
    <w:rsid w:val="00DF2CB4"/>
    <w:rPr>
      <w:color w:val="104F99" w:themeColor="followedHyperlink"/>
      <w:u w:val="single"/>
    </w:rPr>
  </w:style>
  <w:style w:type="paragraph" w:styleId="Caption">
    <w:name w:val="caption"/>
    <w:basedOn w:val="Normal"/>
    <w:next w:val="Normal"/>
    <w:uiPriority w:val="35"/>
    <w:unhideWhenUsed/>
    <w:qFormat/>
    <w:rsid w:val="00A745E2"/>
    <w:pPr>
      <w:spacing w:after="200" w:line="240" w:lineRule="auto"/>
    </w:pPr>
    <w:rPr>
      <w:rFonts w:eastAsiaTheme="majorEastAsia" w:cstheme="majorBidi"/>
      <w:iCs/>
      <w:color w:val="104F99" w:themeColor="accent2"/>
      <w:szCs w:val="18"/>
    </w:rPr>
  </w:style>
  <w:style w:type="paragraph" w:customStyle="1" w:styleId="URL">
    <w:name w:val="URL"/>
    <w:basedOn w:val="Normal"/>
    <w:link w:val="URLChar"/>
    <w:qFormat/>
    <w:rsid w:val="00223FCF"/>
    <w:rPr>
      <w:color w:val="15272F" w:themeColor="accent1"/>
      <w:u w:val="single"/>
    </w:rPr>
  </w:style>
  <w:style w:type="character" w:customStyle="1" w:styleId="URLChar">
    <w:name w:val="URL Char"/>
    <w:basedOn w:val="DefaultParagraphFont"/>
    <w:link w:val="URL"/>
    <w:rsid w:val="00223FCF"/>
    <w:rPr>
      <w:rFonts w:ascii="Arial" w:hAnsi="Arial"/>
      <w:color w:val="15272F" w:themeColor="accent1"/>
      <w:u w:val="single"/>
    </w:rPr>
  </w:style>
  <w:style w:type="table" w:styleId="ListTable3-Accent2">
    <w:name w:val="List Table 3 Accent 2"/>
    <w:basedOn w:val="TableNormal"/>
    <w:uiPriority w:val="48"/>
    <w:rsid w:val="003C2B91"/>
    <w:pPr>
      <w:spacing w:after="0" w:line="240" w:lineRule="auto"/>
    </w:pPr>
    <w:tblPr>
      <w:tblStyleRowBandSize w:val="1"/>
      <w:tblStyleColBandSize w:val="1"/>
      <w:tblBorders>
        <w:top w:val="single" w:sz="4" w:space="0" w:color="104F99" w:themeColor="accent2"/>
        <w:left w:val="single" w:sz="4" w:space="0" w:color="104F99" w:themeColor="accent2"/>
        <w:bottom w:val="single" w:sz="4" w:space="0" w:color="104F99" w:themeColor="accent2"/>
        <w:right w:val="single" w:sz="4" w:space="0" w:color="104F99" w:themeColor="accent2"/>
      </w:tblBorders>
    </w:tblPr>
    <w:tblStylePr w:type="firstRow">
      <w:rPr>
        <w:b/>
        <w:bCs/>
        <w:color w:val="54C1AF" w:themeColor="background1"/>
      </w:rPr>
      <w:tblPr/>
      <w:tcPr>
        <w:shd w:val="clear" w:color="auto" w:fill="104F99" w:themeFill="accent2"/>
      </w:tcPr>
    </w:tblStylePr>
    <w:tblStylePr w:type="lastRow">
      <w:rPr>
        <w:b/>
        <w:bCs/>
      </w:rPr>
      <w:tblPr/>
      <w:tcPr>
        <w:tcBorders>
          <w:top w:val="double" w:sz="4" w:space="0" w:color="104F99" w:themeColor="accent2"/>
        </w:tcBorders>
        <w:shd w:val="clear" w:color="auto" w:fill="54C1AF" w:themeFill="background1"/>
      </w:tcPr>
    </w:tblStylePr>
    <w:tblStylePr w:type="firstCol">
      <w:rPr>
        <w:b/>
        <w:bCs/>
      </w:rPr>
      <w:tblPr/>
      <w:tcPr>
        <w:tcBorders>
          <w:right w:val="nil"/>
        </w:tcBorders>
        <w:shd w:val="clear" w:color="auto" w:fill="54C1AF" w:themeFill="background1"/>
      </w:tcPr>
    </w:tblStylePr>
    <w:tblStylePr w:type="lastCol">
      <w:rPr>
        <w:b/>
        <w:bCs/>
      </w:rPr>
      <w:tblPr/>
      <w:tcPr>
        <w:tcBorders>
          <w:left w:val="nil"/>
        </w:tcBorders>
        <w:shd w:val="clear" w:color="auto" w:fill="54C1AF" w:themeFill="background1"/>
      </w:tcPr>
    </w:tblStylePr>
    <w:tblStylePr w:type="band1Vert">
      <w:tblPr/>
      <w:tcPr>
        <w:tcBorders>
          <w:left w:val="single" w:sz="4" w:space="0" w:color="104F99" w:themeColor="accent2"/>
          <w:right w:val="single" w:sz="4" w:space="0" w:color="104F99" w:themeColor="accent2"/>
        </w:tcBorders>
      </w:tcPr>
    </w:tblStylePr>
    <w:tblStylePr w:type="band1Horz">
      <w:tblPr/>
      <w:tcPr>
        <w:tcBorders>
          <w:top w:val="single" w:sz="4" w:space="0" w:color="104F99" w:themeColor="accent2"/>
          <w:bottom w:val="single" w:sz="4" w:space="0" w:color="104F9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4F99" w:themeColor="accent2"/>
          <w:left w:val="nil"/>
        </w:tcBorders>
      </w:tcPr>
    </w:tblStylePr>
    <w:tblStylePr w:type="swCell">
      <w:tblPr/>
      <w:tcPr>
        <w:tcBorders>
          <w:top w:val="double" w:sz="4" w:space="0" w:color="104F99" w:themeColor="accent2"/>
          <w:right w:val="nil"/>
        </w:tcBorders>
      </w:tcPr>
    </w:tblStylePr>
  </w:style>
  <w:style w:type="character" w:styleId="CommentReference">
    <w:name w:val="annotation reference"/>
    <w:basedOn w:val="DefaultParagraphFont"/>
    <w:uiPriority w:val="99"/>
    <w:semiHidden/>
    <w:unhideWhenUsed/>
    <w:rsid w:val="00E64923"/>
    <w:rPr>
      <w:sz w:val="16"/>
      <w:szCs w:val="16"/>
    </w:rPr>
  </w:style>
  <w:style w:type="paragraph" w:styleId="CommentText">
    <w:name w:val="annotation text"/>
    <w:basedOn w:val="Normal"/>
    <w:link w:val="CommentTextChar"/>
    <w:uiPriority w:val="99"/>
    <w:unhideWhenUsed/>
    <w:rsid w:val="00E64923"/>
    <w:pPr>
      <w:spacing w:line="240" w:lineRule="auto"/>
    </w:pPr>
    <w:rPr>
      <w:sz w:val="20"/>
      <w:szCs w:val="20"/>
    </w:rPr>
  </w:style>
  <w:style w:type="character" w:customStyle="1" w:styleId="CommentTextChar">
    <w:name w:val="Comment Text Char"/>
    <w:basedOn w:val="DefaultParagraphFont"/>
    <w:link w:val="CommentText"/>
    <w:uiPriority w:val="99"/>
    <w:rsid w:val="00E64923"/>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E64923"/>
    <w:rPr>
      <w:b/>
      <w:bCs/>
    </w:rPr>
  </w:style>
  <w:style w:type="character" w:customStyle="1" w:styleId="CommentSubjectChar">
    <w:name w:val="Comment Subject Char"/>
    <w:basedOn w:val="CommentTextChar"/>
    <w:link w:val="CommentSubject"/>
    <w:uiPriority w:val="99"/>
    <w:semiHidden/>
    <w:rsid w:val="00E64923"/>
    <w:rPr>
      <w:rFonts w:ascii="Arial" w:hAnsi="Arial"/>
      <w:b/>
      <w:bCs/>
      <w:color w:val="15272F" w:themeColor="text1"/>
      <w:sz w:val="20"/>
      <w:szCs w:val="20"/>
    </w:rPr>
  </w:style>
  <w:style w:type="character" w:styleId="Strong">
    <w:name w:val="Strong"/>
    <w:basedOn w:val="DefaultParagraphFont"/>
    <w:uiPriority w:val="22"/>
    <w:rsid w:val="002920B4"/>
    <w:rPr>
      <w:b/>
      <w:bCs/>
    </w:rPr>
  </w:style>
  <w:style w:type="paragraph" w:styleId="Revision">
    <w:name w:val="Revision"/>
    <w:hidden/>
    <w:uiPriority w:val="99"/>
    <w:semiHidden/>
    <w:rsid w:val="002920B4"/>
    <w:pPr>
      <w:spacing w:after="0" w:line="240" w:lineRule="auto"/>
    </w:pPr>
    <w:rPr>
      <w:rFonts w:ascii="Arial" w:hAnsi="Arial"/>
      <w:color w:val="15272F" w:themeColor="text1"/>
    </w:rPr>
  </w:style>
  <w:style w:type="table" w:customStyle="1" w:styleId="IHACPATable1">
    <w:name w:val="IHACPA Table1"/>
    <w:basedOn w:val="TableNormal"/>
    <w:uiPriority w:val="99"/>
    <w:rsid w:val="002920B4"/>
    <w:pPr>
      <w:spacing w:after="0" w:line="240" w:lineRule="auto"/>
    </w:pPr>
    <w:rPr>
      <w:rFonts w:ascii="Fira Sans regular" w:eastAsia="Fira Sans regular" w:hAnsi="Fira Sans regular" w:cs="Times New Roman"/>
      <w:sz w:val="18"/>
    </w:rPr>
    <w:tblPr>
      <w:tblStyleRowBandSize w:val="1"/>
      <w:tblInd w:w="0" w:type="nil"/>
    </w:tblPr>
    <w:tblStylePr w:type="firstRow">
      <w:tblPr/>
      <w:tcPr>
        <w:shd w:val="clear" w:color="auto" w:fill="15272F" w:themeFill="text2"/>
      </w:tcPr>
    </w:tblStylePr>
    <w:tblStylePr w:type="lastRow">
      <w:rPr>
        <w:rFonts w:ascii="Bodoni MT Poster Compressed" w:hAnsi="Bodoni MT Poster Compressed" w:hint="default"/>
        <w:sz w:val="15"/>
        <w:szCs w:val="15"/>
      </w:rPr>
      <w:tblPr/>
      <w:tcPr>
        <w:tcBorders>
          <w:top w:val="nil"/>
          <w:bottom w:val="single" w:sz="4" w:space="0" w:color="D9D9D9" w:themeColor="background2" w:themeShade="D9"/>
        </w:tcBorders>
      </w:tcPr>
    </w:tblStylePr>
    <w:tblStylePr w:type="firstCol">
      <w:rPr>
        <w:rFonts w:ascii="Bodoni MT Poster Compressed" w:hAnsi="Bodoni MT Poster Compressed" w:hint="default"/>
        <w:sz w:val="15"/>
        <w:szCs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styleId="SubtleEmphasis">
    <w:name w:val="Subtle Emphasis"/>
    <w:basedOn w:val="DefaultParagraphFont"/>
    <w:uiPriority w:val="19"/>
    <w:rsid w:val="002920B4"/>
    <w:rPr>
      <w:i/>
      <w:iCs/>
      <w:color w:val="37667B" w:themeColor="text1" w:themeTint="BF"/>
    </w:rPr>
  </w:style>
  <w:style w:type="paragraph" w:styleId="TOCHeading">
    <w:name w:val="TOC Heading"/>
    <w:basedOn w:val="Heading1"/>
    <w:next w:val="Normal"/>
    <w:uiPriority w:val="39"/>
    <w:unhideWhenUsed/>
    <w:qFormat/>
    <w:rsid w:val="002920B4"/>
    <w:pPr>
      <w:spacing w:before="240" w:after="0" w:line="259" w:lineRule="auto"/>
      <w:outlineLvl w:val="9"/>
    </w:pPr>
    <w:rPr>
      <w:rFonts w:asciiTheme="majorHAnsi" w:hAnsiTheme="majorHAnsi"/>
      <w:b w:val="0"/>
      <w:color w:val="0F1D23" w:themeColor="accent1" w:themeShade="BF"/>
      <w:sz w:val="32"/>
      <w:lang w:val="en-US"/>
    </w:rPr>
  </w:style>
  <w:style w:type="paragraph" w:styleId="TOC2">
    <w:name w:val="toc 2"/>
    <w:basedOn w:val="Normal"/>
    <w:next w:val="Normal"/>
    <w:autoRedefine/>
    <w:uiPriority w:val="39"/>
    <w:unhideWhenUsed/>
    <w:rsid w:val="006624E5"/>
    <w:pPr>
      <w:tabs>
        <w:tab w:val="left" w:pos="880"/>
        <w:tab w:val="right" w:leader="dot" w:pos="9736"/>
      </w:tabs>
      <w:spacing w:after="100"/>
      <w:ind w:left="220"/>
    </w:pPr>
  </w:style>
  <w:style w:type="paragraph" w:styleId="TOC3">
    <w:name w:val="toc 3"/>
    <w:basedOn w:val="Normal"/>
    <w:next w:val="Normal"/>
    <w:autoRedefine/>
    <w:uiPriority w:val="39"/>
    <w:unhideWhenUsed/>
    <w:rsid w:val="008939AB"/>
    <w:pPr>
      <w:tabs>
        <w:tab w:val="right" w:leader="dot" w:pos="9736"/>
      </w:tabs>
      <w:spacing w:after="100"/>
      <w:ind w:left="440"/>
    </w:pPr>
  </w:style>
  <w:style w:type="paragraph" w:styleId="TOC4">
    <w:name w:val="toc 4"/>
    <w:basedOn w:val="Normal"/>
    <w:next w:val="Normal"/>
    <w:autoRedefine/>
    <w:uiPriority w:val="39"/>
    <w:unhideWhenUsed/>
    <w:rsid w:val="002920B4"/>
    <w:pPr>
      <w:spacing w:after="100" w:line="259" w:lineRule="auto"/>
      <w:ind w:left="660"/>
    </w:pPr>
    <w:rPr>
      <w:rFonts w:asciiTheme="minorHAnsi" w:eastAsiaTheme="minorEastAsia" w:hAnsiTheme="minorHAnsi"/>
      <w:color w:val="auto"/>
      <w:kern w:val="2"/>
      <w:lang w:eastAsia="en-AU"/>
    </w:rPr>
  </w:style>
  <w:style w:type="paragraph" w:styleId="TOC5">
    <w:name w:val="toc 5"/>
    <w:basedOn w:val="Normal"/>
    <w:next w:val="Normal"/>
    <w:autoRedefine/>
    <w:uiPriority w:val="39"/>
    <w:unhideWhenUsed/>
    <w:rsid w:val="002920B4"/>
    <w:pPr>
      <w:spacing w:after="100" w:line="259" w:lineRule="auto"/>
      <w:ind w:left="880"/>
    </w:pPr>
    <w:rPr>
      <w:rFonts w:asciiTheme="minorHAnsi" w:eastAsiaTheme="minorEastAsia" w:hAnsiTheme="minorHAnsi"/>
      <w:color w:val="auto"/>
      <w:kern w:val="2"/>
      <w:lang w:eastAsia="en-AU"/>
    </w:rPr>
  </w:style>
  <w:style w:type="paragraph" w:styleId="TOC6">
    <w:name w:val="toc 6"/>
    <w:basedOn w:val="Normal"/>
    <w:next w:val="Normal"/>
    <w:autoRedefine/>
    <w:uiPriority w:val="39"/>
    <w:unhideWhenUsed/>
    <w:rsid w:val="002920B4"/>
    <w:pPr>
      <w:spacing w:after="100" w:line="259" w:lineRule="auto"/>
      <w:ind w:left="1100"/>
    </w:pPr>
    <w:rPr>
      <w:rFonts w:asciiTheme="minorHAnsi" w:eastAsiaTheme="minorEastAsia" w:hAnsiTheme="minorHAnsi"/>
      <w:color w:val="auto"/>
      <w:kern w:val="2"/>
      <w:lang w:eastAsia="en-AU"/>
    </w:rPr>
  </w:style>
  <w:style w:type="paragraph" w:styleId="TOC7">
    <w:name w:val="toc 7"/>
    <w:basedOn w:val="Normal"/>
    <w:next w:val="Normal"/>
    <w:autoRedefine/>
    <w:uiPriority w:val="39"/>
    <w:unhideWhenUsed/>
    <w:rsid w:val="002920B4"/>
    <w:pPr>
      <w:spacing w:after="100" w:line="259" w:lineRule="auto"/>
      <w:ind w:left="1320"/>
    </w:pPr>
    <w:rPr>
      <w:rFonts w:asciiTheme="minorHAnsi" w:eastAsiaTheme="minorEastAsia" w:hAnsiTheme="minorHAnsi"/>
      <w:color w:val="auto"/>
      <w:kern w:val="2"/>
      <w:lang w:eastAsia="en-AU"/>
    </w:rPr>
  </w:style>
  <w:style w:type="paragraph" w:styleId="TOC8">
    <w:name w:val="toc 8"/>
    <w:basedOn w:val="Normal"/>
    <w:next w:val="Normal"/>
    <w:autoRedefine/>
    <w:uiPriority w:val="39"/>
    <w:unhideWhenUsed/>
    <w:rsid w:val="002920B4"/>
    <w:pPr>
      <w:spacing w:after="100" w:line="259" w:lineRule="auto"/>
      <w:ind w:left="1540"/>
    </w:pPr>
    <w:rPr>
      <w:rFonts w:asciiTheme="minorHAnsi" w:eastAsiaTheme="minorEastAsia" w:hAnsiTheme="minorHAnsi"/>
      <w:color w:val="auto"/>
      <w:kern w:val="2"/>
      <w:lang w:eastAsia="en-AU"/>
    </w:rPr>
  </w:style>
  <w:style w:type="paragraph" w:styleId="TOC9">
    <w:name w:val="toc 9"/>
    <w:basedOn w:val="Normal"/>
    <w:next w:val="Normal"/>
    <w:autoRedefine/>
    <w:uiPriority w:val="39"/>
    <w:unhideWhenUsed/>
    <w:rsid w:val="002920B4"/>
    <w:pPr>
      <w:spacing w:after="100" w:line="259" w:lineRule="auto"/>
      <w:ind w:left="1760"/>
    </w:pPr>
    <w:rPr>
      <w:rFonts w:asciiTheme="minorHAnsi" w:eastAsiaTheme="minorEastAsia" w:hAnsiTheme="minorHAnsi"/>
      <w:color w:val="auto"/>
      <w:kern w:val="2"/>
      <w:lang w:eastAsia="en-AU"/>
    </w:rPr>
  </w:style>
  <w:style w:type="table" w:styleId="ListTable3">
    <w:name w:val="List Table 3"/>
    <w:basedOn w:val="TableNormal"/>
    <w:uiPriority w:val="48"/>
    <w:rsid w:val="002920B4"/>
    <w:pPr>
      <w:spacing w:after="0" w:line="240" w:lineRule="auto"/>
    </w:pPr>
    <w:tblPr>
      <w:tblStyleRowBandSize w:val="1"/>
      <w:tblStyleColBandSize w:val="1"/>
      <w:tblBorders>
        <w:top w:val="single" w:sz="4" w:space="0" w:color="15272F" w:themeColor="text1"/>
        <w:left w:val="single" w:sz="4" w:space="0" w:color="15272F" w:themeColor="text1"/>
        <w:bottom w:val="single" w:sz="4" w:space="0" w:color="15272F" w:themeColor="text1"/>
        <w:right w:val="single" w:sz="4" w:space="0" w:color="15272F" w:themeColor="text1"/>
      </w:tblBorders>
    </w:tblPr>
    <w:tblStylePr w:type="firstRow">
      <w:rPr>
        <w:b/>
        <w:bCs/>
        <w:color w:val="54C1AF" w:themeColor="background1"/>
      </w:rPr>
      <w:tblPr/>
      <w:tcPr>
        <w:shd w:val="clear" w:color="auto" w:fill="15272F" w:themeFill="text1"/>
      </w:tcPr>
    </w:tblStylePr>
    <w:tblStylePr w:type="lastRow">
      <w:rPr>
        <w:b/>
        <w:bCs/>
      </w:rPr>
      <w:tblPr/>
      <w:tcPr>
        <w:tcBorders>
          <w:top w:val="double" w:sz="4" w:space="0" w:color="15272F" w:themeColor="text1"/>
        </w:tcBorders>
        <w:shd w:val="clear" w:color="auto" w:fill="54C1AF" w:themeFill="background1"/>
      </w:tcPr>
    </w:tblStylePr>
    <w:tblStylePr w:type="firstCol">
      <w:rPr>
        <w:b/>
        <w:bCs/>
      </w:rPr>
      <w:tblPr/>
      <w:tcPr>
        <w:tcBorders>
          <w:right w:val="nil"/>
        </w:tcBorders>
        <w:shd w:val="clear" w:color="auto" w:fill="54C1AF" w:themeFill="background1"/>
      </w:tcPr>
    </w:tblStylePr>
    <w:tblStylePr w:type="lastCol">
      <w:rPr>
        <w:b/>
        <w:bCs/>
      </w:rPr>
      <w:tblPr/>
      <w:tcPr>
        <w:tcBorders>
          <w:left w:val="nil"/>
        </w:tcBorders>
        <w:shd w:val="clear" w:color="auto" w:fill="54C1AF" w:themeFill="background1"/>
      </w:tcPr>
    </w:tblStylePr>
    <w:tblStylePr w:type="band1Vert">
      <w:tblPr/>
      <w:tcPr>
        <w:tcBorders>
          <w:left w:val="single" w:sz="4" w:space="0" w:color="15272F" w:themeColor="text1"/>
          <w:right w:val="single" w:sz="4" w:space="0" w:color="15272F" w:themeColor="text1"/>
        </w:tcBorders>
      </w:tcPr>
    </w:tblStylePr>
    <w:tblStylePr w:type="band1Horz">
      <w:tblPr/>
      <w:tcPr>
        <w:tcBorders>
          <w:top w:val="single" w:sz="4" w:space="0" w:color="15272F" w:themeColor="text1"/>
          <w:bottom w:val="single" w:sz="4" w:space="0" w:color="15272F"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72F" w:themeColor="text1"/>
          <w:left w:val="nil"/>
        </w:tcBorders>
      </w:tcPr>
    </w:tblStylePr>
    <w:tblStylePr w:type="swCell">
      <w:tblPr/>
      <w:tcPr>
        <w:tcBorders>
          <w:top w:val="double" w:sz="4" w:space="0" w:color="15272F" w:themeColor="text1"/>
          <w:right w:val="nil"/>
        </w:tcBorders>
      </w:tcPr>
    </w:tblStylePr>
  </w:style>
  <w:style w:type="table" w:styleId="ListTable3-Accent3">
    <w:name w:val="List Table 3 Accent 3"/>
    <w:basedOn w:val="TableNormal"/>
    <w:uiPriority w:val="48"/>
    <w:rsid w:val="00674AE9"/>
    <w:pPr>
      <w:spacing w:after="0" w:line="240" w:lineRule="auto"/>
    </w:pPr>
    <w:tblPr>
      <w:tblStyleRowBandSize w:val="1"/>
      <w:tblStyleColBandSize w:val="1"/>
      <w:tblBorders>
        <w:top w:val="single" w:sz="4" w:space="0" w:color="0080C4" w:themeColor="accent3"/>
        <w:left w:val="single" w:sz="4" w:space="0" w:color="0080C4" w:themeColor="accent3"/>
        <w:bottom w:val="single" w:sz="4" w:space="0" w:color="0080C4" w:themeColor="accent3"/>
        <w:right w:val="single" w:sz="4" w:space="0" w:color="0080C4" w:themeColor="accent3"/>
      </w:tblBorders>
    </w:tblPr>
    <w:tblStylePr w:type="firstRow">
      <w:rPr>
        <w:b/>
        <w:bCs/>
        <w:color w:val="54C1AF" w:themeColor="background1"/>
      </w:rPr>
      <w:tblPr/>
      <w:tcPr>
        <w:shd w:val="clear" w:color="auto" w:fill="0080C4" w:themeFill="accent3"/>
      </w:tcPr>
    </w:tblStylePr>
    <w:tblStylePr w:type="lastRow">
      <w:rPr>
        <w:b/>
        <w:bCs/>
      </w:rPr>
      <w:tblPr/>
      <w:tcPr>
        <w:tcBorders>
          <w:top w:val="double" w:sz="4" w:space="0" w:color="0080C4" w:themeColor="accent3"/>
        </w:tcBorders>
        <w:shd w:val="clear" w:color="auto" w:fill="54C1AF" w:themeFill="background1"/>
      </w:tcPr>
    </w:tblStylePr>
    <w:tblStylePr w:type="firstCol">
      <w:rPr>
        <w:b/>
        <w:bCs/>
      </w:rPr>
      <w:tblPr/>
      <w:tcPr>
        <w:tcBorders>
          <w:right w:val="nil"/>
        </w:tcBorders>
        <w:shd w:val="clear" w:color="auto" w:fill="54C1AF" w:themeFill="background1"/>
      </w:tcPr>
    </w:tblStylePr>
    <w:tblStylePr w:type="lastCol">
      <w:rPr>
        <w:b/>
        <w:bCs/>
      </w:rPr>
      <w:tblPr/>
      <w:tcPr>
        <w:tcBorders>
          <w:left w:val="nil"/>
        </w:tcBorders>
        <w:shd w:val="clear" w:color="auto" w:fill="54C1AF" w:themeFill="background1"/>
      </w:tcPr>
    </w:tblStylePr>
    <w:tblStylePr w:type="band1Vert">
      <w:tblPr/>
      <w:tcPr>
        <w:tcBorders>
          <w:left w:val="single" w:sz="4" w:space="0" w:color="0080C4" w:themeColor="accent3"/>
          <w:right w:val="single" w:sz="4" w:space="0" w:color="0080C4" w:themeColor="accent3"/>
        </w:tcBorders>
      </w:tcPr>
    </w:tblStylePr>
    <w:tblStylePr w:type="band1Horz">
      <w:tblPr/>
      <w:tcPr>
        <w:tcBorders>
          <w:top w:val="single" w:sz="4" w:space="0" w:color="0080C4" w:themeColor="accent3"/>
          <w:bottom w:val="single" w:sz="4" w:space="0" w:color="0080C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0C4" w:themeColor="accent3"/>
          <w:left w:val="nil"/>
        </w:tcBorders>
      </w:tcPr>
    </w:tblStylePr>
    <w:tblStylePr w:type="swCell">
      <w:tblPr/>
      <w:tcPr>
        <w:tcBorders>
          <w:top w:val="double" w:sz="4" w:space="0" w:color="0080C4" w:themeColor="accent3"/>
          <w:right w:val="nil"/>
        </w:tcBorders>
      </w:tcPr>
    </w:tblStylePr>
  </w:style>
  <w:style w:type="character" w:customStyle="1" w:styleId="Heading6Char">
    <w:name w:val="Heading 6 Char"/>
    <w:basedOn w:val="DefaultParagraphFont"/>
    <w:link w:val="Heading6"/>
    <w:uiPriority w:val="9"/>
    <w:rsid w:val="0080121B"/>
    <w:rPr>
      <w:rFonts w:ascii="Arial" w:eastAsiaTheme="majorEastAsia" w:hAnsi="Arial" w:cstheme="majorBidi"/>
      <w:bCs/>
      <w:color w:val="15272F" w:themeColor="text1"/>
      <w:sz w:val="20"/>
      <w:szCs w:val="16"/>
      <w:lang w:val="en-AU"/>
    </w:rPr>
  </w:style>
  <w:style w:type="numbering" w:customStyle="1" w:styleId="Style1">
    <w:name w:val="Style1"/>
    <w:uiPriority w:val="99"/>
    <w:rsid w:val="001166B8"/>
    <w:pPr>
      <w:numPr>
        <w:numId w:val="7"/>
      </w:numPr>
    </w:pPr>
  </w:style>
  <w:style w:type="numbering" w:customStyle="1" w:styleId="Style2">
    <w:name w:val="Style2"/>
    <w:uiPriority w:val="99"/>
    <w:rsid w:val="001166B8"/>
    <w:pPr>
      <w:numPr>
        <w:numId w:val="8"/>
      </w:numPr>
    </w:pPr>
  </w:style>
  <w:style w:type="character" w:customStyle="1" w:styleId="cf01">
    <w:name w:val="cf01"/>
    <w:basedOn w:val="DefaultParagraphFont"/>
    <w:rsid w:val="006727CC"/>
    <w:rPr>
      <w:rFonts w:ascii="Segoe UI" w:hAnsi="Segoe UI" w:cs="Segoe UI" w:hint="default"/>
      <w:color w:val="15272F"/>
      <w:sz w:val="18"/>
      <w:szCs w:val="18"/>
    </w:rPr>
  </w:style>
  <w:style w:type="paragraph" w:customStyle="1" w:styleId="Default">
    <w:name w:val="Default"/>
    <w:rsid w:val="00171C8C"/>
    <w:pPr>
      <w:autoSpaceDE w:val="0"/>
      <w:autoSpaceDN w:val="0"/>
      <w:adjustRightInd w:val="0"/>
      <w:spacing w:after="0" w:line="240" w:lineRule="auto"/>
    </w:pPr>
    <w:rPr>
      <w:rFonts w:ascii="Arial" w:hAnsi="Arial" w:cs="Arial"/>
      <w:color w:val="000000"/>
      <w:sz w:val="24"/>
      <w:szCs w:val="24"/>
      <w:lang w:val="en-AU"/>
    </w:rPr>
  </w:style>
  <w:style w:type="character" w:styleId="Mention">
    <w:name w:val="Mention"/>
    <w:basedOn w:val="DefaultParagraphFont"/>
    <w:uiPriority w:val="99"/>
    <w:unhideWhenUsed/>
    <w:rsid w:val="0015622A"/>
    <w:rPr>
      <w:color w:val="2B579A"/>
      <w:shd w:val="clear" w:color="auto" w:fill="E1DFDD"/>
    </w:rPr>
  </w:style>
  <w:style w:type="paragraph" w:styleId="BodyText">
    <w:name w:val="Body Text"/>
    <w:basedOn w:val="Normal"/>
    <w:link w:val="BodyTextChar"/>
    <w:uiPriority w:val="1"/>
    <w:qFormat/>
    <w:rsid w:val="001E2F89"/>
    <w:pPr>
      <w:widowControl w:val="0"/>
      <w:autoSpaceDE w:val="0"/>
      <w:autoSpaceDN w:val="0"/>
      <w:spacing w:after="0" w:line="240" w:lineRule="auto"/>
    </w:pPr>
    <w:rPr>
      <w:rFonts w:eastAsia="Arial" w:cs="Arial"/>
      <w:color w:val="auto"/>
      <w:lang w:val="en-US"/>
    </w:rPr>
  </w:style>
  <w:style w:type="character" w:customStyle="1" w:styleId="BodyTextChar">
    <w:name w:val="Body Text Char"/>
    <w:basedOn w:val="DefaultParagraphFont"/>
    <w:link w:val="BodyText"/>
    <w:uiPriority w:val="1"/>
    <w:rsid w:val="001E2F89"/>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9984">
      <w:bodyDiv w:val="1"/>
      <w:marLeft w:val="0"/>
      <w:marRight w:val="0"/>
      <w:marTop w:val="0"/>
      <w:marBottom w:val="0"/>
      <w:divBdr>
        <w:top w:val="none" w:sz="0" w:space="0" w:color="auto"/>
        <w:left w:val="none" w:sz="0" w:space="0" w:color="auto"/>
        <w:bottom w:val="none" w:sz="0" w:space="0" w:color="auto"/>
        <w:right w:val="none" w:sz="0" w:space="0" w:color="auto"/>
      </w:divBdr>
    </w:div>
    <w:div w:id="1256087536">
      <w:bodyDiv w:val="1"/>
      <w:marLeft w:val="0"/>
      <w:marRight w:val="0"/>
      <w:marTop w:val="0"/>
      <w:marBottom w:val="0"/>
      <w:divBdr>
        <w:top w:val="none" w:sz="0" w:space="0" w:color="auto"/>
        <w:left w:val="none" w:sz="0" w:space="0" w:color="auto"/>
        <w:bottom w:val="none" w:sz="0" w:space="0" w:color="auto"/>
        <w:right w:val="none" w:sz="0" w:space="0" w:color="auto"/>
      </w:divBdr>
    </w:div>
    <w:div w:id="1884440904">
      <w:bodyDiv w:val="1"/>
      <w:marLeft w:val="0"/>
      <w:marRight w:val="0"/>
      <w:marTop w:val="0"/>
      <w:marBottom w:val="0"/>
      <w:divBdr>
        <w:top w:val="none" w:sz="0" w:space="0" w:color="auto"/>
        <w:left w:val="none" w:sz="0" w:space="0" w:color="auto"/>
        <w:bottom w:val="none" w:sz="0" w:space="0" w:color="auto"/>
        <w:right w:val="none" w:sz="0" w:space="0" w:color="auto"/>
      </w:divBdr>
    </w:div>
    <w:div w:id="1939093660">
      <w:bodyDiv w:val="1"/>
      <w:marLeft w:val="0"/>
      <w:marRight w:val="0"/>
      <w:marTop w:val="0"/>
      <w:marBottom w:val="0"/>
      <w:divBdr>
        <w:top w:val="none" w:sz="0" w:space="0" w:color="auto"/>
        <w:left w:val="none" w:sz="0" w:space="0" w:color="auto"/>
        <w:bottom w:val="none" w:sz="0" w:space="0" w:color="auto"/>
        <w:right w:val="none" w:sz="0" w:space="0" w:color="auto"/>
      </w:divBdr>
    </w:div>
    <w:div w:id="21160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g"/><Relationship Id="rId18" Type="http://schemas.openxmlformats.org/officeDocument/2006/relationships/hyperlink" Target="mailto:enquiries.ihacpa@ihacpa.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hacp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SSAS\Downloads\IHACPA%20template%20-%20External%20-%20Report.dotx" TargetMode="External"/></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E6414D1EFD15458E1E47C3C8F343A9" ma:contentTypeVersion="8" ma:contentTypeDescription="Create a new document." ma:contentTypeScope="" ma:versionID="b4f4fc2b2e2359c30af3ef9af39a345e">
  <xsd:schema xmlns:xsd="http://www.w3.org/2001/XMLSchema" xmlns:xs="http://www.w3.org/2001/XMLSchema" xmlns:p="http://schemas.microsoft.com/office/2006/metadata/properties" xmlns:ns2="081bb03b-d2c1-45a4-ae90-4912b956cc97" xmlns:ns3="1e0afa56-dce4-4a2b-8f0a-63f00579f08b" targetNamespace="http://schemas.microsoft.com/office/2006/metadata/properties" ma:root="true" ma:fieldsID="db2537b1361222b1dd14bc74041edd4e" ns2:_="" ns3:_="">
    <xsd:import namespace="081bb03b-d2c1-45a4-ae90-4912b956cc97"/>
    <xsd:import namespace="1e0afa56-dce4-4a2b-8f0a-63f00579f0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b03b-d2c1-45a4-ae90-4912b956c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0afa56-dce4-4a2b-8f0a-63f00579f0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customXml/itemProps2.xml><?xml version="1.0" encoding="utf-8"?>
<ds:datastoreItem xmlns:ds="http://schemas.openxmlformats.org/officeDocument/2006/customXml" ds:itemID="{C89B485F-F97A-4E4C-B5C6-B4270D648A98}">
  <ds:schemaRefs>
    <ds:schemaRef ds:uri="http://schemas.microsoft.com/sharepoint/v3/contenttype/forms"/>
  </ds:schemaRefs>
</ds:datastoreItem>
</file>

<file path=customXml/itemProps3.xml><?xml version="1.0" encoding="utf-8"?>
<ds:datastoreItem xmlns:ds="http://schemas.openxmlformats.org/officeDocument/2006/customXml" ds:itemID="{F2364666-F93B-43C1-931D-F2BCFCB0B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b03b-d2c1-45a4-ae90-4912b956cc97"/>
    <ds:schemaRef ds:uri="1e0afa56-dce4-4a2b-8f0a-63f00579f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FECAE-4F35-4C00-A7BB-B1EDD538FA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IHACPA template - External - Report.dotx</Template>
  <TotalTime>445</TotalTime>
  <Pages>30</Pages>
  <Words>7974</Words>
  <Characters>45458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IHACPA</vt:lpstr>
    </vt:vector>
  </TitlesOfParts>
  <Company/>
  <LinksUpToDate>false</LinksUpToDate>
  <CharactersWithSpaces>53326</CharactersWithSpaces>
  <SharedDoc>false</SharedDoc>
  <HLinks>
    <vt:vector size="114" baseType="variant">
      <vt:variant>
        <vt:i4>4784202</vt:i4>
      </vt:variant>
      <vt:variant>
        <vt:i4>129</vt:i4>
      </vt:variant>
      <vt:variant>
        <vt:i4>0</vt:i4>
      </vt:variant>
      <vt:variant>
        <vt:i4>5</vt:i4>
      </vt:variant>
      <vt:variant>
        <vt:lpwstr>http://www.ihacpa.gov.au/</vt:lpwstr>
      </vt:variant>
      <vt:variant>
        <vt:lpwstr/>
      </vt:variant>
      <vt:variant>
        <vt:i4>2555925</vt:i4>
      </vt:variant>
      <vt:variant>
        <vt:i4>126</vt:i4>
      </vt:variant>
      <vt:variant>
        <vt:i4>0</vt:i4>
      </vt:variant>
      <vt:variant>
        <vt:i4>5</vt:i4>
      </vt:variant>
      <vt:variant>
        <vt:lpwstr>mailto:enquiries.ihacpa@ihacpa.gov.au</vt:lpwstr>
      </vt:variant>
      <vt:variant>
        <vt:lpwstr/>
      </vt:variant>
      <vt:variant>
        <vt:i4>2031678</vt:i4>
      </vt:variant>
      <vt:variant>
        <vt:i4>98</vt:i4>
      </vt:variant>
      <vt:variant>
        <vt:i4>0</vt:i4>
      </vt:variant>
      <vt:variant>
        <vt:i4>5</vt:i4>
      </vt:variant>
      <vt:variant>
        <vt:lpwstr/>
      </vt:variant>
      <vt:variant>
        <vt:lpwstr>_Toc178945334</vt:lpwstr>
      </vt:variant>
      <vt:variant>
        <vt:i4>2031678</vt:i4>
      </vt:variant>
      <vt:variant>
        <vt:i4>92</vt:i4>
      </vt:variant>
      <vt:variant>
        <vt:i4>0</vt:i4>
      </vt:variant>
      <vt:variant>
        <vt:i4>5</vt:i4>
      </vt:variant>
      <vt:variant>
        <vt:lpwstr/>
      </vt:variant>
      <vt:variant>
        <vt:lpwstr>_Toc178945333</vt:lpwstr>
      </vt:variant>
      <vt:variant>
        <vt:i4>2031678</vt:i4>
      </vt:variant>
      <vt:variant>
        <vt:i4>86</vt:i4>
      </vt:variant>
      <vt:variant>
        <vt:i4>0</vt:i4>
      </vt:variant>
      <vt:variant>
        <vt:i4>5</vt:i4>
      </vt:variant>
      <vt:variant>
        <vt:lpwstr/>
      </vt:variant>
      <vt:variant>
        <vt:lpwstr>_Toc178945332</vt:lpwstr>
      </vt:variant>
      <vt:variant>
        <vt:i4>2031678</vt:i4>
      </vt:variant>
      <vt:variant>
        <vt:i4>80</vt:i4>
      </vt:variant>
      <vt:variant>
        <vt:i4>0</vt:i4>
      </vt:variant>
      <vt:variant>
        <vt:i4>5</vt:i4>
      </vt:variant>
      <vt:variant>
        <vt:lpwstr/>
      </vt:variant>
      <vt:variant>
        <vt:lpwstr>_Toc178945331</vt:lpwstr>
      </vt:variant>
      <vt:variant>
        <vt:i4>2031678</vt:i4>
      </vt:variant>
      <vt:variant>
        <vt:i4>74</vt:i4>
      </vt:variant>
      <vt:variant>
        <vt:i4>0</vt:i4>
      </vt:variant>
      <vt:variant>
        <vt:i4>5</vt:i4>
      </vt:variant>
      <vt:variant>
        <vt:lpwstr/>
      </vt:variant>
      <vt:variant>
        <vt:lpwstr>_Toc178945330</vt:lpwstr>
      </vt:variant>
      <vt:variant>
        <vt:i4>1966142</vt:i4>
      </vt:variant>
      <vt:variant>
        <vt:i4>68</vt:i4>
      </vt:variant>
      <vt:variant>
        <vt:i4>0</vt:i4>
      </vt:variant>
      <vt:variant>
        <vt:i4>5</vt:i4>
      </vt:variant>
      <vt:variant>
        <vt:lpwstr/>
      </vt:variant>
      <vt:variant>
        <vt:lpwstr>_Toc178945329</vt:lpwstr>
      </vt:variant>
      <vt:variant>
        <vt:i4>1966142</vt:i4>
      </vt:variant>
      <vt:variant>
        <vt:i4>62</vt:i4>
      </vt:variant>
      <vt:variant>
        <vt:i4>0</vt:i4>
      </vt:variant>
      <vt:variant>
        <vt:i4>5</vt:i4>
      </vt:variant>
      <vt:variant>
        <vt:lpwstr/>
      </vt:variant>
      <vt:variant>
        <vt:lpwstr>_Toc178945328</vt:lpwstr>
      </vt:variant>
      <vt:variant>
        <vt:i4>1966142</vt:i4>
      </vt:variant>
      <vt:variant>
        <vt:i4>56</vt:i4>
      </vt:variant>
      <vt:variant>
        <vt:i4>0</vt:i4>
      </vt:variant>
      <vt:variant>
        <vt:i4>5</vt:i4>
      </vt:variant>
      <vt:variant>
        <vt:lpwstr/>
      </vt:variant>
      <vt:variant>
        <vt:lpwstr>_Toc178945325</vt:lpwstr>
      </vt:variant>
      <vt:variant>
        <vt:i4>1966142</vt:i4>
      </vt:variant>
      <vt:variant>
        <vt:i4>50</vt:i4>
      </vt:variant>
      <vt:variant>
        <vt:i4>0</vt:i4>
      </vt:variant>
      <vt:variant>
        <vt:i4>5</vt:i4>
      </vt:variant>
      <vt:variant>
        <vt:lpwstr/>
      </vt:variant>
      <vt:variant>
        <vt:lpwstr>_Toc178945324</vt:lpwstr>
      </vt:variant>
      <vt:variant>
        <vt:i4>1966142</vt:i4>
      </vt:variant>
      <vt:variant>
        <vt:i4>44</vt:i4>
      </vt:variant>
      <vt:variant>
        <vt:i4>0</vt:i4>
      </vt:variant>
      <vt:variant>
        <vt:i4>5</vt:i4>
      </vt:variant>
      <vt:variant>
        <vt:lpwstr/>
      </vt:variant>
      <vt:variant>
        <vt:lpwstr>_Toc178945323</vt:lpwstr>
      </vt:variant>
      <vt:variant>
        <vt:i4>1966142</vt:i4>
      </vt:variant>
      <vt:variant>
        <vt:i4>38</vt:i4>
      </vt:variant>
      <vt:variant>
        <vt:i4>0</vt:i4>
      </vt:variant>
      <vt:variant>
        <vt:i4>5</vt:i4>
      </vt:variant>
      <vt:variant>
        <vt:lpwstr/>
      </vt:variant>
      <vt:variant>
        <vt:lpwstr>_Toc178945322</vt:lpwstr>
      </vt:variant>
      <vt:variant>
        <vt:i4>1966142</vt:i4>
      </vt:variant>
      <vt:variant>
        <vt:i4>32</vt:i4>
      </vt:variant>
      <vt:variant>
        <vt:i4>0</vt:i4>
      </vt:variant>
      <vt:variant>
        <vt:i4>5</vt:i4>
      </vt:variant>
      <vt:variant>
        <vt:lpwstr/>
      </vt:variant>
      <vt:variant>
        <vt:lpwstr>_Toc178945321</vt:lpwstr>
      </vt:variant>
      <vt:variant>
        <vt:i4>1966142</vt:i4>
      </vt:variant>
      <vt:variant>
        <vt:i4>26</vt:i4>
      </vt:variant>
      <vt:variant>
        <vt:i4>0</vt:i4>
      </vt:variant>
      <vt:variant>
        <vt:i4>5</vt:i4>
      </vt:variant>
      <vt:variant>
        <vt:lpwstr/>
      </vt:variant>
      <vt:variant>
        <vt:lpwstr>_Toc178945320</vt:lpwstr>
      </vt:variant>
      <vt:variant>
        <vt:i4>1900606</vt:i4>
      </vt:variant>
      <vt:variant>
        <vt:i4>20</vt:i4>
      </vt:variant>
      <vt:variant>
        <vt:i4>0</vt:i4>
      </vt:variant>
      <vt:variant>
        <vt:i4>5</vt:i4>
      </vt:variant>
      <vt:variant>
        <vt:lpwstr/>
      </vt:variant>
      <vt:variant>
        <vt:lpwstr>_Toc178945319</vt:lpwstr>
      </vt:variant>
      <vt:variant>
        <vt:i4>1900606</vt:i4>
      </vt:variant>
      <vt:variant>
        <vt:i4>14</vt:i4>
      </vt:variant>
      <vt:variant>
        <vt:i4>0</vt:i4>
      </vt:variant>
      <vt:variant>
        <vt:i4>5</vt:i4>
      </vt:variant>
      <vt:variant>
        <vt:lpwstr/>
      </vt:variant>
      <vt:variant>
        <vt:lpwstr>_Toc178945318</vt:lpwstr>
      </vt:variant>
      <vt:variant>
        <vt:i4>1900606</vt:i4>
      </vt:variant>
      <vt:variant>
        <vt:i4>8</vt:i4>
      </vt:variant>
      <vt:variant>
        <vt:i4>0</vt:i4>
      </vt:variant>
      <vt:variant>
        <vt:i4>5</vt:i4>
      </vt:variant>
      <vt:variant>
        <vt:lpwstr/>
      </vt:variant>
      <vt:variant>
        <vt:lpwstr>_Toc178945317</vt:lpwstr>
      </vt:variant>
      <vt:variant>
        <vt:i4>1900606</vt:i4>
      </vt:variant>
      <vt:variant>
        <vt:i4>2</vt:i4>
      </vt:variant>
      <vt:variant>
        <vt:i4>0</vt:i4>
      </vt:variant>
      <vt:variant>
        <vt:i4>5</vt:i4>
      </vt:variant>
      <vt:variant>
        <vt:lpwstr/>
      </vt:variant>
      <vt:variant>
        <vt:lpwstr>_Toc178945316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IHACPA</dc:title>
  <dc:subject/>
  <dc:creator>VASSALLO, Sarah</dc:creator>
  <cp:keywords/>
  <dc:description/>
  <cp:lastModifiedBy>FARMILOE, Molly</cp:lastModifiedBy>
  <cp:revision>67</cp:revision>
  <cp:lastPrinted>2022-08-09T18:01:00Z</cp:lastPrinted>
  <dcterms:created xsi:type="dcterms:W3CDTF">2024-10-31T01:36:00Z</dcterms:created>
  <dcterms:modified xsi:type="dcterms:W3CDTF">2025-03-13T02:16:00Z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0x010100AEE6414D1EFD15458E1E47C3C8F343A9</vt:lpwstr>
  </property>
  <property fmtid="{D5CDD505-2E9C-101B-9397-08002B2CF9AE}" pid="3" name="MediaServiceImageTags">
    <vt:lpwstr/>
  </property>
</Properties>
</file>