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59E9" w14:textId="77777777" w:rsidR="00707A91" w:rsidRPr="00E96C8D" w:rsidRDefault="00707A91" w:rsidP="00D60A37">
      <w:pPr>
        <w:spacing w:after="1800"/>
      </w:pPr>
    </w:p>
    <w:p w14:paraId="239AD0A1" w14:textId="11807AB0" w:rsidR="00C04A2D" w:rsidRPr="00E96C8D" w:rsidRDefault="00F15E10" w:rsidP="005F05EB">
      <w:pPr>
        <w:pStyle w:val="CoverTitle"/>
      </w:pPr>
      <w:r>
        <w:t>National Hospital Cost Data Collection</w:t>
      </w:r>
      <w:r w:rsidR="00B50E0F">
        <w:t xml:space="preserve"> (NHCDC)</w:t>
      </w:r>
      <w:r>
        <w:t xml:space="preserve"> </w:t>
      </w:r>
      <w:r w:rsidRPr="00E96C8D">
        <w:t xml:space="preserve">Public </w:t>
      </w:r>
      <w:r w:rsidR="003978C3">
        <w:t xml:space="preserve">Sector </w:t>
      </w:r>
      <w:r w:rsidR="00B76B27">
        <w:t>Review 2021-22</w:t>
      </w:r>
    </w:p>
    <w:p w14:paraId="147CE5C2" w14:textId="77777777" w:rsidR="00C04A2D" w:rsidRPr="00E96C8D" w:rsidRDefault="00C04A2D" w:rsidP="00C04A2D">
      <w:pPr>
        <w:sectPr w:rsidR="00C04A2D" w:rsidRPr="00E96C8D" w:rsidSect="00134C06">
          <w:headerReference w:type="default" r:id="rId11"/>
          <w:footerReference w:type="default" r:id="rId12"/>
          <w:type w:val="continuous"/>
          <w:pgSz w:w="11906" w:h="16838" w:code="9"/>
          <w:pgMar w:top="1440" w:right="1080" w:bottom="1440" w:left="1080" w:header="708" w:footer="1134" w:gutter="0"/>
          <w:cols w:space="720"/>
          <w:docGrid w:linePitch="360"/>
        </w:sectPr>
      </w:pPr>
    </w:p>
    <w:p w14:paraId="278839CA" w14:textId="5F032F35" w:rsidR="003C3623" w:rsidRPr="00E96C8D" w:rsidRDefault="00E76C79" w:rsidP="003C3623">
      <w:pPr>
        <w:pStyle w:val="Copyrightheading"/>
      </w:pPr>
      <w:r w:rsidRPr="00E76C79">
        <w:lastRenderedPageBreak/>
        <w:t>NHCDC Public Sector Review 2021-22</w:t>
      </w:r>
      <w:r w:rsidR="003C3623" w:rsidRPr="00E96C8D">
        <w:t xml:space="preserve"> — </w:t>
      </w:r>
      <w:r w:rsidR="00D84D47">
        <w:t>Ju</w:t>
      </w:r>
      <w:r w:rsidR="009B6AE2">
        <w:t>ly</w:t>
      </w:r>
      <w:r w:rsidR="008F1D2A">
        <w:t xml:space="preserve"> </w:t>
      </w:r>
      <w:r w:rsidR="00E96C8D">
        <w:t>2024</w:t>
      </w:r>
    </w:p>
    <w:p w14:paraId="301DC3F7" w14:textId="04ED445D" w:rsidR="003C3623" w:rsidRPr="00E96C8D" w:rsidRDefault="003C3623" w:rsidP="003C3623">
      <w:pPr>
        <w:pStyle w:val="Copyrightcopy"/>
      </w:pPr>
      <w:r w:rsidRPr="00E96C8D">
        <w:t xml:space="preserve">© Independent Health and Aged Care Pricing Authority </w:t>
      </w:r>
      <w:r w:rsidR="00C9426E">
        <w:t>2024</w:t>
      </w:r>
    </w:p>
    <w:p w14:paraId="00F39C72" w14:textId="77777777" w:rsidR="003C3623" w:rsidRPr="00E96C8D" w:rsidRDefault="003C3623" w:rsidP="003C3623">
      <w:pPr>
        <w:pStyle w:val="Copyrightcopy"/>
      </w:pPr>
      <w:r w:rsidRPr="00E96C8D">
        <w:t xml:space="preserve">This publication is available for your use under a Creative Commons BY Attribution 3.0 Australia licence, </w:t>
      </w:r>
      <w:proofErr w:type="gramStart"/>
      <w:r w:rsidRPr="00E96C8D">
        <w:t>with the exception of</w:t>
      </w:r>
      <w:proofErr w:type="gramEnd"/>
      <w:r w:rsidRPr="00E96C8D">
        <w:t xml:space="preserve"> the Independent Health and Aged Care Pricing Authority logo, photographs, images, signatures and where otherwise stated. The full licence terms are available from the Creative Commons website.</w:t>
      </w:r>
    </w:p>
    <w:p w14:paraId="1CC5805B" w14:textId="77777777" w:rsidR="003C3623" w:rsidRPr="00E96C8D" w:rsidRDefault="003C3623" w:rsidP="003C3623">
      <w:pPr>
        <w:pStyle w:val="Copyrightcopy"/>
      </w:pPr>
      <w:r w:rsidRPr="00E96C8D">
        <w:rPr>
          <w:noProof/>
        </w:rPr>
        <w:drawing>
          <wp:inline distT="0" distB="0" distL="0" distR="0" wp14:anchorId="27956A2E" wp14:editId="2A172953">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3">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E96C8D">
        <w:t xml:space="preserve"> </w:t>
      </w:r>
    </w:p>
    <w:p w14:paraId="5FD9ECB6" w14:textId="77777777" w:rsidR="003C3623" w:rsidRPr="00E96C8D" w:rsidRDefault="003C3623" w:rsidP="003C3623">
      <w:pPr>
        <w:pStyle w:val="Copyrightcopy"/>
      </w:pPr>
      <w:r w:rsidRPr="00E96C8D">
        <w:t>Use of Independent Health and Aged Care Pricing Authority material under a Creative Commons BY Attribution 3.0 Australia licence requires you to attribute the work (but not in any way that suggests that the Independent Health and Aged Care Pricing Authority endorses you or your use of the work).</w:t>
      </w:r>
    </w:p>
    <w:p w14:paraId="465AFCAA" w14:textId="77777777" w:rsidR="003C3623" w:rsidRPr="00E96C8D" w:rsidRDefault="003C3623" w:rsidP="003C3623">
      <w:pPr>
        <w:pStyle w:val="Copyrightcopy"/>
      </w:pPr>
      <w:r w:rsidRPr="00E96C8D">
        <w:t>Independent Health and Aged Care Pricing Authority material used 'as supplied'.</w:t>
      </w:r>
    </w:p>
    <w:p w14:paraId="2B9BCF30" w14:textId="77777777" w:rsidR="003C3623" w:rsidRPr="00E96C8D" w:rsidRDefault="003C3623" w:rsidP="003C3623">
      <w:pPr>
        <w:pStyle w:val="Copyrightcopy"/>
      </w:pPr>
      <w:r w:rsidRPr="00E96C8D">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13683E94" w14:textId="77777777" w:rsidR="003C3623" w:rsidRPr="00E96C8D" w:rsidRDefault="003C3623" w:rsidP="003C3623">
      <w:pPr>
        <w:pStyle w:val="Copyrightcopy"/>
        <w:sectPr w:rsidR="003C3623" w:rsidRPr="00E96C8D" w:rsidSect="00134C06">
          <w:headerReference w:type="even" r:id="rId14"/>
          <w:headerReference w:type="default" r:id="rId15"/>
          <w:footerReference w:type="default" r:id="rId16"/>
          <w:headerReference w:type="first" r:id="rId17"/>
          <w:pgSz w:w="11906" w:h="16838" w:code="9"/>
          <w:pgMar w:top="7371" w:right="1077" w:bottom="1440" w:left="1077" w:header="709" w:footer="709" w:gutter="0"/>
          <w:cols w:space="720"/>
          <w:docGrid w:linePitch="360"/>
        </w:sectPr>
      </w:pPr>
      <w:r w:rsidRPr="00E96C8D">
        <w:t>Source: The Independent Health and Aged Care Pricing Authority</w:t>
      </w:r>
    </w:p>
    <w:p w14:paraId="2A611534" w14:textId="51E2E876" w:rsidR="009719D4" w:rsidRPr="00E96C8D" w:rsidRDefault="009719D4" w:rsidP="009719D4">
      <w:pPr>
        <w:pStyle w:val="Title"/>
      </w:pPr>
      <w:r w:rsidRPr="00E96C8D">
        <w:lastRenderedPageBreak/>
        <w:t>Table of Contents</w:t>
      </w:r>
    </w:p>
    <w:p w14:paraId="6FF1CC94" w14:textId="4A2D1F82" w:rsidR="002605D4" w:rsidRDefault="009719D4">
      <w:pPr>
        <w:pStyle w:val="TOC1"/>
        <w:rPr>
          <w:rFonts w:asciiTheme="minorHAnsi" w:eastAsiaTheme="minorEastAsia" w:hAnsiTheme="minorHAnsi"/>
          <w:b w:val="0"/>
          <w:noProof/>
          <w:color w:val="auto"/>
          <w:kern w:val="2"/>
          <w:sz w:val="22"/>
          <w:lang w:eastAsia="en-AU"/>
          <w14:ligatures w14:val="standardContextual"/>
        </w:rPr>
      </w:pPr>
      <w:r w:rsidRPr="00E96C8D">
        <w:fldChar w:fldCharType="begin"/>
      </w:r>
      <w:r w:rsidRPr="00E96C8D">
        <w:instrText xml:space="preserve"> TOC \o "1-1" \h \z \u </w:instrText>
      </w:r>
      <w:r w:rsidRPr="00E96C8D">
        <w:fldChar w:fldCharType="separate"/>
      </w:r>
      <w:hyperlink w:anchor="_Toc157776702" w:history="1">
        <w:r w:rsidR="002605D4" w:rsidRPr="00F61880">
          <w:rPr>
            <w:rStyle w:val="Hyperlink"/>
            <w:noProof/>
          </w:rPr>
          <w:t>1</w:t>
        </w:r>
        <w:r w:rsidR="002605D4">
          <w:rPr>
            <w:rFonts w:asciiTheme="minorHAnsi" w:eastAsiaTheme="minorEastAsia" w:hAnsiTheme="minorHAnsi"/>
            <w:b w:val="0"/>
            <w:noProof/>
            <w:color w:val="auto"/>
            <w:kern w:val="2"/>
            <w:sz w:val="22"/>
            <w:lang w:eastAsia="en-AU"/>
            <w14:ligatures w14:val="standardContextual"/>
          </w:rPr>
          <w:tab/>
        </w:r>
        <w:r w:rsidR="002605D4" w:rsidRPr="00F61880">
          <w:rPr>
            <w:rStyle w:val="Hyperlink"/>
            <w:noProof/>
          </w:rPr>
          <w:t>Executive Summary</w:t>
        </w:r>
        <w:r w:rsidR="002605D4">
          <w:rPr>
            <w:noProof/>
            <w:webHidden/>
          </w:rPr>
          <w:tab/>
        </w:r>
        <w:r w:rsidR="002605D4">
          <w:rPr>
            <w:noProof/>
            <w:webHidden/>
          </w:rPr>
          <w:fldChar w:fldCharType="begin"/>
        </w:r>
        <w:r w:rsidR="002605D4">
          <w:rPr>
            <w:noProof/>
            <w:webHidden/>
          </w:rPr>
          <w:instrText xml:space="preserve"> PAGEREF _Toc157776702 \h </w:instrText>
        </w:r>
        <w:r w:rsidR="002605D4">
          <w:rPr>
            <w:noProof/>
            <w:webHidden/>
          </w:rPr>
        </w:r>
        <w:r w:rsidR="002605D4">
          <w:rPr>
            <w:noProof/>
            <w:webHidden/>
          </w:rPr>
          <w:fldChar w:fldCharType="separate"/>
        </w:r>
        <w:r w:rsidR="00ED2B78">
          <w:rPr>
            <w:noProof/>
            <w:webHidden/>
          </w:rPr>
          <w:t>4</w:t>
        </w:r>
        <w:r w:rsidR="002605D4">
          <w:rPr>
            <w:noProof/>
            <w:webHidden/>
          </w:rPr>
          <w:fldChar w:fldCharType="end"/>
        </w:r>
      </w:hyperlink>
    </w:p>
    <w:p w14:paraId="2A424972" w14:textId="10618867" w:rsidR="002605D4" w:rsidRDefault="00000000">
      <w:pPr>
        <w:pStyle w:val="TOC1"/>
        <w:rPr>
          <w:rFonts w:asciiTheme="minorHAnsi" w:eastAsiaTheme="minorEastAsia" w:hAnsiTheme="minorHAnsi"/>
          <w:b w:val="0"/>
          <w:noProof/>
          <w:color w:val="auto"/>
          <w:kern w:val="2"/>
          <w:sz w:val="22"/>
          <w:lang w:eastAsia="en-AU"/>
          <w14:ligatures w14:val="standardContextual"/>
        </w:rPr>
      </w:pPr>
      <w:hyperlink w:anchor="_Toc157776703" w:history="1">
        <w:r w:rsidR="002605D4" w:rsidRPr="00F61880">
          <w:rPr>
            <w:rStyle w:val="Hyperlink"/>
            <w:noProof/>
          </w:rPr>
          <w:t>2</w:t>
        </w:r>
        <w:r w:rsidR="002605D4">
          <w:rPr>
            <w:rFonts w:asciiTheme="minorHAnsi" w:eastAsiaTheme="minorEastAsia" w:hAnsiTheme="minorHAnsi"/>
            <w:b w:val="0"/>
            <w:noProof/>
            <w:color w:val="auto"/>
            <w:kern w:val="2"/>
            <w:sz w:val="22"/>
            <w:lang w:eastAsia="en-AU"/>
            <w14:ligatures w14:val="standardContextual"/>
          </w:rPr>
          <w:tab/>
        </w:r>
        <w:r w:rsidR="002605D4" w:rsidRPr="00F61880">
          <w:rPr>
            <w:rStyle w:val="Hyperlink"/>
            <w:noProof/>
          </w:rPr>
          <w:t>New South Wales</w:t>
        </w:r>
        <w:r w:rsidR="002605D4">
          <w:rPr>
            <w:noProof/>
            <w:webHidden/>
          </w:rPr>
          <w:tab/>
        </w:r>
        <w:r w:rsidR="002605D4">
          <w:rPr>
            <w:noProof/>
            <w:webHidden/>
          </w:rPr>
          <w:fldChar w:fldCharType="begin"/>
        </w:r>
        <w:r w:rsidR="002605D4">
          <w:rPr>
            <w:noProof/>
            <w:webHidden/>
          </w:rPr>
          <w:instrText xml:space="preserve"> PAGEREF _Toc157776703 \h </w:instrText>
        </w:r>
        <w:r w:rsidR="002605D4">
          <w:rPr>
            <w:noProof/>
            <w:webHidden/>
          </w:rPr>
        </w:r>
        <w:r w:rsidR="002605D4">
          <w:rPr>
            <w:noProof/>
            <w:webHidden/>
          </w:rPr>
          <w:fldChar w:fldCharType="separate"/>
        </w:r>
        <w:r w:rsidR="00ED2B78">
          <w:rPr>
            <w:noProof/>
            <w:webHidden/>
          </w:rPr>
          <w:t>11</w:t>
        </w:r>
        <w:r w:rsidR="002605D4">
          <w:rPr>
            <w:noProof/>
            <w:webHidden/>
          </w:rPr>
          <w:fldChar w:fldCharType="end"/>
        </w:r>
      </w:hyperlink>
    </w:p>
    <w:p w14:paraId="4C0861AC" w14:textId="7985ECCE" w:rsidR="002605D4" w:rsidRDefault="00000000">
      <w:pPr>
        <w:pStyle w:val="TOC1"/>
        <w:rPr>
          <w:rFonts w:asciiTheme="minorHAnsi" w:eastAsiaTheme="minorEastAsia" w:hAnsiTheme="minorHAnsi"/>
          <w:b w:val="0"/>
          <w:noProof/>
          <w:color w:val="auto"/>
          <w:kern w:val="2"/>
          <w:sz w:val="22"/>
          <w:lang w:eastAsia="en-AU"/>
          <w14:ligatures w14:val="standardContextual"/>
        </w:rPr>
      </w:pPr>
      <w:hyperlink w:anchor="_Toc157776704" w:history="1">
        <w:r w:rsidR="002605D4" w:rsidRPr="00F61880">
          <w:rPr>
            <w:rStyle w:val="Hyperlink"/>
            <w:noProof/>
          </w:rPr>
          <w:t>3</w:t>
        </w:r>
        <w:r w:rsidR="002605D4">
          <w:rPr>
            <w:rFonts w:asciiTheme="minorHAnsi" w:eastAsiaTheme="minorEastAsia" w:hAnsiTheme="minorHAnsi"/>
            <w:b w:val="0"/>
            <w:noProof/>
            <w:color w:val="auto"/>
            <w:kern w:val="2"/>
            <w:sz w:val="22"/>
            <w:lang w:eastAsia="en-AU"/>
            <w14:ligatures w14:val="standardContextual"/>
          </w:rPr>
          <w:tab/>
        </w:r>
        <w:r w:rsidR="002605D4" w:rsidRPr="00F61880">
          <w:rPr>
            <w:rStyle w:val="Hyperlink"/>
            <w:noProof/>
          </w:rPr>
          <w:t>Victoria</w:t>
        </w:r>
        <w:r w:rsidR="002605D4">
          <w:rPr>
            <w:noProof/>
            <w:webHidden/>
          </w:rPr>
          <w:tab/>
        </w:r>
        <w:r w:rsidR="002605D4">
          <w:rPr>
            <w:noProof/>
            <w:webHidden/>
          </w:rPr>
          <w:fldChar w:fldCharType="begin"/>
        </w:r>
        <w:r w:rsidR="002605D4">
          <w:rPr>
            <w:noProof/>
            <w:webHidden/>
          </w:rPr>
          <w:instrText xml:space="preserve"> PAGEREF _Toc157776704 \h </w:instrText>
        </w:r>
        <w:r w:rsidR="002605D4">
          <w:rPr>
            <w:noProof/>
            <w:webHidden/>
          </w:rPr>
        </w:r>
        <w:r w:rsidR="002605D4">
          <w:rPr>
            <w:noProof/>
            <w:webHidden/>
          </w:rPr>
          <w:fldChar w:fldCharType="separate"/>
        </w:r>
        <w:r w:rsidR="00ED2B78">
          <w:rPr>
            <w:noProof/>
            <w:webHidden/>
          </w:rPr>
          <w:t>13</w:t>
        </w:r>
        <w:r w:rsidR="002605D4">
          <w:rPr>
            <w:noProof/>
            <w:webHidden/>
          </w:rPr>
          <w:fldChar w:fldCharType="end"/>
        </w:r>
      </w:hyperlink>
    </w:p>
    <w:p w14:paraId="7897D35B" w14:textId="5A861FDC" w:rsidR="002605D4" w:rsidRDefault="00000000">
      <w:pPr>
        <w:pStyle w:val="TOC1"/>
        <w:rPr>
          <w:rFonts w:asciiTheme="minorHAnsi" w:eastAsiaTheme="minorEastAsia" w:hAnsiTheme="minorHAnsi"/>
          <w:b w:val="0"/>
          <w:noProof/>
          <w:color w:val="auto"/>
          <w:kern w:val="2"/>
          <w:sz w:val="22"/>
          <w:lang w:eastAsia="en-AU"/>
          <w14:ligatures w14:val="standardContextual"/>
        </w:rPr>
      </w:pPr>
      <w:hyperlink w:anchor="_Toc157776705" w:history="1">
        <w:r w:rsidR="002605D4" w:rsidRPr="00F61880">
          <w:rPr>
            <w:rStyle w:val="Hyperlink"/>
            <w:noProof/>
          </w:rPr>
          <w:t>4</w:t>
        </w:r>
        <w:r w:rsidR="002605D4">
          <w:rPr>
            <w:rFonts w:asciiTheme="minorHAnsi" w:eastAsiaTheme="minorEastAsia" w:hAnsiTheme="minorHAnsi"/>
            <w:b w:val="0"/>
            <w:noProof/>
            <w:color w:val="auto"/>
            <w:kern w:val="2"/>
            <w:sz w:val="22"/>
            <w:lang w:eastAsia="en-AU"/>
            <w14:ligatures w14:val="standardContextual"/>
          </w:rPr>
          <w:tab/>
        </w:r>
        <w:r w:rsidR="002605D4" w:rsidRPr="00F61880">
          <w:rPr>
            <w:rStyle w:val="Hyperlink"/>
            <w:noProof/>
          </w:rPr>
          <w:t>Queensland</w:t>
        </w:r>
        <w:r w:rsidR="002605D4">
          <w:rPr>
            <w:noProof/>
            <w:webHidden/>
          </w:rPr>
          <w:tab/>
        </w:r>
        <w:r w:rsidR="002605D4">
          <w:rPr>
            <w:noProof/>
            <w:webHidden/>
          </w:rPr>
          <w:fldChar w:fldCharType="begin"/>
        </w:r>
        <w:r w:rsidR="002605D4">
          <w:rPr>
            <w:noProof/>
            <w:webHidden/>
          </w:rPr>
          <w:instrText xml:space="preserve"> PAGEREF _Toc157776705 \h </w:instrText>
        </w:r>
        <w:r w:rsidR="002605D4">
          <w:rPr>
            <w:noProof/>
            <w:webHidden/>
          </w:rPr>
        </w:r>
        <w:r w:rsidR="002605D4">
          <w:rPr>
            <w:noProof/>
            <w:webHidden/>
          </w:rPr>
          <w:fldChar w:fldCharType="separate"/>
        </w:r>
        <w:r w:rsidR="00ED2B78">
          <w:rPr>
            <w:noProof/>
            <w:webHidden/>
          </w:rPr>
          <w:t>15</w:t>
        </w:r>
        <w:r w:rsidR="002605D4">
          <w:rPr>
            <w:noProof/>
            <w:webHidden/>
          </w:rPr>
          <w:fldChar w:fldCharType="end"/>
        </w:r>
      </w:hyperlink>
    </w:p>
    <w:p w14:paraId="73943C06" w14:textId="0547BD80" w:rsidR="002605D4" w:rsidRDefault="00000000">
      <w:pPr>
        <w:pStyle w:val="TOC1"/>
        <w:rPr>
          <w:rFonts w:asciiTheme="minorHAnsi" w:eastAsiaTheme="minorEastAsia" w:hAnsiTheme="minorHAnsi"/>
          <w:b w:val="0"/>
          <w:noProof/>
          <w:color w:val="auto"/>
          <w:kern w:val="2"/>
          <w:sz w:val="22"/>
          <w:lang w:eastAsia="en-AU"/>
          <w14:ligatures w14:val="standardContextual"/>
        </w:rPr>
      </w:pPr>
      <w:hyperlink w:anchor="_Toc157776706" w:history="1">
        <w:r w:rsidR="002605D4" w:rsidRPr="00F61880">
          <w:rPr>
            <w:rStyle w:val="Hyperlink"/>
            <w:noProof/>
          </w:rPr>
          <w:t>5</w:t>
        </w:r>
        <w:r w:rsidR="002605D4">
          <w:rPr>
            <w:rFonts w:asciiTheme="minorHAnsi" w:eastAsiaTheme="minorEastAsia" w:hAnsiTheme="minorHAnsi"/>
            <w:b w:val="0"/>
            <w:noProof/>
            <w:color w:val="auto"/>
            <w:kern w:val="2"/>
            <w:sz w:val="22"/>
            <w:lang w:eastAsia="en-AU"/>
            <w14:ligatures w14:val="standardContextual"/>
          </w:rPr>
          <w:tab/>
        </w:r>
        <w:r w:rsidR="002605D4" w:rsidRPr="00F61880">
          <w:rPr>
            <w:rStyle w:val="Hyperlink"/>
            <w:noProof/>
          </w:rPr>
          <w:t>South Australia</w:t>
        </w:r>
        <w:r w:rsidR="002605D4">
          <w:rPr>
            <w:noProof/>
            <w:webHidden/>
          </w:rPr>
          <w:tab/>
        </w:r>
        <w:r w:rsidR="002605D4">
          <w:rPr>
            <w:noProof/>
            <w:webHidden/>
          </w:rPr>
          <w:fldChar w:fldCharType="begin"/>
        </w:r>
        <w:r w:rsidR="002605D4">
          <w:rPr>
            <w:noProof/>
            <w:webHidden/>
          </w:rPr>
          <w:instrText xml:space="preserve"> PAGEREF _Toc157776706 \h </w:instrText>
        </w:r>
        <w:r w:rsidR="002605D4">
          <w:rPr>
            <w:noProof/>
            <w:webHidden/>
          </w:rPr>
        </w:r>
        <w:r w:rsidR="002605D4">
          <w:rPr>
            <w:noProof/>
            <w:webHidden/>
          </w:rPr>
          <w:fldChar w:fldCharType="separate"/>
        </w:r>
        <w:r w:rsidR="00ED2B78">
          <w:rPr>
            <w:noProof/>
            <w:webHidden/>
          </w:rPr>
          <w:t>17</w:t>
        </w:r>
        <w:r w:rsidR="002605D4">
          <w:rPr>
            <w:noProof/>
            <w:webHidden/>
          </w:rPr>
          <w:fldChar w:fldCharType="end"/>
        </w:r>
      </w:hyperlink>
    </w:p>
    <w:p w14:paraId="18CF96A9" w14:textId="519EB842" w:rsidR="002605D4" w:rsidRDefault="00000000">
      <w:pPr>
        <w:pStyle w:val="TOC1"/>
        <w:rPr>
          <w:rFonts w:asciiTheme="minorHAnsi" w:eastAsiaTheme="minorEastAsia" w:hAnsiTheme="minorHAnsi"/>
          <w:b w:val="0"/>
          <w:noProof/>
          <w:color w:val="auto"/>
          <w:kern w:val="2"/>
          <w:sz w:val="22"/>
          <w:lang w:eastAsia="en-AU"/>
          <w14:ligatures w14:val="standardContextual"/>
        </w:rPr>
      </w:pPr>
      <w:hyperlink w:anchor="_Toc157776707" w:history="1">
        <w:r w:rsidR="002605D4" w:rsidRPr="00F61880">
          <w:rPr>
            <w:rStyle w:val="Hyperlink"/>
            <w:noProof/>
          </w:rPr>
          <w:t>6</w:t>
        </w:r>
        <w:r w:rsidR="002605D4">
          <w:rPr>
            <w:rFonts w:asciiTheme="minorHAnsi" w:eastAsiaTheme="minorEastAsia" w:hAnsiTheme="minorHAnsi"/>
            <w:b w:val="0"/>
            <w:noProof/>
            <w:color w:val="auto"/>
            <w:kern w:val="2"/>
            <w:sz w:val="22"/>
            <w:lang w:eastAsia="en-AU"/>
            <w14:ligatures w14:val="standardContextual"/>
          </w:rPr>
          <w:tab/>
        </w:r>
        <w:r w:rsidR="002605D4" w:rsidRPr="00F61880">
          <w:rPr>
            <w:rStyle w:val="Hyperlink"/>
            <w:noProof/>
          </w:rPr>
          <w:t>Western Australia</w:t>
        </w:r>
        <w:r w:rsidR="002605D4">
          <w:rPr>
            <w:noProof/>
            <w:webHidden/>
          </w:rPr>
          <w:tab/>
        </w:r>
        <w:r w:rsidR="002605D4">
          <w:rPr>
            <w:noProof/>
            <w:webHidden/>
          </w:rPr>
          <w:fldChar w:fldCharType="begin"/>
        </w:r>
        <w:r w:rsidR="002605D4">
          <w:rPr>
            <w:noProof/>
            <w:webHidden/>
          </w:rPr>
          <w:instrText xml:space="preserve"> PAGEREF _Toc157776707 \h </w:instrText>
        </w:r>
        <w:r w:rsidR="002605D4">
          <w:rPr>
            <w:noProof/>
            <w:webHidden/>
          </w:rPr>
        </w:r>
        <w:r w:rsidR="002605D4">
          <w:rPr>
            <w:noProof/>
            <w:webHidden/>
          </w:rPr>
          <w:fldChar w:fldCharType="separate"/>
        </w:r>
        <w:r w:rsidR="00ED2B78">
          <w:rPr>
            <w:noProof/>
            <w:webHidden/>
          </w:rPr>
          <w:t>19</w:t>
        </w:r>
        <w:r w:rsidR="002605D4">
          <w:rPr>
            <w:noProof/>
            <w:webHidden/>
          </w:rPr>
          <w:fldChar w:fldCharType="end"/>
        </w:r>
      </w:hyperlink>
    </w:p>
    <w:p w14:paraId="6ED39B32" w14:textId="5D0A6F12" w:rsidR="002605D4" w:rsidRDefault="00000000">
      <w:pPr>
        <w:pStyle w:val="TOC1"/>
        <w:rPr>
          <w:rFonts w:asciiTheme="minorHAnsi" w:eastAsiaTheme="minorEastAsia" w:hAnsiTheme="minorHAnsi"/>
          <w:b w:val="0"/>
          <w:noProof/>
          <w:color w:val="auto"/>
          <w:kern w:val="2"/>
          <w:sz w:val="22"/>
          <w:lang w:eastAsia="en-AU"/>
          <w14:ligatures w14:val="standardContextual"/>
        </w:rPr>
      </w:pPr>
      <w:hyperlink w:anchor="_Toc157776708" w:history="1">
        <w:r w:rsidR="002605D4" w:rsidRPr="00F61880">
          <w:rPr>
            <w:rStyle w:val="Hyperlink"/>
            <w:noProof/>
          </w:rPr>
          <w:t>7</w:t>
        </w:r>
        <w:r w:rsidR="002605D4">
          <w:rPr>
            <w:rFonts w:asciiTheme="minorHAnsi" w:eastAsiaTheme="minorEastAsia" w:hAnsiTheme="minorHAnsi"/>
            <w:b w:val="0"/>
            <w:noProof/>
            <w:color w:val="auto"/>
            <w:kern w:val="2"/>
            <w:sz w:val="22"/>
            <w:lang w:eastAsia="en-AU"/>
            <w14:ligatures w14:val="standardContextual"/>
          </w:rPr>
          <w:tab/>
        </w:r>
        <w:r w:rsidR="002605D4" w:rsidRPr="00F61880">
          <w:rPr>
            <w:rStyle w:val="Hyperlink"/>
            <w:noProof/>
          </w:rPr>
          <w:t>Tasmania</w:t>
        </w:r>
        <w:r w:rsidR="002605D4">
          <w:rPr>
            <w:noProof/>
            <w:webHidden/>
          </w:rPr>
          <w:tab/>
        </w:r>
        <w:r w:rsidR="002605D4">
          <w:rPr>
            <w:noProof/>
            <w:webHidden/>
          </w:rPr>
          <w:fldChar w:fldCharType="begin"/>
        </w:r>
        <w:r w:rsidR="002605D4">
          <w:rPr>
            <w:noProof/>
            <w:webHidden/>
          </w:rPr>
          <w:instrText xml:space="preserve"> PAGEREF _Toc157776708 \h </w:instrText>
        </w:r>
        <w:r w:rsidR="002605D4">
          <w:rPr>
            <w:noProof/>
            <w:webHidden/>
          </w:rPr>
        </w:r>
        <w:r w:rsidR="002605D4">
          <w:rPr>
            <w:noProof/>
            <w:webHidden/>
          </w:rPr>
          <w:fldChar w:fldCharType="separate"/>
        </w:r>
        <w:r w:rsidR="00ED2B78">
          <w:rPr>
            <w:noProof/>
            <w:webHidden/>
          </w:rPr>
          <w:t>21</w:t>
        </w:r>
        <w:r w:rsidR="002605D4">
          <w:rPr>
            <w:noProof/>
            <w:webHidden/>
          </w:rPr>
          <w:fldChar w:fldCharType="end"/>
        </w:r>
      </w:hyperlink>
    </w:p>
    <w:p w14:paraId="46F5CA25" w14:textId="54A41042" w:rsidR="002605D4" w:rsidRDefault="00000000">
      <w:pPr>
        <w:pStyle w:val="TOC1"/>
        <w:rPr>
          <w:rFonts w:asciiTheme="minorHAnsi" w:eastAsiaTheme="minorEastAsia" w:hAnsiTheme="minorHAnsi"/>
          <w:b w:val="0"/>
          <w:noProof/>
          <w:color w:val="auto"/>
          <w:kern w:val="2"/>
          <w:sz w:val="22"/>
          <w:lang w:eastAsia="en-AU"/>
          <w14:ligatures w14:val="standardContextual"/>
        </w:rPr>
      </w:pPr>
      <w:hyperlink w:anchor="_Toc157776709" w:history="1">
        <w:r w:rsidR="002605D4" w:rsidRPr="00F61880">
          <w:rPr>
            <w:rStyle w:val="Hyperlink"/>
            <w:noProof/>
          </w:rPr>
          <w:t>8</w:t>
        </w:r>
        <w:r w:rsidR="002605D4">
          <w:rPr>
            <w:rFonts w:asciiTheme="minorHAnsi" w:eastAsiaTheme="minorEastAsia" w:hAnsiTheme="minorHAnsi"/>
            <w:b w:val="0"/>
            <w:noProof/>
            <w:color w:val="auto"/>
            <w:kern w:val="2"/>
            <w:sz w:val="22"/>
            <w:lang w:eastAsia="en-AU"/>
            <w14:ligatures w14:val="standardContextual"/>
          </w:rPr>
          <w:tab/>
        </w:r>
        <w:r w:rsidR="002605D4" w:rsidRPr="00F61880">
          <w:rPr>
            <w:rStyle w:val="Hyperlink"/>
            <w:noProof/>
          </w:rPr>
          <w:t>Northern Territory</w:t>
        </w:r>
        <w:r w:rsidR="002605D4">
          <w:rPr>
            <w:noProof/>
            <w:webHidden/>
          </w:rPr>
          <w:tab/>
        </w:r>
        <w:r w:rsidR="002605D4">
          <w:rPr>
            <w:noProof/>
            <w:webHidden/>
          </w:rPr>
          <w:fldChar w:fldCharType="begin"/>
        </w:r>
        <w:r w:rsidR="002605D4">
          <w:rPr>
            <w:noProof/>
            <w:webHidden/>
          </w:rPr>
          <w:instrText xml:space="preserve"> PAGEREF _Toc157776709 \h </w:instrText>
        </w:r>
        <w:r w:rsidR="002605D4">
          <w:rPr>
            <w:noProof/>
            <w:webHidden/>
          </w:rPr>
        </w:r>
        <w:r w:rsidR="002605D4">
          <w:rPr>
            <w:noProof/>
            <w:webHidden/>
          </w:rPr>
          <w:fldChar w:fldCharType="separate"/>
        </w:r>
        <w:r w:rsidR="00ED2B78">
          <w:rPr>
            <w:noProof/>
            <w:webHidden/>
          </w:rPr>
          <w:t>23</w:t>
        </w:r>
        <w:r w:rsidR="002605D4">
          <w:rPr>
            <w:noProof/>
            <w:webHidden/>
          </w:rPr>
          <w:fldChar w:fldCharType="end"/>
        </w:r>
      </w:hyperlink>
    </w:p>
    <w:p w14:paraId="5E58C661" w14:textId="5784D7F1" w:rsidR="002605D4" w:rsidRDefault="00000000">
      <w:pPr>
        <w:pStyle w:val="TOC1"/>
        <w:rPr>
          <w:rFonts w:asciiTheme="minorHAnsi" w:eastAsiaTheme="minorEastAsia" w:hAnsiTheme="minorHAnsi"/>
          <w:b w:val="0"/>
          <w:noProof/>
          <w:color w:val="auto"/>
          <w:kern w:val="2"/>
          <w:sz w:val="22"/>
          <w:lang w:eastAsia="en-AU"/>
          <w14:ligatures w14:val="standardContextual"/>
        </w:rPr>
      </w:pPr>
      <w:hyperlink w:anchor="_Toc157776710" w:history="1">
        <w:r w:rsidR="002605D4" w:rsidRPr="00F61880">
          <w:rPr>
            <w:rStyle w:val="Hyperlink"/>
            <w:noProof/>
          </w:rPr>
          <w:t>9</w:t>
        </w:r>
        <w:r w:rsidR="002605D4">
          <w:rPr>
            <w:rFonts w:asciiTheme="minorHAnsi" w:eastAsiaTheme="minorEastAsia" w:hAnsiTheme="minorHAnsi"/>
            <w:b w:val="0"/>
            <w:noProof/>
            <w:color w:val="auto"/>
            <w:kern w:val="2"/>
            <w:sz w:val="22"/>
            <w:lang w:eastAsia="en-AU"/>
            <w14:ligatures w14:val="standardContextual"/>
          </w:rPr>
          <w:tab/>
        </w:r>
        <w:r w:rsidR="002605D4" w:rsidRPr="00F61880">
          <w:rPr>
            <w:rStyle w:val="Hyperlink"/>
            <w:noProof/>
          </w:rPr>
          <w:t>Australian Capital Territory</w:t>
        </w:r>
        <w:r w:rsidR="002605D4">
          <w:rPr>
            <w:noProof/>
            <w:webHidden/>
          </w:rPr>
          <w:tab/>
        </w:r>
        <w:r w:rsidR="002605D4">
          <w:rPr>
            <w:noProof/>
            <w:webHidden/>
          </w:rPr>
          <w:fldChar w:fldCharType="begin"/>
        </w:r>
        <w:r w:rsidR="002605D4">
          <w:rPr>
            <w:noProof/>
            <w:webHidden/>
          </w:rPr>
          <w:instrText xml:space="preserve"> PAGEREF _Toc157776710 \h </w:instrText>
        </w:r>
        <w:r w:rsidR="002605D4">
          <w:rPr>
            <w:noProof/>
            <w:webHidden/>
          </w:rPr>
        </w:r>
        <w:r w:rsidR="002605D4">
          <w:rPr>
            <w:noProof/>
            <w:webHidden/>
          </w:rPr>
          <w:fldChar w:fldCharType="separate"/>
        </w:r>
        <w:r w:rsidR="00ED2B78">
          <w:rPr>
            <w:noProof/>
            <w:webHidden/>
          </w:rPr>
          <w:t>25</w:t>
        </w:r>
        <w:r w:rsidR="002605D4">
          <w:rPr>
            <w:noProof/>
            <w:webHidden/>
          </w:rPr>
          <w:fldChar w:fldCharType="end"/>
        </w:r>
      </w:hyperlink>
    </w:p>
    <w:p w14:paraId="0EBF6862" w14:textId="74498FFB" w:rsidR="002605D4" w:rsidRDefault="00000000">
      <w:pPr>
        <w:pStyle w:val="TOC1"/>
        <w:rPr>
          <w:rFonts w:asciiTheme="minorHAnsi" w:eastAsiaTheme="minorEastAsia" w:hAnsiTheme="minorHAnsi"/>
          <w:b w:val="0"/>
          <w:noProof/>
          <w:color w:val="auto"/>
          <w:kern w:val="2"/>
          <w:sz w:val="22"/>
          <w:lang w:eastAsia="en-AU"/>
          <w14:ligatures w14:val="standardContextual"/>
        </w:rPr>
      </w:pPr>
      <w:hyperlink w:anchor="_Toc157776711" w:history="1">
        <w:r w:rsidR="002605D4" w:rsidRPr="00F61880">
          <w:rPr>
            <w:rStyle w:val="Hyperlink"/>
            <w:noProof/>
          </w:rPr>
          <w:t>10</w:t>
        </w:r>
        <w:r w:rsidR="002605D4">
          <w:rPr>
            <w:rFonts w:asciiTheme="minorHAnsi" w:eastAsiaTheme="minorEastAsia" w:hAnsiTheme="minorHAnsi"/>
            <w:b w:val="0"/>
            <w:noProof/>
            <w:color w:val="auto"/>
            <w:kern w:val="2"/>
            <w:sz w:val="22"/>
            <w:lang w:eastAsia="en-AU"/>
            <w14:ligatures w14:val="standardContextual"/>
          </w:rPr>
          <w:tab/>
        </w:r>
        <w:r w:rsidR="002605D4" w:rsidRPr="00F61880">
          <w:rPr>
            <w:rStyle w:val="Hyperlink"/>
            <w:noProof/>
          </w:rPr>
          <w:t>Recommendations</w:t>
        </w:r>
        <w:r w:rsidR="002605D4">
          <w:rPr>
            <w:noProof/>
            <w:webHidden/>
          </w:rPr>
          <w:tab/>
        </w:r>
        <w:r w:rsidR="002605D4">
          <w:rPr>
            <w:noProof/>
            <w:webHidden/>
          </w:rPr>
          <w:fldChar w:fldCharType="begin"/>
        </w:r>
        <w:r w:rsidR="002605D4">
          <w:rPr>
            <w:noProof/>
            <w:webHidden/>
          </w:rPr>
          <w:instrText xml:space="preserve"> PAGEREF _Toc157776711 \h </w:instrText>
        </w:r>
        <w:r w:rsidR="002605D4">
          <w:rPr>
            <w:noProof/>
            <w:webHidden/>
          </w:rPr>
        </w:r>
        <w:r w:rsidR="002605D4">
          <w:rPr>
            <w:noProof/>
            <w:webHidden/>
          </w:rPr>
          <w:fldChar w:fldCharType="separate"/>
        </w:r>
        <w:r w:rsidR="00ED2B78">
          <w:rPr>
            <w:noProof/>
            <w:webHidden/>
          </w:rPr>
          <w:t>27</w:t>
        </w:r>
        <w:r w:rsidR="002605D4">
          <w:rPr>
            <w:noProof/>
            <w:webHidden/>
          </w:rPr>
          <w:fldChar w:fldCharType="end"/>
        </w:r>
      </w:hyperlink>
    </w:p>
    <w:p w14:paraId="78196B22" w14:textId="601435B7" w:rsidR="009719D4" w:rsidRPr="00E96C8D" w:rsidRDefault="009719D4" w:rsidP="00C51DDF">
      <w:r w:rsidRPr="00E96C8D">
        <w:fldChar w:fldCharType="end"/>
      </w:r>
      <w:r w:rsidRPr="00E96C8D">
        <w:br w:type="page"/>
      </w:r>
    </w:p>
    <w:p w14:paraId="589E4E9E" w14:textId="0825C53B" w:rsidR="00586D88" w:rsidRPr="00E96C8D" w:rsidRDefault="000B0298" w:rsidP="00AB1521">
      <w:pPr>
        <w:pStyle w:val="Heading1"/>
      </w:pPr>
      <w:bookmarkStart w:id="0" w:name="_Toc154128590"/>
      <w:bookmarkStart w:id="1" w:name="_Toc155357336"/>
      <w:bookmarkStart w:id="2" w:name="_Toc153890134"/>
      <w:bookmarkStart w:id="3" w:name="_Toc157776702"/>
      <w:bookmarkEnd w:id="0"/>
      <w:bookmarkEnd w:id="1"/>
      <w:r w:rsidRPr="00E96C8D">
        <w:lastRenderedPageBreak/>
        <w:t>Executive Summary</w:t>
      </w:r>
      <w:bookmarkEnd w:id="2"/>
      <w:bookmarkEnd w:id="3"/>
    </w:p>
    <w:p w14:paraId="175FDBA8" w14:textId="45578DE2" w:rsidR="00DE1CC1" w:rsidRPr="00E96C8D" w:rsidRDefault="00DE1CC1" w:rsidP="003C21B3">
      <w:pPr>
        <w:pStyle w:val="Heading2"/>
      </w:pPr>
      <w:bookmarkStart w:id="4" w:name="_Toc153890135"/>
      <w:r w:rsidRPr="00E96C8D">
        <w:t>Introduction</w:t>
      </w:r>
      <w:bookmarkEnd w:id="4"/>
    </w:p>
    <w:p w14:paraId="23E46616" w14:textId="009E0C74" w:rsidR="00837BCC" w:rsidRDefault="004617A1" w:rsidP="004617A1">
      <w:r>
        <w:t xml:space="preserve">The National Hospital Cost Data Collection (NHCDC) is the annual collection of public hospital costing data and is the primary data collection used to inform the development of the national efficient price (NEP). </w:t>
      </w:r>
      <w:r w:rsidR="00E64F6B">
        <w:t xml:space="preserve">In </w:t>
      </w:r>
      <w:r>
        <w:t>2021-22,</w:t>
      </w:r>
      <w:r w:rsidR="00E64F6B">
        <w:t xml:space="preserve"> </w:t>
      </w:r>
      <w:r>
        <w:t xml:space="preserve">NHCDC cost data was submitted from </w:t>
      </w:r>
      <w:r w:rsidR="009026F2">
        <w:t>667</w:t>
      </w:r>
      <w:r>
        <w:t xml:space="preserve"> hospitals </w:t>
      </w:r>
      <w:r w:rsidR="00E64F6B">
        <w:t xml:space="preserve">(including health entities) </w:t>
      </w:r>
      <w:r>
        <w:t>across all jurisdictions.</w:t>
      </w:r>
    </w:p>
    <w:p w14:paraId="0AD7287A" w14:textId="482B5407" w:rsidR="00837BCC" w:rsidRDefault="002F247C" w:rsidP="004617A1">
      <w:r>
        <w:t xml:space="preserve">To ensure that the quality of NHCDC data is robust and fit-for-purpose, the Independent </w:t>
      </w:r>
      <w:proofErr w:type="gramStart"/>
      <w:r>
        <w:t>Health</w:t>
      </w:r>
      <w:proofErr w:type="gramEnd"/>
      <w:r>
        <w:t xml:space="preserve"> and Aged Care Pricing Authority (IHACPA) commissions an annual validation process to verify that jurisdictions included appropriate costs and patient activity.</w:t>
      </w:r>
      <w:r w:rsidR="00B76B27">
        <w:t xml:space="preserve"> </w:t>
      </w:r>
    </w:p>
    <w:p w14:paraId="549D2D96" w14:textId="4B7493EF" w:rsidR="00C64CDC" w:rsidRDefault="002F247C" w:rsidP="007E6588">
      <w:pPr>
        <w:rPr>
          <w:rFonts w:eastAsia="Fira Sans regular" w:cs="Times New Roman"/>
        </w:rPr>
      </w:pPr>
      <w:r>
        <w:t xml:space="preserve">IHACPA engaged </w:t>
      </w:r>
      <w:r w:rsidR="004617A1">
        <w:t xml:space="preserve">Paxon Consulting to undertake </w:t>
      </w:r>
      <w:r>
        <w:t>the NHCDC Public Sector Review 2021-22</w:t>
      </w:r>
      <w:r w:rsidR="006C40F2">
        <w:t xml:space="preserve">. </w:t>
      </w:r>
      <w:r w:rsidR="00FF2532">
        <w:t>The objective</w:t>
      </w:r>
      <w:r w:rsidR="00C157A2">
        <w:t>s</w:t>
      </w:r>
      <w:r w:rsidR="00FF2532">
        <w:t xml:space="preserve"> of the review </w:t>
      </w:r>
      <w:r w:rsidR="00C157A2">
        <w:t>were</w:t>
      </w:r>
      <w:r w:rsidR="00FF2532">
        <w:t xml:space="preserve"> to </w:t>
      </w:r>
      <w:r w:rsidR="00D1545D">
        <w:t>c</w:t>
      </w:r>
      <w:r w:rsidR="004617A1" w:rsidRPr="044FA469">
        <w:rPr>
          <w:rFonts w:eastAsia="Fira Sans regular" w:cs="Times New Roman"/>
        </w:rPr>
        <w:t xml:space="preserve">onfirm that jurisdictions correctly applied </w:t>
      </w:r>
      <w:r w:rsidR="00F44B59" w:rsidRPr="044FA469">
        <w:rPr>
          <w:rFonts w:eastAsia="Fira Sans regular" w:cs="Times New Roman"/>
        </w:rPr>
        <w:t xml:space="preserve">version 4.1 of </w:t>
      </w:r>
      <w:r w:rsidR="004617A1" w:rsidRPr="044FA469">
        <w:rPr>
          <w:rFonts w:eastAsia="Fira Sans regular" w:cs="Times New Roman"/>
        </w:rPr>
        <w:t>the Australian Hospital Patient Costing Standards (AHPCS)</w:t>
      </w:r>
      <w:r w:rsidR="00C157A2" w:rsidRPr="044FA469">
        <w:rPr>
          <w:rFonts w:eastAsia="Fira Sans regular" w:cs="Times New Roman"/>
        </w:rPr>
        <w:t>, ensure the general ledger reconciled with the submitted cost data,</w:t>
      </w:r>
      <w:r w:rsidR="00D1545D" w:rsidRPr="044FA469">
        <w:rPr>
          <w:rFonts w:eastAsia="Fira Sans regular" w:cs="Times New Roman"/>
        </w:rPr>
        <w:t xml:space="preserve"> and </w:t>
      </w:r>
      <w:r w:rsidR="007E6588" w:rsidRPr="044FA469">
        <w:rPr>
          <w:rFonts w:eastAsia="Fira Sans regular" w:cs="Times New Roman"/>
        </w:rPr>
        <w:t xml:space="preserve">consult </w:t>
      </w:r>
      <w:r w:rsidR="004617A1" w:rsidRPr="044FA469">
        <w:rPr>
          <w:rFonts w:eastAsia="Fira Sans regular" w:cs="Times New Roman"/>
        </w:rPr>
        <w:t>jurisdictions on the future</w:t>
      </w:r>
      <w:r w:rsidR="040250B5" w:rsidRPr="044FA469">
        <w:rPr>
          <w:rFonts w:eastAsia="Fira Sans regular" w:cs="Times New Roman"/>
        </w:rPr>
        <w:t xml:space="preserve"> of the</w:t>
      </w:r>
      <w:r w:rsidR="004617A1" w:rsidRPr="044FA469">
        <w:rPr>
          <w:rFonts w:eastAsia="Fira Sans regular" w:cs="Times New Roman"/>
        </w:rPr>
        <w:t xml:space="preserve"> independent financial review (IFR).</w:t>
      </w:r>
    </w:p>
    <w:p w14:paraId="68386221" w14:textId="4CC8C7DD" w:rsidR="00C64CDC" w:rsidRPr="00C64CDC" w:rsidRDefault="00C64CDC" w:rsidP="00C64CDC">
      <w:pPr>
        <w:rPr>
          <w:rFonts w:eastAsia="Fira Sans regular" w:cs="Times New Roman"/>
        </w:rPr>
      </w:pPr>
      <w:r w:rsidRPr="044FA469">
        <w:rPr>
          <w:rFonts w:eastAsia="Fira Sans regular" w:cs="Times New Roman"/>
        </w:rPr>
        <w:t>The AHPCS provide</w:t>
      </w:r>
      <w:r w:rsidR="009E4F94" w:rsidRPr="044FA469">
        <w:rPr>
          <w:rFonts w:eastAsia="Fira Sans regular" w:cs="Times New Roman"/>
        </w:rPr>
        <w:t>s</w:t>
      </w:r>
      <w:r w:rsidRPr="044FA469">
        <w:rPr>
          <w:rFonts w:eastAsia="Fira Sans regular" w:cs="Times New Roman"/>
        </w:rPr>
        <w:t xml:space="preserve"> direction </w:t>
      </w:r>
      <w:r w:rsidR="5124EF58" w:rsidRPr="044FA469">
        <w:rPr>
          <w:rFonts w:eastAsia="Fira Sans regular" w:cs="Times New Roman"/>
        </w:rPr>
        <w:t xml:space="preserve">to costing </w:t>
      </w:r>
      <w:r w:rsidR="003D5C48" w:rsidRPr="044FA469">
        <w:rPr>
          <w:rFonts w:eastAsia="Fira Sans regular" w:cs="Times New Roman"/>
        </w:rPr>
        <w:t>practitioners</w:t>
      </w:r>
      <w:r w:rsidRPr="044FA469">
        <w:rPr>
          <w:rFonts w:eastAsia="Fira Sans regular" w:cs="Times New Roman"/>
        </w:rPr>
        <w:t xml:space="preserve"> through the development of standards for specific elements of the costing process and reporting requirements. The AHPCS Version 4.1 is comprised of:</w:t>
      </w:r>
    </w:p>
    <w:p w14:paraId="561969A6" w14:textId="31A17CCF" w:rsidR="00C64CDC" w:rsidRPr="005F05EB" w:rsidRDefault="00C64CDC" w:rsidP="005F05EB">
      <w:pPr>
        <w:pStyle w:val="ListParagraph"/>
        <w:numPr>
          <w:ilvl w:val="0"/>
          <w:numId w:val="155"/>
        </w:numPr>
        <w:rPr>
          <w:rFonts w:eastAsia="Fira Sans regular" w:cs="Times New Roman"/>
        </w:rPr>
      </w:pPr>
      <w:r w:rsidRPr="005F05EB">
        <w:rPr>
          <w:rFonts w:eastAsia="Fira Sans regular" w:cs="Times New Roman"/>
        </w:rPr>
        <w:t>Part 1: Standards – provides costing principles.</w:t>
      </w:r>
    </w:p>
    <w:p w14:paraId="27F6E118" w14:textId="4F6085B0" w:rsidR="00C64CDC" w:rsidRPr="005F05EB" w:rsidRDefault="00C64CDC" w:rsidP="005F05EB">
      <w:pPr>
        <w:pStyle w:val="ListParagraph"/>
        <w:numPr>
          <w:ilvl w:val="0"/>
          <w:numId w:val="155"/>
        </w:numPr>
        <w:rPr>
          <w:rFonts w:eastAsia="Fira Sans regular" w:cs="Times New Roman"/>
        </w:rPr>
      </w:pPr>
      <w:r w:rsidRPr="005F05EB">
        <w:rPr>
          <w:rFonts w:eastAsia="Fira Sans regular" w:cs="Times New Roman"/>
        </w:rPr>
        <w:t>Part 2: Business Rules – provides practical guidance on how Standards are translated into action.</w:t>
      </w:r>
    </w:p>
    <w:p w14:paraId="31A090F3" w14:textId="0C70980C" w:rsidR="00C64CDC" w:rsidRDefault="00C64CDC" w:rsidP="00C64CDC">
      <w:pPr>
        <w:pStyle w:val="ListParagraph"/>
        <w:numPr>
          <w:ilvl w:val="0"/>
          <w:numId w:val="155"/>
        </w:numPr>
        <w:rPr>
          <w:rFonts w:eastAsia="Fira Sans regular" w:cs="Times New Roman"/>
        </w:rPr>
      </w:pPr>
      <w:r w:rsidRPr="005F05EB">
        <w:rPr>
          <w:rFonts w:eastAsia="Fira Sans regular" w:cs="Times New Roman"/>
        </w:rPr>
        <w:t xml:space="preserve">Part 3: Costing Guidelines – provides step-by-step guidance on how to cost </w:t>
      </w:r>
      <w:r w:rsidR="009E4F94" w:rsidRPr="009E4F94">
        <w:rPr>
          <w:rFonts w:eastAsia="Fira Sans regular" w:cs="Times New Roman"/>
        </w:rPr>
        <w:t>services</w:t>
      </w:r>
      <w:r w:rsidRPr="005F05EB">
        <w:rPr>
          <w:rFonts w:eastAsia="Fira Sans regular" w:cs="Times New Roman"/>
        </w:rPr>
        <w:t>.</w:t>
      </w:r>
    </w:p>
    <w:p w14:paraId="16FB4A5B" w14:textId="3FC36924" w:rsidR="00DE1CC1" w:rsidRPr="00E96C8D" w:rsidRDefault="004617A1" w:rsidP="003C21B3">
      <w:pPr>
        <w:pStyle w:val="Heading2"/>
      </w:pPr>
      <w:r w:rsidRPr="00E96C8D">
        <w:t xml:space="preserve"> </w:t>
      </w:r>
      <w:bookmarkStart w:id="5" w:name="_Toc153890136"/>
      <w:r w:rsidR="00DE1CC1" w:rsidRPr="00E96C8D">
        <w:t>Process</w:t>
      </w:r>
      <w:bookmarkEnd w:id="5"/>
    </w:p>
    <w:p w14:paraId="40F3EE7C" w14:textId="7B7706C3" w:rsidR="003C21B3" w:rsidRDefault="003C21B3" w:rsidP="008C27B0">
      <w:pPr>
        <w:spacing w:after="120"/>
        <w:rPr>
          <w:rFonts w:eastAsia="Fira Sans regular" w:cs="Times New Roman"/>
        </w:rPr>
      </w:pPr>
      <w:r>
        <w:rPr>
          <w:rFonts w:eastAsia="Fira Sans regular" w:cs="Times New Roman"/>
        </w:rPr>
        <w:t xml:space="preserve">The </w:t>
      </w:r>
      <w:r w:rsidRPr="002F247C">
        <w:t>NHCDC Public Sector Review 2021-22</w:t>
      </w:r>
      <w:r>
        <w:t xml:space="preserve"> was delivered in </w:t>
      </w:r>
      <w:r w:rsidR="00EF43FD">
        <w:t>3</w:t>
      </w:r>
      <w:r>
        <w:t xml:space="preserve"> key phases as outlined below</w:t>
      </w:r>
      <w:r w:rsidR="00FC6201">
        <w:t>:</w:t>
      </w:r>
    </w:p>
    <w:p w14:paraId="0C546A50" w14:textId="2A110A5A" w:rsidR="003C21B3" w:rsidRPr="006C40F2" w:rsidRDefault="003C21B3" w:rsidP="008C27B0">
      <w:pPr>
        <w:pStyle w:val="ListParagraph"/>
        <w:numPr>
          <w:ilvl w:val="0"/>
          <w:numId w:val="165"/>
        </w:numPr>
        <w:spacing w:after="120"/>
        <w:ind w:left="714" w:hanging="357"/>
        <w:rPr>
          <w:rFonts w:eastAsia="Fira Sans regular" w:cs="Times New Roman"/>
        </w:rPr>
      </w:pPr>
      <w:r w:rsidRPr="044FA469">
        <w:rPr>
          <w:rFonts w:eastAsia="Fira Sans regular" w:cs="Times New Roman"/>
        </w:rPr>
        <w:t>Phase 1: Desktop Review - Review the NHCDC Public Sector Submissions 2021-22, Data Quality Statements 2021-22, Self-Assessments 2021-22, and the 2020-21 Independent Financial Review (IFR)</w:t>
      </w:r>
      <w:r w:rsidR="634031E9" w:rsidRPr="044FA469">
        <w:rPr>
          <w:rFonts w:eastAsia="Fira Sans regular" w:cs="Times New Roman"/>
        </w:rPr>
        <w:t xml:space="preserve"> findings</w:t>
      </w:r>
      <w:r w:rsidRPr="044FA469">
        <w:rPr>
          <w:rFonts w:eastAsia="Fira Sans regular" w:cs="Times New Roman"/>
        </w:rPr>
        <w:t>.</w:t>
      </w:r>
    </w:p>
    <w:p w14:paraId="40FF9790" w14:textId="0658D8FC" w:rsidR="003C21B3" w:rsidRPr="006C40F2" w:rsidRDefault="003C21B3">
      <w:pPr>
        <w:pStyle w:val="ListParagraph"/>
        <w:numPr>
          <w:ilvl w:val="0"/>
          <w:numId w:val="165"/>
        </w:numPr>
        <w:spacing w:before="360" w:after="120"/>
        <w:rPr>
          <w:rFonts w:eastAsia="Fira Sans regular" w:cs="Times New Roman"/>
          <w:color w:val="15272F" w:themeColor="accent1"/>
        </w:rPr>
      </w:pPr>
      <w:r w:rsidRPr="044FA469">
        <w:rPr>
          <w:rFonts w:eastAsia="Fira Sans regular" w:cs="Times New Roman"/>
        </w:rPr>
        <w:t xml:space="preserve">Phase 2: Development of Targeted Questions - Targeted questions were developed for each jurisdiction based on each stage of the AHPCS, the NHCDC Submission 2021-22, and general ledger reconciliation. This included constraints or limitations related to general ledger expenses, activity data, and allocation </w:t>
      </w:r>
      <w:r w:rsidR="00EA6AF6">
        <w:rPr>
          <w:rFonts w:eastAsia="Fira Sans regular" w:cs="Times New Roman"/>
        </w:rPr>
        <w:t xml:space="preserve">statistic </w:t>
      </w:r>
      <w:r w:rsidRPr="044FA469">
        <w:rPr>
          <w:rFonts w:eastAsia="Fira Sans regular" w:cs="Times New Roman"/>
        </w:rPr>
        <w:t xml:space="preserve">methodologies. </w:t>
      </w:r>
    </w:p>
    <w:p w14:paraId="38421EEB" w14:textId="7F5EA3E1" w:rsidR="003C21B3" w:rsidRPr="006C40F2" w:rsidRDefault="003C21B3" w:rsidP="006C40F2">
      <w:pPr>
        <w:pStyle w:val="ListParagraph"/>
        <w:numPr>
          <w:ilvl w:val="0"/>
          <w:numId w:val="165"/>
        </w:numPr>
        <w:spacing w:before="360" w:after="120"/>
        <w:rPr>
          <w:rFonts w:eastAsia="Fira Sans regular" w:cs="Times New Roman"/>
        </w:rPr>
      </w:pPr>
      <w:r w:rsidRPr="044FA469">
        <w:rPr>
          <w:rFonts w:eastAsia="Fira Sans regular" w:cs="Times New Roman"/>
        </w:rPr>
        <w:t xml:space="preserve">Phase 3: Bilateral Meetings - Consulted all states and territories on their application of each stage of the AHPCS, NHCDC Submission 2021-22, general </w:t>
      </w:r>
      <w:r w:rsidR="43E22387" w:rsidRPr="044FA469">
        <w:rPr>
          <w:rFonts w:eastAsia="Fira Sans regular" w:cs="Times New Roman"/>
        </w:rPr>
        <w:t xml:space="preserve">ledger </w:t>
      </w:r>
      <w:r w:rsidRPr="044FA469">
        <w:rPr>
          <w:rFonts w:eastAsia="Fira Sans regular" w:cs="Times New Roman"/>
        </w:rPr>
        <w:t>reconciliation to the NHCDC 2021-22, and purpose and scope of future IFRs.</w:t>
      </w:r>
    </w:p>
    <w:p w14:paraId="3E2758F2" w14:textId="686DA691" w:rsidR="00A8703E" w:rsidRPr="00E96C8D" w:rsidRDefault="00F56304" w:rsidP="00C51DDF">
      <w:r>
        <w:rPr>
          <w:rFonts w:eastAsia="Times New Roman"/>
        </w:rPr>
        <w:t>Q</w:t>
      </w:r>
      <w:r w:rsidR="003825F4">
        <w:t>uestions were</w:t>
      </w:r>
      <w:r w:rsidR="00225541">
        <w:t xml:space="preserve"> </w:t>
      </w:r>
      <w:r w:rsidR="00C224C2" w:rsidRPr="00E96C8D">
        <w:t xml:space="preserve">developed to guide </w:t>
      </w:r>
      <w:r w:rsidR="003825F4">
        <w:t xml:space="preserve">the bilateral meetings in line with the </w:t>
      </w:r>
      <w:r w:rsidR="00ED2B78">
        <w:t>6</w:t>
      </w:r>
      <w:r w:rsidR="003D5C48">
        <w:t xml:space="preserve"> </w:t>
      </w:r>
      <w:r w:rsidR="003D5C48" w:rsidRPr="00E96C8D">
        <w:t>stages</w:t>
      </w:r>
      <w:r w:rsidR="00C224C2" w:rsidRPr="00E96C8D">
        <w:t xml:space="preserve"> of </w:t>
      </w:r>
      <w:r w:rsidR="00E55C83">
        <w:t>the AHPCS</w:t>
      </w:r>
      <w:r w:rsidR="001342B4" w:rsidRPr="00E96C8D">
        <w:t xml:space="preserve">, as described </w:t>
      </w:r>
      <w:r w:rsidR="00E55C83" w:rsidRPr="008E644C">
        <w:rPr>
          <w:color w:val="auto"/>
        </w:rPr>
        <w:t xml:space="preserve">in </w:t>
      </w:r>
      <w:r w:rsidR="005773BD" w:rsidRPr="008E644C">
        <w:rPr>
          <w:color w:val="auto"/>
        </w:rPr>
        <w:fldChar w:fldCharType="begin"/>
      </w:r>
      <w:r w:rsidR="005773BD" w:rsidRPr="008E644C">
        <w:rPr>
          <w:color w:val="auto"/>
        </w:rPr>
        <w:instrText xml:space="preserve"> REF _Ref156565770 \h </w:instrText>
      </w:r>
      <w:r w:rsidR="005773BD" w:rsidRPr="008E644C">
        <w:rPr>
          <w:color w:val="auto"/>
        </w:rPr>
      </w:r>
      <w:r w:rsidR="005773BD" w:rsidRPr="008E644C">
        <w:rPr>
          <w:color w:val="auto"/>
        </w:rPr>
        <w:fldChar w:fldCharType="separate"/>
      </w:r>
      <w:r w:rsidR="00ED2B78" w:rsidRPr="00DC26B8">
        <w:t xml:space="preserve">Table </w:t>
      </w:r>
      <w:r w:rsidR="00ED2B78">
        <w:rPr>
          <w:noProof/>
        </w:rPr>
        <w:t>1</w:t>
      </w:r>
      <w:r w:rsidR="005773BD" w:rsidRPr="008E644C">
        <w:rPr>
          <w:color w:val="auto"/>
        </w:rPr>
        <w:fldChar w:fldCharType="end"/>
      </w:r>
      <w:r w:rsidR="005F7D8E" w:rsidRPr="008E644C">
        <w:rPr>
          <w:color w:val="auto"/>
        </w:rPr>
        <w:t>.</w:t>
      </w:r>
    </w:p>
    <w:p w14:paraId="1E6E03F7" w14:textId="7AAC4435" w:rsidR="008A1AA2" w:rsidRPr="00DC26B8" w:rsidRDefault="00DC26B8" w:rsidP="00D33FBA">
      <w:pPr>
        <w:pStyle w:val="TableFigureheading"/>
      </w:pPr>
      <w:bookmarkStart w:id="6" w:name="_Ref156565770"/>
      <w:bookmarkStart w:id="7" w:name="_Ref153916287"/>
      <w:r w:rsidRPr="00DC26B8">
        <w:lastRenderedPageBreak/>
        <w:t xml:space="preserve">Table </w:t>
      </w:r>
      <w:r w:rsidRPr="00DC26B8">
        <w:fldChar w:fldCharType="begin"/>
      </w:r>
      <w:r w:rsidRPr="00DC26B8">
        <w:instrText xml:space="preserve"> SEQ Table \* ARABIC </w:instrText>
      </w:r>
      <w:r w:rsidRPr="00DC26B8">
        <w:fldChar w:fldCharType="separate"/>
      </w:r>
      <w:r w:rsidR="00ED2B78">
        <w:rPr>
          <w:noProof/>
        </w:rPr>
        <w:t>1</w:t>
      </w:r>
      <w:r w:rsidRPr="00DC26B8">
        <w:fldChar w:fldCharType="end"/>
      </w:r>
      <w:bookmarkEnd w:id="6"/>
      <w:r>
        <w:t xml:space="preserve">: </w:t>
      </w:r>
      <w:bookmarkEnd w:id="7"/>
      <w:r w:rsidR="008A1AA2" w:rsidRPr="00DC26B8">
        <w:t xml:space="preserve">Jurisdictional </w:t>
      </w:r>
      <w:r w:rsidR="00DB5849" w:rsidRPr="00DC26B8">
        <w:t>r</w:t>
      </w:r>
      <w:r w:rsidR="008A1AA2" w:rsidRPr="00DC26B8">
        <w:t xml:space="preserve">eview </w:t>
      </w:r>
      <w:r w:rsidR="00DB5849" w:rsidRPr="00DC26B8">
        <w:t>t</w:t>
      </w:r>
      <w:r w:rsidR="008A1AA2" w:rsidRPr="00DC26B8">
        <w:t>hemes</w:t>
      </w:r>
    </w:p>
    <w:tbl>
      <w:tblPr>
        <w:tblStyle w:val="ListTable3-Accent2"/>
        <w:tblW w:w="10060" w:type="dxa"/>
        <w:tblLayout w:type="fixed"/>
        <w:tblLook w:val="0020" w:firstRow="1" w:lastRow="0" w:firstColumn="0" w:lastColumn="0" w:noHBand="0" w:noVBand="0"/>
      </w:tblPr>
      <w:tblGrid>
        <w:gridCol w:w="1696"/>
        <w:gridCol w:w="3389"/>
        <w:gridCol w:w="4975"/>
      </w:tblGrid>
      <w:tr w:rsidR="00DA7F79" w:rsidRPr="00E96C8D" w14:paraId="604E2983" w14:textId="77777777" w:rsidTr="007F2876">
        <w:trPr>
          <w:cnfStyle w:val="100000000000" w:firstRow="1" w:lastRow="0" w:firstColumn="0" w:lastColumn="0" w:oddVBand="0" w:evenVBand="0" w:oddHBand="0" w:evenHBand="0" w:firstRowFirstColumn="0" w:firstRowLastColumn="0" w:lastRowFirstColumn="0" w:lastRowLastColumn="0"/>
          <w:trHeight w:val="20"/>
          <w:tblHeader/>
        </w:trPr>
        <w:tc>
          <w:tcPr>
            <w:cnfStyle w:val="000010000000" w:firstRow="0" w:lastRow="0" w:firstColumn="0" w:lastColumn="0" w:oddVBand="1" w:evenVBand="0" w:oddHBand="0" w:evenHBand="0" w:firstRowFirstColumn="0" w:firstRowLastColumn="0" w:lastRowFirstColumn="0" w:lastRowLastColumn="0"/>
            <w:tcW w:w="1696" w:type="dxa"/>
            <w:shd w:val="clear" w:color="auto" w:fill="379887" w:themeFill="accent5" w:themeFillShade="BF"/>
          </w:tcPr>
          <w:p w14:paraId="7D9AED00" w14:textId="77777777" w:rsidR="00DA7F79" w:rsidRPr="005F05EB" w:rsidRDefault="00DA7F79" w:rsidP="002D0BE5">
            <w:pPr>
              <w:spacing w:before="120" w:after="120"/>
              <w:rPr>
                <w:b w:val="0"/>
                <w:bCs w:val="0"/>
                <w:color w:val="FFFFFF" w:themeColor="background2"/>
                <w:sz w:val="20"/>
                <w:szCs w:val="20"/>
              </w:rPr>
            </w:pPr>
            <w:bookmarkStart w:id="8" w:name="_Hlk151029629"/>
            <w:r w:rsidRPr="005F05EB">
              <w:rPr>
                <w:color w:val="FFFFFF" w:themeColor="background2"/>
                <w:sz w:val="20"/>
                <w:szCs w:val="20"/>
              </w:rPr>
              <w:t>Costing Stage</w:t>
            </w:r>
          </w:p>
        </w:tc>
        <w:tc>
          <w:tcPr>
            <w:tcW w:w="3389" w:type="dxa"/>
            <w:shd w:val="clear" w:color="auto" w:fill="379887" w:themeFill="accent5" w:themeFillShade="BF"/>
          </w:tcPr>
          <w:p w14:paraId="3B8303C6" w14:textId="1E6ED686" w:rsidR="00DA7F79" w:rsidRPr="005F05EB" w:rsidRDefault="00DA7F79" w:rsidP="002D0BE5">
            <w:pPr>
              <w:spacing w:before="120" w:after="120"/>
              <w:cnfStyle w:val="100000000000" w:firstRow="1" w:lastRow="0" w:firstColumn="0" w:lastColumn="0" w:oddVBand="0" w:evenVBand="0" w:oddHBand="0" w:evenHBand="0" w:firstRowFirstColumn="0" w:firstRowLastColumn="0" w:lastRowFirstColumn="0" w:lastRowLastColumn="0"/>
              <w:rPr>
                <w:b w:val="0"/>
                <w:color w:val="1C1C1C"/>
                <w:sz w:val="20"/>
                <w:szCs w:val="20"/>
              </w:rPr>
            </w:pPr>
            <w:r>
              <w:rPr>
                <w:color w:val="FFFFFF" w:themeColor="background2"/>
                <w:sz w:val="20"/>
                <w:szCs w:val="20"/>
              </w:rPr>
              <w:t>Description</w:t>
            </w:r>
          </w:p>
        </w:tc>
        <w:tc>
          <w:tcPr>
            <w:cnfStyle w:val="000010000000" w:firstRow="0" w:lastRow="0" w:firstColumn="0" w:lastColumn="0" w:oddVBand="1" w:evenVBand="0" w:oddHBand="0" w:evenHBand="0" w:firstRowFirstColumn="0" w:firstRowLastColumn="0" w:lastRowFirstColumn="0" w:lastRowLastColumn="0"/>
            <w:tcW w:w="4975" w:type="dxa"/>
            <w:shd w:val="clear" w:color="auto" w:fill="379887" w:themeFill="accent5" w:themeFillShade="BF"/>
          </w:tcPr>
          <w:p w14:paraId="78834DD7" w14:textId="77777777" w:rsidR="00DA7F79" w:rsidRPr="005F05EB" w:rsidRDefault="00DA7F79" w:rsidP="002D0BE5">
            <w:pPr>
              <w:spacing w:before="120" w:after="120"/>
              <w:rPr>
                <w:b w:val="0"/>
                <w:bCs w:val="0"/>
                <w:color w:val="FFFFFF" w:themeColor="background2"/>
                <w:sz w:val="20"/>
                <w:szCs w:val="20"/>
              </w:rPr>
            </w:pPr>
            <w:r w:rsidRPr="005F05EB">
              <w:rPr>
                <w:color w:val="FFFFFF" w:themeColor="background2"/>
                <w:sz w:val="20"/>
                <w:szCs w:val="20"/>
              </w:rPr>
              <w:t>Finding</w:t>
            </w:r>
          </w:p>
        </w:tc>
      </w:tr>
      <w:tr w:rsidR="00DA7F79" w:rsidRPr="00F56304" w14:paraId="21BD483E" w14:textId="77777777" w:rsidTr="007F2876">
        <w:trPr>
          <w:cnfStyle w:val="000000100000" w:firstRow="0" w:lastRow="0" w:firstColumn="0" w:lastColumn="0" w:oddVBand="0" w:evenVBand="0" w:oddHBand="1" w:evenHBand="0" w:firstRowFirstColumn="0" w:firstRowLastColumn="0" w:lastRowFirstColumn="0" w:lastRowLastColumn="0"/>
          <w:trHeight w:val="486"/>
        </w:trPr>
        <w:tc>
          <w:tcPr>
            <w:cnfStyle w:val="000010000000" w:firstRow="0" w:lastRow="0" w:firstColumn="0" w:lastColumn="0" w:oddVBand="1" w:evenVBand="0" w:oddHBand="0" w:evenHBand="0" w:firstRowFirstColumn="0" w:firstRowLastColumn="0" w:lastRowFirstColumn="0" w:lastRowLastColumn="0"/>
            <w:tcW w:w="1696" w:type="dxa"/>
            <w:vAlign w:val="center"/>
          </w:tcPr>
          <w:p w14:paraId="319B82E6" w14:textId="77777777" w:rsidR="00DA7F79" w:rsidRPr="00F56304" w:rsidRDefault="00DA7F79" w:rsidP="00033580">
            <w:pPr>
              <w:spacing w:before="120" w:after="120"/>
              <w:rPr>
                <w:b/>
                <w:bCs/>
                <w:color w:val="1C1C1C"/>
                <w:sz w:val="16"/>
                <w:szCs w:val="16"/>
              </w:rPr>
            </w:pPr>
            <w:r w:rsidRPr="00F56304">
              <w:rPr>
                <w:b/>
                <w:bCs/>
                <w:color w:val="1C1C1C"/>
                <w:sz w:val="16"/>
                <w:szCs w:val="16"/>
              </w:rPr>
              <w:t>Stage 1: Identify Relevant Expenses</w:t>
            </w:r>
          </w:p>
        </w:tc>
        <w:tc>
          <w:tcPr>
            <w:tcW w:w="3389" w:type="dxa"/>
          </w:tcPr>
          <w:p w14:paraId="358B78EB" w14:textId="77777777" w:rsidR="00DA7F79" w:rsidRPr="00F56304" w:rsidRDefault="00DA7F79" w:rsidP="007F2876">
            <w:pPr>
              <w:spacing w:before="120" w:line="240" w:lineRule="auto"/>
              <w:cnfStyle w:val="000000100000" w:firstRow="0" w:lastRow="0" w:firstColumn="0" w:lastColumn="0" w:oddVBand="0" w:evenVBand="0" w:oddHBand="1" w:evenHBand="0" w:firstRowFirstColumn="0" w:firstRowLastColumn="0" w:lastRowFirstColumn="0" w:lastRowLastColumn="0"/>
              <w:rPr>
                <w:color w:val="auto"/>
                <w:sz w:val="16"/>
                <w:szCs w:val="16"/>
              </w:rPr>
            </w:pPr>
            <w:r w:rsidRPr="00F56304">
              <w:rPr>
                <w:color w:val="auto"/>
                <w:sz w:val="16"/>
                <w:szCs w:val="16"/>
              </w:rPr>
              <w:t>The process of identifying financial information used as the basis for hospital costing, including the identification of all relevant product costs, such as third-party expenses, offsets, and recoveries. The objective is to provide consistent and complete recognition of all expenses incurred by an organisation in providing its products.</w:t>
            </w:r>
          </w:p>
          <w:p w14:paraId="35F97225" w14:textId="1D288795" w:rsidR="00DA7F79" w:rsidRPr="00F56304" w:rsidRDefault="00DA7F79" w:rsidP="007F2876">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4975" w:type="dxa"/>
          </w:tcPr>
          <w:p w14:paraId="41562B05" w14:textId="41C46C76" w:rsidR="00DA7F79" w:rsidRPr="00F56304" w:rsidRDefault="00DA7F79" w:rsidP="007F2876">
            <w:pPr>
              <w:spacing w:before="120" w:after="120" w:line="240" w:lineRule="auto"/>
              <w:rPr>
                <w:color w:val="1C1C1C"/>
                <w:sz w:val="16"/>
                <w:szCs w:val="16"/>
              </w:rPr>
            </w:pPr>
            <w:r w:rsidRPr="00F56304">
              <w:rPr>
                <w:color w:val="1C1C1C"/>
                <w:sz w:val="16"/>
                <w:szCs w:val="16"/>
              </w:rPr>
              <w:t xml:space="preserve">The scope of expenses identified within core financial records and the general ledger are robust and follow the costing standards. Variation is observed across specific areas of financial data such as contracted care (including patient transport), third-party expenses and private patient service expenditure and are typically related to the availability of appropriate data </w:t>
            </w:r>
            <w:r w:rsidR="00EC0A3B">
              <w:rPr>
                <w:color w:val="1C1C1C"/>
                <w:sz w:val="16"/>
                <w:szCs w:val="16"/>
              </w:rPr>
              <w:t>feed</w:t>
            </w:r>
            <w:r w:rsidR="00215BB0">
              <w:rPr>
                <w:color w:val="1C1C1C"/>
                <w:sz w:val="16"/>
                <w:szCs w:val="16"/>
              </w:rPr>
              <w:t xml:space="preserve"> </w:t>
            </w:r>
            <w:r w:rsidR="00EC0A3B">
              <w:rPr>
                <w:color w:val="1C1C1C"/>
                <w:sz w:val="16"/>
                <w:szCs w:val="16"/>
              </w:rPr>
              <w:t>s</w:t>
            </w:r>
            <w:r w:rsidR="00215BB0">
              <w:rPr>
                <w:color w:val="1C1C1C"/>
                <w:sz w:val="16"/>
                <w:szCs w:val="16"/>
              </w:rPr>
              <w:t>ystems</w:t>
            </w:r>
            <w:r w:rsidR="00EC0A3B">
              <w:rPr>
                <w:color w:val="1C1C1C"/>
                <w:sz w:val="16"/>
                <w:szCs w:val="16"/>
              </w:rPr>
              <w:t xml:space="preserve"> </w:t>
            </w:r>
            <w:r w:rsidRPr="00F56304">
              <w:rPr>
                <w:color w:val="1C1C1C"/>
                <w:sz w:val="16"/>
                <w:szCs w:val="16"/>
              </w:rPr>
              <w:t>that clearly delineates these expenditures and their related products.</w:t>
            </w:r>
          </w:p>
        </w:tc>
      </w:tr>
      <w:tr w:rsidR="00DA7F79" w:rsidRPr="00F56304" w14:paraId="7AB18EF7" w14:textId="77777777" w:rsidTr="007F2876">
        <w:trPr>
          <w:trHeight w:val="916"/>
        </w:trPr>
        <w:tc>
          <w:tcPr>
            <w:cnfStyle w:val="000010000000" w:firstRow="0" w:lastRow="0" w:firstColumn="0" w:lastColumn="0" w:oddVBand="1" w:evenVBand="0" w:oddHBand="0" w:evenHBand="0" w:firstRowFirstColumn="0" w:firstRowLastColumn="0" w:lastRowFirstColumn="0" w:lastRowLastColumn="0"/>
            <w:tcW w:w="1696" w:type="dxa"/>
            <w:vAlign w:val="center"/>
          </w:tcPr>
          <w:p w14:paraId="75893BCD" w14:textId="34C34634" w:rsidR="00DA7F79" w:rsidRPr="00F56304" w:rsidRDefault="00DA7F79" w:rsidP="00033580">
            <w:pPr>
              <w:spacing w:before="120" w:after="120"/>
              <w:rPr>
                <w:b/>
                <w:bCs/>
                <w:color w:val="1C1C1C"/>
                <w:sz w:val="16"/>
                <w:szCs w:val="16"/>
              </w:rPr>
            </w:pPr>
            <w:r w:rsidRPr="00F56304">
              <w:rPr>
                <w:b/>
                <w:bCs/>
                <w:color w:val="1C1C1C"/>
                <w:sz w:val="16"/>
                <w:szCs w:val="16"/>
              </w:rPr>
              <w:t>Stage 2</w:t>
            </w:r>
            <w:r w:rsidR="00914F92">
              <w:rPr>
                <w:b/>
                <w:bCs/>
                <w:color w:val="1C1C1C"/>
                <w:sz w:val="16"/>
                <w:szCs w:val="16"/>
              </w:rPr>
              <w:t>:</w:t>
            </w:r>
            <w:r w:rsidRPr="00F56304">
              <w:rPr>
                <w:b/>
                <w:bCs/>
                <w:color w:val="1C1C1C"/>
                <w:sz w:val="16"/>
                <w:szCs w:val="16"/>
              </w:rPr>
              <w:t xml:space="preserve"> Create the Cost Ledger</w:t>
            </w:r>
            <w:r w:rsidRPr="007F2876">
              <w:rPr>
                <w:b/>
                <w:bCs/>
                <w:sz w:val="16"/>
                <w:szCs w:val="16"/>
              </w:rPr>
              <w:t xml:space="preserve"> </w:t>
            </w:r>
          </w:p>
        </w:tc>
        <w:tc>
          <w:tcPr>
            <w:tcW w:w="3389" w:type="dxa"/>
          </w:tcPr>
          <w:p w14:paraId="2CC81A0A" w14:textId="552C7F42" w:rsidR="00DA7F79" w:rsidRPr="00F56304" w:rsidRDefault="00DA7F79" w:rsidP="007F2876">
            <w:pPr>
              <w:spacing w:before="120" w:after="120" w:line="240" w:lineRule="auto"/>
              <w:cnfStyle w:val="000000000000" w:firstRow="0" w:lastRow="0" w:firstColumn="0" w:lastColumn="0" w:oddVBand="0" w:evenVBand="0" w:oddHBand="0" w:evenHBand="0" w:firstRowFirstColumn="0" w:firstRowLastColumn="0" w:lastRowFirstColumn="0" w:lastRowLastColumn="0"/>
              <w:rPr>
                <w:color w:val="1C1C1C"/>
                <w:sz w:val="16"/>
                <w:szCs w:val="16"/>
              </w:rPr>
            </w:pPr>
            <w:r w:rsidRPr="007F2876">
              <w:rPr>
                <w:color w:val="auto"/>
                <w:sz w:val="16"/>
                <w:szCs w:val="16"/>
              </w:rPr>
              <w:t>Stage 2 aims to ensure a consistent approach in establishing the cost ledger as the basis for product costing. This includes matching expenses to cost objects and hierarchy with an economically feasible approach that is consistent, defensible and reflects causal relationships.</w:t>
            </w:r>
          </w:p>
        </w:tc>
        <w:tc>
          <w:tcPr>
            <w:cnfStyle w:val="000010000000" w:firstRow="0" w:lastRow="0" w:firstColumn="0" w:lastColumn="0" w:oddVBand="1" w:evenVBand="0" w:oddHBand="0" w:evenHBand="0" w:firstRowFirstColumn="0" w:firstRowLastColumn="0" w:lastRowFirstColumn="0" w:lastRowLastColumn="0"/>
            <w:tcW w:w="4975" w:type="dxa"/>
          </w:tcPr>
          <w:p w14:paraId="5B340447" w14:textId="2AC20091" w:rsidR="00DA7F79" w:rsidRPr="00F56304" w:rsidRDefault="00DA7F79" w:rsidP="007F2876">
            <w:pPr>
              <w:spacing w:before="120" w:after="120" w:line="240" w:lineRule="auto"/>
              <w:rPr>
                <w:color w:val="1C1C1C"/>
                <w:sz w:val="16"/>
                <w:szCs w:val="16"/>
              </w:rPr>
            </w:pPr>
            <w:r w:rsidRPr="00F56304">
              <w:rPr>
                <w:color w:val="1C1C1C"/>
                <w:sz w:val="16"/>
                <w:szCs w:val="16"/>
              </w:rPr>
              <w:t>Jurisdictions reported a generally consistent approach to cost allocation.</w:t>
            </w:r>
          </w:p>
          <w:p w14:paraId="594D047A" w14:textId="7FEB8681" w:rsidR="00DA7F79" w:rsidRPr="00F56304" w:rsidRDefault="00DA7F79" w:rsidP="007F2876">
            <w:pPr>
              <w:spacing w:before="120" w:after="120" w:line="240" w:lineRule="auto"/>
              <w:rPr>
                <w:color w:val="1C1C1C"/>
                <w:sz w:val="16"/>
                <w:szCs w:val="16"/>
              </w:rPr>
            </w:pPr>
            <w:r w:rsidRPr="00F56304">
              <w:rPr>
                <w:color w:val="1C1C1C"/>
                <w:sz w:val="16"/>
                <w:szCs w:val="16"/>
              </w:rPr>
              <w:t>The application of specific costing methodologies was aligned with costing standards in relation to the use of allocation statistics, product fractions and relative value units. There was variation in the use of these specific methodologies observed across health services and between jurisdictions.</w:t>
            </w:r>
          </w:p>
        </w:tc>
      </w:tr>
      <w:tr w:rsidR="00DA7F79" w:rsidRPr="00F56304" w14:paraId="37279E6D" w14:textId="77777777" w:rsidTr="007F287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696" w:type="dxa"/>
            <w:vAlign w:val="center"/>
          </w:tcPr>
          <w:p w14:paraId="08C680FC" w14:textId="6D97C33D" w:rsidR="00DA7F79" w:rsidRPr="00F56304" w:rsidRDefault="00DA7F79" w:rsidP="00033580">
            <w:pPr>
              <w:spacing w:before="120" w:after="120"/>
              <w:rPr>
                <w:b/>
                <w:bCs/>
                <w:color w:val="1C1C1C"/>
                <w:sz w:val="16"/>
                <w:szCs w:val="16"/>
              </w:rPr>
            </w:pPr>
            <w:r w:rsidRPr="00F56304">
              <w:rPr>
                <w:b/>
                <w:bCs/>
                <w:color w:val="1C1C1C"/>
                <w:sz w:val="16"/>
                <w:szCs w:val="16"/>
              </w:rPr>
              <w:t>Stage 3: Create Final Cost Centres</w:t>
            </w:r>
          </w:p>
        </w:tc>
        <w:tc>
          <w:tcPr>
            <w:tcW w:w="3389" w:type="dxa"/>
          </w:tcPr>
          <w:p w14:paraId="424F02B6" w14:textId="1450958A" w:rsidR="00DA7F79" w:rsidRPr="00F56304" w:rsidRDefault="00DA7F79" w:rsidP="007F2876">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1C1C1C"/>
                <w:sz w:val="16"/>
                <w:szCs w:val="16"/>
              </w:rPr>
            </w:pPr>
            <w:r w:rsidRPr="007F2876">
              <w:rPr>
                <w:color w:val="auto"/>
                <w:sz w:val="16"/>
                <w:szCs w:val="16"/>
              </w:rPr>
              <w:t>Stage 3, the creation of final cost centres, specifies the approach to allocate product cost centres to final cost centres. The standards outline how expenses are allocated to overhead cost centres.</w:t>
            </w:r>
          </w:p>
        </w:tc>
        <w:tc>
          <w:tcPr>
            <w:cnfStyle w:val="000010000000" w:firstRow="0" w:lastRow="0" w:firstColumn="0" w:lastColumn="0" w:oddVBand="1" w:evenVBand="0" w:oddHBand="0" w:evenHBand="0" w:firstRowFirstColumn="0" w:firstRowLastColumn="0" w:lastRowFirstColumn="0" w:lastRowLastColumn="0"/>
            <w:tcW w:w="4975" w:type="dxa"/>
          </w:tcPr>
          <w:p w14:paraId="4148E364" w14:textId="419781EE" w:rsidR="00DA7F79" w:rsidRPr="00F56304" w:rsidRDefault="00DA7F79" w:rsidP="007F2876">
            <w:pPr>
              <w:spacing w:before="120" w:after="120" w:line="240" w:lineRule="auto"/>
              <w:rPr>
                <w:color w:val="1C1C1C"/>
                <w:sz w:val="16"/>
                <w:szCs w:val="16"/>
              </w:rPr>
            </w:pPr>
            <w:r w:rsidRPr="00F56304">
              <w:rPr>
                <w:color w:val="1C1C1C"/>
                <w:sz w:val="16"/>
                <w:szCs w:val="16"/>
              </w:rPr>
              <w:t>Several jurisdictions report using a single general ledger and chart of accounts allowing consistent costing and allocation at the jurisdictional level.</w:t>
            </w:r>
          </w:p>
          <w:p w14:paraId="50967587" w14:textId="54E6D63B" w:rsidR="00DA7F79" w:rsidRPr="00F56304" w:rsidRDefault="00DA7F79" w:rsidP="007F2876">
            <w:pPr>
              <w:spacing w:before="120" w:after="120" w:line="240" w:lineRule="auto"/>
              <w:rPr>
                <w:color w:val="1C1C1C"/>
                <w:sz w:val="16"/>
                <w:szCs w:val="16"/>
              </w:rPr>
            </w:pPr>
            <w:r w:rsidRPr="00F56304">
              <w:rPr>
                <w:color w:val="1C1C1C"/>
                <w:sz w:val="16"/>
                <w:szCs w:val="16"/>
              </w:rPr>
              <w:t>Some variation was reported, between individual health networks and jurisdictions, in the approach used to allocate costs across intermediate and final products.</w:t>
            </w:r>
          </w:p>
        </w:tc>
      </w:tr>
      <w:tr w:rsidR="00DA7F79" w:rsidRPr="00F56304" w14:paraId="7E397AA3" w14:textId="77777777" w:rsidTr="007F2876">
        <w:trPr>
          <w:trHeight w:val="20"/>
        </w:trPr>
        <w:tc>
          <w:tcPr>
            <w:cnfStyle w:val="000010000000" w:firstRow="0" w:lastRow="0" w:firstColumn="0" w:lastColumn="0" w:oddVBand="1" w:evenVBand="0" w:oddHBand="0" w:evenHBand="0" w:firstRowFirstColumn="0" w:firstRowLastColumn="0" w:lastRowFirstColumn="0" w:lastRowLastColumn="0"/>
            <w:tcW w:w="1696" w:type="dxa"/>
            <w:vAlign w:val="center"/>
          </w:tcPr>
          <w:p w14:paraId="05F58209" w14:textId="6A2A301D" w:rsidR="00DA7F79" w:rsidRPr="00F56304" w:rsidRDefault="00DA7F79" w:rsidP="00033580">
            <w:pPr>
              <w:spacing w:before="120" w:after="120"/>
              <w:rPr>
                <w:b/>
                <w:bCs/>
                <w:color w:val="1C1C1C"/>
                <w:sz w:val="16"/>
                <w:szCs w:val="16"/>
              </w:rPr>
            </w:pPr>
            <w:r w:rsidRPr="00F56304">
              <w:rPr>
                <w:b/>
                <w:bCs/>
                <w:color w:val="1C1C1C"/>
                <w:sz w:val="16"/>
                <w:szCs w:val="16"/>
              </w:rPr>
              <w:t>Stage 4: Identify Products</w:t>
            </w:r>
          </w:p>
        </w:tc>
        <w:tc>
          <w:tcPr>
            <w:tcW w:w="3389" w:type="dxa"/>
          </w:tcPr>
          <w:p w14:paraId="368A3CDB" w14:textId="7253CC70" w:rsidR="00DA7F79" w:rsidRPr="007F2876" w:rsidRDefault="00DA7F79" w:rsidP="007F2876">
            <w:pPr>
              <w:spacing w:before="12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7F2876">
              <w:rPr>
                <w:color w:val="auto"/>
                <w:sz w:val="16"/>
                <w:szCs w:val="16"/>
              </w:rPr>
              <w:t>Stage 4, identification of products, addresses how the organisation will determine product types, product costs and specifies the minimum requirements and preferred source of information required to measure cost objects and products. The aim of this stage and the related costing standard is to ensure that all products provided by the organisation are grouped into product categories that sufficiently differentiate between patient products and non-patient products, and nationally consistent measures of patient products are drawn from local systems.</w:t>
            </w:r>
          </w:p>
        </w:tc>
        <w:tc>
          <w:tcPr>
            <w:cnfStyle w:val="000010000000" w:firstRow="0" w:lastRow="0" w:firstColumn="0" w:lastColumn="0" w:oddVBand="1" w:evenVBand="0" w:oddHBand="0" w:evenHBand="0" w:firstRowFirstColumn="0" w:firstRowLastColumn="0" w:lastRowFirstColumn="0" w:lastRowLastColumn="0"/>
            <w:tcW w:w="4975" w:type="dxa"/>
          </w:tcPr>
          <w:p w14:paraId="3C0115C9" w14:textId="6C2C8310" w:rsidR="00DA7F79" w:rsidRPr="00F56304" w:rsidRDefault="00DA7F79" w:rsidP="007F2876">
            <w:pPr>
              <w:spacing w:before="120" w:after="120" w:line="240" w:lineRule="auto"/>
              <w:rPr>
                <w:color w:val="1C1C1C"/>
                <w:sz w:val="16"/>
                <w:szCs w:val="16"/>
              </w:rPr>
            </w:pPr>
            <w:r w:rsidRPr="00F56304">
              <w:rPr>
                <w:color w:val="1C1C1C"/>
                <w:sz w:val="16"/>
                <w:szCs w:val="16"/>
              </w:rPr>
              <w:t>Allocation of third-party expenses and contracted care was typically achieved in alignment with the costing standards, with exceptions related to the availability of robust financial date (refer Stage 1 above).</w:t>
            </w:r>
          </w:p>
          <w:p w14:paraId="65D38245" w14:textId="6C606259" w:rsidR="00DA7F79" w:rsidRPr="00F56304" w:rsidRDefault="00DA7F79" w:rsidP="007F2876">
            <w:pPr>
              <w:spacing w:before="120" w:after="120" w:line="240" w:lineRule="auto"/>
              <w:rPr>
                <w:color w:val="1C1C1C"/>
                <w:sz w:val="16"/>
                <w:szCs w:val="16"/>
              </w:rPr>
            </w:pPr>
            <w:r w:rsidRPr="00F56304">
              <w:rPr>
                <w:color w:val="1C1C1C"/>
                <w:sz w:val="16"/>
                <w:szCs w:val="16"/>
              </w:rPr>
              <w:t>The information requirements and feeder systems necessary to facilitate effective hospital costing is well established. Specific instances of data limitations were identified across new areas of costing in some jurisdictions, such as non-admitted, mental health and palliative care (episode and phase level), however, these systems are seeing incremental improvement in the accuracy and specificity of data collected. The maturing of these systems is in line with changing costing and pricing requirements.</w:t>
            </w:r>
          </w:p>
        </w:tc>
      </w:tr>
      <w:tr w:rsidR="00DA7F79" w:rsidRPr="00E96C8D" w14:paraId="39B61C9A" w14:textId="77777777" w:rsidTr="007F287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696" w:type="dxa"/>
            <w:vAlign w:val="center"/>
          </w:tcPr>
          <w:p w14:paraId="16170BD4" w14:textId="7ACF81E5" w:rsidR="00DA7F79" w:rsidRPr="005F05EB" w:rsidRDefault="00DA7F79" w:rsidP="00033580">
            <w:pPr>
              <w:spacing w:before="120" w:after="120"/>
              <w:rPr>
                <w:b/>
                <w:bCs/>
                <w:color w:val="1C1C1C"/>
                <w:sz w:val="16"/>
                <w:szCs w:val="16"/>
              </w:rPr>
            </w:pPr>
            <w:r w:rsidRPr="005F05EB">
              <w:rPr>
                <w:b/>
                <w:bCs/>
                <w:color w:val="1C1C1C"/>
                <w:sz w:val="16"/>
                <w:szCs w:val="16"/>
              </w:rPr>
              <w:t>Stage 5: Assign Expenses to Products</w:t>
            </w:r>
          </w:p>
        </w:tc>
        <w:tc>
          <w:tcPr>
            <w:tcW w:w="3389" w:type="dxa"/>
          </w:tcPr>
          <w:p w14:paraId="0D2D75D9" w14:textId="7012955F" w:rsidR="00DA7F79" w:rsidRPr="044FA469" w:rsidRDefault="00DA7F79" w:rsidP="007F2876">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1C1C1C"/>
                <w:sz w:val="16"/>
                <w:szCs w:val="16"/>
              </w:rPr>
            </w:pPr>
            <w:r w:rsidRPr="00DA7F79">
              <w:rPr>
                <w:color w:val="1C1C1C"/>
                <w:sz w:val="16"/>
                <w:szCs w:val="16"/>
              </w:rPr>
              <w:t>Stage 5, assignment of expenses to products, specifies how expenses accumulated in final cost centres are to be matched to final products. Intermediate products are linked to the final products that they helped produce, and products partially completed allocated to correctly reflect the expense incurred to produce the associated products.</w:t>
            </w:r>
          </w:p>
        </w:tc>
        <w:tc>
          <w:tcPr>
            <w:cnfStyle w:val="000010000000" w:firstRow="0" w:lastRow="0" w:firstColumn="0" w:lastColumn="0" w:oddVBand="1" w:evenVBand="0" w:oddHBand="0" w:evenHBand="0" w:firstRowFirstColumn="0" w:firstRowLastColumn="0" w:lastRowFirstColumn="0" w:lastRowLastColumn="0"/>
            <w:tcW w:w="4975" w:type="dxa"/>
          </w:tcPr>
          <w:p w14:paraId="4FFD0CD9" w14:textId="15D2C0CF" w:rsidR="006E5BBA" w:rsidRDefault="006E5BBA" w:rsidP="006E5BBA">
            <w:pPr>
              <w:spacing w:before="120" w:after="120" w:line="240" w:lineRule="auto"/>
              <w:rPr>
                <w:color w:val="1C1C1C"/>
                <w:sz w:val="16"/>
                <w:szCs w:val="16"/>
              </w:rPr>
            </w:pPr>
            <w:r>
              <w:rPr>
                <w:color w:val="1C1C1C"/>
                <w:sz w:val="16"/>
                <w:szCs w:val="16"/>
              </w:rPr>
              <w:t>Most jurisdictions assign expenses to final and intermediate products in accordance with the standards, which includes correctly identifying work in progress patients and costs.</w:t>
            </w:r>
          </w:p>
          <w:p w14:paraId="402E89E9" w14:textId="77777777" w:rsidR="00DA7F79" w:rsidRDefault="006E5BBA" w:rsidP="006E5BBA">
            <w:pPr>
              <w:spacing w:before="120" w:after="120" w:line="240" w:lineRule="auto"/>
              <w:rPr>
                <w:color w:val="1C1C1C"/>
                <w:sz w:val="16"/>
                <w:szCs w:val="16"/>
              </w:rPr>
            </w:pPr>
            <w:r>
              <w:rPr>
                <w:color w:val="1C1C1C"/>
                <w:sz w:val="16"/>
                <w:szCs w:val="16"/>
              </w:rPr>
              <w:t>Most states and territories utilise relative value units to distribute costs if there is a lack of patient level data. Other methods include the utilisation of time-based data – e.g., time spent on a ward or theatre to allocate costs to products</w:t>
            </w:r>
            <w:r w:rsidRPr="006E5BBA">
              <w:rPr>
                <w:color w:val="1C1C1C"/>
                <w:sz w:val="16"/>
                <w:szCs w:val="16"/>
              </w:rPr>
              <w:t>.</w:t>
            </w:r>
          </w:p>
          <w:p w14:paraId="62B44B35" w14:textId="56A793C6" w:rsidR="006E5BBA" w:rsidRPr="044FA469" w:rsidRDefault="006E5BBA" w:rsidP="006E5BBA">
            <w:pPr>
              <w:spacing w:before="120" w:after="120" w:line="240" w:lineRule="auto"/>
              <w:rPr>
                <w:color w:val="1C1C1C"/>
                <w:sz w:val="16"/>
                <w:szCs w:val="16"/>
              </w:rPr>
            </w:pPr>
            <w:r>
              <w:rPr>
                <w:color w:val="1C1C1C"/>
                <w:sz w:val="16"/>
                <w:szCs w:val="16"/>
              </w:rPr>
              <w:t>All states and territories</w:t>
            </w:r>
            <w:r w:rsidR="00526B20">
              <w:rPr>
                <w:color w:val="1C1C1C"/>
                <w:sz w:val="16"/>
                <w:szCs w:val="16"/>
              </w:rPr>
              <w:t xml:space="preserve"> confirmed that the </w:t>
            </w:r>
            <w:r>
              <w:rPr>
                <w:color w:val="1C1C1C"/>
                <w:sz w:val="16"/>
                <w:szCs w:val="16"/>
              </w:rPr>
              <w:t>work in progress patient data</w:t>
            </w:r>
            <w:r w:rsidR="00526B20">
              <w:rPr>
                <w:color w:val="1C1C1C"/>
                <w:sz w:val="16"/>
                <w:szCs w:val="16"/>
              </w:rPr>
              <w:t xml:space="preserve"> reported by IHACPA was correct.</w:t>
            </w:r>
          </w:p>
        </w:tc>
      </w:tr>
      <w:tr w:rsidR="00DA7F79" w:rsidRPr="00E96C8D" w14:paraId="46DF9A07" w14:textId="77777777" w:rsidTr="007F2876">
        <w:trPr>
          <w:trHeight w:val="20"/>
        </w:trPr>
        <w:tc>
          <w:tcPr>
            <w:cnfStyle w:val="000010000000" w:firstRow="0" w:lastRow="0" w:firstColumn="0" w:lastColumn="0" w:oddVBand="1" w:evenVBand="0" w:oddHBand="0" w:evenHBand="0" w:firstRowFirstColumn="0" w:firstRowLastColumn="0" w:lastRowFirstColumn="0" w:lastRowLastColumn="0"/>
            <w:tcW w:w="1696" w:type="dxa"/>
            <w:vAlign w:val="center"/>
          </w:tcPr>
          <w:p w14:paraId="7E22BCCB" w14:textId="70A57550" w:rsidR="00DA7F79" w:rsidRPr="005F05EB" w:rsidRDefault="00DA7F79" w:rsidP="00033580">
            <w:pPr>
              <w:spacing w:before="120" w:after="120"/>
              <w:rPr>
                <w:b/>
                <w:bCs/>
                <w:color w:val="1C1C1C"/>
                <w:sz w:val="16"/>
                <w:szCs w:val="16"/>
              </w:rPr>
            </w:pPr>
            <w:r w:rsidRPr="005F05EB">
              <w:rPr>
                <w:b/>
                <w:bCs/>
                <w:color w:val="1C1C1C"/>
                <w:sz w:val="16"/>
                <w:szCs w:val="16"/>
              </w:rPr>
              <w:t>Stage 6: Review and Reconcile</w:t>
            </w:r>
          </w:p>
        </w:tc>
        <w:tc>
          <w:tcPr>
            <w:tcW w:w="3389" w:type="dxa"/>
          </w:tcPr>
          <w:p w14:paraId="15B1A212" w14:textId="72D84F2C" w:rsidR="00DA7F79" w:rsidRPr="00E96C8D" w:rsidRDefault="00DA7F79" w:rsidP="007F2876">
            <w:pPr>
              <w:spacing w:before="120" w:after="120" w:line="240" w:lineRule="auto"/>
              <w:cnfStyle w:val="000000000000" w:firstRow="0" w:lastRow="0" w:firstColumn="0" w:lastColumn="0" w:oddVBand="0" w:evenVBand="0" w:oddHBand="0" w:evenHBand="0" w:firstRowFirstColumn="0" w:firstRowLastColumn="0" w:lastRowFirstColumn="0" w:lastRowLastColumn="0"/>
              <w:rPr>
                <w:color w:val="1C1C1C"/>
                <w:sz w:val="16"/>
                <w:szCs w:val="16"/>
              </w:rPr>
            </w:pPr>
            <w:r w:rsidRPr="00DA7F79">
              <w:rPr>
                <w:color w:val="1C1C1C"/>
                <w:sz w:val="16"/>
                <w:szCs w:val="16"/>
              </w:rPr>
              <w:t>Stage 6 of the costing process outlines the recommended approach and processes that should be undertaken to review the costing process and outputs. This outlines the data quality framework to be applied to the product costing process and guidelines for addressing the treatment of negative costs. This stage aims ensure that product cost information reported for internal and external purposes is fit-for-use and aligns with the Standards and Business Rules.</w:t>
            </w:r>
          </w:p>
        </w:tc>
        <w:tc>
          <w:tcPr>
            <w:cnfStyle w:val="000010000000" w:firstRow="0" w:lastRow="0" w:firstColumn="0" w:lastColumn="0" w:oddVBand="1" w:evenVBand="0" w:oddHBand="0" w:evenHBand="0" w:firstRowFirstColumn="0" w:firstRowLastColumn="0" w:lastRowFirstColumn="0" w:lastRowLastColumn="0"/>
            <w:tcW w:w="4975" w:type="dxa"/>
          </w:tcPr>
          <w:p w14:paraId="482B7977" w14:textId="3B07FECD" w:rsidR="00DA7F79" w:rsidRPr="00E96C8D" w:rsidRDefault="00DA7F79" w:rsidP="007F2876">
            <w:pPr>
              <w:spacing w:before="120" w:after="120" w:line="240" w:lineRule="auto"/>
              <w:rPr>
                <w:color w:val="1C1C1C"/>
                <w:sz w:val="16"/>
                <w:szCs w:val="16"/>
              </w:rPr>
            </w:pPr>
            <w:r w:rsidRPr="044FA469">
              <w:rPr>
                <w:color w:val="1C1C1C"/>
                <w:sz w:val="16"/>
                <w:szCs w:val="16"/>
              </w:rPr>
              <w:t xml:space="preserve">Assurance, </w:t>
            </w:r>
            <w:proofErr w:type="gramStart"/>
            <w:r w:rsidRPr="044FA469">
              <w:rPr>
                <w:color w:val="1C1C1C"/>
                <w:sz w:val="16"/>
                <w:szCs w:val="16"/>
              </w:rPr>
              <w:t>review</w:t>
            </w:r>
            <w:proofErr w:type="gramEnd"/>
            <w:r w:rsidRPr="044FA469">
              <w:rPr>
                <w:color w:val="1C1C1C"/>
                <w:sz w:val="16"/>
                <w:szCs w:val="16"/>
              </w:rPr>
              <w:t xml:space="preserve"> and reconciliation processes are robust and well established within most jurisdictions. Most jurisdictions undertake this process at multiple levels, typically at the health network level as well as at the system manager level (jurisdiction health department).</w:t>
            </w:r>
          </w:p>
        </w:tc>
      </w:tr>
    </w:tbl>
    <w:p w14:paraId="5C14B39C" w14:textId="77777777" w:rsidR="00780721" w:rsidRDefault="00780721" w:rsidP="00780721">
      <w:pPr>
        <w:spacing w:line="259" w:lineRule="auto"/>
        <w:sectPr w:rsidR="00780721" w:rsidSect="00031D59">
          <w:pgSz w:w="11906" w:h="16838" w:code="9"/>
          <w:pgMar w:top="1440" w:right="1080" w:bottom="1440" w:left="1080" w:header="708" w:footer="708" w:gutter="0"/>
          <w:cols w:space="708"/>
          <w:docGrid w:linePitch="360"/>
        </w:sectPr>
      </w:pPr>
      <w:bookmarkStart w:id="9" w:name="_Toc153890138"/>
      <w:bookmarkEnd w:id="8"/>
    </w:p>
    <w:p w14:paraId="6DB859F4" w14:textId="66A543B4" w:rsidR="00CF361A" w:rsidRPr="00E96C8D" w:rsidRDefault="00CF361A" w:rsidP="00DC12F9">
      <w:pPr>
        <w:pStyle w:val="Heading2"/>
      </w:pPr>
      <w:r>
        <w:lastRenderedPageBreak/>
        <w:t>Recommendations</w:t>
      </w:r>
    </w:p>
    <w:p w14:paraId="545FEAA3" w14:textId="77777777" w:rsidR="00CF361A" w:rsidRPr="00E14BFC" w:rsidRDefault="00CF361A" w:rsidP="00CF361A">
      <w:pPr>
        <w:spacing w:before="120" w:after="120"/>
        <w:rPr>
          <w:color w:val="auto"/>
        </w:rPr>
      </w:pPr>
      <w:r w:rsidRPr="00E14BFC">
        <w:rPr>
          <w:color w:val="auto"/>
        </w:rPr>
        <w:t>The scope of the NHCDC Review 2021-22 was to:</w:t>
      </w:r>
    </w:p>
    <w:p w14:paraId="7EB958EF" w14:textId="40F9692C" w:rsidR="00CF361A" w:rsidRPr="00E14BFC" w:rsidRDefault="00CF361A" w:rsidP="00CF361A">
      <w:pPr>
        <w:pStyle w:val="ListParagraph"/>
        <w:numPr>
          <w:ilvl w:val="0"/>
          <w:numId w:val="169"/>
        </w:numPr>
        <w:spacing w:before="120" w:after="120"/>
        <w:rPr>
          <w:color w:val="auto"/>
        </w:rPr>
      </w:pPr>
      <w:r w:rsidRPr="00E14BFC">
        <w:rPr>
          <w:color w:val="auto"/>
        </w:rPr>
        <w:t>review each jurisdiction’s application of the Australian Hospital Patient Costing Standards Version 4.1</w:t>
      </w:r>
    </w:p>
    <w:p w14:paraId="2795D458" w14:textId="4726A917" w:rsidR="00CF361A" w:rsidRPr="00E14BFC" w:rsidRDefault="00CF361A" w:rsidP="00CF361A">
      <w:pPr>
        <w:pStyle w:val="ListParagraph"/>
        <w:numPr>
          <w:ilvl w:val="0"/>
          <w:numId w:val="169"/>
        </w:numPr>
        <w:spacing w:before="120" w:after="120"/>
        <w:rPr>
          <w:color w:val="auto"/>
        </w:rPr>
      </w:pPr>
      <w:r w:rsidRPr="00E14BFC">
        <w:rPr>
          <w:color w:val="auto"/>
        </w:rPr>
        <w:t xml:space="preserve">reconcile each jurisdiction’s general ledger with the cost data </w:t>
      </w:r>
      <w:proofErr w:type="gramStart"/>
      <w:r w:rsidRPr="00E14BFC">
        <w:rPr>
          <w:color w:val="auto"/>
        </w:rPr>
        <w:t>submitted</w:t>
      </w:r>
      <w:proofErr w:type="gramEnd"/>
    </w:p>
    <w:p w14:paraId="39FFEFD6" w14:textId="77777777" w:rsidR="00CF361A" w:rsidRPr="00E14BFC" w:rsidRDefault="00CF361A" w:rsidP="00CF361A">
      <w:pPr>
        <w:pStyle w:val="ListParagraph"/>
        <w:numPr>
          <w:ilvl w:val="0"/>
          <w:numId w:val="169"/>
        </w:numPr>
        <w:spacing w:before="120" w:after="120"/>
        <w:rPr>
          <w:color w:val="auto"/>
        </w:rPr>
      </w:pPr>
      <w:r w:rsidRPr="00E14BFC">
        <w:rPr>
          <w:color w:val="auto"/>
        </w:rPr>
        <w:t>consult jurisdictions on the future of the Independent Financial Review (IFR).</w:t>
      </w:r>
    </w:p>
    <w:p w14:paraId="2AA0C39A" w14:textId="6F84C570" w:rsidR="00CF361A" w:rsidRDefault="00CF361A" w:rsidP="00CF361A">
      <w:pPr>
        <w:spacing w:before="120" w:after="120"/>
      </w:pPr>
      <w:r w:rsidRPr="00E14BFC">
        <w:rPr>
          <w:color w:val="auto"/>
        </w:rPr>
        <w:t xml:space="preserve">Table </w:t>
      </w:r>
      <w:r w:rsidR="000550E0">
        <w:rPr>
          <w:color w:val="auto"/>
        </w:rPr>
        <w:t>2</w:t>
      </w:r>
      <w:r w:rsidRPr="00E14BFC">
        <w:rPr>
          <w:color w:val="auto"/>
        </w:rPr>
        <w:t xml:space="preserve"> outlines </w:t>
      </w:r>
      <w:r w:rsidR="009F57DE">
        <w:rPr>
          <w:color w:val="auto"/>
        </w:rPr>
        <w:t>3</w:t>
      </w:r>
      <w:r w:rsidRPr="00E14BFC">
        <w:rPr>
          <w:color w:val="auto"/>
        </w:rPr>
        <w:t xml:space="preserve"> recommendations relating to the future of the NHCDC and IFR, developed following the jurisdictional consultations. For further information on the recommendations, refer to the </w:t>
      </w:r>
      <w:hyperlink w:anchor="_Recommendations" w:history="1">
        <w:r w:rsidRPr="009A081A">
          <w:rPr>
            <w:rStyle w:val="Hyperlink"/>
          </w:rPr>
          <w:t xml:space="preserve">Recommendations </w:t>
        </w:r>
        <w:r w:rsidR="005A6731">
          <w:rPr>
            <w:rStyle w:val="Hyperlink"/>
          </w:rPr>
          <w:t>C</w:t>
        </w:r>
        <w:r w:rsidRPr="009A081A">
          <w:rPr>
            <w:rStyle w:val="Hyperlink"/>
          </w:rPr>
          <w:t>hapter</w:t>
        </w:r>
      </w:hyperlink>
      <w:r>
        <w:t>.</w:t>
      </w:r>
    </w:p>
    <w:p w14:paraId="747CC322" w14:textId="2FC77C3E" w:rsidR="00CF361A" w:rsidRPr="00FF6366" w:rsidRDefault="00CF361A" w:rsidP="00CF361A">
      <w:pPr>
        <w:spacing w:before="240" w:line="259" w:lineRule="auto"/>
        <w:jc w:val="center"/>
        <w:rPr>
          <w:rFonts w:eastAsiaTheme="majorEastAsia" w:cstheme="majorBidi"/>
          <w:color w:val="008F55" w:themeColor="accent4"/>
        </w:rPr>
      </w:pPr>
      <w:r w:rsidRPr="00E6169F">
        <w:rPr>
          <w:rFonts w:eastAsiaTheme="majorEastAsia" w:cstheme="majorBidi"/>
          <w:color w:val="008F55" w:themeColor="accent4"/>
        </w:rPr>
        <w:t xml:space="preserve">Table </w:t>
      </w:r>
      <w:r w:rsidR="000550E0">
        <w:rPr>
          <w:rFonts w:eastAsiaTheme="majorEastAsia" w:cstheme="majorBidi"/>
          <w:color w:val="008F55" w:themeColor="accent4"/>
        </w:rPr>
        <w:t>2</w:t>
      </w:r>
      <w:r w:rsidRPr="005773BD">
        <w:rPr>
          <w:rFonts w:eastAsiaTheme="majorEastAsia" w:cstheme="majorBidi"/>
          <w:color w:val="008F55" w:themeColor="accent4"/>
        </w:rPr>
        <w:t>:</w:t>
      </w:r>
      <w:r w:rsidRPr="00E96C8D">
        <w:rPr>
          <w:rFonts w:eastAsiaTheme="majorEastAsia" w:cstheme="majorBidi"/>
          <w:color w:val="008F55" w:themeColor="accent4"/>
        </w:rPr>
        <w:t xml:space="preserve"> </w:t>
      </w:r>
      <w:r>
        <w:rPr>
          <w:rFonts w:eastAsiaTheme="majorEastAsia" w:cstheme="majorBidi"/>
          <w:color w:val="008F55" w:themeColor="accent4"/>
        </w:rPr>
        <w:t>Recommendations</w:t>
      </w:r>
    </w:p>
    <w:tbl>
      <w:tblPr>
        <w:tblStyle w:val="ListTable3-Accent2"/>
        <w:tblW w:w="9796" w:type="dxa"/>
        <w:tblLayout w:type="fixed"/>
        <w:tblLook w:val="0020" w:firstRow="1" w:lastRow="0" w:firstColumn="0" w:lastColumn="0" w:noHBand="0" w:noVBand="0"/>
        <w:tblCaption w:val="Table 8"/>
        <w:tblDescription w:val="Summary of Performance for Activity 6: Independent and transparent decision-making and engagement with stakeholders"/>
      </w:tblPr>
      <w:tblGrid>
        <w:gridCol w:w="704"/>
        <w:gridCol w:w="9092"/>
      </w:tblGrid>
      <w:tr w:rsidR="00CF361A" w:rsidRPr="00953DB3" w14:paraId="6B763723" w14:textId="77777777" w:rsidTr="00384B25">
        <w:trPr>
          <w:cnfStyle w:val="100000000000" w:firstRow="1" w:lastRow="0" w:firstColumn="0" w:lastColumn="0" w:oddVBand="0" w:evenVBand="0" w:oddHBand="0" w:evenHBand="0" w:firstRowFirstColumn="0" w:firstRowLastColumn="0" w:lastRowFirstColumn="0" w:lastRowLastColumn="0"/>
          <w:trHeight w:val="49"/>
          <w:tblHeader/>
        </w:trPr>
        <w:tc>
          <w:tcPr>
            <w:cnfStyle w:val="000010000000" w:firstRow="0" w:lastRow="0" w:firstColumn="0" w:lastColumn="0" w:oddVBand="1" w:evenVBand="0" w:oddHBand="0" w:evenHBand="0" w:firstRowFirstColumn="0" w:firstRowLastColumn="0" w:lastRowFirstColumn="0" w:lastRowLastColumn="0"/>
            <w:tcW w:w="704" w:type="dxa"/>
            <w:shd w:val="clear" w:color="auto" w:fill="379887" w:themeFill="accent5" w:themeFillShade="BF"/>
          </w:tcPr>
          <w:p w14:paraId="7156E789" w14:textId="77777777" w:rsidR="00CF361A" w:rsidRPr="00FF6366" w:rsidRDefault="00CF361A" w:rsidP="00384B25">
            <w:pPr>
              <w:spacing w:before="120" w:after="120"/>
              <w:rPr>
                <w:b w:val="0"/>
                <w:bCs w:val="0"/>
                <w:color w:val="FFFFFF" w:themeColor="background2"/>
                <w:sz w:val="20"/>
                <w:szCs w:val="20"/>
              </w:rPr>
            </w:pPr>
            <w:r>
              <w:rPr>
                <w:color w:val="FFFFFF" w:themeColor="background2"/>
                <w:sz w:val="20"/>
                <w:szCs w:val="20"/>
              </w:rPr>
              <w:t>No.</w:t>
            </w:r>
          </w:p>
        </w:tc>
        <w:tc>
          <w:tcPr>
            <w:tcW w:w="9092" w:type="dxa"/>
            <w:shd w:val="clear" w:color="auto" w:fill="379887" w:themeFill="accent5" w:themeFillShade="BF"/>
          </w:tcPr>
          <w:p w14:paraId="2DFD5A19" w14:textId="77777777" w:rsidR="00CF361A" w:rsidRPr="00FF6366" w:rsidRDefault="00CF361A" w:rsidP="00384B25">
            <w:pPr>
              <w:spacing w:before="120" w:after="120"/>
              <w:cnfStyle w:val="100000000000" w:firstRow="1" w:lastRow="0" w:firstColumn="0" w:lastColumn="0" w:oddVBand="0" w:evenVBand="0" w:oddHBand="0" w:evenHBand="0" w:firstRowFirstColumn="0" w:firstRowLastColumn="0" w:lastRowFirstColumn="0" w:lastRowLastColumn="0"/>
              <w:rPr>
                <w:b w:val="0"/>
                <w:bCs w:val="0"/>
                <w:color w:val="FFFFFF" w:themeColor="background2"/>
                <w:sz w:val="20"/>
                <w:szCs w:val="20"/>
              </w:rPr>
            </w:pPr>
            <w:r>
              <w:rPr>
                <w:color w:val="FFFFFF" w:themeColor="background2"/>
                <w:sz w:val="20"/>
                <w:szCs w:val="20"/>
              </w:rPr>
              <w:t>Recommendations</w:t>
            </w:r>
          </w:p>
        </w:tc>
      </w:tr>
      <w:tr w:rsidR="00CF361A" w:rsidRPr="00953DB3" w14:paraId="43DC1C6C" w14:textId="77777777" w:rsidTr="00384B25">
        <w:trPr>
          <w:cnfStyle w:val="000000100000" w:firstRow="0" w:lastRow="0" w:firstColumn="0" w:lastColumn="0" w:oddVBand="0" w:evenVBand="0" w:oddHBand="1"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704" w:type="dxa"/>
          </w:tcPr>
          <w:p w14:paraId="312E338D" w14:textId="77777777" w:rsidR="00CF361A" w:rsidRPr="0017525C" w:rsidRDefault="00CF361A" w:rsidP="00384B25">
            <w:pPr>
              <w:spacing w:before="120" w:after="120"/>
              <w:rPr>
                <w:b/>
                <w:bCs/>
                <w:color w:val="1C1C1C"/>
                <w:sz w:val="16"/>
                <w:szCs w:val="16"/>
              </w:rPr>
            </w:pPr>
            <w:r w:rsidRPr="0017525C">
              <w:rPr>
                <w:b/>
                <w:bCs/>
                <w:color w:val="1C1C1C"/>
                <w:sz w:val="16"/>
                <w:szCs w:val="16"/>
              </w:rPr>
              <w:t>1</w:t>
            </w:r>
          </w:p>
        </w:tc>
        <w:tc>
          <w:tcPr>
            <w:tcW w:w="9092" w:type="dxa"/>
          </w:tcPr>
          <w:p w14:paraId="547C692F" w14:textId="77777777" w:rsidR="00CF361A" w:rsidRPr="005F05EB" w:rsidRDefault="00CF361A" w:rsidP="00384B25">
            <w:pPr>
              <w:spacing w:before="120" w:after="120"/>
              <w:cnfStyle w:val="000000100000" w:firstRow="0" w:lastRow="0" w:firstColumn="0" w:lastColumn="0" w:oddVBand="0" w:evenVBand="0" w:oddHBand="1" w:evenHBand="0" w:firstRowFirstColumn="0" w:firstRowLastColumn="0" w:lastRowFirstColumn="0" w:lastRowLastColumn="0"/>
              <w:rPr>
                <w:sz w:val="16"/>
                <w:szCs w:val="16"/>
              </w:rPr>
            </w:pPr>
            <w:r w:rsidRPr="00C54DCB">
              <w:rPr>
                <w:sz w:val="16"/>
                <w:szCs w:val="16"/>
              </w:rPr>
              <w:t>The IFR as a reconciliation process to be discontinued and the jurisdictions to continue to provide IHACPA with a Data Quality Statement outlining exceptions in the application of the Australian Hospital Patient Costing Standards and the general ledger reconciliation.</w:t>
            </w:r>
          </w:p>
        </w:tc>
      </w:tr>
      <w:tr w:rsidR="00CF361A" w:rsidRPr="00953DB3" w14:paraId="63B79F40" w14:textId="77777777" w:rsidTr="00384B25">
        <w:trPr>
          <w:trHeight w:val="56"/>
        </w:trPr>
        <w:tc>
          <w:tcPr>
            <w:cnfStyle w:val="000010000000" w:firstRow="0" w:lastRow="0" w:firstColumn="0" w:lastColumn="0" w:oddVBand="1" w:evenVBand="0" w:oddHBand="0" w:evenHBand="0" w:firstRowFirstColumn="0" w:firstRowLastColumn="0" w:lastRowFirstColumn="0" w:lastRowLastColumn="0"/>
            <w:tcW w:w="704" w:type="dxa"/>
          </w:tcPr>
          <w:p w14:paraId="6E3B27BC" w14:textId="77777777" w:rsidR="00CF361A" w:rsidRPr="0017525C" w:rsidRDefault="00CF361A" w:rsidP="00384B25">
            <w:pPr>
              <w:spacing w:before="120" w:after="120"/>
              <w:rPr>
                <w:b/>
                <w:bCs/>
                <w:color w:val="1C1C1C"/>
                <w:sz w:val="16"/>
                <w:szCs w:val="16"/>
              </w:rPr>
            </w:pPr>
            <w:r>
              <w:rPr>
                <w:b/>
                <w:bCs/>
                <w:color w:val="1C1C1C"/>
                <w:sz w:val="16"/>
                <w:szCs w:val="16"/>
              </w:rPr>
              <w:t>2</w:t>
            </w:r>
          </w:p>
        </w:tc>
        <w:tc>
          <w:tcPr>
            <w:tcW w:w="9092" w:type="dxa"/>
          </w:tcPr>
          <w:p w14:paraId="6E704297" w14:textId="77777777" w:rsidR="00CF361A" w:rsidRPr="005F05EB" w:rsidRDefault="00CF361A" w:rsidP="00384B25">
            <w:pPr>
              <w:spacing w:before="120" w:after="120"/>
              <w:cnfStyle w:val="000000000000" w:firstRow="0" w:lastRow="0" w:firstColumn="0" w:lastColumn="0" w:oddVBand="0" w:evenVBand="0" w:oddHBand="0" w:evenHBand="0" w:firstRowFirstColumn="0" w:firstRowLastColumn="0" w:lastRowFirstColumn="0" w:lastRowLastColumn="0"/>
              <w:rPr>
                <w:sz w:val="16"/>
                <w:szCs w:val="16"/>
              </w:rPr>
            </w:pPr>
            <w:r>
              <w:rPr>
                <w:color w:val="1C1C1C"/>
                <w:sz w:val="16"/>
                <w:szCs w:val="16"/>
              </w:rPr>
              <w:t>The NHCDC Advisory Committee to develop a work plan that investigates the cost variations across the jurisdictions through selected focus areas.</w:t>
            </w:r>
          </w:p>
        </w:tc>
      </w:tr>
      <w:tr w:rsidR="00CF361A" w:rsidRPr="00953DB3" w14:paraId="623BF023" w14:textId="77777777" w:rsidTr="00384B25">
        <w:trPr>
          <w:cnfStyle w:val="000000100000" w:firstRow="0" w:lastRow="0" w:firstColumn="0" w:lastColumn="0" w:oddVBand="0" w:evenVBand="0" w:oddHBand="1" w:evenHBand="0" w:firstRowFirstColumn="0" w:firstRowLastColumn="0" w:lastRowFirstColumn="0" w:lastRowLastColumn="0"/>
          <w:trHeight w:val="49"/>
        </w:trPr>
        <w:tc>
          <w:tcPr>
            <w:cnfStyle w:val="000010000000" w:firstRow="0" w:lastRow="0" w:firstColumn="0" w:lastColumn="0" w:oddVBand="1" w:evenVBand="0" w:oddHBand="0" w:evenHBand="0" w:firstRowFirstColumn="0" w:firstRowLastColumn="0" w:lastRowFirstColumn="0" w:lastRowLastColumn="0"/>
            <w:tcW w:w="704" w:type="dxa"/>
          </w:tcPr>
          <w:p w14:paraId="166558F5" w14:textId="77777777" w:rsidR="00CF361A" w:rsidRPr="0017525C" w:rsidRDefault="00CF361A" w:rsidP="00384B25">
            <w:pPr>
              <w:spacing w:before="120" w:after="120"/>
              <w:rPr>
                <w:b/>
                <w:bCs/>
                <w:color w:val="1C1C1C"/>
                <w:sz w:val="16"/>
                <w:szCs w:val="16"/>
              </w:rPr>
            </w:pPr>
            <w:r>
              <w:rPr>
                <w:b/>
                <w:bCs/>
                <w:color w:val="1C1C1C"/>
                <w:sz w:val="16"/>
                <w:szCs w:val="16"/>
              </w:rPr>
              <w:t>3</w:t>
            </w:r>
          </w:p>
        </w:tc>
        <w:tc>
          <w:tcPr>
            <w:tcW w:w="9092" w:type="dxa"/>
          </w:tcPr>
          <w:p w14:paraId="49126866" w14:textId="77777777" w:rsidR="00CF361A" w:rsidRPr="00525FBE" w:rsidRDefault="00CF361A" w:rsidP="00384B25">
            <w:pPr>
              <w:spacing w:before="120" w:after="120"/>
              <w:cnfStyle w:val="000000100000" w:firstRow="0" w:lastRow="0" w:firstColumn="0" w:lastColumn="0" w:oddVBand="0" w:evenVBand="0" w:oddHBand="1" w:evenHBand="0" w:firstRowFirstColumn="0" w:firstRowLastColumn="0" w:lastRowFirstColumn="0" w:lastRowLastColumn="0"/>
              <w:rPr>
                <w:color w:val="1C1C1C"/>
                <w:sz w:val="16"/>
                <w:szCs w:val="16"/>
              </w:rPr>
            </w:pPr>
            <w:r w:rsidRPr="00F1353F">
              <w:rPr>
                <w:sz w:val="16"/>
                <w:szCs w:val="16"/>
              </w:rPr>
              <w:t xml:space="preserve">IHACPA to </w:t>
            </w:r>
            <w:r>
              <w:rPr>
                <w:sz w:val="16"/>
                <w:szCs w:val="16"/>
              </w:rPr>
              <w:t>develop an</w:t>
            </w:r>
            <w:r w:rsidRPr="00F1353F">
              <w:rPr>
                <w:sz w:val="16"/>
                <w:szCs w:val="16"/>
              </w:rPr>
              <w:t xml:space="preserve"> NHCDC Data Quality Framework</w:t>
            </w:r>
            <w:r>
              <w:rPr>
                <w:sz w:val="16"/>
                <w:szCs w:val="16"/>
              </w:rPr>
              <w:t xml:space="preserve"> to improve the cost and activity data collections in consultation with the states and territories.</w:t>
            </w:r>
          </w:p>
        </w:tc>
      </w:tr>
    </w:tbl>
    <w:p w14:paraId="7F5CA350" w14:textId="507A91DF" w:rsidR="009D7EFB" w:rsidRPr="00E96C8D" w:rsidRDefault="009D7EFB" w:rsidP="003C21B3">
      <w:pPr>
        <w:pStyle w:val="Heading2"/>
      </w:pPr>
      <w:r w:rsidRPr="00E96C8D">
        <w:t>Summary</w:t>
      </w:r>
      <w:r w:rsidR="00BE3DBD" w:rsidRPr="00E96C8D">
        <w:t xml:space="preserve"> Findings</w:t>
      </w:r>
      <w:bookmarkEnd w:id="9"/>
    </w:p>
    <w:p w14:paraId="4C1F48E0" w14:textId="256B8632" w:rsidR="00E96C8D" w:rsidRDefault="00DB5849" w:rsidP="00F35236">
      <w:pPr>
        <w:pStyle w:val="Heading3"/>
      </w:pPr>
      <w:r w:rsidRPr="00DB5849">
        <w:t xml:space="preserve">Australian Hospital Patient Costing Standards </w:t>
      </w:r>
      <w:r>
        <w:t>(AHPCS)</w:t>
      </w:r>
    </w:p>
    <w:p w14:paraId="61BC51E9" w14:textId="1073A585" w:rsidR="003E1CFE" w:rsidRPr="00E96C8D" w:rsidRDefault="000216E9" w:rsidP="044FA469">
      <w:pPr>
        <w:spacing w:line="259" w:lineRule="auto"/>
      </w:pPr>
      <w:r>
        <w:t>T</w:t>
      </w:r>
      <w:r w:rsidR="005A131F">
        <w:t xml:space="preserve">he NHCDC 2021-22 dataset </w:t>
      </w:r>
      <w:r w:rsidR="2B871783">
        <w:t xml:space="preserve">is </w:t>
      </w:r>
      <w:r w:rsidR="005A131F">
        <w:t xml:space="preserve">a robust </w:t>
      </w:r>
      <w:r w:rsidR="00346965">
        <w:t xml:space="preserve">data source </w:t>
      </w:r>
      <w:r w:rsidR="00FA676F">
        <w:t xml:space="preserve">used </w:t>
      </w:r>
      <w:r w:rsidR="00346965">
        <w:t xml:space="preserve">to </w:t>
      </w:r>
      <w:r w:rsidR="00E96C8D">
        <w:t xml:space="preserve">develop </w:t>
      </w:r>
      <w:r w:rsidR="003404ED">
        <w:t>the national efficient price (NEP)</w:t>
      </w:r>
      <w:r w:rsidR="005A131F">
        <w:t xml:space="preserve">. </w:t>
      </w:r>
      <w:r w:rsidR="00FA17D8">
        <w:t xml:space="preserve">There were common </w:t>
      </w:r>
      <w:r w:rsidR="007B1319">
        <w:t>themes</w:t>
      </w:r>
      <w:r w:rsidR="00FA17D8">
        <w:t xml:space="preserve"> across all the</w:t>
      </w:r>
      <w:r w:rsidR="00DE02F8">
        <w:t xml:space="preserve"> </w:t>
      </w:r>
      <w:r w:rsidR="007B1319">
        <w:t xml:space="preserve">bilateral meetings, </w:t>
      </w:r>
      <w:r w:rsidR="009A1F6D">
        <w:t>including</w:t>
      </w:r>
      <w:r w:rsidR="00FF535F">
        <w:t>:</w:t>
      </w:r>
    </w:p>
    <w:p w14:paraId="07C9DE12" w14:textId="0A2F1813" w:rsidR="001C55D9" w:rsidRPr="00E96C8D" w:rsidRDefault="00655378" w:rsidP="006F1F34">
      <w:pPr>
        <w:pStyle w:val="ListParagraph"/>
        <w:numPr>
          <w:ilvl w:val="0"/>
          <w:numId w:val="143"/>
        </w:numPr>
        <w:spacing w:line="259" w:lineRule="auto"/>
      </w:pPr>
      <w:r>
        <w:t xml:space="preserve">Governance and quality assurance processes were </w:t>
      </w:r>
      <w:r w:rsidR="00714118">
        <w:t>well</w:t>
      </w:r>
      <w:r>
        <w:t xml:space="preserve"> established</w:t>
      </w:r>
      <w:r w:rsidR="00B0161A">
        <w:t xml:space="preserve"> across all jurisdictions, but particularly in larger </w:t>
      </w:r>
      <w:r w:rsidR="00E96C8D">
        <w:t>jurisdictions</w:t>
      </w:r>
      <w:r w:rsidR="00FF535F">
        <w:t xml:space="preserve"> </w:t>
      </w:r>
      <w:r>
        <w:t>with well</w:t>
      </w:r>
      <w:r w:rsidR="00E96C8D">
        <w:t>-</w:t>
      </w:r>
      <w:r>
        <w:t xml:space="preserve">established costing infrastructure and </w:t>
      </w:r>
      <w:r w:rsidR="00920B91">
        <w:t>capabilities</w:t>
      </w:r>
      <w:r w:rsidR="00CD48C3">
        <w:t>.</w:t>
      </w:r>
    </w:p>
    <w:p w14:paraId="311439D9" w14:textId="12A21268" w:rsidR="001C55D9" w:rsidRPr="00E96C8D" w:rsidRDefault="00CD48C3" w:rsidP="006F1F34">
      <w:pPr>
        <w:pStyle w:val="ListParagraph"/>
        <w:numPr>
          <w:ilvl w:val="0"/>
          <w:numId w:val="143"/>
        </w:numPr>
        <w:spacing w:line="259" w:lineRule="auto"/>
      </w:pPr>
      <w:r>
        <w:t xml:space="preserve">Most jurisdictions noted </w:t>
      </w:r>
      <w:r w:rsidR="00B0161A">
        <w:t xml:space="preserve">challenges in costing admitted and community </w:t>
      </w:r>
      <w:r w:rsidR="001C55D9">
        <w:t>mental health</w:t>
      </w:r>
      <w:r w:rsidR="00B0161A">
        <w:t xml:space="preserve"> activity, although this is improving across jurisdictions. </w:t>
      </w:r>
      <w:r w:rsidR="002E5C6B">
        <w:t>For this reason</w:t>
      </w:r>
      <w:r w:rsidR="006B19D4">
        <w:t>,</w:t>
      </w:r>
      <w:r w:rsidR="002E5C6B">
        <w:t xml:space="preserve"> </w:t>
      </w:r>
      <w:r w:rsidR="00B0161A">
        <w:t xml:space="preserve">the </w:t>
      </w:r>
      <w:r w:rsidR="002E5C6B">
        <w:t xml:space="preserve">application of the </w:t>
      </w:r>
      <w:r w:rsidR="003470E9">
        <w:t xml:space="preserve">AHPCS </w:t>
      </w:r>
      <w:r w:rsidR="002E5C6B">
        <w:t>and the resulting quality of the data is expected to have a high variance</w:t>
      </w:r>
      <w:r w:rsidR="00B0161A">
        <w:t xml:space="preserve"> across jurisdictions</w:t>
      </w:r>
      <w:r>
        <w:t>.</w:t>
      </w:r>
    </w:p>
    <w:p w14:paraId="2145599D" w14:textId="19AA5348" w:rsidR="00D949EC" w:rsidRPr="00E96C8D" w:rsidRDefault="00D949EC" w:rsidP="006F1F34">
      <w:pPr>
        <w:pStyle w:val="ListParagraph"/>
        <w:numPr>
          <w:ilvl w:val="0"/>
          <w:numId w:val="143"/>
        </w:numPr>
        <w:spacing w:line="259" w:lineRule="auto"/>
      </w:pPr>
      <w:r w:rsidRPr="00E96C8D">
        <w:t xml:space="preserve">Challenges in the collection </w:t>
      </w:r>
      <w:r w:rsidR="006B19D4" w:rsidRPr="00E96C8D">
        <w:t xml:space="preserve">and costing of phase level palliative care data was seen to experience </w:t>
      </w:r>
      <w:r w:rsidR="00724708" w:rsidRPr="00E96C8D">
        <w:t xml:space="preserve">similar challenges as those identified for mental health, across </w:t>
      </w:r>
      <w:r w:rsidR="00E96C8D" w:rsidRPr="00E96C8D">
        <w:t>several</w:t>
      </w:r>
      <w:r w:rsidR="00724708" w:rsidRPr="00E96C8D">
        <w:t xml:space="preserve"> jurisdictions.</w:t>
      </w:r>
    </w:p>
    <w:p w14:paraId="258EB798" w14:textId="70D42341" w:rsidR="003470E9" w:rsidRDefault="00331BB9" w:rsidP="00332748">
      <w:pPr>
        <w:pStyle w:val="ListParagraph"/>
        <w:numPr>
          <w:ilvl w:val="0"/>
          <w:numId w:val="143"/>
        </w:numPr>
        <w:spacing w:line="259" w:lineRule="auto"/>
      </w:pPr>
      <w:r w:rsidRPr="00E96C8D">
        <w:t>Issue with</w:t>
      </w:r>
      <w:r w:rsidR="0003127D" w:rsidRPr="00E96C8D">
        <w:t xml:space="preserve"> the identification, collection</w:t>
      </w:r>
      <w:r w:rsidR="003470E9">
        <w:t>,</w:t>
      </w:r>
      <w:r w:rsidR="0003127D" w:rsidRPr="00E96C8D">
        <w:t xml:space="preserve"> and matching of </w:t>
      </w:r>
      <w:r w:rsidR="00E96C8D" w:rsidRPr="00E96C8D">
        <w:t>third-party</w:t>
      </w:r>
      <w:r w:rsidRPr="00E96C8D">
        <w:t xml:space="preserve"> data </w:t>
      </w:r>
      <w:r w:rsidR="0003127D" w:rsidRPr="00E96C8D">
        <w:t xml:space="preserve">remains a challenge across </w:t>
      </w:r>
      <w:r w:rsidR="00E96C8D" w:rsidRPr="00E96C8D">
        <w:t>several</w:t>
      </w:r>
      <w:r w:rsidR="0003127D" w:rsidRPr="00E96C8D">
        <w:t xml:space="preserve"> participating jurisdictions </w:t>
      </w:r>
      <w:r w:rsidRPr="00E96C8D">
        <w:t xml:space="preserve">reflecting fundamental technical challenges </w:t>
      </w:r>
      <w:r w:rsidR="0003127D" w:rsidRPr="00E96C8D">
        <w:t xml:space="preserve">associated </w:t>
      </w:r>
      <w:r w:rsidR="000E7B3B" w:rsidRPr="00E96C8D">
        <w:t>with this area of hospital costing.</w:t>
      </w:r>
    </w:p>
    <w:p w14:paraId="60BA7976" w14:textId="77777777" w:rsidR="00780721" w:rsidRDefault="00780721" w:rsidP="006F5881">
      <w:pPr>
        <w:sectPr w:rsidR="00780721" w:rsidSect="0064031D">
          <w:pgSz w:w="11906" w:h="16838" w:code="9"/>
          <w:pgMar w:top="1440" w:right="1080" w:bottom="1440" w:left="1080" w:header="708" w:footer="708" w:gutter="0"/>
          <w:cols w:space="708"/>
          <w:docGrid w:linePitch="360"/>
        </w:sectPr>
      </w:pPr>
    </w:p>
    <w:p w14:paraId="4FFD0790" w14:textId="77777777" w:rsidR="00CF361A" w:rsidRDefault="00CF361A" w:rsidP="00CF361A">
      <w:pPr>
        <w:pStyle w:val="Heading3"/>
      </w:pPr>
      <w:r>
        <w:lastRenderedPageBreak/>
        <w:t>General Ledger Reconciliation</w:t>
      </w:r>
    </w:p>
    <w:p w14:paraId="3917F661" w14:textId="50DB37DE" w:rsidR="00CF361A" w:rsidRDefault="00CF361A" w:rsidP="00652075">
      <w:pPr>
        <w:spacing w:before="160"/>
      </w:pPr>
      <w:r>
        <w:t>Consultation sought confirmation of each jurisdiction’s NHCDC submission, comparing figures sourced from IHACPA’s summary NHCDC output tables with information on adjustments made to the</w:t>
      </w:r>
      <w:r w:rsidR="00244536">
        <w:t xml:space="preserve"> general ledger</w:t>
      </w:r>
      <w:r>
        <w:t xml:space="preserve"> </w:t>
      </w:r>
      <w:r w:rsidR="00244536">
        <w:t>(</w:t>
      </w:r>
      <w:r>
        <w:t>GL</w:t>
      </w:r>
      <w:r w:rsidR="00244536">
        <w:t>)</w:t>
      </w:r>
      <w:r>
        <w:t xml:space="preserve"> prior to commencement of the costing process (creation of the cost ledger). </w:t>
      </w:r>
      <w:r>
        <w:fldChar w:fldCharType="begin"/>
      </w:r>
      <w:r>
        <w:instrText xml:space="preserve"> REF _Ref156570886 \h </w:instrText>
      </w:r>
      <w:r>
        <w:fldChar w:fldCharType="separate"/>
      </w:r>
      <w:r w:rsidR="00ED2B78" w:rsidRPr="00E96C8D">
        <w:t xml:space="preserve">Table </w:t>
      </w:r>
      <w:r w:rsidR="00ED2B78">
        <w:t>3</w:t>
      </w:r>
      <w:r>
        <w:fldChar w:fldCharType="end"/>
      </w:r>
      <w:r>
        <w:t xml:space="preserve"> contains a summary of GL information used in various stages of the hospital costing process.</w:t>
      </w:r>
    </w:p>
    <w:p w14:paraId="6753C39F" w14:textId="5C40FD06" w:rsidR="00CF361A" w:rsidRDefault="00CF361A" w:rsidP="00652075">
      <w:pPr>
        <w:spacing w:before="160"/>
      </w:pPr>
      <w:r>
        <w:t>A total of $6</w:t>
      </w:r>
      <w:r w:rsidR="004F0210">
        <w:t>7</w:t>
      </w:r>
      <w:r>
        <w:t>.</w:t>
      </w:r>
      <w:r w:rsidR="004F0210">
        <w:t>3</w:t>
      </w:r>
      <w:r>
        <w:t xml:space="preserve"> billion of expenses were reported in the costing ledger submissions across all jurisdictions. Following adjustments for unqualified newborns, the final NHCDC dataset constitutes $6</w:t>
      </w:r>
      <w:r w:rsidR="00DE21B2">
        <w:t>2</w:t>
      </w:r>
      <w:r>
        <w:t>.</w:t>
      </w:r>
      <w:r w:rsidR="00DE21B2">
        <w:t>8</w:t>
      </w:r>
      <w:r>
        <w:t xml:space="preserve"> billion for all jurisdictions. Unlinked costs</w:t>
      </w:r>
      <w:r w:rsidR="00244536">
        <w:t>,</w:t>
      </w:r>
      <w:r>
        <w:t xml:space="preserve"> </w:t>
      </w:r>
      <w:r w:rsidR="00244536">
        <w:t>work in progress (W</w:t>
      </w:r>
      <w:r>
        <w:t>IP</w:t>
      </w:r>
      <w:r w:rsidR="00244536">
        <w:t xml:space="preserve">), </w:t>
      </w:r>
      <w:r>
        <w:t>and other excluded costs of $598.</w:t>
      </w:r>
      <w:r w:rsidR="004F0210">
        <w:t>9</w:t>
      </w:r>
      <w:r>
        <w:t xml:space="preserve"> million and $224.2 million respectively result in a final linked cost for the NHCDC submission of $61.</w:t>
      </w:r>
      <w:r w:rsidR="004F0210">
        <w:t>9</w:t>
      </w:r>
      <w:r>
        <w:t xml:space="preserve"> billion.</w:t>
      </w:r>
    </w:p>
    <w:p w14:paraId="5EA83ABD" w14:textId="0CCD8691" w:rsidR="00CF361A" w:rsidRDefault="00CF361A" w:rsidP="00652075">
      <w:pPr>
        <w:spacing w:before="160"/>
      </w:pPr>
      <w:r>
        <w:t xml:space="preserve">No material variances were identified between jurisdictional and IHACPA records through this process. This confirms all appropriate costs </w:t>
      </w:r>
      <w:r w:rsidR="00894B32">
        <w:t>included in the</w:t>
      </w:r>
      <w:r w:rsidR="00244536">
        <w:t xml:space="preserve"> GL</w:t>
      </w:r>
      <w:r w:rsidR="00894B32">
        <w:t xml:space="preserve"> </w:t>
      </w:r>
      <w:r>
        <w:t>have been included in the NHCDC 2021-22 national dataset.</w:t>
      </w:r>
      <w:r w:rsidR="009D1FAF">
        <w:t xml:space="preserve"> Note </w:t>
      </w:r>
      <w:r w:rsidR="00B46394">
        <w:t xml:space="preserve">the </w:t>
      </w:r>
      <w:r w:rsidR="00B46394" w:rsidRPr="00B46394">
        <w:t xml:space="preserve">variation between the total costing ledger and the total NHCDC submission </w:t>
      </w:r>
      <w:r w:rsidR="00B46394">
        <w:t xml:space="preserve">for NSW and Tasmania </w:t>
      </w:r>
      <w:r w:rsidR="00B46394" w:rsidRPr="00B46394">
        <w:t xml:space="preserve">represents costs </w:t>
      </w:r>
      <w:r w:rsidR="0088730F">
        <w:t xml:space="preserve">of block funding, </w:t>
      </w:r>
      <w:r w:rsidR="00B46394" w:rsidRPr="00B46394">
        <w:t xml:space="preserve">teaching, </w:t>
      </w:r>
      <w:r w:rsidR="009B6AE2" w:rsidRPr="00B46394">
        <w:t>training,</w:t>
      </w:r>
      <w:r w:rsidR="00B46394" w:rsidRPr="00B46394">
        <w:t xml:space="preserve"> and research costs.</w:t>
      </w:r>
    </w:p>
    <w:p w14:paraId="542CC2F0" w14:textId="77777777" w:rsidR="00D11BC6" w:rsidRPr="00E96C8D" w:rsidRDefault="00D11BC6" w:rsidP="00D11BC6">
      <w:pPr>
        <w:pStyle w:val="TableFigureheading"/>
      </w:pPr>
      <w:r w:rsidRPr="00E96C8D">
        <w:t xml:space="preserve">Table </w:t>
      </w:r>
      <w:r>
        <w:t>3</w:t>
      </w:r>
      <w:r w:rsidRPr="00E96C8D">
        <w:t>: General Ledger Reconciliation</w:t>
      </w:r>
      <w:r>
        <w:t>, $ million</w:t>
      </w:r>
    </w:p>
    <w:tbl>
      <w:tblPr>
        <w:tblStyle w:val="ListTable3-Accent2"/>
        <w:tblW w:w="14454" w:type="dxa"/>
        <w:tblLayout w:type="fixed"/>
        <w:tblLook w:val="0020" w:firstRow="1" w:lastRow="0" w:firstColumn="0" w:lastColumn="0" w:noHBand="0" w:noVBand="0"/>
      </w:tblPr>
      <w:tblGrid>
        <w:gridCol w:w="3964"/>
        <w:gridCol w:w="1435"/>
        <w:gridCol w:w="1294"/>
        <w:gridCol w:w="1293"/>
        <w:gridCol w:w="1294"/>
        <w:gridCol w:w="1293"/>
        <w:gridCol w:w="1294"/>
        <w:gridCol w:w="1293"/>
        <w:gridCol w:w="1294"/>
      </w:tblGrid>
      <w:tr w:rsidR="00D11BC6" w:rsidRPr="00E96C8D" w14:paraId="03FBABE0" w14:textId="77777777" w:rsidTr="00741471">
        <w:trPr>
          <w:cnfStyle w:val="100000000000" w:firstRow="1" w:lastRow="0" w:firstColumn="0" w:lastColumn="0" w:oddVBand="0" w:evenVBand="0" w:oddHBand="0" w:evenHBand="0" w:firstRowFirstColumn="0" w:firstRowLastColumn="0" w:lastRowFirstColumn="0" w:lastRowLastColumn="0"/>
          <w:trHeight w:val="18"/>
        </w:trPr>
        <w:tc>
          <w:tcPr>
            <w:cnfStyle w:val="000010000000" w:firstRow="0" w:lastRow="0" w:firstColumn="0" w:lastColumn="0" w:oddVBand="1" w:evenVBand="0" w:oddHBand="0" w:evenHBand="0" w:firstRowFirstColumn="0" w:firstRowLastColumn="0" w:lastRowFirstColumn="0" w:lastRowLastColumn="0"/>
            <w:tcW w:w="3964" w:type="dxa"/>
            <w:shd w:val="clear" w:color="auto" w:fill="379887" w:themeFill="accent5" w:themeFillShade="BF"/>
            <w:vAlign w:val="center"/>
          </w:tcPr>
          <w:p w14:paraId="543F5A9C" w14:textId="77777777" w:rsidR="00D11BC6" w:rsidRPr="008A4B1E" w:rsidRDefault="00D11BC6" w:rsidP="00741471">
            <w:pPr>
              <w:spacing w:before="20" w:after="20"/>
              <w:rPr>
                <w:color w:val="FFFFFF" w:themeColor="background2"/>
                <w:sz w:val="20"/>
                <w:szCs w:val="20"/>
              </w:rPr>
            </w:pPr>
            <w:bookmarkStart w:id="10" w:name="_Hlk166758460"/>
          </w:p>
        </w:tc>
        <w:tc>
          <w:tcPr>
            <w:tcW w:w="1435" w:type="dxa"/>
            <w:shd w:val="clear" w:color="auto" w:fill="379887" w:themeFill="accent5" w:themeFillShade="BF"/>
            <w:vAlign w:val="center"/>
          </w:tcPr>
          <w:p w14:paraId="1D840251" w14:textId="77777777" w:rsidR="00D11BC6" w:rsidRPr="008A4B1E" w:rsidRDefault="00D11BC6" w:rsidP="00741471">
            <w:pPr>
              <w:spacing w:before="20" w:after="20"/>
              <w:jc w:val="center"/>
              <w:cnfStyle w:val="100000000000" w:firstRow="1" w:lastRow="0" w:firstColumn="0" w:lastColumn="0" w:oddVBand="0" w:evenVBand="0" w:oddHBand="0" w:evenHBand="0" w:firstRowFirstColumn="0" w:firstRowLastColumn="0" w:lastRowFirstColumn="0" w:lastRowLastColumn="0"/>
              <w:rPr>
                <w:color w:val="FFFFFF" w:themeColor="background2"/>
                <w:sz w:val="20"/>
                <w:szCs w:val="20"/>
              </w:rPr>
            </w:pPr>
            <w:r w:rsidRPr="00400506">
              <w:rPr>
                <w:color w:val="FFFFFF" w:themeColor="background2"/>
                <w:sz w:val="20"/>
                <w:szCs w:val="20"/>
              </w:rPr>
              <w:t>NSW</w:t>
            </w:r>
          </w:p>
        </w:tc>
        <w:tc>
          <w:tcPr>
            <w:cnfStyle w:val="000010000000" w:firstRow="0" w:lastRow="0" w:firstColumn="0" w:lastColumn="0" w:oddVBand="1" w:evenVBand="0" w:oddHBand="0" w:evenHBand="0" w:firstRowFirstColumn="0" w:firstRowLastColumn="0" w:lastRowFirstColumn="0" w:lastRowLastColumn="0"/>
            <w:tcW w:w="1294" w:type="dxa"/>
            <w:shd w:val="clear" w:color="auto" w:fill="379887" w:themeFill="accent5" w:themeFillShade="BF"/>
            <w:vAlign w:val="center"/>
          </w:tcPr>
          <w:p w14:paraId="6C59A9A0" w14:textId="77777777" w:rsidR="00D11BC6" w:rsidRPr="008A4B1E" w:rsidRDefault="00D11BC6" w:rsidP="00741471">
            <w:pPr>
              <w:spacing w:before="20" w:after="20"/>
              <w:jc w:val="center"/>
              <w:rPr>
                <w:color w:val="FFFFFF" w:themeColor="background2"/>
                <w:sz w:val="20"/>
                <w:szCs w:val="20"/>
              </w:rPr>
            </w:pPr>
            <w:r>
              <w:rPr>
                <w:color w:val="FFFFFF" w:themeColor="background2"/>
                <w:sz w:val="20"/>
                <w:szCs w:val="20"/>
              </w:rPr>
              <w:t>Vic</w:t>
            </w:r>
          </w:p>
        </w:tc>
        <w:tc>
          <w:tcPr>
            <w:tcW w:w="1293" w:type="dxa"/>
            <w:shd w:val="clear" w:color="auto" w:fill="379887" w:themeFill="accent5" w:themeFillShade="BF"/>
            <w:vAlign w:val="center"/>
          </w:tcPr>
          <w:p w14:paraId="46CD54EA" w14:textId="77777777" w:rsidR="00D11BC6" w:rsidRPr="008A4B1E" w:rsidRDefault="00D11BC6" w:rsidP="00741471">
            <w:pPr>
              <w:spacing w:before="20" w:after="20"/>
              <w:jc w:val="center"/>
              <w:cnfStyle w:val="100000000000" w:firstRow="1" w:lastRow="0" w:firstColumn="0" w:lastColumn="0" w:oddVBand="0" w:evenVBand="0" w:oddHBand="0" w:evenHBand="0" w:firstRowFirstColumn="0" w:firstRowLastColumn="0" w:lastRowFirstColumn="0" w:lastRowLastColumn="0"/>
              <w:rPr>
                <w:color w:val="FFFFFF" w:themeColor="background2"/>
                <w:sz w:val="20"/>
                <w:szCs w:val="20"/>
              </w:rPr>
            </w:pPr>
            <w:r>
              <w:rPr>
                <w:color w:val="FFFFFF" w:themeColor="background2"/>
                <w:sz w:val="20"/>
                <w:szCs w:val="20"/>
              </w:rPr>
              <w:t>Qld</w:t>
            </w:r>
          </w:p>
        </w:tc>
        <w:tc>
          <w:tcPr>
            <w:cnfStyle w:val="000010000000" w:firstRow="0" w:lastRow="0" w:firstColumn="0" w:lastColumn="0" w:oddVBand="1" w:evenVBand="0" w:oddHBand="0" w:evenHBand="0" w:firstRowFirstColumn="0" w:firstRowLastColumn="0" w:lastRowFirstColumn="0" w:lastRowLastColumn="0"/>
            <w:tcW w:w="1294" w:type="dxa"/>
            <w:shd w:val="clear" w:color="auto" w:fill="379887" w:themeFill="accent5" w:themeFillShade="BF"/>
            <w:vAlign w:val="center"/>
          </w:tcPr>
          <w:p w14:paraId="4E3F5D2A" w14:textId="77777777" w:rsidR="00D11BC6" w:rsidRPr="008A4B1E" w:rsidRDefault="00D11BC6" w:rsidP="00741471">
            <w:pPr>
              <w:spacing w:before="20" w:after="20"/>
              <w:jc w:val="center"/>
              <w:rPr>
                <w:color w:val="FFFFFF" w:themeColor="background2"/>
                <w:sz w:val="20"/>
                <w:szCs w:val="20"/>
              </w:rPr>
            </w:pPr>
            <w:r>
              <w:rPr>
                <w:color w:val="FFFFFF" w:themeColor="background2"/>
                <w:sz w:val="20"/>
                <w:szCs w:val="20"/>
              </w:rPr>
              <w:t>SA</w:t>
            </w:r>
          </w:p>
        </w:tc>
        <w:tc>
          <w:tcPr>
            <w:tcW w:w="1293" w:type="dxa"/>
            <w:shd w:val="clear" w:color="auto" w:fill="379887" w:themeFill="accent5" w:themeFillShade="BF"/>
            <w:vAlign w:val="center"/>
          </w:tcPr>
          <w:p w14:paraId="6FE5EB06" w14:textId="77777777" w:rsidR="00D11BC6" w:rsidRPr="008A4B1E" w:rsidRDefault="00D11BC6" w:rsidP="00741471">
            <w:pPr>
              <w:spacing w:before="20" w:after="20"/>
              <w:jc w:val="center"/>
              <w:cnfStyle w:val="100000000000" w:firstRow="1" w:lastRow="0" w:firstColumn="0" w:lastColumn="0" w:oddVBand="0" w:evenVBand="0" w:oddHBand="0" w:evenHBand="0" w:firstRowFirstColumn="0" w:firstRowLastColumn="0" w:lastRowFirstColumn="0" w:lastRowLastColumn="0"/>
              <w:rPr>
                <w:color w:val="FFFFFF" w:themeColor="background2"/>
                <w:sz w:val="20"/>
                <w:szCs w:val="20"/>
              </w:rPr>
            </w:pPr>
            <w:r>
              <w:rPr>
                <w:color w:val="FFFFFF" w:themeColor="background2"/>
                <w:sz w:val="20"/>
                <w:szCs w:val="20"/>
              </w:rPr>
              <w:t>WA</w:t>
            </w:r>
          </w:p>
        </w:tc>
        <w:tc>
          <w:tcPr>
            <w:cnfStyle w:val="000010000000" w:firstRow="0" w:lastRow="0" w:firstColumn="0" w:lastColumn="0" w:oddVBand="1" w:evenVBand="0" w:oddHBand="0" w:evenHBand="0" w:firstRowFirstColumn="0" w:firstRowLastColumn="0" w:lastRowFirstColumn="0" w:lastRowLastColumn="0"/>
            <w:tcW w:w="1294" w:type="dxa"/>
            <w:shd w:val="clear" w:color="auto" w:fill="379887" w:themeFill="accent5" w:themeFillShade="BF"/>
            <w:vAlign w:val="center"/>
          </w:tcPr>
          <w:p w14:paraId="62762C0E" w14:textId="77777777" w:rsidR="00D11BC6" w:rsidRPr="008A4B1E" w:rsidRDefault="00D11BC6" w:rsidP="00741471">
            <w:pPr>
              <w:spacing w:before="20" w:after="20"/>
              <w:jc w:val="center"/>
              <w:rPr>
                <w:color w:val="FFFFFF" w:themeColor="background2"/>
                <w:sz w:val="20"/>
                <w:szCs w:val="20"/>
              </w:rPr>
            </w:pPr>
            <w:r>
              <w:rPr>
                <w:color w:val="FFFFFF" w:themeColor="background2"/>
                <w:sz w:val="20"/>
                <w:szCs w:val="20"/>
              </w:rPr>
              <w:t>Tas</w:t>
            </w:r>
          </w:p>
        </w:tc>
        <w:tc>
          <w:tcPr>
            <w:tcW w:w="1293" w:type="dxa"/>
            <w:shd w:val="clear" w:color="auto" w:fill="379887" w:themeFill="accent5" w:themeFillShade="BF"/>
            <w:vAlign w:val="center"/>
          </w:tcPr>
          <w:p w14:paraId="6A84FE0F" w14:textId="77777777" w:rsidR="00D11BC6" w:rsidRPr="008A4B1E" w:rsidRDefault="00D11BC6" w:rsidP="00741471">
            <w:pPr>
              <w:spacing w:before="20" w:after="20"/>
              <w:jc w:val="center"/>
              <w:cnfStyle w:val="100000000000" w:firstRow="1" w:lastRow="0" w:firstColumn="0" w:lastColumn="0" w:oddVBand="0" w:evenVBand="0" w:oddHBand="0" w:evenHBand="0" w:firstRowFirstColumn="0" w:firstRowLastColumn="0" w:lastRowFirstColumn="0" w:lastRowLastColumn="0"/>
              <w:rPr>
                <w:color w:val="FFFFFF" w:themeColor="background2"/>
                <w:sz w:val="20"/>
                <w:szCs w:val="20"/>
              </w:rPr>
            </w:pPr>
            <w:r>
              <w:rPr>
                <w:color w:val="FFFFFF" w:themeColor="background2"/>
                <w:sz w:val="20"/>
                <w:szCs w:val="20"/>
              </w:rPr>
              <w:t>NT</w:t>
            </w:r>
          </w:p>
        </w:tc>
        <w:tc>
          <w:tcPr>
            <w:cnfStyle w:val="000010000000" w:firstRow="0" w:lastRow="0" w:firstColumn="0" w:lastColumn="0" w:oddVBand="1" w:evenVBand="0" w:oddHBand="0" w:evenHBand="0" w:firstRowFirstColumn="0" w:firstRowLastColumn="0" w:lastRowFirstColumn="0" w:lastRowLastColumn="0"/>
            <w:tcW w:w="1294" w:type="dxa"/>
            <w:shd w:val="clear" w:color="auto" w:fill="379887" w:themeFill="accent5" w:themeFillShade="BF"/>
            <w:vAlign w:val="center"/>
          </w:tcPr>
          <w:p w14:paraId="0B1371A6" w14:textId="77777777" w:rsidR="00D11BC6" w:rsidRPr="008A4B1E" w:rsidRDefault="00D11BC6" w:rsidP="00741471">
            <w:pPr>
              <w:spacing w:before="20" w:after="20"/>
              <w:jc w:val="center"/>
              <w:rPr>
                <w:color w:val="FFFFFF" w:themeColor="background2"/>
                <w:sz w:val="20"/>
                <w:szCs w:val="20"/>
              </w:rPr>
            </w:pPr>
            <w:r w:rsidRPr="00400506">
              <w:rPr>
                <w:color w:val="FFFFFF" w:themeColor="background2"/>
                <w:sz w:val="20"/>
                <w:szCs w:val="20"/>
              </w:rPr>
              <w:t>ACT</w:t>
            </w:r>
          </w:p>
        </w:tc>
      </w:tr>
      <w:tr w:rsidR="00D11BC6" w:rsidRPr="00E96C8D" w14:paraId="70E589ED" w14:textId="77777777" w:rsidTr="00741471">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68FD5730" w14:textId="77777777" w:rsidR="00D11BC6" w:rsidRPr="00E96C8D" w:rsidRDefault="00D11BC6" w:rsidP="00741471">
            <w:pPr>
              <w:spacing w:before="20" w:after="20"/>
              <w:rPr>
                <w:color w:val="1C1C1C"/>
                <w:sz w:val="16"/>
                <w:szCs w:val="16"/>
              </w:rPr>
            </w:pPr>
            <w:r w:rsidRPr="00E96C8D">
              <w:rPr>
                <w:color w:val="1C1C1C"/>
                <w:sz w:val="16"/>
                <w:szCs w:val="16"/>
              </w:rPr>
              <w:t>General ledger (GL)</w:t>
            </w:r>
          </w:p>
        </w:tc>
        <w:tc>
          <w:tcPr>
            <w:tcW w:w="1435" w:type="dxa"/>
          </w:tcPr>
          <w:p w14:paraId="5A06A9B9" w14:textId="77777777" w:rsidR="00D11BC6" w:rsidRPr="00170DCF"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Pr>
                <w:sz w:val="16"/>
                <w:szCs w:val="16"/>
              </w:rPr>
              <w:t>22,539.2</w:t>
            </w:r>
          </w:p>
        </w:tc>
        <w:tc>
          <w:tcPr>
            <w:cnfStyle w:val="000010000000" w:firstRow="0" w:lastRow="0" w:firstColumn="0" w:lastColumn="0" w:oddVBand="1" w:evenVBand="0" w:oddHBand="0" w:evenHBand="0" w:firstRowFirstColumn="0" w:firstRowLastColumn="0" w:lastRowFirstColumn="0" w:lastRowLastColumn="0"/>
            <w:tcW w:w="1294" w:type="dxa"/>
          </w:tcPr>
          <w:p w14:paraId="4CA9FD84" w14:textId="77777777" w:rsidR="00D11BC6" w:rsidRPr="006672DD" w:rsidRDefault="00D11BC6" w:rsidP="00741471">
            <w:pPr>
              <w:spacing w:before="20" w:after="20"/>
              <w:jc w:val="right"/>
              <w:rPr>
                <w:color w:val="1C1C1C"/>
                <w:sz w:val="16"/>
                <w:szCs w:val="16"/>
              </w:rPr>
            </w:pPr>
            <w:r w:rsidRPr="006672DD">
              <w:rPr>
                <w:sz w:val="16"/>
                <w:szCs w:val="16"/>
              </w:rPr>
              <w:t>21,286.6</w:t>
            </w:r>
          </w:p>
        </w:tc>
        <w:tc>
          <w:tcPr>
            <w:tcW w:w="1293" w:type="dxa"/>
          </w:tcPr>
          <w:p w14:paraId="306F8C97" w14:textId="77777777" w:rsidR="00D11BC6" w:rsidRPr="006672DD"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6672DD">
              <w:rPr>
                <w:sz w:val="16"/>
                <w:szCs w:val="16"/>
              </w:rPr>
              <w:t>18,193.5</w:t>
            </w:r>
          </w:p>
        </w:tc>
        <w:tc>
          <w:tcPr>
            <w:cnfStyle w:val="000010000000" w:firstRow="0" w:lastRow="0" w:firstColumn="0" w:lastColumn="0" w:oddVBand="1" w:evenVBand="0" w:oddHBand="0" w:evenHBand="0" w:firstRowFirstColumn="0" w:firstRowLastColumn="0" w:lastRowFirstColumn="0" w:lastRowLastColumn="0"/>
            <w:tcW w:w="1294" w:type="dxa"/>
          </w:tcPr>
          <w:p w14:paraId="42715C50" w14:textId="77777777" w:rsidR="00D11BC6" w:rsidRPr="006672DD" w:rsidRDefault="00D11BC6" w:rsidP="00741471">
            <w:pPr>
              <w:spacing w:before="20" w:after="20"/>
              <w:jc w:val="right"/>
              <w:rPr>
                <w:color w:val="1C1C1C"/>
                <w:sz w:val="16"/>
                <w:szCs w:val="16"/>
              </w:rPr>
            </w:pPr>
            <w:r w:rsidRPr="006672DD">
              <w:rPr>
                <w:sz w:val="16"/>
                <w:szCs w:val="16"/>
              </w:rPr>
              <w:t>7,048.3</w:t>
            </w:r>
          </w:p>
        </w:tc>
        <w:tc>
          <w:tcPr>
            <w:tcW w:w="1293" w:type="dxa"/>
          </w:tcPr>
          <w:p w14:paraId="11EF52A4" w14:textId="77777777" w:rsidR="00D11BC6" w:rsidRPr="006672DD"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6672DD">
              <w:rPr>
                <w:sz w:val="16"/>
                <w:szCs w:val="16"/>
              </w:rPr>
              <w:t>8,467.0</w:t>
            </w:r>
          </w:p>
        </w:tc>
        <w:tc>
          <w:tcPr>
            <w:cnfStyle w:val="000010000000" w:firstRow="0" w:lastRow="0" w:firstColumn="0" w:lastColumn="0" w:oddVBand="1" w:evenVBand="0" w:oddHBand="0" w:evenHBand="0" w:firstRowFirstColumn="0" w:firstRowLastColumn="0" w:lastRowFirstColumn="0" w:lastRowLastColumn="0"/>
            <w:tcW w:w="1294" w:type="dxa"/>
          </w:tcPr>
          <w:p w14:paraId="25420E6F" w14:textId="77777777" w:rsidR="00D11BC6" w:rsidRPr="006672DD" w:rsidRDefault="00D11BC6" w:rsidP="00741471">
            <w:pPr>
              <w:spacing w:before="20" w:after="20"/>
              <w:jc w:val="right"/>
              <w:rPr>
                <w:color w:val="1C1C1C"/>
                <w:sz w:val="16"/>
                <w:szCs w:val="16"/>
              </w:rPr>
            </w:pPr>
            <w:r w:rsidRPr="006672DD">
              <w:rPr>
                <w:sz w:val="16"/>
                <w:szCs w:val="16"/>
              </w:rPr>
              <w:t>2,204.3</w:t>
            </w:r>
          </w:p>
        </w:tc>
        <w:tc>
          <w:tcPr>
            <w:tcW w:w="1293" w:type="dxa"/>
          </w:tcPr>
          <w:p w14:paraId="72307C48" w14:textId="77777777" w:rsidR="00D11BC6" w:rsidRPr="006672DD"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6672DD">
              <w:rPr>
                <w:sz w:val="16"/>
                <w:szCs w:val="16"/>
              </w:rPr>
              <w:t>2,218.8</w:t>
            </w:r>
          </w:p>
        </w:tc>
        <w:tc>
          <w:tcPr>
            <w:cnfStyle w:val="000010000000" w:firstRow="0" w:lastRow="0" w:firstColumn="0" w:lastColumn="0" w:oddVBand="1" w:evenVBand="0" w:oddHBand="0" w:evenHBand="0" w:firstRowFirstColumn="0" w:firstRowLastColumn="0" w:lastRowFirstColumn="0" w:lastRowLastColumn="0"/>
            <w:tcW w:w="1294" w:type="dxa"/>
          </w:tcPr>
          <w:p w14:paraId="491CCCB1" w14:textId="43B01568" w:rsidR="00D11BC6" w:rsidRPr="006672DD" w:rsidRDefault="00AA6C91" w:rsidP="00741471">
            <w:pPr>
              <w:spacing w:before="20" w:after="20"/>
              <w:jc w:val="right"/>
              <w:rPr>
                <w:color w:val="1C1C1C"/>
                <w:sz w:val="16"/>
                <w:szCs w:val="16"/>
              </w:rPr>
            </w:pPr>
            <w:r>
              <w:rPr>
                <w:sz w:val="16"/>
                <w:szCs w:val="16"/>
              </w:rPr>
              <w:t>1,</w:t>
            </w:r>
            <w:r w:rsidR="00993D82">
              <w:rPr>
                <w:sz w:val="16"/>
                <w:szCs w:val="16"/>
              </w:rPr>
              <w:t>931.6</w:t>
            </w:r>
          </w:p>
        </w:tc>
      </w:tr>
      <w:tr w:rsidR="00D11BC6" w:rsidRPr="00E96C8D" w14:paraId="4810F6D7" w14:textId="77777777" w:rsidTr="00741471">
        <w:trPr>
          <w:trHeight w:val="70"/>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30E92AF5" w14:textId="77777777" w:rsidR="00D11BC6" w:rsidRPr="00E96C8D" w:rsidRDefault="00D11BC6" w:rsidP="00741471">
            <w:pPr>
              <w:spacing w:before="20" w:after="20"/>
              <w:rPr>
                <w:i/>
                <w:iCs/>
                <w:color w:val="1C1C1C"/>
                <w:sz w:val="16"/>
                <w:szCs w:val="16"/>
              </w:rPr>
            </w:pPr>
            <w:r w:rsidRPr="00E96C8D">
              <w:rPr>
                <w:color w:val="1C1C1C"/>
                <w:sz w:val="16"/>
                <w:szCs w:val="16"/>
              </w:rPr>
              <w:t xml:space="preserve">Adjustments to the GL – </w:t>
            </w:r>
            <w:r w:rsidRPr="00E96C8D">
              <w:rPr>
                <w:i/>
                <w:iCs/>
                <w:color w:val="1C1C1C"/>
                <w:sz w:val="16"/>
                <w:szCs w:val="16"/>
              </w:rPr>
              <w:t>Inclusions</w:t>
            </w:r>
          </w:p>
        </w:tc>
        <w:tc>
          <w:tcPr>
            <w:tcW w:w="1435" w:type="dxa"/>
          </w:tcPr>
          <w:p w14:paraId="7C21B52B" w14:textId="77777777" w:rsidR="00D11BC6" w:rsidRPr="00170DCF"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561.1</w:t>
            </w:r>
          </w:p>
        </w:tc>
        <w:tc>
          <w:tcPr>
            <w:cnfStyle w:val="000010000000" w:firstRow="0" w:lastRow="0" w:firstColumn="0" w:lastColumn="0" w:oddVBand="1" w:evenVBand="0" w:oddHBand="0" w:evenHBand="0" w:firstRowFirstColumn="0" w:firstRowLastColumn="0" w:lastRowFirstColumn="0" w:lastRowLastColumn="0"/>
            <w:tcW w:w="1294" w:type="dxa"/>
          </w:tcPr>
          <w:p w14:paraId="34302D5B" w14:textId="77777777" w:rsidR="00D11BC6" w:rsidRPr="006672DD" w:rsidRDefault="00D11BC6" w:rsidP="00741471">
            <w:pPr>
              <w:spacing w:before="20" w:after="20"/>
              <w:jc w:val="right"/>
              <w:rPr>
                <w:color w:val="1C1C1C"/>
                <w:sz w:val="16"/>
                <w:szCs w:val="16"/>
              </w:rPr>
            </w:pPr>
            <w:r w:rsidRPr="006672DD">
              <w:rPr>
                <w:sz w:val="16"/>
                <w:szCs w:val="16"/>
              </w:rPr>
              <w:t>691.4</w:t>
            </w:r>
          </w:p>
        </w:tc>
        <w:tc>
          <w:tcPr>
            <w:tcW w:w="1293" w:type="dxa"/>
          </w:tcPr>
          <w:p w14:paraId="3748C3EA" w14:textId="77777777" w:rsidR="00D11BC6" w:rsidRPr="006672DD"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6672DD">
              <w:rPr>
                <w:sz w:val="16"/>
                <w:szCs w:val="16"/>
              </w:rPr>
              <w:t>263.3</w:t>
            </w:r>
          </w:p>
        </w:tc>
        <w:tc>
          <w:tcPr>
            <w:cnfStyle w:val="000010000000" w:firstRow="0" w:lastRow="0" w:firstColumn="0" w:lastColumn="0" w:oddVBand="1" w:evenVBand="0" w:oddHBand="0" w:evenHBand="0" w:firstRowFirstColumn="0" w:firstRowLastColumn="0" w:lastRowFirstColumn="0" w:lastRowLastColumn="0"/>
            <w:tcW w:w="1294" w:type="dxa"/>
          </w:tcPr>
          <w:p w14:paraId="7D90C943" w14:textId="77777777" w:rsidR="00D11BC6" w:rsidRPr="006672DD" w:rsidRDefault="00D11BC6" w:rsidP="00741471">
            <w:pPr>
              <w:spacing w:before="20" w:after="20"/>
              <w:jc w:val="right"/>
              <w:rPr>
                <w:color w:val="1C1C1C"/>
                <w:sz w:val="16"/>
                <w:szCs w:val="16"/>
              </w:rPr>
            </w:pPr>
            <w:r w:rsidRPr="006672DD">
              <w:rPr>
                <w:sz w:val="16"/>
                <w:szCs w:val="16"/>
              </w:rPr>
              <w:t>-183.5</w:t>
            </w:r>
          </w:p>
        </w:tc>
        <w:tc>
          <w:tcPr>
            <w:tcW w:w="1293" w:type="dxa"/>
          </w:tcPr>
          <w:p w14:paraId="368606B4" w14:textId="77777777" w:rsidR="00D11BC6" w:rsidRPr="006672DD"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6672DD">
              <w:rPr>
                <w:sz w:val="16"/>
                <w:szCs w:val="16"/>
              </w:rPr>
              <w:t>87.0</w:t>
            </w:r>
          </w:p>
        </w:tc>
        <w:tc>
          <w:tcPr>
            <w:cnfStyle w:val="000010000000" w:firstRow="0" w:lastRow="0" w:firstColumn="0" w:lastColumn="0" w:oddVBand="1" w:evenVBand="0" w:oddHBand="0" w:evenHBand="0" w:firstRowFirstColumn="0" w:firstRowLastColumn="0" w:lastRowFirstColumn="0" w:lastRowLastColumn="0"/>
            <w:tcW w:w="1294" w:type="dxa"/>
          </w:tcPr>
          <w:p w14:paraId="4EBBE881" w14:textId="77777777" w:rsidR="00D11BC6" w:rsidRPr="006672DD" w:rsidRDefault="00D11BC6" w:rsidP="00741471">
            <w:pPr>
              <w:spacing w:before="20" w:after="20"/>
              <w:jc w:val="right"/>
              <w:rPr>
                <w:color w:val="1C1C1C"/>
                <w:sz w:val="16"/>
                <w:szCs w:val="16"/>
              </w:rPr>
            </w:pPr>
            <w:r w:rsidRPr="006672DD">
              <w:rPr>
                <w:sz w:val="16"/>
                <w:szCs w:val="16"/>
              </w:rPr>
              <w:t>345.3</w:t>
            </w:r>
          </w:p>
        </w:tc>
        <w:tc>
          <w:tcPr>
            <w:tcW w:w="1293" w:type="dxa"/>
          </w:tcPr>
          <w:p w14:paraId="19D370C9" w14:textId="77777777" w:rsidR="00D11BC6" w:rsidRPr="006672DD"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6672DD">
              <w:rPr>
                <w:sz w:val="16"/>
                <w:szCs w:val="16"/>
              </w:rPr>
              <w:t>40.1</w:t>
            </w:r>
          </w:p>
        </w:tc>
        <w:tc>
          <w:tcPr>
            <w:cnfStyle w:val="000010000000" w:firstRow="0" w:lastRow="0" w:firstColumn="0" w:lastColumn="0" w:oddVBand="1" w:evenVBand="0" w:oddHBand="0" w:evenHBand="0" w:firstRowFirstColumn="0" w:firstRowLastColumn="0" w:lastRowFirstColumn="0" w:lastRowLastColumn="0"/>
            <w:tcW w:w="1294" w:type="dxa"/>
          </w:tcPr>
          <w:p w14:paraId="5F9A9347" w14:textId="5532217A" w:rsidR="00D11BC6" w:rsidRPr="006672DD" w:rsidRDefault="00AA6C91" w:rsidP="00741471">
            <w:pPr>
              <w:spacing w:before="20" w:after="20"/>
              <w:jc w:val="right"/>
              <w:rPr>
                <w:color w:val="1C1C1C"/>
                <w:sz w:val="16"/>
                <w:szCs w:val="16"/>
              </w:rPr>
            </w:pPr>
            <w:r>
              <w:rPr>
                <w:sz w:val="16"/>
                <w:szCs w:val="16"/>
              </w:rPr>
              <w:t>-</w:t>
            </w:r>
          </w:p>
        </w:tc>
      </w:tr>
      <w:tr w:rsidR="00D11BC6" w:rsidRPr="00E96C8D" w14:paraId="388A1384" w14:textId="77777777" w:rsidTr="00741471">
        <w:trPr>
          <w:cnfStyle w:val="000000100000" w:firstRow="0" w:lastRow="0" w:firstColumn="0" w:lastColumn="0" w:oddVBand="0" w:evenVBand="0" w:oddHBand="1" w:evenHBand="0" w:firstRowFirstColumn="0" w:firstRowLastColumn="0" w:lastRowFirstColumn="0" w:lastRowLastColumn="0"/>
          <w:trHeight w:val="64"/>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4DDA6D19" w14:textId="77777777" w:rsidR="00D11BC6" w:rsidRPr="00E96C8D" w:rsidRDefault="00D11BC6" w:rsidP="00741471">
            <w:pPr>
              <w:spacing w:before="20" w:after="20"/>
              <w:rPr>
                <w:i/>
                <w:iCs/>
                <w:color w:val="1C1C1C"/>
                <w:sz w:val="16"/>
                <w:szCs w:val="16"/>
              </w:rPr>
            </w:pPr>
            <w:r w:rsidRPr="00E96C8D">
              <w:rPr>
                <w:color w:val="1C1C1C"/>
                <w:sz w:val="16"/>
                <w:szCs w:val="16"/>
              </w:rPr>
              <w:t xml:space="preserve">Adjustments to the GL – </w:t>
            </w:r>
            <w:r w:rsidRPr="00E96C8D">
              <w:rPr>
                <w:i/>
                <w:iCs/>
                <w:color w:val="1C1C1C"/>
                <w:sz w:val="16"/>
                <w:szCs w:val="16"/>
              </w:rPr>
              <w:t>Exclusions</w:t>
            </w:r>
          </w:p>
        </w:tc>
        <w:tc>
          <w:tcPr>
            <w:tcW w:w="1435" w:type="dxa"/>
          </w:tcPr>
          <w:p w14:paraId="4F982D80" w14:textId="77777777" w:rsidR="00D11BC6" w:rsidRPr="00170DCF"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Pr>
                <w:sz w:val="16"/>
                <w:szCs w:val="16"/>
              </w:rPr>
              <w:t>192.4</w:t>
            </w:r>
          </w:p>
        </w:tc>
        <w:tc>
          <w:tcPr>
            <w:cnfStyle w:val="000010000000" w:firstRow="0" w:lastRow="0" w:firstColumn="0" w:lastColumn="0" w:oddVBand="1" w:evenVBand="0" w:oddHBand="0" w:evenHBand="0" w:firstRowFirstColumn="0" w:firstRowLastColumn="0" w:lastRowFirstColumn="0" w:lastRowLastColumn="0"/>
            <w:tcW w:w="1294" w:type="dxa"/>
          </w:tcPr>
          <w:p w14:paraId="1C16640A" w14:textId="77777777" w:rsidR="00D11BC6" w:rsidRPr="006672DD" w:rsidRDefault="00D11BC6" w:rsidP="00741471">
            <w:pPr>
              <w:spacing w:before="20" w:after="20"/>
              <w:jc w:val="right"/>
              <w:rPr>
                <w:color w:val="1C1C1C"/>
                <w:sz w:val="16"/>
                <w:szCs w:val="16"/>
              </w:rPr>
            </w:pPr>
            <w:r w:rsidRPr="006672DD">
              <w:rPr>
                <w:sz w:val="16"/>
                <w:szCs w:val="16"/>
              </w:rPr>
              <w:t>6,709.3</w:t>
            </w:r>
          </w:p>
        </w:tc>
        <w:tc>
          <w:tcPr>
            <w:tcW w:w="1293" w:type="dxa"/>
          </w:tcPr>
          <w:p w14:paraId="220893A0" w14:textId="77777777" w:rsidR="00D11BC6" w:rsidRPr="006672DD"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6672DD">
              <w:rPr>
                <w:sz w:val="16"/>
                <w:szCs w:val="16"/>
              </w:rPr>
              <w:t>4,428.7</w:t>
            </w:r>
          </w:p>
        </w:tc>
        <w:tc>
          <w:tcPr>
            <w:cnfStyle w:val="000010000000" w:firstRow="0" w:lastRow="0" w:firstColumn="0" w:lastColumn="0" w:oddVBand="1" w:evenVBand="0" w:oddHBand="0" w:evenHBand="0" w:firstRowFirstColumn="0" w:firstRowLastColumn="0" w:lastRowFirstColumn="0" w:lastRowLastColumn="0"/>
            <w:tcW w:w="1294" w:type="dxa"/>
          </w:tcPr>
          <w:p w14:paraId="3E14193F" w14:textId="77777777" w:rsidR="00D11BC6" w:rsidRPr="006672DD" w:rsidRDefault="00D11BC6" w:rsidP="00741471">
            <w:pPr>
              <w:spacing w:before="20" w:after="20"/>
              <w:jc w:val="right"/>
              <w:rPr>
                <w:color w:val="1C1C1C"/>
                <w:sz w:val="16"/>
                <w:szCs w:val="16"/>
              </w:rPr>
            </w:pPr>
            <w:r w:rsidRPr="006672DD">
              <w:rPr>
                <w:sz w:val="16"/>
                <w:szCs w:val="16"/>
              </w:rPr>
              <w:t>-2,041.6</w:t>
            </w:r>
          </w:p>
        </w:tc>
        <w:tc>
          <w:tcPr>
            <w:tcW w:w="1293" w:type="dxa"/>
          </w:tcPr>
          <w:p w14:paraId="2419619A" w14:textId="77777777" w:rsidR="00D11BC6" w:rsidRPr="006672DD"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6672DD">
              <w:rPr>
                <w:sz w:val="16"/>
                <w:szCs w:val="16"/>
              </w:rPr>
              <w:t>2,113.3</w:t>
            </w:r>
          </w:p>
        </w:tc>
        <w:tc>
          <w:tcPr>
            <w:cnfStyle w:val="000010000000" w:firstRow="0" w:lastRow="0" w:firstColumn="0" w:lastColumn="0" w:oddVBand="1" w:evenVBand="0" w:oddHBand="0" w:evenHBand="0" w:firstRowFirstColumn="0" w:firstRowLastColumn="0" w:lastRowFirstColumn="0" w:lastRowLastColumn="0"/>
            <w:tcW w:w="1294" w:type="dxa"/>
          </w:tcPr>
          <w:p w14:paraId="7CC21101" w14:textId="77777777" w:rsidR="00D11BC6" w:rsidRPr="006672DD" w:rsidRDefault="00D11BC6" w:rsidP="00741471">
            <w:pPr>
              <w:spacing w:before="20" w:after="20"/>
              <w:jc w:val="right"/>
              <w:rPr>
                <w:color w:val="1C1C1C"/>
                <w:sz w:val="16"/>
                <w:szCs w:val="16"/>
              </w:rPr>
            </w:pPr>
            <w:r w:rsidRPr="006672DD">
              <w:rPr>
                <w:sz w:val="16"/>
                <w:szCs w:val="16"/>
              </w:rPr>
              <w:t>-</w:t>
            </w:r>
          </w:p>
        </w:tc>
        <w:tc>
          <w:tcPr>
            <w:tcW w:w="1293" w:type="dxa"/>
          </w:tcPr>
          <w:p w14:paraId="3C135F2E" w14:textId="77777777" w:rsidR="00D11BC6" w:rsidRPr="006672DD"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6672DD">
              <w:rPr>
                <w:sz w:val="16"/>
                <w:szCs w:val="16"/>
              </w:rPr>
              <w:t>968.6</w:t>
            </w:r>
          </w:p>
        </w:tc>
        <w:tc>
          <w:tcPr>
            <w:cnfStyle w:val="000010000000" w:firstRow="0" w:lastRow="0" w:firstColumn="0" w:lastColumn="0" w:oddVBand="1" w:evenVBand="0" w:oddHBand="0" w:evenHBand="0" w:firstRowFirstColumn="0" w:firstRowLastColumn="0" w:lastRowFirstColumn="0" w:lastRowLastColumn="0"/>
            <w:tcW w:w="1294" w:type="dxa"/>
          </w:tcPr>
          <w:p w14:paraId="4E373F74" w14:textId="7F3B3855" w:rsidR="00D11BC6" w:rsidRPr="006672DD" w:rsidRDefault="00993D82" w:rsidP="00741471">
            <w:pPr>
              <w:spacing w:before="20" w:after="20"/>
              <w:jc w:val="right"/>
              <w:rPr>
                <w:color w:val="1C1C1C"/>
                <w:sz w:val="16"/>
                <w:szCs w:val="16"/>
              </w:rPr>
            </w:pPr>
            <w:r>
              <w:rPr>
                <w:sz w:val="16"/>
                <w:szCs w:val="16"/>
              </w:rPr>
              <w:t>450.0</w:t>
            </w:r>
          </w:p>
        </w:tc>
      </w:tr>
      <w:tr w:rsidR="00D11BC6" w:rsidRPr="00E96C8D" w14:paraId="7B53589B" w14:textId="77777777" w:rsidTr="00741471">
        <w:trPr>
          <w:trHeight w:val="64"/>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241B88A5" w14:textId="77777777" w:rsidR="00D11BC6" w:rsidRPr="00E96C8D" w:rsidRDefault="00D11BC6" w:rsidP="00741471">
            <w:pPr>
              <w:spacing w:before="20" w:after="20"/>
              <w:rPr>
                <w:b/>
                <w:bCs/>
                <w:color w:val="1C1C1C"/>
                <w:sz w:val="16"/>
                <w:szCs w:val="16"/>
              </w:rPr>
            </w:pPr>
            <w:r w:rsidRPr="00E96C8D">
              <w:rPr>
                <w:b/>
                <w:bCs/>
                <w:color w:val="1C1C1C"/>
                <w:sz w:val="16"/>
                <w:szCs w:val="16"/>
              </w:rPr>
              <w:t>Total</w:t>
            </w:r>
            <w:r>
              <w:rPr>
                <w:b/>
                <w:bCs/>
                <w:color w:val="1C1C1C"/>
                <w:sz w:val="16"/>
                <w:szCs w:val="16"/>
              </w:rPr>
              <w:t xml:space="preserve"> Costing</w:t>
            </w:r>
            <w:r w:rsidRPr="00E96C8D">
              <w:rPr>
                <w:b/>
                <w:bCs/>
                <w:color w:val="1C1C1C"/>
                <w:sz w:val="16"/>
                <w:szCs w:val="16"/>
              </w:rPr>
              <w:t xml:space="preserve"> Ledger</w:t>
            </w:r>
          </w:p>
        </w:tc>
        <w:tc>
          <w:tcPr>
            <w:tcW w:w="1435" w:type="dxa"/>
          </w:tcPr>
          <w:p w14:paraId="4F55E5AD" w14:textId="0BB3C7AD" w:rsidR="00D11BC6" w:rsidRPr="00170DCF"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b/>
                <w:bCs/>
                <w:color w:val="1C1C1C"/>
                <w:sz w:val="16"/>
                <w:szCs w:val="16"/>
              </w:rPr>
            </w:pPr>
            <w:r>
              <w:rPr>
                <w:sz w:val="16"/>
                <w:szCs w:val="16"/>
              </w:rPr>
              <w:t>22,907.9</w:t>
            </w:r>
          </w:p>
        </w:tc>
        <w:tc>
          <w:tcPr>
            <w:cnfStyle w:val="000010000000" w:firstRow="0" w:lastRow="0" w:firstColumn="0" w:lastColumn="0" w:oddVBand="1" w:evenVBand="0" w:oddHBand="0" w:evenHBand="0" w:firstRowFirstColumn="0" w:firstRowLastColumn="0" w:lastRowFirstColumn="0" w:lastRowLastColumn="0"/>
            <w:tcW w:w="1294" w:type="dxa"/>
          </w:tcPr>
          <w:p w14:paraId="2D58FF7B" w14:textId="77777777" w:rsidR="00D11BC6" w:rsidRPr="006672DD" w:rsidRDefault="00D11BC6" w:rsidP="00741471">
            <w:pPr>
              <w:spacing w:before="20" w:after="20"/>
              <w:jc w:val="right"/>
              <w:rPr>
                <w:b/>
                <w:bCs/>
                <w:color w:val="1C1C1C"/>
                <w:sz w:val="16"/>
                <w:szCs w:val="16"/>
              </w:rPr>
            </w:pPr>
            <w:r w:rsidRPr="006672DD">
              <w:rPr>
                <w:sz w:val="16"/>
                <w:szCs w:val="16"/>
              </w:rPr>
              <w:t>15,268.7</w:t>
            </w:r>
          </w:p>
        </w:tc>
        <w:tc>
          <w:tcPr>
            <w:tcW w:w="1293" w:type="dxa"/>
          </w:tcPr>
          <w:p w14:paraId="4A4DDF29" w14:textId="77777777" w:rsidR="00D11BC6" w:rsidRPr="006672DD"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b/>
                <w:bCs/>
                <w:color w:val="1C1C1C"/>
                <w:sz w:val="16"/>
                <w:szCs w:val="16"/>
              </w:rPr>
            </w:pPr>
            <w:r w:rsidRPr="006672DD">
              <w:rPr>
                <w:sz w:val="16"/>
                <w:szCs w:val="16"/>
              </w:rPr>
              <w:t>14,028.1</w:t>
            </w:r>
          </w:p>
        </w:tc>
        <w:tc>
          <w:tcPr>
            <w:cnfStyle w:val="000010000000" w:firstRow="0" w:lastRow="0" w:firstColumn="0" w:lastColumn="0" w:oddVBand="1" w:evenVBand="0" w:oddHBand="0" w:evenHBand="0" w:firstRowFirstColumn="0" w:firstRowLastColumn="0" w:lastRowFirstColumn="0" w:lastRowLastColumn="0"/>
            <w:tcW w:w="1294" w:type="dxa"/>
          </w:tcPr>
          <w:p w14:paraId="2876FAB1" w14:textId="71165079" w:rsidR="00D11BC6" w:rsidRPr="006672DD" w:rsidRDefault="00D11BC6" w:rsidP="00741471">
            <w:pPr>
              <w:spacing w:before="20" w:after="20"/>
              <w:jc w:val="right"/>
              <w:rPr>
                <w:b/>
                <w:bCs/>
                <w:color w:val="1C1C1C"/>
                <w:sz w:val="16"/>
                <w:szCs w:val="16"/>
              </w:rPr>
            </w:pPr>
            <w:r w:rsidRPr="006672DD">
              <w:rPr>
                <w:sz w:val="16"/>
                <w:szCs w:val="16"/>
              </w:rPr>
              <w:t>4,823.2</w:t>
            </w:r>
          </w:p>
        </w:tc>
        <w:tc>
          <w:tcPr>
            <w:tcW w:w="1293" w:type="dxa"/>
          </w:tcPr>
          <w:p w14:paraId="777C271F" w14:textId="77777777" w:rsidR="00D11BC6" w:rsidRPr="006672DD"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b/>
                <w:bCs/>
                <w:color w:val="1C1C1C"/>
                <w:sz w:val="16"/>
                <w:szCs w:val="16"/>
              </w:rPr>
            </w:pPr>
            <w:r w:rsidRPr="006672DD">
              <w:rPr>
                <w:sz w:val="16"/>
                <w:szCs w:val="16"/>
              </w:rPr>
              <w:t>6,440.7</w:t>
            </w:r>
          </w:p>
        </w:tc>
        <w:tc>
          <w:tcPr>
            <w:cnfStyle w:val="000010000000" w:firstRow="0" w:lastRow="0" w:firstColumn="0" w:lastColumn="0" w:oddVBand="1" w:evenVBand="0" w:oddHBand="0" w:evenHBand="0" w:firstRowFirstColumn="0" w:firstRowLastColumn="0" w:lastRowFirstColumn="0" w:lastRowLastColumn="0"/>
            <w:tcW w:w="1294" w:type="dxa"/>
          </w:tcPr>
          <w:p w14:paraId="70F5D3C2" w14:textId="5C85A01F" w:rsidR="00D11BC6" w:rsidRPr="006672DD" w:rsidRDefault="00D11BC6" w:rsidP="00741471">
            <w:pPr>
              <w:spacing w:before="20" w:after="20"/>
              <w:jc w:val="right"/>
              <w:rPr>
                <w:b/>
                <w:bCs/>
                <w:color w:val="1C1C1C"/>
                <w:sz w:val="16"/>
                <w:szCs w:val="16"/>
              </w:rPr>
            </w:pPr>
            <w:r w:rsidRPr="006672DD">
              <w:rPr>
                <w:sz w:val="16"/>
                <w:szCs w:val="16"/>
              </w:rPr>
              <w:t>2,549.6</w:t>
            </w:r>
            <w:r w:rsidR="00350890">
              <w:rPr>
                <w:sz w:val="16"/>
                <w:szCs w:val="16"/>
              </w:rPr>
              <w:t>*</w:t>
            </w:r>
          </w:p>
        </w:tc>
        <w:tc>
          <w:tcPr>
            <w:tcW w:w="1293" w:type="dxa"/>
          </w:tcPr>
          <w:p w14:paraId="21C9B14A" w14:textId="77777777" w:rsidR="00D11BC6" w:rsidRPr="006672DD"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b/>
                <w:bCs/>
                <w:color w:val="1C1C1C"/>
                <w:sz w:val="16"/>
                <w:szCs w:val="16"/>
              </w:rPr>
            </w:pPr>
            <w:r w:rsidRPr="006672DD">
              <w:rPr>
                <w:sz w:val="16"/>
                <w:szCs w:val="16"/>
              </w:rPr>
              <w:t>1,290.3</w:t>
            </w:r>
          </w:p>
        </w:tc>
        <w:tc>
          <w:tcPr>
            <w:cnfStyle w:val="000010000000" w:firstRow="0" w:lastRow="0" w:firstColumn="0" w:lastColumn="0" w:oddVBand="1" w:evenVBand="0" w:oddHBand="0" w:evenHBand="0" w:firstRowFirstColumn="0" w:firstRowLastColumn="0" w:lastRowFirstColumn="0" w:lastRowLastColumn="0"/>
            <w:tcW w:w="1294" w:type="dxa"/>
          </w:tcPr>
          <w:p w14:paraId="51A32871" w14:textId="1DED0E1E" w:rsidR="00D11BC6" w:rsidRPr="006672DD" w:rsidRDefault="00AA6C91" w:rsidP="00741471">
            <w:pPr>
              <w:spacing w:before="20" w:after="20"/>
              <w:jc w:val="right"/>
              <w:rPr>
                <w:b/>
                <w:bCs/>
                <w:color w:val="1C1C1C"/>
                <w:sz w:val="16"/>
                <w:szCs w:val="16"/>
              </w:rPr>
            </w:pPr>
            <w:r>
              <w:rPr>
                <w:sz w:val="16"/>
                <w:szCs w:val="16"/>
              </w:rPr>
              <w:t>1,481.</w:t>
            </w:r>
            <w:r w:rsidR="00993D82">
              <w:rPr>
                <w:sz w:val="16"/>
                <w:szCs w:val="16"/>
              </w:rPr>
              <w:t>6</w:t>
            </w:r>
          </w:p>
        </w:tc>
      </w:tr>
      <w:tr w:rsidR="00D11BC6" w:rsidRPr="00E96C8D" w14:paraId="68FD99C8" w14:textId="77777777" w:rsidTr="00741471">
        <w:trPr>
          <w:cnfStyle w:val="000000100000" w:firstRow="0" w:lastRow="0" w:firstColumn="0" w:lastColumn="0" w:oddVBand="0" w:evenVBand="0" w:oddHBand="1" w:evenHBand="0" w:firstRowFirstColumn="0" w:firstRowLastColumn="0" w:lastRowFirstColumn="0" w:lastRowLastColumn="0"/>
          <w:trHeight w:val="64"/>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477B1F2E" w14:textId="77777777" w:rsidR="00D11BC6" w:rsidRPr="00E96C8D" w:rsidRDefault="00D11BC6" w:rsidP="00741471">
            <w:pPr>
              <w:spacing w:before="20" w:after="20"/>
              <w:rPr>
                <w:color w:val="1C1C1C"/>
                <w:sz w:val="16"/>
                <w:szCs w:val="16"/>
              </w:rPr>
            </w:pPr>
            <w:r w:rsidRPr="00E96C8D">
              <w:rPr>
                <w:color w:val="1C1C1C"/>
                <w:sz w:val="16"/>
                <w:szCs w:val="16"/>
              </w:rPr>
              <w:t>Total NHCDC Submission Received</w:t>
            </w:r>
          </w:p>
        </w:tc>
        <w:tc>
          <w:tcPr>
            <w:tcW w:w="1435" w:type="dxa"/>
          </w:tcPr>
          <w:p w14:paraId="5967FEB4" w14:textId="77777777" w:rsidR="00D11BC6" w:rsidRPr="005029AB"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Pr>
                <w:sz w:val="16"/>
                <w:szCs w:val="16"/>
              </w:rPr>
              <w:t>17,750.8</w:t>
            </w:r>
          </w:p>
        </w:tc>
        <w:tc>
          <w:tcPr>
            <w:cnfStyle w:val="000010000000" w:firstRow="0" w:lastRow="0" w:firstColumn="0" w:lastColumn="0" w:oddVBand="1" w:evenVBand="0" w:oddHBand="0" w:evenHBand="0" w:firstRowFirstColumn="0" w:firstRowLastColumn="0" w:lastRowFirstColumn="0" w:lastRowLastColumn="0"/>
            <w:tcW w:w="1294" w:type="dxa"/>
          </w:tcPr>
          <w:p w14:paraId="05A314D0" w14:textId="77777777" w:rsidR="00D11BC6" w:rsidRPr="005029AB" w:rsidRDefault="00D11BC6" w:rsidP="00741471">
            <w:pPr>
              <w:spacing w:before="20" w:after="20"/>
              <w:jc w:val="right"/>
              <w:rPr>
                <w:color w:val="1C1C1C"/>
                <w:sz w:val="16"/>
                <w:szCs w:val="16"/>
              </w:rPr>
            </w:pPr>
            <w:r w:rsidRPr="00835A75">
              <w:rPr>
                <w:sz w:val="16"/>
                <w:szCs w:val="16"/>
              </w:rPr>
              <w:t>15,268.7</w:t>
            </w:r>
          </w:p>
        </w:tc>
        <w:tc>
          <w:tcPr>
            <w:tcW w:w="1293" w:type="dxa"/>
          </w:tcPr>
          <w:p w14:paraId="5C6225BC" w14:textId="77777777" w:rsidR="00D11BC6" w:rsidRPr="005029AB"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835A75">
              <w:rPr>
                <w:sz w:val="16"/>
                <w:szCs w:val="16"/>
              </w:rPr>
              <w:t>14,028.1</w:t>
            </w:r>
          </w:p>
        </w:tc>
        <w:tc>
          <w:tcPr>
            <w:cnfStyle w:val="000010000000" w:firstRow="0" w:lastRow="0" w:firstColumn="0" w:lastColumn="0" w:oddVBand="1" w:evenVBand="0" w:oddHBand="0" w:evenHBand="0" w:firstRowFirstColumn="0" w:firstRowLastColumn="0" w:lastRowFirstColumn="0" w:lastRowLastColumn="0"/>
            <w:tcW w:w="1294" w:type="dxa"/>
          </w:tcPr>
          <w:p w14:paraId="3C4E83A6" w14:textId="2A43447B" w:rsidR="00D11BC6" w:rsidRPr="005029AB" w:rsidRDefault="001849E5" w:rsidP="00741471">
            <w:pPr>
              <w:spacing w:before="20" w:after="20"/>
              <w:jc w:val="right"/>
              <w:rPr>
                <w:color w:val="1C1C1C"/>
                <w:sz w:val="16"/>
                <w:szCs w:val="16"/>
              </w:rPr>
            </w:pPr>
            <w:r w:rsidRPr="00835A75">
              <w:rPr>
                <w:sz w:val="16"/>
                <w:szCs w:val="16"/>
              </w:rPr>
              <w:t>4,823.2</w:t>
            </w:r>
            <w:r>
              <w:rPr>
                <w:sz w:val="16"/>
                <w:szCs w:val="16"/>
              </w:rPr>
              <w:t xml:space="preserve"> </w:t>
            </w:r>
          </w:p>
        </w:tc>
        <w:tc>
          <w:tcPr>
            <w:tcW w:w="1293" w:type="dxa"/>
          </w:tcPr>
          <w:p w14:paraId="2B1D55CA" w14:textId="77777777" w:rsidR="00D11BC6" w:rsidRPr="005029AB"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835A75">
              <w:rPr>
                <w:sz w:val="16"/>
                <w:szCs w:val="16"/>
              </w:rPr>
              <w:t>6,440.7</w:t>
            </w:r>
          </w:p>
        </w:tc>
        <w:tc>
          <w:tcPr>
            <w:cnfStyle w:val="000010000000" w:firstRow="0" w:lastRow="0" w:firstColumn="0" w:lastColumn="0" w:oddVBand="1" w:evenVBand="0" w:oddHBand="0" w:evenHBand="0" w:firstRowFirstColumn="0" w:firstRowLastColumn="0" w:lastRowFirstColumn="0" w:lastRowLastColumn="0"/>
            <w:tcW w:w="1294" w:type="dxa"/>
          </w:tcPr>
          <w:p w14:paraId="1F710219" w14:textId="77777777" w:rsidR="00D11BC6" w:rsidRPr="005029AB" w:rsidRDefault="00D11BC6" w:rsidP="00741471">
            <w:pPr>
              <w:spacing w:before="20" w:after="20"/>
              <w:jc w:val="right"/>
              <w:rPr>
                <w:color w:val="1C1C1C"/>
                <w:sz w:val="16"/>
                <w:szCs w:val="16"/>
              </w:rPr>
            </w:pPr>
            <w:r w:rsidRPr="00835A75">
              <w:rPr>
                <w:sz w:val="16"/>
                <w:szCs w:val="16"/>
              </w:rPr>
              <w:t>1,668.2</w:t>
            </w:r>
          </w:p>
        </w:tc>
        <w:tc>
          <w:tcPr>
            <w:tcW w:w="1293" w:type="dxa"/>
          </w:tcPr>
          <w:p w14:paraId="4D6A3925" w14:textId="77777777" w:rsidR="00D11BC6" w:rsidRPr="005029AB"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835A75">
              <w:rPr>
                <w:sz w:val="16"/>
                <w:szCs w:val="16"/>
              </w:rPr>
              <w:t>1,290.3</w:t>
            </w:r>
          </w:p>
        </w:tc>
        <w:tc>
          <w:tcPr>
            <w:cnfStyle w:val="000010000000" w:firstRow="0" w:lastRow="0" w:firstColumn="0" w:lastColumn="0" w:oddVBand="1" w:evenVBand="0" w:oddHBand="0" w:evenHBand="0" w:firstRowFirstColumn="0" w:firstRowLastColumn="0" w:lastRowFirstColumn="0" w:lastRowLastColumn="0"/>
            <w:tcW w:w="1294" w:type="dxa"/>
          </w:tcPr>
          <w:p w14:paraId="7F1F25E4" w14:textId="77777777" w:rsidR="00D11BC6" w:rsidRPr="005029AB" w:rsidRDefault="00D11BC6" w:rsidP="00741471">
            <w:pPr>
              <w:spacing w:before="20" w:after="20"/>
              <w:jc w:val="right"/>
              <w:rPr>
                <w:color w:val="1C1C1C"/>
                <w:sz w:val="16"/>
                <w:szCs w:val="16"/>
              </w:rPr>
            </w:pPr>
            <w:r w:rsidRPr="00835A75">
              <w:rPr>
                <w:sz w:val="16"/>
                <w:szCs w:val="16"/>
              </w:rPr>
              <w:t>1,481.6</w:t>
            </w:r>
          </w:p>
        </w:tc>
      </w:tr>
      <w:tr w:rsidR="00D11BC6" w:rsidRPr="00E96C8D" w14:paraId="105B406A" w14:textId="77777777" w:rsidTr="00D568B8">
        <w:trPr>
          <w:trHeight w:val="49"/>
        </w:trPr>
        <w:tc>
          <w:tcPr>
            <w:cnfStyle w:val="000010000000" w:firstRow="0" w:lastRow="0" w:firstColumn="0" w:lastColumn="0" w:oddVBand="1" w:evenVBand="0" w:oddHBand="0" w:evenHBand="0" w:firstRowFirstColumn="0" w:firstRowLastColumn="0" w:lastRowFirstColumn="0" w:lastRowLastColumn="0"/>
            <w:tcW w:w="0" w:type="dxa"/>
            <w:vAlign w:val="center"/>
          </w:tcPr>
          <w:p w14:paraId="64017488" w14:textId="77777777" w:rsidR="00D11BC6" w:rsidRPr="00E96C8D" w:rsidRDefault="00D11BC6" w:rsidP="00741471">
            <w:pPr>
              <w:spacing w:before="20" w:after="20"/>
              <w:rPr>
                <w:color w:val="1C1C1C"/>
                <w:sz w:val="16"/>
                <w:szCs w:val="16"/>
              </w:rPr>
            </w:pPr>
            <w:r w:rsidRPr="00E96C8D">
              <w:rPr>
                <w:color w:val="1C1C1C"/>
                <w:sz w:val="16"/>
                <w:szCs w:val="16"/>
              </w:rPr>
              <w:t>Unqualified Baby Adjustment</w:t>
            </w:r>
          </w:p>
        </w:tc>
        <w:tc>
          <w:tcPr>
            <w:tcW w:w="0" w:type="dxa"/>
          </w:tcPr>
          <w:p w14:paraId="26E06E4F" w14:textId="77777777" w:rsidR="00D11BC6" w:rsidRPr="005029AB"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835A75">
              <w:rPr>
                <w:sz w:val="16"/>
                <w:szCs w:val="16"/>
              </w:rPr>
              <w:t>-</w:t>
            </w:r>
          </w:p>
        </w:tc>
        <w:tc>
          <w:tcPr>
            <w:cnfStyle w:val="000010000000" w:firstRow="0" w:lastRow="0" w:firstColumn="0" w:lastColumn="0" w:oddVBand="1" w:evenVBand="0" w:oddHBand="0" w:evenHBand="0" w:firstRowFirstColumn="0" w:firstRowLastColumn="0" w:lastRowFirstColumn="0" w:lastRowLastColumn="0"/>
            <w:tcW w:w="0" w:type="dxa"/>
          </w:tcPr>
          <w:p w14:paraId="0AF48B91" w14:textId="77777777" w:rsidR="00D11BC6" w:rsidRPr="005029AB" w:rsidRDefault="00D11BC6" w:rsidP="00741471">
            <w:pPr>
              <w:spacing w:before="20" w:after="20"/>
              <w:jc w:val="right"/>
              <w:rPr>
                <w:color w:val="1C1C1C"/>
                <w:sz w:val="16"/>
                <w:szCs w:val="16"/>
              </w:rPr>
            </w:pPr>
            <w:r w:rsidRPr="00835A75">
              <w:rPr>
                <w:sz w:val="16"/>
                <w:szCs w:val="16"/>
              </w:rPr>
              <w:t>0.1</w:t>
            </w:r>
          </w:p>
        </w:tc>
        <w:tc>
          <w:tcPr>
            <w:tcW w:w="0" w:type="dxa"/>
          </w:tcPr>
          <w:p w14:paraId="629AFC5C" w14:textId="77777777" w:rsidR="00D11BC6" w:rsidRPr="005029AB"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835A75">
              <w:rPr>
                <w:sz w:val="16"/>
                <w:szCs w:val="16"/>
              </w:rPr>
              <w:t>0.1</w:t>
            </w:r>
          </w:p>
        </w:tc>
        <w:tc>
          <w:tcPr>
            <w:cnfStyle w:val="000010000000" w:firstRow="0" w:lastRow="0" w:firstColumn="0" w:lastColumn="0" w:oddVBand="1" w:evenVBand="0" w:oddHBand="0" w:evenHBand="0" w:firstRowFirstColumn="0" w:firstRowLastColumn="0" w:lastRowFirstColumn="0" w:lastRowLastColumn="0"/>
            <w:tcW w:w="0" w:type="dxa"/>
          </w:tcPr>
          <w:p w14:paraId="6ED04896" w14:textId="77777777" w:rsidR="00D11BC6" w:rsidRPr="005029AB" w:rsidRDefault="00D11BC6" w:rsidP="00741471">
            <w:pPr>
              <w:spacing w:before="20" w:after="20"/>
              <w:jc w:val="right"/>
              <w:rPr>
                <w:color w:val="1C1C1C"/>
                <w:sz w:val="16"/>
                <w:szCs w:val="16"/>
              </w:rPr>
            </w:pPr>
            <w:r w:rsidRPr="00835A75">
              <w:rPr>
                <w:sz w:val="16"/>
                <w:szCs w:val="16"/>
              </w:rPr>
              <w:t>-</w:t>
            </w:r>
          </w:p>
        </w:tc>
        <w:tc>
          <w:tcPr>
            <w:tcW w:w="0" w:type="dxa"/>
          </w:tcPr>
          <w:p w14:paraId="477D834D" w14:textId="77777777" w:rsidR="00D11BC6" w:rsidRPr="005029AB"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835A75">
              <w:rPr>
                <w:sz w:val="16"/>
                <w:szCs w:val="16"/>
              </w:rPr>
              <w:t>0.0</w:t>
            </w:r>
          </w:p>
        </w:tc>
        <w:tc>
          <w:tcPr>
            <w:cnfStyle w:val="000010000000" w:firstRow="0" w:lastRow="0" w:firstColumn="0" w:lastColumn="0" w:oddVBand="1" w:evenVBand="0" w:oddHBand="0" w:evenHBand="0" w:firstRowFirstColumn="0" w:firstRowLastColumn="0" w:lastRowFirstColumn="0" w:lastRowLastColumn="0"/>
            <w:tcW w:w="0" w:type="dxa"/>
          </w:tcPr>
          <w:p w14:paraId="3522EE86" w14:textId="77777777" w:rsidR="00D11BC6" w:rsidRPr="005029AB" w:rsidRDefault="00D11BC6" w:rsidP="00741471">
            <w:pPr>
              <w:spacing w:before="20" w:after="20"/>
              <w:jc w:val="right"/>
              <w:rPr>
                <w:color w:val="1C1C1C"/>
                <w:sz w:val="16"/>
                <w:szCs w:val="16"/>
              </w:rPr>
            </w:pPr>
            <w:r w:rsidRPr="00835A75">
              <w:rPr>
                <w:sz w:val="16"/>
                <w:szCs w:val="16"/>
              </w:rPr>
              <w:t>0.0</w:t>
            </w:r>
          </w:p>
        </w:tc>
        <w:tc>
          <w:tcPr>
            <w:tcW w:w="0" w:type="dxa"/>
          </w:tcPr>
          <w:p w14:paraId="18256472" w14:textId="77777777" w:rsidR="00D11BC6" w:rsidRPr="005029AB"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835A75">
              <w:rPr>
                <w:sz w:val="16"/>
                <w:szCs w:val="16"/>
              </w:rPr>
              <w:t>-</w:t>
            </w:r>
          </w:p>
        </w:tc>
        <w:tc>
          <w:tcPr>
            <w:cnfStyle w:val="000010000000" w:firstRow="0" w:lastRow="0" w:firstColumn="0" w:lastColumn="0" w:oddVBand="1" w:evenVBand="0" w:oddHBand="0" w:evenHBand="0" w:firstRowFirstColumn="0" w:firstRowLastColumn="0" w:lastRowFirstColumn="0" w:lastRowLastColumn="0"/>
            <w:tcW w:w="0" w:type="dxa"/>
          </w:tcPr>
          <w:p w14:paraId="6D8B341D" w14:textId="77777777" w:rsidR="00D11BC6" w:rsidRPr="005029AB" w:rsidRDefault="00D11BC6" w:rsidP="00741471">
            <w:pPr>
              <w:spacing w:before="20" w:after="20"/>
              <w:jc w:val="right"/>
              <w:rPr>
                <w:color w:val="1C1C1C"/>
                <w:sz w:val="16"/>
                <w:szCs w:val="16"/>
              </w:rPr>
            </w:pPr>
            <w:r w:rsidRPr="00835A75">
              <w:rPr>
                <w:sz w:val="16"/>
                <w:szCs w:val="16"/>
              </w:rPr>
              <w:t>-</w:t>
            </w:r>
          </w:p>
        </w:tc>
      </w:tr>
      <w:tr w:rsidR="00D11BC6" w:rsidRPr="00E96C8D" w14:paraId="58C2A4A8" w14:textId="77777777" w:rsidTr="00741471">
        <w:trPr>
          <w:cnfStyle w:val="000000100000" w:firstRow="0" w:lastRow="0" w:firstColumn="0" w:lastColumn="0" w:oddVBand="0" w:evenVBand="0" w:oddHBand="1" w:evenHBand="0" w:firstRowFirstColumn="0" w:firstRowLastColumn="0" w:lastRowFirstColumn="0" w:lastRowLastColumn="0"/>
          <w:trHeight w:val="64"/>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17C2C9FF" w14:textId="77777777" w:rsidR="00D11BC6" w:rsidRPr="00E96C8D" w:rsidRDefault="00D11BC6" w:rsidP="00741471">
            <w:pPr>
              <w:spacing w:before="20" w:after="20"/>
              <w:rPr>
                <w:color w:val="1C1C1C"/>
                <w:sz w:val="16"/>
                <w:szCs w:val="16"/>
              </w:rPr>
            </w:pPr>
            <w:r w:rsidRPr="00E96C8D">
              <w:rPr>
                <w:color w:val="1C1C1C"/>
                <w:sz w:val="16"/>
                <w:szCs w:val="16"/>
              </w:rPr>
              <w:t>NHCDC Dataset</w:t>
            </w:r>
          </w:p>
        </w:tc>
        <w:tc>
          <w:tcPr>
            <w:tcW w:w="1435" w:type="dxa"/>
          </w:tcPr>
          <w:p w14:paraId="26CC0AEA" w14:textId="77777777" w:rsidR="00D11BC6" w:rsidRPr="005029AB"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Pr>
                <w:sz w:val="16"/>
                <w:szCs w:val="16"/>
              </w:rPr>
              <w:t>17,750.8</w:t>
            </w:r>
          </w:p>
        </w:tc>
        <w:tc>
          <w:tcPr>
            <w:cnfStyle w:val="000010000000" w:firstRow="0" w:lastRow="0" w:firstColumn="0" w:lastColumn="0" w:oddVBand="1" w:evenVBand="0" w:oddHBand="0" w:evenHBand="0" w:firstRowFirstColumn="0" w:firstRowLastColumn="0" w:lastRowFirstColumn="0" w:lastRowLastColumn="0"/>
            <w:tcW w:w="1294" w:type="dxa"/>
          </w:tcPr>
          <w:p w14:paraId="7CCB6D39" w14:textId="77777777" w:rsidR="00D11BC6" w:rsidRPr="005029AB" w:rsidRDefault="00D11BC6" w:rsidP="00741471">
            <w:pPr>
              <w:spacing w:before="20" w:after="20"/>
              <w:jc w:val="right"/>
              <w:rPr>
                <w:color w:val="1C1C1C"/>
                <w:sz w:val="16"/>
                <w:szCs w:val="16"/>
              </w:rPr>
            </w:pPr>
            <w:r w:rsidRPr="00835A75">
              <w:rPr>
                <w:sz w:val="16"/>
                <w:szCs w:val="16"/>
              </w:rPr>
              <w:t>15,268.6</w:t>
            </w:r>
          </w:p>
        </w:tc>
        <w:tc>
          <w:tcPr>
            <w:tcW w:w="1293" w:type="dxa"/>
          </w:tcPr>
          <w:p w14:paraId="232A2915" w14:textId="77777777" w:rsidR="00D11BC6" w:rsidRPr="005029AB"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835A75">
              <w:rPr>
                <w:sz w:val="16"/>
                <w:szCs w:val="16"/>
              </w:rPr>
              <w:t>14,028.0</w:t>
            </w:r>
          </w:p>
        </w:tc>
        <w:tc>
          <w:tcPr>
            <w:cnfStyle w:val="000010000000" w:firstRow="0" w:lastRow="0" w:firstColumn="0" w:lastColumn="0" w:oddVBand="1" w:evenVBand="0" w:oddHBand="0" w:evenHBand="0" w:firstRowFirstColumn="0" w:firstRowLastColumn="0" w:lastRowFirstColumn="0" w:lastRowLastColumn="0"/>
            <w:tcW w:w="1294" w:type="dxa"/>
          </w:tcPr>
          <w:p w14:paraId="2376CA65" w14:textId="3BE46A06" w:rsidR="00D11BC6" w:rsidRPr="005029AB" w:rsidRDefault="00D11BC6" w:rsidP="00741471">
            <w:pPr>
              <w:spacing w:before="20" w:after="20"/>
              <w:jc w:val="right"/>
              <w:rPr>
                <w:color w:val="1C1C1C"/>
                <w:sz w:val="16"/>
                <w:szCs w:val="16"/>
              </w:rPr>
            </w:pPr>
            <w:r w:rsidRPr="00835A75">
              <w:rPr>
                <w:sz w:val="16"/>
                <w:szCs w:val="16"/>
              </w:rPr>
              <w:t>4,823.2</w:t>
            </w:r>
          </w:p>
        </w:tc>
        <w:tc>
          <w:tcPr>
            <w:tcW w:w="1293" w:type="dxa"/>
          </w:tcPr>
          <w:p w14:paraId="1F3F4E46" w14:textId="77777777" w:rsidR="00D11BC6" w:rsidRPr="005029AB"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835A75">
              <w:rPr>
                <w:sz w:val="16"/>
                <w:szCs w:val="16"/>
              </w:rPr>
              <w:t>6,440.6</w:t>
            </w:r>
          </w:p>
        </w:tc>
        <w:tc>
          <w:tcPr>
            <w:cnfStyle w:val="000010000000" w:firstRow="0" w:lastRow="0" w:firstColumn="0" w:lastColumn="0" w:oddVBand="1" w:evenVBand="0" w:oddHBand="0" w:evenHBand="0" w:firstRowFirstColumn="0" w:firstRowLastColumn="0" w:lastRowFirstColumn="0" w:lastRowLastColumn="0"/>
            <w:tcW w:w="1294" w:type="dxa"/>
          </w:tcPr>
          <w:p w14:paraId="5AAA9524" w14:textId="77777777" w:rsidR="00D11BC6" w:rsidRPr="005029AB" w:rsidRDefault="00D11BC6" w:rsidP="00741471">
            <w:pPr>
              <w:spacing w:before="20" w:after="20"/>
              <w:jc w:val="right"/>
              <w:rPr>
                <w:color w:val="1C1C1C"/>
                <w:sz w:val="16"/>
                <w:szCs w:val="16"/>
              </w:rPr>
            </w:pPr>
            <w:r w:rsidRPr="00835A75">
              <w:rPr>
                <w:sz w:val="16"/>
                <w:szCs w:val="16"/>
              </w:rPr>
              <w:t>1,668.2</w:t>
            </w:r>
          </w:p>
        </w:tc>
        <w:tc>
          <w:tcPr>
            <w:tcW w:w="1293" w:type="dxa"/>
          </w:tcPr>
          <w:p w14:paraId="5D286B61" w14:textId="77777777" w:rsidR="00D11BC6" w:rsidRPr="005029AB"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835A75">
              <w:rPr>
                <w:sz w:val="16"/>
                <w:szCs w:val="16"/>
              </w:rPr>
              <w:t>1,290.3</w:t>
            </w:r>
          </w:p>
        </w:tc>
        <w:tc>
          <w:tcPr>
            <w:cnfStyle w:val="000010000000" w:firstRow="0" w:lastRow="0" w:firstColumn="0" w:lastColumn="0" w:oddVBand="1" w:evenVBand="0" w:oddHBand="0" w:evenHBand="0" w:firstRowFirstColumn="0" w:firstRowLastColumn="0" w:lastRowFirstColumn="0" w:lastRowLastColumn="0"/>
            <w:tcW w:w="1294" w:type="dxa"/>
          </w:tcPr>
          <w:p w14:paraId="72AC5841" w14:textId="77777777" w:rsidR="00D11BC6" w:rsidRPr="005029AB" w:rsidRDefault="00D11BC6" w:rsidP="00741471">
            <w:pPr>
              <w:spacing w:before="20" w:after="20"/>
              <w:jc w:val="right"/>
              <w:rPr>
                <w:color w:val="1C1C1C"/>
                <w:sz w:val="16"/>
                <w:szCs w:val="16"/>
              </w:rPr>
            </w:pPr>
            <w:r w:rsidRPr="00835A75">
              <w:rPr>
                <w:sz w:val="16"/>
                <w:szCs w:val="16"/>
              </w:rPr>
              <w:t>1,481.6</w:t>
            </w:r>
          </w:p>
        </w:tc>
      </w:tr>
      <w:tr w:rsidR="00D11BC6" w:rsidRPr="00E96C8D" w14:paraId="2F8EDB83" w14:textId="77777777" w:rsidTr="00741471">
        <w:trPr>
          <w:trHeight w:val="64"/>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3E33A25D" w14:textId="77777777" w:rsidR="00D11BC6" w:rsidRPr="00E96C8D" w:rsidRDefault="00D11BC6" w:rsidP="00741471">
            <w:pPr>
              <w:spacing w:before="20" w:after="20"/>
              <w:rPr>
                <w:color w:val="1C1C1C"/>
                <w:sz w:val="16"/>
                <w:szCs w:val="16"/>
              </w:rPr>
            </w:pPr>
            <w:r w:rsidRPr="00E96C8D">
              <w:rPr>
                <w:color w:val="1C1C1C"/>
                <w:sz w:val="16"/>
                <w:szCs w:val="16"/>
              </w:rPr>
              <w:t>NHCDC Unlinked Cost</w:t>
            </w:r>
          </w:p>
        </w:tc>
        <w:tc>
          <w:tcPr>
            <w:tcW w:w="1435" w:type="dxa"/>
          </w:tcPr>
          <w:p w14:paraId="5DE8A1C0" w14:textId="77777777" w:rsidR="00D11BC6" w:rsidRPr="005029AB"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835A75">
              <w:rPr>
                <w:sz w:val="16"/>
                <w:szCs w:val="16"/>
              </w:rPr>
              <w:t>0.</w:t>
            </w:r>
            <w:r>
              <w:rPr>
                <w:sz w:val="16"/>
                <w:szCs w:val="16"/>
              </w:rPr>
              <w:t>8</w:t>
            </w:r>
          </w:p>
        </w:tc>
        <w:tc>
          <w:tcPr>
            <w:cnfStyle w:val="000010000000" w:firstRow="0" w:lastRow="0" w:firstColumn="0" w:lastColumn="0" w:oddVBand="1" w:evenVBand="0" w:oddHBand="0" w:evenHBand="0" w:firstRowFirstColumn="0" w:firstRowLastColumn="0" w:lastRowFirstColumn="0" w:lastRowLastColumn="0"/>
            <w:tcW w:w="1294" w:type="dxa"/>
          </w:tcPr>
          <w:p w14:paraId="40922608" w14:textId="77777777" w:rsidR="00D11BC6" w:rsidRPr="005029AB" w:rsidRDefault="00D11BC6" w:rsidP="00741471">
            <w:pPr>
              <w:spacing w:before="20" w:after="20"/>
              <w:jc w:val="right"/>
              <w:rPr>
                <w:color w:val="1C1C1C"/>
                <w:sz w:val="16"/>
                <w:szCs w:val="16"/>
              </w:rPr>
            </w:pPr>
            <w:r w:rsidRPr="00835A75">
              <w:rPr>
                <w:sz w:val="16"/>
                <w:szCs w:val="16"/>
              </w:rPr>
              <w:t>265.5</w:t>
            </w:r>
          </w:p>
        </w:tc>
        <w:tc>
          <w:tcPr>
            <w:tcW w:w="1293" w:type="dxa"/>
          </w:tcPr>
          <w:p w14:paraId="41C9CE3C" w14:textId="77777777" w:rsidR="00D11BC6" w:rsidRPr="005029AB"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835A75">
              <w:rPr>
                <w:sz w:val="16"/>
                <w:szCs w:val="16"/>
              </w:rPr>
              <w:t>9.4</w:t>
            </w:r>
          </w:p>
        </w:tc>
        <w:tc>
          <w:tcPr>
            <w:cnfStyle w:val="000010000000" w:firstRow="0" w:lastRow="0" w:firstColumn="0" w:lastColumn="0" w:oddVBand="1" w:evenVBand="0" w:oddHBand="0" w:evenHBand="0" w:firstRowFirstColumn="0" w:firstRowLastColumn="0" w:lastRowFirstColumn="0" w:lastRowLastColumn="0"/>
            <w:tcW w:w="1294" w:type="dxa"/>
          </w:tcPr>
          <w:p w14:paraId="75F998A7" w14:textId="77777777" w:rsidR="00D11BC6" w:rsidRPr="005029AB" w:rsidRDefault="00D11BC6" w:rsidP="00741471">
            <w:pPr>
              <w:spacing w:before="20" w:after="20"/>
              <w:jc w:val="right"/>
              <w:rPr>
                <w:color w:val="1C1C1C"/>
                <w:sz w:val="16"/>
                <w:szCs w:val="16"/>
              </w:rPr>
            </w:pPr>
            <w:r w:rsidRPr="00835A75">
              <w:rPr>
                <w:sz w:val="16"/>
                <w:szCs w:val="16"/>
              </w:rPr>
              <w:t>104.4</w:t>
            </w:r>
          </w:p>
        </w:tc>
        <w:tc>
          <w:tcPr>
            <w:tcW w:w="1293" w:type="dxa"/>
          </w:tcPr>
          <w:p w14:paraId="03623C1A" w14:textId="77777777" w:rsidR="00D11BC6" w:rsidRPr="005029AB"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835A75">
              <w:rPr>
                <w:sz w:val="16"/>
                <w:szCs w:val="16"/>
              </w:rPr>
              <w:t>124.5</w:t>
            </w:r>
          </w:p>
        </w:tc>
        <w:tc>
          <w:tcPr>
            <w:cnfStyle w:val="000010000000" w:firstRow="0" w:lastRow="0" w:firstColumn="0" w:lastColumn="0" w:oddVBand="1" w:evenVBand="0" w:oddHBand="0" w:evenHBand="0" w:firstRowFirstColumn="0" w:firstRowLastColumn="0" w:lastRowFirstColumn="0" w:lastRowLastColumn="0"/>
            <w:tcW w:w="1294" w:type="dxa"/>
          </w:tcPr>
          <w:p w14:paraId="6AA8679E" w14:textId="77777777" w:rsidR="00D11BC6" w:rsidRPr="005029AB" w:rsidRDefault="00D11BC6" w:rsidP="00741471">
            <w:pPr>
              <w:spacing w:before="20" w:after="20"/>
              <w:jc w:val="right"/>
              <w:rPr>
                <w:color w:val="1C1C1C"/>
                <w:sz w:val="16"/>
                <w:szCs w:val="16"/>
              </w:rPr>
            </w:pPr>
            <w:r w:rsidRPr="00835A75">
              <w:rPr>
                <w:sz w:val="16"/>
                <w:szCs w:val="16"/>
              </w:rPr>
              <w:t>49.7</w:t>
            </w:r>
          </w:p>
        </w:tc>
        <w:tc>
          <w:tcPr>
            <w:tcW w:w="1293" w:type="dxa"/>
          </w:tcPr>
          <w:p w14:paraId="599BFEC0" w14:textId="77777777" w:rsidR="00D11BC6" w:rsidRPr="005029AB"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835A75">
              <w:rPr>
                <w:sz w:val="16"/>
                <w:szCs w:val="16"/>
              </w:rPr>
              <w:t>44.2</w:t>
            </w:r>
          </w:p>
        </w:tc>
        <w:tc>
          <w:tcPr>
            <w:cnfStyle w:val="000010000000" w:firstRow="0" w:lastRow="0" w:firstColumn="0" w:lastColumn="0" w:oddVBand="1" w:evenVBand="0" w:oddHBand="0" w:evenHBand="0" w:firstRowFirstColumn="0" w:firstRowLastColumn="0" w:lastRowFirstColumn="0" w:lastRowLastColumn="0"/>
            <w:tcW w:w="1294" w:type="dxa"/>
          </w:tcPr>
          <w:p w14:paraId="5088EA3C" w14:textId="77777777" w:rsidR="00D11BC6" w:rsidRPr="005029AB" w:rsidRDefault="00D11BC6" w:rsidP="00741471">
            <w:pPr>
              <w:spacing w:before="20" w:after="20"/>
              <w:jc w:val="right"/>
              <w:rPr>
                <w:color w:val="1C1C1C"/>
                <w:sz w:val="16"/>
                <w:szCs w:val="16"/>
              </w:rPr>
            </w:pPr>
            <w:r w:rsidRPr="00835A75">
              <w:rPr>
                <w:sz w:val="16"/>
                <w:szCs w:val="16"/>
              </w:rPr>
              <w:t>0.4</w:t>
            </w:r>
          </w:p>
        </w:tc>
      </w:tr>
      <w:tr w:rsidR="00D11BC6" w:rsidRPr="00E96C8D" w14:paraId="03B0B901" w14:textId="77777777" w:rsidTr="00741471">
        <w:trPr>
          <w:cnfStyle w:val="000000100000" w:firstRow="0" w:lastRow="0" w:firstColumn="0" w:lastColumn="0" w:oddVBand="0" w:evenVBand="0" w:oddHBand="1" w:evenHBand="0" w:firstRowFirstColumn="0" w:firstRowLastColumn="0" w:lastRowFirstColumn="0" w:lastRowLastColumn="0"/>
          <w:trHeight w:val="64"/>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1687F0A8" w14:textId="77777777" w:rsidR="00D11BC6" w:rsidRPr="00E96C8D" w:rsidRDefault="00D11BC6" w:rsidP="00741471">
            <w:pPr>
              <w:spacing w:before="20" w:after="20"/>
              <w:rPr>
                <w:color w:val="1C1C1C"/>
                <w:sz w:val="16"/>
                <w:szCs w:val="16"/>
              </w:rPr>
            </w:pPr>
            <w:r>
              <w:rPr>
                <w:color w:val="1C1C1C"/>
                <w:sz w:val="16"/>
                <w:szCs w:val="16"/>
              </w:rPr>
              <w:t>WIP</w:t>
            </w:r>
            <w:r w:rsidRPr="00E96C8D">
              <w:rPr>
                <w:color w:val="1C1C1C"/>
                <w:sz w:val="16"/>
                <w:szCs w:val="16"/>
              </w:rPr>
              <w:t xml:space="preserve"> (2 years) </w:t>
            </w:r>
            <w:r>
              <w:rPr>
                <w:color w:val="1C1C1C"/>
                <w:sz w:val="16"/>
                <w:szCs w:val="16"/>
              </w:rPr>
              <w:t>and</w:t>
            </w:r>
            <w:r w:rsidRPr="00E96C8D">
              <w:rPr>
                <w:color w:val="1C1C1C"/>
                <w:sz w:val="16"/>
                <w:szCs w:val="16"/>
              </w:rPr>
              <w:t xml:space="preserve"> Exclude Cost Bucket</w:t>
            </w:r>
          </w:p>
        </w:tc>
        <w:tc>
          <w:tcPr>
            <w:tcW w:w="1435" w:type="dxa"/>
          </w:tcPr>
          <w:p w14:paraId="78281C1E" w14:textId="77777777" w:rsidR="00D11BC6" w:rsidRPr="005029AB"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835A75">
              <w:rPr>
                <w:sz w:val="16"/>
                <w:szCs w:val="16"/>
              </w:rPr>
              <w:t>10.4</w:t>
            </w:r>
          </w:p>
        </w:tc>
        <w:tc>
          <w:tcPr>
            <w:cnfStyle w:val="000010000000" w:firstRow="0" w:lastRow="0" w:firstColumn="0" w:lastColumn="0" w:oddVBand="1" w:evenVBand="0" w:oddHBand="0" w:evenHBand="0" w:firstRowFirstColumn="0" w:firstRowLastColumn="0" w:lastRowFirstColumn="0" w:lastRowLastColumn="0"/>
            <w:tcW w:w="1294" w:type="dxa"/>
          </w:tcPr>
          <w:p w14:paraId="35CBA8DB" w14:textId="77777777" w:rsidR="00D11BC6" w:rsidRPr="005029AB" w:rsidRDefault="00D11BC6" w:rsidP="00741471">
            <w:pPr>
              <w:spacing w:before="20" w:after="20"/>
              <w:jc w:val="right"/>
              <w:rPr>
                <w:color w:val="1C1C1C"/>
                <w:sz w:val="16"/>
                <w:szCs w:val="16"/>
              </w:rPr>
            </w:pPr>
            <w:r w:rsidRPr="00835A75">
              <w:rPr>
                <w:sz w:val="16"/>
                <w:szCs w:val="16"/>
              </w:rPr>
              <w:t>42.5</w:t>
            </w:r>
          </w:p>
        </w:tc>
        <w:tc>
          <w:tcPr>
            <w:tcW w:w="1293" w:type="dxa"/>
          </w:tcPr>
          <w:p w14:paraId="61199A12" w14:textId="77777777" w:rsidR="00D11BC6" w:rsidRPr="005029AB"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835A75">
              <w:rPr>
                <w:sz w:val="16"/>
                <w:szCs w:val="16"/>
              </w:rPr>
              <w:t>64.0</w:t>
            </w:r>
          </w:p>
        </w:tc>
        <w:tc>
          <w:tcPr>
            <w:cnfStyle w:val="000010000000" w:firstRow="0" w:lastRow="0" w:firstColumn="0" w:lastColumn="0" w:oddVBand="1" w:evenVBand="0" w:oddHBand="0" w:evenHBand="0" w:firstRowFirstColumn="0" w:firstRowLastColumn="0" w:lastRowFirstColumn="0" w:lastRowLastColumn="0"/>
            <w:tcW w:w="1294" w:type="dxa"/>
          </w:tcPr>
          <w:p w14:paraId="2E388D71" w14:textId="77777777" w:rsidR="00D11BC6" w:rsidRPr="005029AB" w:rsidRDefault="00D11BC6" w:rsidP="00741471">
            <w:pPr>
              <w:spacing w:before="20" w:after="20"/>
              <w:jc w:val="right"/>
              <w:rPr>
                <w:color w:val="1C1C1C"/>
                <w:sz w:val="16"/>
                <w:szCs w:val="16"/>
              </w:rPr>
            </w:pPr>
            <w:r w:rsidRPr="00835A75">
              <w:rPr>
                <w:sz w:val="16"/>
                <w:szCs w:val="16"/>
              </w:rPr>
              <w:t>13.1</w:t>
            </w:r>
          </w:p>
        </w:tc>
        <w:tc>
          <w:tcPr>
            <w:tcW w:w="1293" w:type="dxa"/>
          </w:tcPr>
          <w:p w14:paraId="4A96E6EA" w14:textId="77777777" w:rsidR="00D11BC6" w:rsidRPr="005029AB"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835A75">
              <w:rPr>
                <w:sz w:val="16"/>
                <w:szCs w:val="16"/>
              </w:rPr>
              <w:t>41.2</w:t>
            </w:r>
          </w:p>
        </w:tc>
        <w:tc>
          <w:tcPr>
            <w:cnfStyle w:val="000010000000" w:firstRow="0" w:lastRow="0" w:firstColumn="0" w:lastColumn="0" w:oddVBand="1" w:evenVBand="0" w:oddHBand="0" w:evenHBand="0" w:firstRowFirstColumn="0" w:firstRowLastColumn="0" w:lastRowFirstColumn="0" w:lastRowLastColumn="0"/>
            <w:tcW w:w="1294" w:type="dxa"/>
          </w:tcPr>
          <w:p w14:paraId="1A25880F" w14:textId="77777777" w:rsidR="00D11BC6" w:rsidRPr="005029AB" w:rsidRDefault="00D11BC6" w:rsidP="00741471">
            <w:pPr>
              <w:spacing w:before="20" w:after="20"/>
              <w:jc w:val="right"/>
              <w:rPr>
                <w:color w:val="1C1C1C"/>
                <w:sz w:val="16"/>
                <w:szCs w:val="16"/>
              </w:rPr>
            </w:pPr>
            <w:r w:rsidRPr="00835A75">
              <w:rPr>
                <w:sz w:val="16"/>
                <w:szCs w:val="16"/>
              </w:rPr>
              <w:t>0.5</w:t>
            </w:r>
          </w:p>
        </w:tc>
        <w:tc>
          <w:tcPr>
            <w:tcW w:w="1293" w:type="dxa"/>
          </w:tcPr>
          <w:p w14:paraId="2CE17441" w14:textId="77777777" w:rsidR="00D11BC6" w:rsidRPr="005029AB" w:rsidRDefault="00D11BC6" w:rsidP="00741471">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835A75">
              <w:rPr>
                <w:sz w:val="16"/>
                <w:szCs w:val="16"/>
              </w:rPr>
              <w:t>50.5</w:t>
            </w:r>
          </w:p>
        </w:tc>
        <w:tc>
          <w:tcPr>
            <w:cnfStyle w:val="000010000000" w:firstRow="0" w:lastRow="0" w:firstColumn="0" w:lastColumn="0" w:oddVBand="1" w:evenVBand="0" w:oddHBand="0" w:evenHBand="0" w:firstRowFirstColumn="0" w:firstRowLastColumn="0" w:lastRowFirstColumn="0" w:lastRowLastColumn="0"/>
            <w:tcW w:w="1294" w:type="dxa"/>
          </w:tcPr>
          <w:p w14:paraId="60359C0E" w14:textId="77777777" w:rsidR="00D11BC6" w:rsidRPr="005029AB" w:rsidRDefault="00D11BC6" w:rsidP="00741471">
            <w:pPr>
              <w:spacing w:before="20" w:after="20"/>
              <w:jc w:val="right"/>
              <w:rPr>
                <w:color w:val="1C1C1C"/>
                <w:sz w:val="16"/>
                <w:szCs w:val="16"/>
              </w:rPr>
            </w:pPr>
            <w:r w:rsidRPr="00835A75">
              <w:rPr>
                <w:sz w:val="16"/>
                <w:szCs w:val="16"/>
              </w:rPr>
              <w:t>2.0</w:t>
            </w:r>
          </w:p>
        </w:tc>
      </w:tr>
      <w:tr w:rsidR="00D11BC6" w:rsidRPr="00E96C8D" w14:paraId="40EEDD2B" w14:textId="77777777" w:rsidTr="00741471">
        <w:trPr>
          <w:trHeight w:val="64"/>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2DB60EC4" w14:textId="77777777" w:rsidR="00D11BC6" w:rsidRDefault="00D11BC6" w:rsidP="00741471">
            <w:pPr>
              <w:spacing w:before="20" w:after="20"/>
              <w:rPr>
                <w:color w:val="1C1C1C"/>
                <w:sz w:val="16"/>
                <w:szCs w:val="16"/>
              </w:rPr>
            </w:pPr>
            <w:r w:rsidRPr="00E96C8D">
              <w:rPr>
                <w:color w:val="1C1C1C"/>
                <w:sz w:val="16"/>
                <w:szCs w:val="16"/>
              </w:rPr>
              <w:t xml:space="preserve">NHCDC Linked Cost </w:t>
            </w:r>
          </w:p>
          <w:p w14:paraId="3C613FE8" w14:textId="77777777" w:rsidR="00D11BC6" w:rsidRPr="00E96C8D" w:rsidRDefault="00D11BC6" w:rsidP="00741471">
            <w:pPr>
              <w:spacing w:before="20" w:after="20"/>
              <w:rPr>
                <w:color w:val="1C1C1C"/>
                <w:sz w:val="16"/>
                <w:szCs w:val="16"/>
              </w:rPr>
            </w:pPr>
            <w:r>
              <w:rPr>
                <w:color w:val="1C1C1C"/>
                <w:sz w:val="16"/>
                <w:szCs w:val="16"/>
              </w:rPr>
              <w:t>(NHCDC data set minus Unlinked cost; WIP and exclude cost bucket</w:t>
            </w:r>
            <w:r w:rsidRPr="00E96C8D">
              <w:rPr>
                <w:color w:val="1C1C1C"/>
                <w:sz w:val="16"/>
                <w:szCs w:val="16"/>
              </w:rPr>
              <w:t>)</w:t>
            </w:r>
          </w:p>
        </w:tc>
        <w:tc>
          <w:tcPr>
            <w:tcW w:w="1435" w:type="dxa"/>
          </w:tcPr>
          <w:p w14:paraId="79DD84CA" w14:textId="77777777" w:rsidR="00D11BC6" w:rsidRPr="005029AB"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Pr>
                <w:sz w:val="16"/>
                <w:szCs w:val="16"/>
              </w:rPr>
              <w:t>17,739.7</w:t>
            </w:r>
          </w:p>
        </w:tc>
        <w:tc>
          <w:tcPr>
            <w:cnfStyle w:val="000010000000" w:firstRow="0" w:lastRow="0" w:firstColumn="0" w:lastColumn="0" w:oddVBand="1" w:evenVBand="0" w:oddHBand="0" w:evenHBand="0" w:firstRowFirstColumn="0" w:firstRowLastColumn="0" w:lastRowFirstColumn="0" w:lastRowLastColumn="0"/>
            <w:tcW w:w="1294" w:type="dxa"/>
          </w:tcPr>
          <w:p w14:paraId="423C2D99" w14:textId="77777777" w:rsidR="00D11BC6" w:rsidRPr="005029AB" w:rsidRDefault="00D11BC6" w:rsidP="00741471">
            <w:pPr>
              <w:spacing w:before="20" w:after="20"/>
              <w:jc w:val="right"/>
              <w:rPr>
                <w:color w:val="1C1C1C"/>
                <w:sz w:val="16"/>
                <w:szCs w:val="16"/>
              </w:rPr>
            </w:pPr>
            <w:r w:rsidRPr="00835A75">
              <w:rPr>
                <w:sz w:val="16"/>
                <w:szCs w:val="16"/>
              </w:rPr>
              <w:t>14,960.6</w:t>
            </w:r>
          </w:p>
        </w:tc>
        <w:tc>
          <w:tcPr>
            <w:tcW w:w="1293" w:type="dxa"/>
          </w:tcPr>
          <w:p w14:paraId="19AE15EF" w14:textId="77777777" w:rsidR="00D11BC6" w:rsidRPr="005029AB"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835A75">
              <w:rPr>
                <w:sz w:val="16"/>
                <w:szCs w:val="16"/>
              </w:rPr>
              <w:t>13,954.6</w:t>
            </w:r>
          </w:p>
        </w:tc>
        <w:tc>
          <w:tcPr>
            <w:cnfStyle w:val="000010000000" w:firstRow="0" w:lastRow="0" w:firstColumn="0" w:lastColumn="0" w:oddVBand="1" w:evenVBand="0" w:oddHBand="0" w:evenHBand="0" w:firstRowFirstColumn="0" w:firstRowLastColumn="0" w:lastRowFirstColumn="0" w:lastRowLastColumn="0"/>
            <w:tcW w:w="1294" w:type="dxa"/>
          </w:tcPr>
          <w:p w14:paraId="468C3303" w14:textId="77777777" w:rsidR="00D11BC6" w:rsidRPr="005029AB" w:rsidRDefault="00D11BC6" w:rsidP="00741471">
            <w:pPr>
              <w:spacing w:before="20" w:after="20"/>
              <w:jc w:val="right"/>
              <w:rPr>
                <w:color w:val="1C1C1C"/>
                <w:sz w:val="16"/>
                <w:szCs w:val="16"/>
              </w:rPr>
            </w:pPr>
            <w:r w:rsidRPr="00835A75">
              <w:rPr>
                <w:sz w:val="16"/>
                <w:szCs w:val="16"/>
              </w:rPr>
              <w:t>4,705.7</w:t>
            </w:r>
          </w:p>
        </w:tc>
        <w:tc>
          <w:tcPr>
            <w:tcW w:w="1293" w:type="dxa"/>
          </w:tcPr>
          <w:p w14:paraId="0B8DD4FB" w14:textId="77777777" w:rsidR="00D11BC6" w:rsidRPr="005029AB"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835A75">
              <w:rPr>
                <w:sz w:val="16"/>
                <w:szCs w:val="16"/>
              </w:rPr>
              <w:t>6,274.9</w:t>
            </w:r>
          </w:p>
        </w:tc>
        <w:tc>
          <w:tcPr>
            <w:cnfStyle w:val="000010000000" w:firstRow="0" w:lastRow="0" w:firstColumn="0" w:lastColumn="0" w:oddVBand="1" w:evenVBand="0" w:oddHBand="0" w:evenHBand="0" w:firstRowFirstColumn="0" w:firstRowLastColumn="0" w:lastRowFirstColumn="0" w:lastRowLastColumn="0"/>
            <w:tcW w:w="1294" w:type="dxa"/>
          </w:tcPr>
          <w:p w14:paraId="5B306152" w14:textId="77777777" w:rsidR="00D11BC6" w:rsidRPr="005029AB" w:rsidRDefault="00D11BC6" w:rsidP="00741471">
            <w:pPr>
              <w:spacing w:before="20" w:after="20"/>
              <w:jc w:val="right"/>
              <w:rPr>
                <w:color w:val="1C1C1C"/>
                <w:sz w:val="16"/>
                <w:szCs w:val="16"/>
              </w:rPr>
            </w:pPr>
            <w:r w:rsidRPr="00835A75">
              <w:rPr>
                <w:sz w:val="16"/>
                <w:szCs w:val="16"/>
              </w:rPr>
              <w:t>1,618.0</w:t>
            </w:r>
          </w:p>
        </w:tc>
        <w:tc>
          <w:tcPr>
            <w:tcW w:w="1293" w:type="dxa"/>
          </w:tcPr>
          <w:p w14:paraId="6A127335" w14:textId="77777777" w:rsidR="00D11BC6" w:rsidRPr="005029AB" w:rsidRDefault="00D11BC6" w:rsidP="00741471">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835A75">
              <w:rPr>
                <w:sz w:val="16"/>
                <w:szCs w:val="16"/>
              </w:rPr>
              <w:t>1,195.6</w:t>
            </w:r>
          </w:p>
        </w:tc>
        <w:tc>
          <w:tcPr>
            <w:cnfStyle w:val="000010000000" w:firstRow="0" w:lastRow="0" w:firstColumn="0" w:lastColumn="0" w:oddVBand="1" w:evenVBand="0" w:oddHBand="0" w:evenHBand="0" w:firstRowFirstColumn="0" w:firstRowLastColumn="0" w:lastRowFirstColumn="0" w:lastRowLastColumn="0"/>
            <w:tcW w:w="1294" w:type="dxa"/>
          </w:tcPr>
          <w:p w14:paraId="60DAB216" w14:textId="77777777" w:rsidR="00D11BC6" w:rsidRPr="005029AB" w:rsidRDefault="00D11BC6" w:rsidP="00741471">
            <w:pPr>
              <w:spacing w:before="20" w:after="20"/>
              <w:jc w:val="right"/>
              <w:rPr>
                <w:color w:val="1C1C1C"/>
                <w:sz w:val="16"/>
                <w:szCs w:val="16"/>
              </w:rPr>
            </w:pPr>
            <w:r w:rsidRPr="00835A75">
              <w:rPr>
                <w:sz w:val="16"/>
                <w:szCs w:val="16"/>
              </w:rPr>
              <w:t>1,479.2</w:t>
            </w:r>
          </w:p>
        </w:tc>
      </w:tr>
    </w:tbl>
    <w:bookmarkEnd w:id="10"/>
    <w:p w14:paraId="416FF8EC" w14:textId="7B55661C" w:rsidR="00CF361A" w:rsidRDefault="00CF361A" w:rsidP="00CF361A">
      <w:pPr>
        <w:pStyle w:val="Heading3"/>
      </w:pPr>
      <w:r>
        <w:lastRenderedPageBreak/>
        <w:t>Quality Assurance Process</w:t>
      </w:r>
    </w:p>
    <w:p w14:paraId="10F66C2F" w14:textId="39B47C39" w:rsidR="001935C9" w:rsidRDefault="00C40807" w:rsidP="001935C9">
      <w:pPr>
        <w:pStyle w:val="Heading3"/>
        <w:rPr>
          <w:rFonts w:eastAsiaTheme="minorHAnsi" w:cstheme="minorBidi"/>
          <w:b w:val="0"/>
          <w:color w:val="15272F" w:themeColor="text1"/>
          <w:sz w:val="22"/>
          <w:szCs w:val="22"/>
        </w:rPr>
      </w:pPr>
      <w:r w:rsidRPr="00C40807">
        <w:rPr>
          <w:rFonts w:eastAsiaTheme="minorHAnsi" w:cstheme="minorBidi"/>
          <w:b w:val="0"/>
          <w:color w:val="15272F" w:themeColor="text1"/>
          <w:sz w:val="22"/>
          <w:szCs w:val="22"/>
        </w:rPr>
        <w:t>To ensure that the quality of the NHCDC data is robust, the review process included an assessment of key quality assurance (QA) processes within each jurisdiction</w:t>
      </w:r>
      <w:r>
        <w:rPr>
          <w:rFonts w:eastAsiaTheme="minorHAnsi" w:cstheme="minorBidi"/>
          <w:b w:val="0"/>
          <w:color w:val="15272F" w:themeColor="text1"/>
          <w:sz w:val="22"/>
          <w:szCs w:val="22"/>
        </w:rPr>
        <w:t xml:space="preserve"> based on the consultations with each state and </w:t>
      </w:r>
      <w:r w:rsidR="00F84762">
        <w:rPr>
          <w:rFonts w:eastAsiaTheme="minorHAnsi" w:cstheme="minorBidi"/>
          <w:b w:val="0"/>
          <w:color w:val="15272F" w:themeColor="text1"/>
          <w:sz w:val="22"/>
          <w:szCs w:val="22"/>
        </w:rPr>
        <w:t>territory</w:t>
      </w:r>
      <w:r>
        <w:rPr>
          <w:rFonts w:eastAsiaTheme="minorHAnsi" w:cstheme="minorBidi"/>
          <w:b w:val="0"/>
          <w:color w:val="15272F" w:themeColor="text1"/>
          <w:sz w:val="22"/>
          <w:szCs w:val="22"/>
        </w:rPr>
        <w:t xml:space="preserve"> as well as the Data Quality Statements and Self-Assessments</w:t>
      </w:r>
      <w:r w:rsidRPr="00C40807">
        <w:rPr>
          <w:rFonts w:eastAsiaTheme="minorHAnsi" w:cstheme="minorBidi"/>
          <w:b w:val="0"/>
          <w:color w:val="15272F" w:themeColor="text1"/>
          <w:sz w:val="22"/>
          <w:szCs w:val="22"/>
        </w:rPr>
        <w:t>. The QA processes were reviewed at the data collection, data validation, and data governance stages of the submission process for the current year (2021-22) and was compared to the prior collection year (2020-21) for any significant changes. At each of these stages, the QA processes were assessed to determine whether they were effective, consistent across the jurisdiction and supported a robust NHCDC submission to IHACPA.</w:t>
      </w:r>
      <w:bookmarkStart w:id="11" w:name="_Hlk157606641"/>
    </w:p>
    <w:p w14:paraId="19A74282" w14:textId="16B825C2" w:rsidR="001935C9" w:rsidRDefault="001935C9" w:rsidP="001935C9">
      <w:pPr>
        <w:pStyle w:val="Heading3"/>
        <w:rPr>
          <w:rFonts w:eastAsiaTheme="minorHAnsi" w:cstheme="minorBidi"/>
          <w:b w:val="0"/>
          <w:color w:val="15272F" w:themeColor="text1"/>
          <w:sz w:val="22"/>
          <w:szCs w:val="22"/>
        </w:rPr>
      </w:pPr>
      <w:r w:rsidRPr="001935C9">
        <w:rPr>
          <w:rFonts w:eastAsiaTheme="minorHAnsi" w:cstheme="minorBidi"/>
          <w:b w:val="0"/>
          <w:color w:val="15272F" w:themeColor="text1"/>
          <w:sz w:val="22"/>
          <w:szCs w:val="22"/>
        </w:rPr>
        <w:t>At the data source stage, Western Australia do not reconcile activity data to the source data, while all other jurisdictions</w:t>
      </w:r>
      <w:r w:rsidR="001B1F4D">
        <w:rPr>
          <w:rFonts w:eastAsiaTheme="minorHAnsi" w:cstheme="minorBidi"/>
          <w:b w:val="0"/>
          <w:color w:val="15272F" w:themeColor="text1"/>
          <w:sz w:val="22"/>
          <w:szCs w:val="22"/>
        </w:rPr>
        <w:t xml:space="preserve"> reconciled</w:t>
      </w:r>
      <w:r w:rsidRPr="001935C9">
        <w:rPr>
          <w:rFonts w:eastAsiaTheme="minorHAnsi" w:cstheme="minorBidi"/>
          <w:b w:val="0"/>
          <w:color w:val="15272F" w:themeColor="text1"/>
          <w:sz w:val="22"/>
          <w:szCs w:val="22"/>
        </w:rPr>
        <w:t xml:space="preserve">. </w:t>
      </w:r>
      <w:r w:rsidR="0084188D" w:rsidRPr="001935C9">
        <w:rPr>
          <w:rFonts w:eastAsiaTheme="minorHAnsi" w:cstheme="minorBidi"/>
          <w:b w:val="0"/>
          <w:color w:val="15272F" w:themeColor="text1"/>
          <w:sz w:val="22"/>
          <w:szCs w:val="22"/>
        </w:rPr>
        <w:t xml:space="preserve">Queensland </w:t>
      </w:r>
      <w:r w:rsidR="0084188D">
        <w:rPr>
          <w:rFonts w:eastAsiaTheme="minorHAnsi" w:cstheme="minorBidi"/>
          <w:b w:val="0"/>
          <w:color w:val="15272F" w:themeColor="text1"/>
          <w:sz w:val="22"/>
          <w:szCs w:val="22"/>
        </w:rPr>
        <w:t xml:space="preserve">does not reconcile activity data to the source data at a jurisdictional level. However, it is undertaken at a Hospital and Health Service level throughout the clinical costing process. </w:t>
      </w:r>
      <w:r w:rsidRPr="001935C9">
        <w:rPr>
          <w:rFonts w:eastAsiaTheme="minorHAnsi" w:cstheme="minorBidi"/>
          <w:b w:val="0"/>
          <w:color w:val="15272F" w:themeColor="text1"/>
          <w:sz w:val="22"/>
          <w:szCs w:val="22"/>
        </w:rPr>
        <w:t xml:space="preserve">All jurisdictions complete, at a minimum, an annual reconciliation of the </w:t>
      </w:r>
      <w:r w:rsidR="00244536">
        <w:rPr>
          <w:rFonts w:eastAsiaTheme="minorHAnsi" w:cstheme="minorBidi"/>
          <w:b w:val="0"/>
          <w:color w:val="15272F" w:themeColor="text1"/>
          <w:sz w:val="22"/>
          <w:szCs w:val="22"/>
        </w:rPr>
        <w:t>GL</w:t>
      </w:r>
      <w:r w:rsidRPr="001935C9">
        <w:rPr>
          <w:rFonts w:eastAsiaTheme="minorHAnsi" w:cstheme="minorBidi"/>
          <w:b w:val="0"/>
          <w:color w:val="15272F" w:themeColor="text1"/>
          <w:sz w:val="22"/>
          <w:szCs w:val="22"/>
        </w:rPr>
        <w:t xml:space="preserve"> to audited financial statements. At the data validation stage, all jurisdictions complete appropriate activities to identify data exclusions and outliers, review the cost allocation proportions, trend analysis and specific business rules tests.</w:t>
      </w:r>
      <w:r>
        <w:rPr>
          <w:rFonts w:eastAsiaTheme="minorHAnsi" w:cstheme="minorBidi"/>
          <w:b w:val="0"/>
          <w:color w:val="15272F" w:themeColor="text1"/>
          <w:sz w:val="22"/>
          <w:szCs w:val="22"/>
        </w:rPr>
        <w:t xml:space="preserve"> </w:t>
      </w:r>
      <w:r w:rsidRPr="001935C9">
        <w:rPr>
          <w:rFonts w:eastAsiaTheme="minorHAnsi" w:cstheme="minorBidi"/>
          <w:b w:val="0"/>
          <w:color w:val="15272F" w:themeColor="text1"/>
          <w:sz w:val="22"/>
          <w:szCs w:val="22"/>
        </w:rPr>
        <w:t>All jurisdictions have processes in place to review the data outputs, ensuring they are reasonable, and all jurisdictions review the cost allocations, except Western Australia. South Australia, Tasmania and the ACT do not utilise jurisdictional guidelines to support costing and rely on the AHPCS.</w:t>
      </w:r>
    </w:p>
    <w:p w14:paraId="4E5E0241" w14:textId="2E342B9A" w:rsidR="001935C9" w:rsidRDefault="001935C9" w:rsidP="00F84762">
      <w:pPr>
        <w:pStyle w:val="Heading3"/>
        <w:rPr>
          <w:rFonts w:eastAsiaTheme="minorHAnsi" w:cstheme="minorBidi"/>
          <w:b w:val="0"/>
          <w:color w:val="15272F" w:themeColor="text1"/>
          <w:sz w:val="22"/>
          <w:szCs w:val="22"/>
        </w:rPr>
      </w:pPr>
      <w:r w:rsidRPr="001935C9">
        <w:rPr>
          <w:rFonts w:eastAsiaTheme="minorHAnsi" w:cstheme="minorBidi"/>
          <w:b w:val="0"/>
          <w:color w:val="15272F" w:themeColor="text1"/>
          <w:sz w:val="22"/>
          <w:szCs w:val="22"/>
        </w:rPr>
        <w:t xml:space="preserve">Table </w:t>
      </w:r>
      <w:r w:rsidR="000550E0">
        <w:rPr>
          <w:rFonts w:eastAsiaTheme="minorHAnsi" w:cstheme="minorBidi"/>
          <w:b w:val="0"/>
          <w:color w:val="15272F" w:themeColor="text1"/>
          <w:sz w:val="22"/>
          <w:szCs w:val="22"/>
        </w:rPr>
        <w:t>4</w:t>
      </w:r>
      <w:r w:rsidRPr="001935C9">
        <w:rPr>
          <w:rFonts w:eastAsiaTheme="minorHAnsi" w:cstheme="minorBidi"/>
          <w:b w:val="0"/>
          <w:color w:val="15272F" w:themeColor="text1"/>
          <w:sz w:val="22"/>
          <w:szCs w:val="22"/>
        </w:rPr>
        <w:t xml:space="preserve"> shows the </w:t>
      </w:r>
      <w:r w:rsidR="00244536">
        <w:rPr>
          <w:rFonts w:eastAsiaTheme="minorHAnsi" w:cstheme="minorBidi"/>
          <w:b w:val="0"/>
          <w:color w:val="15272F" w:themeColor="text1"/>
          <w:sz w:val="22"/>
          <w:szCs w:val="22"/>
        </w:rPr>
        <w:t>QA</w:t>
      </w:r>
      <w:r w:rsidRPr="001935C9">
        <w:rPr>
          <w:rFonts w:eastAsiaTheme="minorHAnsi" w:cstheme="minorBidi"/>
          <w:b w:val="0"/>
          <w:color w:val="15272F" w:themeColor="text1"/>
          <w:sz w:val="22"/>
          <w:szCs w:val="22"/>
        </w:rPr>
        <w:t xml:space="preserve"> processes undertaken in New South Wales</w:t>
      </w:r>
      <w:r w:rsidR="00A74F38">
        <w:rPr>
          <w:rFonts w:eastAsiaTheme="minorHAnsi" w:cstheme="minorBidi"/>
          <w:b w:val="0"/>
          <w:color w:val="15272F" w:themeColor="text1"/>
          <w:sz w:val="22"/>
          <w:szCs w:val="22"/>
        </w:rPr>
        <w:t xml:space="preserve"> (NSW)</w:t>
      </w:r>
      <w:r w:rsidRPr="001935C9">
        <w:rPr>
          <w:rFonts w:eastAsiaTheme="minorHAnsi" w:cstheme="minorBidi"/>
          <w:b w:val="0"/>
          <w:color w:val="15272F" w:themeColor="text1"/>
          <w:sz w:val="22"/>
          <w:szCs w:val="22"/>
        </w:rPr>
        <w:t>, Victoria, Queensland, and South</w:t>
      </w:r>
      <w:r w:rsidR="00846DBF">
        <w:rPr>
          <w:rFonts w:eastAsiaTheme="minorHAnsi" w:cstheme="minorBidi"/>
          <w:b w:val="0"/>
          <w:color w:val="15272F" w:themeColor="text1"/>
          <w:sz w:val="22"/>
          <w:szCs w:val="22"/>
        </w:rPr>
        <w:t xml:space="preserve"> Australia</w:t>
      </w:r>
      <w:r w:rsidR="00A74F38">
        <w:rPr>
          <w:rFonts w:eastAsiaTheme="minorHAnsi" w:cstheme="minorBidi"/>
          <w:b w:val="0"/>
          <w:color w:val="15272F" w:themeColor="text1"/>
          <w:sz w:val="22"/>
          <w:szCs w:val="22"/>
        </w:rPr>
        <w:t xml:space="preserve"> </w:t>
      </w:r>
      <w:r w:rsidR="003412FB">
        <w:rPr>
          <w:rFonts w:eastAsiaTheme="minorHAnsi" w:cstheme="minorBidi"/>
          <w:b w:val="0"/>
          <w:color w:val="15272F" w:themeColor="text1"/>
          <w:sz w:val="22"/>
          <w:szCs w:val="22"/>
        </w:rPr>
        <w:t>(SA)</w:t>
      </w:r>
      <w:r w:rsidRPr="001935C9">
        <w:rPr>
          <w:rFonts w:eastAsiaTheme="minorHAnsi" w:cstheme="minorBidi"/>
          <w:b w:val="0"/>
          <w:color w:val="15272F" w:themeColor="text1"/>
          <w:sz w:val="22"/>
          <w:szCs w:val="22"/>
        </w:rPr>
        <w:t>.</w:t>
      </w:r>
    </w:p>
    <w:bookmarkEnd w:id="11"/>
    <w:p w14:paraId="2F510B59" w14:textId="511C5DC3" w:rsidR="00D35B4F" w:rsidRDefault="00D35B4F" w:rsidP="00652075">
      <w:pPr>
        <w:pStyle w:val="TableFigureheading"/>
      </w:pPr>
      <w:r>
        <w:t xml:space="preserve">Table </w:t>
      </w:r>
      <w:r w:rsidR="000550E0">
        <w:t>4</w:t>
      </w:r>
      <w:r>
        <w:t>: Summary of NSW, Vic</w:t>
      </w:r>
      <w:r w:rsidR="00877D7E">
        <w:t>toria</w:t>
      </w:r>
      <w:r>
        <w:t>, Q</w:t>
      </w:r>
      <w:r w:rsidR="00877D7E">
        <w:t>ueenslan</w:t>
      </w:r>
      <w:r>
        <w:t>d, and SA quality assurance activities</w:t>
      </w:r>
    </w:p>
    <w:tbl>
      <w:tblPr>
        <w:tblStyle w:val="ListTable3-Accent2"/>
        <w:tblW w:w="13948" w:type="dxa"/>
        <w:jc w:val="center"/>
        <w:tblLayout w:type="fixed"/>
        <w:tblLook w:val="0020" w:firstRow="1" w:lastRow="0" w:firstColumn="0" w:lastColumn="0" w:noHBand="0" w:noVBand="0"/>
      </w:tblPr>
      <w:tblGrid>
        <w:gridCol w:w="2972"/>
        <w:gridCol w:w="2835"/>
        <w:gridCol w:w="2693"/>
        <w:gridCol w:w="2612"/>
        <w:gridCol w:w="2836"/>
      </w:tblGrid>
      <w:tr w:rsidR="00D35B4F" w:rsidRPr="00F84762" w14:paraId="61B25101" w14:textId="77777777" w:rsidTr="00652075">
        <w:trPr>
          <w:cnfStyle w:val="100000000000" w:firstRow="1" w:lastRow="0" w:firstColumn="0" w:lastColumn="0" w:oddVBand="0" w:evenVBand="0" w:oddHBand="0" w:evenHBand="0" w:firstRowFirstColumn="0" w:firstRowLastColumn="0" w:lastRowFirstColumn="0" w:lastRowLastColumn="0"/>
          <w:trHeight w:val="57"/>
          <w:tblHeader/>
          <w:jc w:val="center"/>
        </w:trPr>
        <w:tc>
          <w:tcPr>
            <w:cnfStyle w:val="000010000000" w:firstRow="0" w:lastRow="0" w:firstColumn="0" w:lastColumn="0" w:oddVBand="1" w:evenVBand="0" w:oddHBand="0" w:evenHBand="0" w:firstRowFirstColumn="0" w:firstRowLastColumn="0" w:lastRowFirstColumn="0" w:lastRowLastColumn="0"/>
            <w:tcW w:w="0" w:type="dxa"/>
            <w:shd w:val="clear" w:color="auto" w:fill="379887" w:themeFill="accent5" w:themeFillShade="BF"/>
            <w:vAlign w:val="center"/>
          </w:tcPr>
          <w:p w14:paraId="061E8C2E" w14:textId="77777777" w:rsidR="00D35B4F" w:rsidRPr="00652075" w:rsidRDefault="00D35B4F" w:rsidP="000624E2">
            <w:pPr>
              <w:spacing w:before="40" w:after="40"/>
              <w:jc w:val="center"/>
              <w:rPr>
                <w:b w:val="0"/>
                <w:bCs w:val="0"/>
                <w:color w:val="FFFFFF" w:themeColor="background2"/>
                <w:sz w:val="16"/>
                <w:szCs w:val="16"/>
              </w:rPr>
            </w:pPr>
            <w:bookmarkStart w:id="12" w:name="_Hlk157685494"/>
            <w:r w:rsidRPr="00652075">
              <w:rPr>
                <w:color w:val="FFFFFF" w:themeColor="background2"/>
                <w:sz w:val="16"/>
                <w:szCs w:val="16"/>
              </w:rPr>
              <w:t>QA Process</w:t>
            </w:r>
          </w:p>
        </w:tc>
        <w:tc>
          <w:tcPr>
            <w:tcW w:w="0" w:type="dxa"/>
            <w:shd w:val="clear" w:color="auto" w:fill="379887" w:themeFill="accent5" w:themeFillShade="BF"/>
            <w:vAlign w:val="center"/>
          </w:tcPr>
          <w:p w14:paraId="5CF46F8A" w14:textId="77777777" w:rsidR="00D35B4F" w:rsidRPr="00652075" w:rsidRDefault="00D35B4F" w:rsidP="000624E2">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sz w:val="16"/>
                <w:szCs w:val="16"/>
              </w:rPr>
            </w:pPr>
            <w:r w:rsidRPr="00652075">
              <w:rPr>
                <w:color w:val="FFFFFF" w:themeColor="background2"/>
                <w:sz w:val="16"/>
                <w:szCs w:val="16"/>
              </w:rPr>
              <w:t>NSW</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379887" w:themeFill="accent5" w:themeFillShade="BF"/>
            <w:vAlign w:val="center"/>
          </w:tcPr>
          <w:p w14:paraId="2867EF21" w14:textId="77777777" w:rsidR="00D35B4F" w:rsidRPr="00652075" w:rsidRDefault="00D35B4F" w:rsidP="000624E2">
            <w:pPr>
              <w:spacing w:before="40" w:after="40"/>
              <w:jc w:val="center"/>
              <w:rPr>
                <w:b w:val="0"/>
                <w:bCs w:val="0"/>
                <w:color w:val="FFFFFF" w:themeColor="background2"/>
                <w:sz w:val="16"/>
                <w:szCs w:val="16"/>
              </w:rPr>
            </w:pPr>
            <w:r w:rsidRPr="00652075">
              <w:rPr>
                <w:color w:val="FFFFFF" w:themeColor="background2"/>
                <w:sz w:val="16"/>
                <w:szCs w:val="16"/>
              </w:rPr>
              <w:t>Vic</w:t>
            </w:r>
          </w:p>
        </w:tc>
        <w:tc>
          <w:tcPr>
            <w:tcW w:w="2612" w:type="dxa"/>
            <w:shd w:val="clear" w:color="auto" w:fill="379887" w:themeFill="accent5" w:themeFillShade="BF"/>
          </w:tcPr>
          <w:p w14:paraId="364D9157" w14:textId="77777777" w:rsidR="00D35B4F" w:rsidRPr="00652075" w:rsidRDefault="00D35B4F" w:rsidP="000624E2">
            <w:pPr>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2"/>
                <w:sz w:val="16"/>
                <w:szCs w:val="16"/>
              </w:rPr>
            </w:pPr>
            <w:r w:rsidRPr="00652075">
              <w:rPr>
                <w:color w:val="FFFFFF" w:themeColor="background2"/>
                <w:sz w:val="16"/>
                <w:szCs w:val="16"/>
              </w:rPr>
              <w:t>Qld</w:t>
            </w:r>
          </w:p>
        </w:tc>
        <w:tc>
          <w:tcPr>
            <w:cnfStyle w:val="000010000000" w:firstRow="0" w:lastRow="0" w:firstColumn="0" w:lastColumn="0" w:oddVBand="1" w:evenVBand="0" w:oddHBand="0" w:evenHBand="0" w:firstRowFirstColumn="0" w:firstRowLastColumn="0" w:lastRowFirstColumn="0" w:lastRowLastColumn="0"/>
            <w:tcW w:w="0" w:type="dxa"/>
            <w:shd w:val="clear" w:color="auto" w:fill="379887" w:themeFill="accent5" w:themeFillShade="BF"/>
          </w:tcPr>
          <w:p w14:paraId="58CD93F7" w14:textId="77777777" w:rsidR="00D35B4F" w:rsidRPr="00652075" w:rsidRDefault="00D35B4F" w:rsidP="000624E2">
            <w:pPr>
              <w:spacing w:before="40" w:after="40"/>
              <w:jc w:val="center"/>
              <w:rPr>
                <w:color w:val="FFFFFF" w:themeColor="background2"/>
                <w:sz w:val="16"/>
                <w:szCs w:val="16"/>
              </w:rPr>
            </w:pPr>
            <w:r w:rsidRPr="00652075">
              <w:rPr>
                <w:color w:val="FFFFFF" w:themeColor="background2"/>
                <w:sz w:val="16"/>
                <w:szCs w:val="16"/>
              </w:rPr>
              <w:t>SA</w:t>
            </w:r>
          </w:p>
        </w:tc>
      </w:tr>
      <w:tr w:rsidR="000624E2" w:rsidRPr="000624E2" w14:paraId="7400AF25" w14:textId="77777777" w:rsidTr="000624E2">
        <w:trPr>
          <w:cnfStyle w:val="000000100000" w:firstRow="0" w:lastRow="0" w:firstColumn="0" w:lastColumn="0" w:oddVBand="0" w:evenVBand="0" w:oddHBand="1" w:evenHBand="0" w:firstRowFirstColumn="0" w:firstRowLastColumn="0" w:lastRowFirstColumn="0" w:lastRowLastColumn="0"/>
          <w:trHeight w:val="57"/>
          <w:jc w:val="center"/>
        </w:trPr>
        <w:tc>
          <w:tcPr>
            <w:cnfStyle w:val="000010000000" w:firstRow="0" w:lastRow="0" w:firstColumn="0" w:lastColumn="0" w:oddVBand="1" w:evenVBand="0" w:oddHBand="0" w:evenHBand="0" w:firstRowFirstColumn="0" w:firstRowLastColumn="0" w:lastRowFirstColumn="0" w:lastRowLastColumn="0"/>
            <w:tcW w:w="8500" w:type="dxa"/>
            <w:gridSpan w:val="3"/>
            <w:shd w:val="clear" w:color="auto" w:fill="DFEBF1" w:themeFill="accent1" w:themeFillTint="1A"/>
            <w:vAlign w:val="center"/>
          </w:tcPr>
          <w:p w14:paraId="10DA913F" w14:textId="77777777" w:rsidR="00D35B4F" w:rsidRPr="00F84762" w:rsidRDefault="00D35B4F" w:rsidP="000624E2">
            <w:pPr>
              <w:spacing w:before="40" w:after="40"/>
              <w:rPr>
                <w:b/>
                <w:bCs/>
                <w:color w:val="1C1C1C"/>
                <w:sz w:val="16"/>
                <w:szCs w:val="16"/>
              </w:rPr>
            </w:pPr>
            <w:r w:rsidRPr="00F84762">
              <w:rPr>
                <w:b/>
                <w:bCs/>
                <w:color w:val="1C1C1C"/>
                <w:sz w:val="16"/>
                <w:szCs w:val="16"/>
              </w:rPr>
              <w:t>Source data and systems</w:t>
            </w:r>
          </w:p>
        </w:tc>
        <w:tc>
          <w:tcPr>
            <w:tcW w:w="2612" w:type="dxa"/>
            <w:shd w:val="clear" w:color="auto" w:fill="DFEBF1" w:themeFill="accent1" w:themeFillTint="1A"/>
          </w:tcPr>
          <w:p w14:paraId="2C02D75C"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b/>
                <w:bCs/>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2836" w:type="dxa"/>
            <w:shd w:val="clear" w:color="auto" w:fill="DFEBF1" w:themeFill="accent1" w:themeFillTint="1A"/>
          </w:tcPr>
          <w:p w14:paraId="040CA41D" w14:textId="77777777" w:rsidR="00D35B4F" w:rsidRPr="00F84762" w:rsidRDefault="00D35B4F" w:rsidP="000624E2">
            <w:pPr>
              <w:spacing w:before="40" w:after="40"/>
              <w:rPr>
                <w:b/>
                <w:bCs/>
                <w:color w:val="1C1C1C"/>
                <w:sz w:val="16"/>
                <w:szCs w:val="16"/>
              </w:rPr>
            </w:pPr>
          </w:p>
        </w:tc>
      </w:tr>
      <w:tr w:rsidR="00F84762" w:rsidRPr="00F84762" w14:paraId="25D3B7BE" w14:textId="77777777" w:rsidTr="00652075">
        <w:trPr>
          <w:trHeight w:val="116"/>
          <w:jc w:val="center"/>
        </w:trPr>
        <w:tc>
          <w:tcPr>
            <w:cnfStyle w:val="000010000000" w:firstRow="0" w:lastRow="0" w:firstColumn="0" w:lastColumn="0" w:oddVBand="1" w:evenVBand="0" w:oddHBand="0" w:evenHBand="0" w:firstRowFirstColumn="0" w:firstRowLastColumn="0" w:lastRowFirstColumn="0" w:lastRowLastColumn="0"/>
            <w:tcW w:w="0" w:type="dxa"/>
            <w:vAlign w:val="center"/>
          </w:tcPr>
          <w:p w14:paraId="594C0AA3" w14:textId="77777777" w:rsidR="00D35B4F" w:rsidRPr="00F84762" w:rsidRDefault="00D35B4F" w:rsidP="000624E2">
            <w:pPr>
              <w:spacing w:before="40" w:after="40"/>
              <w:rPr>
                <w:color w:val="1C1C1C"/>
                <w:sz w:val="16"/>
                <w:szCs w:val="16"/>
              </w:rPr>
            </w:pPr>
            <w:r w:rsidRPr="00F84762">
              <w:rPr>
                <w:color w:val="1C1C1C"/>
                <w:sz w:val="16"/>
                <w:szCs w:val="16"/>
              </w:rPr>
              <w:t>Reconciliation back to GL and audited statements</w:t>
            </w:r>
          </w:p>
        </w:tc>
        <w:tc>
          <w:tcPr>
            <w:tcW w:w="0" w:type="dxa"/>
            <w:vAlign w:val="center"/>
          </w:tcPr>
          <w:p w14:paraId="5540F424" w14:textId="77777777" w:rsidR="00D35B4F" w:rsidRPr="00F84762" w:rsidRDefault="00D35B4F" w:rsidP="000624E2">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r w:rsidRPr="00F84762">
              <w:rPr>
                <w:color w:val="1C1C1C"/>
                <w:sz w:val="16"/>
                <w:szCs w:val="16"/>
              </w:rPr>
              <w:t>GL is reconciled for each costing cycle</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37E2FC9E" w14:textId="77777777" w:rsidR="00D35B4F" w:rsidRPr="00F84762" w:rsidRDefault="00D35B4F" w:rsidP="000624E2">
            <w:pPr>
              <w:spacing w:before="40" w:after="40"/>
              <w:rPr>
                <w:color w:val="1C1C1C"/>
                <w:sz w:val="16"/>
                <w:szCs w:val="16"/>
              </w:rPr>
            </w:pPr>
            <w:r w:rsidRPr="00F84762">
              <w:rPr>
                <w:color w:val="1C1C1C"/>
                <w:sz w:val="16"/>
                <w:szCs w:val="16"/>
              </w:rPr>
              <w:t>Yes</w:t>
            </w:r>
          </w:p>
        </w:tc>
        <w:tc>
          <w:tcPr>
            <w:tcW w:w="0" w:type="dxa"/>
            <w:vAlign w:val="center"/>
          </w:tcPr>
          <w:p w14:paraId="1A0216B0" w14:textId="77777777" w:rsidR="00D35B4F" w:rsidRPr="00F84762" w:rsidRDefault="00D35B4F" w:rsidP="000624E2">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r w:rsidRPr="00F84762">
              <w:rPr>
                <w:rFonts w:eastAsia="Arial"/>
                <w:color w:val="000000"/>
                <w:kern w:val="24"/>
                <w:sz w:val="16"/>
                <w:szCs w:val="16"/>
              </w:rPr>
              <w:t>Annual reconciliation and checks</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5D2D16E2" w14:textId="77777777" w:rsidR="00D35B4F" w:rsidRPr="00F84762" w:rsidRDefault="00D35B4F" w:rsidP="000624E2">
            <w:pPr>
              <w:spacing w:before="40" w:after="40"/>
              <w:rPr>
                <w:color w:val="1C1C1C"/>
                <w:sz w:val="16"/>
                <w:szCs w:val="16"/>
              </w:rPr>
            </w:pPr>
            <w:r w:rsidRPr="00F84762">
              <w:rPr>
                <w:rFonts w:eastAsia="Arial" w:cs="Arial"/>
                <w:kern w:val="24"/>
                <w:sz w:val="16"/>
                <w:szCs w:val="16"/>
              </w:rPr>
              <w:t>Annual reconciliation and checks</w:t>
            </w:r>
          </w:p>
        </w:tc>
      </w:tr>
      <w:tr w:rsidR="00F84762" w:rsidRPr="00F84762" w14:paraId="7D7AA07C" w14:textId="77777777" w:rsidTr="00652075">
        <w:trPr>
          <w:cnfStyle w:val="000000100000" w:firstRow="0" w:lastRow="0" w:firstColumn="0" w:lastColumn="0" w:oddVBand="0" w:evenVBand="0" w:oddHBand="1" w:evenHBand="0" w:firstRowFirstColumn="0" w:firstRowLastColumn="0" w:lastRowFirstColumn="0" w:lastRowLastColumn="0"/>
          <w:trHeight w:val="294"/>
          <w:jc w:val="center"/>
        </w:trPr>
        <w:tc>
          <w:tcPr>
            <w:cnfStyle w:val="000010000000" w:firstRow="0" w:lastRow="0" w:firstColumn="0" w:lastColumn="0" w:oddVBand="1" w:evenVBand="0" w:oddHBand="0" w:evenHBand="0" w:firstRowFirstColumn="0" w:firstRowLastColumn="0" w:lastRowFirstColumn="0" w:lastRowLastColumn="0"/>
            <w:tcW w:w="0" w:type="dxa"/>
            <w:vAlign w:val="center"/>
          </w:tcPr>
          <w:p w14:paraId="463CAD1E" w14:textId="77777777" w:rsidR="00D35B4F" w:rsidRPr="00F84762" w:rsidRDefault="00D35B4F" w:rsidP="000624E2">
            <w:pPr>
              <w:spacing w:before="40" w:after="40"/>
              <w:rPr>
                <w:color w:val="1C1C1C"/>
                <w:sz w:val="16"/>
                <w:szCs w:val="16"/>
              </w:rPr>
            </w:pPr>
            <w:r w:rsidRPr="00F84762">
              <w:rPr>
                <w:color w:val="1C1C1C"/>
                <w:sz w:val="16"/>
                <w:szCs w:val="16"/>
              </w:rPr>
              <w:t>Reconciliation of activity data back to source systems</w:t>
            </w:r>
          </w:p>
        </w:tc>
        <w:tc>
          <w:tcPr>
            <w:tcW w:w="0" w:type="dxa"/>
            <w:vAlign w:val="center"/>
          </w:tcPr>
          <w:p w14:paraId="20CA417A"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color w:val="1C1C1C"/>
                <w:sz w:val="16"/>
                <w:szCs w:val="16"/>
              </w:rPr>
              <w:t>Numerous checks performed when activity data is extracted from source systems</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0A3E962D" w14:textId="62212436" w:rsidR="00D35B4F" w:rsidRPr="00F84762" w:rsidRDefault="00D35B4F" w:rsidP="000624E2">
            <w:pPr>
              <w:spacing w:before="40" w:after="40"/>
              <w:rPr>
                <w:color w:val="1C1C1C"/>
                <w:sz w:val="16"/>
                <w:szCs w:val="16"/>
              </w:rPr>
            </w:pPr>
            <w:r w:rsidRPr="00F84762">
              <w:rPr>
                <w:color w:val="1C1C1C"/>
                <w:sz w:val="16"/>
                <w:szCs w:val="16"/>
              </w:rPr>
              <w:t>Yes, by D</w:t>
            </w:r>
            <w:r w:rsidR="00244536">
              <w:rPr>
                <w:color w:val="1C1C1C"/>
                <w:sz w:val="16"/>
                <w:szCs w:val="16"/>
              </w:rPr>
              <w:t xml:space="preserve">epartment of </w:t>
            </w:r>
            <w:r w:rsidRPr="00F84762">
              <w:rPr>
                <w:color w:val="1C1C1C"/>
                <w:sz w:val="16"/>
                <w:szCs w:val="16"/>
              </w:rPr>
              <w:t>H</w:t>
            </w:r>
            <w:r w:rsidR="00244536">
              <w:rPr>
                <w:color w:val="1C1C1C"/>
                <w:sz w:val="16"/>
                <w:szCs w:val="16"/>
              </w:rPr>
              <w:t>ealth.</w:t>
            </w:r>
          </w:p>
        </w:tc>
        <w:tc>
          <w:tcPr>
            <w:tcW w:w="0" w:type="dxa"/>
            <w:vAlign w:val="center"/>
          </w:tcPr>
          <w:p w14:paraId="1E14004F"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rFonts w:eastAsia="Arial"/>
                <w:color w:val="000000"/>
                <w:kern w:val="24"/>
                <w:sz w:val="16"/>
                <w:szCs w:val="16"/>
              </w:rPr>
              <w:t>N/A</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005CA6E0" w14:textId="77777777" w:rsidR="00D35B4F" w:rsidRPr="00F84762" w:rsidRDefault="00D35B4F" w:rsidP="000624E2">
            <w:pPr>
              <w:spacing w:before="40" w:after="40"/>
              <w:rPr>
                <w:color w:val="1C1C1C"/>
                <w:sz w:val="16"/>
                <w:szCs w:val="16"/>
              </w:rPr>
            </w:pPr>
            <w:r w:rsidRPr="00F84762">
              <w:rPr>
                <w:rFonts w:eastAsia="Arial" w:cs="Arial"/>
                <w:kern w:val="24"/>
                <w:sz w:val="16"/>
                <w:szCs w:val="16"/>
              </w:rPr>
              <w:t>Numerous checks performed when activity data is extracted from source systems.</w:t>
            </w:r>
          </w:p>
        </w:tc>
      </w:tr>
      <w:tr w:rsidR="000624E2" w:rsidRPr="000624E2" w14:paraId="05E470D8" w14:textId="77777777" w:rsidTr="00652075">
        <w:trPr>
          <w:trHeight w:val="57"/>
          <w:jc w:val="center"/>
        </w:trPr>
        <w:tc>
          <w:tcPr>
            <w:cnfStyle w:val="000010000000" w:firstRow="0" w:lastRow="0" w:firstColumn="0" w:lastColumn="0" w:oddVBand="1" w:evenVBand="0" w:oddHBand="0" w:evenHBand="0" w:firstRowFirstColumn="0" w:firstRowLastColumn="0" w:lastRowFirstColumn="0" w:lastRowLastColumn="0"/>
            <w:tcW w:w="0" w:type="dxa"/>
            <w:gridSpan w:val="3"/>
            <w:shd w:val="clear" w:color="auto" w:fill="DFEBF1" w:themeFill="accent1" w:themeFillTint="1A"/>
            <w:vAlign w:val="center"/>
          </w:tcPr>
          <w:p w14:paraId="646BAF54" w14:textId="77777777" w:rsidR="00D35B4F" w:rsidRPr="00F84762" w:rsidRDefault="00D35B4F" w:rsidP="000624E2">
            <w:pPr>
              <w:spacing w:before="40" w:after="40"/>
              <w:rPr>
                <w:b/>
                <w:bCs/>
                <w:color w:val="1C1C1C"/>
                <w:sz w:val="16"/>
                <w:szCs w:val="16"/>
              </w:rPr>
            </w:pPr>
            <w:r w:rsidRPr="00F84762">
              <w:rPr>
                <w:b/>
                <w:bCs/>
                <w:color w:val="1C1C1C"/>
                <w:sz w:val="16"/>
                <w:szCs w:val="16"/>
              </w:rPr>
              <w:t>Costing data – validation</w:t>
            </w:r>
          </w:p>
        </w:tc>
        <w:tc>
          <w:tcPr>
            <w:tcW w:w="0" w:type="dxa"/>
            <w:shd w:val="clear" w:color="auto" w:fill="DFEBF1" w:themeFill="accent1" w:themeFillTint="1A"/>
          </w:tcPr>
          <w:p w14:paraId="12322287" w14:textId="77777777" w:rsidR="00D35B4F" w:rsidRPr="00F84762" w:rsidRDefault="00D35B4F" w:rsidP="000624E2">
            <w:pPr>
              <w:spacing w:before="40" w:after="40"/>
              <w:cnfStyle w:val="000000000000" w:firstRow="0" w:lastRow="0" w:firstColumn="0" w:lastColumn="0" w:oddVBand="0" w:evenVBand="0" w:oddHBand="0" w:evenHBand="0" w:firstRowFirstColumn="0" w:firstRowLastColumn="0" w:lastRowFirstColumn="0" w:lastRowLastColumn="0"/>
              <w:rPr>
                <w:b/>
                <w:bCs/>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0" w:type="dxa"/>
            <w:shd w:val="clear" w:color="auto" w:fill="DFEBF1" w:themeFill="accent1" w:themeFillTint="1A"/>
          </w:tcPr>
          <w:p w14:paraId="286355EF" w14:textId="77777777" w:rsidR="00D35B4F" w:rsidRPr="00F84762" w:rsidRDefault="00D35B4F" w:rsidP="000624E2">
            <w:pPr>
              <w:spacing w:before="40" w:after="40"/>
              <w:rPr>
                <w:b/>
                <w:bCs/>
                <w:color w:val="1C1C1C"/>
                <w:sz w:val="16"/>
                <w:szCs w:val="16"/>
              </w:rPr>
            </w:pPr>
          </w:p>
        </w:tc>
      </w:tr>
      <w:tr w:rsidR="000624E2" w:rsidRPr="000624E2" w14:paraId="5AA9A081" w14:textId="77777777" w:rsidTr="00652075">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0" w:type="dxa"/>
            <w:vAlign w:val="center"/>
          </w:tcPr>
          <w:p w14:paraId="27C9B8BB" w14:textId="77777777" w:rsidR="00D35B4F" w:rsidRPr="00F84762" w:rsidRDefault="00D35B4F" w:rsidP="000624E2">
            <w:pPr>
              <w:spacing w:before="40" w:after="40"/>
              <w:rPr>
                <w:color w:val="1C1C1C"/>
                <w:sz w:val="16"/>
                <w:szCs w:val="16"/>
              </w:rPr>
            </w:pPr>
            <w:r w:rsidRPr="00F84762">
              <w:rPr>
                <w:color w:val="1C1C1C"/>
                <w:sz w:val="16"/>
                <w:szCs w:val="16"/>
              </w:rPr>
              <w:t>Trend analysis to prior periods across cost products</w:t>
            </w:r>
          </w:p>
        </w:tc>
        <w:tc>
          <w:tcPr>
            <w:tcW w:w="0" w:type="dxa"/>
            <w:vMerge w:val="restart"/>
            <w:vAlign w:val="center"/>
          </w:tcPr>
          <w:p w14:paraId="00C0A27F"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color w:val="1C1C1C"/>
                <w:sz w:val="16"/>
                <w:szCs w:val="16"/>
              </w:rPr>
              <w:t>All draft DNR submissions are subjected to a series of cost result tests by the ABM group.</w:t>
            </w:r>
          </w:p>
        </w:tc>
        <w:tc>
          <w:tcPr>
            <w:cnfStyle w:val="000010000000" w:firstRow="0" w:lastRow="0" w:firstColumn="0" w:lastColumn="0" w:oddVBand="1" w:evenVBand="0" w:oddHBand="0" w:evenHBand="0" w:firstRowFirstColumn="0" w:firstRowLastColumn="0" w:lastRowFirstColumn="0" w:lastRowLastColumn="0"/>
            <w:tcW w:w="0" w:type="dxa"/>
            <w:vMerge w:val="restart"/>
            <w:vAlign w:val="center"/>
          </w:tcPr>
          <w:p w14:paraId="79269D54" w14:textId="6653DE37" w:rsidR="00D35B4F" w:rsidRPr="00F84762" w:rsidRDefault="00D35B4F" w:rsidP="000624E2">
            <w:pPr>
              <w:spacing w:before="40" w:after="40"/>
              <w:rPr>
                <w:color w:val="1C1C1C"/>
                <w:sz w:val="16"/>
                <w:szCs w:val="16"/>
              </w:rPr>
            </w:pPr>
            <w:r w:rsidRPr="00F84762">
              <w:rPr>
                <w:color w:val="1C1C1C"/>
                <w:sz w:val="16"/>
                <w:szCs w:val="16"/>
              </w:rPr>
              <w:t>Yes, DH also summarises trends over 4</w:t>
            </w:r>
            <w:r w:rsidR="004F0B66">
              <w:rPr>
                <w:color w:val="1C1C1C"/>
                <w:sz w:val="16"/>
                <w:szCs w:val="16"/>
              </w:rPr>
              <w:t xml:space="preserve"> </w:t>
            </w:r>
            <w:r w:rsidR="0084188D">
              <w:rPr>
                <w:color w:val="1C1C1C"/>
                <w:sz w:val="16"/>
                <w:szCs w:val="16"/>
              </w:rPr>
              <w:t>–</w:t>
            </w:r>
            <w:r w:rsidR="004F0B66">
              <w:rPr>
                <w:color w:val="1C1C1C"/>
                <w:sz w:val="16"/>
                <w:szCs w:val="16"/>
              </w:rPr>
              <w:t xml:space="preserve"> </w:t>
            </w:r>
            <w:proofErr w:type="gramStart"/>
            <w:r w:rsidRPr="00F84762">
              <w:rPr>
                <w:color w:val="1C1C1C"/>
                <w:sz w:val="16"/>
                <w:szCs w:val="16"/>
              </w:rPr>
              <w:t>5</w:t>
            </w:r>
            <w:r w:rsidR="004F0B66">
              <w:rPr>
                <w:color w:val="1C1C1C"/>
                <w:sz w:val="16"/>
                <w:szCs w:val="16"/>
              </w:rPr>
              <w:t xml:space="preserve"> </w:t>
            </w:r>
            <w:r w:rsidRPr="00F84762">
              <w:rPr>
                <w:color w:val="1C1C1C"/>
                <w:sz w:val="16"/>
                <w:szCs w:val="16"/>
              </w:rPr>
              <w:t>year</w:t>
            </w:r>
            <w:proofErr w:type="gramEnd"/>
            <w:r w:rsidRPr="00F84762">
              <w:rPr>
                <w:color w:val="1C1C1C"/>
                <w:sz w:val="16"/>
                <w:szCs w:val="16"/>
              </w:rPr>
              <w:t xml:space="preserve"> period to highlight change.</w:t>
            </w:r>
          </w:p>
        </w:tc>
        <w:tc>
          <w:tcPr>
            <w:tcW w:w="0" w:type="dxa"/>
            <w:vMerge w:val="restart"/>
            <w:vAlign w:val="center"/>
          </w:tcPr>
          <w:p w14:paraId="596E8C63"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rFonts w:eastAsia="Arial"/>
                <w:color w:val="000000"/>
                <w:kern w:val="24"/>
                <w:sz w:val="16"/>
                <w:szCs w:val="16"/>
              </w:rPr>
              <w:t>Yes, annually</w:t>
            </w:r>
          </w:p>
        </w:tc>
        <w:tc>
          <w:tcPr>
            <w:cnfStyle w:val="000010000000" w:firstRow="0" w:lastRow="0" w:firstColumn="0" w:lastColumn="0" w:oddVBand="1" w:evenVBand="0" w:oddHBand="0" w:evenHBand="0" w:firstRowFirstColumn="0" w:firstRowLastColumn="0" w:lastRowFirstColumn="0" w:lastRowLastColumn="0"/>
            <w:tcW w:w="0" w:type="dxa"/>
            <w:vMerge w:val="restart"/>
            <w:vAlign w:val="center"/>
          </w:tcPr>
          <w:p w14:paraId="010C9480" w14:textId="77777777" w:rsidR="00D35B4F" w:rsidRPr="00F84762" w:rsidRDefault="00D35B4F" w:rsidP="000624E2">
            <w:pPr>
              <w:spacing w:before="40" w:after="40"/>
              <w:rPr>
                <w:color w:val="1C1C1C"/>
                <w:sz w:val="16"/>
                <w:szCs w:val="16"/>
              </w:rPr>
            </w:pPr>
            <w:r w:rsidRPr="00F84762">
              <w:rPr>
                <w:rFonts w:eastAsia="Arial" w:cs="Arial"/>
                <w:kern w:val="24"/>
                <w:sz w:val="16"/>
                <w:szCs w:val="16"/>
              </w:rPr>
              <w:t>Yes</w:t>
            </w:r>
          </w:p>
        </w:tc>
      </w:tr>
      <w:tr w:rsidR="000624E2" w:rsidRPr="000624E2" w14:paraId="2D5749D8" w14:textId="77777777" w:rsidTr="00652075">
        <w:trPr>
          <w:trHeight w:val="104"/>
          <w:jc w:val="center"/>
        </w:trPr>
        <w:tc>
          <w:tcPr>
            <w:cnfStyle w:val="000010000000" w:firstRow="0" w:lastRow="0" w:firstColumn="0" w:lastColumn="0" w:oddVBand="1" w:evenVBand="0" w:oddHBand="0" w:evenHBand="0" w:firstRowFirstColumn="0" w:firstRowLastColumn="0" w:lastRowFirstColumn="0" w:lastRowLastColumn="0"/>
            <w:tcW w:w="0" w:type="dxa"/>
            <w:vAlign w:val="center"/>
          </w:tcPr>
          <w:p w14:paraId="387F62EF" w14:textId="77777777" w:rsidR="00D35B4F" w:rsidRPr="00F84762" w:rsidRDefault="00D35B4F" w:rsidP="000624E2">
            <w:pPr>
              <w:spacing w:before="40" w:after="40"/>
              <w:rPr>
                <w:color w:val="1C1C1C"/>
                <w:sz w:val="16"/>
                <w:szCs w:val="16"/>
              </w:rPr>
            </w:pPr>
            <w:r w:rsidRPr="00F84762">
              <w:rPr>
                <w:color w:val="1C1C1C"/>
                <w:sz w:val="16"/>
                <w:szCs w:val="16"/>
              </w:rPr>
              <w:t>Reasonableness test of excluded data and outliers</w:t>
            </w:r>
          </w:p>
        </w:tc>
        <w:tc>
          <w:tcPr>
            <w:tcW w:w="0" w:type="dxa"/>
            <w:vMerge/>
            <w:vAlign w:val="center"/>
          </w:tcPr>
          <w:p w14:paraId="0A03499D" w14:textId="77777777" w:rsidR="00D35B4F" w:rsidRPr="00F84762" w:rsidRDefault="00D35B4F" w:rsidP="000624E2">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0" w:type="dxa"/>
            <w:vMerge/>
            <w:vAlign w:val="center"/>
          </w:tcPr>
          <w:p w14:paraId="3B2BB6E5" w14:textId="77777777" w:rsidR="00D35B4F" w:rsidRPr="00F84762" w:rsidRDefault="00D35B4F" w:rsidP="000624E2">
            <w:pPr>
              <w:spacing w:before="40" w:after="40"/>
              <w:rPr>
                <w:color w:val="1C1C1C"/>
                <w:sz w:val="16"/>
                <w:szCs w:val="16"/>
              </w:rPr>
            </w:pPr>
          </w:p>
        </w:tc>
        <w:tc>
          <w:tcPr>
            <w:tcW w:w="0" w:type="dxa"/>
            <w:vMerge/>
            <w:vAlign w:val="center"/>
          </w:tcPr>
          <w:p w14:paraId="17144523" w14:textId="77777777" w:rsidR="00D35B4F" w:rsidRPr="00F84762" w:rsidRDefault="00D35B4F" w:rsidP="000624E2">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0" w:type="dxa"/>
            <w:vMerge/>
            <w:vAlign w:val="center"/>
          </w:tcPr>
          <w:p w14:paraId="7FAD104D" w14:textId="77777777" w:rsidR="00D35B4F" w:rsidRPr="00F84762" w:rsidRDefault="00D35B4F" w:rsidP="000624E2">
            <w:pPr>
              <w:spacing w:before="40" w:after="40"/>
              <w:rPr>
                <w:color w:val="1C1C1C"/>
                <w:sz w:val="16"/>
                <w:szCs w:val="16"/>
              </w:rPr>
            </w:pPr>
          </w:p>
        </w:tc>
      </w:tr>
      <w:tr w:rsidR="000624E2" w:rsidRPr="000624E2" w14:paraId="40BB07E0" w14:textId="77777777" w:rsidTr="00652075">
        <w:trPr>
          <w:cnfStyle w:val="000000100000" w:firstRow="0" w:lastRow="0" w:firstColumn="0" w:lastColumn="0" w:oddVBand="0" w:evenVBand="0" w:oddHBand="1" w:evenHBand="0" w:firstRowFirstColumn="0" w:firstRowLastColumn="0" w:lastRowFirstColumn="0" w:lastRowLastColumn="0"/>
          <w:trHeight w:val="57"/>
          <w:jc w:val="center"/>
        </w:trPr>
        <w:tc>
          <w:tcPr>
            <w:cnfStyle w:val="000010000000" w:firstRow="0" w:lastRow="0" w:firstColumn="0" w:lastColumn="0" w:oddVBand="1" w:evenVBand="0" w:oddHBand="0" w:evenHBand="0" w:firstRowFirstColumn="0" w:firstRowLastColumn="0" w:lastRowFirstColumn="0" w:lastRowLastColumn="0"/>
            <w:tcW w:w="0" w:type="dxa"/>
            <w:vAlign w:val="center"/>
          </w:tcPr>
          <w:p w14:paraId="08B89E4B" w14:textId="77777777" w:rsidR="00D35B4F" w:rsidRPr="00F84762" w:rsidRDefault="00D35B4F" w:rsidP="000624E2">
            <w:pPr>
              <w:spacing w:before="40" w:after="40"/>
              <w:rPr>
                <w:color w:val="1C1C1C"/>
                <w:sz w:val="16"/>
                <w:szCs w:val="16"/>
              </w:rPr>
            </w:pPr>
            <w:r w:rsidRPr="00F84762">
              <w:rPr>
                <w:color w:val="1C1C1C"/>
                <w:sz w:val="16"/>
                <w:szCs w:val="16"/>
              </w:rPr>
              <w:lastRenderedPageBreak/>
              <w:t>Analysis of outliers at the cost, LOS, or cost bucket level</w:t>
            </w:r>
          </w:p>
        </w:tc>
        <w:tc>
          <w:tcPr>
            <w:tcW w:w="0" w:type="dxa"/>
            <w:vMerge/>
            <w:vAlign w:val="center"/>
          </w:tcPr>
          <w:p w14:paraId="2D9D46EA"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0" w:type="dxa"/>
            <w:vMerge/>
            <w:vAlign w:val="center"/>
          </w:tcPr>
          <w:p w14:paraId="05B6442C" w14:textId="77777777" w:rsidR="00D35B4F" w:rsidRPr="00F84762" w:rsidRDefault="00D35B4F" w:rsidP="000624E2">
            <w:pPr>
              <w:spacing w:before="40" w:after="40"/>
              <w:rPr>
                <w:color w:val="1C1C1C"/>
                <w:sz w:val="16"/>
                <w:szCs w:val="16"/>
              </w:rPr>
            </w:pPr>
          </w:p>
        </w:tc>
        <w:tc>
          <w:tcPr>
            <w:tcW w:w="0" w:type="dxa"/>
            <w:vMerge/>
            <w:vAlign w:val="center"/>
          </w:tcPr>
          <w:p w14:paraId="3C61F233"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0" w:type="dxa"/>
            <w:vMerge/>
            <w:vAlign w:val="center"/>
          </w:tcPr>
          <w:p w14:paraId="14955A6F" w14:textId="77777777" w:rsidR="00D35B4F" w:rsidRPr="00F84762" w:rsidRDefault="00D35B4F" w:rsidP="000624E2">
            <w:pPr>
              <w:spacing w:before="40" w:after="40"/>
              <w:rPr>
                <w:color w:val="1C1C1C"/>
                <w:sz w:val="16"/>
                <w:szCs w:val="16"/>
              </w:rPr>
            </w:pPr>
          </w:p>
        </w:tc>
      </w:tr>
      <w:tr w:rsidR="000624E2" w:rsidRPr="000624E2" w14:paraId="4749854F" w14:textId="77777777" w:rsidTr="00652075">
        <w:trPr>
          <w:trHeight w:val="57"/>
          <w:jc w:val="center"/>
        </w:trPr>
        <w:tc>
          <w:tcPr>
            <w:cnfStyle w:val="000010000000" w:firstRow="0" w:lastRow="0" w:firstColumn="0" w:lastColumn="0" w:oddVBand="1" w:evenVBand="0" w:oddHBand="0" w:evenHBand="0" w:firstRowFirstColumn="0" w:firstRowLastColumn="0" w:lastRowFirstColumn="0" w:lastRowLastColumn="0"/>
            <w:tcW w:w="0" w:type="dxa"/>
            <w:vAlign w:val="center"/>
          </w:tcPr>
          <w:p w14:paraId="6229F503" w14:textId="77777777" w:rsidR="00D35B4F" w:rsidRPr="00F84762" w:rsidRDefault="00D35B4F" w:rsidP="000624E2">
            <w:pPr>
              <w:spacing w:before="40" w:after="40"/>
              <w:rPr>
                <w:color w:val="1C1C1C"/>
                <w:sz w:val="16"/>
                <w:szCs w:val="16"/>
              </w:rPr>
            </w:pPr>
            <w:r w:rsidRPr="00F84762">
              <w:rPr>
                <w:color w:val="1C1C1C"/>
                <w:sz w:val="16"/>
                <w:szCs w:val="16"/>
              </w:rPr>
              <w:t>Direct and overhead percentage allocations</w:t>
            </w:r>
          </w:p>
        </w:tc>
        <w:tc>
          <w:tcPr>
            <w:tcW w:w="0" w:type="dxa"/>
            <w:vMerge/>
            <w:vAlign w:val="center"/>
          </w:tcPr>
          <w:p w14:paraId="7EA96FB8" w14:textId="77777777" w:rsidR="00D35B4F" w:rsidRPr="00F84762" w:rsidRDefault="00D35B4F" w:rsidP="000624E2">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0" w:type="dxa"/>
            <w:vMerge/>
            <w:vAlign w:val="center"/>
          </w:tcPr>
          <w:p w14:paraId="452FDACF" w14:textId="77777777" w:rsidR="00D35B4F" w:rsidRPr="00F84762" w:rsidRDefault="00D35B4F" w:rsidP="000624E2">
            <w:pPr>
              <w:spacing w:before="40" w:after="40"/>
              <w:rPr>
                <w:color w:val="1C1C1C"/>
                <w:sz w:val="16"/>
                <w:szCs w:val="16"/>
              </w:rPr>
            </w:pPr>
          </w:p>
        </w:tc>
        <w:tc>
          <w:tcPr>
            <w:tcW w:w="0" w:type="dxa"/>
            <w:vMerge/>
            <w:vAlign w:val="center"/>
          </w:tcPr>
          <w:p w14:paraId="57E9FF81" w14:textId="77777777" w:rsidR="00D35B4F" w:rsidRPr="00F84762" w:rsidRDefault="00D35B4F" w:rsidP="000624E2">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0" w:type="dxa"/>
            <w:vMerge/>
            <w:vAlign w:val="center"/>
          </w:tcPr>
          <w:p w14:paraId="46FBDC91" w14:textId="77777777" w:rsidR="00D35B4F" w:rsidRPr="00F84762" w:rsidRDefault="00D35B4F" w:rsidP="000624E2">
            <w:pPr>
              <w:spacing w:before="40" w:after="40"/>
              <w:rPr>
                <w:color w:val="1C1C1C"/>
                <w:sz w:val="16"/>
                <w:szCs w:val="16"/>
              </w:rPr>
            </w:pPr>
          </w:p>
        </w:tc>
      </w:tr>
      <w:tr w:rsidR="00F84762" w:rsidRPr="00F84762" w14:paraId="142FDF06" w14:textId="77777777" w:rsidTr="00652075">
        <w:trPr>
          <w:cnfStyle w:val="000000100000" w:firstRow="0" w:lastRow="0" w:firstColumn="0" w:lastColumn="0" w:oddVBand="0" w:evenVBand="0" w:oddHBand="1" w:evenHBand="0" w:firstRowFirstColumn="0" w:firstRowLastColumn="0" w:lastRowFirstColumn="0" w:lastRowLastColumn="0"/>
          <w:trHeight w:val="211"/>
          <w:jc w:val="center"/>
        </w:trPr>
        <w:tc>
          <w:tcPr>
            <w:cnfStyle w:val="000010000000" w:firstRow="0" w:lastRow="0" w:firstColumn="0" w:lastColumn="0" w:oddVBand="1" w:evenVBand="0" w:oddHBand="0" w:evenHBand="0" w:firstRowFirstColumn="0" w:firstRowLastColumn="0" w:lastRowFirstColumn="0" w:lastRowLastColumn="0"/>
            <w:tcW w:w="0" w:type="dxa"/>
            <w:vAlign w:val="center"/>
          </w:tcPr>
          <w:p w14:paraId="6A8C1159" w14:textId="77777777" w:rsidR="00D35B4F" w:rsidRPr="00F84762" w:rsidRDefault="00D35B4F" w:rsidP="000624E2">
            <w:pPr>
              <w:spacing w:before="40" w:after="40"/>
              <w:rPr>
                <w:color w:val="1C1C1C"/>
                <w:sz w:val="16"/>
                <w:szCs w:val="16"/>
              </w:rPr>
            </w:pPr>
            <w:r w:rsidRPr="00F84762">
              <w:rPr>
                <w:color w:val="1C1C1C"/>
                <w:sz w:val="16"/>
                <w:szCs w:val="16"/>
              </w:rPr>
              <w:t>Specific business rule tests</w:t>
            </w:r>
          </w:p>
        </w:tc>
        <w:tc>
          <w:tcPr>
            <w:tcW w:w="0" w:type="dxa"/>
            <w:vAlign w:val="center"/>
          </w:tcPr>
          <w:p w14:paraId="1A826185"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color w:val="1C1C1C"/>
                <w:sz w:val="16"/>
                <w:szCs w:val="16"/>
              </w:rPr>
              <w:t xml:space="preserve">Numerous tests examining the compliance with key costing business rules </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16E3EB28" w14:textId="77777777" w:rsidR="00D35B4F" w:rsidRPr="00F84762" w:rsidRDefault="00D35B4F" w:rsidP="000624E2">
            <w:pPr>
              <w:spacing w:before="40" w:after="40"/>
              <w:rPr>
                <w:color w:val="1C1C1C"/>
                <w:sz w:val="16"/>
                <w:szCs w:val="16"/>
              </w:rPr>
            </w:pPr>
            <w:r w:rsidRPr="00F84762">
              <w:rPr>
                <w:color w:val="1C1C1C"/>
                <w:sz w:val="16"/>
                <w:szCs w:val="16"/>
              </w:rPr>
              <w:t>Yes, several checks are conducted on submission outputs.</w:t>
            </w:r>
          </w:p>
        </w:tc>
        <w:tc>
          <w:tcPr>
            <w:tcW w:w="0" w:type="dxa"/>
            <w:vAlign w:val="center"/>
          </w:tcPr>
          <w:p w14:paraId="40C12E14"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rFonts w:eastAsia="Arial"/>
                <w:color w:val="000000"/>
                <w:kern w:val="24"/>
                <w:sz w:val="16"/>
                <w:szCs w:val="16"/>
              </w:rPr>
              <w:t>Yes</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4E119938" w14:textId="77777777" w:rsidR="00D35B4F" w:rsidRPr="00F84762" w:rsidRDefault="00D35B4F" w:rsidP="000624E2">
            <w:pPr>
              <w:spacing w:before="40" w:after="40"/>
              <w:rPr>
                <w:color w:val="1C1C1C"/>
                <w:sz w:val="16"/>
                <w:szCs w:val="16"/>
              </w:rPr>
            </w:pPr>
            <w:r w:rsidRPr="00F84762">
              <w:rPr>
                <w:rFonts w:eastAsia="PMingLiU"/>
                <w:kern w:val="24"/>
                <w:sz w:val="16"/>
                <w:szCs w:val="16"/>
              </w:rPr>
              <w:t>Central team control feeder data and QA the data and run through the business rules for each LHN</w:t>
            </w:r>
          </w:p>
        </w:tc>
      </w:tr>
      <w:tr w:rsidR="000624E2" w:rsidRPr="000624E2" w14:paraId="55FC8D5F" w14:textId="77777777" w:rsidTr="00F84762">
        <w:trPr>
          <w:trHeight w:val="20"/>
          <w:jc w:val="center"/>
        </w:trPr>
        <w:tc>
          <w:tcPr>
            <w:cnfStyle w:val="000010000000" w:firstRow="0" w:lastRow="0" w:firstColumn="0" w:lastColumn="0" w:oddVBand="1" w:evenVBand="0" w:oddHBand="0" w:evenHBand="0" w:firstRowFirstColumn="0" w:firstRowLastColumn="0" w:lastRowFirstColumn="0" w:lastRowLastColumn="0"/>
            <w:tcW w:w="8500" w:type="dxa"/>
            <w:gridSpan w:val="3"/>
            <w:shd w:val="clear" w:color="auto" w:fill="DFEBF1" w:themeFill="accent1" w:themeFillTint="1A"/>
            <w:vAlign w:val="center"/>
          </w:tcPr>
          <w:p w14:paraId="0B8BAF51" w14:textId="77777777" w:rsidR="00D35B4F" w:rsidRPr="00F84762" w:rsidRDefault="00D35B4F" w:rsidP="000624E2">
            <w:pPr>
              <w:spacing w:before="40" w:after="40"/>
              <w:rPr>
                <w:b/>
                <w:bCs/>
                <w:color w:val="1C1C1C"/>
                <w:sz w:val="16"/>
                <w:szCs w:val="16"/>
              </w:rPr>
            </w:pPr>
            <w:r w:rsidRPr="00F84762">
              <w:rPr>
                <w:b/>
                <w:bCs/>
                <w:color w:val="1C1C1C"/>
                <w:sz w:val="16"/>
                <w:szCs w:val="16"/>
              </w:rPr>
              <w:t>Costing data – governance</w:t>
            </w:r>
          </w:p>
        </w:tc>
        <w:tc>
          <w:tcPr>
            <w:tcW w:w="2612" w:type="dxa"/>
            <w:shd w:val="clear" w:color="auto" w:fill="DFEBF1" w:themeFill="accent1" w:themeFillTint="1A"/>
          </w:tcPr>
          <w:p w14:paraId="08D16A81" w14:textId="77777777" w:rsidR="00D35B4F" w:rsidRPr="00F84762" w:rsidRDefault="00D35B4F" w:rsidP="000624E2">
            <w:pPr>
              <w:spacing w:before="40" w:after="40"/>
              <w:cnfStyle w:val="000000000000" w:firstRow="0" w:lastRow="0" w:firstColumn="0" w:lastColumn="0" w:oddVBand="0" w:evenVBand="0" w:oddHBand="0" w:evenHBand="0" w:firstRowFirstColumn="0" w:firstRowLastColumn="0" w:lastRowFirstColumn="0" w:lastRowLastColumn="0"/>
              <w:rPr>
                <w:b/>
                <w:bCs/>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2836" w:type="dxa"/>
            <w:shd w:val="clear" w:color="auto" w:fill="DFEBF1" w:themeFill="accent1" w:themeFillTint="1A"/>
          </w:tcPr>
          <w:p w14:paraId="64EF938E" w14:textId="77777777" w:rsidR="00D35B4F" w:rsidRPr="00F84762" w:rsidRDefault="00D35B4F" w:rsidP="000624E2">
            <w:pPr>
              <w:spacing w:before="40" w:after="40"/>
              <w:rPr>
                <w:b/>
                <w:bCs/>
                <w:color w:val="1C1C1C"/>
                <w:sz w:val="16"/>
                <w:szCs w:val="16"/>
              </w:rPr>
            </w:pPr>
          </w:p>
        </w:tc>
      </w:tr>
      <w:tr w:rsidR="00F84762" w:rsidRPr="00F84762" w14:paraId="384F7516" w14:textId="77777777" w:rsidTr="00F84762">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54C846BC" w14:textId="77777777" w:rsidR="00D35B4F" w:rsidRPr="00F84762" w:rsidRDefault="00D35B4F" w:rsidP="000624E2">
            <w:pPr>
              <w:spacing w:before="40" w:after="40"/>
              <w:rPr>
                <w:color w:val="1C1C1C"/>
                <w:sz w:val="16"/>
                <w:szCs w:val="16"/>
              </w:rPr>
            </w:pPr>
            <w:r w:rsidRPr="00F84762">
              <w:rPr>
                <w:color w:val="1C1C1C"/>
                <w:sz w:val="16"/>
                <w:szCs w:val="16"/>
              </w:rPr>
              <w:t>Regular updates with costing staff</w:t>
            </w:r>
          </w:p>
        </w:tc>
        <w:tc>
          <w:tcPr>
            <w:tcW w:w="2835" w:type="dxa"/>
            <w:vAlign w:val="center"/>
          </w:tcPr>
          <w:p w14:paraId="224E703E"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color w:val="1C1C1C"/>
                <w:sz w:val="16"/>
                <w:szCs w:val="16"/>
              </w:rPr>
              <w:t xml:space="preserve">Monthly </w:t>
            </w:r>
            <w:r w:rsidRPr="00652075">
              <w:rPr>
                <w:color w:val="1C1C1C"/>
                <w:sz w:val="16"/>
                <w:szCs w:val="16"/>
              </w:rPr>
              <w:t>Costing Standards User Group</w:t>
            </w:r>
            <w:r w:rsidRPr="00F84762">
              <w:rPr>
                <w:color w:val="1C1C1C"/>
                <w:sz w:val="16"/>
                <w:szCs w:val="16"/>
              </w:rPr>
              <w:t xml:space="preserve"> (CSUG) held across the state. </w:t>
            </w:r>
          </w:p>
        </w:tc>
        <w:tc>
          <w:tcPr>
            <w:cnfStyle w:val="000010000000" w:firstRow="0" w:lastRow="0" w:firstColumn="0" w:lastColumn="0" w:oddVBand="1" w:evenVBand="0" w:oddHBand="0" w:evenHBand="0" w:firstRowFirstColumn="0" w:firstRowLastColumn="0" w:lastRowFirstColumn="0" w:lastRowLastColumn="0"/>
            <w:tcW w:w="2693" w:type="dxa"/>
            <w:vAlign w:val="center"/>
          </w:tcPr>
          <w:p w14:paraId="3634BB1D" w14:textId="77777777" w:rsidR="00D35B4F" w:rsidRPr="00F84762" w:rsidRDefault="00D35B4F" w:rsidP="000624E2">
            <w:pPr>
              <w:spacing w:before="40" w:after="40"/>
              <w:rPr>
                <w:color w:val="1C1C1C"/>
                <w:sz w:val="16"/>
                <w:szCs w:val="16"/>
              </w:rPr>
            </w:pPr>
            <w:r w:rsidRPr="00F84762">
              <w:rPr>
                <w:color w:val="1C1C1C"/>
                <w:sz w:val="16"/>
                <w:szCs w:val="16"/>
              </w:rPr>
              <w:t xml:space="preserve">Monthly meeting with cost practitioners. </w:t>
            </w:r>
          </w:p>
        </w:tc>
        <w:tc>
          <w:tcPr>
            <w:tcW w:w="2612" w:type="dxa"/>
            <w:vAlign w:val="center"/>
          </w:tcPr>
          <w:p w14:paraId="1FFB110B"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rFonts w:eastAsia="Arial"/>
                <w:color w:val="000000"/>
                <w:kern w:val="24"/>
                <w:sz w:val="16"/>
                <w:szCs w:val="16"/>
              </w:rPr>
              <w:t>Monthly meetings of Clinical Costing Working Group and HHS Funding and Costing Network.</w:t>
            </w:r>
          </w:p>
        </w:tc>
        <w:tc>
          <w:tcPr>
            <w:cnfStyle w:val="000010000000" w:firstRow="0" w:lastRow="0" w:firstColumn="0" w:lastColumn="0" w:oddVBand="1" w:evenVBand="0" w:oddHBand="0" w:evenHBand="0" w:firstRowFirstColumn="0" w:firstRowLastColumn="0" w:lastRowFirstColumn="0" w:lastRowLastColumn="0"/>
            <w:tcW w:w="2836" w:type="dxa"/>
            <w:vAlign w:val="center"/>
          </w:tcPr>
          <w:p w14:paraId="7DC98DBD" w14:textId="77777777" w:rsidR="00D35B4F" w:rsidRPr="00F84762" w:rsidRDefault="00D35B4F" w:rsidP="000624E2">
            <w:pPr>
              <w:spacing w:before="40" w:after="40"/>
              <w:rPr>
                <w:color w:val="1C1C1C"/>
                <w:sz w:val="16"/>
                <w:szCs w:val="16"/>
              </w:rPr>
            </w:pPr>
            <w:r w:rsidRPr="00F84762">
              <w:rPr>
                <w:rFonts w:eastAsia="PMingLiU"/>
                <w:kern w:val="24"/>
                <w:sz w:val="16"/>
                <w:szCs w:val="16"/>
              </w:rPr>
              <w:t>Conducted monthly – process and agenda soon to be renewed to improve value-add</w:t>
            </w:r>
          </w:p>
        </w:tc>
      </w:tr>
      <w:tr w:rsidR="00F84762" w:rsidRPr="00F84762" w14:paraId="2114BEAC" w14:textId="77777777" w:rsidTr="00652075">
        <w:trPr>
          <w:trHeight w:val="57"/>
          <w:jc w:val="center"/>
        </w:trPr>
        <w:tc>
          <w:tcPr>
            <w:cnfStyle w:val="000010000000" w:firstRow="0" w:lastRow="0" w:firstColumn="0" w:lastColumn="0" w:oddVBand="1" w:evenVBand="0" w:oddHBand="0" w:evenHBand="0" w:firstRowFirstColumn="0" w:firstRowLastColumn="0" w:lastRowFirstColumn="0" w:lastRowLastColumn="0"/>
            <w:tcW w:w="0" w:type="dxa"/>
            <w:vAlign w:val="center"/>
          </w:tcPr>
          <w:p w14:paraId="5B4B9658" w14:textId="77777777" w:rsidR="00D35B4F" w:rsidRPr="00F84762" w:rsidRDefault="00D35B4F" w:rsidP="000624E2">
            <w:pPr>
              <w:spacing w:before="40" w:after="40"/>
              <w:rPr>
                <w:color w:val="1C1C1C"/>
                <w:sz w:val="16"/>
                <w:szCs w:val="16"/>
              </w:rPr>
            </w:pPr>
            <w:r w:rsidRPr="00F84762">
              <w:rPr>
                <w:color w:val="1C1C1C"/>
                <w:sz w:val="16"/>
                <w:szCs w:val="16"/>
              </w:rPr>
              <w:t>Local guidelines supporting the AHPCS standards framework</w:t>
            </w:r>
          </w:p>
        </w:tc>
        <w:tc>
          <w:tcPr>
            <w:tcW w:w="0" w:type="dxa"/>
            <w:vAlign w:val="center"/>
          </w:tcPr>
          <w:p w14:paraId="7DD3A780" w14:textId="77777777" w:rsidR="00D35B4F" w:rsidRPr="00F84762" w:rsidRDefault="00D35B4F" w:rsidP="000624E2">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r w:rsidRPr="00F84762">
              <w:rPr>
                <w:color w:val="1C1C1C"/>
                <w:sz w:val="16"/>
                <w:szCs w:val="16"/>
              </w:rPr>
              <w:t>NSW CAG</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3BCDCB2B" w14:textId="77777777" w:rsidR="00D35B4F" w:rsidRPr="00F84762" w:rsidRDefault="00D35B4F" w:rsidP="000624E2">
            <w:pPr>
              <w:spacing w:before="40" w:after="40"/>
              <w:rPr>
                <w:color w:val="1C1C1C"/>
                <w:sz w:val="16"/>
                <w:szCs w:val="16"/>
              </w:rPr>
            </w:pPr>
            <w:r w:rsidRPr="00F84762">
              <w:rPr>
                <w:color w:val="1C1C1C"/>
                <w:sz w:val="16"/>
                <w:szCs w:val="16"/>
              </w:rPr>
              <w:t>Yes</w:t>
            </w:r>
          </w:p>
        </w:tc>
        <w:tc>
          <w:tcPr>
            <w:tcW w:w="0" w:type="dxa"/>
            <w:vAlign w:val="center"/>
          </w:tcPr>
          <w:p w14:paraId="60F7F93A" w14:textId="77777777" w:rsidR="00D35B4F" w:rsidRPr="00F84762" w:rsidRDefault="00D35B4F" w:rsidP="000624E2">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r w:rsidRPr="00F84762">
              <w:rPr>
                <w:rFonts w:eastAsia="Arial"/>
                <w:color w:val="000000"/>
                <w:kern w:val="24"/>
                <w:sz w:val="16"/>
                <w:szCs w:val="16"/>
              </w:rPr>
              <w:t>Yes</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24210049" w14:textId="77777777" w:rsidR="00D35B4F" w:rsidRPr="00F84762" w:rsidRDefault="00D35B4F" w:rsidP="000624E2">
            <w:pPr>
              <w:spacing w:before="40" w:after="40"/>
              <w:rPr>
                <w:color w:val="1C1C1C"/>
                <w:sz w:val="16"/>
                <w:szCs w:val="16"/>
              </w:rPr>
            </w:pPr>
            <w:r w:rsidRPr="00F84762">
              <w:rPr>
                <w:rFonts w:eastAsia="PMingLiU"/>
                <w:kern w:val="24"/>
                <w:sz w:val="16"/>
                <w:szCs w:val="16"/>
              </w:rPr>
              <w:t>No</w:t>
            </w:r>
          </w:p>
        </w:tc>
      </w:tr>
      <w:tr w:rsidR="00F84762" w:rsidRPr="00F84762" w14:paraId="3C6C7323" w14:textId="77777777" w:rsidTr="00652075">
        <w:trPr>
          <w:cnfStyle w:val="000000100000" w:firstRow="0" w:lastRow="0" w:firstColumn="0" w:lastColumn="0" w:oddVBand="0" w:evenVBand="0" w:oddHBand="1" w:evenHBand="0" w:firstRowFirstColumn="0" w:firstRowLastColumn="0" w:lastRowFirstColumn="0" w:lastRowLastColumn="0"/>
          <w:trHeight w:val="141"/>
          <w:jc w:val="center"/>
        </w:trPr>
        <w:tc>
          <w:tcPr>
            <w:cnfStyle w:val="000010000000" w:firstRow="0" w:lastRow="0" w:firstColumn="0" w:lastColumn="0" w:oddVBand="1" w:evenVBand="0" w:oddHBand="0" w:evenHBand="0" w:firstRowFirstColumn="0" w:firstRowLastColumn="0" w:lastRowFirstColumn="0" w:lastRowLastColumn="0"/>
            <w:tcW w:w="0" w:type="dxa"/>
            <w:vAlign w:val="center"/>
          </w:tcPr>
          <w:p w14:paraId="33E39145" w14:textId="77777777" w:rsidR="00D35B4F" w:rsidRPr="00F84762" w:rsidRDefault="00D35B4F" w:rsidP="000624E2">
            <w:pPr>
              <w:spacing w:before="40" w:after="40"/>
              <w:rPr>
                <w:color w:val="1C1C1C"/>
                <w:sz w:val="16"/>
                <w:szCs w:val="16"/>
              </w:rPr>
            </w:pPr>
            <w:r w:rsidRPr="00F84762">
              <w:rPr>
                <w:color w:val="1C1C1C"/>
                <w:sz w:val="16"/>
                <w:szCs w:val="16"/>
              </w:rPr>
              <w:t>Review of cost allocations</w:t>
            </w:r>
          </w:p>
        </w:tc>
        <w:tc>
          <w:tcPr>
            <w:tcW w:w="0" w:type="dxa"/>
            <w:vAlign w:val="center"/>
          </w:tcPr>
          <w:p w14:paraId="3C48D42A"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color w:val="1C1C1C"/>
                <w:sz w:val="16"/>
                <w:szCs w:val="16"/>
              </w:rPr>
              <w:t>NSW DNR submission process includes draft period for comparing cost results with peers.</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51002FC4" w14:textId="77777777" w:rsidR="00D35B4F" w:rsidRPr="00F84762" w:rsidRDefault="00D35B4F" w:rsidP="000624E2">
            <w:pPr>
              <w:spacing w:before="40" w:after="40"/>
              <w:rPr>
                <w:color w:val="1C1C1C"/>
                <w:sz w:val="16"/>
                <w:szCs w:val="16"/>
              </w:rPr>
            </w:pPr>
            <w:r w:rsidRPr="00F84762">
              <w:rPr>
                <w:color w:val="1C1C1C"/>
                <w:sz w:val="16"/>
                <w:szCs w:val="16"/>
              </w:rPr>
              <w:t>DH conducts checks during site submissions to VCDC</w:t>
            </w:r>
          </w:p>
        </w:tc>
        <w:tc>
          <w:tcPr>
            <w:tcW w:w="0" w:type="dxa"/>
            <w:vAlign w:val="center"/>
          </w:tcPr>
          <w:p w14:paraId="0F354A3F"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rFonts w:eastAsia="Arial"/>
                <w:color w:val="000000"/>
                <w:kern w:val="24"/>
                <w:sz w:val="16"/>
                <w:szCs w:val="16"/>
              </w:rPr>
              <w:t xml:space="preserve">Yes, as part of the NHCDC data transformation process </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0A6E16C6" w14:textId="77777777" w:rsidR="00D35B4F" w:rsidRPr="00F84762" w:rsidRDefault="00D35B4F" w:rsidP="000624E2">
            <w:pPr>
              <w:spacing w:before="40" w:after="40"/>
              <w:rPr>
                <w:color w:val="1C1C1C"/>
                <w:sz w:val="16"/>
                <w:szCs w:val="16"/>
              </w:rPr>
            </w:pPr>
            <w:r w:rsidRPr="00F84762">
              <w:rPr>
                <w:rFonts w:eastAsia="Arial" w:cs="Arial"/>
                <w:kern w:val="24"/>
                <w:sz w:val="16"/>
                <w:szCs w:val="16"/>
              </w:rPr>
              <w:t>Yes, annually</w:t>
            </w:r>
          </w:p>
        </w:tc>
      </w:tr>
      <w:tr w:rsidR="00F84762" w:rsidRPr="00F84762" w14:paraId="477C5E17" w14:textId="77777777" w:rsidTr="00652075">
        <w:trPr>
          <w:trHeight w:val="57"/>
          <w:jc w:val="center"/>
        </w:trPr>
        <w:tc>
          <w:tcPr>
            <w:cnfStyle w:val="000010000000" w:firstRow="0" w:lastRow="0" w:firstColumn="0" w:lastColumn="0" w:oddVBand="1" w:evenVBand="0" w:oddHBand="0" w:evenHBand="0" w:firstRowFirstColumn="0" w:firstRowLastColumn="0" w:lastRowFirstColumn="0" w:lastRowLastColumn="0"/>
            <w:tcW w:w="0" w:type="dxa"/>
            <w:vAlign w:val="center"/>
          </w:tcPr>
          <w:p w14:paraId="2A01730B" w14:textId="77777777" w:rsidR="00D35B4F" w:rsidRPr="00F84762" w:rsidRDefault="00D35B4F" w:rsidP="000624E2">
            <w:pPr>
              <w:spacing w:before="40" w:after="40"/>
              <w:rPr>
                <w:color w:val="1C1C1C"/>
                <w:sz w:val="16"/>
                <w:szCs w:val="16"/>
              </w:rPr>
            </w:pPr>
            <w:r w:rsidRPr="00F84762">
              <w:rPr>
                <w:color w:val="1C1C1C"/>
                <w:sz w:val="16"/>
                <w:szCs w:val="16"/>
              </w:rPr>
              <w:t>Review on reasonableness of costing data output</w:t>
            </w:r>
          </w:p>
        </w:tc>
        <w:tc>
          <w:tcPr>
            <w:tcW w:w="0" w:type="dxa"/>
            <w:vAlign w:val="center"/>
          </w:tcPr>
          <w:p w14:paraId="14A742F1" w14:textId="77777777" w:rsidR="00D35B4F" w:rsidRPr="00F84762" w:rsidRDefault="00D35B4F" w:rsidP="000624E2">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r w:rsidRPr="00F84762">
              <w:rPr>
                <w:color w:val="1C1C1C"/>
                <w:sz w:val="16"/>
                <w:szCs w:val="16"/>
              </w:rPr>
              <w:t>NSW DNR submission process includes draft period for comparing cost results with peers.</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6FBFD823" w14:textId="77777777" w:rsidR="00D35B4F" w:rsidRPr="00F84762" w:rsidRDefault="00D35B4F" w:rsidP="000624E2">
            <w:pPr>
              <w:spacing w:before="40" w:after="40"/>
              <w:rPr>
                <w:color w:val="1C1C1C"/>
                <w:sz w:val="16"/>
                <w:szCs w:val="16"/>
              </w:rPr>
            </w:pPr>
            <w:r w:rsidRPr="00F84762">
              <w:rPr>
                <w:color w:val="1C1C1C"/>
                <w:sz w:val="16"/>
                <w:szCs w:val="16"/>
              </w:rPr>
              <w:t>Yes – any major variations highlighted, and reason is reporting in briefing to Deputy Secretary</w:t>
            </w:r>
          </w:p>
        </w:tc>
        <w:tc>
          <w:tcPr>
            <w:tcW w:w="0" w:type="dxa"/>
            <w:vAlign w:val="center"/>
          </w:tcPr>
          <w:p w14:paraId="2DD3A696" w14:textId="77777777" w:rsidR="00D35B4F" w:rsidRPr="00F84762" w:rsidRDefault="00D35B4F" w:rsidP="000624E2">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r w:rsidRPr="00F84762">
              <w:rPr>
                <w:rFonts w:eastAsia="Arial"/>
                <w:color w:val="000000"/>
                <w:kern w:val="24"/>
                <w:sz w:val="16"/>
                <w:szCs w:val="16"/>
              </w:rPr>
              <w:t xml:space="preserve">Data is reviewed for reasonableness and completeness. </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2BAA8350" w14:textId="77777777" w:rsidR="00D35B4F" w:rsidRPr="00F84762" w:rsidRDefault="00D35B4F" w:rsidP="000624E2">
            <w:pPr>
              <w:spacing w:before="40" w:after="40"/>
              <w:rPr>
                <w:color w:val="1C1C1C"/>
                <w:sz w:val="16"/>
                <w:szCs w:val="16"/>
              </w:rPr>
            </w:pPr>
            <w:r w:rsidRPr="00F84762">
              <w:rPr>
                <w:rFonts w:eastAsia="PMingLiU"/>
                <w:kern w:val="24"/>
                <w:sz w:val="16"/>
                <w:szCs w:val="16"/>
              </w:rPr>
              <w:t>Data is reviewed for reasonableness and completeness. IHACPA QA reports provided to LHNs</w:t>
            </w:r>
          </w:p>
        </w:tc>
      </w:tr>
      <w:tr w:rsidR="00F84762" w:rsidRPr="00F84762" w14:paraId="69747D1A" w14:textId="77777777" w:rsidTr="00652075">
        <w:trPr>
          <w:cnfStyle w:val="000000100000" w:firstRow="0" w:lastRow="0" w:firstColumn="0" w:lastColumn="0" w:oddVBand="0" w:evenVBand="0" w:oddHBand="1" w:evenHBand="0" w:firstRowFirstColumn="0" w:firstRowLastColumn="0" w:lastRowFirstColumn="0" w:lastRowLastColumn="0"/>
          <w:trHeight w:val="250"/>
          <w:jc w:val="center"/>
        </w:trPr>
        <w:tc>
          <w:tcPr>
            <w:cnfStyle w:val="000010000000" w:firstRow="0" w:lastRow="0" w:firstColumn="0" w:lastColumn="0" w:oddVBand="1" w:evenVBand="0" w:oddHBand="0" w:evenHBand="0" w:firstRowFirstColumn="0" w:firstRowLastColumn="0" w:lastRowFirstColumn="0" w:lastRowLastColumn="0"/>
            <w:tcW w:w="0" w:type="dxa"/>
            <w:vAlign w:val="center"/>
          </w:tcPr>
          <w:p w14:paraId="093283E2" w14:textId="77777777" w:rsidR="00D35B4F" w:rsidRPr="00F84762" w:rsidRDefault="00D35B4F" w:rsidP="000624E2">
            <w:pPr>
              <w:spacing w:before="40" w:after="40"/>
              <w:rPr>
                <w:color w:val="1C1C1C"/>
                <w:sz w:val="16"/>
                <w:szCs w:val="16"/>
              </w:rPr>
            </w:pPr>
            <w:r w:rsidRPr="00F84762">
              <w:rPr>
                <w:color w:val="1C1C1C"/>
                <w:sz w:val="16"/>
                <w:szCs w:val="16"/>
              </w:rPr>
              <w:t>Formal sign-off</w:t>
            </w:r>
          </w:p>
        </w:tc>
        <w:tc>
          <w:tcPr>
            <w:tcW w:w="0" w:type="dxa"/>
            <w:vAlign w:val="center"/>
          </w:tcPr>
          <w:p w14:paraId="71FA1B50" w14:textId="7D90B2D0" w:rsidR="00D35B4F" w:rsidRPr="00F84762" w:rsidRDefault="007161AB"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Pr>
                <w:color w:val="1C1C1C"/>
                <w:sz w:val="16"/>
                <w:szCs w:val="16"/>
              </w:rPr>
              <w:t>NSW Health Secretary</w:t>
            </w:r>
            <w:r w:rsidR="00D35B4F" w:rsidRPr="00F84762">
              <w:rPr>
                <w:color w:val="1C1C1C"/>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22F6BE55" w14:textId="77777777" w:rsidR="00D35B4F" w:rsidRPr="00F84762" w:rsidRDefault="00D35B4F" w:rsidP="000624E2">
            <w:pPr>
              <w:spacing w:before="40" w:after="40"/>
              <w:rPr>
                <w:color w:val="1C1C1C"/>
                <w:sz w:val="16"/>
                <w:szCs w:val="16"/>
              </w:rPr>
            </w:pPr>
            <w:r w:rsidRPr="00F84762">
              <w:rPr>
                <w:color w:val="1C1C1C"/>
                <w:sz w:val="16"/>
                <w:szCs w:val="16"/>
              </w:rPr>
              <w:t>Deputy Secretary signs submission to NHCDC. The reconciliation report is signed off by the CFO and the DQS is signed off by the executive director.</w:t>
            </w:r>
          </w:p>
        </w:tc>
        <w:tc>
          <w:tcPr>
            <w:tcW w:w="0" w:type="dxa"/>
            <w:vAlign w:val="center"/>
          </w:tcPr>
          <w:p w14:paraId="6EF07681" w14:textId="77777777" w:rsidR="00D35B4F" w:rsidRPr="00F84762" w:rsidRDefault="00D35B4F" w:rsidP="000624E2">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rFonts w:eastAsia="Arial"/>
                <w:color w:val="000000"/>
                <w:kern w:val="24"/>
                <w:sz w:val="16"/>
                <w:szCs w:val="16"/>
              </w:rPr>
              <w:t>Director-General</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19FF1279" w14:textId="77777777" w:rsidR="00D35B4F" w:rsidRPr="00F84762" w:rsidRDefault="00D35B4F" w:rsidP="000624E2">
            <w:pPr>
              <w:spacing w:before="40" w:after="40"/>
              <w:rPr>
                <w:color w:val="1C1C1C"/>
                <w:sz w:val="16"/>
                <w:szCs w:val="16"/>
              </w:rPr>
            </w:pPr>
            <w:r w:rsidRPr="00F84762">
              <w:rPr>
                <w:rFonts w:eastAsia="PMingLiU"/>
                <w:kern w:val="24"/>
                <w:sz w:val="16"/>
                <w:szCs w:val="16"/>
              </w:rPr>
              <w:t>CEO</w:t>
            </w:r>
          </w:p>
        </w:tc>
      </w:tr>
    </w:tbl>
    <w:bookmarkEnd w:id="12"/>
    <w:p w14:paraId="0F24CC1B" w14:textId="17B31F4A" w:rsidR="00F84762" w:rsidRDefault="000624E2" w:rsidP="00652075">
      <w:pPr>
        <w:spacing w:before="240"/>
      </w:pPr>
      <w:r w:rsidRPr="000624E2">
        <w:t xml:space="preserve">Table </w:t>
      </w:r>
      <w:r w:rsidR="000550E0">
        <w:t>5</w:t>
      </w:r>
      <w:r w:rsidRPr="000624E2">
        <w:t xml:space="preserve"> shows the quality assurance processes undertaken in </w:t>
      </w:r>
      <w:r>
        <w:t>Western Australia, Tasmania, Northern Territory</w:t>
      </w:r>
      <w:r w:rsidR="00B85308">
        <w:t xml:space="preserve"> (NT)</w:t>
      </w:r>
      <w:r>
        <w:t>, and the Australian Capital Territory</w:t>
      </w:r>
      <w:r w:rsidR="00C918A3">
        <w:t xml:space="preserve"> (ACT)</w:t>
      </w:r>
      <w:r w:rsidRPr="000624E2">
        <w:t>.</w:t>
      </w:r>
    </w:p>
    <w:p w14:paraId="0C802C40" w14:textId="3A2EFDB6" w:rsidR="00D35B4F" w:rsidRDefault="00D35B4F" w:rsidP="00D35B4F">
      <w:pPr>
        <w:pStyle w:val="TableFigureheading"/>
      </w:pPr>
      <w:r>
        <w:t xml:space="preserve">Table </w:t>
      </w:r>
      <w:r w:rsidR="000550E0">
        <w:t>5</w:t>
      </w:r>
      <w:r>
        <w:t>: Summary of WA, Tas</w:t>
      </w:r>
      <w:r w:rsidR="00877D7E">
        <w:t>mania</w:t>
      </w:r>
      <w:r>
        <w:t>, NT, and ACT quality assurance activities</w:t>
      </w:r>
    </w:p>
    <w:tbl>
      <w:tblPr>
        <w:tblStyle w:val="ListTable3-Accent2"/>
        <w:tblW w:w="13948" w:type="dxa"/>
        <w:jc w:val="center"/>
        <w:tblLayout w:type="fixed"/>
        <w:tblLook w:val="0020" w:firstRow="1" w:lastRow="0" w:firstColumn="0" w:lastColumn="0" w:noHBand="0" w:noVBand="0"/>
      </w:tblPr>
      <w:tblGrid>
        <w:gridCol w:w="2972"/>
        <w:gridCol w:w="2835"/>
        <w:gridCol w:w="2693"/>
        <w:gridCol w:w="2612"/>
        <w:gridCol w:w="2836"/>
      </w:tblGrid>
      <w:tr w:rsidR="0027397A" w:rsidRPr="00F84762" w14:paraId="1D2A7F3D" w14:textId="77777777" w:rsidTr="008A00BC">
        <w:trPr>
          <w:cnfStyle w:val="100000000000" w:firstRow="1" w:lastRow="0" w:firstColumn="0" w:lastColumn="0" w:oddVBand="0" w:evenVBand="0" w:oddHBand="0" w:evenHBand="0" w:firstRowFirstColumn="0" w:firstRowLastColumn="0" w:lastRowFirstColumn="0" w:lastRowLastColumn="0"/>
          <w:trHeight w:val="57"/>
          <w:tblHeader/>
          <w:jc w:val="center"/>
        </w:trPr>
        <w:tc>
          <w:tcPr>
            <w:cnfStyle w:val="000010000000" w:firstRow="0" w:lastRow="0" w:firstColumn="0" w:lastColumn="0" w:oddVBand="1" w:evenVBand="0" w:oddHBand="0" w:evenHBand="0" w:firstRowFirstColumn="0" w:firstRowLastColumn="0" w:lastRowFirstColumn="0" w:lastRowLastColumn="0"/>
            <w:tcW w:w="2972" w:type="dxa"/>
            <w:shd w:val="clear" w:color="auto" w:fill="379887" w:themeFill="accent5" w:themeFillShade="BF"/>
            <w:vAlign w:val="center"/>
          </w:tcPr>
          <w:p w14:paraId="1AF67A26" w14:textId="77777777" w:rsidR="0027397A" w:rsidRPr="00652075" w:rsidRDefault="0027397A" w:rsidP="008A00BC">
            <w:pPr>
              <w:spacing w:before="40" w:after="40"/>
              <w:jc w:val="center"/>
              <w:rPr>
                <w:b w:val="0"/>
                <w:bCs w:val="0"/>
                <w:color w:val="FFFFFF" w:themeColor="background2"/>
                <w:sz w:val="16"/>
                <w:szCs w:val="16"/>
              </w:rPr>
            </w:pPr>
            <w:r w:rsidRPr="00652075">
              <w:rPr>
                <w:color w:val="FFFFFF" w:themeColor="background2"/>
                <w:sz w:val="16"/>
                <w:szCs w:val="16"/>
              </w:rPr>
              <w:t>QA Process</w:t>
            </w:r>
          </w:p>
        </w:tc>
        <w:tc>
          <w:tcPr>
            <w:tcW w:w="2835" w:type="dxa"/>
            <w:shd w:val="clear" w:color="auto" w:fill="379887" w:themeFill="accent5" w:themeFillShade="BF"/>
            <w:vAlign w:val="center"/>
          </w:tcPr>
          <w:p w14:paraId="7CB8BA80" w14:textId="77777777" w:rsidR="0027397A" w:rsidRPr="00652075" w:rsidRDefault="0027397A" w:rsidP="008A00BC">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sz w:val="16"/>
                <w:szCs w:val="16"/>
              </w:rPr>
            </w:pPr>
            <w:r w:rsidRPr="00652075">
              <w:rPr>
                <w:color w:val="FFFFFF" w:themeColor="background2"/>
                <w:sz w:val="16"/>
                <w:szCs w:val="16"/>
              </w:rPr>
              <w:t>WA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379887" w:themeFill="accent5" w:themeFillShade="BF"/>
            <w:vAlign w:val="center"/>
          </w:tcPr>
          <w:p w14:paraId="55D7B144" w14:textId="77777777" w:rsidR="0027397A" w:rsidRPr="00652075" w:rsidRDefault="0027397A" w:rsidP="008A00BC">
            <w:pPr>
              <w:spacing w:before="40" w:after="40"/>
              <w:jc w:val="center"/>
              <w:rPr>
                <w:b w:val="0"/>
                <w:bCs w:val="0"/>
                <w:color w:val="FFFFFF" w:themeColor="background2"/>
                <w:sz w:val="16"/>
                <w:szCs w:val="16"/>
              </w:rPr>
            </w:pPr>
            <w:r w:rsidRPr="00652075">
              <w:rPr>
                <w:color w:val="FFFFFF" w:themeColor="background2"/>
                <w:sz w:val="16"/>
                <w:szCs w:val="16"/>
              </w:rPr>
              <w:t>Tas</w:t>
            </w:r>
          </w:p>
        </w:tc>
        <w:tc>
          <w:tcPr>
            <w:tcW w:w="2612" w:type="dxa"/>
            <w:shd w:val="clear" w:color="auto" w:fill="379887" w:themeFill="accent5" w:themeFillShade="BF"/>
          </w:tcPr>
          <w:p w14:paraId="4EB865C7" w14:textId="77777777" w:rsidR="0027397A" w:rsidRPr="00652075" w:rsidRDefault="0027397A" w:rsidP="008A00BC">
            <w:pPr>
              <w:spacing w:before="40" w:after="40"/>
              <w:jc w:val="center"/>
              <w:cnfStyle w:val="100000000000" w:firstRow="1" w:lastRow="0" w:firstColumn="0" w:lastColumn="0" w:oddVBand="0" w:evenVBand="0" w:oddHBand="0" w:evenHBand="0" w:firstRowFirstColumn="0" w:firstRowLastColumn="0" w:lastRowFirstColumn="0" w:lastRowLastColumn="0"/>
              <w:rPr>
                <w:color w:val="FFFFFF" w:themeColor="background2"/>
                <w:sz w:val="16"/>
                <w:szCs w:val="16"/>
              </w:rPr>
            </w:pPr>
            <w:r w:rsidRPr="00652075">
              <w:rPr>
                <w:color w:val="FFFFFF" w:themeColor="background2"/>
                <w:sz w:val="16"/>
                <w:szCs w:val="16"/>
              </w:rPr>
              <w:t>NT</w:t>
            </w:r>
          </w:p>
        </w:tc>
        <w:tc>
          <w:tcPr>
            <w:cnfStyle w:val="000010000000" w:firstRow="0" w:lastRow="0" w:firstColumn="0" w:lastColumn="0" w:oddVBand="1" w:evenVBand="0" w:oddHBand="0" w:evenHBand="0" w:firstRowFirstColumn="0" w:firstRowLastColumn="0" w:lastRowFirstColumn="0" w:lastRowLastColumn="0"/>
            <w:tcW w:w="2836" w:type="dxa"/>
            <w:shd w:val="clear" w:color="auto" w:fill="379887" w:themeFill="accent5" w:themeFillShade="BF"/>
          </w:tcPr>
          <w:p w14:paraId="13256899" w14:textId="77777777" w:rsidR="0027397A" w:rsidRPr="00652075" w:rsidRDefault="0027397A" w:rsidP="008A00BC">
            <w:pPr>
              <w:spacing w:before="40" w:after="40"/>
              <w:jc w:val="center"/>
              <w:rPr>
                <w:color w:val="FFFFFF" w:themeColor="background2"/>
                <w:sz w:val="16"/>
                <w:szCs w:val="16"/>
              </w:rPr>
            </w:pPr>
            <w:r w:rsidRPr="00652075">
              <w:rPr>
                <w:color w:val="FFFFFF" w:themeColor="background2"/>
                <w:sz w:val="16"/>
                <w:szCs w:val="16"/>
              </w:rPr>
              <w:t>ACT</w:t>
            </w:r>
          </w:p>
        </w:tc>
      </w:tr>
      <w:tr w:rsidR="0027397A" w:rsidRPr="000624E2" w14:paraId="3B92392C" w14:textId="77777777" w:rsidTr="008A00BC">
        <w:trPr>
          <w:cnfStyle w:val="000000100000" w:firstRow="0" w:lastRow="0" w:firstColumn="0" w:lastColumn="0" w:oddVBand="0" w:evenVBand="0" w:oddHBand="1" w:evenHBand="0" w:firstRowFirstColumn="0" w:firstRowLastColumn="0" w:lastRowFirstColumn="0" w:lastRowLastColumn="0"/>
          <w:trHeight w:val="57"/>
          <w:jc w:val="center"/>
        </w:trPr>
        <w:tc>
          <w:tcPr>
            <w:cnfStyle w:val="000010000000" w:firstRow="0" w:lastRow="0" w:firstColumn="0" w:lastColumn="0" w:oddVBand="1" w:evenVBand="0" w:oddHBand="0" w:evenHBand="0" w:firstRowFirstColumn="0" w:firstRowLastColumn="0" w:lastRowFirstColumn="0" w:lastRowLastColumn="0"/>
            <w:tcW w:w="8500" w:type="dxa"/>
            <w:gridSpan w:val="3"/>
            <w:shd w:val="clear" w:color="auto" w:fill="DFEBF1" w:themeFill="accent1" w:themeFillTint="1A"/>
            <w:vAlign w:val="center"/>
          </w:tcPr>
          <w:p w14:paraId="02600FD8" w14:textId="77777777" w:rsidR="0027397A" w:rsidRPr="00F84762" w:rsidRDefault="0027397A" w:rsidP="008A00BC">
            <w:pPr>
              <w:spacing w:before="40" w:after="40"/>
              <w:rPr>
                <w:b/>
                <w:bCs/>
                <w:color w:val="1C1C1C"/>
                <w:sz w:val="16"/>
                <w:szCs w:val="16"/>
              </w:rPr>
            </w:pPr>
            <w:r w:rsidRPr="00F84762">
              <w:rPr>
                <w:b/>
                <w:bCs/>
                <w:color w:val="1C1C1C"/>
                <w:sz w:val="16"/>
                <w:szCs w:val="16"/>
              </w:rPr>
              <w:t>Source data and systems</w:t>
            </w:r>
          </w:p>
        </w:tc>
        <w:tc>
          <w:tcPr>
            <w:tcW w:w="2612" w:type="dxa"/>
            <w:shd w:val="clear" w:color="auto" w:fill="DFEBF1" w:themeFill="accent1" w:themeFillTint="1A"/>
          </w:tcPr>
          <w:p w14:paraId="3A4C8C4A"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b/>
                <w:bCs/>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2836" w:type="dxa"/>
            <w:shd w:val="clear" w:color="auto" w:fill="DFEBF1" w:themeFill="accent1" w:themeFillTint="1A"/>
          </w:tcPr>
          <w:p w14:paraId="25AEBCEB" w14:textId="77777777" w:rsidR="0027397A" w:rsidRPr="00F84762" w:rsidRDefault="0027397A" w:rsidP="008A00BC">
            <w:pPr>
              <w:spacing w:before="40" w:after="40"/>
              <w:rPr>
                <w:b/>
                <w:bCs/>
                <w:color w:val="1C1C1C"/>
                <w:sz w:val="16"/>
                <w:szCs w:val="16"/>
              </w:rPr>
            </w:pPr>
          </w:p>
        </w:tc>
      </w:tr>
      <w:tr w:rsidR="0027397A" w:rsidRPr="00F84762" w14:paraId="1BEB0F39" w14:textId="77777777" w:rsidTr="008A00BC">
        <w:trPr>
          <w:trHeight w:val="116"/>
          <w:jc w:val="center"/>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73A8107E" w14:textId="77777777" w:rsidR="0027397A" w:rsidRPr="00F84762" w:rsidRDefault="0027397A" w:rsidP="008A00BC">
            <w:pPr>
              <w:spacing w:before="40" w:after="40"/>
              <w:rPr>
                <w:color w:val="1C1C1C"/>
                <w:sz w:val="16"/>
                <w:szCs w:val="16"/>
              </w:rPr>
            </w:pPr>
            <w:r w:rsidRPr="00F84762">
              <w:rPr>
                <w:color w:val="1C1C1C"/>
                <w:sz w:val="16"/>
                <w:szCs w:val="16"/>
              </w:rPr>
              <w:t>Reconciliation back to GL and audited statements</w:t>
            </w:r>
          </w:p>
        </w:tc>
        <w:tc>
          <w:tcPr>
            <w:tcW w:w="2835" w:type="dxa"/>
          </w:tcPr>
          <w:p w14:paraId="118DA4DE" w14:textId="77777777" w:rsidR="0027397A" w:rsidRPr="00F84762" w:rsidRDefault="0027397A" w:rsidP="008A00BC">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r w:rsidRPr="00F84762">
              <w:rPr>
                <w:color w:val="1C1C1C"/>
                <w:sz w:val="16"/>
                <w:szCs w:val="16"/>
              </w:rPr>
              <w:t>Yes, Annual reconciliation and checks</w:t>
            </w:r>
          </w:p>
        </w:tc>
        <w:tc>
          <w:tcPr>
            <w:cnfStyle w:val="000010000000" w:firstRow="0" w:lastRow="0" w:firstColumn="0" w:lastColumn="0" w:oddVBand="1" w:evenVBand="0" w:oddHBand="0" w:evenHBand="0" w:firstRowFirstColumn="0" w:firstRowLastColumn="0" w:lastRowFirstColumn="0" w:lastRowLastColumn="0"/>
            <w:tcW w:w="2693" w:type="dxa"/>
            <w:vAlign w:val="center"/>
          </w:tcPr>
          <w:p w14:paraId="01FA8C21" w14:textId="77777777" w:rsidR="0027397A" w:rsidRPr="00F84762" w:rsidRDefault="0027397A" w:rsidP="008A00BC">
            <w:pPr>
              <w:spacing w:before="40" w:after="40"/>
              <w:rPr>
                <w:color w:val="1C1C1C"/>
                <w:sz w:val="16"/>
                <w:szCs w:val="16"/>
              </w:rPr>
            </w:pPr>
            <w:r w:rsidRPr="00F84762">
              <w:rPr>
                <w:rFonts w:eastAsia="Arial" w:cs="Arial"/>
                <w:kern w:val="24"/>
                <w:sz w:val="16"/>
                <w:szCs w:val="16"/>
              </w:rPr>
              <w:t>Annual reconciliation and checks</w:t>
            </w:r>
          </w:p>
        </w:tc>
        <w:tc>
          <w:tcPr>
            <w:tcW w:w="2612" w:type="dxa"/>
            <w:vAlign w:val="center"/>
          </w:tcPr>
          <w:p w14:paraId="03DE794D" w14:textId="77777777" w:rsidR="0027397A" w:rsidRPr="00F84762" w:rsidRDefault="0027397A" w:rsidP="008A00BC">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r w:rsidRPr="00F84762">
              <w:rPr>
                <w:rFonts w:eastAsia="Arial" w:cs="Arial"/>
                <w:color w:val="000000"/>
                <w:kern w:val="24"/>
                <w:sz w:val="16"/>
                <w:szCs w:val="16"/>
              </w:rPr>
              <w:t>GL is reconciled for each costing cycle</w:t>
            </w:r>
          </w:p>
        </w:tc>
        <w:tc>
          <w:tcPr>
            <w:cnfStyle w:val="000010000000" w:firstRow="0" w:lastRow="0" w:firstColumn="0" w:lastColumn="0" w:oddVBand="1" w:evenVBand="0" w:oddHBand="0" w:evenHBand="0" w:firstRowFirstColumn="0" w:firstRowLastColumn="0" w:lastRowFirstColumn="0" w:lastRowLastColumn="0"/>
            <w:tcW w:w="2836" w:type="dxa"/>
            <w:vAlign w:val="center"/>
          </w:tcPr>
          <w:p w14:paraId="08E03201" w14:textId="77777777" w:rsidR="0027397A" w:rsidRPr="00F84762" w:rsidRDefault="0027397A" w:rsidP="008A00BC">
            <w:pPr>
              <w:spacing w:before="40" w:after="40"/>
              <w:rPr>
                <w:color w:val="1C1C1C"/>
                <w:sz w:val="16"/>
                <w:szCs w:val="16"/>
              </w:rPr>
            </w:pPr>
            <w:r w:rsidRPr="00F84762">
              <w:rPr>
                <w:rFonts w:eastAsia="Arial" w:cs="Arial"/>
                <w:kern w:val="24"/>
                <w:sz w:val="16"/>
                <w:szCs w:val="16"/>
              </w:rPr>
              <w:t>Annual reconciliation and checks undertaken by ACTHD and Health Services</w:t>
            </w:r>
          </w:p>
        </w:tc>
      </w:tr>
      <w:tr w:rsidR="0027397A" w:rsidRPr="00F84762" w14:paraId="515BB29F" w14:textId="77777777" w:rsidTr="008A00BC">
        <w:trPr>
          <w:cnfStyle w:val="000000100000" w:firstRow="0" w:lastRow="0" w:firstColumn="0" w:lastColumn="0" w:oddVBand="0" w:evenVBand="0" w:oddHBand="1" w:evenHBand="0" w:firstRowFirstColumn="0" w:firstRowLastColumn="0" w:lastRowFirstColumn="0" w:lastRowLastColumn="0"/>
          <w:trHeight w:val="294"/>
          <w:jc w:val="center"/>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23B3B123" w14:textId="77777777" w:rsidR="0027397A" w:rsidRPr="00F84762" w:rsidRDefault="0027397A" w:rsidP="008A00BC">
            <w:pPr>
              <w:spacing w:before="40" w:after="40"/>
              <w:rPr>
                <w:color w:val="1C1C1C"/>
                <w:sz w:val="16"/>
                <w:szCs w:val="16"/>
              </w:rPr>
            </w:pPr>
            <w:r w:rsidRPr="00F84762">
              <w:rPr>
                <w:color w:val="1C1C1C"/>
                <w:sz w:val="16"/>
                <w:szCs w:val="16"/>
              </w:rPr>
              <w:lastRenderedPageBreak/>
              <w:t>Reconciliation of activity data back to source systems</w:t>
            </w:r>
          </w:p>
        </w:tc>
        <w:tc>
          <w:tcPr>
            <w:tcW w:w="2835" w:type="dxa"/>
          </w:tcPr>
          <w:p w14:paraId="3F9F5DD6"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color w:val="1C1C1C"/>
                <w:sz w:val="16"/>
                <w:szCs w:val="16"/>
              </w:rPr>
              <w:t>N/A</w:t>
            </w:r>
          </w:p>
        </w:tc>
        <w:tc>
          <w:tcPr>
            <w:cnfStyle w:val="000010000000" w:firstRow="0" w:lastRow="0" w:firstColumn="0" w:lastColumn="0" w:oddVBand="1" w:evenVBand="0" w:oddHBand="0" w:evenHBand="0" w:firstRowFirstColumn="0" w:firstRowLastColumn="0" w:lastRowFirstColumn="0" w:lastRowLastColumn="0"/>
            <w:tcW w:w="2693" w:type="dxa"/>
            <w:vAlign w:val="center"/>
          </w:tcPr>
          <w:p w14:paraId="5FDFB794" w14:textId="77777777" w:rsidR="0027397A" w:rsidRPr="00F84762" w:rsidRDefault="0027397A" w:rsidP="008A00BC">
            <w:pPr>
              <w:spacing w:before="40" w:after="40"/>
              <w:rPr>
                <w:color w:val="1C1C1C"/>
                <w:sz w:val="16"/>
                <w:szCs w:val="16"/>
              </w:rPr>
            </w:pPr>
            <w:r w:rsidRPr="00F84762">
              <w:rPr>
                <w:rFonts w:eastAsia="Arial" w:cs="Arial"/>
                <w:kern w:val="24"/>
                <w:sz w:val="16"/>
                <w:szCs w:val="16"/>
              </w:rPr>
              <w:t>Annual reviews on feeder and source systems</w:t>
            </w:r>
          </w:p>
        </w:tc>
        <w:tc>
          <w:tcPr>
            <w:tcW w:w="2612" w:type="dxa"/>
            <w:vAlign w:val="center"/>
          </w:tcPr>
          <w:p w14:paraId="249284A1"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rFonts w:eastAsia="Arial" w:cs="Arial"/>
                <w:color w:val="000000"/>
                <w:kern w:val="24"/>
                <w:sz w:val="16"/>
                <w:szCs w:val="16"/>
              </w:rPr>
              <w:t>Numerous checks performed when activity data is extracted from source system</w:t>
            </w:r>
          </w:p>
        </w:tc>
        <w:tc>
          <w:tcPr>
            <w:cnfStyle w:val="000010000000" w:firstRow="0" w:lastRow="0" w:firstColumn="0" w:lastColumn="0" w:oddVBand="1" w:evenVBand="0" w:oddHBand="0" w:evenHBand="0" w:firstRowFirstColumn="0" w:firstRowLastColumn="0" w:lastRowFirstColumn="0" w:lastRowLastColumn="0"/>
            <w:tcW w:w="2836" w:type="dxa"/>
            <w:vAlign w:val="center"/>
          </w:tcPr>
          <w:p w14:paraId="23F6E27E" w14:textId="77777777" w:rsidR="0027397A" w:rsidRPr="00F84762" w:rsidRDefault="0027397A" w:rsidP="008A00BC">
            <w:pPr>
              <w:spacing w:before="40" w:after="40"/>
              <w:rPr>
                <w:color w:val="1C1C1C"/>
                <w:sz w:val="16"/>
                <w:szCs w:val="16"/>
              </w:rPr>
            </w:pPr>
            <w:r w:rsidRPr="00F84762">
              <w:rPr>
                <w:rFonts w:eastAsia="PMingLiU" w:cs="Arial"/>
                <w:kern w:val="24"/>
                <w:sz w:val="16"/>
                <w:szCs w:val="16"/>
              </w:rPr>
              <w:t xml:space="preserve">Annual reviews on feeder and source systems and Health Services reporting team. </w:t>
            </w:r>
          </w:p>
        </w:tc>
      </w:tr>
      <w:tr w:rsidR="0027397A" w:rsidRPr="000624E2" w14:paraId="21F6FD8E" w14:textId="77777777" w:rsidTr="008A00BC">
        <w:trPr>
          <w:trHeight w:val="57"/>
          <w:jc w:val="center"/>
        </w:trPr>
        <w:tc>
          <w:tcPr>
            <w:cnfStyle w:val="000010000000" w:firstRow="0" w:lastRow="0" w:firstColumn="0" w:lastColumn="0" w:oddVBand="1" w:evenVBand="0" w:oddHBand="0" w:evenHBand="0" w:firstRowFirstColumn="0" w:firstRowLastColumn="0" w:lastRowFirstColumn="0" w:lastRowLastColumn="0"/>
            <w:tcW w:w="8500" w:type="dxa"/>
            <w:gridSpan w:val="3"/>
            <w:shd w:val="clear" w:color="auto" w:fill="DFEBF1" w:themeFill="accent1" w:themeFillTint="1A"/>
            <w:vAlign w:val="center"/>
          </w:tcPr>
          <w:p w14:paraId="45E0561A" w14:textId="77777777" w:rsidR="0027397A" w:rsidRPr="00F84762" w:rsidRDefault="0027397A" w:rsidP="008A00BC">
            <w:pPr>
              <w:spacing w:before="40" w:after="40"/>
              <w:rPr>
                <w:b/>
                <w:bCs/>
                <w:color w:val="1C1C1C"/>
                <w:sz w:val="16"/>
                <w:szCs w:val="16"/>
              </w:rPr>
            </w:pPr>
            <w:r w:rsidRPr="00F84762">
              <w:rPr>
                <w:b/>
                <w:bCs/>
                <w:color w:val="1C1C1C"/>
                <w:sz w:val="16"/>
                <w:szCs w:val="16"/>
              </w:rPr>
              <w:t>Costing data – validation</w:t>
            </w:r>
          </w:p>
        </w:tc>
        <w:tc>
          <w:tcPr>
            <w:tcW w:w="2612" w:type="dxa"/>
            <w:shd w:val="clear" w:color="auto" w:fill="DFEBF1" w:themeFill="accent1" w:themeFillTint="1A"/>
          </w:tcPr>
          <w:p w14:paraId="4A540334" w14:textId="77777777" w:rsidR="0027397A" w:rsidRPr="00F84762" w:rsidRDefault="0027397A" w:rsidP="008A00BC">
            <w:pPr>
              <w:spacing w:before="40" w:after="40"/>
              <w:cnfStyle w:val="000000000000" w:firstRow="0" w:lastRow="0" w:firstColumn="0" w:lastColumn="0" w:oddVBand="0" w:evenVBand="0" w:oddHBand="0" w:evenHBand="0" w:firstRowFirstColumn="0" w:firstRowLastColumn="0" w:lastRowFirstColumn="0" w:lastRowLastColumn="0"/>
              <w:rPr>
                <w:b/>
                <w:bCs/>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2836" w:type="dxa"/>
            <w:shd w:val="clear" w:color="auto" w:fill="DFEBF1" w:themeFill="accent1" w:themeFillTint="1A"/>
          </w:tcPr>
          <w:p w14:paraId="140BC0FA" w14:textId="77777777" w:rsidR="0027397A" w:rsidRPr="00F84762" w:rsidRDefault="0027397A" w:rsidP="008A00BC">
            <w:pPr>
              <w:spacing w:before="40" w:after="40"/>
              <w:rPr>
                <w:b/>
                <w:bCs/>
                <w:color w:val="1C1C1C"/>
                <w:sz w:val="16"/>
                <w:szCs w:val="16"/>
              </w:rPr>
            </w:pPr>
          </w:p>
        </w:tc>
      </w:tr>
      <w:tr w:rsidR="0027397A" w:rsidRPr="000624E2" w14:paraId="749E915C" w14:textId="77777777" w:rsidTr="008A00BC">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1B69F60C" w14:textId="77777777" w:rsidR="0027397A" w:rsidRPr="00F84762" w:rsidRDefault="0027397A" w:rsidP="008A00BC">
            <w:pPr>
              <w:spacing w:before="40" w:after="40"/>
              <w:rPr>
                <w:color w:val="1C1C1C"/>
                <w:sz w:val="16"/>
                <w:szCs w:val="16"/>
              </w:rPr>
            </w:pPr>
            <w:r w:rsidRPr="00F84762">
              <w:rPr>
                <w:color w:val="1C1C1C"/>
                <w:sz w:val="16"/>
                <w:szCs w:val="16"/>
              </w:rPr>
              <w:t>Trend analysis to prior periods across cost products</w:t>
            </w:r>
          </w:p>
        </w:tc>
        <w:tc>
          <w:tcPr>
            <w:tcW w:w="2835" w:type="dxa"/>
            <w:vMerge w:val="restart"/>
            <w:vAlign w:val="center"/>
          </w:tcPr>
          <w:p w14:paraId="4B10EC72"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color w:val="1C1C1C"/>
                <w:sz w:val="16"/>
                <w:szCs w:val="16"/>
              </w:rPr>
              <w:t>Yes, annually</w:t>
            </w:r>
          </w:p>
        </w:tc>
        <w:tc>
          <w:tcPr>
            <w:cnfStyle w:val="000010000000" w:firstRow="0" w:lastRow="0" w:firstColumn="0" w:lastColumn="0" w:oddVBand="1" w:evenVBand="0" w:oddHBand="0" w:evenHBand="0" w:firstRowFirstColumn="0" w:firstRowLastColumn="0" w:lastRowFirstColumn="0" w:lastRowLastColumn="0"/>
            <w:tcW w:w="2693" w:type="dxa"/>
            <w:vMerge w:val="restart"/>
            <w:vAlign w:val="center"/>
          </w:tcPr>
          <w:p w14:paraId="634BB332" w14:textId="77777777" w:rsidR="0027397A" w:rsidRPr="00F84762" w:rsidRDefault="0027397A" w:rsidP="008A00BC">
            <w:pPr>
              <w:spacing w:before="40" w:after="40"/>
              <w:rPr>
                <w:color w:val="1C1C1C"/>
                <w:sz w:val="16"/>
                <w:szCs w:val="16"/>
              </w:rPr>
            </w:pPr>
            <w:r w:rsidRPr="00F84762">
              <w:rPr>
                <w:color w:val="1C1C1C"/>
                <w:sz w:val="16"/>
                <w:szCs w:val="16"/>
              </w:rPr>
              <w:t>Yes, annually</w:t>
            </w:r>
          </w:p>
        </w:tc>
        <w:tc>
          <w:tcPr>
            <w:tcW w:w="2612" w:type="dxa"/>
            <w:vMerge w:val="restart"/>
            <w:vAlign w:val="center"/>
          </w:tcPr>
          <w:p w14:paraId="6A266093"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color w:val="1C1C1C"/>
                <w:sz w:val="16"/>
                <w:szCs w:val="16"/>
              </w:rPr>
              <w:t>Yes</w:t>
            </w:r>
          </w:p>
        </w:tc>
        <w:tc>
          <w:tcPr>
            <w:cnfStyle w:val="000010000000" w:firstRow="0" w:lastRow="0" w:firstColumn="0" w:lastColumn="0" w:oddVBand="1" w:evenVBand="0" w:oddHBand="0" w:evenHBand="0" w:firstRowFirstColumn="0" w:firstRowLastColumn="0" w:lastRowFirstColumn="0" w:lastRowLastColumn="0"/>
            <w:tcW w:w="2836" w:type="dxa"/>
            <w:vMerge w:val="restart"/>
            <w:vAlign w:val="center"/>
          </w:tcPr>
          <w:p w14:paraId="5D53D851" w14:textId="77777777" w:rsidR="0027397A" w:rsidRPr="00F84762" w:rsidRDefault="0027397A" w:rsidP="008A00BC">
            <w:pPr>
              <w:spacing w:before="40" w:after="40"/>
              <w:rPr>
                <w:color w:val="1C1C1C"/>
                <w:sz w:val="16"/>
                <w:szCs w:val="16"/>
              </w:rPr>
            </w:pPr>
            <w:r w:rsidRPr="00F84762">
              <w:rPr>
                <w:color w:val="1C1C1C"/>
                <w:sz w:val="16"/>
                <w:szCs w:val="16"/>
              </w:rPr>
              <w:t>Yes, annually</w:t>
            </w:r>
          </w:p>
        </w:tc>
      </w:tr>
      <w:tr w:rsidR="0027397A" w:rsidRPr="000624E2" w14:paraId="7B5F099B" w14:textId="77777777" w:rsidTr="008A00BC">
        <w:trPr>
          <w:trHeight w:val="104"/>
          <w:jc w:val="center"/>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023B72E2" w14:textId="77777777" w:rsidR="0027397A" w:rsidRPr="00F84762" w:rsidRDefault="0027397A" w:rsidP="008A00BC">
            <w:pPr>
              <w:spacing w:before="40" w:after="40"/>
              <w:rPr>
                <w:color w:val="1C1C1C"/>
                <w:sz w:val="16"/>
                <w:szCs w:val="16"/>
              </w:rPr>
            </w:pPr>
            <w:r w:rsidRPr="00F84762">
              <w:rPr>
                <w:color w:val="1C1C1C"/>
                <w:sz w:val="16"/>
                <w:szCs w:val="16"/>
              </w:rPr>
              <w:t>Reasonableness test of excluded data and outliers</w:t>
            </w:r>
          </w:p>
        </w:tc>
        <w:tc>
          <w:tcPr>
            <w:tcW w:w="2835" w:type="dxa"/>
            <w:vMerge/>
            <w:vAlign w:val="center"/>
          </w:tcPr>
          <w:p w14:paraId="3DB2F057" w14:textId="77777777" w:rsidR="0027397A" w:rsidRPr="00F84762" w:rsidRDefault="0027397A" w:rsidP="008A00BC">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2693" w:type="dxa"/>
            <w:vMerge/>
            <w:vAlign w:val="center"/>
          </w:tcPr>
          <w:p w14:paraId="14BB01D7" w14:textId="77777777" w:rsidR="0027397A" w:rsidRPr="00F84762" w:rsidRDefault="0027397A" w:rsidP="008A00BC">
            <w:pPr>
              <w:spacing w:before="40" w:after="40"/>
              <w:rPr>
                <w:color w:val="1C1C1C"/>
                <w:sz w:val="16"/>
                <w:szCs w:val="16"/>
              </w:rPr>
            </w:pPr>
          </w:p>
        </w:tc>
        <w:tc>
          <w:tcPr>
            <w:tcW w:w="2612" w:type="dxa"/>
            <w:vMerge/>
            <w:vAlign w:val="center"/>
          </w:tcPr>
          <w:p w14:paraId="6542637A" w14:textId="77777777" w:rsidR="0027397A" w:rsidRPr="00F84762" w:rsidRDefault="0027397A" w:rsidP="008A00BC">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2836" w:type="dxa"/>
            <w:vMerge/>
            <w:vAlign w:val="center"/>
          </w:tcPr>
          <w:p w14:paraId="3EEF3F60" w14:textId="77777777" w:rsidR="0027397A" w:rsidRPr="00F84762" w:rsidRDefault="0027397A" w:rsidP="008A00BC">
            <w:pPr>
              <w:spacing w:before="40" w:after="40"/>
              <w:rPr>
                <w:color w:val="1C1C1C"/>
                <w:sz w:val="16"/>
                <w:szCs w:val="16"/>
              </w:rPr>
            </w:pPr>
          </w:p>
        </w:tc>
      </w:tr>
      <w:tr w:rsidR="0027397A" w:rsidRPr="000624E2" w14:paraId="01AF1ACC" w14:textId="77777777" w:rsidTr="008A00BC">
        <w:trPr>
          <w:cnfStyle w:val="000000100000" w:firstRow="0" w:lastRow="0" w:firstColumn="0" w:lastColumn="0" w:oddVBand="0" w:evenVBand="0" w:oddHBand="1" w:evenHBand="0" w:firstRowFirstColumn="0" w:firstRowLastColumn="0" w:lastRowFirstColumn="0" w:lastRowLastColumn="0"/>
          <w:trHeight w:val="57"/>
          <w:jc w:val="center"/>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0800874F" w14:textId="77777777" w:rsidR="0027397A" w:rsidRPr="00F84762" w:rsidRDefault="0027397A" w:rsidP="008A00BC">
            <w:pPr>
              <w:spacing w:before="40" w:after="40"/>
              <w:rPr>
                <w:color w:val="1C1C1C"/>
                <w:sz w:val="16"/>
                <w:szCs w:val="16"/>
              </w:rPr>
            </w:pPr>
            <w:r w:rsidRPr="00F84762">
              <w:rPr>
                <w:color w:val="1C1C1C"/>
                <w:sz w:val="16"/>
                <w:szCs w:val="16"/>
              </w:rPr>
              <w:t>Analysis of outliers at the cost, LOS, or cost bucket level</w:t>
            </w:r>
          </w:p>
        </w:tc>
        <w:tc>
          <w:tcPr>
            <w:tcW w:w="2835" w:type="dxa"/>
            <w:vMerge/>
            <w:vAlign w:val="center"/>
          </w:tcPr>
          <w:p w14:paraId="175388E4"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2693" w:type="dxa"/>
            <w:vMerge/>
            <w:vAlign w:val="center"/>
          </w:tcPr>
          <w:p w14:paraId="7AB7463A" w14:textId="77777777" w:rsidR="0027397A" w:rsidRPr="00F84762" w:rsidRDefault="0027397A" w:rsidP="008A00BC">
            <w:pPr>
              <w:spacing w:before="40" w:after="40"/>
              <w:rPr>
                <w:color w:val="1C1C1C"/>
                <w:sz w:val="16"/>
                <w:szCs w:val="16"/>
              </w:rPr>
            </w:pPr>
          </w:p>
        </w:tc>
        <w:tc>
          <w:tcPr>
            <w:tcW w:w="2612" w:type="dxa"/>
            <w:vMerge/>
            <w:vAlign w:val="center"/>
          </w:tcPr>
          <w:p w14:paraId="640E1023"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2836" w:type="dxa"/>
            <w:vMerge/>
            <w:vAlign w:val="center"/>
          </w:tcPr>
          <w:p w14:paraId="0A8DEC4E" w14:textId="77777777" w:rsidR="0027397A" w:rsidRPr="00F84762" w:rsidRDefault="0027397A" w:rsidP="008A00BC">
            <w:pPr>
              <w:spacing w:before="40" w:after="40"/>
              <w:rPr>
                <w:color w:val="1C1C1C"/>
                <w:sz w:val="16"/>
                <w:szCs w:val="16"/>
              </w:rPr>
            </w:pPr>
          </w:p>
        </w:tc>
      </w:tr>
      <w:tr w:rsidR="0027397A" w:rsidRPr="000624E2" w14:paraId="24EC0776" w14:textId="77777777" w:rsidTr="008A00BC">
        <w:trPr>
          <w:trHeight w:val="57"/>
          <w:jc w:val="center"/>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35A3A8E6" w14:textId="77777777" w:rsidR="0027397A" w:rsidRPr="00F84762" w:rsidRDefault="0027397A" w:rsidP="008A00BC">
            <w:pPr>
              <w:spacing w:before="40" w:after="40"/>
              <w:rPr>
                <w:color w:val="1C1C1C"/>
                <w:sz w:val="16"/>
                <w:szCs w:val="16"/>
              </w:rPr>
            </w:pPr>
            <w:r w:rsidRPr="00F84762">
              <w:rPr>
                <w:color w:val="1C1C1C"/>
                <w:sz w:val="16"/>
                <w:szCs w:val="16"/>
              </w:rPr>
              <w:t>Direct and overhead percentage allocations</w:t>
            </w:r>
          </w:p>
        </w:tc>
        <w:tc>
          <w:tcPr>
            <w:tcW w:w="2835" w:type="dxa"/>
            <w:vMerge/>
            <w:vAlign w:val="center"/>
          </w:tcPr>
          <w:p w14:paraId="62936083" w14:textId="77777777" w:rsidR="0027397A" w:rsidRPr="00F84762" w:rsidRDefault="0027397A" w:rsidP="008A00BC">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2693" w:type="dxa"/>
            <w:vMerge/>
            <w:vAlign w:val="center"/>
          </w:tcPr>
          <w:p w14:paraId="4AEA7414" w14:textId="77777777" w:rsidR="0027397A" w:rsidRPr="00F84762" w:rsidRDefault="0027397A" w:rsidP="008A00BC">
            <w:pPr>
              <w:spacing w:before="40" w:after="40"/>
              <w:rPr>
                <w:color w:val="1C1C1C"/>
                <w:sz w:val="16"/>
                <w:szCs w:val="16"/>
              </w:rPr>
            </w:pPr>
          </w:p>
        </w:tc>
        <w:tc>
          <w:tcPr>
            <w:tcW w:w="2612" w:type="dxa"/>
            <w:vMerge/>
            <w:vAlign w:val="center"/>
          </w:tcPr>
          <w:p w14:paraId="1F741216" w14:textId="77777777" w:rsidR="0027397A" w:rsidRPr="00F84762" w:rsidRDefault="0027397A" w:rsidP="008A00BC">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2836" w:type="dxa"/>
            <w:vMerge/>
            <w:vAlign w:val="center"/>
          </w:tcPr>
          <w:p w14:paraId="42E6A245" w14:textId="77777777" w:rsidR="0027397A" w:rsidRPr="00F84762" w:rsidRDefault="0027397A" w:rsidP="008A00BC">
            <w:pPr>
              <w:spacing w:before="40" w:after="40"/>
              <w:rPr>
                <w:color w:val="1C1C1C"/>
                <w:sz w:val="16"/>
                <w:szCs w:val="16"/>
              </w:rPr>
            </w:pPr>
          </w:p>
        </w:tc>
      </w:tr>
      <w:tr w:rsidR="0027397A" w:rsidRPr="00F84762" w14:paraId="5916E594" w14:textId="77777777" w:rsidTr="008A00BC">
        <w:trPr>
          <w:cnfStyle w:val="000000100000" w:firstRow="0" w:lastRow="0" w:firstColumn="0" w:lastColumn="0" w:oddVBand="0" w:evenVBand="0" w:oddHBand="1" w:evenHBand="0" w:firstRowFirstColumn="0" w:firstRowLastColumn="0" w:lastRowFirstColumn="0" w:lastRowLastColumn="0"/>
          <w:trHeight w:val="211"/>
          <w:jc w:val="center"/>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0DE6FDE8" w14:textId="77777777" w:rsidR="0027397A" w:rsidRPr="00F84762" w:rsidRDefault="0027397A" w:rsidP="008A00BC">
            <w:pPr>
              <w:spacing w:before="40" w:after="40"/>
              <w:rPr>
                <w:color w:val="1C1C1C"/>
                <w:sz w:val="16"/>
                <w:szCs w:val="16"/>
              </w:rPr>
            </w:pPr>
            <w:r w:rsidRPr="00F84762">
              <w:rPr>
                <w:color w:val="1C1C1C"/>
                <w:sz w:val="16"/>
                <w:szCs w:val="16"/>
              </w:rPr>
              <w:t>Specific business rule tests</w:t>
            </w:r>
          </w:p>
        </w:tc>
        <w:tc>
          <w:tcPr>
            <w:tcW w:w="2835" w:type="dxa"/>
          </w:tcPr>
          <w:p w14:paraId="71A75E0F"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color w:val="1C1C1C"/>
                <w:sz w:val="16"/>
                <w:szCs w:val="16"/>
              </w:rPr>
              <w:t>Yes, annually</w:t>
            </w:r>
          </w:p>
        </w:tc>
        <w:tc>
          <w:tcPr>
            <w:cnfStyle w:val="000010000000" w:firstRow="0" w:lastRow="0" w:firstColumn="0" w:lastColumn="0" w:oddVBand="1" w:evenVBand="0" w:oddHBand="0" w:evenHBand="0" w:firstRowFirstColumn="0" w:firstRowLastColumn="0" w:lastRowFirstColumn="0" w:lastRowLastColumn="0"/>
            <w:tcW w:w="2693" w:type="dxa"/>
            <w:vAlign w:val="center"/>
          </w:tcPr>
          <w:p w14:paraId="3CD048CE" w14:textId="77777777" w:rsidR="0027397A" w:rsidRPr="00F84762" w:rsidRDefault="0027397A" w:rsidP="008A00BC">
            <w:pPr>
              <w:spacing w:before="40" w:after="40"/>
              <w:rPr>
                <w:color w:val="1C1C1C"/>
                <w:sz w:val="16"/>
                <w:szCs w:val="16"/>
              </w:rPr>
            </w:pPr>
            <w:r w:rsidRPr="00F84762">
              <w:rPr>
                <w:color w:val="1C1C1C"/>
                <w:sz w:val="16"/>
                <w:szCs w:val="16"/>
              </w:rPr>
              <w:t>Yes</w:t>
            </w:r>
          </w:p>
        </w:tc>
        <w:tc>
          <w:tcPr>
            <w:tcW w:w="2612" w:type="dxa"/>
            <w:vAlign w:val="center"/>
          </w:tcPr>
          <w:p w14:paraId="1D85DB48"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rFonts w:eastAsia="Arial" w:cs="Arial"/>
                <w:color w:val="000000"/>
                <w:kern w:val="24"/>
                <w:sz w:val="16"/>
                <w:szCs w:val="16"/>
              </w:rPr>
              <w:t>Yes, various business rules are tested when data is loaded</w:t>
            </w:r>
          </w:p>
        </w:tc>
        <w:tc>
          <w:tcPr>
            <w:cnfStyle w:val="000010000000" w:firstRow="0" w:lastRow="0" w:firstColumn="0" w:lastColumn="0" w:oddVBand="1" w:evenVBand="0" w:oddHBand="0" w:evenHBand="0" w:firstRowFirstColumn="0" w:firstRowLastColumn="0" w:lastRowFirstColumn="0" w:lastRowLastColumn="0"/>
            <w:tcW w:w="2836" w:type="dxa"/>
            <w:vAlign w:val="center"/>
          </w:tcPr>
          <w:p w14:paraId="333A27D5" w14:textId="77777777" w:rsidR="0027397A" w:rsidRPr="00F84762" w:rsidRDefault="0027397A" w:rsidP="008A00BC">
            <w:pPr>
              <w:spacing w:before="40" w:after="40"/>
              <w:rPr>
                <w:color w:val="1C1C1C"/>
                <w:sz w:val="16"/>
                <w:szCs w:val="16"/>
              </w:rPr>
            </w:pPr>
            <w:r w:rsidRPr="00F84762">
              <w:rPr>
                <w:rFonts w:eastAsia="Arial"/>
                <w:kern w:val="24"/>
                <w:sz w:val="16"/>
                <w:szCs w:val="16"/>
              </w:rPr>
              <w:t>Yes – through PPM2</w:t>
            </w:r>
          </w:p>
        </w:tc>
      </w:tr>
      <w:tr w:rsidR="0027397A" w:rsidRPr="000624E2" w14:paraId="4C7D7E05" w14:textId="77777777" w:rsidTr="008A00BC">
        <w:trPr>
          <w:trHeight w:val="20"/>
          <w:jc w:val="center"/>
        </w:trPr>
        <w:tc>
          <w:tcPr>
            <w:cnfStyle w:val="000010000000" w:firstRow="0" w:lastRow="0" w:firstColumn="0" w:lastColumn="0" w:oddVBand="1" w:evenVBand="0" w:oddHBand="0" w:evenHBand="0" w:firstRowFirstColumn="0" w:firstRowLastColumn="0" w:lastRowFirstColumn="0" w:lastRowLastColumn="0"/>
            <w:tcW w:w="8500" w:type="dxa"/>
            <w:gridSpan w:val="3"/>
            <w:shd w:val="clear" w:color="auto" w:fill="DFEBF1" w:themeFill="accent1" w:themeFillTint="1A"/>
            <w:vAlign w:val="center"/>
          </w:tcPr>
          <w:p w14:paraId="5E723861" w14:textId="77777777" w:rsidR="0027397A" w:rsidRPr="00F84762" w:rsidRDefault="0027397A" w:rsidP="008A00BC">
            <w:pPr>
              <w:spacing w:before="40" w:after="40"/>
              <w:rPr>
                <w:b/>
                <w:bCs/>
                <w:color w:val="1C1C1C"/>
                <w:sz w:val="16"/>
                <w:szCs w:val="16"/>
              </w:rPr>
            </w:pPr>
            <w:r w:rsidRPr="00F84762">
              <w:rPr>
                <w:b/>
                <w:bCs/>
                <w:color w:val="1C1C1C"/>
                <w:sz w:val="16"/>
                <w:szCs w:val="16"/>
              </w:rPr>
              <w:t>Costing data – governance</w:t>
            </w:r>
          </w:p>
        </w:tc>
        <w:tc>
          <w:tcPr>
            <w:tcW w:w="2612" w:type="dxa"/>
            <w:shd w:val="clear" w:color="auto" w:fill="DFEBF1" w:themeFill="accent1" w:themeFillTint="1A"/>
          </w:tcPr>
          <w:p w14:paraId="5EE9C45E" w14:textId="77777777" w:rsidR="0027397A" w:rsidRPr="00F84762" w:rsidRDefault="0027397A" w:rsidP="008A00BC">
            <w:pPr>
              <w:spacing w:before="40" w:after="40"/>
              <w:cnfStyle w:val="000000000000" w:firstRow="0" w:lastRow="0" w:firstColumn="0" w:lastColumn="0" w:oddVBand="0" w:evenVBand="0" w:oddHBand="0" w:evenHBand="0" w:firstRowFirstColumn="0" w:firstRowLastColumn="0" w:lastRowFirstColumn="0" w:lastRowLastColumn="0"/>
              <w:rPr>
                <w:b/>
                <w:bCs/>
                <w:color w:val="1C1C1C"/>
                <w:sz w:val="16"/>
                <w:szCs w:val="16"/>
              </w:rPr>
            </w:pPr>
          </w:p>
        </w:tc>
        <w:tc>
          <w:tcPr>
            <w:cnfStyle w:val="000010000000" w:firstRow="0" w:lastRow="0" w:firstColumn="0" w:lastColumn="0" w:oddVBand="1" w:evenVBand="0" w:oddHBand="0" w:evenHBand="0" w:firstRowFirstColumn="0" w:firstRowLastColumn="0" w:lastRowFirstColumn="0" w:lastRowLastColumn="0"/>
            <w:tcW w:w="2836" w:type="dxa"/>
            <w:shd w:val="clear" w:color="auto" w:fill="DFEBF1" w:themeFill="accent1" w:themeFillTint="1A"/>
          </w:tcPr>
          <w:p w14:paraId="491F2FE7" w14:textId="77777777" w:rsidR="0027397A" w:rsidRPr="00F84762" w:rsidRDefault="0027397A" w:rsidP="008A00BC">
            <w:pPr>
              <w:spacing w:before="40" w:after="40"/>
              <w:rPr>
                <w:b/>
                <w:bCs/>
                <w:color w:val="1C1C1C"/>
                <w:sz w:val="16"/>
                <w:szCs w:val="16"/>
              </w:rPr>
            </w:pPr>
          </w:p>
        </w:tc>
      </w:tr>
      <w:tr w:rsidR="0027397A" w:rsidRPr="00F84762" w14:paraId="17D59AF0" w14:textId="77777777" w:rsidTr="008A00BC">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05585C23" w14:textId="77777777" w:rsidR="0027397A" w:rsidRPr="00F84762" w:rsidRDefault="0027397A" w:rsidP="008A00BC">
            <w:pPr>
              <w:spacing w:before="40" w:after="40"/>
              <w:rPr>
                <w:color w:val="1C1C1C"/>
                <w:sz w:val="16"/>
                <w:szCs w:val="16"/>
              </w:rPr>
            </w:pPr>
            <w:r w:rsidRPr="00F84762">
              <w:rPr>
                <w:color w:val="1C1C1C"/>
                <w:sz w:val="16"/>
                <w:szCs w:val="16"/>
              </w:rPr>
              <w:t>Regular updates with costing staff</w:t>
            </w:r>
          </w:p>
        </w:tc>
        <w:tc>
          <w:tcPr>
            <w:tcW w:w="2835" w:type="dxa"/>
          </w:tcPr>
          <w:p w14:paraId="29D367C8" w14:textId="1D7873E6"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color w:val="1C1C1C"/>
                <w:sz w:val="16"/>
                <w:szCs w:val="16"/>
              </w:rPr>
              <w:t xml:space="preserve">Yes. Business User Group and WA Clinical Costing Standards Group </w:t>
            </w:r>
            <w:r w:rsidR="007F3645">
              <w:rPr>
                <w:color w:val="1C1C1C"/>
                <w:sz w:val="16"/>
                <w:szCs w:val="16"/>
              </w:rPr>
              <w:t xml:space="preserve">(CCSG) </w:t>
            </w:r>
            <w:r w:rsidRPr="00F84762">
              <w:rPr>
                <w:color w:val="1C1C1C"/>
                <w:sz w:val="16"/>
                <w:szCs w:val="16"/>
              </w:rPr>
              <w:t xml:space="preserve">meet monthly. BUG includes technical support to discuss PPM usage, new features, upgrades, technical issues, improvements to HSS staging and extraction processes; </w:t>
            </w:r>
            <w:r w:rsidR="007F3645">
              <w:rPr>
                <w:color w:val="1C1C1C"/>
                <w:sz w:val="16"/>
                <w:szCs w:val="16"/>
              </w:rPr>
              <w:t>CCSG</w:t>
            </w:r>
            <w:r w:rsidRPr="00F84762">
              <w:rPr>
                <w:color w:val="1C1C1C"/>
                <w:sz w:val="16"/>
                <w:szCs w:val="16"/>
              </w:rPr>
              <w:t xml:space="preserve"> explores continuous improvement, information sharing and learnings, and QA processes.</w:t>
            </w:r>
          </w:p>
        </w:tc>
        <w:tc>
          <w:tcPr>
            <w:cnfStyle w:val="000010000000" w:firstRow="0" w:lastRow="0" w:firstColumn="0" w:lastColumn="0" w:oddVBand="1" w:evenVBand="0" w:oddHBand="0" w:evenHBand="0" w:firstRowFirstColumn="0" w:firstRowLastColumn="0" w:lastRowFirstColumn="0" w:lastRowLastColumn="0"/>
            <w:tcW w:w="2693" w:type="dxa"/>
            <w:vAlign w:val="center"/>
          </w:tcPr>
          <w:p w14:paraId="2E413EEC" w14:textId="77777777" w:rsidR="0027397A" w:rsidRPr="00F84762" w:rsidRDefault="0027397A" w:rsidP="008A00BC">
            <w:pPr>
              <w:spacing w:before="40" w:after="40"/>
              <w:rPr>
                <w:color w:val="1C1C1C"/>
                <w:sz w:val="16"/>
                <w:szCs w:val="16"/>
              </w:rPr>
            </w:pPr>
            <w:r w:rsidRPr="00F84762">
              <w:rPr>
                <w:color w:val="1C1C1C"/>
                <w:sz w:val="16"/>
                <w:szCs w:val="16"/>
              </w:rPr>
              <w:t>Ad hoc</w:t>
            </w:r>
          </w:p>
        </w:tc>
        <w:tc>
          <w:tcPr>
            <w:tcW w:w="2612" w:type="dxa"/>
            <w:vAlign w:val="center"/>
          </w:tcPr>
          <w:p w14:paraId="1817A05B"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rFonts w:eastAsia="Arial" w:cs="Arial"/>
                <w:color w:val="000000"/>
                <w:kern w:val="24"/>
                <w:sz w:val="16"/>
                <w:szCs w:val="16"/>
              </w:rPr>
              <w:t>Regularly in contact with external costing consultants.</w:t>
            </w:r>
          </w:p>
        </w:tc>
        <w:tc>
          <w:tcPr>
            <w:cnfStyle w:val="000010000000" w:firstRow="0" w:lastRow="0" w:firstColumn="0" w:lastColumn="0" w:oddVBand="1" w:evenVBand="0" w:oddHBand="0" w:evenHBand="0" w:firstRowFirstColumn="0" w:firstRowLastColumn="0" w:lastRowFirstColumn="0" w:lastRowLastColumn="0"/>
            <w:tcW w:w="2836" w:type="dxa"/>
            <w:vAlign w:val="center"/>
          </w:tcPr>
          <w:p w14:paraId="5D6F7483" w14:textId="77777777" w:rsidR="0027397A" w:rsidRPr="00F84762" w:rsidRDefault="0027397A" w:rsidP="008A00BC">
            <w:pPr>
              <w:spacing w:before="40" w:after="40"/>
              <w:rPr>
                <w:color w:val="1C1C1C"/>
                <w:sz w:val="16"/>
                <w:szCs w:val="16"/>
              </w:rPr>
            </w:pPr>
            <w:r w:rsidRPr="00F84762">
              <w:rPr>
                <w:rFonts w:eastAsia="Arial"/>
                <w:spacing w:val="-2"/>
                <w:kern w:val="24"/>
                <w:sz w:val="16"/>
                <w:szCs w:val="16"/>
              </w:rPr>
              <w:t>Finance Team and Clinical Costing Personnel during the submission time.</w:t>
            </w:r>
          </w:p>
        </w:tc>
      </w:tr>
      <w:tr w:rsidR="0027397A" w:rsidRPr="00F84762" w14:paraId="37CE4100" w14:textId="77777777" w:rsidTr="008A00BC">
        <w:trPr>
          <w:trHeight w:val="57"/>
          <w:jc w:val="center"/>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78A59864" w14:textId="77777777" w:rsidR="0027397A" w:rsidRPr="00F84762" w:rsidRDefault="0027397A" w:rsidP="008A00BC">
            <w:pPr>
              <w:spacing w:before="40" w:after="40"/>
              <w:rPr>
                <w:color w:val="1C1C1C"/>
                <w:sz w:val="16"/>
                <w:szCs w:val="16"/>
              </w:rPr>
            </w:pPr>
            <w:r w:rsidRPr="00F84762">
              <w:rPr>
                <w:color w:val="1C1C1C"/>
                <w:sz w:val="16"/>
                <w:szCs w:val="16"/>
              </w:rPr>
              <w:t>Local guidelines supporting the AHPCS standards framework</w:t>
            </w:r>
          </w:p>
        </w:tc>
        <w:tc>
          <w:tcPr>
            <w:tcW w:w="2835" w:type="dxa"/>
          </w:tcPr>
          <w:p w14:paraId="03D41ECE" w14:textId="77777777" w:rsidR="0027397A" w:rsidRPr="00F84762" w:rsidRDefault="0027397A" w:rsidP="008A00BC">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r w:rsidRPr="00F84762">
              <w:rPr>
                <w:color w:val="1C1C1C"/>
                <w:sz w:val="16"/>
                <w:szCs w:val="16"/>
              </w:rPr>
              <w:t>Yes</w:t>
            </w:r>
          </w:p>
        </w:tc>
        <w:tc>
          <w:tcPr>
            <w:cnfStyle w:val="000010000000" w:firstRow="0" w:lastRow="0" w:firstColumn="0" w:lastColumn="0" w:oddVBand="1" w:evenVBand="0" w:oddHBand="0" w:evenHBand="0" w:firstRowFirstColumn="0" w:firstRowLastColumn="0" w:lastRowFirstColumn="0" w:lastRowLastColumn="0"/>
            <w:tcW w:w="2693" w:type="dxa"/>
            <w:vAlign w:val="center"/>
          </w:tcPr>
          <w:p w14:paraId="7BAE7CA7" w14:textId="77777777" w:rsidR="0027397A" w:rsidRPr="00F84762" w:rsidRDefault="0027397A" w:rsidP="008A00BC">
            <w:pPr>
              <w:spacing w:before="40" w:after="40"/>
              <w:rPr>
                <w:color w:val="1C1C1C"/>
                <w:sz w:val="16"/>
                <w:szCs w:val="16"/>
              </w:rPr>
            </w:pPr>
            <w:r w:rsidRPr="00F84762">
              <w:rPr>
                <w:color w:val="1C1C1C"/>
                <w:sz w:val="16"/>
                <w:szCs w:val="16"/>
              </w:rPr>
              <w:t>No</w:t>
            </w:r>
          </w:p>
        </w:tc>
        <w:tc>
          <w:tcPr>
            <w:tcW w:w="2612" w:type="dxa"/>
            <w:vAlign w:val="center"/>
          </w:tcPr>
          <w:p w14:paraId="6FF11F3B" w14:textId="77777777" w:rsidR="0027397A" w:rsidRPr="00F84762" w:rsidRDefault="0027397A" w:rsidP="008A00BC">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r w:rsidRPr="00F84762">
              <w:rPr>
                <w:rFonts w:eastAsia="Arial" w:cs="Arial"/>
                <w:color w:val="000000"/>
                <w:kern w:val="24"/>
                <w:sz w:val="16"/>
                <w:szCs w:val="16"/>
              </w:rPr>
              <w:t>Yes, annually</w:t>
            </w:r>
          </w:p>
        </w:tc>
        <w:tc>
          <w:tcPr>
            <w:cnfStyle w:val="000010000000" w:firstRow="0" w:lastRow="0" w:firstColumn="0" w:lastColumn="0" w:oddVBand="1" w:evenVBand="0" w:oddHBand="0" w:evenHBand="0" w:firstRowFirstColumn="0" w:firstRowLastColumn="0" w:lastRowFirstColumn="0" w:lastRowLastColumn="0"/>
            <w:tcW w:w="2836" w:type="dxa"/>
            <w:vAlign w:val="center"/>
          </w:tcPr>
          <w:p w14:paraId="10481159" w14:textId="77777777" w:rsidR="0027397A" w:rsidRPr="00F84762" w:rsidRDefault="0027397A" w:rsidP="008A00BC">
            <w:pPr>
              <w:spacing w:before="40" w:after="40"/>
              <w:rPr>
                <w:color w:val="1C1C1C"/>
                <w:sz w:val="16"/>
                <w:szCs w:val="16"/>
              </w:rPr>
            </w:pPr>
            <w:r w:rsidRPr="00F84762">
              <w:rPr>
                <w:rFonts w:eastAsia="Arial"/>
                <w:kern w:val="24"/>
                <w:sz w:val="16"/>
                <w:szCs w:val="16"/>
              </w:rPr>
              <w:t>No</w:t>
            </w:r>
          </w:p>
        </w:tc>
      </w:tr>
      <w:tr w:rsidR="0027397A" w:rsidRPr="00F84762" w14:paraId="7F5BF7AA" w14:textId="77777777" w:rsidTr="008A00BC">
        <w:trPr>
          <w:cnfStyle w:val="000000100000" w:firstRow="0" w:lastRow="0" w:firstColumn="0" w:lastColumn="0" w:oddVBand="0" w:evenVBand="0" w:oddHBand="1" w:evenHBand="0" w:firstRowFirstColumn="0" w:firstRowLastColumn="0" w:lastRowFirstColumn="0" w:lastRowLastColumn="0"/>
          <w:trHeight w:val="141"/>
          <w:jc w:val="center"/>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7EA06347" w14:textId="77777777" w:rsidR="0027397A" w:rsidRPr="00F84762" w:rsidRDefault="0027397A" w:rsidP="008A00BC">
            <w:pPr>
              <w:spacing w:before="40" w:after="40"/>
              <w:rPr>
                <w:color w:val="1C1C1C"/>
                <w:sz w:val="16"/>
                <w:szCs w:val="16"/>
              </w:rPr>
            </w:pPr>
            <w:r w:rsidRPr="00F84762">
              <w:rPr>
                <w:color w:val="1C1C1C"/>
                <w:sz w:val="16"/>
                <w:szCs w:val="16"/>
              </w:rPr>
              <w:t>Review of cost allocations</w:t>
            </w:r>
          </w:p>
        </w:tc>
        <w:tc>
          <w:tcPr>
            <w:tcW w:w="2835" w:type="dxa"/>
          </w:tcPr>
          <w:p w14:paraId="6A0DA987"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color w:val="1C1C1C"/>
                <w:sz w:val="16"/>
                <w:szCs w:val="16"/>
              </w:rPr>
              <w:t>N/A</w:t>
            </w:r>
          </w:p>
        </w:tc>
        <w:tc>
          <w:tcPr>
            <w:cnfStyle w:val="000010000000" w:firstRow="0" w:lastRow="0" w:firstColumn="0" w:lastColumn="0" w:oddVBand="1" w:evenVBand="0" w:oddHBand="0" w:evenHBand="0" w:firstRowFirstColumn="0" w:firstRowLastColumn="0" w:lastRowFirstColumn="0" w:lastRowLastColumn="0"/>
            <w:tcW w:w="2693" w:type="dxa"/>
            <w:vAlign w:val="center"/>
          </w:tcPr>
          <w:p w14:paraId="292DA14C" w14:textId="77777777" w:rsidR="0027397A" w:rsidRPr="00F84762" w:rsidRDefault="0027397A" w:rsidP="008A00BC">
            <w:pPr>
              <w:spacing w:before="40" w:after="40"/>
              <w:rPr>
                <w:color w:val="1C1C1C"/>
                <w:sz w:val="16"/>
                <w:szCs w:val="16"/>
              </w:rPr>
            </w:pPr>
            <w:r w:rsidRPr="00F84762">
              <w:rPr>
                <w:color w:val="1C1C1C"/>
                <w:sz w:val="16"/>
                <w:szCs w:val="16"/>
              </w:rPr>
              <w:t>Yes, annually</w:t>
            </w:r>
          </w:p>
        </w:tc>
        <w:tc>
          <w:tcPr>
            <w:tcW w:w="2612" w:type="dxa"/>
            <w:vAlign w:val="center"/>
          </w:tcPr>
          <w:p w14:paraId="5691A0BF"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rFonts w:eastAsia="Arial" w:cs="Arial"/>
                <w:color w:val="000000"/>
                <w:kern w:val="24"/>
                <w:sz w:val="16"/>
                <w:szCs w:val="16"/>
              </w:rPr>
              <w:t>Yes</w:t>
            </w:r>
          </w:p>
        </w:tc>
        <w:tc>
          <w:tcPr>
            <w:cnfStyle w:val="000010000000" w:firstRow="0" w:lastRow="0" w:firstColumn="0" w:lastColumn="0" w:oddVBand="1" w:evenVBand="0" w:oddHBand="0" w:evenHBand="0" w:firstRowFirstColumn="0" w:firstRowLastColumn="0" w:lastRowFirstColumn="0" w:lastRowLastColumn="0"/>
            <w:tcW w:w="2836" w:type="dxa"/>
            <w:vAlign w:val="center"/>
          </w:tcPr>
          <w:p w14:paraId="2BD0ABCF" w14:textId="77777777" w:rsidR="0027397A" w:rsidRPr="00F84762" w:rsidRDefault="0027397A" w:rsidP="008A00BC">
            <w:pPr>
              <w:spacing w:before="40" w:after="40"/>
              <w:rPr>
                <w:color w:val="1C1C1C"/>
                <w:sz w:val="16"/>
                <w:szCs w:val="16"/>
              </w:rPr>
            </w:pPr>
            <w:r w:rsidRPr="00F84762">
              <w:rPr>
                <w:rFonts w:eastAsia="Arial"/>
                <w:kern w:val="24"/>
                <w:sz w:val="16"/>
                <w:szCs w:val="16"/>
              </w:rPr>
              <w:t>Yes – annually</w:t>
            </w:r>
          </w:p>
        </w:tc>
      </w:tr>
      <w:tr w:rsidR="0027397A" w:rsidRPr="00F84762" w14:paraId="7628E154" w14:textId="77777777" w:rsidTr="008A00BC">
        <w:trPr>
          <w:trHeight w:val="57"/>
          <w:jc w:val="center"/>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0639424D" w14:textId="77777777" w:rsidR="0027397A" w:rsidRPr="00F84762" w:rsidRDefault="0027397A" w:rsidP="008A00BC">
            <w:pPr>
              <w:spacing w:before="40" w:after="40"/>
              <w:rPr>
                <w:color w:val="1C1C1C"/>
                <w:sz w:val="16"/>
                <w:szCs w:val="16"/>
              </w:rPr>
            </w:pPr>
            <w:r w:rsidRPr="00F84762">
              <w:rPr>
                <w:color w:val="1C1C1C"/>
                <w:sz w:val="16"/>
                <w:szCs w:val="16"/>
              </w:rPr>
              <w:t>Review on reasonableness of costing data output</w:t>
            </w:r>
          </w:p>
        </w:tc>
        <w:tc>
          <w:tcPr>
            <w:tcW w:w="2835" w:type="dxa"/>
          </w:tcPr>
          <w:p w14:paraId="5DB13C18" w14:textId="77777777" w:rsidR="0027397A" w:rsidRPr="00F84762" w:rsidRDefault="0027397A" w:rsidP="008A00BC">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r w:rsidRPr="00F84762">
              <w:rPr>
                <w:color w:val="1C1C1C"/>
                <w:sz w:val="16"/>
                <w:szCs w:val="16"/>
              </w:rPr>
              <w:t>Yes. Multiple reviews undertaken, with any issues reported back to HSPs</w:t>
            </w:r>
          </w:p>
        </w:tc>
        <w:tc>
          <w:tcPr>
            <w:cnfStyle w:val="000010000000" w:firstRow="0" w:lastRow="0" w:firstColumn="0" w:lastColumn="0" w:oddVBand="1" w:evenVBand="0" w:oddHBand="0" w:evenHBand="0" w:firstRowFirstColumn="0" w:firstRowLastColumn="0" w:lastRowFirstColumn="0" w:lastRowLastColumn="0"/>
            <w:tcW w:w="2693" w:type="dxa"/>
            <w:vAlign w:val="center"/>
          </w:tcPr>
          <w:p w14:paraId="735B406E" w14:textId="77777777" w:rsidR="0027397A" w:rsidRPr="00F84762" w:rsidRDefault="0027397A" w:rsidP="008A00BC">
            <w:pPr>
              <w:spacing w:before="40" w:after="40"/>
              <w:rPr>
                <w:color w:val="1C1C1C"/>
                <w:sz w:val="16"/>
                <w:szCs w:val="16"/>
              </w:rPr>
            </w:pPr>
            <w:r w:rsidRPr="00F84762">
              <w:rPr>
                <w:rFonts w:eastAsia="Arial"/>
                <w:spacing w:val="-2"/>
                <w:kern w:val="24"/>
                <w:sz w:val="16"/>
                <w:szCs w:val="16"/>
              </w:rPr>
              <w:t>Data is reviewed for reasonableness and completeness.</w:t>
            </w:r>
          </w:p>
        </w:tc>
        <w:tc>
          <w:tcPr>
            <w:tcW w:w="2612" w:type="dxa"/>
            <w:vAlign w:val="center"/>
          </w:tcPr>
          <w:p w14:paraId="0EC3A264" w14:textId="77777777" w:rsidR="0027397A" w:rsidRPr="00F84762" w:rsidRDefault="0027397A" w:rsidP="008A00BC">
            <w:pPr>
              <w:spacing w:before="40" w:after="40"/>
              <w:cnfStyle w:val="000000000000" w:firstRow="0" w:lastRow="0" w:firstColumn="0" w:lastColumn="0" w:oddVBand="0" w:evenVBand="0" w:oddHBand="0" w:evenHBand="0" w:firstRowFirstColumn="0" w:firstRowLastColumn="0" w:lastRowFirstColumn="0" w:lastRowLastColumn="0"/>
              <w:rPr>
                <w:color w:val="1C1C1C"/>
                <w:sz w:val="16"/>
                <w:szCs w:val="16"/>
              </w:rPr>
            </w:pPr>
            <w:r w:rsidRPr="00F84762">
              <w:rPr>
                <w:rFonts w:eastAsia="Arial" w:cs="Arial"/>
                <w:color w:val="000000"/>
                <w:kern w:val="24"/>
                <w:sz w:val="16"/>
                <w:szCs w:val="16"/>
              </w:rPr>
              <w:t>Data is reviewed for reasonableness and completeness.</w:t>
            </w:r>
          </w:p>
        </w:tc>
        <w:tc>
          <w:tcPr>
            <w:cnfStyle w:val="000010000000" w:firstRow="0" w:lastRow="0" w:firstColumn="0" w:lastColumn="0" w:oddVBand="1" w:evenVBand="0" w:oddHBand="0" w:evenHBand="0" w:firstRowFirstColumn="0" w:firstRowLastColumn="0" w:lastRowFirstColumn="0" w:lastRowLastColumn="0"/>
            <w:tcW w:w="2836" w:type="dxa"/>
            <w:vAlign w:val="center"/>
          </w:tcPr>
          <w:p w14:paraId="0239957F" w14:textId="77777777" w:rsidR="0027397A" w:rsidRPr="00F84762" w:rsidRDefault="0027397A" w:rsidP="008A00BC">
            <w:pPr>
              <w:spacing w:before="40" w:after="40"/>
              <w:rPr>
                <w:color w:val="1C1C1C"/>
                <w:sz w:val="16"/>
                <w:szCs w:val="16"/>
              </w:rPr>
            </w:pPr>
            <w:r w:rsidRPr="00F84762">
              <w:rPr>
                <w:rFonts w:eastAsia="Arial"/>
                <w:spacing w:val="-2"/>
                <w:kern w:val="24"/>
                <w:sz w:val="16"/>
                <w:szCs w:val="16"/>
              </w:rPr>
              <w:t>Data is reviewed for reasonableness and completeness.</w:t>
            </w:r>
          </w:p>
        </w:tc>
      </w:tr>
      <w:tr w:rsidR="0027397A" w:rsidRPr="00F84762" w14:paraId="5F9EB397" w14:textId="77777777" w:rsidTr="008A00BC">
        <w:trPr>
          <w:cnfStyle w:val="000000100000" w:firstRow="0" w:lastRow="0" w:firstColumn="0" w:lastColumn="0" w:oddVBand="0" w:evenVBand="0" w:oddHBand="1" w:evenHBand="0" w:firstRowFirstColumn="0" w:firstRowLastColumn="0" w:lastRowFirstColumn="0" w:lastRowLastColumn="0"/>
          <w:trHeight w:val="250"/>
          <w:jc w:val="center"/>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19595C91" w14:textId="77777777" w:rsidR="0027397A" w:rsidRPr="00F84762" w:rsidRDefault="0027397A" w:rsidP="008A00BC">
            <w:pPr>
              <w:spacing w:before="40" w:after="40"/>
              <w:rPr>
                <w:color w:val="1C1C1C"/>
                <w:sz w:val="16"/>
                <w:szCs w:val="16"/>
              </w:rPr>
            </w:pPr>
            <w:r w:rsidRPr="00F84762">
              <w:rPr>
                <w:color w:val="1C1C1C"/>
                <w:sz w:val="16"/>
                <w:szCs w:val="16"/>
              </w:rPr>
              <w:t>Formal sign-off</w:t>
            </w:r>
          </w:p>
        </w:tc>
        <w:tc>
          <w:tcPr>
            <w:tcW w:w="2835" w:type="dxa"/>
            <w:vAlign w:val="center"/>
          </w:tcPr>
          <w:p w14:paraId="1440D343"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color w:val="1C1C1C"/>
                <w:sz w:val="16"/>
                <w:szCs w:val="16"/>
              </w:rPr>
              <w:t>Yes, Director – General</w:t>
            </w:r>
          </w:p>
        </w:tc>
        <w:tc>
          <w:tcPr>
            <w:cnfStyle w:val="000010000000" w:firstRow="0" w:lastRow="0" w:firstColumn="0" w:lastColumn="0" w:oddVBand="1" w:evenVBand="0" w:oddHBand="0" w:evenHBand="0" w:firstRowFirstColumn="0" w:firstRowLastColumn="0" w:lastRowFirstColumn="0" w:lastRowLastColumn="0"/>
            <w:tcW w:w="2693" w:type="dxa"/>
            <w:vAlign w:val="center"/>
          </w:tcPr>
          <w:p w14:paraId="15F567BE" w14:textId="77777777" w:rsidR="0027397A" w:rsidRPr="00F84762" w:rsidRDefault="0027397A" w:rsidP="008A00BC">
            <w:pPr>
              <w:spacing w:before="40" w:after="40"/>
              <w:rPr>
                <w:color w:val="1C1C1C"/>
                <w:sz w:val="16"/>
                <w:szCs w:val="16"/>
              </w:rPr>
            </w:pPr>
            <w:r w:rsidRPr="00F84762">
              <w:rPr>
                <w:rFonts w:eastAsia="PMingLiU"/>
                <w:kern w:val="24"/>
                <w:sz w:val="16"/>
                <w:szCs w:val="16"/>
              </w:rPr>
              <w:t>Final sign off by THS</w:t>
            </w:r>
          </w:p>
        </w:tc>
        <w:tc>
          <w:tcPr>
            <w:tcW w:w="2612" w:type="dxa"/>
            <w:vAlign w:val="center"/>
          </w:tcPr>
          <w:p w14:paraId="0299928F" w14:textId="77777777" w:rsidR="0027397A" w:rsidRPr="00F84762" w:rsidRDefault="0027397A" w:rsidP="008A00BC">
            <w:pPr>
              <w:spacing w:before="40" w:after="40"/>
              <w:cnfStyle w:val="000000100000" w:firstRow="0" w:lastRow="0" w:firstColumn="0" w:lastColumn="0" w:oddVBand="0" w:evenVBand="0" w:oddHBand="1" w:evenHBand="0" w:firstRowFirstColumn="0" w:firstRowLastColumn="0" w:lastRowFirstColumn="0" w:lastRowLastColumn="0"/>
              <w:rPr>
                <w:color w:val="1C1C1C"/>
                <w:sz w:val="16"/>
                <w:szCs w:val="16"/>
              </w:rPr>
            </w:pPr>
            <w:r w:rsidRPr="00F84762">
              <w:rPr>
                <w:rFonts w:eastAsia="Arial" w:cs="Arial"/>
                <w:color w:val="000000"/>
                <w:kern w:val="24"/>
                <w:sz w:val="16"/>
                <w:szCs w:val="16"/>
              </w:rPr>
              <w:t>CEO</w:t>
            </w:r>
          </w:p>
        </w:tc>
        <w:tc>
          <w:tcPr>
            <w:cnfStyle w:val="000010000000" w:firstRow="0" w:lastRow="0" w:firstColumn="0" w:lastColumn="0" w:oddVBand="1" w:evenVBand="0" w:oddHBand="0" w:evenHBand="0" w:firstRowFirstColumn="0" w:firstRowLastColumn="0" w:lastRowFirstColumn="0" w:lastRowLastColumn="0"/>
            <w:tcW w:w="2836" w:type="dxa"/>
            <w:vAlign w:val="center"/>
          </w:tcPr>
          <w:p w14:paraId="589823B5" w14:textId="77777777" w:rsidR="0027397A" w:rsidRPr="00F84762" w:rsidRDefault="0027397A" w:rsidP="008A00BC">
            <w:pPr>
              <w:spacing w:before="40" w:after="40"/>
              <w:rPr>
                <w:color w:val="1C1C1C"/>
                <w:sz w:val="16"/>
                <w:szCs w:val="16"/>
              </w:rPr>
            </w:pPr>
            <w:r w:rsidRPr="00F84762">
              <w:rPr>
                <w:rFonts w:eastAsia="Arial"/>
                <w:kern w:val="24"/>
                <w:sz w:val="16"/>
                <w:szCs w:val="16"/>
              </w:rPr>
              <w:t>Final sign off by the CFO and DQS by CEO</w:t>
            </w:r>
          </w:p>
        </w:tc>
      </w:tr>
    </w:tbl>
    <w:p w14:paraId="2B284EC2" w14:textId="77777777" w:rsidR="00D35B4F" w:rsidRDefault="00D35B4F" w:rsidP="006F5881"/>
    <w:p w14:paraId="00E4EDE3" w14:textId="77777777" w:rsidR="00D35B4F" w:rsidRDefault="00D35B4F" w:rsidP="006F5881">
      <w:pPr>
        <w:sectPr w:rsidR="00D35B4F" w:rsidSect="00134C06">
          <w:pgSz w:w="16838" w:h="11906" w:orient="landscape" w:code="9"/>
          <w:pgMar w:top="1080" w:right="1440" w:bottom="1080" w:left="1440" w:header="708" w:footer="708" w:gutter="0"/>
          <w:cols w:space="708"/>
          <w:docGrid w:linePitch="360"/>
        </w:sectPr>
      </w:pPr>
    </w:p>
    <w:p w14:paraId="51416087" w14:textId="6FC710E9" w:rsidR="00116285" w:rsidRPr="00E96C8D" w:rsidRDefault="00116285" w:rsidP="00C21C5B">
      <w:pPr>
        <w:pStyle w:val="Heading1"/>
      </w:pPr>
      <w:bookmarkStart w:id="13" w:name="_Toc157602329"/>
      <w:bookmarkStart w:id="14" w:name="_Toc157602330"/>
      <w:bookmarkStart w:id="15" w:name="_Toc157602331"/>
      <w:bookmarkStart w:id="16" w:name="_Toc157602332"/>
      <w:bookmarkStart w:id="17" w:name="_Toc157602333"/>
      <w:bookmarkStart w:id="18" w:name="_Toc157602334"/>
      <w:bookmarkStart w:id="19" w:name="_Toc157602347"/>
      <w:bookmarkStart w:id="20" w:name="_Toc153890152"/>
      <w:bookmarkStart w:id="21" w:name="_Toc157776703"/>
      <w:bookmarkStart w:id="22" w:name="_Toc153890146"/>
      <w:bookmarkEnd w:id="13"/>
      <w:bookmarkEnd w:id="14"/>
      <w:bookmarkEnd w:id="15"/>
      <w:bookmarkEnd w:id="16"/>
      <w:bookmarkEnd w:id="17"/>
      <w:bookmarkEnd w:id="18"/>
      <w:bookmarkEnd w:id="19"/>
      <w:r w:rsidRPr="00E96C8D">
        <w:lastRenderedPageBreak/>
        <w:t>New South Wales</w:t>
      </w:r>
      <w:bookmarkEnd w:id="20"/>
      <w:bookmarkEnd w:id="21"/>
    </w:p>
    <w:p w14:paraId="6AE23482" w14:textId="77777777" w:rsidR="00040E21" w:rsidRDefault="00040E21" w:rsidP="003C21B3">
      <w:pPr>
        <w:pStyle w:val="Heading2"/>
      </w:pPr>
      <w:r>
        <w:t>Summary</w:t>
      </w:r>
    </w:p>
    <w:p w14:paraId="592E6B4D" w14:textId="61136EDC" w:rsidR="00F613B6" w:rsidRDefault="00B329EF" w:rsidP="003C5072">
      <w:pPr>
        <w:rPr>
          <w:color w:val="auto"/>
        </w:rPr>
      </w:pPr>
      <w:r>
        <w:rPr>
          <w:color w:val="auto"/>
        </w:rPr>
        <w:t>New South Wales</w:t>
      </w:r>
      <w:r w:rsidR="00BC2A62">
        <w:rPr>
          <w:color w:val="auto"/>
        </w:rPr>
        <w:t xml:space="preserve"> (NSW)</w:t>
      </w:r>
      <w:r>
        <w:rPr>
          <w:color w:val="auto"/>
        </w:rPr>
        <w:t xml:space="preserve"> </w:t>
      </w:r>
      <w:r w:rsidR="004850D5">
        <w:rPr>
          <w:color w:val="auto"/>
        </w:rPr>
        <w:t>submitted cost data from 139 hospitals</w:t>
      </w:r>
      <w:r w:rsidR="00F55D89">
        <w:rPr>
          <w:color w:val="auto"/>
        </w:rPr>
        <w:t xml:space="preserve"> (including health services)</w:t>
      </w:r>
      <w:r w:rsidR="002605D4">
        <w:rPr>
          <w:color w:val="auto"/>
        </w:rPr>
        <w:t xml:space="preserve"> across 16 local health districts (LHDs) and </w:t>
      </w:r>
      <w:r w:rsidR="00ED2B78">
        <w:rPr>
          <w:color w:val="auto"/>
        </w:rPr>
        <w:t>2</w:t>
      </w:r>
      <w:r w:rsidR="00DB5220">
        <w:rPr>
          <w:color w:val="auto"/>
        </w:rPr>
        <w:t xml:space="preserve"> </w:t>
      </w:r>
      <w:r w:rsidR="002605D4">
        <w:rPr>
          <w:color w:val="auto"/>
        </w:rPr>
        <w:t>speciality health networks</w:t>
      </w:r>
      <w:r w:rsidR="00F55D89">
        <w:rPr>
          <w:color w:val="auto"/>
        </w:rPr>
        <w:t xml:space="preserve"> </w:t>
      </w:r>
      <w:r w:rsidR="004850D5">
        <w:rPr>
          <w:color w:val="auto"/>
        </w:rPr>
        <w:t>with 14.2 million records and</w:t>
      </w:r>
      <w:r w:rsidR="00FD6D28">
        <w:rPr>
          <w:color w:val="auto"/>
        </w:rPr>
        <w:t xml:space="preserve"> a cost of</w:t>
      </w:r>
      <w:r w:rsidR="004850D5">
        <w:rPr>
          <w:color w:val="auto"/>
        </w:rPr>
        <w:t xml:space="preserve"> </w:t>
      </w:r>
      <w:r w:rsidR="003C5072">
        <w:rPr>
          <w:color w:val="auto"/>
        </w:rPr>
        <w:t>$17.7 billion in 2021-22</w:t>
      </w:r>
      <w:r w:rsidR="00A7601A">
        <w:rPr>
          <w:color w:val="auto"/>
        </w:rPr>
        <w:t xml:space="preserve">, </w:t>
      </w:r>
      <w:r w:rsidR="007161AB">
        <w:rPr>
          <w:color w:val="auto"/>
        </w:rPr>
        <w:t xml:space="preserve">excluding </w:t>
      </w:r>
      <w:r w:rsidR="00A7601A" w:rsidRPr="00A7601A">
        <w:rPr>
          <w:color w:val="auto"/>
        </w:rPr>
        <w:t xml:space="preserve">Pharmaceuticals Benefits Scheme </w:t>
      </w:r>
      <w:r w:rsidR="00A7601A">
        <w:rPr>
          <w:color w:val="auto"/>
        </w:rPr>
        <w:t xml:space="preserve">costs. </w:t>
      </w:r>
      <w:r w:rsidR="00D86953">
        <w:rPr>
          <w:color w:val="auto"/>
        </w:rPr>
        <w:t xml:space="preserve">IHACPA </w:t>
      </w:r>
      <w:r w:rsidR="00CD48C3">
        <w:rPr>
          <w:color w:val="auto"/>
        </w:rPr>
        <w:t>consulted</w:t>
      </w:r>
      <w:r w:rsidR="00D86953">
        <w:rPr>
          <w:color w:val="auto"/>
        </w:rPr>
        <w:t xml:space="preserve"> </w:t>
      </w:r>
      <w:r w:rsidR="00BC2A62">
        <w:rPr>
          <w:color w:val="auto"/>
        </w:rPr>
        <w:t>NSW</w:t>
      </w:r>
      <w:r w:rsidR="00D86953">
        <w:rPr>
          <w:color w:val="auto"/>
        </w:rPr>
        <w:t xml:space="preserve"> to </w:t>
      </w:r>
      <w:r w:rsidR="00D86953" w:rsidRPr="00D86953">
        <w:rPr>
          <w:color w:val="auto"/>
        </w:rPr>
        <w:t xml:space="preserve">confirm </w:t>
      </w:r>
      <w:r w:rsidR="00CD48C3">
        <w:rPr>
          <w:color w:val="auto"/>
        </w:rPr>
        <w:t>the</w:t>
      </w:r>
      <w:r w:rsidR="00400163">
        <w:rPr>
          <w:color w:val="auto"/>
        </w:rPr>
        <w:t xml:space="preserve"> Standards</w:t>
      </w:r>
      <w:r w:rsidR="006943E3">
        <w:rPr>
          <w:color w:val="auto"/>
        </w:rPr>
        <w:t xml:space="preserve"> </w:t>
      </w:r>
      <w:r w:rsidR="00CD48C3">
        <w:rPr>
          <w:color w:val="auto"/>
        </w:rPr>
        <w:t xml:space="preserve">were correctly applied </w:t>
      </w:r>
      <w:r w:rsidR="006943E3">
        <w:rPr>
          <w:color w:val="auto"/>
        </w:rPr>
        <w:t>and review</w:t>
      </w:r>
      <w:r w:rsidR="00CF40CC">
        <w:rPr>
          <w:color w:val="auto"/>
        </w:rPr>
        <w:t>ed</w:t>
      </w:r>
      <w:r w:rsidR="006943E3">
        <w:rPr>
          <w:color w:val="auto"/>
        </w:rPr>
        <w:t xml:space="preserve"> any exceptions.</w:t>
      </w:r>
      <w:r w:rsidR="002605D4">
        <w:rPr>
          <w:color w:val="auto"/>
        </w:rPr>
        <w:t xml:space="preserve"> </w:t>
      </w:r>
      <w:r w:rsidR="006943E3" w:rsidRPr="003852E3">
        <w:rPr>
          <w:color w:val="auto"/>
        </w:rPr>
        <w:t>The bilateral meeting also</w:t>
      </w:r>
      <w:r w:rsidR="00C63D38" w:rsidRPr="003852E3">
        <w:rPr>
          <w:color w:val="auto"/>
        </w:rPr>
        <w:t xml:space="preserve"> </w:t>
      </w:r>
      <w:r w:rsidR="002605D4" w:rsidRPr="003852E3">
        <w:rPr>
          <w:color w:val="auto"/>
        </w:rPr>
        <w:t xml:space="preserve">included a discussion on the </w:t>
      </w:r>
      <w:r w:rsidR="00DA5576" w:rsidRPr="003852E3">
        <w:rPr>
          <w:color w:val="auto"/>
        </w:rPr>
        <w:t>fu</w:t>
      </w:r>
      <w:r w:rsidR="00D86953" w:rsidRPr="003852E3">
        <w:rPr>
          <w:color w:val="auto"/>
        </w:rPr>
        <w:t>ture</w:t>
      </w:r>
      <w:r w:rsidR="00DA5576" w:rsidRPr="003852E3">
        <w:rPr>
          <w:color w:val="auto"/>
        </w:rPr>
        <w:t xml:space="preserve"> of the</w:t>
      </w:r>
      <w:r w:rsidR="00D86953" w:rsidRPr="003852E3">
        <w:rPr>
          <w:color w:val="auto"/>
        </w:rPr>
        <w:t xml:space="preserve"> independent financial review</w:t>
      </w:r>
      <w:r w:rsidR="00DA5576" w:rsidRPr="003852E3">
        <w:rPr>
          <w:color w:val="auto"/>
        </w:rPr>
        <w:t>.</w:t>
      </w:r>
    </w:p>
    <w:p w14:paraId="4AB9AEF8" w14:textId="0A2CA8E2" w:rsidR="00C40FF9" w:rsidRPr="000B0846" w:rsidRDefault="00C40FF9" w:rsidP="00561820">
      <w:pPr>
        <w:rPr>
          <w:color w:val="auto"/>
        </w:rPr>
      </w:pPr>
      <w:r w:rsidRPr="044FA469">
        <w:rPr>
          <w:color w:val="auto"/>
        </w:rPr>
        <w:t xml:space="preserve">The review of </w:t>
      </w:r>
      <w:r w:rsidR="00BC2A62">
        <w:rPr>
          <w:color w:val="auto"/>
        </w:rPr>
        <w:t xml:space="preserve">NSW’s </w:t>
      </w:r>
      <w:r w:rsidR="00CC50F8" w:rsidRPr="044FA469">
        <w:rPr>
          <w:color w:val="auto"/>
        </w:rPr>
        <w:t>costing,</w:t>
      </w:r>
      <w:r w:rsidRPr="044FA469">
        <w:rPr>
          <w:color w:val="auto"/>
        </w:rPr>
        <w:t xml:space="preserve"> and governance processes indicated</w:t>
      </w:r>
      <w:r w:rsidR="00FF18AE">
        <w:t xml:space="preserve"> </w:t>
      </w:r>
      <w:r w:rsidR="00FF18AE" w:rsidRPr="044FA469">
        <w:rPr>
          <w:color w:val="auto"/>
        </w:rPr>
        <w:t>a technical and robust approach to hospital costing</w:t>
      </w:r>
      <w:r w:rsidR="00F05BB5" w:rsidRPr="044FA469">
        <w:rPr>
          <w:color w:val="auto"/>
        </w:rPr>
        <w:t xml:space="preserve">, </w:t>
      </w:r>
      <w:r w:rsidR="00552FE0" w:rsidRPr="044FA469">
        <w:rPr>
          <w:color w:val="auto"/>
        </w:rPr>
        <w:t xml:space="preserve">applied </w:t>
      </w:r>
      <w:r w:rsidR="00FF18AE" w:rsidRPr="044FA469">
        <w:rPr>
          <w:color w:val="auto"/>
        </w:rPr>
        <w:t xml:space="preserve">consistently across </w:t>
      </w:r>
      <w:r w:rsidR="00F05BB5" w:rsidRPr="044FA469">
        <w:rPr>
          <w:color w:val="auto"/>
        </w:rPr>
        <w:t>the state</w:t>
      </w:r>
      <w:r w:rsidR="00A2042B" w:rsidRPr="044FA469">
        <w:rPr>
          <w:color w:val="auto"/>
        </w:rPr>
        <w:t xml:space="preserve">. The </w:t>
      </w:r>
      <w:r w:rsidR="00FF18AE" w:rsidRPr="044FA469">
        <w:rPr>
          <w:color w:val="auto"/>
        </w:rPr>
        <w:t>governance and quality assurance processes</w:t>
      </w:r>
      <w:r w:rsidR="002B27BC" w:rsidRPr="044FA469">
        <w:rPr>
          <w:color w:val="auto"/>
        </w:rPr>
        <w:t xml:space="preserve"> were</w:t>
      </w:r>
      <w:r w:rsidR="00A2042B" w:rsidRPr="044FA469">
        <w:rPr>
          <w:color w:val="auto"/>
        </w:rPr>
        <w:t xml:space="preserve"> highly developed, </w:t>
      </w:r>
      <w:r w:rsidR="009A1F6D">
        <w:rPr>
          <w:color w:val="auto"/>
        </w:rPr>
        <w:t>supporting</w:t>
      </w:r>
      <w:r w:rsidR="00FF18AE" w:rsidRPr="044FA469">
        <w:rPr>
          <w:color w:val="auto"/>
        </w:rPr>
        <w:t xml:space="preserve"> costing activities.</w:t>
      </w:r>
      <w:r w:rsidRPr="044FA469">
        <w:rPr>
          <w:color w:val="auto"/>
        </w:rPr>
        <w:t xml:space="preserve"> </w:t>
      </w:r>
      <w:r w:rsidR="00FF18AE" w:rsidRPr="044FA469">
        <w:rPr>
          <w:color w:val="auto"/>
        </w:rPr>
        <w:t>T</w:t>
      </w:r>
      <w:r w:rsidR="00561820" w:rsidRPr="044FA469">
        <w:rPr>
          <w:color w:val="auto"/>
        </w:rPr>
        <w:t>he quality of reported data and current practices of assigning costs is robust, including the linking of intermediate products and identification of contracted care. There is a well-established method of allocating costs to patients</w:t>
      </w:r>
      <w:r w:rsidR="00A7601A">
        <w:rPr>
          <w:color w:val="auto"/>
        </w:rPr>
        <w:t xml:space="preserve"> (e.g., </w:t>
      </w:r>
      <w:r w:rsidR="00561820" w:rsidRPr="044FA469">
        <w:rPr>
          <w:color w:val="auto"/>
        </w:rPr>
        <w:t>third-party costs</w:t>
      </w:r>
      <w:r w:rsidR="00A7601A">
        <w:rPr>
          <w:color w:val="auto"/>
        </w:rPr>
        <w:t>)</w:t>
      </w:r>
      <w:r w:rsidR="00561820" w:rsidRPr="044FA469">
        <w:rPr>
          <w:color w:val="auto"/>
        </w:rPr>
        <w:t xml:space="preserve"> and</w:t>
      </w:r>
      <w:r w:rsidR="00A7601A">
        <w:rPr>
          <w:color w:val="auto"/>
        </w:rPr>
        <w:t xml:space="preserve"> ensuring </w:t>
      </w:r>
      <w:r w:rsidR="00561820" w:rsidRPr="044FA469">
        <w:rPr>
          <w:color w:val="auto"/>
        </w:rPr>
        <w:t>any discrepancies are rectified.</w:t>
      </w:r>
    </w:p>
    <w:p w14:paraId="1AAD56DB" w14:textId="248A59E3" w:rsidR="00427166" w:rsidRDefault="00D35B4F" w:rsidP="00652075">
      <w:pPr>
        <w:rPr>
          <w:color w:val="auto"/>
        </w:rPr>
      </w:pPr>
      <w:r>
        <w:rPr>
          <w:color w:val="auto"/>
        </w:rPr>
        <w:t>NSW</w:t>
      </w:r>
      <w:r w:rsidR="00561820" w:rsidRPr="000B0846">
        <w:rPr>
          <w:color w:val="auto"/>
        </w:rPr>
        <w:t xml:space="preserve"> LHNs utilise the same costing system and level of service data</w:t>
      </w:r>
      <w:r w:rsidR="002C50AE">
        <w:rPr>
          <w:color w:val="auto"/>
        </w:rPr>
        <w:t xml:space="preserve"> across all sites</w:t>
      </w:r>
      <w:r w:rsidR="00561820" w:rsidRPr="000B0846">
        <w:rPr>
          <w:color w:val="auto"/>
        </w:rPr>
        <w:t xml:space="preserve">. Additionally, </w:t>
      </w:r>
      <w:r w:rsidR="005C14B6" w:rsidRPr="000B0846">
        <w:rPr>
          <w:color w:val="auto"/>
        </w:rPr>
        <w:t xml:space="preserve">standardised tools, activity data extracts, and data quality checks underpin a rigorous review process with all costs </w:t>
      </w:r>
      <w:r w:rsidR="00FA06C6">
        <w:rPr>
          <w:color w:val="auto"/>
        </w:rPr>
        <w:t xml:space="preserve">included in the </w:t>
      </w:r>
      <w:r w:rsidR="00A32613">
        <w:rPr>
          <w:color w:val="auto"/>
        </w:rPr>
        <w:t>g</w:t>
      </w:r>
      <w:r w:rsidR="00FA06C6">
        <w:rPr>
          <w:color w:val="auto"/>
        </w:rPr>
        <w:t>eneral</w:t>
      </w:r>
      <w:r w:rsidR="00A32613">
        <w:rPr>
          <w:color w:val="auto"/>
        </w:rPr>
        <w:t xml:space="preserve"> l</w:t>
      </w:r>
      <w:r w:rsidR="00FA06C6">
        <w:rPr>
          <w:color w:val="auto"/>
        </w:rPr>
        <w:t xml:space="preserve">edger </w:t>
      </w:r>
      <w:r w:rsidR="002C50AE">
        <w:rPr>
          <w:color w:val="auto"/>
        </w:rPr>
        <w:t>allocated</w:t>
      </w:r>
      <w:r w:rsidR="005C14B6" w:rsidRPr="000B0846">
        <w:rPr>
          <w:color w:val="auto"/>
        </w:rPr>
        <w:t>.</w:t>
      </w:r>
      <w:bookmarkStart w:id="23" w:name="_Toc153890153"/>
    </w:p>
    <w:p w14:paraId="4DD31BA0" w14:textId="44F15D8A" w:rsidR="00116285" w:rsidRPr="00E96C8D" w:rsidRDefault="00C30F4C" w:rsidP="003C21B3">
      <w:pPr>
        <w:pStyle w:val="Heading2"/>
      </w:pPr>
      <w:r w:rsidRPr="00B50E0F">
        <w:t>Australian Hospital Patient Costing Standards</w:t>
      </w:r>
      <w:bookmarkEnd w:id="23"/>
    </w:p>
    <w:p w14:paraId="0A45E763" w14:textId="07E7D0D3" w:rsidR="00116285" w:rsidRPr="00E96C8D" w:rsidRDefault="00116285" w:rsidP="00116285">
      <w:pPr>
        <w:pStyle w:val="Heading3"/>
      </w:pPr>
      <w:r w:rsidRPr="00E96C8D">
        <w:t>Stage 1 – Identify Relevant Expenses</w:t>
      </w:r>
    </w:p>
    <w:p w14:paraId="184F9A17" w14:textId="0BE5E0F6" w:rsidR="00F977E4" w:rsidRPr="00E14BFC" w:rsidRDefault="00F74F65" w:rsidP="009A081A">
      <w:pPr>
        <w:rPr>
          <w:color w:val="auto"/>
        </w:rPr>
      </w:pPr>
      <w:bookmarkStart w:id="24" w:name="_Hlk157580513"/>
      <w:r w:rsidRPr="00E14BFC">
        <w:rPr>
          <w:color w:val="auto"/>
        </w:rPr>
        <w:t xml:space="preserve">NSW </w:t>
      </w:r>
      <w:r w:rsidR="009A081A" w:rsidRPr="00E14BFC">
        <w:rPr>
          <w:color w:val="auto"/>
        </w:rPr>
        <w:t xml:space="preserve">reported full compliance with the standards in Stage 1 – </w:t>
      </w:r>
      <w:r w:rsidR="002C50AE" w:rsidRPr="00E14BFC">
        <w:rPr>
          <w:color w:val="auto"/>
        </w:rPr>
        <w:t xml:space="preserve">identify </w:t>
      </w:r>
      <w:r w:rsidR="009A081A" w:rsidRPr="00E14BFC">
        <w:rPr>
          <w:color w:val="auto"/>
        </w:rPr>
        <w:t>relevant expenses</w:t>
      </w:r>
      <w:r w:rsidR="00A7601A" w:rsidRPr="00E14BFC">
        <w:rPr>
          <w:color w:val="auto"/>
        </w:rPr>
        <w:t>,</w:t>
      </w:r>
      <w:r w:rsidR="009A081A" w:rsidRPr="00E14BFC">
        <w:rPr>
          <w:color w:val="auto"/>
        </w:rPr>
        <w:t xml:space="preserve"> except for Standard 1.2 – the identification of third-party expenses. NSW partially complied with </w:t>
      </w:r>
      <w:r w:rsidR="002C50AE" w:rsidRPr="00E14BFC">
        <w:rPr>
          <w:color w:val="auto"/>
        </w:rPr>
        <w:t>S</w:t>
      </w:r>
      <w:r w:rsidR="009A081A" w:rsidRPr="00E14BFC">
        <w:rPr>
          <w:color w:val="auto"/>
        </w:rPr>
        <w:t xml:space="preserve">tandard 1.2 as while most </w:t>
      </w:r>
      <w:r w:rsidR="00A7601A" w:rsidRPr="00E14BFC">
        <w:rPr>
          <w:color w:val="auto"/>
        </w:rPr>
        <w:t>third-party</w:t>
      </w:r>
      <w:r w:rsidR="009A081A" w:rsidRPr="00E14BFC">
        <w:rPr>
          <w:color w:val="auto"/>
        </w:rPr>
        <w:t xml:space="preserve"> expenses are included in the cost ledger, there are costs that are held in trust accounts (e.g., private patients costs) </w:t>
      </w:r>
      <w:r w:rsidR="009A081A" w:rsidRPr="00A8672B">
        <w:rPr>
          <w:color w:val="auto"/>
        </w:rPr>
        <w:t xml:space="preserve">and centrally (e.g., pathology) </w:t>
      </w:r>
      <w:r w:rsidR="00A7601A" w:rsidRPr="00A8672B">
        <w:rPr>
          <w:color w:val="auto"/>
        </w:rPr>
        <w:t>that</w:t>
      </w:r>
      <w:r w:rsidR="009A081A" w:rsidRPr="00A8672B">
        <w:rPr>
          <w:color w:val="auto"/>
        </w:rPr>
        <w:t xml:space="preserve"> are not included in the </w:t>
      </w:r>
      <w:r w:rsidR="00A32613" w:rsidRPr="00A8672B">
        <w:rPr>
          <w:color w:val="auto"/>
        </w:rPr>
        <w:t xml:space="preserve">general and </w:t>
      </w:r>
      <w:r w:rsidR="009A081A" w:rsidRPr="00A8672B">
        <w:rPr>
          <w:color w:val="auto"/>
        </w:rPr>
        <w:t>cost ledger</w:t>
      </w:r>
      <w:r w:rsidR="00D11BC6" w:rsidRPr="00A8672B">
        <w:rPr>
          <w:color w:val="auto"/>
        </w:rPr>
        <w:t xml:space="preserve"> and not included in the annual statements</w:t>
      </w:r>
      <w:r w:rsidR="009A081A" w:rsidRPr="00E14BFC">
        <w:rPr>
          <w:color w:val="auto"/>
        </w:rPr>
        <w:t>.</w:t>
      </w:r>
      <w:bookmarkEnd w:id="24"/>
      <w:r w:rsidR="009A081A" w:rsidRPr="00E14BFC">
        <w:rPr>
          <w:color w:val="auto"/>
        </w:rPr>
        <w:t xml:space="preserve"> Costs that are held centrally </w:t>
      </w:r>
      <w:r w:rsidR="00370D44" w:rsidRPr="00E14BFC">
        <w:rPr>
          <w:color w:val="auto"/>
        </w:rPr>
        <w:t>are</w:t>
      </w:r>
      <w:r w:rsidR="009A081A" w:rsidRPr="00E14BFC">
        <w:rPr>
          <w:color w:val="auto"/>
        </w:rPr>
        <w:t xml:space="preserve"> not allocated to the respective </w:t>
      </w:r>
      <w:r w:rsidR="00A7601A" w:rsidRPr="00E14BFC">
        <w:rPr>
          <w:color w:val="auto"/>
        </w:rPr>
        <w:t>local health district (LHD)</w:t>
      </w:r>
      <w:r w:rsidR="009A081A" w:rsidRPr="00E14BFC">
        <w:rPr>
          <w:color w:val="auto"/>
        </w:rPr>
        <w:t xml:space="preserve">. For example, </w:t>
      </w:r>
      <w:r w:rsidR="00407D4B" w:rsidRPr="00E14BFC">
        <w:rPr>
          <w:color w:val="auto"/>
        </w:rPr>
        <w:t xml:space="preserve">income through </w:t>
      </w:r>
      <w:r w:rsidR="009A081A" w:rsidRPr="00E14BFC">
        <w:rPr>
          <w:color w:val="auto"/>
        </w:rPr>
        <w:t xml:space="preserve">Medicare Benefit Scheme (MBS) </w:t>
      </w:r>
      <w:r w:rsidR="00407D4B" w:rsidRPr="00E14BFC">
        <w:rPr>
          <w:color w:val="auto"/>
        </w:rPr>
        <w:t xml:space="preserve">claims made when treating private patients </w:t>
      </w:r>
      <w:r w:rsidR="009A081A" w:rsidRPr="00E14BFC">
        <w:rPr>
          <w:color w:val="auto"/>
        </w:rPr>
        <w:t>are held in trust accounts and are excluded from the audited financial statement</w:t>
      </w:r>
      <w:r w:rsidR="00D11BC6">
        <w:rPr>
          <w:color w:val="auto"/>
        </w:rPr>
        <w:t xml:space="preserve"> and are not included in the NHCDC</w:t>
      </w:r>
      <w:r w:rsidR="009A081A" w:rsidRPr="00E14BFC">
        <w:rPr>
          <w:color w:val="auto"/>
        </w:rPr>
        <w:t>.</w:t>
      </w:r>
      <w:r w:rsidR="00A7601A" w:rsidRPr="00E14BFC">
        <w:rPr>
          <w:color w:val="auto"/>
        </w:rPr>
        <w:t xml:space="preserve"> The LHDs review the cost data submitted by hospitals to </w:t>
      </w:r>
      <w:r w:rsidR="00F977E4" w:rsidRPr="00E14BFC">
        <w:rPr>
          <w:color w:val="auto"/>
        </w:rPr>
        <w:t>determine whether they comply with the Standards and exclude any data that does not comply.</w:t>
      </w:r>
    </w:p>
    <w:p w14:paraId="69B63114" w14:textId="6E579F58" w:rsidR="00116285" w:rsidRPr="00E14BFC" w:rsidRDefault="00F977E4" w:rsidP="00652075">
      <w:pPr>
        <w:rPr>
          <w:color w:val="auto"/>
        </w:rPr>
      </w:pPr>
      <w:r w:rsidRPr="00E14BFC">
        <w:rPr>
          <w:color w:val="auto"/>
        </w:rPr>
        <w:t xml:space="preserve">Contracted </w:t>
      </w:r>
      <w:r w:rsidRPr="008819E2">
        <w:rPr>
          <w:color w:val="auto"/>
        </w:rPr>
        <w:t xml:space="preserve">care costs are allocated to the health entity that </w:t>
      </w:r>
      <w:r w:rsidR="00F5488D">
        <w:rPr>
          <w:color w:val="auto"/>
        </w:rPr>
        <w:t xml:space="preserve">contracted </w:t>
      </w:r>
      <w:r w:rsidR="0048274D" w:rsidRPr="008819E2">
        <w:rPr>
          <w:color w:val="auto"/>
        </w:rPr>
        <w:t xml:space="preserve">the service. The cost for the service is invoiced to the contracting health entity </w:t>
      </w:r>
      <w:r w:rsidRPr="008819E2">
        <w:rPr>
          <w:color w:val="auto"/>
        </w:rPr>
        <w:t>under the goods and services line item</w:t>
      </w:r>
      <w:r w:rsidR="0048274D" w:rsidRPr="008819E2">
        <w:rPr>
          <w:color w:val="auto"/>
        </w:rPr>
        <w:t>,</w:t>
      </w:r>
      <w:r w:rsidRPr="008819E2">
        <w:rPr>
          <w:color w:val="auto"/>
        </w:rPr>
        <w:t xml:space="preserve"> rather than the line item related to the service provided</w:t>
      </w:r>
      <w:r w:rsidRPr="00E14BFC">
        <w:rPr>
          <w:color w:val="auto"/>
        </w:rPr>
        <w:t>.</w:t>
      </w:r>
    </w:p>
    <w:p w14:paraId="0D85B0AC" w14:textId="6EB43EAA" w:rsidR="00116285" w:rsidRPr="00E96C8D" w:rsidRDefault="00116285" w:rsidP="00116285">
      <w:pPr>
        <w:pStyle w:val="Heading3"/>
      </w:pPr>
      <w:r w:rsidRPr="00E96C8D">
        <w:t xml:space="preserve">Stage 2 </w:t>
      </w:r>
      <w:r w:rsidR="0027397A">
        <w:t>and</w:t>
      </w:r>
      <w:r w:rsidRPr="00E96C8D">
        <w:t xml:space="preserve"> 3 </w:t>
      </w:r>
      <w:r w:rsidR="009A081A">
        <w:t>–</w:t>
      </w:r>
      <w:r w:rsidRPr="00E96C8D">
        <w:t xml:space="preserve"> Create the Cost Ledger and Create Final Cost Centres</w:t>
      </w:r>
    </w:p>
    <w:p w14:paraId="08085F54" w14:textId="06B56A66" w:rsidR="00F977E4" w:rsidRPr="00E14BFC" w:rsidRDefault="00F977E4" w:rsidP="003F1E43">
      <w:pPr>
        <w:rPr>
          <w:color w:val="auto"/>
        </w:rPr>
      </w:pPr>
      <w:bookmarkStart w:id="25" w:name="_Hlk157580546"/>
      <w:r w:rsidRPr="00E14BFC">
        <w:rPr>
          <w:color w:val="auto"/>
        </w:rPr>
        <w:t xml:space="preserve">NSW </w:t>
      </w:r>
      <w:r w:rsidR="00514395" w:rsidRPr="00E14BFC">
        <w:rPr>
          <w:color w:val="auto"/>
        </w:rPr>
        <w:t xml:space="preserve">reported partial compliance with </w:t>
      </w:r>
      <w:r w:rsidR="00D94220" w:rsidRPr="00E14BFC">
        <w:rPr>
          <w:color w:val="auto"/>
        </w:rPr>
        <w:t>Standards 2.1 and 2.2</w:t>
      </w:r>
      <w:r w:rsidRPr="00E14BFC">
        <w:rPr>
          <w:color w:val="auto"/>
        </w:rPr>
        <w:t xml:space="preserve"> – the</w:t>
      </w:r>
      <w:r w:rsidR="00D94220" w:rsidRPr="00E14BFC">
        <w:rPr>
          <w:color w:val="auto"/>
        </w:rPr>
        <w:t xml:space="preserve"> </w:t>
      </w:r>
      <w:r w:rsidR="000038C5" w:rsidRPr="00E14BFC">
        <w:rPr>
          <w:color w:val="auto"/>
        </w:rPr>
        <w:t xml:space="preserve">cost ledger framework and matching cost objects and expenses. </w:t>
      </w:r>
      <w:bookmarkEnd w:id="25"/>
      <w:r w:rsidR="002E7DA5" w:rsidRPr="00E14BFC">
        <w:rPr>
          <w:color w:val="auto"/>
        </w:rPr>
        <w:t>V</w:t>
      </w:r>
      <w:r w:rsidR="004B0336" w:rsidRPr="00E14BFC">
        <w:rPr>
          <w:color w:val="auto"/>
        </w:rPr>
        <w:t>ariation</w:t>
      </w:r>
      <w:r w:rsidR="0029579E" w:rsidRPr="00E14BFC">
        <w:rPr>
          <w:color w:val="auto"/>
        </w:rPr>
        <w:t xml:space="preserve"> in</w:t>
      </w:r>
      <w:r w:rsidR="004B0336" w:rsidRPr="00E14BFC">
        <w:rPr>
          <w:color w:val="auto"/>
        </w:rPr>
        <w:t xml:space="preserve"> </w:t>
      </w:r>
      <w:r w:rsidR="0067614F" w:rsidRPr="00E14BFC">
        <w:rPr>
          <w:color w:val="auto"/>
        </w:rPr>
        <w:t xml:space="preserve">the </w:t>
      </w:r>
      <w:r w:rsidR="004B0336" w:rsidRPr="00E14BFC">
        <w:rPr>
          <w:color w:val="auto"/>
        </w:rPr>
        <w:t xml:space="preserve">level of </w:t>
      </w:r>
      <w:r w:rsidR="0067614F" w:rsidRPr="00E14BFC">
        <w:rPr>
          <w:color w:val="auto"/>
        </w:rPr>
        <w:t xml:space="preserve">service data available across LHNs </w:t>
      </w:r>
      <w:r w:rsidR="0067614F" w:rsidRPr="00E14BFC">
        <w:rPr>
          <w:color w:val="auto"/>
        </w:rPr>
        <w:lastRenderedPageBreak/>
        <w:t xml:space="preserve">limits the ability to </w:t>
      </w:r>
      <w:r w:rsidR="0029579E" w:rsidRPr="00E14BFC">
        <w:rPr>
          <w:color w:val="auto"/>
        </w:rPr>
        <w:t>achieve</w:t>
      </w:r>
      <w:r w:rsidR="0067614F" w:rsidRPr="00E14BFC">
        <w:rPr>
          <w:color w:val="auto"/>
        </w:rPr>
        <w:t xml:space="preserve"> full compliance with </w:t>
      </w:r>
      <w:r w:rsidR="00E036B8" w:rsidRPr="00E14BFC">
        <w:rPr>
          <w:color w:val="auto"/>
        </w:rPr>
        <w:t xml:space="preserve">requirements </w:t>
      </w:r>
      <w:r w:rsidR="00E762B5" w:rsidRPr="00E14BFC">
        <w:rPr>
          <w:color w:val="auto"/>
        </w:rPr>
        <w:t>relating to object and expense matching</w:t>
      </w:r>
      <w:r w:rsidR="00FA0215" w:rsidRPr="00E14BFC">
        <w:rPr>
          <w:color w:val="auto"/>
        </w:rPr>
        <w:t>.</w:t>
      </w:r>
    </w:p>
    <w:p w14:paraId="7CD5CEB4" w14:textId="78BF7C6E" w:rsidR="00A45A9D" w:rsidRPr="00E14BFC" w:rsidRDefault="00F977E4" w:rsidP="00652075">
      <w:pPr>
        <w:rPr>
          <w:color w:val="auto"/>
        </w:rPr>
      </w:pPr>
      <w:r w:rsidRPr="00E14BFC">
        <w:rPr>
          <w:color w:val="auto"/>
        </w:rPr>
        <w:t xml:space="preserve">NSW reported partial </w:t>
      </w:r>
      <w:r w:rsidR="00D65D9F" w:rsidRPr="00E14BFC">
        <w:rPr>
          <w:color w:val="auto"/>
        </w:rPr>
        <w:t>compliance with Standard 3.2</w:t>
      </w:r>
      <w:r w:rsidRPr="00E14BFC">
        <w:rPr>
          <w:color w:val="auto"/>
        </w:rPr>
        <w:t xml:space="preserve"> – the allocation of expenses in overhead cost centres. This was due to </w:t>
      </w:r>
      <w:r w:rsidR="002E7DA5" w:rsidRPr="00E14BFC">
        <w:rPr>
          <w:color w:val="auto"/>
        </w:rPr>
        <w:t>the</w:t>
      </w:r>
      <w:r w:rsidR="00F90ED1" w:rsidRPr="00E14BFC">
        <w:rPr>
          <w:color w:val="auto"/>
        </w:rPr>
        <w:t xml:space="preserve"> limited a</w:t>
      </w:r>
      <w:r w:rsidR="00D65D9F" w:rsidRPr="00E14BFC">
        <w:rPr>
          <w:color w:val="auto"/>
        </w:rPr>
        <w:t xml:space="preserve">vailability of </w:t>
      </w:r>
      <w:r w:rsidR="00F90ED1" w:rsidRPr="00E14BFC">
        <w:rPr>
          <w:color w:val="auto"/>
        </w:rPr>
        <w:t xml:space="preserve">allocation statistics </w:t>
      </w:r>
      <w:r w:rsidR="00C4720D" w:rsidRPr="00E14BFC">
        <w:rPr>
          <w:color w:val="auto"/>
        </w:rPr>
        <w:t>that</w:t>
      </w:r>
      <w:r w:rsidRPr="00E14BFC">
        <w:rPr>
          <w:color w:val="auto"/>
        </w:rPr>
        <w:t xml:space="preserve"> are utilised in allocating overhead costs</w:t>
      </w:r>
      <w:r w:rsidR="00C4720D" w:rsidRPr="00E14BFC">
        <w:rPr>
          <w:color w:val="auto"/>
        </w:rPr>
        <w:t>.</w:t>
      </w:r>
      <w:r w:rsidR="000D6A6B">
        <w:rPr>
          <w:color w:val="auto"/>
        </w:rPr>
        <w:t xml:space="preserve"> However, NSW was fully compliant with Standard 3.1 – allocation of expenses in production cost centres.</w:t>
      </w:r>
    </w:p>
    <w:p w14:paraId="676EB1F3" w14:textId="6DD3CD75" w:rsidR="00116285" w:rsidRPr="00E96C8D" w:rsidRDefault="00116285" w:rsidP="00116285">
      <w:pPr>
        <w:pStyle w:val="Heading3"/>
      </w:pPr>
      <w:r w:rsidRPr="00E96C8D">
        <w:t xml:space="preserve">Stage 4 </w:t>
      </w:r>
      <w:r w:rsidR="0027397A">
        <w:t>and</w:t>
      </w:r>
      <w:r w:rsidRPr="00E96C8D">
        <w:t xml:space="preserve"> 5 </w:t>
      </w:r>
      <w:r w:rsidR="009A081A">
        <w:t>–</w:t>
      </w:r>
      <w:r w:rsidRPr="00E96C8D">
        <w:t xml:space="preserve"> Identify Products and Assign Expenses to Products</w:t>
      </w:r>
    </w:p>
    <w:p w14:paraId="074BE1C1" w14:textId="70DCD981" w:rsidR="00F977E4" w:rsidRPr="00E14BFC" w:rsidRDefault="00F977E4" w:rsidP="00F977E4">
      <w:pPr>
        <w:rPr>
          <w:color w:val="auto"/>
        </w:rPr>
      </w:pPr>
      <w:bookmarkStart w:id="26" w:name="_Hlk157580559"/>
      <w:r w:rsidRPr="00E14BFC">
        <w:rPr>
          <w:color w:val="auto"/>
        </w:rPr>
        <w:t>NSW</w:t>
      </w:r>
      <w:r w:rsidR="00C91649" w:rsidRPr="00E14BFC">
        <w:rPr>
          <w:color w:val="auto"/>
        </w:rPr>
        <w:t xml:space="preserve"> report</w:t>
      </w:r>
      <w:r w:rsidR="00B05BD2" w:rsidRPr="00E14BFC">
        <w:rPr>
          <w:color w:val="auto"/>
        </w:rPr>
        <w:t>ed</w:t>
      </w:r>
      <w:r w:rsidR="00C91649" w:rsidRPr="00E14BFC">
        <w:rPr>
          <w:color w:val="auto"/>
        </w:rPr>
        <w:t xml:space="preserve"> full compliance</w:t>
      </w:r>
      <w:r w:rsidRPr="00E14BFC">
        <w:rPr>
          <w:color w:val="auto"/>
        </w:rPr>
        <w:t xml:space="preserve"> with</w:t>
      </w:r>
      <w:r w:rsidR="009A081A" w:rsidRPr="00E14BFC">
        <w:rPr>
          <w:color w:val="auto"/>
        </w:rPr>
        <w:t xml:space="preserve"> the standards in</w:t>
      </w:r>
      <w:r w:rsidRPr="00E14BFC">
        <w:rPr>
          <w:color w:val="auto"/>
        </w:rPr>
        <w:t xml:space="preserve"> </w:t>
      </w:r>
      <w:r w:rsidR="00537DC8" w:rsidRPr="00E14BFC">
        <w:rPr>
          <w:color w:val="auto"/>
        </w:rPr>
        <w:t>Stage</w:t>
      </w:r>
      <w:r w:rsidR="00F97F71" w:rsidRPr="00E14BFC">
        <w:rPr>
          <w:color w:val="auto"/>
        </w:rPr>
        <w:t>s</w:t>
      </w:r>
      <w:r w:rsidR="00537DC8" w:rsidRPr="00E14BFC">
        <w:rPr>
          <w:color w:val="auto"/>
        </w:rPr>
        <w:t xml:space="preserve"> 4 and 5</w:t>
      </w:r>
      <w:r w:rsidR="00B05BD2" w:rsidRPr="00E14BFC">
        <w:rPr>
          <w:color w:val="auto"/>
        </w:rPr>
        <w:t xml:space="preserve"> </w:t>
      </w:r>
      <w:r w:rsidRPr="00E14BFC">
        <w:rPr>
          <w:color w:val="auto"/>
        </w:rPr>
        <w:t xml:space="preserve">– </w:t>
      </w:r>
      <w:r w:rsidR="008846D6" w:rsidRPr="00E14BFC">
        <w:rPr>
          <w:color w:val="auto"/>
        </w:rPr>
        <w:t>identify products</w:t>
      </w:r>
      <w:r w:rsidR="00F97F71" w:rsidRPr="00E14BFC">
        <w:rPr>
          <w:color w:val="auto"/>
        </w:rPr>
        <w:t xml:space="preserve"> and assign</w:t>
      </w:r>
      <w:r w:rsidR="008846D6" w:rsidRPr="00E14BFC">
        <w:rPr>
          <w:color w:val="auto"/>
        </w:rPr>
        <w:t xml:space="preserve"> </w:t>
      </w:r>
      <w:r w:rsidR="00F97F71" w:rsidRPr="00E14BFC">
        <w:rPr>
          <w:color w:val="auto"/>
        </w:rPr>
        <w:t>expenses to products</w:t>
      </w:r>
      <w:r w:rsidRPr="00E14BFC">
        <w:rPr>
          <w:color w:val="auto"/>
        </w:rPr>
        <w:t xml:space="preserve">. </w:t>
      </w:r>
      <w:bookmarkEnd w:id="26"/>
      <w:r w:rsidRPr="00E14BFC">
        <w:rPr>
          <w:color w:val="auto"/>
        </w:rPr>
        <w:t xml:space="preserve">NSW </w:t>
      </w:r>
      <w:r w:rsidR="000D6A6B">
        <w:rPr>
          <w:color w:val="auto"/>
        </w:rPr>
        <w:t xml:space="preserve">use </w:t>
      </w:r>
      <w:r w:rsidR="000D6A6B" w:rsidRPr="000D6A6B">
        <w:rPr>
          <w:color w:val="auto"/>
        </w:rPr>
        <w:t>Power Performance Manager</w:t>
      </w:r>
      <w:r w:rsidR="00244536">
        <w:rPr>
          <w:color w:val="auto"/>
        </w:rPr>
        <w:t xml:space="preserve"> 2</w:t>
      </w:r>
      <w:r w:rsidR="000D6A6B" w:rsidRPr="000D6A6B">
        <w:rPr>
          <w:color w:val="auto"/>
        </w:rPr>
        <w:t xml:space="preserve"> (PPM</w:t>
      </w:r>
      <w:r w:rsidR="000D6A6B">
        <w:rPr>
          <w:color w:val="auto"/>
        </w:rPr>
        <w:t>2</w:t>
      </w:r>
      <w:r w:rsidR="000D6A6B" w:rsidRPr="000D6A6B">
        <w:rPr>
          <w:color w:val="auto"/>
        </w:rPr>
        <w:t xml:space="preserve">) </w:t>
      </w:r>
      <w:r w:rsidR="000D6A6B">
        <w:rPr>
          <w:color w:val="auto"/>
        </w:rPr>
        <w:t xml:space="preserve">to assign expenses </w:t>
      </w:r>
      <w:r w:rsidR="00055621" w:rsidRPr="00E14BFC">
        <w:rPr>
          <w:color w:val="auto"/>
        </w:rPr>
        <w:t xml:space="preserve">to intermediate and final products to patients within the </w:t>
      </w:r>
      <w:r w:rsidRPr="00E14BFC">
        <w:rPr>
          <w:color w:val="auto"/>
        </w:rPr>
        <w:t xml:space="preserve">Electronic </w:t>
      </w:r>
      <w:r w:rsidR="00A7601A" w:rsidRPr="00E14BFC">
        <w:rPr>
          <w:color w:val="auto"/>
        </w:rPr>
        <w:t xml:space="preserve">Medical </w:t>
      </w:r>
      <w:r w:rsidRPr="00E14BFC">
        <w:rPr>
          <w:color w:val="auto"/>
        </w:rPr>
        <w:t xml:space="preserve">Records (EMR). </w:t>
      </w:r>
      <w:r w:rsidR="000D6A6B">
        <w:rPr>
          <w:color w:val="auto"/>
        </w:rPr>
        <w:t xml:space="preserve">PPM2 </w:t>
      </w:r>
      <w:r w:rsidR="00055621" w:rsidRPr="00E14BFC">
        <w:rPr>
          <w:color w:val="auto"/>
        </w:rPr>
        <w:t xml:space="preserve">completes </w:t>
      </w:r>
      <w:r w:rsidRPr="00E14BFC">
        <w:rPr>
          <w:color w:val="auto"/>
        </w:rPr>
        <w:t xml:space="preserve">internal checks </w:t>
      </w:r>
      <w:r w:rsidR="00055621" w:rsidRPr="00E14BFC">
        <w:rPr>
          <w:color w:val="auto"/>
        </w:rPr>
        <w:t xml:space="preserve">to </w:t>
      </w:r>
      <w:r w:rsidRPr="00E14BFC">
        <w:rPr>
          <w:color w:val="auto"/>
        </w:rPr>
        <w:t xml:space="preserve">ensure the expenses are allocated </w:t>
      </w:r>
      <w:r w:rsidR="00055621" w:rsidRPr="00E14BFC">
        <w:rPr>
          <w:color w:val="auto"/>
        </w:rPr>
        <w:t xml:space="preserve">correctly </w:t>
      </w:r>
      <w:r w:rsidRPr="00E14BFC">
        <w:rPr>
          <w:color w:val="auto"/>
        </w:rPr>
        <w:t xml:space="preserve">and </w:t>
      </w:r>
      <w:r w:rsidR="009437D0">
        <w:rPr>
          <w:color w:val="auto"/>
        </w:rPr>
        <w:t xml:space="preserve">costing practitioners </w:t>
      </w:r>
      <w:r w:rsidRPr="00E14BFC">
        <w:rPr>
          <w:color w:val="auto"/>
        </w:rPr>
        <w:t>review and rectify discrepancies found.</w:t>
      </w:r>
    </w:p>
    <w:p w14:paraId="72738F34" w14:textId="3D30F2A4" w:rsidR="00116285" w:rsidRPr="00E14BFC" w:rsidRDefault="00F977E4" w:rsidP="00652075">
      <w:pPr>
        <w:rPr>
          <w:color w:val="auto"/>
        </w:rPr>
      </w:pPr>
      <w:r w:rsidRPr="00E14BFC">
        <w:rPr>
          <w:color w:val="auto"/>
        </w:rPr>
        <w:t>There are challenges with the linking rules of intermediate products for the admitted and emergency department patients as well as with private providers. These issues vary across health entities and are currently being investigated.</w:t>
      </w:r>
    </w:p>
    <w:p w14:paraId="66592D1A" w14:textId="2240FCEF" w:rsidR="00116285" w:rsidRPr="00E96C8D" w:rsidRDefault="00116285" w:rsidP="00116285">
      <w:pPr>
        <w:pStyle w:val="Heading3"/>
      </w:pPr>
      <w:r w:rsidRPr="00E96C8D">
        <w:t xml:space="preserve">Stage 6 </w:t>
      </w:r>
      <w:r w:rsidR="00B65B85">
        <w:t>–</w:t>
      </w:r>
      <w:r w:rsidRPr="00E96C8D">
        <w:t xml:space="preserve"> Review and Reconcile</w:t>
      </w:r>
    </w:p>
    <w:p w14:paraId="3AB97AD1" w14:textId="3CADC06A" w:rsidR="007E2095" w:rsidRPr="00E14BFC" w:rsidRDefault="000057EA" w:rsidP="00267AE7">
      <w:pPr>
        <w:rPr>
          <w:color w:val="auto"/>
        </w:rPr>
      </w:pPr>
      <w:bookmarkStart w:id="27" w:name="_Hlk157580567"/>
      <w:r w:rsidRPr="00E14BFC">
        <w:rPr>
          <w:color w:val="auto"/>
        </w:rPr>
        <w:t>N</w:t>
      </w:r>
      <w:r w:rsidR="00F977E4" w:rsidRPr="00E14BFC">
        <w:rPr>
          <w:color w:val="auto"/>
        </w:rPr>
        <w:t>SW</w:t>
      </w:r>
      <w:r w:rsidRPr="00E14BFC">
        <w:rPr>
          <w:color w:val="auto"/>
        </w:rPr>
        <w:t xml:space="preserve"> report</w:t>
      </w:r>
      <w:r w:rsidR="00B05BD2" w:rsidRPr="00E14BFC">
        <w:rPr>
          <w:color w:val="auto"/>
        </w:rPr>
        <w:t>ed</w:t>
      </w:r>
      <w:r w:rsidRPr="00E14BFC">
        <w:rPr>
          <w:color w:val="auto"/>
        </w:rPr>
        <w:t xml:space="preserve"> partial compliance with Standard</w:t>
      </w:r>
      <w:r w:rsidR="00DB4469" w:rsidRPr="00E14BFC">
        <w:rPr>
          <w:color w:val="auto"/>
        </w:rPr>
        <w:t>s 6.1 and 6.2</w:t>
      </w:r>
      <w:r w:rsidR="00F977E4" w:rsidRPr="00E14BFC">
        <w:rPr>
          <w:color w:val="auto"/>
        </w:rPr>
        <w:t xml:space="preserve"> – data quality framework and reconciliation to source data</w:t>
      </w:r>
      <w:r w:rsidR="00F909D0" w:rsidRPr="00E14BFC">
        <w:rPr>
          <w:color w:val="auto"/>
        </w:rPr>
        <w:t xml:space="preserve">. </w:t>
      </w:r>
      <w:bookmarkEnd w:id="27"/>
      <w:r w:rsidR="00F909D0" w:rsidRPr="00E14BFC">
        <w:rPr>
          <w:color w:val="auto"/>
        </w:rPr>
        <w:t>W</w:t>
      </w:r>
      <w:r w:rsidR="00DB4469" w:rsidRPr="00E14BFC">
        <w:rPr>
          <w:color w:val="auto"/>
        </w:rPr>
        <w:t>hile a comprehensive data quality framework</w:t>
      </w:r>
      <w:r w:rsidR="00F909D0" w:rsidRPr="00E14BFC">
        <w:rPr>
          <w:color w:val="auto"/>
        </w:rPr>
        <w:t xml:space="preserve"> is</w:t>
      </w:r>
      <w:r w:rsidR="00DB4469" w:rsidRPr="00E14BFC">
        <w:rPr>
          <w:color w:val="auto"/>
        </w:rPr>
        <w:t xml:space="preserve"> in place, </w:t>
      </w:r>
      <w:r w:rsidR="00466D47" w:rsidRPr="00E14BFC">
        <w:rPr>
          <w:color w:val="auto"/>
        </w:rPr>
        <w:t>a</w:t>
      </w:r>
      <w:r w:rsidR="00DB4469" w:rsidRPr="00E14BFC">
        <w:rPr>
          <w:color w:val="auto"/>
        </w:rPr>
        <w:t xml:space="preserve"> systematic </w:t>
      </w:r>
      <w:r w:rsidR="00466D47" w:rsidRPr="00E14BFC">
        <w:rPr>
          <w:color w:val="auto"/>
        </w:rPr>
        <w:t xml:space="preserve">review of product areas that do not have service data is yet to be undertaken. </w:t>
      </w:r>
      <w:r w:rsidR="00F909D0" w:rsidRPr="00E14BFC">
        <w:rPr>
          <w:color w:val="auto"/>
        </w:rPr>
        <w:t xml:space="preserve">Similarly, </w:t>
      </w:r>
      <w:r w:rsidR="00931D77" w:rsidRPr="00E14BFC">
        <w:rPr>
          <w:color w:val="auto"/>
        </w:rPr>
        <w:t xml:space="preserve">while </w:t>
      </w:r>
      <w:r w:rsidR="00731DBB" w:rsidRPr="00E14BFC">
        <w:rPr>
          <w:color w:val="auto"/>
        </w:rPr>
        <w:t>detailed activity and expense reconciliation</w:t>
      </w:r>
      <w:r w:rsidR="00931D77" w:rsidRPr="00E14BFC">
        <w:rPr>
          <w:color w:val="auto"/>
        </w:rPr>
        <w:t>s are undertaken</w:t>
      </w:r>
      <w:r w:rsidR="00F977E4" w:rsidRPr="00E14BFC">
        <w:rPr>
          <w:color w:val="auto"/>
        </w:rPr>
        <w:t xml:space="preserve">, NSW </w:t>
      </w:r>
      <w:r w:rsidR="009B4F50" w:rsidRPr="00E14BFC">
        <w:rPr>
          <w:color w:val="auto"/>
        </w:rPr>
        <w:t>considers these could be strengthened.</w:t>
      </w:r>
    </w:p>
    <w:p w14:paraId="2E73DF97" w14:textId="70BB70F5" w:rsidR="0081619A" w:rsidRPr="00E14BFC" w:rsidRDefault="00116285" w:rsidP="00652075">
      <w:pPr>
        <w:rPr>
          <w:color w:val="auto"/>
        </w:rPr>
      </w:pPr>
      <w:r w:rsidRPr="00E14BFC">
        <w:rPr>
          <w:color w:val="auto"/>
        </w:rPr>
        <w:t xml:space="preserve">Costing is standardised across all districts through a common costing software, utilising the same mapping accounts, general ledgers, and chartered accounts. Standardised tools, activity data extracts, and data quality checks contribute to ensuring consistency in reporting, continuously refined through consultations with costing practitioners. PPM2 </w:t>
      </w:r>
      <w:r w:rsidR="003327B8" w:rsidRPr="00E14BFC">
        <w:rPr>
          <w:color w:val="auto"/>
        </w:rPr>
        <w:t xml:space="preserve">is </w:t>
      </w:r>
      <w:r w:rsidRPr="00E14BFC">
        <w:rPr>
          <w:color w:val="auto"/>
        </w:rPr>
        <w:t>utili</w:t>
      </w:r>
      <w:r w:rsidR="00D1179B" w:rsidRPr="00E14BFC">
        <w:rPr>
          <w:color w:val="auto"/>
        </w:rPr>
        <w:t>s</w:t>
      </w:r>
      <w:r w:rsidRPr="00E14BFC">
        <w:rPr>
          <w:color w:val="auto"/>
        </w:rPr>
        <w:t xml:space="preserve">ed across all </w:t>
      </w:r>
      <w:r w:rsidR="00F85D00" w:rsidRPr="00E14BFC">
        <w:rPr>
          <w:color w:val="auto"/>
        </w:rPr>
        <w:t xml:space="preserve">sites in </w:t>
      </w:r>
      <w:r w:rsidR="00B96DEA" w:rsidRPr="00E14BFC">
        <w:rPr>
          <w:color w:val="auto"/>
        </w:rPr>
        <w:t xml:space="preserve">the </w:t>
      </w:r>
      <w:r w:rsidR="003D5C48" w:rsidRPr="00E14BFC">
        <w:rPr>
          <w:color w:val="auto"/>
        </w:rPr>
        <w:t>jurisdiction</w:t>
      </w:r>
      <w:r w:rsidRPr="00E14BFC">
        <w:rPr>
          <w:color w:val="auto"/>
        </w:rPr>
        <w:t>.</w:t>
      </w:r>
    </w:p>
    <w:p w14:paraId="20121A05" w14:textId="71743E89" w:rsidR="00116285" w:rsidRPr="00E14BFC" w:rsidRDefault="00F977E4" w:rsidP="00652075">
      <w:pPr>
        <w:spacing w:before="160" w:line="259" w:lineRule="auto"/>
        <w:rPr>
          <w:color w:val="auto"/>
        </w:rPr>
      </w:pPr>
      <w:r w:rsidRPr="00E14BFC">
        <w:rPr>
          <w:color w:val="auto"/>
        </w:rPr>
        <w:t>NSW completes internal q</w:t>
      </w:r>
      <w:r w:rsidR="00332C90" w:rsidRPr="00E14BFC">
        <w:rPr>
          <w:color w:val="auto"/>
        </w:rPr>
        <w:t>uality assurance processes</w:t>
      </w:r>
      <w:r w:rsidR="00856A85" w:rsidRPr="00E14BFC">
        <w:rPr>
          <w:color w:val="auto"/>
        </w:rPr>
        <w:t xml:space="preserve"> </w:t>
      </w:r>
      <w:r w:rsidR="00332C90" w:rsidRPr="00E14BFC">
        <w:rPr>
          <w:color w:val="auto"/>
        </w:rPr>
        <w:t>to ensure the NHCDC contains high</w:t>
      </w:r>
      <w:r w:rsidR="00004263" w:rsidRPr="00E14BFC">
        <w:rPr>
          <w:color w:val="auto"/>
        </w:rPr>
        <w:t>-</w:t>
      </w:r>
      <w:r w:rsidR="00332C90" w:rsidRPr="00E14BFC">
        <w:rPr>
          <w:color w:val="auto"/>
        </w:rPr>
        <w:t xml:space="preserve">quality data </w:t>
      </w:r>
      <w:r w:rsidR="00E65316" w:rsidRPr="00E14BFC">
        <w:rPr>
          <w:color w:val="auto"/>
        </w:rPr>
        <w:t xml:space="preserve">that </w:t>
      </w:r>
      <w:r w:rsidR="00332C90" w:rsidRPr="00E14BFC">
        <w:rPr>
          <w:color w:val="auto"/>
        </w:rPr>
        <w:t>can be used to develop the national efficient price.</w:t>
      </w:r>
      <w:r w:rsidR="00A7601A" w:rsidRPr="00E14BFC">
        <w:rPr>
          <w:color w:val="auto"/>
        </w:rPr>
        <w:t xml:space="preserve"> As a result, cost data from the Illawarra Shoalhaven Local Health District (LHD), </w:t>
      </w:r>
      <w:r w:rsidR="00D11BC6">
        <w:rPr>
          <w:color w:val="auto"/>
        </w:rPr>
        <w:t>Mental health for Greenwich Hospital (</w:t>
      </w:r>
      <w:r w:rsidR="00A7601A" w:rsidRPr="00E14BFC">
        <w:rPr>
          <w:color w:val="auto"/>
        </w:rPr>
        <w:t>Northern Sydney LHD</w:t>
      </w:r>
      <w:r w:rsidR="00D11BC6">
        <w:rPr>
          <w:color w:val="auto"/>
        </w:rPr>
        <w:t>)</w:t>
      </w:r>
      <w:r w:rsidR="00A7601A" w:rsidRPr="00E14BFC">
        <w:rPr>
          <w:color w:val="auto"/>
        </w:rPr>
        <w:t xml:space="preserve">, and </w:t>
      </w:r>
      <w:r w:rsidR="00D11BC6">
        <w:rPr>
          <w:color w:val="auto"/>
        </w:rPr>
        <w:t>Palliative Care for Broken Hill Hospital (</w:t>
      </w:r>
      <w:r w:rsidR="00A7601A" w:rsidRPr="00E14BFC">
        <w:rPr>
          <w:color w:val="auto"/>
        </w:rPr>
        <w:t>Far West LHD</w:t>
      </w:r>
      <w:r w:rsidR="00D11BC6">
        <w:rPr>
          <w:color w:val="auto"/>
        </w:rPr>
        <w:t>)</w:t>
      </w:r>
      <w:r w:rsidR="00A7601A" w:rsidRPr="00E14BFC">
        <w:rPr>
          <w:color w:val="auto"/>
        </w:rPr>
        <w:t xml:space="preserve"> was not submitted in 2021-22.</w:t>
      </w:r>
      <w:r w:rsidR="00332C90" w:rsidRPr="00E14BFC">
        <w:rPr>
          <w:color w:val="auto"/>
        </w:rPr>
        <w:t xml:space="preserve"> </w:t>
      </w:r>
      <w:r w:rsidR="003C21B3" w:rsidRPr="00E14BFC">
        <w:rPr>
          <w:color w:val="auto"/>
        </w:rPr>
        <w:t xml:space="preserve">It has been </w:t>
      </w:r>
      <w:r w:rsidR="00A7601A" w:rsidRPr="00E14BFC">
        <w:rPr>
          <w:color w:val="auto"/>
        </w:rPr>
        <w:t xml:space="preserve">identified </w:t>
      </w:r>
      <w:r w:rsidR="00B659F6" w:rsidRPr="00E14BFC">
        <w:rPr>
          <w:color w:val="auto"/>
        </w:rPr>
        <w:t xml:space="preserve">that </w:t>
      </w:r>
      <w:r w:rsidRPr="00E14BFC">
        <w:rPr>
          <w:color w:val="auto"/>
        </w:rPr>
        <w:t xml:space="preserve">NSW </w:t>
      </w:r>
      <w:r w:rsidR="00662B36" w:rsidRPr="00E14BFC">
        <w:rPr>
          <w:color w:val="auto"/>
        </w:rPr>
        <w:t xml:space="preserve">conducted </w:t>
      </w:r>
      <w:r w:rsidR="003C21B3" w:rsidRPr="00E14BFC">
        <w:rPr>
          <w:color w:val="auto"/>
        </w:rPr>
        <w:t>several annual checks and assessments prior to a formal sign off by the</w:t>
      </w:r>
      <w:r w:rsidR="00004263" w:rsidRPr="00E14BFC">
        <w:rPr>
          <w:color w:val="auto"/>
        </w:rPr>
        <w:t xml:space="preserve"> NSW Health</w:t>
      </w:r>
      <w:r w:rsidR="003C21B3" w:rsidRPr="00E14BFC">
        <w:rPr>
          <w:color w:val="auto"/>
        </w:rPr>
        <w:t xml:space="preserve"> Chief Executive</w:t>
      </w:r>
      <w:r w:rsidR="00332C90" w:rsidRPr="00E14BFC">
        <w:rPr>
          <w:color w:val="auto"/>
        </w:rPr>
        <w:t xml:space="preserve"> (CE)</w:t>
      </w:r>
      <w:r w:rsidR="003C21B3" w:rsidRPr="00E14BFC">
        <w:rPr>
          <w:color w:val="auto"/>
        </w:rPr>
        <w:t xml:space="preserve"> to ensure a robust costing submission to IHACPA.</w:t>
      </w:r>
    </w:p>
    <w:p w14:paraId="6885D305" w14:textId="1519960E" w:rsidR="00116285" w:rsidRPr="00E14BFC" w:rsidRDefault="00A8115E" w:rsidP="00652075">
      <w:pPr>
        <w:rPr>
          <w:color w:val="auto"/>
        </w:rPr>
      </w:pPr>
      <w:r w:rsidRPr="00E14BFC">
        <w:rPr>
          <w:color w:val="auto"/>
        </w:rPr>
        <w:t xml:space="preserve">To ensure all </w:t>
      </w:r>
      <w:r w:rsidR="008819E2">
        <w:rPr>
          <w:color w:val="auto"/>
        </w:rPr>
        <w:t>in-scope</w:t>
      </w:r>
      <w:r w:rsidR="008819E2" w:rsidRPr="00E14BFC">
        <w:rPr>
          <w:color w:val="auto"/>
        </w:rPr>
        <w:t xml:space="preserve"> </w:t>
      </w:r>
      <w:r w:rsidRPr="00E14BFC">
        <w:rPr>
          <w:color w:val="auto"/>
        </w:rPr>
        <w:t xml:space="preserve">cost </w:t>
      </w:r>
      <w:r w:rsidR="00BB1585" w:rsidRPr="00E14BFC">
        <w:rPr>
          <w:color w:val="auto"/>
        </w:rPr>
        <w:t xml:space="preserve">have </w:t>
      </w:r>
      <w:r w:rsidRPr="00E14BFC">
        <w:rPr>
          <w:color w:val="auto"/>
        </w:rPr>
        <w:t>been included in the NHCDC 2021-22, a reconciliation review was completed between</w:t>
      </w:r>
      <w:r w:rsidR="007F2876" w:rsidRPr="00E14BFC">
        <w:rPr>
          <w:color w:val="auto"/>
        </w:rPr>
        <w:t xml:space="preserve"> </w:t>
      </w:r>
      <w:r w:rsidR="008819E2">
        <w:rPr>
          <w:color w:val="auto"/>
        </w:rPr>
        <w:t>NSW’s</w:t>
      </w:r>
      <w:r w:rsidR="007F2876" w:rsidRPr="00E14BFC">
        <w:rPr>
          <w:color w:val="auto"/>
        </w:rPr>
        <w:t xml:space="preserve"> general ledger</w:t>
      </w:r>
      <w:r w:rsidR="00F977E4" w:rsidRPr="00E14BFC">
        <w:rPr>
          <w:color w:val="auto"/>
        </w:rPr>
        <w:t xml:space="preserve"> and</w:t>
      </w:r>
      <w:r w:rsidRPr="00E14BFC">
        <w:rPr>
          <w:color w:val="auto"/>
        </w:rPr>
        <w:t xml:space="preserve"> </w:t>
      </w:r>
      <w:r w:rsidR="00F977E4" w:rsidRPr="00E14BFC">
        <w:rPr>
          <w:color w:val="auto"/>
        </w:rPr>
        <w:t>the costs submitted to IHACPA. NSW’s general ledger reconciles with the cost ledger as well as the costs submitted to IHACPA.</w:t>
      </w:r>
    </w:p>
    <w:p w14:paraId="489C3C4C" w14:textId="77777777" w:rsidR="00851310" w:rsidRPr="00E96C8D" w:rsidRDefault="00851310" w:rsidP="00302220">
      <w:bookmarkStart w:id="28" w:name="_Toc153890164"/>
      <w:r w:rsidRPr="00E96C8D">
        <w:br w:type="page"/>
      </w:r>
    </w:p>
    <w:p w14:paraId="489B92D4" w14:textId="5F61DE5B" w:rsidR="00116285" w:rsidRPr="00E96C8D" w:rsidRDefault="00116285" w:rsidP="00116285">
      <w:pPr>
        <w:pStyle w:val="Heading1"/>
      </w:pPr>
      <w:bookmarkStart w:id="29" w:name="_Toc157776704"/>
      <w:r w:rsidRPr="00E96C8D">
        <w:lastRenderedPageBreak/>
        <w:t>Victoria</w:t>
      </w:r>
      <w:bookmarkEnd w:id="28"/>
      <w:bookmarkEnd w:id="29"/>
    </w:p>
    <w:p w14:paraId="57F7F8CB" w14:textId="77777777" w:rsidR="00040E21" w:rsidRDefault="00040E21" w:rsidP="003C21B3">
      <w:pPr>
        <w:pStyle w:val="Heading2"/>
      </w:pPr>
      <w:r>
        <w:t>Summary</w:t>
      </w:r>
    </w:p>
    <w:p w14:paraId="38BECB5D" w14:textId="71458328" w:rsidR="00EE1C80" w:rsidRPr="00E14BFC" w:rsidRDefault="00EE1C80" w:rsidP="00EE1C80">
      <w:pPr>
        <w:rPr>
          <w:color w:val="auto"/>
        </w:rPr>
      </w:pPr>
      <w:r w:rsidRPr="00E14BFC">
        <w:rPr>
          <w:color w:val="auto"/>
        </w:rPr>
        <w:t>Victoria</w:t>
      </w:r>
      <w:r w:rsidR="00D35B4F" w:rsidRPr="00E14BFC">
        <w:rPr>
          <w:color w:val="auto"/>
        </w:rPr>
        <w:t xml:space="preserve"> </w:t>
      </w:r>
      <w:r w:rsidRPr="00E14BFC">
        <w:rPr>
          <w:color w:val="auto"/>
        </w:rPr>
        <w:t xml:space="preserve">submitted cost data from </w:t>
      </w:r>
      <w:r w:rsidR="006E0609" w:rsidRPr="00E14BFC">
        <w:rPr>
          <w:color w:val="auto"/>
        </w:rPr>
        <w:t>89</w:t>
      </w:r>
      <w:r w:rsidRPr="00E14BFC">
        <w:rPr>
          <w:color w:val="auto"/>
        </w:rPr>
        <w:t xml:space="preserve"> hospitals</w:t>
      </w:r>
      <w:r w:rsidR="00F55D89" w:rsidRPr="00E14BFC">
        <w:rPr>
          <w:color w:val="auto"/>
        </w:rPr>
        <w:t xml:space="preserve"> (including health services) </w:t>
      </w:r>
      <w:r w:rsidR="002605D4">
        <w:rPr>
          <w:color w:val="auto"/>
        </w:rPr>
        <w:t xml:space="preserve">across 40 local health networks (LHNs) </w:t>
      </w:r>
      <w:r w:rsidRPr="00E14BFC">
        <w:rPr>
          <w:color w:val="auto"/>
        </w:rPr>
        <w:t xml:space="preserve">with </w:t>
      </w:r>
      <w:r w:rsidR="006E0609" w:rsidRPr="00E14BFC">
        <w:rPr>
          <w:color w:val="auto"/>
        </w:rPr>
        <w:t>8.7</w:t>
      </w:r>
      <w:r w:rsidRPr="00E14BFC">
        <w:rPr>
          <w:color w:val="auto"/>
        </w:rPr>
        <w:t xml:space="preserve"> million records and a cost of $</w:t>
      </w:r>
      <w:r w:rsidR="006E0609" w:rsidRPr="00E14BFC">
        <w:rPr>
          <w:color w:val="auto"/>
        </w:rPr>
        <w:t>15.0</w:t>
      </w:r>
      <w:r w:rsidRPr="00E14BFC">
        <w:rPr>
          <w:color w:val="auto"/>
        </w:rPr>
        <w:t xml:space="preserve"> billion in 2021-22. </w:t>
      </w:r>
      <w:r w:rsidR="00CD48C3" w:rsidRPr="00E14BFC">
        <w:rPr>
          <w:color w:val="auto"/>
        </w:rPr>
        <w:t xml:space="preserve">IHACPA consulted </w:t>
      </w:r>
      <w:r w:rsidR="00D35B4F" w:rsidRPr="00E14BFC">
        <w:rPr>
          <w:color w:val="auto"/>
        </w:rPr>
        <w:t>Vic</w:t>
      </w:r>
      <w:r w:rsidR="00456549" w:rsidRPr="00E14BFC">
        <w:rPr>
          <w:color w:val="auto"/>
        </w:rPr>
        <w:t>toria</w:t>
      </w:r>
      <w:r w:rsidR="00D35B4F" w:rsidRPr="00E14BFC">
        <w:rPr>
          <w:color w:val="auto"/>
        </w:rPr>
        <w:t xml:space="preserve"> </w:t>
      </w:r>
      <w:r w:rsidR="00CD48C3" w:rsidRPr="00E14BFC">
        <w:rPr>
          <w:color w:val="auto"/>
        </w:rPr>
        <w:t>to confirm the Standards were correctly applied</w:t>
      </w:r>
      <w:r w:rsidR="00055621" w:rsidRPr="00E14BFC">
        <w:rPr>
          <w:color w:val="auto"/>
        </w:rPr>
        <w:t>,</w:t>
      </w:r>
      <w:r w:rsidR="00CD48C3" w:rsidRPr="00E14BFC">
        <w:rPr>
          <w:color w:val="auto"/>
        </w:rPr>
        <w:t xml:space="preserve"> review any exceptions</w:t>
      </w:r>
      <w:r w:rsidR="00BC2B29">
        <w:rPr>
          <w:color w:val="auto"/>
        </w:rPr>
        <w:t>,</w:t>
      </w:r>
      <w:r w:rsidRPr="00E14BFC">
        <w:rPr>
          <w:color w:val="auto"/>
        </w:rPr>
        <w:t xml:space="preserve"> and discuss the future of the independent financial review.</w:t>
      </w:r>
    </w:p>
    <w:p w14:paraId="21128A88" w14:textId="3DCA6DD4" w:rsidR="00C86413" w:rsidRPr="00E14BFC" w:rsidRDefault="0036108E" w:rsidP="0036108E">
      <w:pPr>
        <w:rPr>
          <w:color w:val="auto"/>
        </w:rPr>
      </w:pPr>
      <w:r w:rsidRPr="00E14BFC">
        <w:rPr>
          <w:color w:val="auto"/>
        </w:rPr>
        <w:t xml:space="preserve">Findings of the review indicate that </w:t>
      </w:r>
      <w:r w:rsidR="00D35B4F" w:rsidRPr="00E14BFC">
        <w:rPr>
          <w:color w:val="auto"/>
        </w:rPr>
        <w:t>Vic</w:t>
      </w:r>
      <w:r w:rsidR="00456549" w:rsidRPr="00E14BFC">
        <w:rPr>
          <w:color w:val="auto"/>
        </w:rPr>
        <w:t>toria</w:t>
      </w:r>
      <w:r w:rsidR="00D35B4F" w:rsidRPr="00E14BFC">
        <w:rPr>
          <w:color w:val="auto"/>
        </w:rPr>
        <w:t xml:space="preserve"> </w:t>
      </w:r>
      <w:r w:rsidR="008C4641" w:rsidRPr="00E14BFC">
        <w:rPr>
          <w:color w:val="auto"/>
        </w:rPr>
        <w:t>capture and allocate costs accurately</w:t>
      </w:r>
      <w:r w:rsidR="001A4D1B" w:rsidRPr="00E14BFC">
        <w:rPr>
          <w:color w:val="auto"/>
        </w:rPr>
        <w:t xml:space="preserve">. </w:t>
      </w:r>
      <w:r w:rsidR="002A3D72">
        <w:rPr>
          <w:color w:val="auto"/>
        </w:rPr>
        <w:t xml:space="preserve">Costing </w:t>
      </w:r>
      <w:r w:rsidR="00B63656" w:rsidRPr="00E14BFC">
        <w:rPr>
          <w:color w:val="auto"/>
        </w:rPr>
        <w:t>guidelines are in place to ensure expenses are captured accurately</w:t>
      </w:r>
      <w:r w:rsidRPr="00E14BFC">
        <w:rPr>
          <w:color w:val="auto"/>
        </w:rPr>
        <w:t xml:space="preserve">, including the </w:t>
      </w:r>
      <w:r w:rsidR="00B63656" w:rsidRPr="00E14BFC">
        <w:rPr>
          <w:color w:val="auto"/>
        </w:rPr>
        <w:t>contracted care costs base</w:t>
      </w:r>
      <w:r w:rsidR="003E6752">
        <w:rPr>
          <w:color w:val="auto"/>
        </w:rPr>
        <w:t>d</w:t>
      </w:r>
      <w:r w:rsidR="00B63656" w:rsidRPr="00E14BFC">
        <w:rPr>
          <w:color w:val="auto"/>
        </w:rPr>
        <w:t xml:space="preserve"> on financial arrangements between jurisdictions</w:t>
      </w:r>
      <w:r w:rsidR="00930139">
        <w:rPr>
          <w:color w:val="auto"/>
        </w:rPr>
        <w:t xml:space="preserve"> and</w:t>
      </w:r>
      <w:r w:rsidR="002A3C3E">
        <w:rPr>
          <w:color w:val="auto"/>
        </w:rPr>
        <w:t xml:space="preserve"> local health networks</w:t>
      </w:r>
      <w:r w:rsidRPr="00E14BFC">
        <w:rPr>
          <w:color w:val="auto"/>
        </w:rPr>
        <w:t>.</w:t>
      </w:r>
    </w:p>
    <w:p w14:paraId="70FBB456" w14:textId="19E44319" w:rsidR="0036108E" w:rsidRPr="00E14BFC" w:rsidRDefault="00A7601A" w:rsidP="0036108E">
      <w:pPr>
        <w:rPr>
          <w:color w:val="auto"/>
        </w:rPr>
      </w:pPr>
      <w:r w:rsidRPr="00E14BFC">
        <w:rPr>
          <w:color w:val="auto"/>
        </w:rPr>
        <w:t>Victoria has standardised guidance on the allocation of third-party costs to ensure c</w:t>
      </w:r>
      <w:r w:rsidR="00B63656" w:rsidRPr="00E14BFC">
        <w:rPr>
          <w:color w:val="auto"/>
        </w:rPr>
        <w:t>osts are appropriately allocated to patients</w:t>
      </w:r>
      <w:r w:rsidR="00490D58" w:rsidRPr="00E14BFC">
        <w:rPr>
          <w:color w:val="auto"/>
        </w:rPr>
        <w:t>.</w:t>
      </w:r>
      <w:r w:rsidR="00B63656" w:rsidRPr="00E14BFC">
        <w:rPr>
          <w:color w:val="auto"/>
        </w:rPr>
        <w:t xml:space="preserve"> </w:t>
      </w:r>
      <w:r w:rsidR="00490D58" w:rsidRPr="00E14BFC">
        <w:rPr>
          <w:color w:val="auto"/>
        </w:rPr>
        <w:t xml:space="preserve">However, </w:t>
      </w:r>
      <w:r w:rsidR="005C5CE3" w:rsidRPr="00E14BFC">
        <w:rPr>
          <w:color w:val="auto"/>
        </w:rPr>
        <w:t>there are</w:t>
      </w:r>
      <w:r w:rsidR="00B63656" w:rsidRPr="00E14BFC">
        <w:rPr>
          <w:color w:val="auto"/>
        </w:rPr>
        <w:t xml:space="preserve"> variation</w:t>
      </w:r>
      <w:r w:rsidR="00892A40" w:rsidRPr="00E14BFC">
        <w:rPr>
          <w:color w:val="auto"/>
        </w:rPr>
        <w:t>s</w:t>
      </w:r>
      <w:r w:rsidR="00B63656" w:rsidRPr="00E14BFC">
        <w:rPr>
          <w:color w:val="auto"/>
        </w:rPr>
        <w:t xml:space="preserve"> in the application of</w:t>
      </w:r>
      <w:r w:rsidR="00EE751D" w:rsidRPr="00E14BFC">
        <w:rPr>
          <w:color w:val="auto"/>
        </w:rPr>
        <w:t xml:space="preserve"> th</w:t>
      </w:r>
      <w:r w:rsidRPr="00E14BFC">
        <w:rPr>
          <w:color w:val="auto"/>
        </w:rPr>
        <w:t xml:space="preserve">is guidance </w:t>
      </w:r>
      <w:r w:rsidR="00B63656" w:rsidRPr="00E14BFC">
        <w:rPr>
          <w:color w:val="auto"/>
        </w:rPr>
        <w:t xml:space="preserve">across </w:t>
      </w:r>
      <w:r w:rsidR="00EE751D" w:rsidRPr="00E14BFC">
        <w:rPr>
          <w:color w:val="auto"/>
        </w:rPr>
        <w:t xml:space="preserve">health </w:t>
      </w:r>
      <w:r w:rsidR="00B63656" w:rsidRPr="00E14BFC">
        <w:rPr>
          <w:color w:val="auto"/>
        </w:rPr>
        <w:t>entities</w:t>
      </w:r>
      <w:r w:rsidR="0036108E" w:rsidRPr="00E14BFC">
        <w:rPr>
          <w:color w:val="auto"/>
        </w:rPr>
        <w:t>.</w:t>
      </w:r>
    </w:p>
    <w:p w14:paraId="68F111A2" w14:textId="04AC57CD" w:rsidR="00116285" w:rsidRPr="00E96C8D" w:rsidRDefault="00F056EF" w:rsidP="003C21B3">
      <w:pPr>
        <w:pStyle w:val="Heading2"/>
      </w:pPr>
      <w:r w:rsidRPr="005F05EB">
        <w:t>Australian Hospital Patient Costing Standards</w:t>
      </w:r>
    </w:p>
    <w:p w14:paraId="0AD512D8" w14:textId="7F7D1089" w:rsidR="00116285" w:rsidRPr="00E96C8D" w:rsidRDefault="00116285" w:rsidP="00116285">
      <w:pPr>
        <w:pStyle w:val="Heading3"/>
      </w:pPr>
      <w:r w:rsidRPr="00E96C8D">
        <w:t>Stage 1 – Identify Relevant Expenses</w:t>
      </w:r>
    </w:p>
    <w:p w14:paraId="55311C7F" w14:textId="3BB7C149" w:rsidR="00456549" w:rsidRPr="00E14BFC" w:rsidRDefault="00456549">
      <w:pPr>
        <w:rPr>
          <w:color w:val="auto"/>
        </w:rPr>
      </w:pPr>
      <w:bookmarkStart w:id="30" w:name="_Hlk157601701"/>
      <w:r w:rsidRPr="00E14BFC">
        <w:rPr>
          <w:color w:val="auto"/>
        </w:rPr>
        <w:t>Victoria</w:t>
      </w:r>
      <w:r w:rsidR="00DB7AC4" w:rsidRPr="00E14BFC">
        <w:rPr>
          <w:color w:val="auto"/>
        </w:rPr>
        <w:t xml:space="preserve"> report</w:t>
      </w:r>
      <w:r w:rsidR="00B05BD2" w:rsidRPr="00E14BFC">
        <w:rPr>
          <w:color w:val="auto"/>
        </w:rPr>
        <w:t>ed</w:t>
      </w:r>
      <w:r w:rsidR="00DB7AC4" w:rsidRPr="00E14BFC">
        <w:rPr>
          <w:color w:val="auto"/>
        </w:rPr>
        <w:t xml:space="preserve"> full compliance with </w:t>
      </w:r>
      <w:r w:rsidR="00B05BD2" w:rsidRPr="00E14BFC">
        <w:rPr>
          <w:color w:val="auto"/>
        </w:rPr>
        <w:t xml:space="preserve">the standards in Stage </w:t>
      </w:r>
      <w:r w:rsidR="00DB7AC4" w:rsidRPr="00E14BFC">
        <w:rPr>
          <w:color w:val="auto"/>
        </w:rPr>
        <w:t>1</w:t>
      </w:r>
      <w:r w:rsidR="00B05BD2" w:rsidRPr="00E14BFC">
        <w:rPr>
          <w:color w:val="auto"/>
        </w:rPr>
        <w:t xml:space="preserve"> </w:t>
      </w:r>
      <w:r w:rsidRPr="00E14BFC">
        <w:rPr>
          <w:color w:val="auto"/>
        </w:rPr>
        <w:t xml:space="preserve">– </w:t>
      </w:r>
      <w:r w:rsidR="008846D6" w:rsidRPr="00E14BFC">
        <w:rPr>
          <w:color w:val="auto"/>
        </w:rPr>
        <w:t>identify</w:t>
      </w:r>
      <w:r w:rsidRPr="00E14BFC">
        <w:rPr>
          <w:color w:val="auto"/>
        </w:rPr>
        <w:t xml:space="preserve"> relevant expenses.</w:t>
      </w:r>
      <w:r w:rsidR="007B12EB" w:rsidRPr="00E14BFC">
        <w:rPr>
          <w:color w:val="auto"/>
        </w:rPr>
        <w:t xml:space="preserve"> </w:t>
      </w:r>
      <w:bookmarkEnd w:id="30"/>
      <w:r w:rsidRPr="00E14BFC">
        <w:rPr>
          <w:color w:val="auto"/>
        </w:rPr>
        <w:t xml:space="preserve">Costing practices are guided by the </w:t>
      </w:r>
      <w:r w:rsidR="00A7601A" w:rsidRPr="00E14BFC">
        <w:rPr>
          <w:color w:val="auto"/>
        </w:rPr>
        <w:t xml:space="preserve">Victorian Activity Based Costing (VICABC) documentation to develop the </w:t>
      </w:r>
      <w:r w:rsidRPr="00E14BFC">
        <w:rPr>
          <w:color w:val="auto"/>
        </w:rPr>
        <w:t>Victorian Cost Data Collection (VCDC)</w:t>
      </w:r>
      <w:r w:rsidR="00A7601A" w:rsidRPr="00E14BFC">
        <w:rPr>
          <w:color w:val="auto"/>
        </w:rPr>
        <w:t>. The VICABC</w:t>
      </w:r>
      <w:r w:rsidRPr="00E14BFC">
        <w:rPr>
          <w:color w:val="auto"/>
        </w:rPr>
        <w:t xml:space="preserve"> </w:t>
      </w:r>
      <w:r w:rsidR="00D013E8" w:rsidRPr="00E14BFC">
        <w:rPr>
          <w:color w:val="auto"/>
        </w:rPr>
        <w:t xml:space="preserve">identifies the relevant information needed for costing and the reporting requirements for submitting </w:t>
      </w:r>
      <w:r w:rsidR="00A7601A" w:rsidRPr="00E14BFC">
        <w:rPr>
          <w:color w:val="auto"/>
        </w:rPr>
        <w:t>cost</w:t>
      </w:r>
      <w:r w:rsidR="00D013E8" w:rsidRPr="00E14BFC">
        <w:rPr>
          <w:color w:val="auto"/>
        </w:rPr>
        <w:t xml:space="preserve"> data to</w:t>
      </w:r>
      <w:r w:rsidR="00A7601A" w:rsidRPr="00E14BFC">
        <w:rPr>
          <w:color w:val="auto"/>
        </w:rPr>
        <w:t xml:space="preserve"> Victoria Health</w:t>
      </w:r>
      <w:r w:rsidRPr="00E14BFC">
        <w:rPr>
          <w:color w:val="auto"/>
        </w:rPr>
        <w:t xml:space="preserve">. </w:t>
      </w:r>
      <w:r w:rsidR="00F90A61" w:rsidRPr="00E14BFC">
        <w:rPr>
          <w:color w:val="auto"/>
        </w:rPr>
        <w:t>Ancillary p</w:t>
      </w:r>
      <w:r w:rsidR="00356DDA" w:rsidRPr="00E14BFC">
        <w:rPr>
          <w:color w:val="auto"/>
        </w:rPr>
        <w:t xml:space="preserve">rivate patient </w:t>
      </w:r>
      <w:r w:rsidR="009E54AF" w:rsidRPr="00E14BFC">
        <w:rPr>
          <w:color w:val="auto"/>
        </w:rPr>
        <w:t xml:space="preserve">radiology and pathology costs </w:t>
      </w:r>
      <w:r w:rsidRPr="00E14BFC">
        <w:rPr>
          <w:color w:val="auto"/>
        </w:rPr>
        <w:t xml:space="preserve">were </w:t>
      </w:r>
      <w:r w:rsidR="009E54AF" w:rsidRPr="00E14BFC">
        <w:rPr>
          <w:color w:val="auto"/>
        </w:rPr>
        <w:t xml:space="preserve">excluded </w:t>
      </w:r>
      <w:r w:rsidR="006A7067" w:rsidRPr="00E14BFC">
        <w:rPr>
          <w:color w:val="auto"/>
        </w:rPr>
        <w:t>for</w:t>
      </w:r>
      <w:r w:rsidR="009E54AF" w:rsidRPr="00E14BFC">
        <w:rPr>
          <w:color w:val="auto"/>
        </w:rPr>
        <w:t xml:space="preserve"> specific </w:t>
      </w:r>
      <w:r w:rsidR="00794F85" w:rsidRPr="00E14BFC">
        <w:rPr>
          <w:color w:val="auto"/>
        </w:rPr>
        <w:t xml:space="preserve">establishments </w:t>
      </w:r>
      <w:r w:rsidRPr="00E14BFC">
        <w:rPr>
          <w:color w:val="auto"/>
        </w:rPr>
        <w:t xml:space="preserve">due to the lack of available data. </w:t>
      </w:r>
    </w:p>
    <w:p w14:paraId="3CC2540B" w14:textId="64EECAD4" w:rsidR="00116285" w:rsidRPr="00E14BFC" w:rsidRDefault="00456549" w:rsidP="00652075">
      <w:pPr>
        <w:rPr>
          <w:color w:val="auto"/>
        </w:rPr>
      </w:pPr>
      <w:r w:rsidRPr="00E14BFC">
        <w:rPr>
          <w:color w:val="auto"/>
        </w:rPr>
        <w:t>There is a sufficient guidance for the costing of contracted care services. However, there are challenges in the identification of the underlying financial arrangements between the purchaser and provide</w:t>
      </w:r>
      <w:r w:rsidR="005B6CC4">
        <w:rPr>
          <w:color w:val="auto"/>
        </w:rPr>
        <w:t>r</w:t>
      </w:r>
      <w:r w:rsidRPr="00E14BFC">
        <w:rPr>
          <w:color w:val="auto"/>
        </w:rPr>
        <w:t xml:space="preserve"> of services. This makes it difficult to accurately allocate costs to specific line items. The contracted care costs reported to IHACPA are predominately</w:t>
      </w:r>
      <w:r w:rsidR="00131FF7" w:rsidRPr="00E14BFC">
        <w:rPr>
          <w:color w:val="auto"/>
        </w:rPr>
        <w:t xml:space="preserve"> based on the financial arrangements between </w:t>
      </w:r>
      <w:r w:rsidR="002A3C3E">
        <w:rPr>
          <w:color w:val="auto"/>
        </w:rPr>
        <w:t xml:space="preserve">local </w:t>
      </w:r>
      <w:r w:rsidR="00165A9A" w:rsidRPr="00E14BFC">
        <w:rPr>
          <w:color w:val="auto"/>
        </w:rPr>
        <w:t>health networks.</w:t>
      </w:r>
    </w:p>
    <w:p w14:paraId="061F0F87" w14:textId="06121CC0" w:rsidR="00116285" w:rsidRPr="00E96C8D" w:rsidRDefault="00116285" w:rsidP="00116285">
      <w:pPr>
        <w:pStyle w:val="Heading3"/>
      </w:pPr>
      <w:r w:rsidRPr="00E96C8D">
        <w:t xml:space="preserve">Stage 2 </w:t>
      </w:r>
      <w:r w:rsidR="0027397A">
        <w:t>and</w:t>
      </w:r>
      <w:r w:rsidRPr="00E96C8D">
        <w:t xml:space="preserve"> 3 </w:t>
      </w:r>
      <w:r w:rsidR="00B65B85">
        <w:t>–</w:t>
      </w:r>
      <w:r w:rsidRPr="00E96C8D">
        <w:t xml:space="preserve"> Create the Cost Ledger and Create Final Cost Centres</w:t>
      </w:r>
    </w:p>
    <w:p w14:paraId="618FF0EC" w14:textId="37E8226C" w:rsidR="00D013E8" w:rsidRPr="00E14BFC" w:rsidRDefault="00364FBF" w:rsidP="00D013E8">
      <w:pPr>
        <w:rPr>
          <w:color w:val="auto"/>
        </w:rPr>
      </w:pPr>
      <w:bookmarkStart w:id="31" w:name="_Hlk157601717"/>
      <w:r w:rsidRPr="00E14BFC">
        <w:rPr>
          <w:color w:val="auto"/>
        </w:rPr>
        <w:t xml:space="preserve">Victoria reported full compliance with </w:t>
      </w:r>
      <w:r w:rsidR="00B05BD2" w:rsidRPr="00E14BFC">
        <w:rPr>
          <w:color w:val="auto"/>
        </w:rPr>
        <w:t>the standards in</w:t>
      </w:r>
      <w:r w:rsidRPr="00E14BFC">
        <w:rPr>
          <w:color w:val="auto"/>
        </w:rPr>
        <w:t xml:space="preserve"> Sta</w:t>
      </w:r>
      <w:r w:rsidR="00B05BD2" w:rsidRPr="00E14BFC">
        <w:rPr>
          <w:color w:val="auto"/>
        </w:rPr>
        <w:t>ge</w:t>
      </w:r>
      <w:r w:rsidRPr="00E14BFC">
        <w:rPr>
          <w:color w:val="auto"/>
        </w:rPr>
        <w:t xml:space="preserve"> 2 and 3</w:t>
      </w:r>
      <w:r w:rsidR="00456549" w:rsidRPr="00E14BFC">
        <w:rPr>
          <w:color w:val="auto"/>
        </w:rPr>
        <w:t xml:space="preserve"> – </w:t>
      </w:r>
      <w:r w:rsidR="008846D6" w:rsidRPr="00E14BFC">
        <w:rPr>
          <w:color w:val="auto"/>
        </w:rPr>
        <w:t>create</w:t>
      </w:r>
      <w:r w:rsidR="00456549" w:rsidRPr="00E14BFC">
        <w:rPr>
          <w:color w:val="auto"/>
        </w:rPr>
        <w:t xml:space="preserve"> the cost ledger and final cost centres</w:t>
      </w:r>
      <w:bookmarkEnd w:id="31"/>
      <w:r w:rsidRPr="00E14BFC">
        <w:rPr>
          <w:color w:val="auto"/>
        </w:rPr>
        <w:t>.</w:t>
      </w:r>
      <w:r w:rsidR="00456549" w:rsidRPr="00E14BFC">
        <w:rPr>
          <w:color w:val="auto"/>
        </w:rPr>
        <w:t xml:space="preserve"> </w:t>
      </w:r>
      <w:r w:rsidR="00D013E8" w:rsidRPr="00E14BFC">
        <w:rPr>
          <w:color w:val="auto"/>
        </w:rPr>
        <w:t>However, t</w:t>
      </w:r>
      <w:r w:rsidR="00A213EB" w:rsidRPr="00E14BFC">
        <w:rPr>
          <w:color w:val="auto"/>
        </w:rPr>
        <w:t xml:space="preserve">here </w:t>
      </w:r>
      <w:r w:rsidR="00F377A4" w:rsidRPr="00E14BFC">
        <w:rPr>
          <w:color w:val="auto"/>
        </w:rPr>
        <w:t>in</w:t>
      </w:r>
      <w:r w:rsidR="00A213EB" w:rsidRPr="00E14BFC">
        <w:rPr>
          <w:color w:val="auto"/>
        </w:rPr>
        <w:t xml:space="preserve">consistency in the application of </w:t>
      </w:r>
      <w:r w:rsidR="00D013E8" w:rsidRPr="00E14BFC">
        <w:rPr>
          <w:color w:val="auto"/>
        </w:rPr>
        <w:t xml:space="preserve">the </w:t>
      </w:r>
      <w:r w:rsidR="00A213EB" w:rsidRPr="00E14BFC">
        <w:rPr>
          <w:color w:val="auto"/>
        </w:rPr>
        <w:t xml:space="preserve">standards and methodologies used for cost allocation across </w:t>
      </w:r>
      <w:r w:rsidR="00D013E8" w:rsidRPr="00E14BFC">
        <w:rPr>
          <w:color w:val="auto"/>
        </w:rPr>
        <w:t xml:space="preserve">the state. For example, there are variations in </w:t>
      </w:r>
      <w:r w:rsidR="007A59AB" w:rsidRPr="00E14BFC">
        <w:rPr>
          <w:color w:val="auto"/>
        </w:rPr>
        <w:t xml:space="preserve">processes </w:t>
      </w:r>
      <w:r w:rsidR="00D013E8" w:rsidRPr="00E14BFC">
        <w:rPr>
          <w:color w:val="auto"/>
        </w:rPr>
        <w:t xml:space="preserve">used to identify patients and </w:t>
      </w:r>
      <w:r w:rsidR="00DC6D00">
        <w:rPr>
          <w:color w:val="auto"/>
        </w:rPr>
        <w:t xml:space="preserve">service </w:t>
      </w:r>
      <w:r w:rsidR="00D013E8" w:rsidRPr="00E14BFC">
        <w:rPr>
          <w:color w:val="auto"/>
        </w:rPr>
        <w:t>dates.</w:t>
      </w:r>
      <w:r w:rsidR="000D6A6B">
        <w:rPr>
          <w:color w:val="auto"/>
        </w:rPr>
        <w:t xml:space="preserve"> </w:t>
      </w:r>
      <w:r w:rsidR="00D013E8" w:rsidRPr="00E14BFC">
        <w:rPr>
          <w:color w:val="auto"/>
        </w:rPr>
        <w:t xml:space="preserve">Relative value units (RVUs) are weighted units that reflect the comparative costs of production of one product or service against another, across the full range of products or services produced within the same department. </w:t>
      </w:r>
      <w:r w:rsidR="007A59AB" w:rsidRPr="00E14BFC">
        <w:rPr>
          <w:color w:val="auto"/>
        </w:rPr>
        <w:t>Victoria identified that each department and health service is unique and while the method used to calculate RVUs is relatively consistent, there may still be some variation.</w:t>
      </w:r>
    </w:p>
    <w:p w14:paraId="4D2E2AD2" w14:textId="5D443BC8" w:rsidR="00D013E8" w:rsidRPr="00E14BFC" w:rsidRDefault="00624E2D" w:rsidP="00652075">
      <w:pPr>
        <w:rPr>
          <w:color w:val="auto"/>
        </w:rPr>
      </w:pPr>
      <w:r w:rsidRPr="00E14BFC">
        <w:rPr>
          <w:color w:val="auto"/>
        </w:rPr>
        <w:lastRenderedPageBreak/>
        <w:t>E</w:t>
      </w:r>
      <w:r w:rsidR="00D013E8" w:rsidRPr="00E14BFC">
        <w:rPr>
          <w:color w:val="auto"/>
        </w:rPr>
        <w:t>ach health entity provides the Victorian Department of Health with a data quality statement to ensure the submission complies with the AHPCS and is appropriate for the NHCDC. The impact of COVID</w:t>
      </w:r>
      <w:r w:rsidR="00987BAC">
        <w:rPr>
          <w:color w:val="auto"/>
        </w:rPr>
        <w:t>-19</w:t>
      </w:r>
      <w:r w:rsidR="00D013E8" w:rsidRPr="00E14BFC">
        <w:rPr>
          <w:color w:val="auto"/>
        </w:rPr>
        <w:t xml:space="preserve"> has led to the separate handling of COVID</w:t>
      </w:r>
      <w:r w:rsidR="00987BAC">
        <w:rPr>
          <w:color w:val="auto"/>
        </w:rPr>
        <w:t>-19</w:t>
      </w:r>
      <w:r w:rsidR="00D013E8" w:rsidRPr="00E14BFC">
        <w:rPr>
          <w:color w:val="auto"/>
        </w:rPr>
        <w:t xml:space="preserve">-related costs, with subsequent changes to reporting guidelines. </w:t>
      </w:r>
    </w:p>
    <w:p w14:paraId="61D8BF55" w14:textId="264B8767" w:rsidR="00116285" w:rsidRPr="00E96C8D" w:rsidRDefault="00116285" w:rsidP="00116285">
      <w:pPr>
        <w:pStyle w:val="Heading3"/>
      </w:pPr>
      <w:r w:rsidRPr="00E96C8D">
        <w:t xml:space="preserve">Stage 4 </w:t>
      </w:r>
      <w:r w:rsidR="0027397A">
        <w:t>and</w:t>
      </w:r>
      <w:r w:rsidRPr="00E96C8D">
        <w:t xml:space="preserve"> 5 </w:t>
      </w:r>
      <w:r w:rsidR="00B65B85">
        <w:t>–</w:t>
      </w:r>
      <w:r w:rsidRPr="00E96C8D">
        <w:t xml:space="preserve"> Identify Products and Assign Expenses to Products</w:t>
      </w:r>
    </w:p>
    <w:p w14:paraId="4ECF013B" w14:textId="667A0CD8" w:rsidR="00D013E8" w:rsidRPr="00E14BFC" w:rsidRDefault="00CC50F8" w:rsidP="00D013E8">
      <w:pPr>
        <w:rPr>
          <w:color w:val="auto"/>
        </w:rPr>
      </w:pPr>
      <w:bookmarkStart w:id="32" w:name="_Hlk157601730"/>
      <w:r w:rsidRPr="00E14BFC">
        <w:rPr>
          <w:color w:val="auto"/>
        </w:rPr>
        <w:t>Victoria</w:t>
      </w:r>
      <w:r w:rsidR="00FC0811" w:rsidRPr="00E14BFC">
        <w:rPr>
          <w:color w:val="auto"/>
        </w:rPr>
        <w:t xml:space="preserve"> report</w:t>
      </w:r>
      <w:r w:rsidR="00D013E8" w:rsidRPr="00E14BFC">
        <w:rPr>
          <w:color w:val="auto"/>
        </w:rPr>
        <w:t>ed</w:t>
      </w:r>
      <w:r w:rsidR="00FC0811" w:rsidRPr="00E14BFC">
        <w:rPr>
          <w:color w:val="auto"/>
        </w:rPr>
        <w:t xml:space="preserve"> full compliance with </w:t>
      </w:r>
      <w:r w:rsidR="006379C2" w:rsidRPr="00E14BFC">
        <w:rPr>
          <w:color w:val="auto"/>
        </w:rPr>
        <w:t>the standards in Stages</w:t>
      </w:r>
      <w:r w:rsidR="00FC0811" w:rsidRPr="00E14BFC">
        <w:rPr>
          <w:color w:val="auto"/>
        </w:rPr>
        <w:t xml:space="preserve"> 4 and 5</w:t>
      </w:r>
      <w:r w:rsidR="006379C2" w:rsidRPr="00E14BFC">
        <w:rPr>
          <w:color w:val="auto"/>
        </w:rPr>
        <w:t xml:space="preserve"> </w:t>
      </w:r>
      <w:r w:rsidR="00D013E8" w:rsidRPr="00E14BFC">
        <w:rPr>
          <w:color w:val="auto"/>
        </w:rPr>
        <w:t xml:space="preserve">– </w:t>
      </w:r>
      <w:r w:rsidR="008846D6" w:rsidRPr="00E14BFC">
        <w:rPr>
          <w:rFonts w:cs="Arial"/>
          <w:color w:val="auto"/>
        </w:rPr>
        <w:t>identify products</w:t>
      </w:r>
      <w:r w:rsidR="00D013E8" w:rsidRPr="00E14BFC">
        <w:rPr>
          <w:rFonts w:cs="Arial"/>
          <w:color w:val="auto"/>
        </w:rPr>
        <w:t xml:space="preserve"> and assign expenses to products</w:t>
      </w:r>
      <w:r w:rsidR="00FC0811" w:rsidRPr="00E14BFC">
        <w:rPr>
          <w:color w:val="auto"/>
        </w:rPr>
        <w:t>.</w:t>
      </w:r>
      <w:bookmarkEnd w:id="32"/>
      <w:r w:rsidR="00FC0811" w:rsidRPr="00E14BFC">
        <w:rPr>
          <w:color w:val="auto"/>
        </w:rPr>
        <w:t xml:space="preserve"> </w:t>
      </w:r>
      <w:r w:rsidR="00D013E8" w:rsidRPr="00E14BFC">
        <w:rPr>
          <w:color w:val="auto"/>
        </w:rPr>
        <w:t>In instances where patient activity data is not available at the health service level, the expenses associated with delivering these services are costed at an aggregate level and allocated to patients using methods such as RVUs.</w:t>
      </w:r>
    </w:p>
    <w:p w14:paraId="042E4EB1" w14:textId="6D9536DD" w:rsidR="00D013E8" w:rsidRPr="00E14BFC" w:rsidRDefault="00D013E8" w:rsidP="00D013E8">
      <w:pPr>
        <w:rPr>
          <w:color w:val="auto"/>
        </w:rPr>
      </w:pPr>
      <w:r w:rsidRPr="00E14BFC">
        <w:rPr>
          <w:color w:val="auto"/>
        </w:rPr>
        <w:t xml:space="preserve">This costing process is guided by financial reporting, stakeholders, and the </w:t>
      </w:r>
      <w:r w:rsidR="00A7601A" w:rsidRPr="00E14BFC">
        <w:rPr>
          <w:color w:val="auto"/>
        </w:rPr>
        <w:t>VICABC</w:t>
      </w:r>
      <w:r w:rsidRPr="00E14BFC">
        <w:rPr>
          <w:color w:val="auto"/>
        </w:rPr>
        <w:t xml:space="preserve">. For example, for the non-admitted stream, there are instances where costs are reported at an aggregate level due to a lack of patient level data. Significant improvements have been made in the reporting of non-admitted </w:t>
      </w:r>
      <w:r w:rsidR="003B556B">
        <w:rPr>
          <w:color w:val="auto"/>
        </w:rPr>
        <w:t xml:space="preserve">patient care </w:t>
      </w:r>
      <w:r w:rsidRPr="00E14BFC">
        <w:rPr>
          <w:color w:val="auto"/>
        </w:rPr>
        <w:t>cost</w:t>
      </w:r>
      <w:r w:rsidR="003B556B">
        <w:rPr>
          <w:color w:val="auto"/>
        </w:rPr>
        <w:t>s</w:t>
      </w:r>
      <w:r w:rsidRPr="00E14BFC">
        <w:rPr>
          <w:color w:val="auto"/>
        </w:rPr>
        <w:t>. However, further collaboration with health services is required to advance activity-based reporting at patient level for non-admitted services.</w:t>
      </w:r>
    </w:p>
    <w:p w14:paraId="41AC07EC" w14:textId="5F7D694A" w:rsidR="00116285" w:rsidRPr="00E14BFC" w:rsidRDefault="00D013E8" w:rsidP="00652075">
      <w:pPr>
        <w:rPr>
          <w:color w:val="auto"/>
        </w:rPr>
      </w:pPr>
      <w:r w:rsidRPr="00E14BFC">
        <w:rPr>
          <w:color w:val="auto"/>
        </w:rPr>
        <w:t>It was noted that p</w:t>
      </w:r>
      <w:r w:rsidR="00FD16D1" w:rsidRPr="00E14BFC">
        <w:rPr>
          <w:color w:val="auto"/>
        </w:rPr>
        <w:t xml:space="preserve">osthumous organ donation expenses have been allocated to the associated </w:t>
      </w:r>
      <w:r w:rsidR="003D4597" w:rsidRPr="00E14BFC">
        <w:rPr>
          <w:color w:val="auto"/>
        </w:rPr>
        <w:t>products but</w:t>
      </w:r>
      <w:r w:rsidR="00FD16D1" w:rsidRPr="00E14BFC">
        <w:rPr>
          <w:color w:val="auto"/>
        </w:rPr>
        <w:t xml:space="preserve"> may not align with </w:t>
      </w:r>
      <w:r w:rsidR="007864BF" w:rsidRPr="00E14BFC">
        <w:rPr>
          <w:color w:val="auto"/>
        </w:rPr>
        <w:t xml:space="preserve">the relevant </w:t>
      </w:r>
      <w:r w:rsidR="00A43873" w:rsidRPr="00E14BFC">
        <w:rPr>
          <w:color w:val="auto"/>
        </w:rPr>
        <w:t xml:space="preserve">AHPCS </w:t>
      </w:r>
      <w:r w:rsidR="007864BF" w:rsidRPr="00E14BFC">
        <w:rPr>
          <w:color w:val="auto"/>
        </w:rPr>
        <w:t xml:space="preserve">costing </w:t>
      </w:r>
      <w:r w:rsidR="00A43873">
        <w:rPr>
          <w:color w:val="auto"/>
        </w:rPr>
        <w:t xml:space="preserve">standards and </w:t>
      </w:r>
      <w:r w:rsidR="007864BF" w:rsidRPr="00E14BFC">
        <w:rPr>
          <w:color w:val="auto"/>
        </w:rPr>
        <w:t>guideline</w:t>
      </w:r>
      <w:r w:rsidRPr="00E14BFC">
        <w:rPr>
          <w:color w:val="auto"/>
        </w:rPr>
        <w:t>.</w:t>
      </w:r>
    </w:p>
    <w:p w14:paraId="54C9CE39" w14:textId="33F661D0" w:rsidR="00116285" w:rsidRPr="00E96C8D" w:rsidRDefault="00116285" w:rsidP="00116285">
      <w:pPr>
        <w:pStyle w:val="Heading3"/>
      </w:pPr>
      <w:r w:rsidRPr="00E96C8D">
        <w:t xml:space="preserve">Stage 6 </w:t>
      </w:r>
      <w:r w:rsidR="00B65B85">
        <w:t>–</w:t>
      </w:r>
      <w:r w:rsidRPr="00E96C8D">
        <w:t xml:space="preserve"> Review and Reconcile</w:t>
      </w:r>
    </w:p>
    <w:p w14:paraId="11157BF0" w14:textId="43157346" w:rsidR="0081619A" w:rsidRPr="00E14BFC" w:rsidRDefault="00D013E8" w:rsidP="004D4D13">
      <w:pPr>
        <w:rPr>
          <w:color w:val="auto"/>
        </w:rPr>
      </w:pPr>
      <w:bookmarkStart w:id="33" w:name="_Hlk157601739"/>
      <w:r w:rsidRPr="00E14BFC">
        <w:rPr>
          <w:rFonts w:cs="Arial"/>
          <w:color w:val="auto"/>
        </w:rPr>
        <w:t>Victoria reported full compliance with the standards in Stage 6 – review and reconcile.</w:t>
      </w:r>
      <w:r w:rsidR="004D4D13" w:rsidRPr="00E14BFC">
        <w:rPr>
          <w:color w:val="auto"/>
        </w:rPr>
        <w:t xml:space="preserve"> </w:t>
      </w:r>
      <w:bookmarkEnd w:id="33"/>
      <w:r w:rsidR="004D4D13" w:rsidRPr="00E14BFC">
        <w:rPr>
          <w:color w:val="auto"/>
        </w:rPr>
        <w:t xml:space="preserve">The </w:t>
      </w:r>
      <w:r w:rsidR="00A7601A" w:rsidRPr="00E14BFC">
        <w:rPr>
          <w:color w:val="auto"/>
        </w:rPr>
        <w:t>VICABC</w:t>
      </w:r>
      <w:r w:rsidR="00A7601A" w:rsidRPr="00E14BFC" w:rsidDel="00A7601A">
        <w:rPr>
          <w:color w:val="auto"/>
        </w:rPr>
        <w:t xml:space="preserve"> </w:t>
      </w:r>
      <w:r w:rsidR="004D4D13" w:rsidRPr="00E14BFC">
        <w:rPr>
          <w:color w:val="auto"/>
        </w:rPr>
        <w:t xml:space="preserve">contains a </w:t>
      </w:r>
      <w:r w:rsidR="0048004D" w:rsidRPr="00E14BFC">
        <w:rPr>
          <w:color w:val="auto"/>
        </w:rPr>
        <w:t>comprehensive and robust data quality framework</w:t>
      </w:r>
      <w:r w:rsidR="008D7066" w:rsidRPr="00E14BFC">
        <w:rPr>
          <w:color w:val="auto"/>
        </w:rPr>
        <w:t xml:space="preserve">, </w:t>
      </w:r>
      <w:proofErr w:type="gramStart"/>
      <w:r w:rsidR="0048004D" w:rsidRPr="00E14BFC">
        <w:rPr>
          <w:color w:val="auto"/>
        </w:rPr>
        <w:t>assurance</w:t>
      </w:r>
      <w:proofErr w:type="gramEnd"/>
      <w:r w:rsidR="0048004D" w:rsidRPr="00E14BFC">
        <w:rPr>
          <w:color w:val="auto"/>
        </w:rPr>
        <w:t xml:space="preserve"> </w:t>
      </w:r>
      <w:r w:rsidR="008D7066" w:rsidRPr="00E14BFC">
        <w:rPr>
          <w:color w:val="auto"/>
        </w:rPr>
        <w:t xml:space="preserve">and </w:t>
      </w:r>
      <w:r w:rsidR="004D4D13" w:rsidRPr="00E14BFC">
        <w:rPr>
          <w:color w:val="auto"/>
        </w:rPr>
        <w:t>a</w:t>
      </w:r>
      <w:r w:rsidR="00116285" w:rsidRPr="00E14BFC">
        <w:rPr>
          <w:color w:val="auto"/>
        </w:rPr>
        <w:t xml:space="preserve"> </w:t>
      </w:r>
      <w:r w:rsidR="00ED2B78">
        <w:rPr>
          <w:color w:val="auto"/>
        </w:rPr>
        <w:t>5</w:t>
      </w:r>
      <w:r w:rsidR="00E96C8D" w:rsidRPr="00E14BFC">
        <w:rPr>
          <w:color w:val="auto"/>
        </w:rPr>
        <w:t>-stage</w:t>
      </w:r>
      <w:r w:rsidR="00116285" w:rsidRPr="00E14BFC">
        <w:rPr>
          <w:color w:val="auto"/>
        </w:rPr>
        <w:t xml:space="preserve"> process </w:t>
      </w:r>
      <w:r w:rsidR="00BA31E4" w:rsidRPr="00E14BFC">
        <w:rPr>
          <w:color w:val="auto"/>
        </w:rPr>
        <w:t>to guide the</w:t>
      </w:r>
      <w:r w:rsidR="004D4D13" w:rsidRPr="00E14BFC">
        <w:rPr>
          <w:color w:val="auto"/>
        </w:rPr>
        <w:t xml:space="preserve"> costing practitioners identify costing information and submission requirements. </w:t>
      </w:r>
      <w:r w:rsidR="007F2876" w:rsidRPr="00E14BFC">
        <w:rPr>
          <w:color w:val="auto"/>
        </w:rPr>
        <w:t xml:space="preserve">Each health </w:t>
      </w:r>
      <w:r w:rsidR="004D4D13" w:rsidRPr="00E14BFC">
        <w:rPr>
          <w:color w:val="auto"/>
        </w:rPr>
        <w:t xml:space="preserve">entity </w:t>
      </w:r>
      <w:r w:rsidR="007F2876" w:rsidRPr="00E14BFC">
        <w:rPr>
          <w:color w:val="auto"/>
        </w:rPr>
        <w:t xml:space="preserve">provides a </w:t>
      </w:r>
      <w:r w:rsidR="007A59AB" w:rsidRPr="00E14BFC">
        <w:rPr>
          <w:color w:val="auto"/>
        </w:rPr>
        <w:t xml:space="preserve">data quality </w:t>
      </w:r>
      <w:r w:rsidR="008210B4" w:rsidRPr="00E14BFC">
        <w:rPr>
          <w:color w:val="auto"/>
        </w:rPr>
        <w:t xml:space="preserve">statement </w:t>
      </w:r>
      <w:r w:rsidR="007F2876" w:rsidRPr="00E14BFC">
        <w:rPr>
          <w:color w:val="auto"/>
        </w:rPr>
        <w:t>to</w:t>
      </w:r>
      <w:r w:rsidR="004D4D13" w:rsidRPr="00E14BFC">
        <w:rPr>
          <w:color w:val="auto"/>
        </w:rPr>
        <w:t xml:space="preserve"> the</w:t>
      </w:r>
      <w:r w:rsidR="007F2876" w:rsidRPr="00E14BFC">
        <w:rPr>
          <w:color w:val="auto"/>
        </w:rPr>
        <w:t xml:space="preserve"> Victoria</w:t>
      </w:r>
      <w:r w:rsidR="004D4D13" w:rsidRPr="00E14BFC">
        <w:rPr>
          <w:color w:val="auto"/>
        </w:rPr>
        <w:t>n</w:t>
      </w:r>
      <w:r w:rsidR="007F2876" w:rsidRPr="00E14BFC">
        <w:rPr>
          <w:color w:val="auto"/>
        </w:rPr>
        <w:t xml:space="preserve"> </w:t>
      </w:r>
      <w:r w:rsidR="004D4D13" w:rsidRPr="00E14BFC">
        <w:rPr>
          <w:color w:val="auto"/>
        </w:rPr>
        <w:t>Department of Health</w:t>
      </w:r>
      <w:r w:rsidR="007F2876" w:rsidRPr="00E14BFC">
        <w:rPr>
          <w:color w:val="auto"/>
        </w:rPr>
        <w:t>, confirming their data preparation</w:t>
      </w:r>
      <w:r w:rsidR="007A59AB" w:rsidRPr="00E14BFC">
        <w:rPr>
          <w:color w:val="auto"/>
        </w:rPr>
        <w:t>, how the VICABC guidance has been applied</w:t>
      </w:r>
      <w:r w:rsidR="007F2876" w:rsidRPr="00E14BFC">
        <w:rPr>
          <w:color w:val="auto"/>
        </w:rPr>
        <w:t xml:space="preserve"> and</w:t>
      </w:r>
      <w:r w:rsidR="007A59AB" w:rsidRPr="00E14BFC">
        <w:rPr>
          <w:color w:val="auto"/>
        </w:rPr>
        <w:t xml:space="preserve"> that the</w:t>
      </w:r>
      <w:r w:rsidR="007F2876" w:rsidRPr="00E14BFC">
        <w:rPr>
          <w:color w:val="auto"/>
        </w:rPr>
        <w:t xml:space="preserve"> submission </w:t>
      </w:r>
      <w:r w:rsidR="004D4D13" w:rsidRPr="00E14BFC">
        <w:rPr>
          <w:color w:val="auto"/>
        </w:rPr>
        <w:t>compl</w:t>
      </w:r>
      <w:r w:rsidR="007A59AB" w:rsidRPr="00E14BFC">
        <w:rPr>
          <w:color w:val="auto"/>
        </w:rPr>
        <w:t>ies</w:t>
      </w:r>
      <w:r w:rsidR="004D4D13" w:rsidRPr="00E14BFC">
        <w:rPr>
          <w:color w:val="auto"/>
        </w:rPr>
        <w:t xml:space="preserve"> with the AHPCS</w:t>
      </w:r>
      <w:r w:rsidR="00116285" w:rsidRPr="00E14BFC">
        <w:rPr>
          <w:color w:val="auto"/>
        </w:rPr>
        <w:t xml:space="preserve">. </w:t>
      </w:r>
      <w:r w:rsidR="004D4D13" w:rsidRPr="00E14BFC">
        <w:rPr>
          <w:color w:val="auto"/>
        </w:rPr>
        <w:t xml:space="preserve">Victoria ensures continuous </w:t>
      </w:r>
      <w:r w:rsidR="00116285" w:rsidRPr="00E14BFC">
        <w:rPr>
          <w:color w:val="auto"/>
        </w:rPr>
        <w:t>improvements in guidelines</w:t>
      </w:r>
      <w:r w:rsidR="004D4D13" w:rsidRPr="00E14BFC">
        <w:rPr>
          <w:color w:val="auto"/>
        </w:rPr>
        <w:t xml:space="preserve"> and</w:t>
      </w:r>
      <w:r w:rsidR="00116285" w:rsidRPr="00E14BFC">
        <w:rPr>
          <w:color w:val="auto"/>
        </w:rPr>
        <w:t xml:space="preserve"> allocation methodologies</w:t>
      </w:r>
      <w:r w:rsidR="004D4D13" w:rsidRPr="00E14BFC">
        <w:rPr>
          <w:color w:val="auto"/>
        </w:rPr>
        <w:t xml:space="preserve"> through a m</w:t>
      </w:r>
      <w:r w:rsidR="00116285" w:rsidRPr="00E14BFC">
        <w:rPr>
          <w:color w:val="auto"/>
        </w:rPr>
        <w:t>onthly user group meetings</w:t>
      </w:r>
      <w:r w:rsidR="004D4D13" w:rsidRPr="00E14BFC">
        <w:rPr>
          <w:color w:val="auto"/>
        </w:rPr>
        <w:t xml:space="preserve"> with costing practitioners</w:t>
      </w:r>
      <w:r w:rsidR="00116285" w:rsidRPr="00E14BFC">
        <w:rPr>
          <w:color w:val="auto"/>
        </w:rPr>
        <w:t>.</w:t>
      </w:r>
    </w:p>
    <w:p w14:paraId="7A057EDC" w14:textId="3DF05E69" w:rsidR="00D35B4F" w:rsidRPr="00A20EEE" w:rsidRDefault="004D4D13" w:rsidP="00D35B4F">
      <w:pPr>
        <w:spacing w:before="160" w:line="259" w:lineRule="auto"/>
        <w:rPr>
          <w:color w:val="auto"/>
        </w:rPr>
      </w:pPr>
      <w:r w:rsidRPr="00E14BFC">
        <w:rPr>
          <w:color w:val="auto"/>
        </w:rPr>
        <w:t>Victoria</w:t>
      </w:r>
      <w:r w:rsidR="00D35B4F" w:rsidRPr="00E14BFC">
        <w:rPr>
          <w:color w:val="auto"/>
        </w:rPr>
        <w:t xml:space="preserve"> completes </w:t>
      </w:r>
      <w:r w:rsidRPr="00E14BFC">
        <w:rPr>
          <w:color w:val="auto"/>
        </w:rPr>
        <w:t xml:space="preserve">an </w:t>
      </w:r>
      <w:r w:rsidR="00D35B4F" w:rsidRPr="00E14BFC">
        <w:rPr>
          <w:color w:val="auto"/>
        </w:rPr>
        <w:t xml:space="preserve">internal quality assurance process to ensure the NHCDC </w:t>
      </w:r>
      <w:r w:rsidR="00DF1CF9" w:rsidRPr="00E14BFC">
        <w:rPr>
          <w:color w:val="auto"/>
        </w:rPr>
        <w:t>contains data</w:t>
      </w:r>
      <w:r w:rsidR="00D35B4F" w:rsidRPr="00E14BFC">
        <w:rPr>
          <w:color w:val="auto"/>
        </w:rPr>
        <w:t xml:space="preserve"> that can be used to develop the national efficient price. It has been </w:t>
      </w:r>
      <w:r w:rsidR="00A7601A" w:rsidRPr="00E14BFC">
        <w:rPr>
          <w:color w:val="auto"/>
        </w:rPr>
        <w:t xml:space="preserve">identified </w:t>
      </w:r>
      <w:r w:rsidR="00D35B4F" w:rsidRPr="00A20EEE">
        <w:rPr>
          <w:color w:val="auto"/>
        </w:rPr>
        <w:t xml:space="preserve">that </w:t>
      </w:r>
      <w:r w:rsidRPr="00A20EEE">
        <w:rPr>
          <w:color w:val="auto"/>
        </w:rPr>
        <w:t>Victoria</w:t>
      </w:r>
      <w:r w:rsidR="00D35B4F" w:rsidRPr="00A20EEE">
        <w:rPr>
          <w:color w:val="auto"/>
        </w:rPr>
        <w:t xml:space="preserve"> conducted several annual checks and assessments prior to a formal sign off by </w:t>
      </w:r>
      <w:r w:rsidRPr="00A20EEE">
        <w:rPr>
          <w:color w:val="auto"/>
        </w:rPr>
        <w:t xml:space="preserve">the Deputy Secretary </w:t>
      </w:r>
      <w:r w:rsidR="00D35B4F" w:rsidRPr="00A20EEE">
        <w:rPr>
          <w:color w:val="auto"/>
        </w:rPr>
        <w:t>to ensure a robust costing submission to IHACPA.</w:t>
      </w:r>
    </w:p>
    <w:p w14:paraId="74EF96EC" w14:textId="559E7895" w:rsidR="00D35B4F" w:rsidRPr="00E14BFC" w:rsidRDefault="00D35B4F" w:rsidP="00D35B4F">
      <w:pPr>
        <w:rPr>
          <w:color w:val="auto"/>
        </w:rPr>
      </w:pPr>
      <w:r w:rsidRPr="00A20EEE">
        <w:rPr>
          <w:color w:val="auto"/>
        </w:rPr>
        <w:t xml:space="preserve">To </w:t>
      </w:r>
      <w:r w:rsidRPr="00835A75">
        <w:rPr>
          <w:color w:val="auto"/>
        </w:rPr>
        <w:t xml:space="preserve">ensure all </w:t>
      </w:r>
      <w:r w:rsidR="008819E2">
        <w:rPr>
          <w:color w:val="auto"/>
        </w:rPr>
        <w:t>in-scope</w:t>
      </w:r>
      <w:r w:rsidR="008819E2" w:rsidRPr="00E14BFC">
        <w:rPr>
          <w:color w:val="auto"/>
        </w:rPr>
        <w:t xml:space="preserve"> </w:t>
      </w:r>
      <w:r w:rsidRPr="00835A75">
        <w:rPr>
          <w:color w:val="auto"/>
        </w:rPr>
        <w:t xml:space="preserve">cost have been included in the NHCDC 2021-22, a reconciliation review was completed between </w:t>
      </w:r>
      <w:r w:rsidR="008819E2">
        <w:rPr>
          <w:color w:val="auto"/>
        </w:rPr>
        <w:t xml:space="preserve">Victoria’s </w:t>
      </w:r>
      <w:r w:rsidRPr="00835A75">
        <w:rPr>
          <w:color w:val="auto"/>
        </w:rPr>
        <w:t xml:space="preserve">general ledger and the costs submitted to IHACPA. </w:t>
      </w:r>
      <w:r w:rsidR="004D4D13" w:rsidRPr="00A20EEE">
        <w:rPr>
          <w:color w:val="auto"/>
        </w:rPr>
        <w:t>Victoria’s</w:t>
      </w:r>
      <w:r w:rsidRPr="00A20EEE">
        <w:rPr>
          <w:color w:val="auto"/>
        </w:rPr>
        <w:t xml:space="preserve"> general ledger reconciles with the cost ledger as well as the</w:t>
      </w:r>
      <w:r w:rsidRPr="00E14BFC">
        <w:rPr>
          <w:color w:val="auto"/>
        </w:rPr>
        <w:t xml:space="preserve"> costs submitted to IHACPA.</w:t>
      </w:r>
    </w:p>
    <w:p w14:paraId="203879BB" w14:textId="006818B3" w:rsidR="007601E2" w:rsidRPr="00E14BFC" w:rsidRDefault="00F900A1">
      <w:pPr>
        <w:spacing w:line="259" w:lineRule="auto"/>
        <w:rPr>
          <w:color w:val="auto"/>
        </w:rPr>
      </w:pPr>
      <w:r w:rsidRPr="00E14BFC">
        <w:rPr>
          <w:color w:val="auto"/>
        </w:rPr>
        <w:br w:type="page"/>
      </w:r>
      <w:bookmarkStart w:id="34" w:name="_Toc157509659"/>
      <w:bookmarkStart w:id="35" w:name="_Toc157589291"/>
      <w:bookmarkStart w:id="36" w:name="_Toc157589352"/>
      <w:bookmarkStart w:id="37" w:name="_Toc157602350"/>
      <w:bookmarkStart w:id="38" w:name="_Toc157509660"/>
      <w:bookmarkStart w:id="39" w:name="_Toc157589292"/>
      <w:bookmarkStart w:id="40" w:name="_Toc157589353"/>
      <w:bookmarkStart w:id="41" w:name="_Toc157602351"/>
      <w:bookmarkStart w:id="42" w:name="_Toc157509665"/>
      <w:bookmarkStart w:id="43" w:name="_Toc157589297"/>
      <w:bookmarkStart w:id="44" w:name="_Toc157589358"/>
      <w:bookmarkStart w:id="45" w:name="_Toc157602356"/>
      <w:bookmarkStart w:id="46" w:name="_Toc157509678"/>
      <w:bookmarkStart w:id="47" w:name="_Toc157589310"/>
      <w:bookmarkStart w:id="48" w:name="_Toc157589371"/>
      <w:bookmarkStart w:id="49" w:name="_Toc157602369"/>
      <w:bookmarkStart w:id="50" w:name="_Toc157509682"/>
      <w:bookmarkStart w:id="51" w:name="_Toc157589314"/>
      <w:bookmarkStart w:id="52" w:name="_Toc157589375"/>
      <w:bookmarkStart w:id="53" w:name="_Toc157602373"/>
      <w:bookmarkStart w:id="54" w:name="_Toc153890170"/>
      <w:bookmarkEnd w:id="2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E0EDC13" w14:textId="767FCF16" w:rsidR="00FE5F0C" w:rsidRPr="00E96C8D" w:rsidRDefault="00FE5F0C" w:rsidP="00267630">
      <w:pPr>
        <w:pStyle w:val="Heading1"/>
      </w:pPr>
      <w:bookmarkStart w:id="55" w:name="_Toc157776705"/>
      <w:r w:rsidRPr="00E96C8D">
        <w:lastRenderedPageBreak/>
        <w:t>Queensland</w:t>
      </w:r>
      <w:bookmarkEnd w:id="54"/>
      <w:bookmarkEnd w:id="55"/>
    </w:p>
    <w:p w14:paraId="32AB83F2" w14:textId="77777777" w:rsidR="00040E21" w:rsidRDefault="00040E21" w:rsidP="003C21B3">
      <w:pPr>
        <w:pStyle w:val="Heading2"/>
      </w:pPr>
      <w:r>
        <w:t>Summary</w:t>
      </w:r>
    </w:p>
    <w:p w14:paraId="4619FF29" w14:textId="7C81BF68" w:rsidR="006E0609" w:rsidRPr="00E14BFC" w:rsidRDefault="006E0609" w:rsidP="006E0609">
      <w:pPr>
        <w:rPr>
          <w:color w:val="auto"/>
        </w:rPr>
      </w:pPr>
      <w:r w:rsidRPr="00E14BFC">
        <w:rPr>
          <w:color w:val="auto"/>
        </w:rPr>
        <w:t xml:space="preserve">Queensland submitted cost data from </w:t>
      </w:r>
      <w:r w:rsidR="007B7CF1" w:rsidRPr="00E14BFC">
        <w:rPr>
          <w:color w:val="auto"/>
        </w:rPr>
        <w:t xml:space="preserve">349 </w:t>
      </w:r>
      <w:r w:rsidRPr="00E14BFC">
        <w:rPr>
          <w:color w:val="auto"/>
        </w:rPr>
        <w:t>hospitals</w:t>
      </w:r>
      <w:r w:rsidR="007B7CF1" w:rsidRPr="00E14BFC">
        <w:rPr>
          <w:color w:val="auto"/>
        </w:rPr>
        <w:t xml:space="preserve"> (including health service</w:t>
      </w:r>
      <w:r w:rsidR="00F55D89" w:rsidRPr="00E14BFC">
        <w:rPr>
          <w:color w:val="auto"/>
        </w:rPr>
        <w:t>s</w:t>
      </w:r>
      <w:r w:rsidR="007B7CF1" w:rsidRPr="00E14BFC">
        <w:rPr>
          <w:color w:val="auto"/>
        </w:rPr>
        <w:t>)</w:t>
      </w:r>
      <w:r w:rsidR="00516F1B" w:rsidRPr="00E14BFC">
        <w:rPr>
          <w:color w:val="auto"/>
        </w:rPr>
        <w:t xml:space="preserve"> across </w:t>
      </w:r>
      <w:r w:rsidR="002605D4" w:rsidRPr="003852E3">
        <w:rPr>
          <w:color w:val="auto"/>
        </w:rPr>
        <w:t>16</w:t>
      </w:r>
      <w:r w:rsidR="00516F1B" w:rsidRPr="00DC6D00">
        <w:rPr>
          <w:color w:val="auto"/>
        </w:rPr>
        <w:t xml:space="preserve"> </w:t>
      </w:r>
      <w:r w:rsidR="00A7601A" w:rsidRPr="00DC6D00">
        <w:rPr>
          <w:color w:val="auto"/>
        </w:rPr>
        <w:t>H</w:t>
      </w:r>
      <w:r w:rsidR="00A7601A" w:rsidRPr="00E14BFC">
        <w:rPr>
          <w:color w:val="auto"/>
        </w:rPr>
        <w:t>ospital and Health Services (</w:t>
      </w:r>
      <w:r w:rsidR="00516F1B" w:rsidRPr="00E14BFC">
        <w:rPr>
          <w:color w:val="auto"/>
        </w:rPr>
        <w:t>HHS</w:t>
      </w:r>
      <w:r w:rsidR="00A7601A" w:rsidRPr="00E14BFC">
        <w:rPr>
          <w:color w:val="auto"/>
        </w:rPr>
        <w:t>)</w:t>
      </w:r>
      <w:r w:rsidRPr="00E14BFC">
        <w:rPr>
          <w:color w:val="auto"/>
        </w:rPr>
        <w:t xml:space="preserve"> with </w:t>
      </w:r>
      <w:r w:rsidR="00EF0B2A" w:rsidRPr="00E14BFC">
        <w:rPr>
          <w:color w:val="auto"/>
        </w:rPr>
        <w:t>12</w:t>
      </w:r>
      <w:r w:rsidRPr="00E14BFC">
        <w:rPr>
          <w:color w:val="auto"/>
        </w:rPr>
        <w:t>.</w:t>
      </w:r>
      <w:r w:rsidR="00EF0B2A" w:rsidRPr="00E14BFC">
        <w:rPr>
          <w:color w:val="auto"/>
        </w:rPr>
        <w:t>6</w:t>
      </w:r>
      <w:r w:rsidRPr="00E14BFC">
        <w:rPr>
          <w:color w:val="auto"/>
        </w:rPr>
        <w:t xml:space="preserve"> million records and a cost of $1</w:t>
      </w:r>
      <w:r w:rsidR="00D563DD" w:rsidRPr="00E14BFC">
        <w:rPr>
          <w:color w:val="auto"/>
        </w:rPr>
        <w:t>4</w:t>
      </w:r>
      <w:r w:rsidRPr="00E14BFC">
        <w:rPr>
          <w:color w:val="auto"/>
        </w:rPr>
        <w:t xml:space="preserve">.0 billion in 2021-22. </w:t>
      </w:r>
      <w:r w:rsidR="00CD48C3" w:rsidRPr="00E14BFC">
        <w:rPr>
          <w:color w:val="auto"/>
        </w:rPr>
        <w:t xml:space="preserve">IHACPA consulted Queensland to confirm the Standards were correctly applied and reviewed any exceptions. </w:t>
      </w:r>
      <w:r w:rsidRPr="00E14BFC">
        <w:rPr>
          <w:color w:val="auto"/>
        </w:rPr>
        <w:t>The bilateral meeting also reviewed costs in the general ledger to ensure they reconciled with the cost data submitted and discussed the future of the independent financial review.</w:t>
      </w:r>
    </w:p>
    <w:p w14:paraId="5BD95F87" w14:textId="4EF61F7A" w:rsidR="00C21391" w:rsidRPr="00E14BFC" w:rsidRDefault="00916A6A" w:rsidP="00DC12F9">
      <w:pPr>
        <w:rPr>
          <w:color w:val="auto"/>
        </w:rPr>
      </w:pPr>
      <w:r w:rsidRPr="00E14BFC">
        <w:rPr>
          <w:color w:val="auto"/>
        </w:rPr>
        <w:t xml:space="preserve">No issues are reported with the allocation process and strategies are in place to ensure </w:t>
      </w:r>
      <w:r w:rsidR="00206E32">
        <w:rPr>
          <w:color w:val="auto"/>
        </w:rPr>
        <w:t xml:space="preserve">all </w:t>
      </w:r>
      <w:r w:rsidRPr="00E14BFC">
        <w:rPr>
          <w:color w:val="auto"/>
        </w:rPr>
        <w:t>costs are appropriately included and excluded. Costs are rigorously allocated to patients to ensure appropriate allocations across patient journeys.</w:t>
      </w:r>
      <w:r w:rsidR="000115A3" w:rsidRPr="00E14BFC">
        <w:rPr>
          <w:color w:val="auto"/>
        </w:rPr>
        <w:t xml:space="preserve"> </w:t>
      </w:r>
      <w:r w:rsidRPr="00E14BFC">
        <w:rPr>
          <w:color w:val="auto"/>
        </w:rPr>
        <w:t xml:space="preserve">Standardised </w:t>
      </w:r>
      <w:r w:rsidR="00553FE7">
        <w:rPr>
          <w:color w:val="auto"/>
        </w:rPr>
        <w:t xml:space="preserve">general </w:t>
      </w:r>
      <w:r w:rsidRPr="00E14BFC">
        <w:rPr>
          <w:color w:val="auto"/>
        </w:rPr>
        <w:t>ledgers</w:t>
      </w:r>
      <w:r w:rsidR="00282DBC" w:rsidRPr="00E14BFC">
        <w:rPr>
          <w:color w:val="auto"/>
        </w:rPr>
        <w:t xml:space="preserve"> are</w:t>
      </w:r>
      <w:r w:rsidRPr="00E14BFC">
        <w:rPr>
          <w:color w:val="auto"/>
        </w:rPr>
        <w:t xml:space="preserve"> in place to ensure ledgers flow across H</w:t>
      </w:r>
      <w:r w:rsidR="008148C6" w:rsidRPr="00E14BFC">
        <w:rPr>
          <w:color w:val="auto"/>
        </w:rPr>
        <w:t>H</w:t>
      </w:r>
      <w:r w:rsidRPr="00E14BFC">
        <w:rPr>
          <w:color w:val="auto"/>
        </w:rPr>
        <w:t>S’ and all third-party costs are appropriately allocated with billings to relevant entities.</w:t>
      </w:r>
    </w:p>
    <w:p w14:paraId="70047407" w14:textId="2FED95CC" w:rsidR="00F056EF" w:rsidRPr="00A11E72" w:rsidRDefault="00F056EF" w:rsidP="003C21B3">
      <w:pPr>
        <w:pStyle w:val="Heading2"/>
        <w:rPr>
          <w:bCs/>
        </w:rPr>
      </w:pPr>
      <w:bookmarkStart w:id="56" w:name="_Toc153890171"/>
      <w:r w:rsidRPr="008A4B1E">
        <w:rPr>
          <w:bCs/>
        </w:rPr>
        <w:t>Australian Hospital Patient Costing Standards</w:t>
      </w:r>
      <w:bookmarkEnd w:id="56"/>
    </w:p>
    <w:p w14:paraId="519877E0" w14:textId="4306F4CE" w:rsidR="00E02893" w:rsidRPr="00E96C8D" w:rsidRDefault="00E02893" w:rsidP="00267630">
      <w:pPr>
        <w:pStyle w:val="Heading3"/>
      </w:pPr>
      <w:r w:rsidRPr="00E96C8D">
        <w:t>Stage 1 – Identify Relevant Expenses</w:t>
      </w:r>
    </w:p>
    <w:p w14:paraId="3A4CEBFE" w14:textId="39145121" w:rsidR="0002470B" w:rsidRPr="00E14BFC" w:rsidRDefault="00E70DF5" w:rsidP="00652075">
      <w:pPr>
        <w:pStyle w:val="ListLevel1"/>
        <w:numPr>
          <w:ilvl w:val="0"/>
          <w:numId w:val="0"/>
        </w:numPr>
        <w:contextualSpacing w:val="0"/>
        <w:rPr>
          <w:color w:val="auto"/>
        </w:rPr>
      </w:pPr>
      <w:r w:rsidRPr="00E14BFC">
        <w:rPr>
          <w:color w:val="auto"/>
        </w:rPr>
        <w:t>Queensland report</w:t>
      </w:r>
      <w:r w:rsidR="006379C2" w:rsidRPr="00E14BFC">
        <w:rPr>
          <w:color w:val="auto"/>
        </w:rPr>
        <w:t>ed</w:t>
      </w:r>
      <w:r w:rsidRPr="00E14BFC">
        <w:rPr>
          <w:color w:val="auto"/>
        </w:rPr>
        <w:t xml:space="preserve"> full compliance with</w:t>
      </w:r>
      <w:r w:rsidR="0002470B" w:rsidRPr="00E14BFC">
        <w:rPr>
          <w:color w:val="auto"/>
        </w:rPr>
        <w:t xml:space="preserve"> the standards in Stage 1 – </w:t>
      </w:r>
      <w:r w:rsidR="007A59AB" w:rsidRPr="00E14BFC">
        <w:rPr>
          <w:color w:val="auto"/>
        </w:rPr>
        <w:t>identify relevant expenses</w:t>
      </w:r>
      <w:r w:rsidR="003C6654" w:rsidRPr="00E14BFC">
        <w:rPr>
          <w:color w:val="auto"/>
        </w:rPr>
        <w:t>.</w:t>
      </w:r>
      <w:r w:rsidR="0002470B" w:rsidRPr="00E14BFC">
        <w:rPr>
          <w:color w:val="auto"/>
        </w:rPr>
        <w:t xml:space="preserve"> Queensland Health operates a unified state-wide general ledger where each HHS maintains a subledger within the overarching main ledger. All costs related to the provision of public health services by Queensland Health are consolidated within the ledger.</w:t>
      </w:r>
      <w:r w:rsidR="00F10283" w:rsidRPr="00E14BFC">
        <w:rPr>
          <w:color w:val="auto"/>
        </w:rPr>
        <w:t xml:space="preserve"> </w:t>
      </w:r>
      <w:r w:rsidR="005D235A" w:rsidRPr="00E14BFC">
        <w:rPr>
          <w:color w:val="auto"/>
        </w:rPr>
        <w:t xml:space="preserve">Virtual </w:t>
      </w:r>
      <w:r w:rsidR="00F10283" w:rsidRPr="00E14BFC">
        <w:rPr>
          <w:color w:val="auto"/>
        </w:rPr>
        <w:t>patients are used when patient level data is not available</w:t>
      </w:r>
      <w:r w:rsidR="007A59AB" w:rsidRPr="00E14BFC">
        <w:rPr>
          <w:color w:val="auto"/>
        </w:rPr>
        <w:t xml:space="preserve">, rather than </w:t>
      </w:r>
      <w:r w:rsidR="00A20EEE" w:rsidRPr="00E14BFC">
        <w:rPr>
          <w:color w:val="auto"/>
        </w:rPr>
        <w:t>divid</w:t>
      </w:r>
      <w:r w:rsidR="00A20EEE">
        <w:rPr>
          <w:color w:val="auto"/>
        </w:rPr>
        <w:t xml:space="preserve">ing </w:t>
      </w:r>
      <w:r w:rsidR="005D235A" w:rsidRPr="00E14BFC">
        <w:rPr>
          <w:color w:val="auto"/>
        </w:rPr>
        <w:t xml:space="preserve">the cost across </w:t>
      </w:r>
      <w:r w:rsidR="007A59AB" w:rsidRPr="00E14BFC">
        <w:rPr>
          <w:color w:val="auto"/>
        </w:rPr>
        <w:t>other patients, so the cost of treatment is accurately reflected in the submission</w:t>
      </w:r>
      <w:r w:rsidR="00F10283" w:rsidRPr="00E14BFC">
        <w:rPr>
          <w:color w:val="auto"/>
        </w:rPr>
        <w:t>.</w:t>
      </w:r>
    </w:p>
    <w:p w14:paraId="2F10BA5A" w14:textId="562C810B" w:rsidR="001B23DF" w:rsidRPr="00E14BFC" w:rsidRDefault="0002470B" w:rsidP="00652075">
      <w:pPr>
        <w:pStyle w:val="ListLevel1"/>
        <w:numPr>
          <w:ilvl w:val="0"/>
          <w:numId w:val="0"/>
        </w:numPr>
        <w:contextualSpacing w:val="0"/>
        <w:rPr>
          <w:color w:val="auto"/>
        </w:rPr>
      </w:pPr>
      <w:r w:rsidRPr="00E14BFC">
        <w:rPr>
          <w:color w:val="auto"/>
        </w:rPr>
        <w:t>There is no offsetting of expenses with revenue accounts with the Pharmaceuticals Benefits Scheme (PBS) and Medicare Benefits Schedule (MBS)</w:t>
      </w:r>
      <w:r w:rsidRPr="00E14BFC" w:rsidDel="0002470B">
        <w:rPr>
          <w:color w:val="auto"/>
        </w:rPr>
        <w:t xml:space="preserve"> </w:t>
      </w:r>
      <w:r w:rsidR="0051569D" w:rsidRPr="00E14BFC">
        <w:rPr>
          <w:color w:val="auto"/>
        </w:rPr>
        <w:t xml:space="preserve">data incorporated into revenue accounts. </w:t>
      </w:r>
      <w:r w:rsidR="001B23DF" w:rsidRPr="00E14BFC">
        <w:rPr>
          <w:color w:val="auto"/>
        </w:rPr>
        <w:t xml:space="preserve">For external business units, only actual expenses are recorded in the ledger for the </w:t>
      </w:r>
      <w:r w:rsidRPr="00E14BFC">
        <w:rPr>
          <w:color w:val="auto"/>
        </w:rPr>
        <w:t>HHS’</w:t>
      </w:r>
      <w:r w:rsidR="001B23DF" w:rsidRPr="00E14BFC">
        <w:rPr>
          <w:color w:val="auto"/>
        </w:rPr>
        <w:t xml:space="preserve"> consuming these services.</w:t>
      </w:r>
    </w:p>
    <w:p w14:paraId="236208BE" w14:textId="7C443597" w:rsidR="00E02893" w:rsidRPr="00E96C8D" w:rsidRDefault="00E02893" w:rsidP="00267630">
      <w:pPr>
        <w:pStyle w:val="Heading3"/>
      </w:pPr>
      <w:r w:rsidRPr="00E96C8D">
        <w:t xml:space="preserve">Stage 2 </w:t>
      </w:r>
      <w:r w:rsidR="0027397A">
        <w:t>and</w:t>
      </w:r>
      <w:r w:rsidRPr="00E96C8D">
        <w:t xml:space="preserve"> 3 </w:t>
      </w:r>
      <w:r w:rsidR="00B65B85">
        <w:t>–</w:t>
      </w:r>
      <w:r w:rsidRPr="00E96C8D">
        <w:t xml:space="preserve"> Create the Cost Ledger and Create Final Cost Centres</w:t>
      </w:r>
    </w:p>
    <w:p w14:paraId="45B4D361" w14:textId="3DDF32D2" w:rsidR="00C06E8A" w:rsidRPr="00E14BFC" w:rsidRDefault="00B5057E" w:rsidP="00C06E8A">
      <w:pPr>
        <w:rPr>
          <w:color w:val="auto"/>
        </w:rPr>
      </w:pPr>
      <w:r w:rsidRPr="00E14BFC">
        <w:rPr>
          <w:color w:val="auto"/>
        </w:rPr>
        <w:t>Queensland report</w:t>
      </w:r>
      <w:r w:rsidR="006379C2" w:rsidRPr="00E14BFC">
        <w:rPr>
          <w:color w:val="auto"/>
        </w:rPr>
        <w:t>ed</w:t>
      </w:r>
      <w:r w:rsidRPr="00E14BFC">
        <w:rPr>
          <w:color w:val="auto"/>
        </w:rPr>
        <w:t xml:space="preserve"> </w:t>
      </w:r>
      <w:r w:rsidR="00C06E8A" w:rsidRPr="00E14BFC">
        <w:rPr>
          <w:color w:val="auto"/>
        </w:rPr>
        <w:t xml:space="preserve">full </w:t>
      </w:r>
      <w:r w:rsidRPr="00E14BFC">
        <w:rPr>
          <w:color w:val="auto"/>
        </w:rPr>
        <w:t xml:space="preserve">compliance with </w:t>
      </w:r>
      <w:r w:rsidR="006379C2" w:rsidRPr="00E14BFC">
        <w:rPr>
          <w:color w:val="auto"/>
        </w:rPr>
        <w:t>the standards in Stages</w:t>
      </w:r>
      <w:r w:rsidRPr="00E14BFC">
        <w:rPr>
          <w:color w:val="auto"/>
        </w:rPr>
        <w:t xml:space="preserve"> 2 and 3</w:t>
      </w:r>
      <w:r w:rsidR="006379C2" w:rsidRPr="00E14BFC">
        <w:rPr>
          <w:color w:val="auto"/>
        </w:rPr>
        <w:t xml:space="preserve"> </w:t>
      </w:r>
      <w:r w:rsidR="00F10283" w:rsidRPr="00E14BFC">
        <w:rPr>
          <w:color w:val="auto"/>
        </w:rPr>
        <w:t xml:space="preserve">– </w:t>
      </w:r>
      <w:r w:rsidR="005D235A" w:rsidRPr="00E14BFC">
        <w:rPr>
          <w:color w:val="auto"/>
        </w:rPr>
        <w:t>create</w:t>
      </w:r>
      <w:r w:rsidR="00F10283" w:rsidRPr="00E14BFC">
        <w:rPr>
          <w:color w:val="auto"/>
        </w:rPr>
        <w:t xml:space="preserve"> the cost ledger and final cost centres.</w:t>
      </w:r>
      <w:r w:rsidR="00C06E8A" w:rsidRPr="00E14BFC">
        <w:rPr>
          <w:color w:val="auto"/>
        </w:rPr>
        <w:t xml:space="preserve"> A</w:t>
      </w:r>
      <w:r w:rsidR="005D235A" w:rsidRPr="00E14BFC">
        <w:rPr>
          <w:color w:val="auto"/>
        </w:rPr>
        <w:t xml:space="preserve"> virtual patient </w:t>
      </w:r>
      <w:r w:rsidR="00C06E8A" w:rsidRPr="00E14BFC">
        <w:rPr>
          <w:color w:val="auto"/>
        </w:rPr>
        <w:t>is created to attribute patient-level data when the</w:t>
      </w:r>
      <w:r w:rsidR="005D235A" w:rsidRPr="00E14BFC">
        <w:rPr>
          <w:color w:val="auto"/>
        </w:rPr>
        <w:t xml:space="preserve"> data for services are not at the patient level</w:t>
      </w:r>
      <w:r w:rsidR="00C06E8A" w:rsidRPr="00E14BFC">
        <w:rPr>
          <w:color w:val="auto"/>
        </w:rPr>
        <w:t>.</w:t>
      </w:r>
    </w:p>
    <w:p w14:paraId="71F3B557" w14:textId="42CE8E86" w:rsidR="00A20EEE" w:rsidRPr="00E14BFC" w:rsidRDefault="00C06E8A" w:rsidP="00835A75">
      <w:pPr>
        <w:rPr>
          <w:color w:val="auto"/>
        </w:rPr>
      </w:pPr>
      <w:r w:rsidRPr="00E14BFC">
        <w:rPr>
          <w:color w:val="auto"/>
        </w:rPr>
        <w:t>Queensland does not utilise product fractions, which are ratios applied to production cost centres that relate to the various product categories associated with patient or non-patient products. T</w:t>
      </w:r>
      <w:r w:rsidR="00681FA2" w:rsidRPr="00E14BFC">
        <w:rPr>
          <w:color w:val="auto"/>
        </w:rPr>
        <w:t xml:space="preserve">he </w:t>
      </w:r>
      <w:r w:rsidRPr="00E14BFC">
        <w:rPr>
          <w:color w:val="auto"/>
        </w:rPr>
        <w:t xml:space="preserve">cost </w:t>
      </w:r>
      <w:r w:rsidR="00681FA2" w:rsidRPr="00E14BFC">
        <w:rPr>
          <w:color w:val="auto"/>
        </w:rPr>
        <w:t>allocation is based on</w:t>
      </w:r>
      <w:r w:rsidRPr="00E14BFC">
        <w:rPr>
          <w:color w:val="auto"/>
        </w:rPr>
        <w:t xml:space="preserve"> the expenses incurred to match </w:t>
      </w:r>
      <w:r w:rsidR="00681FA2" w:rsidRPr="00E14BFC">
        <w:rPr>
          <w:color w:val="auto"/>
        </w:rPr>
        <w:t xml:space="preserve">the patient journey as much as possible. </w:t>
      </w:r>
      <w:r w:rsidRPr="00E14BFC">
        <w:rPr>
          <w:color w:val="auto"/>
        </w:rPr>
        <w:t xml:space="preserve">However, </w:t>
      </w:r>
      <w:r w:rsidR="00681FA2" w:rsidRPr="00E14BFC">
        <w:rPr>
          <w:color w:val="auto"/>
        </w:rPr>
        <w:t>RVU</w:t>
      </w:r>
      <w:r w:rsidRPr="00E14BFC">
        <w:rPr>
          <w:color w:val="auto"/>
        </w:rPr>
        <w:t xml:space="preserve">s are used where appropriate </w:t>
      </w:r>
      <w:r w:rsidR="00681FA2" w:rsidRPr="00E14BFC">
        <w:rPr>
          <w:color w:val="auto"/>
        </w:rPr>
        <w:t xml:space="preserve">as per </w:t>
      </w:r>
      <w:r w:rsidRPr="00E14BFC">
        <w:rPr>
          <w:color w:val="auto"/>
        </w:rPr>
        <w:t>the Standards</w:t>
      </w:r>
      <w:r w:rsidR="00681FA2" w:rsidRPr="00F02B9A">
        <w:t>.</w:t>
      </w:r>
      <w:r w:rsidR="00A20EEE">
        <w:t xml:space="preserve"> </w:t>
      </w:r>
    </w:p>
    <w:p w14:paraId="383913E9" w14:textId="38AF09F5" w:rsidR="00E02893" w:rsidRPr="00E96C8D" w:rsidRDefault="00E02893" w:rsidP="00267630">
      <w:pPr>
        <w:pStyle w:val="Heading3"/>
      </w:pPr>
      <w:r w:rsidRPr="00E96C8D">
        <w:lastRenderedPageBreak/>
        <w:t xml:space="preserve">Stage 4 </w:t>
      </w:r>
      <w:r w:rsidR="0027397A">
        <w:t>and</w:t>
      </w:r>
      <w:r w:rsidRPr="00E96C8D">
        <w:t xml:space="preserve"> 5 </w:t>
      </w:r>
      <w:r w:rsidR="00B65B85">
        <w:t>–</w:t>
      </w:r>
      <w:r w:rsidRPr="00E96C8D">
        <w:t xml:space="preserve"> Identify Products and Assign Expenses to Products</w:t>
      </w:r>
    </w:p>
    <w:p w14:paraId="7399B2C3" w14:textId="773B19F6" w:rsidR="00C06E8A" w:rsidRPr="00E14BFC" w:rsidRDefault="00F97EAB" w:rsidP="00F97EAB">
      <w:pPr>
        <w:rPr>
          <w:color w:val="auto"/>
        </w:rPr>
      </w:pPr>
      <w:r w:rsidRPr="00E14BFC">
        <w:rPr>
          <w:color w:val="auto"/>
        </w:rPr>
        <w:t>Queensland report</w:t>
      </w:r>
      <w:r w:rsidR="00C06E8A" w:rsidRPr="00E14BFC">
        <w:rPr>
          <w:color w:val="auto"/>
        </w:rPr>
        <w:t xml:space="preserve">ed </w:t>
      </w:r>
      <w:r w:rsidRPr="00E14BFC">
        <w:rPr>
          <w:color w:val="auto"/>
        </w:rPr>
        <w:t>full compliance with</w:t>
      </w:r>
      <w:r w:rsidR="00C06E8A" w:rsidRPr="00E14BFC">
        <w:rPr>
          <w:color w:val="auto"/>
        </w:rPr>
        <w:t xml:space="preserve"> the standards in Stages 4 and 5 – </w:t>
      </w:r>
      <w:r w:rsidR="005D235A" w:rsidRPr="00E14BFC">
        <w:rPr>
          <w:rFonts w:cs="Arial"/>
          <w:color w:val="auto"/>
        </w:rPr>
        <w:t>identify</w:t>
      </w:r>
      <w:r w:rsidR="00C06E8A" w:rsidRPr="00E14BFC">
        <w:rPr>
          <w:rFonts w:cs="Arial"/>
          <w:color w:val="auto"/>
        </w:rPr>
        <w:t xml:space="preserve"> </w:t>
      </w:r>
      <w:r w:rsidR="005D235A" w:rsidRPr="00E14BFC">
        <w:rPr>
          <w:rFonts w:cs="Arial"/>
          <w:color w:val="auto"/>
        </w:rPr>
        <w:t xml:space="preserve">products </w:t>
      </w:r>
      <w:r w:rsidR="00C06E8A" w:rsidRPr="00E14BFC">
        <w:rPr>
          <w:rFonts w:cs="Arial"/>
          <w:color w:val="auto"/>
        </w:rPr>
        <w:t xml:space="preserve">and </w:t>
      </w:r>
      <w:r w:rsidR="005D235A" w:rsidRPr="00E14BFC">
        <w:rPr>
          <w:rFonts w:cs="Arial"/>
          <w:color w:val="auto"/>
        </w:rPr>
        <w:t xml:space="preserve">assign </w:t>
      </w:r>
      <w:r w:rsidR="00C06E8A" w:rsidRPr="00E14BFC">
        <w:rPr>
          <w:rFonts w:cs="Arial"/>
          <w:color w:val="auto"/>
        </w:rPr>
        <w:t>expenses to products</w:t>
      </w:r>
      <w:r w:rsidR="00C06E8A" w:rsidRPr="00E14BFC">
        <w:rPr>
          <w:color w:val="auto"/>
        </w:rPr>
        <w:t>. Patient transport and third-party costs are allocated to the relevant patient where possible. However, if the cost data is unavailable, costs are allocated to virtual patients</w:t>
      </w:r>
      <w:r w:rsidR="00A20EEE">
        <w:rPr>
          <w:color w:val="auto"/>
        </w:rPr>
        <w:t xml:space="preserve"> using </w:t>
      </w:r>
      <w:r w:rsidR="00C06E8A" w:rsidRPr="00E14BFC">
        <w:rPr>
          <w:color w:val="auto"/>
        </w:rPr>
        <w:t>RVUs.</w:t>
      </w:r>
      <w:r w:rsidR="00A20EEE">
        <w:rPr>
          <w:color w:val="auto"/>
        </w:rPr>
        <w:t xml:space="preserve"> </w:t>
      </w:r>
      <w:r w:rsidR="00C06E8A" w:rsidRPr="00E14BFC">
        <w:rPr>
          <w:color w:val="auto"/>
        </w:rPr>
        <w:t xml:space="preserve">The cost allocation and assignment of expenses </w:t>
      </w:r>
      <w:r w:rsidR="00A20EEE">
        <w:rPr>
          <w:color w:val="auto"/>
        </w:rPr>
        <w:t>is completed by HHS’</w:t>
      </w:r>
      <w:r w:rsidR="00C06E8A" w:rsidRPr="00E14BFC">
        <w:rPr>
          <w:color w:val="auto"/>
        </w:rPr>
        <w:t xml:space="preserve"> and may vary depending on the health entity</w:t>
      </w:r>
      <w:r w:rsidR="00A20EEE">
        <w:rPr>
          <w:color w:val="auto"/>
        </w:rPr>
        <w:t xml:space="preserve"> as required</w:t>
      </w:r>
      <w:r w:rsidR="00C06E8A" w:rsidRPr="00E14BFC">
        <w:rPr>
          <w:color w:val="auto"/>
        </w:rPr>
        <w:t>.</w:t>
      </w:r>
    </w:p>
    <w:p w14:paraId="2ECBF850" w14:textId="56156105" w:rsidR="00F97EAB" w:rsidRPr="00E14BFC" w:rsidRDefault="00C06E8A" w:rsidP="00F97EAB">
      <w:pPr>
        <w:rPr>
          <w:color w:val="auto"/>
        </w:rPr>
      </w:pPr>
      <w:r w:rsidRPr="00E14BFC">
        <w:rPr>
          <w:color w:val="auto"/>
        </w:rPr>
        <w:t>Queensland noted that changes</w:t>
      </w:r>
      <w:r w:rsidR="008C7B15" w:rsidRPr="00E14BFC">
        <w:rPr>
          <w:color w:val="auto"/>
        </w:rPr>
        <w:t xml:space="preserve"> to the </w:t>
      </w:r>
      <w:r w:rsidR="00C93FE2" w:rsidRPr="00E14BFC">
        <w:rPr>
          <w:color w:val="auto"/>
        </w:rPr>
        <w:t xml:space="preserve">information and feeder systems to external oral health activity </w:t>
      </w:r>
      <w:r w:rsidRPr="00E14BFC">
        <w:rPr>
          <w:color w:val="auto"/>
        </w:rPr>
        <w:t xml:space="preserve">has improved the costing of </w:t>
      </w:r>
      <w:r w:rsidR="0084188D">
        <w:rPr>
          <w:color w:val="auto"/>
        </w:rPr>
        <w:t>oral health services</w:t>
      </w:r>
      <w:r w:rsidR="00397009" w:rsidRPr="00E14BFC">
        <w:rPr>
          <w:color w:val="auto"/>
        </w:rPr>
        <w:t>.</w:t>
      </w:r>
    </w:p>
    <w:p w14:paraId="3AA46547" w14:textId="7EE222BC" w:rsidR="007510A3" w:rsidRPr="00E14BFC" w:rsidRDefault="004D0006" w:rsidP="00FE1D03">
      <w:pPr>
        <w:rPr>
          <w:color w:val="auto"/>
        </w:rPr>
      </w:pPr>
      <w:r w:rsidRPr="00E14BFC">
        <w:rPr>
          <w:color w:val="auto"/>
        </w:rPr>
        <w:t xml:space="preserve">Limitations in reporting and collection systems have inhibited the ability to link certain pathology, </w:t>
      </w:r>
      <w:r w:rsidR="00E47FBD" w:rsidRPr="00E14BFC">
        <w:rPr>
          <w:color w:val="auto"/>
        </w:rPr>
        <w:t>imaging,</w:t>
      </w:r>
      <w:r w:rsidRPr="00E14BFC">
        <w:rPr>
          <w:color w:val="auto"/>
        </w:rPr>
        <w:t xml:space="preserve"> and pharmacy records to their associated </w:t>
      </w:r>
      <w:r w:rsidR="00E33B47" w:rsidRPr="00E14BFC">
        <w:rPr>
          <w:color w:val="auto"/>
        </w:rPr>
        <w:t>episodes.</w:t>
      </w:r>
      <w:r w:rsidR="009F507F" w:rsidRPr="00E14BFC">
        <w:rPr>
          <w:color w:val="auto"/>
        </w:rPr>
        <w:t xml:space="preserve"> </w:t>
      </w:r>
      <w:r w:rsidR="00BA443A" w:rsidRPr="00BA443A">
        <w:rPr>
          <w:color w:val="auto"/>
        </w:rPr>
        <w:t>As there is not a dedicated patient level data set for patient transfer expenses, costs of these expense in the ledger are spread across all patients.</w:t>
      </w:r>
    </w:p>
    <w:p w14:paraId="4F4C52C2" w14:textId="044CA4CF" w:rsidR="00E02893" w:rsidRPr="00E14BFC" w:rsidRDefault="00BA443A" w:rsidP="00652075">
      <w:pPr>
        <w:rPr>
          <w:color w:val="auto"/>
        </w:rPr>
      </w:pPr>
      <w:r w:rsidRPr="00BA443A">
        <w:rPr>
          <w:color w:val="auto"/>
        </w:rPr>
        <w:t xml:space="preserve">Queensland previously allocated overhead costs across </w:t>
      </w:r>
      <w:proofErr w:type="gramStart"/>
      <w:r w:rsidRPr="00BA443A">
        <w:rPr>
          <w:color w:val="auto"/>
        </w:rPr>
        <w:t>HHS’</w:t>
      </w:r>
      <w:proofErr w:type="gramEnd"/>
      <w:r w:rsidRPr="00BA443A">
        <w:rPr>
          <w:color w:val="auto"/>
        </w:rPr>
        <w:t>, but this process has changed so that overheads are held within HHS subledgers and allocated to patients by the HHS using the overhead allocation process and product specific RVUs.</w:t>
      </w:r>
    </w:p>
    <w:p w14:paraId="3E0FC706" w14:textId="569ADA18" w:rsidR="00E02893" w:rsidRPr="00E96C8D" w:rsidRDefault="00E02893" w:rsidP="00267630">
      <w:pPr>
        <w:pStyle w:val="Heading3"/>
      </w:pPr>
      <w:r w:rsidRPr="00E96C8D">
        <w:t xml:space="preserve">Stage 6 </w:t>
      </w:r>
      <w:r w:rsidR="00B65B85">
        <w:t>–</w:t>
      </w:r>
      <w:r w:rsidRPr="00E96C8D">
        <w:t xml:space="preserve"> Review and Reconcile</w:t>
      </w:r>
    </w:p>
    <w:p w14:paraId="68ED8221" w14:textId="6F9303DC" w:rsidR="00E02893" w:rsidRPr="00E14BFC" w:rsidRDefault="004318B6" w:rsidP="00DC12F9">
      <w:pPr>
        <w:rPr>
          <w:color w:val="auto"/>
        </w:rPr>
      </w:pPr>
      <w:r w:rsidRPr="00E14BFC">
        <w:rPr>
          <w:color w:val="auto"/>
        </w:rPr>
        <w:t>Queensland report</w:t>
      </w:r>
      <w:r w:rsidR="006379C2" w:rsidRPr="00E14BFC">
        <w:rPr>
          <w:color w:val="auto"/>
        </w:rPr>
        <w:t>ed</w:t>
      </w:r>
      <w:r w:rsidRPr="00E14BFC">
        <w:rPr>
          <w:color w:val="auto"/>
        </w:rPr>
        <w:t xml:space="preserve"> full compliance with</w:t>
      </w:r>
      <w:r w:rsidR="00C06E8A" w:rsidRPr="00E14BFC">
        <w:rPr>
          <w:color w:val="auto"/>
        </w:rPr>
        <w:t xml:space="preserve"> the standards in Stage 6 – </w:t>
      </w:r>
      <w:r w:rsidR="00C06E8A" w:rsidRPr="00E14BFC">
        <w:rPr>
          <w:rFonts w:cs="Arial"/>
          <w:color w:val="auto"/>
        </w:rPr>
        <w:t>review and reconcile</w:t>
      </w:r>
      <w:r w:rsidRPr="00E14BFC">
        <w:rPr>
          <w:color w:val="auto"/>
        </w:rPr>
        <w:t xml:space="preserve">. Queensland implements </w:t>
      </w:r>
      <w:r w:rsidR="00B5118B" w:rsidRPr="00E14BFC">
        <w:rPr>
          <w:color w:val="auto"/>
        </w:rPr>
        <w:t xml:space="preserve">quality assurance checks and processes at the HHS and </w:t>
      </w:r>
      <w:r w:rsidR="00A6497E" w:rsidRPr="00E14BFC">
        <w:rPr>
          <w:color w:val="auto"/>
        </w:rPr>
        <w:t>Department level, with a final reconciliation process undertaken</w:t>
      </w:r>
      <w:r w:rsidR="00837B29" w:rsidRPr="00E14BFC">
        <w:rPr>
          <w:color w:val="auto"/>
        </w:rPr>
        <w:t xml:space="preserve"> with individual HHS’ before submission.</w:t>
      </w:r>
      <w:r w:rsidR="00C06E8A" w:rsidRPr="00E14BFC">
        <w:rPr>
          <w:color w:val="auto"/>
        </w:rPr>
        <w:t xml:space="preserve"> </w:t>
      </w:r>
      <w:r w:rsidR="00E02893" w:rsidRPr="00E14BFC">
        <w:rPr>
          <w:color w:val="auto"/>
        </w:rPr>
        <w:t xml:space="preserve">The review process involves a monthly costing process, with costing systems generating a range of </w:t>
      </w:r>
      <w:r w:rsidR="00F45457" w:rsidRPr="00E14BFC">
        <w:rPr>
          <w:color w:val="auto"/>
        </w:rPr>
        <w:t xml:space="preserve">automated </w:t>
      </w:r>
      <w:r w:rsidR="00E02893" w:rsidRPr="00E14BFC">
        <w:rPr>
          <w:color w:val="auto"/>
        </w:rPr>
        <w:t>reports. These are used</w:t>
      </w:r>
      <w:r w:rsidR="00C06E8A" w:rsidRPr="00E14BFC">
        <w:rPr>
          <w:color w:val="auto"/>
        </w:rPr>
        <w:t xml:space="preserve"> to identify any issues and are reviewed </w:t>
      </w:r>
      <w:r w:rsidR="00E02893" w:rsidRPr="00E14BFC">
        <w:rPr>
          <w:color w:val="auto"/>
        </w:rPr>
        <w:t xml:space="preserve">once a year </w:t>
      </w:r>
      <w:r w:rsidR="00C06E8A" w:rsidRPr="00E14BFC">
        <w:rPr>
          <w:color w:val="auto"/>
        </w:rPr>
        <w:t xml:space="preserve">to ensure </w:t>
      </w:r>
      <w:r w:rsidR="00E02893" w:rsidRPr="00E14BFC">
        <w:rPr>
          <w:color w:val="auto"/>
        </w:rPr>
        <w:t>all issues are addressed and resolved.</w:t>
      </w:r>
    </w:p>
    <w:p w14:paraId="4EA7A2C6" w14:textId="474CFB3C" w:rsidR="00E02893" w:rsidRPr="00E14BFC" w:rsidRDefault="00A20EEE" w:rsidP="00A20EEE">
      <w:pPr>
        <w:rPr>
          <w:color w:val="auto"/>
        </w:rPr>
      </w:pPr>
      <w:r>
        <w:rPr>
          <w:color w:val="auto"/>
        </w:rPr>
        <w:t xml:space="preserve">Queensland completes validation reports to identify </w:t>
      </w:r>
      <w:r w:rsidR="00A2682B">
        <w:rPr>
          <w:color w:val="auto"/>
        </w:rPr>
        <w:t xml:space="preserve">any costing issues </w:t>
      </w:r>
      <w:r>
        <w:rPr>
          <w:color w:val="auto"/>
        </w:rPr>
        <w:t xml:space="preserve">and </w:t>
      </w:r>
      <w:r w:rsidR="006A285D" w:rsidRPr="00E14BFC">
        <w:rPr>
          <w:color w:val="auto"/>
        </w:rPr>
        <w:t>HHS</w:t>
      </w:r>
      <w:r>
        <w:rPr>
          <w:color w:val="auto"/>
        </w:rPr>
        <w:t>’</w:t>
      </w:r>
      <w:r w:rsidR="006A285D" w:rsidRPr="00E14BFC">
        <w:rPr>
          <w:color w:val="auto"/>
        </w:rPr>
        <w:t xml:space="preserve"> review the average cost per separation for variation and high or </w:t>
      </w:r>
      <w:proofErr w:type="gramStart"/>
      <w:r w:rsidR="006A285D" w:rsidRPr="00E14BFC">
        <w:rPr>
          <w:color w:val="auto"/>
        </w:rPr>
        <w:t>low cost</w:t>
      </w:r>
      <w:proofErr w:type="gramEnd"/>
      <w:r w:rsidR="006A285D" w:rsidRPr="00E14BFC">
        <w:rPr>
          <w:color w:val="auto"/>
        </w:rPr>
        <w:t xml:space="preserve"> outliers</w:t>
      </w:r>
      <w:r w:rsidR="00E02893" w:rsidRPr="00E14BFC">
        <w:rPr>
          <w:color w:val="auto"/>
        </w:rPr>
        <w:t>.</w:t>
      </w:r>
      <w:r w:rsidR="00AF1F83" w:rsidRPr="00E14BFC">
        <w:rPr>
          <w:color w:val="auto"/>
        </w:rPr>
        <w:t xml:space="preserve"> As part of their end-of-year NHCDC report, </w:t>
      </w:r>
      <w:r w:rsidR="002D32B1" w:rsidRPr="00E14BFC">
        <w:rPr>
          <w:color w:val="auto"/>
        </w:rPr>
        <w:t>Queensland H</w:t>
      </w:r>
      <w:r w:rsidR="00AF1F83" w:rsidRPr="00E14BFC">
        <w:rPr>
          <w:color w:val="auto"/>
        </w:rPr>
        <w:t>ealth generate a 5-year cost weight report for each HHS. In this report</w:t>
      </w:r>
      <w:r w:rsidR="006A157E" w:rsidRPr="00E14BFC">
        <w:rPr>
          <w:color w:val="auto"/>
        </w:rPr>
        <w:t>,</w:t>
      </w:r>
      <w:r w:rsidR="00AF1F83" w:rsidRPr="00E14BFC">
        <w:rPr>
          <w:color w:val="auto"/>
        </w:rPr>
        <w:t xml:space="preserve"> end patient level results will be reviewed, investigating high or </w:t>
      </w:r>
      <w:r w:rsidR="008B50F2" w:rsidRPr="00E14BFC">
        <w:rPr>
          <w:color w:val="auto"/>
        </w:rPr>
        <w:t>low-cost</w:t>
      </w:r>
      <w:r w:rsidR="00AF1F83" w:rsidRPr="00E14BFC">
        <w:rPr>
          <w:color w:val="auto"/>
        </w:rPr>
        <w:t xml:space="preserve"> outliers, minimum, </w:t>
      </w:r>
      <w:r w:rsidR="008B50F2" w:rsidRPr="00E14BFC">
        <w:rPr>
          <w:color w:val="auto"/>
        </w:rPr>
        <w:t>maximum,</w:t>
      </w:r>
      <w:r w:rsidR="00AF1F83" w:rsidRPr="00E14BFC">
        <w:rPr>
          <w:color w:val="auto"/>
        </w:rPr>
        <w:t xml:space="preserve"> and average cost per end-class.</w:t>
      </w:r>
    </w:p>
    <w:p w14:paraId="42C3C8DE" w14:textId="6F4F08BB" w:rsidR="00C06E8A" w:rsidRPr="00E14BFC" w:rsidRDefault="00C06E8A" w:rsidP="00C06E8A">
      <w:pPr>
        <w:spacing w:before="160" w:line="259" w:lineRule="auto"/>
        <w:rPr>
          <w:color w:val="auto"/>
        </w:rPr>
      </w:pPr>
      <w:r w:rsidRPr="00E14BFC">
        <w:rPr>
          <w:color w:val="auto"/>
        </w:rPr>
        <w:t xml:space="preserve">Queensland completes internal quality assurance processes to ensure the NHCDC contains high-quality data that can be used to develop the national efficient price. It has been </w:t>
      </w:r>
      <w:r w:rsidR="00A7601A" w:rsidRPr="00E14BFC">
        <w:rPr>
          <w:color w:val="auto"/>
        </w:rPr>
        <w:t xml:space="preserve">identified </w:t>
      </w:r>
      <w:r w:rsidRPr="00E14BFC">
        <w:rPr>
          <w:color w:val="auto"/>
        </w:rPr>
        <w:t>that Queensland conducted several annual checks and assessments prior to a formal sign off by the Director General to ensure a robust costing submission to IHACPA.</w:t>
      </w:r>
    </w:p>
    <w:p w14:paraId="26A5C98A" w14:textId="389F3A34" w:rsidR="007162CC" w:rsidRDefault="00C06E8A" w:rsidP="00DC12F9">
      <w:r w:rsidRPr="00E14BFC">
        <w:rPr>
          <w:color w:val="auto"/>
        </w:rPr>
        <w:t xml:space="preserve">To ensure all </w:t>
      </w:r>
      <w:r w:rsidR="008819E2">
        <w:rPr>
          <w:color w:val="auto"/>
        </w:rPr>
        <w:t>in-scope</w:t>
      </w:r>
      <w:r w:rsidR="008819E2" w:rsidRPr="00E14BFC">
        <w:rPr>
          <w:color w:val="auto"/>
        </w:rPr>
        <w:t xml:space="preserve"> </w:t>
      </w:r>
      <w:r w:rsidRPr="00E14BFC">
        <w:rPr>
          <w:color w:val="auto"/>
        </w:rPr>
        <w:t xml:space="preserve">cost have been included in the NHCDC 2021-22, a reconciliation review was completed between </w:t>
      </w:r>
      <w:r w:rsidR="008819E2">
        <w:rPr>
          <w:color w:val="auto"/>
        </w:rPr>
        <w:t xml:space="preserve">Queensland’s </w:t>
      </w:r>
      <w:r w:rsidRPr="00E14BFC">
        <w:rPr>
          <w:color w:val="auto"/>
        </w:rPr>
        <w:t>general ledger and the costs submitted to IHACPA. Queensland’s general ledger reconciles with the cost ledger as well as the costs submitted to IHACPA</w:t>
      </w:r>
      <w:r w:rsidRPr="00DC12F9">
        <w:t>.</w:t>
      </w:r>
      <w:r w:rsidR="007162CC">
        <w:br w:type="page"/>
      </w:r>
    </w:p>
    <w:p w14:paraId="34B2D829" w14:textId="77777777" w:rsidR="00116285" w:rsidRPr="00E96C8D" w:rsidRDefault="00116285" w:rsidP="00116285">
      <w:pPr>
        <w:pStyle w:val="Heading1"/>
      </w:pPr>
      <w:bookmarkStart w:id="57" w:name="_Toc153890158"/>
      <w:bookmarkStart w:id="58" w:name="_Toc157776706"/>
      <w:bookmarkStart w:id="59" w:name="_Toc153890176"/>
      <w:r w:rsidRPr="00E96C8D">
        <w:lastRenderedPageBreak/>
        <w:t>South Australia</w:t>
      </w:r>
      <w:bookmarkEnd w:id="57"/>
      <w:bookmarkEnd w:id="58"/>
    </w:p>
    <w:p w14:paraId="1798B85E" w14:textId="0AF261A1" w:rsidR="002F3206" w:rsidRDefault="002F3206" w:rsidP="003C21B3">
      <w:pPr>
        <w:pStyle w:val="Heading2"/>
      </w:pPr>
      <w:r>
        <w:t>Summary</w:t>
      </w:r>
    </w:p>
    <w:p w14:paraId="25A4547E" w14:textId="67676665" w:rsidR="00D563DD" w:rsidRDefault="00D563DD" w:rsidP="00D563DD">
      <w:pPr>
        <w:rPr>
          <w:color w:val="auto"/>
        </w:rPr>
      </w:pPr>
      <w:r>
        <w:rPr>
          <w:color w:val="auto"/>
        </w:rPr>
        <w:t xml:space="preserve">South Australia submitted cost data from </w:t>
      </w:r>
      <w:r w:rsidR="00A42A92">
        <w:rPr>
          <w:color w:val="auto"/>
        </w:rPr>
        <w:t>21</w:t>
      </w:r>
      <w:r w:rsidRPr="007B7CF1">
        <w:rPr>
          <w:color w:val="auto"/>
        </w:rPr>
        <w:t xml:space="preserve"> </w:t>
      </w:r>
      <w:r>
        <w:rPr>
          <w:color w:val="auto"/>
        </w:rPr>
        <w:t>hospitals (including health services)</w:t>
      </w:r>
      <w:r w:rsidR="002605D4">
        <w:rPr>
          <w:color w:val="auto"/>
        </w:rPr>
        <w:t xml:space="preserve"> across 10 local health networks (LHNs)</w:t>
      </w:r>
      <w:r>
        <w:rPr>
          <w:color w:val="auto"/>
        </w:rPr>
        <w:t xml:space="preserve"> with </w:t>
      </w:r>
      <w:r w:rsidR="00A42A92">
        <w:rPr>
          <w:color w:val="auto"/>
        </w:rPr>
        <w:t>4.5</w:t>
      </w:r>
      <w:r>
        <w:rPr>
          <w:color w:val="auto"/>
        </w:rPr>
        <w:t xml:space="preserve"> million records and a cost of $4.</w:t>
      </w:r>
      <w:r w:rsidR="00D566FA">
        <w:rPr>
          <w:color w:val="auto"/>
        </w:rPr>
        <w:t>7</w:t>
      </w:r>
      <w:r>
        <w:rPr>
          <w:color w:val="auto"/>
        </w:rPr>
        <w:t xml:space="preserve"> billion in 2021-22. </w:t>
      </w:r>
      <w:r w:rsidR="00CD48C3">
        <w:rPr>
          <w:color w:val="auto"/>
        </w:rPr>
        <w:t xml:space="preserve">IHACPA consulted South Australia to </w:t>
      </w:r>
      <w:r w:rsidR="00CD48C3" w:rsidRPr="00D86953">
        <w:rPr>
          <w:color w:val="auto"/>
        </w:rPr>
        <w:t xml:space="preserve">confirm </w:t>
      </w:r>
      <w:r w:rsidR="00CD48C3">
        <w:rPr>
          <w:color w:val="auto"/>
        </w:rPr>
        <w:t xml:space="preserve">the Standards were correctly applied and reviewed any exceptions. </w:t>
      </w:r>
      <w:r>
        <w:rPr>
          <w:color w:val="auto"/>
        </w:rPr>
        <w:t>The bilateral meeting also reviewed costs in the general ledger to ensure they reconciled with the cost data submitted and discussed the fu</w:t>
      </w:r>
      <w:r w:rsidRPr="00D86953">
        <w:rPr>
          <w:color w:val="auto"/>
        </w:rPr>
        <w:t>ture</w:t>
      </w:r>
      <w:r>
        <w:rPr>
          <w:color w:val="auto"/>
        </w:rPr>
        <w:t xml:space="preserve"> of the</w:t>
      </w:r>
      <w:r w:rsidRPr="00D86953">
        <w:rPr>
          <w:color w:val="auto"/>
        </w:rPr>
        <w:t xml:space="preserve"> independent financial review</w:t>
      </w:r>
      <w:r>
        <w:rPr>
          <w:color w:val="auto"/>
        </w:rPr>
        <w:t>.</w:t>
      </w:r>
    </w:p>
    <w:p w14:paraId="1D5BE72A" w14:textId="405A53C3" w:rsidR="00A43083" w:rsidRPr="006A157E" w:rsidRDefault="00A43083" w:rsidP="00A43083">
      <w:pPr>
        <w:rPr>
          <w:color w:val="auto"/>
        </w:rPr>
      </w:pPr>
      <w:r w:rsidRPr="006A157E">
        <w:rPr>
          <w:color w:val="auto"/>
        </w:rPr>
        <w:t>The review of South Australia</w:t>
      </w:r>
      <w:r w:rsidR="00282DBC" w:rsidRPr="006A157E">
        <w:rPr>
          <w:color w:val="auto"/>
        </w:rPr>
        <w:t>’s</w:t>
      </w:r>
      <w:r w:rsidRPr="006A157E">
        <w:rPr>
          <w:color w:val="auto"/>
        </w:rPr>
        <w:t xml:space="preserve"> costing and governance processes has indicated that </w:t>
      </w:r>
      <w:r w:rsidR="002D0BE5" w:rsidRPr="006A157E">
        <w:rPr>
          <w:color w:val="auto"/>
        </w:rPr>
        <w:t xml:space="preserve">costs </w:t>
      </w:r>
      <w:r w:rsidR="00384EEB">
        <w:rPr>
          <w:color w:val="auto"/>
        </w:rPr>
        <w:t xml:space="preserve">are </w:t>
      </w:r>
      <w:r w:rsidR="00714118">
        <w:rPr>
          <w:color w:val="auto"/>
        </w:rPr>
        <w:t>assigned</w:t>
      </w:r>
      <w:r w:rsidR="002D0BE5" w:rsidRPr="006A157E">
        <w:rPr>
          <w:color w:val="auto"/>
        </w:rPr>
        <w:t xml:space="preserve"> appropriately</w:t>
      </w:r>
      <w:r w:rsidR="00B0134C">
        <w:rPr>
          <w:color w:val="auto"/>
        </w:rPr>
        <w:t>.</w:t>
      </w:r>
      <w:r w:rsidR="002D0BE5" w:rsidRPr="006A157E">
        <w:rPr>
          <w:color w:val="auto"/>
        </w:rPr>
        <w:t xml:space="preserve"> </w:t>
      </w:r>
      <w:r w:rsidR="00B0134C">
        <w:rPr>
          <w:color w:val="auto"/>
        </w:rPr>
        <w:t>H</w:t>
      </w:r>
      <w:r w:rsidR="00B0134C" w:rsidRPr="006A157E">
        <w:rPr>
          <w:color w:val="auto"/>
        </w:rPr>
        <w:t>owever</w:t>
      </w:r>
      <w:r w:rsidR="002D0BE5" w:rsidRPr="006A157E">
        <w:rPr>
          <w:color w:val="auto"/>
        </w:rPr>
        <w:t xml:space="preserve">, guidelines are required around </w:t>
      </w:r>
      <w:r w:rsidR="00384EEB">
        <w:rPr>
          <w:color w:val="auto"/>
        </w:rPr>
        <w:t xml:space="preserve">the </w:t>
      </w:r>
      <w:r w:rsidR="002D0BE5" w:rsidRPr="006A157E">
        <w:rPr>
          <w:color w:val="auto"/>
        </w:rPr>
        <w:t>inclusion and exclusion of certain costs. These</w:t>
      </w:r>
      <w:r w:rsidRPr="006A157E">
        <w:rPr>
          <w:color w:val="auto"/>
        </w:rPr>
        <w:t xml:space="preserve"> </w:t>
      </w:r>
      <w:r w:rsidR="002D0BE5" w:rsidRPr="006A157E">
        <w:rPr>
          <w:color w:val="auto"/>
        </w:rPr>
        <w:t xml:space="preserve">costs are robustly allocated to patients </w:t>
      </w:r>
      <w:r w:rsidR="00282DBC" w:rsidRPr="006A157E">
        <w:rPr>
          <w:color w:val="auto"/>
        </w:rPr>
        <w:t>with</w:t>
      </w:r>
      <w:r w:rsidR="002D0BE5" w:rsidRPr="006A157E">
        <w:rPr>
          <w:color w:val="auto"/>
        </w:rPr>
        <w:t xml:space="preserve"> quality assurance checks </w:t>
      </w:r>
      <w:r w:rsidR="00384EEB">
        <w:rPr>
          <w:color w:val="auto"/>
        </w:rPr>
        <w:t>that ensure a minimum level of consistency and accuracy.</w:t>
      </w:r>
    </w:p>
    <w:p w14:paraId="7490551C" w14:textId="4EAD8BDC" w:rsidR="00C21391" w:rsidRDefault="00384EEB" w:rsidP="007F229E">
      <w:pPr>
        <w:rPr>
          <w:color w:val="auto"/>
        </w:rPr>
      </w:pPr>
      <w:r>
        <w:rPr>
          <w:color w:val="auto"/>
        </w:rPr>
        <w:t xml:space="preserve">While </w:t>
      </w:r>
      <w:r w:rsidRPr="006A157E">
        <w:rPr>
          <w:color w:val="auto"/>
        </w:rPr>
        <w:t xml:space="preserve">development of </w:t>
      </w:r>
      <w:r>
        <w:rPr>
          <w:color w:val="auto"/>
        </w:rPr>
        <w:t xml:space="preserve">local costing </w:t>
      </w:r>
      <w:r w:rsidRPr="006A157E">
        <w:rPr>
          <w:color w:val="auto"/>
        </w:rPr>
        <w:t>standards and guidelines</w:t>
      </w:r>
      <w:r>
        <w:rPr>
          <w:color w:val="auto"/>
        </w:rPr>
        <w:t xml:space="preserve"> are</w:t>
      </w:r>
      <w:r w:rsidRPr="006A157E">
        <w:rPr>
          <w:color w:val="auto"/>
        </w:rPr>
        <w:t xml:space="preserve"> in progress</w:t>
      </w:r>
      <w:r>
        <w:rPr>
          <w:color w:val="auto"/>
        </w:rPr>
        <w:t>, t</w:t>
      </w:r>
      <w:r w:rsidR="002D0BE5" w:rsidRPr="006A157E">
        <w:rPr>
          <w:color w:val="auto"/>
        </w:rPr>
        <w:t xml:space="preserve">here is </w:t>
      </w:r>
      <w:r>
        <w:rPr>
          <w:color w:val="auto"/>
        </w:rPr>
        <w:t xml:space="preserve">currently </w:t>
      </w:r>
      <w:r w:rsidR="002D0BE5" w:rsidRPr="006A157E">
        <w:rPr>
          <w:color w:val="auto"/>
        </w:rPr>
        <w:t>no standard</w:t>
      </w:r>
      <w:r>
        <w:rPr>
          <w:color w:val="auto"/>
        </w:rPr>
        <w:t>ised approach to</w:t>
      </w:r>
      <w:r w:rsidR="002D0BE5" w:rsidRPr="006A157E">
        <w:rPr>
          <w:color w:val="auto"/>
        </w:rPr>
        <w:t xml:space="preserve"> </w:t>
      </w:r>
      <w:r w:rsidR="004E6533">
        <w:rPr>
          <w:color w:val="auto"/>
        </w:rPr>
        <w:t>costing practices</w:t>
      </w:r>
      <w:r w:rsidR="002D0BE5" w:rsidRPr="006A157E">
        <w:rPr>
          <w:color w:val="auto"/>
        </w:rPr>
        <w:t xml:space="preserve"> across LHNs for the</w:t>
      </w:r>
      <w:r w:rsidR="006A157E">
        <w:rPr>
          <w:color w:val="auto"/>
        </w:rPr>
        <w:t xml:space="preserve"> general</w:t>
      </w:r>
      <w:r w:rsidR="002D0BE5" w:rsidRPr="006A157E">
        <w:rPr>
          <w:color w:val="auto"/>
        </w:rPr>
        <w:t xml:space="preserve"> ledger. Third</w:t>
      </w:r>
      <w:r w:rsidR="00741F91">
        <w:rPr>
          <w:color w:val="auto"/>
        </w:rPr>
        <w:t>-</w:t>
      </w:r>
      <w:r w:rsidR="002D0BE5" w:rsidRPr="006A157E">
        <w:rPr>
          <w:color w:val="auto"/>
        </w:rPr>
        <w:t xml:space="preserve">party costs are appropriately accounted for with accurate methodologies in place to ensure accuracy including patient level based on invoices received, recorded as goods and services. </w:t>
      </w:r>
      <w:r>
        <w:rPr>
          <w:color w:val="auto"/>
        </w:rPr>
        <w:t>S</w:t>
      </w:r>
      <w:r w:rsidR="002D0BE5" w:rsidRPr="006A157E">
        <w:rPr>
          <w:color w:val="auto"/>
        </w:rPr>
        <w:t>ome guidelines</w:t>
      </w:r>
      <w:r w:rsidR="00A75E91">
        <w:rPr>
          <w:color w:val="auto"/>
        </w:rPr>
        <w:t xml:space="preserve"> are</w:t>
      </w:r>
      <w:r w:rsidR="002D0BE5" w:rsidRPr="006A157E">
        <w:rPr>
          <w:color w:val="auto"/>
        </w:rPr>
        <w:t xml:space="preserve"> required around allocation of third-party patient product costs.</w:t>
      </w:r>
      <w:r w:rsidR="00A75E91">
        <w:rPr>
          <w:color w:val="auto"/>
        </w:rPr>
        <w:t xml:space="preserve"> A r</w:t>
      </w:r>
      <w:r w:rsidR="002D0BE5" w:rsidRPr="006A157E">
        <w:rPr>
          <w:color w:val="auto"/>
        </w:rPr>
        <w:t xml:space="preserve">obust validation and review process </w:t>
      </w:r>
      <w:r w:rsidR="00A75E91">
        <w:rPr>
          <w:color w:val="auto"/>
        </w:rPr>
        <w:t xml:space="preserve">is in place </w:t>
      </w:r>
      <w:r w:rsidR="002D0BE5" w:rsidRPr="006A157E">
        <w:rPr>
          <w:color w:val="auto"/>
        </w:rPr>
        <w:t>to ensure costs are assigned appropriately</w:t>
      </w:r>
      <w:r w:rsidR="00741F91">
        <w:rPr>
          <w:color w:val="auto"/>
        </w:rPr>
        <w:t>.</w:t>
      </w:r>
    </w:p>
    <w:p w14:paraId="1D2B7DF7" w14:textId="42977F62" w:rsidR="00116285" w:rsidRPr="00E96C8D" w:rsidRDefault="001047CA" w:rsidP="003C21B3">
      <w:pPr>
        <w:pStyle w:val="Heading2"/>
      </w:pPr>
      <w:r w:rsidRPr="005F05EB">
        <w:t>Australian Hospital Patient Costing Standards</w:t>
      </w:r>
    </w:p>
    <w:p w14:paraId="251AE7A4" w14:textId="22EE1798" w:rsidR="00116285" w:rsidRPr="00E96C8D" w:rsidRDefault="00116285" w:rsidP="00116285">
      <w:pPr>
        <w:pStyle w:val="Heading3"/>
      </w:pPr>
      <w:r w:rsidRPr="00E96C8D">
        <w:t>Stage 1 – Identify Relevant Expenses</w:t>
      </w:r>
    </w:p>
    <w:p w14:paraId="46A1E5BD" w14:textId="48551B95" w:rsidR="00770125" w:rsidRPr="00E14BFC" w:rsidRDefault="001044C6" w:rsidP="00770125">
      <w:pPr>
        <w:pStyle w:val="ListLevel1"/>
        <w:numPr>
          <w:ilvl w:val="0"/>
          <w:numId w:val="0"/>
        </w:numPr>
        <w:contextualSpacing w:val="0"/>
        <w:rPr>
          <w:color w:val="auto"/>
        </w:rPr>
      </w:pPr>
      <w:r w:rsidRPr="00E14BFC">
        <w:rPr>
          <w:color w:val="auto"/>
        </w:rPr>
        <w:t>South Australia report</w:t>
      </w:r>
      <w:r w:rsidR="006379C2" w:rsidRPr="00E14BFC">
        <w:rPr>
          <w:color w:val="auto"/>
        </w:rPr>
        <w:t>ed</w:t>
      </w:r>
      <w:r w:rsidRPr="00E14BFC">
        <w:rPr>
          <w:color w:val="auto"/>
        </w:rPr>
        <w:t xml:space="preserve"> full compliance with </w:t>
      </w:r>
      <w:r w:rsidR="006379C2" w:rsidRPr="00E14BFC">
        <w:rPr>
          <w:color w:val="auto"/>
        </w:rPr>
        <w:t xml:space="preserve">the standards in Stage </w:t>
      </w:r>
      <w:r w:rsidRPr="00E14BFC">
        <w:rPr>
          <w:color w:val="auto"/>
        </w:rPr>
        <w:t>1</w:t>
      </w:r>
      <w:r w:rsidR="00C06E8A" w:rsidRPr="00E14BFC">
        <w:rPr>
          <w:color w:val="auto"/>
        </w:rPr>
        <w:t xml:space="preserve"> – </w:t>
      </w:r>
      <w:r w:rsidR="00441F38" w:rsidRPr="00E14BFC">
        <w:rPr>
          <w:color w:val="auto"/>
        </w:rPr>
        <w:t>identify</w:t>
      </w:r>
      <w:r w:rsidR="00C06E8A" w:rsidRPr="00E14BFC">
        <w:rPr>
          <w:color w:val="auto"/>
        </w:rPr>
        <w:t xml:space="preserve"> relevant expenses</w:t>
      </w:r>
      <w:r w:rsidRPr="00E14BFC">
        <w:rPr>
          <w:color w:val="auto"/>
        </w:rPr>
        <w:t>.</w:t>
      </w:r>
      <w:r w:rsidR="00C13B2D" w:rsidRPr="00E14BFC">
        <w:rPr>
          <w:color w:val="auto"/>
        </w:rPr>
        <w:t xml:space="preserve"> </w:t>
      </w:r>
      <w:r w:rsidR="00770125" w:rsidRPr="00E14BFC">
        <w:rPr>
          <w:color w:val="auto"/>
        </w:rPr>
        <w:t>Data quality for health entities is updated through centralised patient costing systems</w:t>
      </w:r>
      <w:r w:rsidR="00E14BFC">
        <w:rPr>
          <w:color w:val="auto"/>
        </w:rPr>
        <w:t xml:space="preserve"> and</w:t>
      </w:r>
      <w:r w:rsidR="00770125" w:rsidRPr="00E14BFC">
        <w:rPr>
          <w:color w:val="auto"/>
        </w:rPr>
        <w:t xml:space="preserve"> is checked and signed off on by the CFO to ensure high standards of the cost data are maintained. This includes the documentation of the costing process for offsets, recoveries, salaries, and wages.</w:t>
      </w:r>
    </w:p>
    <w:p w14:paraId="2B9C53E5" w14:textId="02442FBF" w:rsidR="00770125" w:rsidRPr="00E14BFC" w:rsidRDefault="00770125" w:rsidP="00770125">
      <w:pPr>
        <w:pStyle w:val="ListLevel1"/>
        <w:numPr>
          <w:ilvl w:val="0"/>
          <w:numId w:val="0"/>
        </w:numPr>
        <w:contextualSpacing w:val="0"/>
        <w:rPr>
          <w:color w:val="auto"/>
        </w:rPr>
      </w:pPr>
      <w:r w:rsidRPr="00E14BFC">
        <w:rPr>
          <w:color w:val="auto"/>
        </w:rPr>
        <w:t xml:space="preserve">Currently, trust accounts do not sit within the general ledger, </w:t>
      </w:r>
      <w:r w:rsidR="00E14BFC">
        <w:rPr>
          <w:color w:val="auto"/>
        </w:rPr>
        <w:t>making it difficult to identify</w:t>
      </w:r>
      <w:r w:rsidR="00AF0AB2" w:rsidRPr="00E14BFC">
        <w:rPr>
          <w:color w:val="auto"/>
        </w:rPr>
        <w:t xml:space="preserve"> and includ</w:t>
      </w:r>
      <w:r w:rsidR="00E14BFC">
        <w:rPr>
          <w:color w:val="auto"/>
        </w:rPr>
        <w:t>e</w:t>
      </w:r>
      <w:r w:rsidR="00AF0AB2" w:rsidRPr="00E14BFC">
        <w:rPr>
          <w:color w:val="auto"/>
        </w:rPr>
        <w:t xml:space="preserve"> these</w:t>
      </w:r>
      <w:r w:rsidRPr="00E14BFC">
        <w:rPr>
          <w:color w:val="auto"/>
        </w:rPr>
        <w:t xml:space="preserve"> costs</w:t>
      </w:r>
      <w:r w:rsidR="00AF0AB2" w:rsidRPr="00E14BFC">
        <w:rPr>
          <w:color w:val="auto"/>
        </w:rPr>
        <w:t xml:space="preserve"> in the cost led</w:t>
      </w:r>
      <w:r w:rsidR="009F410C" w:rsidRPr="00E14BFC">
        <w:rPr>
          <w:color w:val="auto"/>
        </w:rPr>
        <w:t>g</w:t>
      </w:r>
      <w:r w:rsidR="00AF0AB2" w:rsidRPr="00E14BFC">
        <w:rPr>
          <w:color w:val="auto"/>
        </w:rPr>
        <w:t>er</w:t>
      </w:r>
      <w:r w:rsidRPr="00E14BFC">
        <w:rPr>
          <w:color w:val="auto"/>
        </w:rPr>
        <w:t>. However, all third-party expenses are appropriately accounted for and correctly allocated.</w:t>
      </w:r>
    </w:p>
    <w:p w14:paraId="65509E03" w14:textId="7EE24528" w:rsidR="00116285" w:rsidRPr="00E14BFC" w:rsidRDefault="00734AA7" w:rsidP="00DC12F9">
      <w:pPr>
        <w:rPr>
          <w:color w:val="auto"/>
        </w:rPr>
      </w:pPr>
      <w:r w:rsidRPr="00E14BFC">
        <w:rPr>
          <w:color w:val="auto"/>
        </w:rPr>
        <w:t xml:space="preserve">Costing </w:t>
      </w:r>
      <w:r w:rsidR="00116285" w:rsidRPr="00E14BFC">
        <w:rPr>
          <w:color w:val="auto"/>
        </w:rPr>
        <w:t>aeromedical retrieval services</w:t>
      </w:r>
      <w:r w:rsidRPr="00E14BFC">
        <w:rPr>
          <w:color w:val="auto"/>
        </w:rPr>
        <w:t xml:space="preserve"> remains challenging due to</w:t>
      </w:r>
      <w:r w:rsidR="0055118C" w:rsidRPr="00E14BFC">
        <w:rPr>
          <w:color w:val="auto"/>
        </w:rPr>
        <w:t xml:space="preserve"> data quality issues with flight </w:t>
      </w:r>
      <w:r w:rsidR="005B4840" w:rsidRPr="00E14BFC">
        <w:rPr>
          <w:color w:val="auto"/>
        </w:rPr>
        <w:t xml:space="preserve">discharge </w:t>
      </w:r>
      <w:r w:rsidR="008827B1" w:rsidRPr="00E14BFC">
        <w:rPr>
          <w:color w:val="auto"/>
        </w:rPr>
        <w:t>information</w:t>
      </w:r>
      <w:r w:rsidR="005B4840" w:rsidRPr="00E14BFC">
        <w:rPr>
          <w:color w:val="auto"/>
        </w:rPr>
        <w:t>.</w:t>
      </w:r>
      <w:r w:rsidR="00116285" w:rsidRPr="00E14BFC">
        <w:rPr>
          <w:color w:val="auto"/>
        </w:rPr>
        <w:t xml:space="preserve"> Efforts are being made to work with the ambulance units to address this</w:t>
      </w:r>
      <w:r w:rsidR="00770125" w:rsidRPr="00E14BFC">
        <w:rPr>
          <w:color w:val="auto"/>
        </w:rPr>
        <w:t xml:space="preserve"> issue</w:t>
      </w:r>
      <w:r w:rsidR="00116285" w:rsidRPr="00E14BFC">
        <w:rPr>
          <w:color w:val="auto"/>
        </w:rPr>
        <w:t>.</w:t>
      </w:r>
    </w:p>
    <w:p w14:paraId="0D94DFF5" w14:textId="49C12FB8" w:rsidR="00116285" w:rsidRPr="00E96C8D" w:rsidRDefault="00116285" w:rsidP="00116285">
      <w:pPr>
        <w:pStyle w:val="Heading3"/>
      </w:pPr>
      <w:r w:rsidRPr="00E96C8D">
        <w:t xml:space="preserve">Stage 2 </w:t>
      </w:r>
      <w:r w:rsidR="0027397A">
        <w:t>and</w:t>
      </w:r>
      <w:r w:rsidRPr="00E96C8D">
        <w:t xml:space="preserve"> 3 </w:t>
      </w:r>
      <w:r w:rsidR="00B65B85">
        <w:t>–</w:t>
      </w:r>
      <w:r w:rsidRPr="00E96C8D">
        <w:t xml:space="preserve"> Create the Cost Ledger and Create Final Cost Centres</w:t>
      </w:r>
    </w:p>
    <w:p w14:paraId="2AB6AF1F" w14:textId="4CB508A5" w:rsidR="00770125" w:rsidRPr="00E14BFC" w:rsidRDefault="001044C6" w:rsidP="00770125">
      <w:pPr>
        <w:rPr>
          <w:color w:val="auto"/>
        </w:rPr>
      </w:pPr>
      <w:r w:rsidRPr="00E14BFC">
        <w:rPr>
          <w:color w:val="auto"/>
        </w:rPr>
        <w:t>South Australia report</w:t>
      </w:r>
      <w:r w:rsidR="006379C2" w:rsidRPr="00E14BFC">
        <w:rPr>
          <w:color w:val="auto"/>
        </w:rPr>
        <w:t>ed</w:t>
      </w:r>
      <w:r w:rsidRPr="00E14BFC">
        <w:rPr>
          <w:color w:val="auto"/>
        </w:rPr>
        <w:t xml:space="preserve"> full compliance with </w:t>
      </w:r>
      <w:r w:rsidR="006379C2" w:rsidRPr="00E14BFC">
        <w:rPr>
          <w:color w:val="auto"/>
        </w:rPr>
        <w:t xml:space="preserve">the standards in Stages </w:t>
      </w:r>
      <w:r w:rsidRPr="00E14BFC">
        <w:rPr>
          <w:color w:val="auto"/>
        </w:rPr>
        <w:t>2 and 3</w:t>
      </w:r>
      <w:r w:rsidR="00D17202" w:rsidRPr="00E14BFC">
        <w:rPr>
          <w:color w:val="auto"/>
        </w:rPr>
        <w:t xml:space="preserve"> </w:t>
      </w:r>
      <w:r w:rsidR="00770125" w:rsidRPr="00E14BFC">
        <w:rPr>
          <w:color w:val="auto"/>
        </w:rPr>
        <w:t xml:space="preserve">– </w:t>
      </w:r>
      <w:r w:rsidR="00441F38" w:rsidRPr="00E14BFC">
        <w:rPr>
          <w:color w:val="auto"/>
        </w:rPr>
        <w:t>create</w:t>
      </w:r>
      <w:r w:rsidR="00770125" w:rsidRPr="00E14BFC">
        <w:rPr>
          <w:color w:val="auto"/>
        </w:rPr>
        <w:t xml:space="preserve"> the cost ledger and </w:t>
      </w:r>
      <w:r w:rsidR="00441F38" w:rsidRPr="00E14BFC">
        <w:rPr>
          <w:color w:val="auto"/>
        </w:rPr>
        <w:t xml:space="preserve">create </w:t>
      </w:r>
      <w:r w:rsidR="00770125" w:rsidRPr="00E14BFC">
        <w:rPr>
          <w:color w:val="auto"/>
        </w:rPr>
        <w:t>final cost centres</w:t>
      </w:r>
      <w:r w:rsidRPr="00E14BFC">
        <w:rPr>
          <w:color w:val="auto"/>
        </w:rPr>
        <w:t>.</w:t>
      </w:r>
      <w:r w:rsidR="00770125" w:rsidRPr="00E14BFC">
        <w:rPr>
          <w:color w:val="auto"/>
        </w:rPr>
        <w:t xml:space="preserve"> There is a comprehensive methodology for cost allocation </w:t>
      </w:r>
      <w:r w:rsidR="00770125" w:rsidRPr="00E14BFC">
        <w:rPr>
          <w:color w:val="auto"/>
        </w:rPr>
        <w:lastRenderedPageBreak/>
        <w:t>being built across LHNs to ensure uniformity for centralised services, such as pharmacy and pathology costs.</w:t>
      </w:r>
    </w:p>
    <w:p w14:paraId="383D9B73" w14:textId="58198AD5" w:rsidR="00E03805" w:rsidRPr="00E14BFC" w:rsidRDefault="00E03805" w:rsidP="00DC12F9">
      <w:pPr>
        <w:rPr>
          <w:color w:val="auto"/>
        </w:rPr>
      </w:pPr>
      <w:r w:rsidRPr="00E14BFC">
        <w:rPr>
          <w:color w:val="auto"/>
        </w:rPr>
        <w:t xml:space="preserve">The process of matching final/intermediate products is </w:t>
      </w:r>
      <w:r w:rsidR="00770125" w:rsidRPr="00E14BFC">
        <w:rPr>
          <w:color w:val="auto"/>
        </w:rPr>
        <w:t>well-established and q</w:t>
      </w:r>
      <w:r w:rsidRPr="00E14BFC">
        <w:rPr>
          <w:color w:val="auto"/>
        </w:rPr>
        <w:t>uality assurance checks are consistently performed</w:t>
      </w:r>
      <w:r w:rsidR="00770125" w:rsidRPr="00E14BFC">
        <w:rPr>
          <w:color w:val="auto"/>
        </w:rPr>
        <w:t xml:space="preserve"> to c</w:t>
      </w:r>
      <w:r w:rsidRPr="00E14BFC">
        <w:rPr>
          <w:color w:val="auto"/>
        </w:rPr>
        <w:t>orrect</w:t>
      </w:r>
      <w:r w:rsidR="00770125" w:rsidRPr="00E14BFC">
        <w:rPr>
          <w:color w:val="auto"/>
        </w:rPr>
        <w:t xml:space="preserve"> </w:t>
      </w:r>
      <w:r w:rsidRPr="00E14BFC">
        <w:rPr>
          <w:color w:val="auto"/>
        </w:rPr>
        <w:t xml:space="preserve">any discrepancies in the data. Costs are monitored </w:t>
      </w:r>
      <w:r w:rsidR="009F410C" w:rsidRPr="00E14BFC">
        <w:rPr>
          <w:color w:val="auto"/>
        </w:rPr>
        <w:t>quarterly,</w:t>
      </w:r>
      <w:r w:rsidRPr="00E14BFC">
        <w:rPr>
          <w:color w:val="auto"/>
        </w:rPr>
        <w:t xml:space="preserve"> and continuous costing ensures ongoing improvements to accuracy.</w:t>
      </w:r>
    </w:p>
    <w:p w14:paraId="42D9530A" w14:textId="5C4F9032" w:rsidR="00116285" w:rsidRPr="00E14BFC" w:rsidRDefault="00116285" w:rsidP="00DC12F9">
      <w:pPr>
        <w:rPr>
          <w:color w:val="auto"/>
        </w:rPr>
      </w:pPr>
      <w:r w:rsidRPr="00E14BFC">
        <w:rPr>
          <w:color w:val="auto"/>
        </w:rPr>
        <w:t>RVUs</w:t>
      </w:r>
      <w:r w:rsidR="00770125" w:rsidRPr="00E14BFC">
        <w:rPr>
          <w:color w:val="auto"/>
        </w:rPr>
        <w:t xml:space="preserve"> are used where there is a lack of available</w:t>
      </w:r>
      <w:r w:rsidR="008819E2">
        <w:rPr>
          <w:color w:val="auto"/>
        </w:rPr>
        <w:t xml:space="preserve"> patient level</w:t>
      </w:r>
      <w:r w:rsidR="00770125" w:rsidRPr="00E14BFC">
        <w:rPr>
          <w:color w:val="auto"/>
        </w:rPr>
        <w:t xml:space="preserve"> data, specifically in areas such as </w:t>
      </w:r>
      <w:r w:rsidRPr="00E14BFC">
        <w:rPr>
          <w:color w:val="auto"/>
        </w:rPr>
        <w:t>pathology.</w:t>
      </w:r>
      <w:r w:rsidR="00770125" w:rsidRPr="00E14BFC">
        <w:rPr>
          <w:color w:val="auto"/>
        </w:rPr>
        <w:t xml:space="preserve"> </w:t>
      </w:r>
      <w:r w:rsidRPr="00E14BFC">
        <w:rPr>
          <w:color w:val="auto"/>
        </w:rPr>
        <w:t xml:space="preserve">In the case of prostheses, </w:t>
      </w:r>
      <w:r w:rsidR="00441F38" w:rsidRPr="00E14BFC">
        <w:rPr>
          <w:color w:val="auto"/>
        </w:rPr>
        <w:t>health services that cannot allocate products at the patient level, will utilise</w:t>
      </w:r>
      <w:r w:rsidRPr="00E14BFC">
        <w:rPr>
          <w:color w:val="auto"/>
        </w:rPr>
        <w:t xml:space="preserve"> RVUs from </w:t>
      </w:r>
      <w:r w:rsidR="00441F38" w:rsidRPr="00E14BFC">
        <w:rPr>
          <w:color w:val="auto"/>
        </w:rPr>
        <w:t xml:space="preserve">health services that can </w:t>
      </w:r>
      <w:r w:rsidRPr="00E14BFC">
        <w:rPr>
          <w:color w:val="auto"/>
        </w:rPr>
        <w:t xml:space="preserve">trace </w:t>
      </w:r>
      <w:r w:rsidR="00441F38" w:rsidRPr="00E14BFC">
        <w:rPr>
          <w:color w:val="auto"/>
        </w:rPr>
        <w:t xml:space="preserve">products </w:t>
      </w:r>
      <w:r w:rsidRPr="00E14BFC">
        <w:rPr>
          <w:color w:val="auto"/>
        </w:rPr>
        <w:t>back to the patient</w:t>
      </w:r>
      <w:r w:rsidR="00441F38" w:rsidRPr="00E14BFC">
        <w:rPr>
          <w:color w:val="auto"/>
        </w:rPr>
        <w:t>.</w:t>
      </w:r>
    </w:p>
    <w:p w14:paraId="26537D67" w14:textId="11229B0D" w:rsidR="00116285" w:rsidRPr="00E96C8D" w:rsidRDefault="00116285" w:rsidP="00116285">
      <w:pPr>
        <w:pStyle w:val="Heading3"/>
      </w:pPr>
      <w:r w:rsidRPr="00E96C8D">
        <w:t xml:space="preserve">Stage 4 </w:t>
      </w:r>
      <w:r w:rsidR="0027397A">
        <w:t>and</w:t>
      </w:r>
      <w:r w:rsidRPr="00E96C8D">
        <w:t xml:space="preserve"> 5 </w:t>
      </w:r>
      <w:r w:rsidR="00B65B85">
        <w:t>–</w:t>
      </w:r>
      <w:r w:rsidRPr="00E96C8D">
        <w:t xml:space="preserve"> Identify Products and Assign Expenses to Products</w:t>
      </w:r>
    </w:p>
    <w:p w14:paraId="68618A09" w14:textId="73934B7B" w:rsidR="00770125" w:rsidRPr="00E14BFC" w:rsidRDefault="007F5F19" w:rsidP="00770125">
      <w:pPr>
        <w:rPr>
          <w:color w:val="auto"/>
        </w:rPr>
      </w:pPr>
      <w:r w:rsidRPr="00E14BFC">
        <w:rPr>
          <w:color w:val="auto"/>
        </w:rPr>
        <w:t xml:space="preserve">South Australia reported full compliance with the standards in Stages 4 and 5 – </w:t>
      </w:r>
      <w:r w:rsidR="00441F38" w:rsidRPr="00E14BFC">
        <w:rPr>
          <w:rFonts w:cs="Arial"/>
          <w:color w:val="auto"/>
        </w:rPr>
        <w:t>identify products</w:t>
      </w:r>
      <w:r w:rsidRPr="00E14BFC">
        <w:rPr>
          <w:rFonts w:cs="Arial"/>
          <w:color w:val="auto"/>
        </w:rPr>
        <w:t xml:space="preserve"> and </w:t>
      </w:r>
      <w:r w:rsidR="00441F38" w:rsidRPr="00E14BFC">
        <w:rPr>
          <w:rFonts w:cs="Arial"/>
          <w:color w:val="auto"/>
        </w:rPr>
        <w:t xml:space="preserve">assign </w:t>
      </w:r>
      <w:r w:rsidRPr="00E14BFC">
        <w:rPr>
          <w:rFonts w:cs="Arial"/>
          <w:color w:val="auto"/>
        </w:rPr>
        <w:t>expenses to products</w:t>
      </w:r>
      <w:r w:rsidRPr="00E14BFC">
        <w:rPr>
          <w:color w:val="auto"/>
        </w:rPr>
        <w:t>.</w:t>
      </w:r>
      <w:r w:rsidR="00770125" w:rsidRPr="00E14BFC">
        <w:rPr>
          <w:color w:val="auto"/>
        </w:rPr>
        <w:t xml:space="preserve"> LHNs have standardised QA processes, </w:t>
      </w:r>
      <w:r w:rsidR="00E14BFC">
        <w:rPr>
          <w:color w:val="auto"/>
        </w:rPr>
        <w:t>covering</w:t>
      </w:r>
      <w:r w:rsidR="00770125" w:rsidRPr="00E14BFC">
        <w:rPr>
          <w:color w:val="auto"/>
        </w:rPr>
        <w:t xml:space="preserve"> aspects </w:t>
      </w:r>
      <w:r w:rsidR="00E14BFC">
        <w:rPr>
          <w:color w:val="auto"/>
        </w:rPr>
        <w:t>such as</w:t>
      </w:r>
      <w:r w:rsidR="00E14BFC" w:rsidRPr="00E14BFC">
        <w:rPr>
          <w:color w:val="auto"/>
        </w:rPr>
        <w:t xml:space="preserve"> </w:t>
      </w:r>
      <w:r w:rsidR="00770125" w:rsidRPr="00E14BFC">
        <w:rPr>
          <w:color w:val="auto"/>
        </w:rPr>
        <w:t xml:space="preserve">activity and cost data </w:t>
      </w:r>
      <w:r w:rsidR="00E14BFC" w:rsidRPr="0067359F">
        <w:rPr>
          <w:color w:val="auto"/>
        </w:rPr>
        <w:t xml:space="preserve">linking </w:t>
      </w:r>
      <w:r w:rsidR="00E14BFC">
        <w:rPr>
          <w:color w:val="auto"/>
        </w:rPr>
        <w:t xml:space="preserve">and </w:t>
      </w:r>
      <w:r w:rsidR="00770125" w:rsidRPr="00E14BFC">
        <w:rPr>
          <w:color w:val="auto"/>
        </w:rPr>
        <w:t>negative costs. South Australia regularly generates QA reports to identify and address any discrepancies in the data.</w:t>
      </w:r>
    </w:p>
    <w:p w14:paraId="15912933" w14:textId="75B81BD7" w:rsidR="00770125" w:rsidRPr="00E14BFC" w:rsidRDefault="00770125" w:rsidP="00770125">
      <w:pPr>
        <w:rPr>
          <w:color w:val="auto"/>
        </w:rPr>
      </w:pPr>
      <w:r w:rsidRPr="00E14BFC">
        <w:rPr>
          <w:color w:val="auto"/>
        </w:rPr>
        <w:t>Third-party patient products are costed using patient level data and various metrics such as FTE, bed days, frequency, statistics for theatres, and activity statistics for utilities and administrative costs. These are updated annually to ensure accuracy.</w:t>
      </w:r>
    </w:p>
    <w:p w14:paraId="0BE98DF5" w14:textId="74C39981" w:rsidR="00116285" w:rsidRPr="00E14BFC" w:rsidRDefault="000837A5" w:rsidP="00DC12F9">
      <w:pPr>
        <w:rPr>
          <w:color w:val="auto"/>
        </w:rPr>
      </w:pPr>
      <w:r w:rsidRPr="00E14BFC">
        <w:rPr>
          <w:color w:val="auto"/>
        </w:rPr>
        <w:t xml:space="preserve">South Australia does not </w:t>
      </w:r>
      <w:r w:rsidR="005D5B57" w:rsidRPr="00E14BFC">
        <w:rPr>
          <w:color w:val="auto"/>
        </w:rPr>
        <w:t xml:space="preserve">allocate </w:t>
      </w:r>
      <w:r w:rsidRPr="00E14BFC">
        <w:rPr>
          <w:color w:val="auto"/>
        </w:rPr>
        <w:t xml:space="preserve">private patient pathology </w:t>
      </w:r>
      <w:r w:rsidR="005D5B57" w:rsidRPr="00E14BFC">
        <w:rPr>
          <w:color w:val="auto"/>
        </w:rPr>
        <w:t xml:space="preserve">costs </w:t>
      </w:r>
      <w:r w:rsidRPr="00E14BFC">
        <w:rPr>
          <w:color w:val="auto"/>
        </w:rPr>
        <w:t>at the patient level due to limitations in the availability of data</w:t>
      </w:r>
      <w:r w:rsidR="00613080" w:rsidRPr="00E14BFC">
        <w:rPr>
          <w:color w:val="auto"/>
        </w:rPr>
        <w:t>.</w:t>
      </w:r>
    </w:p>
    <w:p w14:paraId="178B39B6" w14:textId="71665754" w:rsidR="00116285" w:rsidRPr="00E96C8D" w:rsidRDefault="00116285" w:rsidP="00116285">
      <w:pPr>
        <w:pStyle w:val="Heading3"/>
      </w:pPr>
      <w:r w:rsidRPr="00E96C8D">
        <w:t xml:space="preserve">Stage 6 </w:t>
      </w:r>
      <w:r w:rsidR="00B65B85">
        <w:t>–</w:t>
      </w:r>
      <w:r w:rsidRPr="00E96C8D">
        <w:t xml:space="preserve"> Review and Reconcile</w:t>
      </w:r>
    </w:p>
    <w:p w14:paraId="273813D8" w14:textId="0EE4D264" w:rsidR="00770125" w:rsidRPr="00E14BFC" w:rsidRDefault="00770125" w:rsidP="00FE1D03">
      <w:pPr>
        <w:rPr>
          <w:color w:val="auto"/>
        </w:rPr>
      </w:pPr>
      <w:r w:rsidRPr="00E14BFC">
        <w:rPr>
          <w:color w:val="auto"/>
        </w:rPr>
        <w:t xml:space="preserve">South Australia reported full compliance with the standards in Stage 6 – </w:t>
      </w:r>
      <w:r w:rsidRPr="00E14BFC">
        <w:rPr>
          <w:rFonts w:cs="Arial"/>
          <w:color w:val="auto"/>
        </w:rPr>
        <w:t>review and reconcile</w:t>
      </w:r>
      <w:r w:rsidRPr="00E14BFC">
        <w:rPr>
          <w:color w:val="auto"/>
        </w:rPr>
        <w:t xml:space="preserve">. </w:t>
      </w:r>
      <w:r w:rsidR="00954F5E" w:rsidRPr="00E14BFC">
        <w:rPr>
          <w:color w:val="auto"/>
        </w:rPr>
        <w:t xml:space="preserve">South Australia maintains a centralised costing function </w:t>
      </w:r>
      <w:r w:rsidR="00E65316" w:rsidRPr="00E14BFC">
        <w:rPr>
          <w:color w:val="auto"/>
        </w:rPr>
        <w:t xml:space="preserve">that </w:t>
      </w:r>
      <w:r w:rsidR="00954F5E" w:rsidRPr="00E14BFC">
        <w:rPr>
          <w:color w:val="auto"/>
        </w:rPr>
        <w:t>runs a review</w:t>
      </w:r>
      <w:r w:rsidR="004B6088" w:rsidRPr="00E14BFC">
        <w:rPr>
          <w:color w:val="auto"/>
        </w:rPr>
        <w:t xml:space="preserve">, </w:t>
      </w:r>
      <w:r w:rsidR="009174F3" w:rsidRPr="00E14BFC">
        <w:rPr>
          <w:color w:val="auto"/>
        </w:rPr>
        <w:t>reconciliation,</w:t>
      </w:r>
      <w:r w:rsidR="00954F5E" w:rsidRPr="00E14BFC">
        <w:rPr>
          <w:color w:val="auto"/>
        </w:rPr>
        <w:t xml:space="preserve"> </w:t>
      </w:r>
      <w:r w:rsidR="004B6088" w:rsidRPr="00E14BFC">
        <w:rPr>
          <w:color w:val="auto"/>
        </w:rPr>
        <w:t xml:space="preserve">and assurance </w:t>
      </w:r>
      <w:r w:rsidR="00954F5E" w:rsidRPr="00E14BFC">
        <w:rPr>
          <w:color w:val="auto"/>
        </w:rPr>
        <w:t xml:space="preserve">process </w:t>
      </w:r>
      <w:r w:rsidR="004B6088" w:rsidRPr="00E14BFC">
        <w:rPr>
          <w:color w:val="auto"/>
        </w:rPr>
        <w:t>in consultation with</w:t>
      </w:r>
      <w:r w:rsidR="00954F5E" w:rsidRPr="00E14BFC">
        <w:rPr>
          <w:color w:val="auto"/>
        </w:rPr>
        <w:t xml:space="preserve"> submitting LHNs</w:t>
      </w:r>
      <w:r w:rsidR="004B6088" w:rsidRPr="00E14BFC">
        <w:rPr>
          <w:color w:val="auto"/>
        </w:rPr>
        <w:t>.</w:t>
      </w:r>
    </w:p>
    <w:p w14:paraId="4170EDD4" w14:textId="717897AA" w:rsidR="00770125" w:rsidRPr="00E14BFC" w:rsidRDefault="00770125" w:rsidP="00DC12F9">
      <w:pPr>
        <w:rPr>
          <w:color w:val="auto"/>
        </w:rPr>
      </w:pPr>
      <w:r w:rsidRPr="00E14BFC">
        <w:rPr>
          <w:color w:val="auto"/>
        </w:rPr>
        <w:t xml:space="preserve">A cost reconciliation process is undertaken across all LHNs to ensure that all expenses and allocation methods are correctly </w:t>
      </w:r>
      <w:r w:rsidR="00DF1CF9" w:rsidRPr="00E14BFC">
        <w:rPr>
          <w:color w:val="auto"/>
        </w:rPr>
        <w:t>undertaken,</w:t>
      </w:r>
      <w:r w:rsidRPr="00E14BFC">
        <w:rPr>
          <w:color w:val="auto"/>
        </w:rPr>
        <w:t xml:space="preserve"> and any discrepancies addressed.</w:t>
      </w:r>
      <w:r w:rsidR="00116285" w:rsidRPr="00E14BFC">
        <w:rPr>
          <w:color w:val="auto"/>
        </w:rPr>
        <w:t xml:space="preserve"> Any costs that need to be distributed across LHNs</w:t>
      </w:r>
      <w:r w:rsidRPr="00E14BFC">
        <w:rPr>
          <w:color w:val="auto"/>
        </w:rPr>
        <w:t xml:space="preserve"> due to contracting arrangements</w:t>
      </w:r>
      <w:r w:rsidR="00116285" w:rsidRPr="00E14BFC">
        <w:rPr>
          <w:color w:val="auto"/>
        </w:rPr>
        <w:t xml:space="preserve"> are handled before</w:t>
      </w:r>
      <w:r w:rsidR="00632F2B" w:rsidRPr="00E14BFC">
        <w:rPr>
          <w:color w:val="auto"/>
        </w:rPr>
        <w:t xml:space="preserve"> the cost is entered into</w:t>
      </w:r>
      <w:r w:rsidRPr="00E14BFC">
        <w:rPr>
          <w:color w:val="auto"/>
        </w:rPr>
        <w:t xml:space="preserve"> </w:t>
      </w:r>
      <w:r w:rsidR="00116285" w:rsidRPr="00E14BFC">
        <w:rPr>
          <w:color w:val="auto"/>
        </w:rPr>
        <w:t>the costing system</w:t>
      </w:r>
      <w:r w:rsidRPr="00E14BFC">
        <w:rPr>
          <w:color w:val="auto"/>
        </w:rPr>
        <w:t>.</w:t>
      </w:r>
    </w:p>
    <w:p w14:paraId="04D7FFD2" w14:textId="7B6808C9" w:rsidR="00C06E8A" w:rsidRPr="00E14BFC" w:rsidRDefault="00C06E8A" w:rsidP="00DC12F9">
      <w:pPr>
        <w:rPr>
          <w:color w:val="auto"/>
        </w:rPr>
      </w:pPr>
      <w:bookmarkStart w:id="60" w:name="_Toc153890162"/>
      <w:r w:rsidRPr="00E14BFC">
        <w:rPr>
          <w:color w:val="auto"/>
        </w:rPr>
        <w:t xml:space="preserve">South Australia completes internal quality assurance processes to ensure the NHCDC contains high-quality data that can be used to develop the national efficient price. It has been </w:t>
      </w:r>
      <w:r w:rsidR="00A7601A" w:rsidRPr="00E14BFC">
        <w:rPr>
          <w:color w:val="auto"/>
        </w:rPr>
        <w:t xml:space="preserve">identified </w:t>
      </w:r>
      <w:r w:rsidRPr="00E14BFC">
        <w:rPr>
          <w:color w:val="auto"/>
        </w:rPr>
        <w:t>that South Australia conducted several annual checks and assessments prior to a formal sign off by the CEO to ensure a robust costing submission to IHACPA.</w:t>
      </w:r>
    </w:p>
    <w:p w14:paraId="6D7DDDF9" w14:textId="1ACC74EC" w:rsidR="00C06E8A" w:rsidRDefault="00C06E8A" w:rsidP="00C06E8A">
      <w:r w:rsidRPr="00E14BFC">
        <w:rPr>
          <w:color w:val="auto"/>
        </w:rPr>
        <w:t xml:space="preserve">To ensure all </w:t>
      </w:r>
      <w:r w:rsidR="008819E2">
        <w:rPr>
          <w:color w:val="auto"/>
        </w:rPr>
        <w:t>in-scope</w:t>
      </w:r>
      <w:r w:rsidR="008819E2" w:rsidRPr="00E14BFC">
        <w:rPr>
          <w:color w:val="auto"/>
        </w:rPr>
        <w:t xml:space="preserve"> </w:t>
      </w:r>
      <w:r w:rsidRPr="00E14BFC">
        <w:rPr>
          <w:color w:val="auto"/>
        </w:rPr>
        <w:t xml:space="preserve">cost have been included in the NHCDC 2021-22, a reconciliation review was completed between </w:t>
      </w:r>
      <w:r w:rsidR="008819E2">
        <w:rPr>
          <w:color w:val="auto"/>
        </w:rPr>
        <w:t>South Australia’s</w:t>
      </w:r>
      <w:r w:rsidRPr="00E14BFC">
        <w:rPr>
          <w:color w:val="auto"/>
        </w:rPr>
        <w:t xml:space="preserve"> general ledger and the costs submitted to IHACPA. South Australia’s general ledger reconciles with the cost ledger as well as the costs submitted to IHACPA.</w:t>
      </w:r>
    </w:p>
    <w:bookmarkEnd w:id="60"/>
    <w:p w14:paraId="5C0A0710" w14:textId="77777777" w:rsidR="003D7A83" w:rsidRDefault="003D7A83" w:rsidP="00DC12F9">
      <w:r>
        <w:br w:type="page"/>
      </w:r>
    </w:p>
    <w:p w14:paraId="4A9D5F3F" w14:textId="77777777" w:rsidR="00116285" w:rsidRPr="00E96C8D" w:rsidRDefault="00116285" w:rsidP="00116285">
      <w:pPr>
        <w:pStyle w:val="Heading1"/>
      </w:pPr>
      <w:bookmarkStart w:id="61" w:name="_Toc157776707"/>
      <w:r w:rsidRPr="00E96C8D">
        <w:lastRenderedPageBreak/>
        <w:t>Western Australia</w:t>
      </w:r>
      <w:bookmarkEnd w:id="61"/>
    </w:p>
    <w:p w14:paraId="45360872" w14:textId="77777777" w:rsidR="00040E21" w:rsidRDefault="00040E21" w:rsidP="003C21B3">
      <w:pPr>
        <w:pStyle w:val="Heading2"/>
      </w:pPr>
      <w:r>
        <w:t>Summary</w:t>
      </w:r>
    </w:p>
    <w:p w14:paraId="5DD71798" w14:textId="6D0A1C5B" w:rsidR="00D566FA" w:rsidRDefault="00D566FA" w:rsidP="00D566FA">
      <w:pPr>
        <w:rPr>
          <w:color w:val="auto"/>
        </w:rPr>
      </w:pPr>
      <w:r>
        <w:rPr>
          <w:color w:val="auto"/>
        </w:rPr>
        <w:t xml:space="preserve">Western Australia submitted cost data from </w:t>
      </w:r>
      <w:r w:rsidR="00A36E40">
        <w:rPr>
          <w:color w:val="auto"/>
        </w:rPr>
        <w:t>36</w:t>
      </w:r>
      <w:r w:rsidRPr="007B7CF1">
        <w:rPr>
          <w:color w:val="auto"/>
        </w:rPr>
        <w:t xml:space="preserve"> </w:t>
      </w:r>
      <w:r>
        <w:rPr>
          <w:color w:val="auto"/>
        </w:rPr>
        <w:t>hospitals (including health services)</w:t>
      </w:r>
      <w:r w:rsidR="002605D4">
        <w:rPr>
          <w:color w:val="auto"/>
        </w:rPr>
        <w:t xml:space="preserve"> across 5 health service providers (HSPs)</w:t>
      </w:r>
      <w:r>
        <w:rPr>
          <w:color w:val="auto"/>
        </w:rPr>
        <w:t xml:space="preserve"> with </w:t>
      </w:r>
      <w:r w:rsidR="00A36E40">
        <w:rPr>
          <w:color w:val="auto"/>
        </w:rPr>
        <w:t>4.2</w:t>
      </w:r>
      <w:r>
        <w:rPr>
          <w:color w:val="auto"/>
        </w:rPr>
        <w:t xml:space="preserve"> million records and a cost of $</w:t>
      </w:r>
      <w:r w:rsidR="00EB3F54">
        <w:rPr>
          <w:color w:val="auto"/>
        </w:rPr>
        <w:t>6.3</w:t>
      </w:r>
      <w:r>
        <w:rPr>
          <w:color w:val="auto"/>
        </w:rPr>
        <w:t xml:space="preserve"> billion in 2021-22. </w:t>
      </w:r>
      <w:r w:rsidR="00CD48C3">
        <w:rPr>
          <w:color w:val="auto"/>
        </w:rPr>
        <w:t xml:space="preserve">IHACPA consulted Western Australia to </w:t>
      </w:r>
      <w:r w:rsidR="00CD48C3" w:rsidRPr="00D86953">
        <w:rPr>
          <w:color w:val="auto"/>
        </w:rPr>
        <w:t xml:space="preserve">confirm </w:t>
      </w:r>
      <w:r w:rsidR="00CD48C3">
        <w:rPr>
          <w:color w:val="auto"/>
        </w:rPr>
        <w:t xml:space="preserve">the Standards were correctly applied and reviewed any </w:t>
      </w:r>
      <w:r w:rsidR="00CD48C3" w:rsidRPr="008819E2">
        <w:rPr>
          <w:color w:val="auto"/>
        </w:rPr>
        <w:t xml:space="preserve">exceptions. </w:t>
      </w:r>
      <w:r w:rsidRPr="008819E2">
        <w:rPr>
          <w:color w:val="auto"/>
        </w:rPr>
        <w:t>The bilateral meeting also reviewed costs in th</w:t>
      </w:r>
      <w:r w:rsidRPr="00835A75">
        <w:rPr>
          <w:color w:val="auto"/>
        </w:rPr>
        <w:t>e general ledger</w:t>
      </w:r>
      <w:r w:rsidRPr="008819E2">
        <w:rPr>
          <w:color w:val="auto"/>
        </w:rPr>
        <w:t xml:space="preserve"> to ensure they reconciled with the cost</w:t>
      </w:r>
      <w:r>
        <w:rPr>
          <w:color w:val="auto"/>
        </w:rPr>
        <w:t xml:space="preserve"> data submitted and discussed the fu</w:t>
      </w:r>
      <w:r w:rsidRPr="00D86953">
        <w:rPr>
          <w:color w:val="auto"/>
        </w:rPr>
        <w:t>ture</w:t>
      </w:r>
      <w:r>
        <w:rPr>
          <w:color w:val="auto"/>
        </w:rPr>
        <w:t xml:space="preserve"> of the</w:t>
      </w:r>
      <w:r w:rsidRPr="00D86953">
        <w:rPr>
          <w:color w:val="auto"/>
        </w:rPr>
        <w:t xml:space="preserve"> independent financial review</w:t>
      </w:r>
      <w:r>
        <w:rPr>
          <w:color w:val="auto"/>
        </w:rPr>
        <w:t>.</w:t>
      </w:r>
    </w:p>
    <w:p w14:paraId="17B8E44F" w14:textId="3398E35A" w:rsidR="00C21391" w:rsidRDefault="002D0BE5" w:rsidP="007F229E">
      <w:pPr>
        <w:rPr>
          <w:color w:val="auto"/>
        </w:rPr>
      </w:pPr>
      <w:r w:rsidRPr="00E02029">
        <w:rPr>
          <w:color w:val="auto"/>
        </w:rPr>
        <w:t>The review of Western Australia</w:t>
      </w:r>
      <w:r w:rsidR="00A049C3" w:rsidRPr="00E02029">
        <w:rPr>
          <w:color w:val="auto"/>
        </w:rPr>
        <w:t>’s</w:t>
      </w:r>
      <w:r w:rsidRPr="00E02029">
        <w:rPr>
          <w:color w:val="auto"/>
        </w:rPr>
        <w:t xml:space="preserve"> costing and governance processes </w:t>
      </w:r>
      <w:r w:rsidR="007E2312">
        <w:rPr>
          <w:color w:val="auto"/>
        </w:rPr>
        <w:t>demonstrated that there are r</w:t>
      </w:r>
      <w:r w:rsidR="00675370" w:rsidRPr="00E02029">
        <w:rPr>
          <w:color w:val="auto"/>
        </w:rPr>
        <w:t>igorous</w:t>
      </w:r>
      <w:r w:rsidR="00F26396">
        <w:rPr>
          <w:color w:val="auto"/>
        </w:rPr>
        <w:t xml:space="preserve"> costing</w:t>
      </w:r>
      <w:r w:rsidR="00675370" w:rsidRPr="00E02029">
        <w:rPr>
          <w:color w:val="auto"/>
        </w:rPr>
        <w:t xml:space="preserve"> </w:t>
      </w:r>
      <w:r w:rsidR="00F26396">
        <w:rPr>
          <w:color w:val="auto"/>
        </w:rPr>
        <w:t>processes in place</w:t>
      </w:r>
      <w:r w:rsidR="007E2312">
        <w:rPr>
          <w:color w:val="auto"/>
        </w:rPr>
        <w:t xml:space="preserve">, specifically for the </w:t>
      </w:r>
      <w:r w:rsidR="00A35439">
        <w:rPr>
          <w:color w:val="auto"/>
        </w:rPr>
        <w:t>allocat</w:t>
      </w:r>
      <w:r w:rsidR="007E2312">
        <w:rPr>
          <w:color w:val="auto"/>
        </w:rPr>
        <w:t>ion of</w:t>
      </w:r>
      <w:r w:rsidR="00A35439">
        <w:rPr>
          <w:color w:val="auto"/>
        </w:rPr>
        <w:t xml:space="preserve"> </w:t>
      </w:r>
      <w:r w:rsidR="00675370" w:rsidRPr="00E02029">
        <w:rPr>
          <w:color w:val="auto"/>
        </w:rPr>
        <w:t xml:space="preserve">overhead </w:t>
      </w:r>
      <w:r w:rsidR="00A35439">
        <w:rPr>
          <w:color w:val="auto"/>
        </w:rPr>
        <w:t>expenses and</w:t>
      </w:r>
      <w:r w:rsidR="00675370" w:rsidRPr="00E02029">
        <w:rPr>
          <w:color w:val="auto"/>
        </w:rPr>
        <w:t xml:space="preserve"> </w:t>
      </w:r>
      <w:r w:rsidR="00714118" w:rsidRPr="00E02029">
        <w:rPr>
          <w:color w:val="auto"/>
        </w:rPr>
        <w:t>third-party</w:t>
      </w:r>
      <w:r w:rsidR="00675370" w:rsidRPr="00E02029">
        <w:rPr>
          <w:color w:val="auto"/>
        </w:rPr>
        <w:t xml:space="preserve"> costs</w:t>
      </w:r>
      <w:r w:rsidR="0032281D">
        <w:rPr>
          <w:color w:val="auto"/>
        </w:rPr>
        <w:t>.</w:t>
      </w:r>
      <w:bookmarkStart w:id="62" w:name="_Toc153890147"/>
    </w:p>
    <w:p w14:paraId="3CD25896" w14:textId="2C57F57A" w:rsidR="00116285" w:rsidRPr="00E96C8D" w:rsidRDefault="001047CA" w:rsidP="003C21B3">
      <w:pPr>
        <w:pStyle w:val="Heading2"/>
      </w:pPr>
      <w:r w:rsidRPr="005F05EB">
        <w:t>Australian Hospital Patient Costing Standards</w:t>
      </w:r>
      <w:bookmarkEnd w:id="62"/>
    </w:p>
    <w:p w14:paraId="6960CC3B" w14:textId="21AB7CFC" w:rsidR="00116285" w:rsidRPr="00E96C8D" w:rsidRDefault="00116285" w:rsidP="00116285">
      <w:pPr>
        <w:pStyle w:val="Heading3"/>
      </w:pPr>
      <w:r w:rsidRPr="00E96C8D">
        <w:t>Stage 1 – Identify Relevant Expenses</w:t>
      </w:r>
    </w:p>
    <w:p w14:paraId="3FF0A1E8" w14:textId="596F9AFE" w:rsidR="00116285" w:rsidRPr="00E96C8D" w:rsidRDefault="00412382" w:rsidP="00DC12F9">
      <w:r>
        <w:rPr>
          <w:color w:val="auto"/>
        </w:rPr>
        <w:t>Western Australia</w:t>
      </w:r>
      <w:r w:rsidR="00770125">
        <w:rPr>
          <w:color w:val="auto"/>
        </w:rPr>
        <w:t xml:space="preserve"> reported full compliance with the standards in Stage 1 – </w:t>
      </w:r>
      <w:r w:rsidR="00441F38">
        <w:rPr>
          <w:color w:val="auto"/>
        </w:rPr>
        <w:t>identify</w:t>
      </w:r>
      <w:r w:rsidR="00770125">
        <w:rPr>
          <w:color w:val="auto"/>
        </w:rPr>
        <w:t xml:space="preserve"> relevant expenses</w:t>
      </w:r>
      <w:r w:rsidR="00770125" w:rsidRPr="00770125">
        <w:rPr>
          <w:color w:val="auto"/>
        </w:rPr>
        <w:t>; except for blood costs as they were not submitted in the NHCDC 2021-22</w:t>
      </w:r>
      <w:r w:rsidR="003A39C5" w:rsidRPr="00770125">
        <w:rPr>
          <w:color w:val="auto"/>
        </w:rPr>
        <w:t>.</w:t>
      </w:r>
      <w:r w:rsidR="00770125" w:rsidRPr="00770125">
        <w:rPr>
          <w:color w:val="auto"/>
        </w:rPr>
        <w:t xml:space="preserve"> </w:t>
      </w:r>
      <w:r w:rsidR="00116285" w:rsidRPr="00770125">
        <w:t>Non-hospital products</w:t>
      </w:r>
      <w:r w:rsidR="00116285" w:rsidRPr="00E96C8D">
        <w:t xml:space="preserve"> are currently excluded from cost ledgers. </w:t>
      </w:r>
      <w:r w:rsidR="00F462A2" w:rsidRPr="00F462A2">
        <w:t xml:space="preserve">The definition of hospital </w:t>
      </w:r>
      <w:r w:rsidR="0081619A">
        <w:t>and</w:t>
      </w:r>
      <w:r w:rsidR="0081619A" w:rsidRPr="00F462A2">
        <w:t xml:space="preserve"> </w:t>
      </w:r>
      <w:r w:rsidR="00F462A2" w:rsidRPr="00F462A2">
        <w:t>non-hospital products and services has been evolving due to the introduction of ABF models and changing service delivery. Currently, any non-acute services offered by hospitals that are deemed non-hospital are excluded from the cost ledger.</w:t>
      </w:r>
    </w:p>
    <w:p w14:paraId="0D80264A" w14:textId="2FBEE9A3" w:rsidR="00116285" w:rsidRPr="00E96C8D" w:rsidRDefault="00490294" w:rsidP="00DC12F9">
      <w:r>
        <w:t>P</w:t>
      </w:r>
      <w:r w:rsidR="00116285" w:rsidRPr="00E96C8D">
        <w:t>atient transport</w:t>
      </w:r>
      <w:r>
        <w:t xml:space="preserve"> expenses,</w:t>
      </w:r>
      <w:r w:rsidR="00116285" w:rsidRPr="00E96C8D">
        <w:t xml:space="preserve"> as</w:t>
      </w:r>
      <w:r w:rsidR="00770125">
        <w:t xml:space="preserve"> per the</w:t>
      </w:r>
      <w:r w:rsidR="00116285" w:rsidRPr="00E96C8D">
        <w:t xml:space="preserve"> agreements with the Royal Flying Doctors Service</w:t>
      </w:r>
      <w:r w:rsidR="002339BE">
        <w:t xml:space="preserve"> (RFDS)</w:t>
      </w:r>
      <w:r w:rsidR="00116285" w:rsidRPr="00E96C8D">
        <w:t xml:space="preserve"> and St John Ambulance </w:t>
      </w:r>
      <w:r w:rsidR="002339BE">
        <w:t>(SJA)</w:t>
      </w:r>
      <w:r>
        <w:t>,</w:t>
      </w:r>
      <w:r w:rsidR="002339BE">
        <w:t xml:space="preserve"> </w:t>
      </w:r>
      <w:r w:rsidR="00116285" w:rsidRPr="00E96C8D">
        <w:t>are mostly excluded with a possibility of under allocation of costs concerning inter-hospital patient transport.</w:t>
      </w:r>
    </w:p>
    <w:p w14:paraId="5E653477" w14:textId="499C527D" w:rsidR="0081619A" w:rsidRDefault="00116285" w:rsidP="00DC12F9">
      <w:r w:rsidRPr="00E96C8D">
        <w:t xml:space="preserve">Virtual care expenses are costed within the Western Australia Country Health Service (WACHS) when pre-arranged; </w:t>
      </w:r>
      <w:r w:rsidR="00DF1CF9" w:rsidRPr="00E96C8D">
        <w:t>otherwise,</w:t>
      </w:r>
      <w:r w:rsidRPr="00E96C8D">
        <w:t xml:space="preserve"> these are charged to the hospital where the service is provided.</w:t>
      </w:r>
    </w:p>
    <w:p w14:paraId="67D145FC" w14:textId="453A6DF2" w:rsidR="00116285" w:rsidRPr="00E96C8D" w:rsidRDefault="00116285" w:rsidP="0081619A">
      <w:pPr>
        <w:pStyle w:val="Heading3"/>
      </w:pPr>
      <w:r w:rsidRPr="00E96C8D">
        <w:t xml:space="preserve">Stage 2 </w:t>
      </w:r>
      <w:r w:rsidR="0027397A">
        <w:t>and</w:t>
      </w:r>
      <w:r w:rsidRPr="00E96C8D">
        <w:t xml:space="preserve"> 3 </w:t>
      </w:r>
      <w:r w:rsidR="00B65B85">
        <w:t>–</w:t>
      </w:r>
      <w:r w:rsidRPr="00E96C8D">
        <w:t xml:space="preserve"> Create the Cost Ledger and Create Final Cost Centres</w:t>
      </w:r>
    </w:p>
    <w:p w14:paraId="3F008021" w14:textId="0E8FB6DB" w:rsidR="00770125" w:rsidRPr="00E96C8D" w:rsidRDefault="00635403" w:rsidP="00770125">
      <w:pPr>
        <w:spacing w:after="120"/>
      </w:pPr>
      <w:r>
        <w:rPr>
          <w:color w:val="auto"/>
        </w:rPr>
        <w:t>Western Australia</w:t>
      </w:r>
      <w:r w:rsidR="00770125" w:rsidRPr="00770125">
        <w:rPr>
          <w:color w:val="auto"/>
        </w:rPr>
        <w:t xml:space="preserve"> </w:t>
      </w:r>
      <w:r w:rsidR="00770125">
        <w:rPr>
          <w:color w:val="auto"/>
        </w:rPr>
        <w:t xml:space="preserve">reported full compliance with the standards in Stages 2 and 3 – </w:t>
      </w:r>
      <w:r w:rsidR="00441F38">
        <w:rPr>
          <w:color w:val="auto"/>
        </w:rPr>
        <w:t>create</w:t>
      </w:r>
      <w:r w:rsidR="00770125">
        <w:rPr>
          <w:color w:val="auto"/>
        </w:rPr>
        <w:t xml:space="preserve"> the cost ledger and </w:t>
      </w:r>
      <w:r w:rsidR="00441F38">
        <w:rPr>
          <w:color w:val="auto"/>
        </w:rPr>
        <w:t xml:space="preserve">create </w:t>
      </w:r>
      <w:r w:rsidR="00770125">
        <w:rPr>
          <w:color w:val="auto"/>
        </w:rPr>
        <w:t>final cost centres.</w:t>
      </w:r>
      <w:r>
        <w:rPr>
          <w:color w:val="auto"/>
        </w:rPr>
        <w:t xml:space="preserve"> </w:t>
      </w:r>
      <w:r w:rsidR="00770125">
        <w:t xml:space="preserve">There has been an increased focus on standardising </w:t>
      </w:r>
      <w:r w:rsidR="00770125" w:rsidRPr="00C3343B">
        <w:t>cost</w:t>
      </w:r>
      <w:r w:rsidR="00770125">
        <w:t xml:space="preserve">ing practices </w:t>
      </w:r>
      <w:r w:rsidR="00770125" w:rsidRPr="00C3343B">
        <w:t xml:space="preserve">wherever feasible across </w:t>
      </w:r>
      <w:r w:rsidR="00770125">
        <w:t>Health Service Providers (HSP), but variation may occur</w:t>
      </w:r>
      <w:r w:rsidR="00770125" w:rsidRPr="00C3343B">
        <w:t xml:space="preserve"> due to specific HSP requirements.</w:t>
      </w:r>
    </w:p>
    <w:p w14:paraId="15F0E1A8" w14:textId="73D61218" w:rsidR="00116285" w:rsidRPr="00E96C8D" w:rsidRDefault="00770125" w:rsidP="00DC12F9">
      <w:r>
        <w:rPr>
          <w:color w:val="auto"/>
        </w:rPr>
        <w:t xml:space="preserve">The utilisation of RVUs </w:t>
      </w:r>
      <w:r>
        <w:t>is</w:t>
      </w:r>
      <w:r w:rsidR="00C3343B" w:rsidRPr="00E96C8D">
        <w:t xml:space="preserve"> informed by </w:t>
      </w:r>
      <w:r w:rsidR="004B1759">
        <w:t>costing practices</w:t>
      </w:r>
      <w:r w:rsidR="00C3343B" w:rsidRPr="00E96C8D">
        <w:t xml:space="preserve"> and </w:t>
      </w:r>
      <w:r>
        <w:t xml:space="preserve">are </w:t>
      </w:r>
      <w:r w:rsidR="00C3343B" w:rsidRPr="00E96C8D">
        <w:t xml:space="preserve">regularly updated based on discussions with business managers, with the intention of reducing </w:t>
      </w:r>
      <w:r>
        <w:t>assumptions</w:t>
      </w:r>
      <w:r w:rsidR="00C3343B" w:rsidRPr="00E96C8D">
        <w:t>.</w:t>
      </w:r>
    </w:p>
    <w:p w14:paraId="67300585" w14:textId="1BBD1A9B" w:rsidR="00090CE5" w:rsidRPr="00090CE5" w:rsidRDefault="00116285" w:rsidP="00090CE5">
      <w:pPr>
        <w:pStyle w:val="Heading3"/>
      </w:pPr>
      <w:r w:rsidRPr="00E96C8D">
        <w:lastRenderedPageBreak/>
        <w:t xml:space="preserve">Stage 4 </w:t>
      </w:r>
      <w:r w:rsidR="0027397A">
        <w:t>and</w:t>
      </w:r>
      <w:r w:rsidRPr="00E96C8D">
        <w:t xml:space="preserve"> 5 </w:t>
      </w:r>
      <w:r w:rsidR="00B65B85">
        <w:t>–</w:t>
      </w:r>
      <w:r w:rsidRPr="00E96C8D">
        <w:t xml:space="preserve"> Identify Products and Assign Expenses to Products</w:t>
      </w:r>
    </w:p>
    <w:p w14:paraId="2C3477D6" w14:textId="41DE3FA4" w:rsidR="00090CE5" w:rsidRPr="00E14BFC" w:rsidRDefault="00111214" w:rsidP="00770125">
      <w:pPr>
        <w:rPr>
          <w:color w:val="auto"/>
        </w:rPr>
      </w:pPr>
      <w:r w:rsidRPr="00E14BFC">
        <w:rPr>
          <w:color w:val="auto"/>
        </w:rPr>
        <w:t>Western Australia report</w:t>
      </w:r>
      <w:r w:rsidR="003B79B5" w:rsidRPr="00E14BFC">
        <w:rPr>
          <w:color w:val="auto"/>
        </w:rPr>
        <w:t>ed</w:t>
      </w:r>
      <w:r w:rsidRPr="00E14BFC">
        <w:rPr>
          <w:color w:val="auto"/>
        </w:rPr>
        <w:t xml:space="preserve"> </w:t>
      </w:r>
      <w:r w:rsidR="00770125" w:rsidRPr="00E14BFC">
        <w:rPr>
          <w:color w:val="auto"/>
        </w:rPr>
        <w:t xml:space="preserve">full compliance with all standards in Stages 4 and 5 </w:t>
      </w:r>
      <w:r w:rsidR="009A081A" w:rsidRPr="00E14BFC">
        <w:rPr>
          <w:color w:val="auto"/>
        </w:rPr>
        <w:t>–</w:t>
      </w:r>
      <w:r w:rsidR="00770125" w:rsidRPr="00E14BFC">
        <w:rPr>
          <w:color w:val="auto"/>
        </w:rPr>
        <w:t xml:space="preserve"> </w:t>
      </w:r>
      <w:r w:rsidR="00441F38" w:rsidRPr="00E14BFC">
        <w:rPr>
          <w:rFonts w:cs="Arial"/>
          <w:color w:val="auto"/>
        </w:rPr>
        <w:t>identify products</w:t>
      </w:r>
      <w:r w:rsidR="00770125" w:rsidRPr="00E14BFC">
        <w:rPr>
          <w:rFonts w:cs="Arial"/>
          <w:color w:val="auto"/>
        </w:rPr>
        <w:t xml:space="preserve"> and </w:t>
      </w:r>
      <w:r w:rsidR="00441F38" w:rsidRPr="00E14BFC">
        <w:rPr>
          <w:rFonts w:cs="Arial"/>
          <w:color w:val="auto"/>
        </w:rPr>
        <w:t xml:space="preserve">assign </w:t>
      </w:r>
      <w:r w:rsidR="00770125" w:rsidRPr="00E14BFC">
        <w:rPr>
          <w:rFonts w:cs="Arial"/>
          <w:color w:val="auto"/>
        </w:rPr>
        <w:t>expenses to products</w:t>
      </w:r>
      <w:r w:rsidR="009A081A" w:rsidRPr="00E14BFC">
        <w:rPr>
          <w:color w:val="auto"/>
        </w:rPr>
        <w:t>;</w:t>
      </w:r>
      <w:r w:rsidR="00770125" w:rsidRPr="00E14BFC">
        <w:rPr>
          <w:color w:val="auto"/>
        </w:rPr>
        <w:t xml:space="preserve"> except for s</w:t>
      </w:r>
      <w:r w:rsidR="00F23E97" w:rsidRPr="00E14BFC">
        <w:rPr>
          <w:color w:val="auto"/>
        </w:rPr>
        <w:t>tandard 4.2</w:t>
      </w:r>
      <w:r w:rsidR="00770125" w:rsidRPr="00E14BFC">
        <w:rPr>
          <w:color w:val="auto"/>
        </w:rPr>
        <w:t xml:space="preserve">. Western Australia partially complied with standard 4.2 as </w:t>
      </w:r>
      <w:r w:rsidR="00F23E97" w:rsidRPr="00E14BFC">
        <w:rPr>
          <w:color w:val="auto"/>
        </w:rPr>
        <w:t xml:space="preserve">mental health and palliative care costs </w:t>
      </w:r>
      <w:r w:rsidR="00770125" w:rsidRPr="00E14BFC">
        <w:rPr>
          <w:color w:val="auto"/>
        </w:rPr>
        <w:t xml:space="preserve">were not submitted at the </w:t>
      </w:r>
      <w:r w:rsidR="00F23E97" w:rsidRPr="00E14BFC">
        <w:rPr>
          <w:color w:val="auto"/>
        </w:rPr>
        <w:t xml:space="preserve">phase level </w:t>
      </w:r>
      <w:r w:rsidR="00770125" w:rsidRPr="00E14BFC">
        <w:rPr>
          <w:color w:val="auto"/>
        </w:rPr>
        <w:t xml:space="preserve">due to </w:t>
      </w:r>
      <w:r w:rsidR="00F23E97" w:rsidRPr="00E14BFC">
        <w:rPr>
          <w:color w:val="auto"/>
        </w:rPr>
        <w:t xml:space="preserve">data limitations. </w:t>
      </w:r>
    </w:p>
    <w:p w14:paraId="059F1738" w14:textId="7AADCE2A" w:rsidR="00D16589" w:rsidRPr="00E14BFC" w:rsidRDefault="00D16589" w:rsidP="00770125">
      <w:pPr>
        <w:rPr>
          <w:color w:val="auto"/>
        </w:rPr>
      </w:pPr>
      <w:r w:rsidRPr="00E14BFC">
        <w:rPr>
          <w:color w:val="auto"/>
        </w:rPr>
        <w:t>Western Australia</w:t>
      </w:r>
      <w:r w:rsidR="00770125" w:rsidRPr="00E14BFC">
        <w:rPr>
          <w:color w:val="auto"/>
        </w:rPr>
        <w:t xml:space="preserve"> also</w:t>
      </w:r>
      <w:r w:rsidRPr="00E14BFC">
        <w:rPr>
          <w:color w:val="auto"/>
        </w:rPr>
        <w:t xml:space="preserve"> </w:t>
      </w:r>
      <w:r w:rsidR="00770125" w:rsidRPr="00E14BFC">
        <w:rPr>
          <w:color w:val="auto"/>
        </w:rPr>
        <w:t xml:space="preserve">reported that the </w:t>
      </w:r>
      <w:r w:rsidRPr="00E14BFC">
        <w:rPr>
          <w:color w:val="auto"/>
        </w:rPr>
        <w:t xml:space="preserve">costing guidelines relating to </w:t>
      </w:r>
      <w:r w:rsidR="00770125" w:rsidRPr="00E14BFC">
        <w:rPr>
          <w:color w:val="auto"/>
        </w:rPr>
        <w:t xml:space="preserve">teaching and training, research, and blood products were not followed in the self-assessment. This is due to costs currently calculated using an established local methodology, </w:t>
      </w:r>
      <w:r w:rsidR="00E14BFC" w:rsidRPr="00E14BFC">
        <w:rPr>
          <w:color w:val="auto"/>
        </w:rPr>
        <w:t xml:space="preserve">that </w:t>
      </w:r>
      <w:r w:rsidR="00770125" w:rsidRPr="00E14BFC">
        <w:rPr>
          <w:color w:val="auto"/>
        </w:rPr>
        <w:t xml:space="preserve">do not comply with the standards and </w:t>
      </w:r>
      <w:r w:rsidR="00E14BFC" w:rsidRPr="00E14BFC">
        <w:rPr>
          <w:color w:val="auto"/>
        </w:rPr>
        <w:t>are</w:t>
      </w:r>
      <w:r w:rsidR="00770125" w:rsidRPr="00E14BFC">
        <w:rPr>
          <w:color w:val="auto"/>
        </w:rPr>
        <w:t xml:space="preserve"> excluded from the submission.</w:t>
      </w:r>
    </w:p>
    <w:p w14:paraId="5C565D08" w14:textId="3AB8C0CF" w:rsidR="00116285" w:rsidRPr="00E14BFC" w:rsidRDefault="00116285" w:rsidP="00DC12F9">
      <w:pPr>
        <w:spacing w:after="120"/>
        <w:rPr>
          <w:color w:val="auto"/>
        </w:rPr>
      </w:pPr>
      <w:r w:rsidRPr="00E14BFC">
        <w:rPr>
          <w:color w:val="auto"/>
        </w:rPr>
        <w:t xml:space="preserve">Data </w:t>
      </w:r>
      <w:r w:rsidR="00073F72" w:rsidRPr="00E14BFC">
        <w:rPr>
          <w:color w:val="auto"/>
        </w:rPr>
        <w:t xml:space="preserve">linking </w:t>
      </w:r>
      <w:r w:rsidRPr="00E14BFC">
        <w:rPr>
          <w:color w:val="auto"/>
        </w:rPr>
        <w:t xml:space="preserve">issues </w:t>
      </w:r>
      <w:r w:rsidR="00770125" w:rsidRPr="00E14BFC">
        <w:rPr>
          <w:color w:val="auto"/>
        </w:rPr>
        <w:t xml:space="preserve">continue to persist for palliative care costing </w:t>
      </w:r>
      <w:r w:rsidRPr="00E14BFC">
        <w:rPr>
          <w:color w:val="auto"/>
        </w:rPr>
        <w:t xml:space="preserve">due to variations in </w:t>
      </w:r>
      <w:r w:rsidR="00073F72" w:rsidRPr="00E14BFC">
        <w:rPr>
          <w:color w:val="auto"/>
        </w:rPr>
        <w:t xml:space="preserve">phase </w:t>
      </w:r>
      <w:r w:rsidRPr="00E14BFC">
        <w:rPr>
          <w:color w:val="auto"/>
        </w:rPr>
        <w:t>admission and assessment times.</w:t>
      </w:r>
    </w:p>
    <w:p w14:paraId="2A39156C" w14:textId="5C6AB978" w:rsidR="00116285" w:rsidRPr="00E14BFC" w:rsidRDefault="0081619A" w:rsidP="00DC12F9">
      <w:pPr>
        <w:spacing w:after="120"/>
        <w:rPr>
          <w:color w:val="auto"/>
        </w:rPr>
      </w:pPr>
      <w:r w:rsidRPr="00E14BFC">
        <w:rPr>
          <w:color w:val="auto"/>
        </w:rPr>
        <w:t>Contracted care services</w:t>
      </w:r>
      <w:r w:rsidR="009A1F6D" w:rsidRPr="00E14BFC">
        <w:rPr>
          <w:color w:val="auto"/>
        </w:rPr>
        <w:t xml:space="preserve"> in WA</w:t>
      </w:r>
      <w:r w:rsidRPr="00E14BFC">
        <w:rPr>
          <w:color w:val="auto"/>
        </w:rPr>
        <w:t>, primarily dialysis procedures, were manually adjusted to ensure the cost data linked to the activity data as there was a discrepancy of the health entity information in both datasets.</w:t>
      </w:r>
    </w:p>
    <w:p w14:paraId="6AF7A1AE" w14:textId="1D678FCC" w:rsidR="00116285" w:rsidRPr="00E96C8D" w:rsidRDefault="00116285" w:rsidP="00116285">
      <w:pPr>
        <w:pStyle w:val="Heading3"/>
      </w:pPr>
      <w:r w:rsidRPr="00E96C8D">
        <w:t xml:space="preserve">Stage 6 </w:t>
      </w:r>
      <w:r w:rsidR="00B65B85">
        <w:t>–</w:t>
      </w:r>
      <w:r w:rsidRPr="00E96C8D">
        <w:t xml:space="preserve"> Review and Reconcile</w:t>
      </w:r>
    </w:p>
    <w:p w14:paraId="272CA68C" w14:textId="0EF373E5" w:rsidR="008819E2" w:rsidRDefault="00770125" w:rsidP="00DC12F9">
      <w:pPr>
        <w:rPr>
          <w:color w:val="auto"/>
        </w:rPr>
      </w:pPr>
      <w:r w:rsidRPr="00E14BFC">
        <w:rPr>
          <w:color w:val="auto"/>
        </w:rPr>
        <w:t xml:space="preserve">Western Australia reported full compliance with the standards in Stage 6 – </w:t>
      </w:r>
      <w:r w:rsidRPr="00E14BFC">
        <w:rPr>
          <w:rFonts w:cs="Arial"/>
          <w:color w:val="auto"/>
        </w:rPr>
        <w:t>review and reconcile</w:t>
      </w:r>
      <w:r w:rsidRPr="00E14BFC">
        <w:rPr>
          <w:color w:val="auto"/>
        </w:rPr>
        <w:t xml:space="preserve">. </w:t>
      </w:r>
      <w:r w:rsidR="00E03CA3" w:rsidRPr="00E14BFC">
        <w:rPr>
          <w:color w:val="auto"/>
        </w:rPr>
        <w:t xml:space="preserve">Quality assurance and reconciliation processes are undertaken at the induvial HSP level as well as </w:t>
      </w:r>
      <w:r w:rsidRPr="00E14BFC">
        <w:rPr>
          <w:color w:val="auto"/>
        </w:rPr>
        <w:t xml:space="preserve">at the </w:t>
      </w:r>
      <w:r w:rsidR="00E03CA3" w:rsidRPr="00E14BFC">
        <w:rPr>
          <w:color w:val="auto"/>
        </w:rPr>
        <w:t>Department level</w:t>
      </w:r>
      <w:r w:rsidR="004153DE" w:rsidRPr="00E14BFC">
        <w:rPr>
          <w:color w:val="auto"/>
        </w:rPr>
        <w:t xml:space="preserve">. </w:t>
      </w:r>
      <w:r w:rsidR="00F059A7" w:rsidRPr="00E14BFC">
        <w:rPr>
          <w:color w:val="auto"/>
        </w:rPr>
        <w:t>Within t</w:t>
      </w:r>
      <w:r w:rsidR="00654EBD" w:rsidRPr="00E14BFC">
        <w:rPr>
          <w:color w:val="auto"/>
        </w:rPr>
        <w:t xml:space="preserve">he PPM system </w:t>
      </w:r>
      <w:r w:rsidR="00F059A7" w:rsidRPr="00E14BFC">
        <w:rPr>
          <w:color w:val="auto"/>
        </w:rPr>
        <w:t xml:space="preserve">WA utilise </w:t>
      </w:r>
      <w:r w:rsidR="00654EBD" w:rsidRPr="00E14BFC">
        <w:rPr>
          <w:color w:val="auto"/>
        </w:rPr>
        <w:t xml:space="preserve">standardised </w:t>
      </w:r>
      <w:r w:rsidR="00F059A7" w:rsidRPr="00E14BFC">
        <w:rPr>
          <w:color w:val="auto"/>
        </w:rPr>
        <w:t xml:space="preserve">systematic checks </w:t>
      </w:r>
      <w:r w:rsidR="00654EBD" w:rsidRPr="00E14BFC">
        <w:rPr>
          <w:color w:val="auto"/>
        </w:rPr>
        <w:t xml:space="preserve">for validation </w:t>
      </w:r>
      <w:r w:rsidR="00F059A7" w:rsidRPr="00E14BFC">
        <w:rPr>
          <w:color w:val="auto"/>
        </w:rPr>
        <w:t>at the HSP level. The state health department outline a minimum set of standard QA checks completed</w:t>
      </w:r>
      <w:r w:rsidR="00654EBD" w:rsidRPr="00E14BFC">
        <w:rPr>
          <w:color w:val="auto"/>
        </w:rPr>
        <w:t xml:space="preserve"> </w:t>
      </w:r>
      <w:r w:rsidR="00F059A7" w:rsidRPr="00E14BFC">
        <w:rPr>
          <w:color w:val="auto"/>
        </w:rPr>
        <w:t xml:space="preserve">by HSPs </w:t>
      </w:r>
      <w:r w:rsidR="00654EBD" w:rsidRPr="00E14BFC">
        <w:rPr>
          <w:color w:val="auto"/>
        </w:rPr>
        <w:t>with</w:t>
      </w:r>
      <w:r w:rsidR="002339BE" w:rsidRPr="00E14BFC">
        <w:rPr>
          <w:color w:val="auto"/>
        </w:rPr>
        <w:t>in</w:t>
      </w:r>
      <w:r w:rsidR="00654EBD" w:rsidRPr="00E14BFC">
        <w:rPr>
          <w:color w:val="auto"/>
        </w:rPr>
        <w:t xml:space="preserve"> Power BI</w:t>
      </w:r>
      <w:r w:rsidR="00C9015E" w:rsidRPr="00E14BFC">
        <w:rPr>
          <w:color w:val="auto"/>
        </w:rPr>
        <w:t>.</w:t>
      </w:r>
      <w:r w:rsidR="00116285" w:rsidRPr="00E14BFC">
        <w:rPr>
          <w:color w:val="auto"/>
        </w:rPr>
        <w:t xml:space="preserve"> </w:t>
      </w:r>
    </w:p>
    <w:p w14:paraId="3A66E764" w14:textId="4A3763A0" w:rsidR="00D35B4F" w:rsidRPr="00E14BFC" w:rsidRDefault="00F059A7" w:rsidP="00DC12F9">
      <w:pPr>
        <w:rPr>
          <w:color w:val="auto"/>
        </w:rPr>
      </w:pPr>
      <w:r w:rsidRPr="00E14BFC">
        <w:rPr>
          <w:color w:val="auto"/>
        </w:rPr>
        <w:t xml:space="preserve">HSP’s are required to complete an authorisation letter that is submitted to WA Health alongside the cost submission. </w:t>
      </w:r>
      <w:r w:rsidR="00116285" w:rsidRPr="00E14BFC">
        <w:rPr>
          <w:color w:val="auto"/>
        </w:rPr>
        <w:t xml:space="preserve">Authorisation is required from the CFO/CEO before submission to the System Manager. </w:t>
      </w:r>
      <w:r w:rsidRPr="00E14BFC">
        <w:rPr>
          <w:color w:val="auto"/>
        </w:rPr>
        <w:t xml:space="preserve">HSPs submit </w:t>
      </w:r>
      <w:r w:rsidR="00696173">
        <w:rPr>
          <w:color w:val="auto"/>
        </w:rPr>
        <w:t xml:space="preserve">an interim, </w:t>
      </w:r>
      <w:proofErr w:type="gramStart"/>
      <w:r w:rsidR="00696173">
        <w:rPr>
          <w:color w:val="auto"/>
        </w:rPr>
        <w:t>draft</w:t>
      </w:r>
      <w:proofErr w:type="gramEnd"/>
      <w:r w:rsidR="00696173">
        <w:rPr>
          <w:color w:val="auto"/>
        </w:rPr>
        <w:t xml:space="preserve"> and final dataset annually</w:t>
      </w:r>
      <w:r w:rsidR="007A5C32" w:rsidRPr="00E14BFC">
        <w:rPr>
          <w:color w:val="auto"/>
        </w:rPr>
        <w:t xml:space="preserve"> to WA Health, who then </w:t>
      </w:r>
      <w:r w:rsidR="008819E2">
        <w:rPr>
          <w:color w:val="auto"/>
        </w:rPr>
        <w:t xml:space="preserve">validate the HSP </w:t>
      </w:r>
      <w:r w:rsidR="00DF1CF9">
        <w:rPr>
          <w:color w:val="auto"/>
        </w:rPr>
        <w:t>submissions.</w:t>
      </w:r>
      <w:r w:rsidR="007A5C32" w:rsidRPr="00E14BFC">
        <w:rPr>
          <w:color w:val="auto"/>
        </w:rPr>
        <w:t xml:space="preserve"> The submissions are reviewed </w:t>
      </w:r>
      <w:r w:rsidR="00116285" w:rsidRPr="00E14BFC">
        <w:rPr>
          <w:color w:val="auto"/>
        </w:rPr>
        <w:t xml:space="preserve">against benchmarks </w:t>
      </w:r>
      <w:r w:rsidRPr="00E14BFC">
        <w:rPr>
          <w:color w:val="auto"/>
        </w:rPr>
        <w:t>and when the data does not align with expected results, HSPs will be asked to review and resubmit</w:t>
      </w:r>
      <w:r w:rsidR="007A5C32" w:rsidRPr="00E14BFC">
        <w:rPr>
          <w:color w:val="auto"/>
        </w:rPr>
        <w:t xml:space="preserve"> if an error is identified</w:t>
      </w:r>
      <w:r w:rsidRPr="00E14BFC">
        <w:rPr>
          <w:color w:val="auto"/>
        </w:rPr>
        <w:t>.</w:t>
      </w:r>
      <w:r w:rsidR="00722A55" w:rsidRPr="00E14BFC">
        <w:rPr>
          <w:color w:val="auto"/>
        </w:rPr>
        <w:t xml:space="preserve"> </w:t>
      </w:r>
    </w:p>
    <w:p w14:paraId="63E82819" w14:textId="7450DDA3" w:rsidR="00D35B4F" w:rsidRPr="00E14BFC" w:rsidRDefault="007F5F19" w:rsidP="00DC12F9">
      <w:pPr>
        <w:rPr>
          <w:color w:val="auto"/>
        </w:rPr>
      </w:pPr>
      <w:r w:rsidRPr="00E14BFC">
        <w:rPr>
          <w:color w:val="auto"/>
        </w:rPr>
        <w:t>Western Australia</w:t>
      </w:r>
      <w:r w:rsidR="00D35B4F" w:rsidRPr="00E14BFC">
        <w:rPr>
          <w:color w:val="auto"/>
        </w:rPr>
        <w:t xml:space="preserve"> completes internal quality assurance processes to ensure the NHCDC contains high-quality data that can be used to develop the national efficient price. It has been </w:t>
      </w:r>
      <w:r w:rsidR="00A7601A" w:rsidRPr="00E14BFC">
        <w:rPr>
          <w:color w:val="auto"/>
        </w:rPr>
        <w:t xml:space="preserve">identified </w:t>
      </w:r>
      <w:r w:rsidR="00D35B4F" w:rsidRPr="00E14BFC">
        <w:rPr>
          <w:color w:val="auto"/>
        </w:rPr>
        <w:t xml:space="preserve">that </w:t>
      </w:r>
      <w:r w:rsidRPr="00E14BFC">
        <w:rPr>
          <w:color w:val="auto"/>
        </w:rPr>
        <w:t>Western Australia</w:t>
      </w:r>
      <w:r w:rsidR="00D35B4F" w:rsidRPr="00E14BFC">
        <w:rPr>
          <w:color w:val="auto"/>
        </w:rPr>
        <w:t xml:space="preserve"> conducted several annual checks and assessments prior to a formal sign off by the </w:t>
      </w:r>
      <w:r w:rsidRPr="00E14BFC">
        <w:rPr>
          <w:color w:val="auto"/>
        </w:rPr>
        <w:t xml:space="preserve">Director General </w:t>
      </w:r>
      <w:r w:rsidR="00D35B4F" w:rsidRPr="00E14BFC">
        <w:rPr>
          <w:color w:val="auto"/>
        </w:rPr>
        <w:t>to ensure a robust costing submission to IHACPA.</w:t>
      </w:r>
    </w:p>
    <w:p w14:paraId="2B16392B" w14:textId="6E48071A" w:rsidR="00116285" w:rsidRPr="00E96C8D" w:rsidRDefault="00D35B4F" w:rsidP="000B0846">
      <w:r w:rsidRPr="00E14BFC">
        <w:rPr>
          <w:color w:val="auto"/>
        </w:rPr>
        <w:t xml:space="preserve">To ensure all </w:t>
      </w:r>
      <w:r w:rsidR="002E12B6" w:rsidRPr="00E14BFC">
        <w:rPr>
          <w:color w:val="auto"/>
        </w:rPr>
        <w:t xml:space="preserve">in-scope </w:t>
      </w:r>
      <w:r w:rsidRPr="00E14BFC">
        <w:rPr>
          <w:color w:val="auto"/>
        </w:rPr>
        <w:t xml:space="preserve">cost have been included in the NHCDC 2021-22, a reconciliation review was completed between </w:t>
      </w:r>
      <w:r w:rsidR="008819E2">
        <w:rPr>
          <w:color w:val="auto"/>
        </w:rPr>
        <w:t xml:space="preserve">Western Australia’s </w:t>
      </w:r>
      <w:r w:rsidRPr="00E14BFC">
        <w:rPr>
          <w:color w:val="auto"/>
        </w:rPr>
        <w:t xml:space="preserve">general ledger and the costs submitted to IHACPA. </w:t>
      </w:r>
      <w:r w:rsidR="007F5F19" w:rsidRPr="00E14BFC">
        <w:rPr>
          <w:color w:val="auto"/>
        </w:rPr>
        <w:t>Western Australia’s</w:t>
      </w:r>
      <w:r w:rsidRPr="00E14BFC">
        <w:rPr>
          <w:color w:val="auto"/>
        </w:rPr>
        <w:t xml:space="preserve"> general ledger reconciles with the cost ledger as well as the costs submitted to IHACPA.</w:t>
      </w:r>
      <w:r w:rsidR="00116285" w:rsidRPr="00E96C8D">
        <w:br w:type="page"/>
      </w:r>
    </w:p>
    <w:p w14:paraId="6E21513C" w14:textId="241B4ACA" w:rsidR="00FE5F0C" w:rsidRPr="00E96C8D" w:rsidRDefault="00FE5F0C" w:rsidP="00267630">
      <w:pPr>
        <w:pStyle w:val="Heading1"/>
      </w:pPr>
      <w:bookmarkStart w:id="63" w:name="_Toc153890182"/>
      <w:bookmarkStart w:id="64" w:name="_Toc157776708"/>
      <w:bookmarkEnd w:id="59"/>
      <w:r w:rsidRPr="00E96C8D">
        <w:lastRenderedPageBreak/>
        <w:t>Tasmania</w:t>
      </w:r>
      <w:bookmarkEnd w:id="63"/>
      <w:bookmarkEnd w:id="64"/>
    </w:p>
    <w:p w14:paraId="5FA278AB" w14:textId="77777777" w:rsidR="00040E21" w:rsidRDefault="00040E21" w:rsidP="003C21B3">
      <w:pPr>
        <w:pStyle w:val="Heading2"/>
      </w:pPr>
      <w:r>
        <w:t>Summary</w:t>
      </w:r>
    </w:p>
    <w:p w14:paraId="7A87F75E" w14:textId="0E4A94A3" w:rsidR="00EB3F54" w:rsidRDefault="00EB3F54" w:rsidP="00EB3F54">
      <w:pPr>
        <w:rPr>
          <w:color w:val="auto"/>
        </w:rPr>
      </w:pPr>
      <w:r>
        <w:rPr>
          <w:color w:val="auto"/>
        </w:rPr>
        <w:t xml:space="preserve">Tasmania submitted cost data from </w:t>
      </w:r>
      <w:r w:rsidR="006E174D">
        <w:rPr>
          <w:color w:val="auto"/>
        </w:rPr>
        <w:t>24</w:t>
      </w:r>
      <w:r w:rsidRPr="007B7CF1">
        <w:rPr>
          <w:color w:val="auto"/>
        </w:rPr>
        <w:t xml:space="preserve"> </w:t>
      </w:r>
      <w:r>
        <w:rPr>
          <w:color w:val="auto"/>
        </w:rPr>
        <w:t>hospitals (including health services)</w:t>
      </w:r>
      <w:r w:rsidR="002605D4">
        <w:rPr>
          <w:color w:val="auto"/>
        </w:rPr>
        <w:t xml:space="preserve"> across one local health network (LHN)</w:t>
      </w:r>
      <w:r>
        <w:rPr>
          <w:color w:val="auto"/>
        </w:rPr>
        <w:t xml:space="preserve"> with 1</w:t>
      </w:r>
      <w:r w:rsidR="006E174D">
        <w:rPr>
          <w:color w:val="auto"/>
        </w:rPr>
        <w:t>.</w:t>
      </w:r>
      <w:r>
        <w:rPr>
          <w:color w:val="auto"/>
        </w:rPr>
        <w:t>2 million records and a cost of $1</w:t>
      </w:r>
      <w:r w:rsidR="006E174D">
        <w:rPr>
          <w:color w:val="auto"/>
        </w:rPr>
        <w:t>.6</w:t>
      </w:r>
      <w:r>
        <w:rPr>
          <w:color w:val="auto"/>
        </w:rPr>
        <w:t xml:space="preserve"> billion in 2021-22. </w:t>
      </w:r>
      <w:r w:rsidR="00CD48C3">
        <w:rPr>
          <w:color w:val="auto"/>
        </w:rPr>
        <w:t xml:space="preserve">IHACPA consulted Tasmania to </w:t>
      </w:r>
      <w:r w:rsidR="00CD48C3" w:rsidRPr="00D86953">
        <w:rPr>
          <w:color w:val="auto"/>
        </w:rPr>
        <w:t xml:space="preserve">confirm </w:t>
      </w:r>
      <w:r w:rsidR="00CD48C3">
        <w:rPr>
          <w:color w:val="auto"/>
        </w:rPr>
        <w:t>the Standards were correctly applied and reviewed any exceptions.</w:t>
      </w:r>
      <w:r>
        <w:rPr>
          <w:color w:val="auto"/>
        </w:rPr>
        <w:t xml:space="preserve"> The bilateral meeting also reviewed costs in the general ledger to ensure they reconciled with the cost data submitted and discussed the fu</w:t>
      </w:r>
      <w:r w:rsidRPr="00D86953">
        <w:rPr>
          <w:color w:val="auto"/>
        </w:rPr>
        <w:t>ture</w:t>
      </w:r>
      <w:r>
        <w:rPr>
          <w:color w:val="auto"/>
        </w:rPr>
        <w:t xml:space="preserve"> of the</w:t>
      </w:r>
      <w:r w:rsidRPr="00D86953">
        <w:rPr>
          <w:color w:val="auto"/>
        </w:rPr>
        <w:t xml:space="preserve"> independent financial review</w:t>
      </w:r>
      <w:r>
        <w:rPr>
          <w:color w:val="auto"/>
        </w:rPr>
        <w:t>.</w:t>
      </w:r>
    </w:p>
    <w:p w14:paraId="408494F6" w14:textId="3AC54AB4" w:rsidR="00C21391" w:rsidRDefault="00E551FD" w:rsidP="00DC12F9">
      <w:pPr>
        <w:rPr>
          <w:color w:val="auto"/>
        </w:rPr>
      </w:pPr>
      <w:r w:rsidRPr="0022568A">
        <w:rPr>
          <w:color w:val="auto"/>
        </w:rPr>
        <w:t>The review of Tasmania</w:t>
      </w:r>
      <w:r w:rsidR="004E19B3">
        <w:rPr>
          <w:color w:val="auto"/>
        </w:rPr>
        <w:t>’s</w:t>
      </w:r>
      <w:r w:rsidRPr="0022568A">
        <w:rPr>
          <w:color w:val="auto"/>
        </w:rPr>
        <w:t xml:space="preserve"> costing and governance processes has indicated </w:t>
      </w:r>
      <w:r w:rsidR="00AD1987" w:rsidRPr="0022568A">
        <w:rPr>
          <w:color w:val="auto"/>
        </w:rPr>
        <w:t>c</w:t>
      </w:r>
      <w:r w:rsidRPr="0022568A">
        <w:rPr>
          <w:color w:val="auto"/>
        </w:rPr>
        <w:t xml:space="preserve">osts are appropriately included and excluded </w:t>
      </w:r>
      <w:r w:rsidR="00AD1987" w:rsidRPr="0022568A">
        <w:rPr>
          <w:color w:val="auto"/>
        </w:rPr>
        <w:t xml:space="preserve">with </w:t>
      </w:r>
      <w:r w:rsidR="001A7826" w:rsidRPr="0022568A">
        <w:rPr>
          <w:color w:val="auto"/>
        </w:rPr>
        <w:t>robust</w:t>
      </w:r>
      <w:r w:rsidRPr="0022568A">
        <w:rPr>
          <w:color w:val="auto"/>
        </w:rPr>
        <w:t xml:space="preserve"> allocation methodology in place to ensure costs are appropriately allocated to patients.</w:t>
      </w:r>
      <w:r w:rsidR="001A7826" w:rsidRPr="0022568A">
        <w:rPr>
          <w:color w:val="auto"/>
        </w:rPr>
        <w:t xml:space="preserve"> However,</w:t>
      </w:r>
      <w:r w:rsidR="007E2F4B">
        <w:rPr>
          <w:color w:val="auto"/>
        </w:rPr>
        <w:t xml:space="preserve"> improvements could be made relating to the provision of</w:t>
      </w:r>
      <w:r w:rsidR="001A7826" w:rsidRPr="0022568A">
        <w:rPr>
          <w:color w:val="auto"/>
        </w:rPr>
        <w:t xml:space="preserve"> b</w:t>
      </w:r>
      <w:r w:rsidR="00AD1987" w:rsidRPr="0022568A">
        <w:rPr>
          <w:color w:val="auto"/>
        </w:rPr>
        <w:t>etter</w:t>
      </w:r>
      <w:r w:rsidRPr="0022568A">
        <w:rPr>
          <w:color w:val="auto"/>
        </w:rPr>
        <w:t xml:space="preserve"> </w:t>
      </w:r>
      <w:r w:rsidR="00A243C3">
        <w:rPr>
          <w:color w:val="auto"/>
        </w:rPr>
        <w:t xml:space="preserve">jurisdictional </w:t>
      </w:r>
      <w:r w:rsidRPr="0022568A">
        <w:rPr>
          <w:color w:val="auto"/>
        </w:rPr>
        <w:t xml:space="preserve">guidelines </w:t>
      </w:r>
      <w:r w:rsidR="00457B60">
        <w:rPr>
          <w:color w:val="auto"/>
        </w:rPr>
        <w:t>for the</w:t>
      </w:r>
      <w:r w:rsidRPr="0022568A">
        <w:rPr>
          <w:color w:val="auto"/>
        </w:rPr>
        <w:t xml:space="preserve"> standardisation</w:t>
      </w:r>
      <w:r w:rsidR="00AD1987" w:rsidRPr="0022568A">
        <w:rPr>
          <w:color w:val="auto"/>
        </w:rPr>
        <w:t xml:space="preserve"> </w:t>
      </w:r>
      <w:r w:rsidR="00457B60">
        <w:rPr>
          <w:color w:val="auto"/>
        </w:rPr>
        <w:t>of cost</w:t>
      </w:r>
      <w:r w:rsidR="00A243C3">
        <w:rPr>
          <w:color w:val="auto"/>
        </w:rPr>
        <w:t xml:space="preserve">ing practices </w:t>
      </w:r>
      <w:r w:rsidR="00457B60">
        <w:rPr>
          <w:color w:val="auto"/>
        </w:rPr>
        <w:t>across LHN’s</w:t>
      </w:r>
      <w:r w:rsidR="00AD1987" w:rsidRPr="0022568A">
        <w:rPr>
          <w:color w:val="auto"/>
        </w:rPr>
        <w:t xml:space="preserve"> </w:t>
      </w:r>
      <w:r w:rsidR="006E24AE">
        <w:rPr>
          <w:color w:val="auto"/>
        </w:rPr>
        <w:t>(</w:t>
      </w:r>
      <w:r w:rsidR="00754CA4">
        <w:rPr>
          <w:color w:val="auto"/>
        </w:rPr>
        <w:t xml:space="preserve">e.g., </w:t>
      </w:r>
      <w:r w:rsidRPr="0022568A">
        <w:rPr>
          <w:color w:val="auto"/>
        </w:rPr>
        <w:t>third-party costs</w:t>
      </w:r>
      <w:r w:rsidR="00754CA4">
        <w:rPr>
          <w:color w:val="auto"/>
        </w:rPr>
        <w:t>)</w:t>
      </w:r>
      <w:r w:rsidRPr="0022568A">
        <w:rPr>
          <w:color w:val="auto"/>
        </w:rPr>
        <w:t xml:space="preserve">. </w:t>
      </w:r>
      <w:r w:rsidR="001A7826" w:rsidRPr="0022568A">
        <w:rPr>
          <w:color w:val="auto"/>
        </w:rPr>
        <w:t>The v</w:t>
      </w:r>
      <w:r w:rsidR="00AD1987" w:rsidRPr="0022568A">
        <w:rPr>
          <w:color w:val="auto"/>
        </w:rPr>
        <w:t xml:space="preserve">alidation and review processes </w:t>
      </w:r>
      <w:r w:rsidR="007E2F4B">
        <w:rPr>
          <w:color w:val="auto"/>
        </w:rPr>
        <w:t xml:space="preserve">in place were identified as </w:t>
      </w:r>
      <w:r w:rsidR="00AD1987" w:rsidRPr="0022568A">
        <w:rPr>
          <w:color w:val="auto"/>
        </w:rPr>
        <w:t>reasonable</w:t>
      </w:r>
      <w:r w:rsidR="003558C9">
        <w:rPr>
          <w:color w:val="auto"/>
        </w:rPr>
        <w:t xml:space="preserve">. </w:t>
      </w:r>
      <w:r w:rsidR="003D5C48">
        <w:rPr>
          <w:color w:val="auto"/>
        </w:rPr>
        <w:t>H</w:t>
      </w:r>
      <w:r w:rsidR="003D5C48" w:rsidRPr="0022568A">
        <w:rPr>
          <w:color w:val="auto"/>
        </w:rPr>
        <w:t>owever,</w:t>
      </w:r>
      <w:r w:rsidRPr="0022568A">
        <w:rPr>
          <w:color w:val="auto"/>
        </w:rPr>
        <w:t xml:space="preserve"> a </w:t>
      </w:r>
      <w:r w:rsidR="00C06E04">
        <w:rPr>
          <w:color w:val="auto"/>
        </w:rPr>
        <w:t>juri</w:t>
      </w:r>
      <w:r w:rsidR="00EA1846">
        <w:rPr>
          <w:color w:val="auto"/>
        </w:rPr>
        <w:t xml:space="preserve">sdictional </w:t>
      </w:r>
      <w:r w:rsidRPr="0022568A">
        <w:rPr>
          <w:color w:val="auto"/>
        </w:rPr>
        <w:t xml:space="preserve">guideline </w:t>
      </w:r>
      <w:r w:rsidR="007E2F4B">
        <w:rPr>
          <w:color w:val="auto"/>
        </w:rPr>
        <w:t xml:space="preserve">covering the </w:t>
      </w:r>
      <w:r w:rsidRPr="0022568A">
        <w:rPr>
          <w:color w:val="auto"/>
        </w:rPr>
        <w:t>validation process is required to ensure a standard</w:t>
      </w:r>
      <w:r w:rsidR="00457B60">
        <w:rPr>
          <w:color w:val="auto"/>
        </w:rPr>
        <w:t>ised</w:t>
      </w:r>
      <w:r w:rsidRPr="0022568A">
        <w:rPr>
          <w:color w:val="auto"/>
        </w:rPr>
        <w:t xml:space="preserve"> approach.</w:t>
      </w:r>
    </w:p>
    <w:p w14:paraId="64C929A8" w14:textId="1E325199" w:rsidR="00E02893" w:rsidRPr="00E96C8D" w:rsidRDefault="00525B3F" w:rsidP="003C21B3">
      <w:pPr>
        <w:pStyle w:val="Heading2"/>
      </w:pPr>
      <w:r w:rsidRPr="005F05EB">
        <w:t>Australian Hospital Patient Costing Standards</w:t>
      </w:r>
    </w:p>
    <w:p w14:paraId="1450111D" w14:textId="19F783C5" w:rsidR="00E02893" w:rsidRPr="00E96C8D" w:rsidRDefault="00E02893" w:rsidP="00267630">
      <w:pPr>
        <w:pStyle w:val="Heading3"/>
      </w:pPr>
      <w:r w:rsidRPr="00E96C8D">
        <w:t>Stage 1 – Identify Relevant Expenses</w:t>
      </w:r>
    </w:p>
    <w:p w14:paraId="4CD642A8" w14:textId="55056F18" w:rsidR="009C3B75" w:rsidRPr="00E14BFC" w:rsidRDefault="009C3B75" w:rsidP="009C3B75">
      <w:pPr>
        <w:rPr>
          <w:color w:val="auto"/>
        </w:rPr>
      </w:pPr>
      <w:r w:rsidRPr="00E14BFC">
        <w:rPr>
          <w:color w:val="auto"/>
        </w:rPr>
        <w:t xml:space="preserve">Tasmania reported full compliance with the standards in Stage 1 – </w:t>
      </w:r>
      <w:r w:rsidR="007A5C32" w:rsidRPr="00E14BFC">
        <w:rPr>
          <w:color w:val="auto"/>
        </w:rPr>
        <w:t>identify</w:t>
      </w:r>
      <w:r w:rsidRPr="00E14BFC">
        <w:rPr>
          <w:color w:val="auto"/>
        </w:rPr>
        <w:t xml:space="preserve"> relevant expenses; except for standard 1.2 - third party expenses, </w:t>
      </w:r>
      <w:r w:rsidR="00E14BFC" w:rsidRPr="00E14BFC">
        <w:rPr>
          <w:color w:val="auto"/>
        </w:rPr>
        <w:t>reporting partial compliance</w:t>
      </w:r>
      <w:r w:rsidRPr="00E14BFC">
        <w:rPr>
          <w:color w:val="auto"/>
        </w:rPr>
        <w:t>. There are instances where third-party expenses were not clearly identified by the LHNs to the Tasmanian Department of Health’s costing team.</w:t>
      </w:r>
    </w:p>
    <w:p w14:paraId="4D530556" w14:textId="49D5D428" w:rsidR="009C3B75" w:rsidRPr="00E14BFC" w:rsidRDefault="009C3B75" w:rsidP="00DC12F9">
      <w:pPr>
        <w:pStyle w:val="ListLevel1"/>
        <w:numPr>
          <w:ilvl w:val="0"/>
          <w:numId w:val="0"/>
        </w:numPr>
        <w:contextualSpacing w:val="0"/>
        <w:rPr>
          <w:color w:val="auto"/>
        </w:rPr>
      </w:pPr>
      <w:r w:rsidRPr="00E14BFC">
        <w:rPr>
          <w:color w:val="auto"/>
        </w:rPr>
        <w:t>There are efforts currently being undertaken to standardise and implement a new system that can assist in better recording cost data. Collaboration with the budget and finance department is ongoing to establish this system.</w:t>
      </w:r>
    </w:p>
    <w:p w14:paraId="739E0B24" w14:textId="4C83DFC8" w:rsidR="009C3B75" w:rsidRPr="00E14BFC" w:rsidRDefault="00F4628E" w:rsidP="007F5F19">
      <w:pPr>
        <w:pStyle w:val="ListLevel1"/>
        <w:numPr>
          <w:ilvl w:val="0"/>
          <w:numId w:val="0"/>
        </w:numPr>
        <w:contextualSpacing w:val="0"/>
        <w:rPr>
          <w:color w:val="auto"/>
        </w:rPr>
      </w:pPr>
      <w:r w:rsidRPr="00E14BFC">
        <w:rPr>
          <w:color w:val="auto"/>
        </w:rPr>
        <w:t xml:space="preserve">Tasmania </w:t>
      </w:r>
      <w:r w:rsidR="009C3B75" w:rsidRPr="00E14BFC">
        <w:rPr>
          <w:color w:val="auto"/>
        </w:rPr>
        <w:t xml:space="preserve">is also currently reviewing the costing of patient transport as there is some expenditure not currently included in the general ledger due to the complexities of the funding arrangements and services provided. For example, the cost associated with patient transfers between hospitals are not included, as patient-level data is not available. However, private ambulance costs are included due to the availability of this cost data. The costs associated with emergency transports are not added until the patient is admitted to the emergency department, </w:t>
      </w:r>
      <w:r w:rsidR="00E14BFC">
        <w:rPr>
          <w:color w:val="auto"/>
        </w:rPr>
        <w:t>delaying</w:t>
      </w:r>
      <w:r w:rsidR="009C3B75" w:rsidRPr="00E14BFC">
        <w:rPr>
          <w:color w:val="auto"/>
        </w:rPr>
        <w:t xml:space="preserve"> the availability of cost data.</w:t>
      </w:r>
    </w:p>
    <w:p w14:paraId="5BBDE0D7" w14:textId="055557C5" w:rsidR="00E02893" w:rsidRDefault="009C3B75" w:rsidP="00DC12F9">
      <w:pPr>
        <w:pStyle w:val="ListLevel1"/>
        <w:numPr>
          <w:ilvl w:val="0"/>
          <w:numId w:val="0"/>
        </w:numPr>
        <w:contextualSpacing w:val="0"/>
      </w:pPr>
      <w:r w:rsidRPr="00E14BFC">
        <w:rPr>
          <w:color w:val="auto"/>
        </w:rPr>
        <w:t xml:space="preserve">It should be noted that </w:t>
      </w:r>
      <w:r w:rsidR="00E02893" w:rsidRPr="00E14BFC">
        <w:rPr>
          <w:color w:val="auto"/>
        </w:rPr>
        <w:t>workers’ compensation recoveries are offset against salaries and wages.</w:t>
      </w:r>
    </w:p>
    <w:p w14:paraId="1E67826E" w14:textId="0967C4F8" w:rsidR="00E02893" w:rsidRPr="00E96C8D" w:rsidRDefault="00E02893" w:rsidP="00267630">
      <w:pPr>
        <w:pStyle w:val="Heading3"/>
      </w:pPr>
      <w:r w:rsidRPr="00E96C8D">
        <w:t xml:space="preserve">Stage 2 </w:t>
      </w:r>
      <w:r w:rsidR="0027397A">
        <w:t>and</w:t>
      </w:r>
      <w:r w:rsidRPr="00E96C8D">
        <w:t xml:space="preserve"> 3 – Create the Cost Ledger and Create Final Cost Centres</w:t>
      </w:r>
    </w:p>
    <w:p w14:paraId="75A064B0" w14:textId="271B02E3" w:rsidR="00BB159E" w:rsidRPr="00E14BFC" w:rsidRDefault="00506799" w:rsidP="00FE1D03">
      <w:pPr>
        <w:rPr>
          <w:color w:val="auto"/>
        </w:rPr>
      </w:pPr>
      <w:r w:rsidRPr="00E14BFC">
        <w:rPr>
          <w:color w:val="auto"/>
        </w:rPr>
        <w:t xml:space="preserve">Tasmania </w:t>
      </w:r>
      <w:r w:rsidR="009C3B75" w:rsidRPr="00E14BFC">
        <w:rPr>
          <w:color w:val="auto"/>
        </w:rPr>
        <w:t xml:space="preserve">reported full compliance with the standards in Stages 2 and 3 – </w:t>
      </w:r>
      <w:r w:rsidR="007A5C32" w:rsidRPr="00E14BFC">
        <w:rPr>
          <w:color w:val="auto"/>
        </w:rPr>
        <w:t xml:space="preserve">create </w:t>
      </w:r>
      <w:r w:rsidR="009C3B75" w:rsidRPr="00E14BFC">
        <w:rPr>
          <w:color w:val="auto"/>
        </w:rPr>
        <w:t>the cost ledger and</w:t>
      </w:r>
      <w:r w:rsidR="007A5C32" w:rsidRPr="00E14BFC">
        <w:rPr>
          <w:color w:val="auto"/>
        </w:rPr>
        <w:t xml:space="preserve"> create</w:t>
      </w:r>
      <w:r w:rsidR="009C3B75" w:rsidRPr="00E14BFC">
        <w:rPr>
          <w:color w:val="auto"/>
        </w:rPr>
        <w:t xml:space="preserve"> final cost centres.</w:t>
      </w:r>
    </w:p>
    <w:p w14:paraId="30351925" w14:textId="75591329" w:rsidR="00E02893" w:rsidRPr="00E14BFC" w:rsidRDefault="00E02893" w:rsidP="00DC12F9">
      <w:pPr>
        <w:pStyle w:val="ListLevel1"/>
        <w:numPr>
          <w:ilvl w:val="0"/>
          <w:numId w:val="0"/>
        </w:numPr>
        <w:contextualSpacing w:val="0"/>
        <w:rPr>
          <w:color w:val="auto"/>
        </w:rPr>
      </w:pPr>
      <w:r w:rsidRPr="00E14BFC">
        <w:rPr>
          <w:color w:val="auto"/>
        </w:rPr>
        <w:lastRenderedPageBreak/>
        <w:t xml:space="preserve">There are </w:t>
      </w:r>
      <w:r w:rsidR="00090CE5">
        <w:rPr>
          <w:color w:val="auto"/>
        </w:rPr>
        <w:t>2</w:t>
      </w:r>
      <w:r w:rsidRPr="00E14BFC">
        <w:rPr>
          <w:color w:val="auto"/>
        </w:rPr>
        <w:t xml:space="preserve"> methods used for</w:t>
      </w:r>
      <w:r w:rsidR="002754E3" w:rsidRPr="00E14BFC">
        <w:rPr>
          <w:color w:val="auto"/>
        </w:rPr>
        <w:t xml:space="preserve"> cost</w:t>
      </w:r>
      <w:r w:rsidRPr="00E14BFC">
        <w:rPr>
          <w:color w:val="auto"/>
        </w:rPr>
        <w:t xml:space="preserve"> allocation – physical allocation statistics and financial allocation statistics</w:t>
      </w:r>
      <w:r w:rsidR="002754E3" w:rsidRPr="00E14BFC">
        <w:rPr>
          <w:color w:val="auto"/>
        </w:rPr>
        <w:t xml:space="preserve"> – that </w:t>
      </w:r>
      <w:r w:rsidR="009C3B75" w:rsidRPr="00E14BFC">
        <w:rPr>
          <w:color w:val="auto"/>
        </w:rPr>
        <w:t>are applied to wards and the emergency department. RVUs</w:t>
      </w:r>
      <w:r w:rsidRPr="00E14BFC">
        <w:rPr>
          <w:color w:val="auto"/>
        </w:rPr>
        <w:t xml:space="preserve"> are </w:t>
      </w:r>
      <w:r w:rsidR="009C3B75" w:rsidRPr="00E14BFC">
        <w:rPr>
          <w:color w:val="auto"/>
        </w:rPr>
        <w:t xml:space="preserve">also </w:t>
      </w:r>
      <w:r w:rsidRPr="00E14BFC">
        <w:rPr>
          <w:color w:val="auto"/>
        </w:rPr>
        <w:t xml:space="preserve">used instead of </w:t>
      </w:r>
      <w:r w:rsidR="008B50F2" w:rsidRPr="00E14BFC">
        <w:rPr>
          <w:color w:val="auto"/>
        </w:rPr>
        <w:t>inpatient</w:t>
      </w:r>
      <w:r w:rsidR="00F02B9A" w:rsidRPr="00E14BFC">
        <w:rPr>
          <w:color w:val="auto"/>
        </w:rPr>
        <w:t xml:space="preserve"> fractions</w:t>
      </w:r>
      <w:r w:rsidR="009C3B75" w:rsidRPr="00E14BFC">
        <w:rPr>
          <w:color w:val="auto"/>
        </w:rPr>
        <w:t xml:space="preserve"> due to the lack of available data. Tasmania does not utilise any cost allocation software such as </w:t>
      </w:r>
      <w:proofErr w:type="spellStart"/>
      <w:r w:rsidR="009C3B75" w:rsidRPr="00E14BFC">
        <w:rPr>
          <w:color w:val="auto"/>
        </w:rPr>
        <w:t>CostPro</w:t>
      </w:r>
      <w:proofErr w:type="spellEnd"/>
      <w:r w:rsidR="009C3B75" w:rsidRPr="00E14BFC">
        <w:rPr>
          <w:color w:val="auto"/>
        </w:rPr>
        <w:t xml:space="preserve">, instead </w:t>
      </w:r>
      <w:r w:rsidR="002754E3" w:rsidRPr="00E14BFC">
        <w:rPr>
          <w:color w:val="auto"/>
        </w:rPr>
        <w:t>c</w:t>
      </w:r>
      <w:r w:rsidR="009C3B75" w:rsidRPr="00E14BFC">
        <w:rPr>
          <w:color w:val="auto"/>
        </w:rPr>
        <w:t>osting codes</w:t>
      </w:r>
      <w:r w:rsidR="002754E3" w:rsidRPr="00E14BFC">
        <w:rPr>
          <w:color w:val="auto"/>
        </w:rPr>
        <w:t xml:space="preserve"> have been developed</w:t>
      </w:r>
      <w:r w:rsidR="009C3B75" w:rsidRPr="00E14BFC">
        <w:rPr>
          <w:color w:val="auto"/>
        </w:rPr>
        <w:t xml:space="preserve"> to undertake the cost allocation annually.</w:t>
      </w:r>
    </w:p>
    <w:p w14:paraId="5DC35F97" w14:textId="0DAE7477" w:rsidR="00E02893" w:rsidRPr="00E14BFC" w:rsidRDefault="009C3B75" w:rsidP="00DC12F9">
      <w:pPr>
        <w:pStyle w:val="ListLevel1"/>
        <w:numPr>
          <w:ilvl w:val="0"/>
          <w:numId w:val="0"/>
        </w:numPr>
        <w:contextualSpacing w:val="0"/>
        <w:rPr>
          <w:color w:val="auto"/>
        </w:rPr>
      </w:pPr>
      <w:r w:rsidRPr="00E14BFC">
        <w:rPr>
          <w:color w:val="auto"/>
        </w:rPr>
        <w:t>It should be noted that the</w:t>
      </w:r>
      <w:r w:rsidR="00E02893" w:rsidRPr="00E14BFC">
        <w:rPr>
          <w:color w:val="auto"/>
        </w:rPr>
        <w:t xml:space="preserve"> Launceston General Hospital has started admitting patients for chemotherapy, contributing </w:t>
      </w:r>
      <w:r w:rsidR="000046C8" w:rsidRPr="00E14BFC">
        <w:rPr>
          <w:color w:val="auto"/>
        </w:rPr>
        <w:t>significantly to the</w:t>
      </w:r>
      <w:r w:rsidR="00E02893" w:rsidRPr="00E14BFC">
        <w:rPr>
          <w:color w:val="auto"/>
        </w:rPr>
        <w:t xml:space="preserve"> increase in the number of</w:t>
      </w:r>
      <w:r w:rsidR="000046C8" w:rsidRPr="00E14BFC">
        <w:rPr>
          <w:color w:val="auto"/>
        </w:rPr>
        <w:t xml:space="preserve"> acute</w:t>
      </w:r>
      <w:r w:rsidR="00E02893" w:rsidRPr="00E14BFC">
        <w:rPr>
          <w:color w:val="auto"/>
        </w:rPr>
        <w:t xml:space="preserve"> patient</w:t>
      </w:r>
      <w:r w:rsidR="00632502" w:rsidRPr="00E14BFC">
        <w:rPr>
          <w:color w:val="auto"/>
        </w:rPr>
        <w:t xml:space="preserve"> </w:t>
      </w:r>
      <w:r w:rsidR="003E2586" w:rsidRPr="00E14BFC">
        <w:rPr>
          <w:color w:val="auto"/>
        </w:rPr>
        <w:t>episodes</w:t>
      </w:r>
      <w:r w:rsidR="000046C8" w:rsidRPr="00E14BFC">
        <w:rPr>
          <w:color w:val="auto"/>
        </w:rPr>
        <w:t>.</w:t>
      </w:r>
    </w:p>
    <w:p w14:paraId="7962F16A" w14:textId="1EAACF29" w:rsidR="00E02893" w:rsidRPr="00E96C8D" w:rsidRDefault="00E02893" w:rsidP="00267630">
      <w:pPr>
        <w:pStyle w:val="Heading3"/>
      </w:pPr>
      <w:r w:rsidRPr="00E96C8D">
        <w:t xml:space="preserve">Stage 4 </w:t>
      </w:r>
      <w:r w:rsidR="0027397A">
        <w:t>and</w:t>
      </w:r>
      <w:r w:rsidRPr="00E96C8D">
        <w:t xml:space="preserve"> 5 </w:t>
      </w:r>
      <w:r w:rsidR="00B65B85">
        <w:t>–</w:t>
      </w:r>
      <w:r w:rsidRPr="00E96C8D">
        <w:t xml:space="preserve"> Identify Products and Assign Expenses to Products</w:t>
      </w:r>
    </w:p>
    <w:p w14:paraId="06FFB735" w14:textId="008EA0DD" w:rsidR="002754E3" w:rsidRPr="00E14BFC" w:rsidRDefault="00A00BBA" w:rsidP="002754E3">
      <w:pPr>
        <w:rPr>
          <w:color w:val="auto"/>
        </w:rPr>
      </w:pPr>
      <w:r w:rsidRPr="00E14BFC">
        <w:rPr>
          <w:color w:val="auto"/>
        </w:rPr>
        <w:t xml:space="preserve">Tasmania reported full compliance with all standards in Stages 4 and 5 </w:t>
      </w:r>
      <w:r w:rsidR="007A5C32" w:rsidRPr="00E14BFC">
        <w:rPr>
          <w:color w:val="auto"/>
        </w:rPr>
        <w:t>–</w:t>
      </w:r>
      <w:r w:rsidRPr="00E14BFC">
        <w:rPr>
          <w:color w:val="auto"/>
        </w:rPr>
        <w:t xml:space="preserve"> </w:t>
      </w:r>
      <w:r w:rsidR="007A5C32" w:rsidRPr="00E14BFC">
        <w:rPr>
          <w:rFonts w:cs="Arial"/>
          <w:color w:val="auto"/>
        </w:rPr>
        <w:t>identify products and</w:t>
      </w:r>
      <w:r w:rsidRPr="00E14BFC">
        <w:rPr>
          <w:rFonts w:cs="Arial"/>
          <w:color w:val="auto"/>
        </w:rPr>
        <w:t xml:space="preserve"> </w:t>
      </w:r>
      <w:r w:rsidR="007A5C32" w:rsidRPr="00E14BFC">
        <w:rPr>
          <w:rFonts w:cs="Arial"/>
          <w:color w:val="auto"/>
        </w:rPr>
        <w:t>assign</w:t>
      </w:r>
      <w:r w:rsidRPr="00E14BFC">
        <w:rPr>
          <w:rFonts w:cs="Arial"/>
          <w:color w:val="auto"/>
        </w:rPr>
        <w:t xml:space="preserve"> expenses to products</w:t>
      </w:r>
      <w:r w:rsidRPr="00E14BFC">
        <w:rPr>
          <w:color w:val="auto"/>
        </w:rPr>
        <w:t xml:space="preserve">. However, there are </w:t>
      </w:r>
      <w:r w:rsidR="00874A19" w:rsidRPr="00E14BFC">
        <w:rPr>
          <w:color w:val="auto"/>
        </w:rPr>
        <w:t>limitations in the ability to identify teach</w:t>
      </w:r>
      <w:r w:rsidRPr="00E14BFC">
        <w:rPr>
          <w:color w:val="auto"/>
        </w:rPr>
        <w:t>ing</w:t>
      </w:r>
      <w:r w:rsidR="00874A19" w:rsidRPr="00E14BFC">
        <w:rPr>
          <w:color w:val="auto"/>
        </w:rPr>
        <w:t xml:space="preserve"> and training expenses </w:t>
      </w:r>
      <w:r w:rsidRPr="00E14BFC">
        <w:rPr>
          <w:color w:val="auto"/>
        </w:rPr>
        <w:t xml:space="preserve">due to data quality issues, </w:t>
      </w:r>
      <w:r w:rsidR="00E14BFC">
        <w:rPr>
          <w:color w:val="auto"/>
        </w:rPr>
        <w:t>resulting</w:t>
      </w:r>
      <w:r w:rsidRPr="00E14BFC">
        <w:rPr>
          <w:color w:val="auto"/>
        </w:rPr>
        <w:t xml:space="preserve"> in the exclusion of these expenses. There are also data quality issues</w:t>
      </w:r>
      <w:r w:rsidR="002754E3" w:rsidRPr="00E14BFC">
        <w:rPr>
          <w:color w:val="auto"/>
        </w:rPr>
        <w:t xml:space="preserve"> regarding the linking of </w:t>
      </w:r>
      <w:r w:rsidRPr="00E14BFC">
        <w:rPr>
          <w:color w:val="auto"/>
        </w:rPr>
        <w:t>subacute, mental health (phase and episode level) and palliative care cost data</w:t>
      </w:r>
      <w:r w:rsidR="002754E3" w:rsidRPr="00E14BFC">
        <w:rPr>
          <w:color w:val="auto"/>
        </w:rPr>
        <w:t xml:space="preserve"> with activity data. </w:t>
      </w:r>
    </w:p>
    <w:p w14:paraId="74C1ED0F" w14:textId="42916FD8" w:rsidR="00E02893" w:rsidRPr="00E14BFC" w:rsidRDefault="002754E3" w:rsidP="00DC12F9">
      <w:pPr>
        <w:pStyle w:val="ListLevel1"/>
        <w:numPr>
          <w:ilvl w:val="0"/>
          <w:numId w:val="0"/>
        </w:numPr>
        <w:contextualSpacing w:val="0"/>
        <w:rPr>
          <w:color w:val="auto"/>
        </w:rPr>
      </w:pPr>
      <w:r w:rsidRPr="00E14BFC">
        <w:rPr>
          <w:color w:val="auto"/>
        </w:rPr>
        <w:t xml:space="preserve">The costing of contracted care activities continues to be challenging. In the absence of patient-level data, costs are distributes based on the contracted value, but there is a possibility of costs not reconciling due to the </w:t>
      </w:r>
      <w:r w:rsidR="00E02893" w:rsidRPr="00E14BFC">
        <w:rPr>
          <w:color w:val="auto"/>
        </w:rPr>
        <w:t>financial year boundary.</w:t>
      </w:r>
    </w:p>
    <w:p w14:paraId="747EFCC4" w14:textId="3EDF816F" w:rsidR="00E02893" w:rsidRPr="00E14BFC" w:rsidRDefault="00E02893" w:rsidP="00DC12F9">
      <w:pPr>
        <w:pStyle w:val="ListLevel1"/>
        <w:numPr>
          <w:ilvl w:val="0"/>
          <w:numId w:val="0"/>
        </w:numPr>
        <w:rPr>
          <w:color w:val="auto"/>
        </w:rPr>
      </w:pPr>
      <w:r w:rsidRPr="00E14BFC">
        <w:rPr>
          <w:color w:val="auto"/>
        </w:rPr>
        <w:t xml:space="preserve">Changes in costs have occurred, </w:t>
      </w:r>
      <w:r w:rsidR="00714118" w:rsidRPr="00E14BFC">
        <w:rPr>
          <w:color w:val="auto"/>
        </w:rPr>
        <w:t>due</w:t>
      </w:r>
      <w:r w:rsidRPr="00E14BFC">
        <w:rPr>
          <w:color w:val="auto"/>
        </w:rPr>
        <w:t xml:space="preserve"> to the allocation of costs between specialties for inpatient and outpatient services. The decrease in cost is related to the way non-admitted specialist appointments are handled. The scripting process has been adjusted to better reflect service delivery. Low volume services can lead to high-cost rates, significantly distorting pricing.</w:t>
      </w:r>
    </w:p>
    <w:p w14:paraId="46B3EDCE" w14:textId="3048687E" w:rsidR="00E02893" w:rsidRPr="00E96C8D" w:rsidRDefault="00E02893" w:rsidP="00267630">
      <w:pPr>
        <w:pStyle w:val="Heading3"/>
      </w:pPr>
      <w:r w:rsidRPr="00E96C8D">
        <w:t xml:space="preserve">Stage 6 </w:t>
      </w:r>
      <w:r w:rsidR="00B65B85">
        <w:t>–</w:t>
      </w:r>
      <w:r w:rsidRPr="00E96C8D">
        <w:t xml:space="preserve"> Review and Reconcile</w:t>
      </w:r>
    </w:p>
    <w:p w14:paraId="764ED36D" w14:textId="6574A60D" w:rsidR="004E4B6C" w:rsidRDefault="00497097" w:rsidP="00DC12F9">
      <w:pPr>
        <w:rPr>
          <w:color w:val="auto"/>
        </w:rPr>
      </w:pPr>
      <w:r w:rsidRPr="00E14BFC">
        <w:rPr>
          <w:color w:val="auto"/>
        </w:rPr>
        <w:t>Tasmania report</w:t>
      </w:r>
      <w:r w:rsidR="00A903C7" w:rsidRPr="00E14BFC">
        <w:rPr>
          <w:color w:val="auto"/>
        </w:rPr>
        <w:t>ed</w:t>
      </w:r>
      <w:r w:rsidRPr="00E14BFC">
        <w:rPr>
          <w:color w:val="auto"/>
        </w:rPr>
        <w:t xml:space="preserve"> </w:t>
      </w:r>
      <w:r w:rsidR="009E455F" w:rsidRPr="00E14BFC">
        <w:rPr>
          <w:color w:val="auto"/>
        </w:rPr>
        <w:t>partial</w:t>
      </w:r>
      <w:r w:rsidRPr="00E14BFC">
        <w:rPr>
          <w:color w:val="auto"/>
        </w:rPr>
        <w:t xml:space="preserve"> compliance with Standard 6</w:t>
      </w:r>
      <w:r w:rsidR="009E455F" w:rsidRPr="00E14BFC">
        <w:rPr>
          <w:color w:val="auto"/>
        </w:rPr>
        <w:t>.1</w:t>
      </w:r>
      <w:r w:rsidR="002754E3" w:rsidRPr="00E14BFC">
        <w:rPr>
          <w:color w:val="auto"/>
        </w:rPr>
        <w:t xml:space="preserve"> – data quality framework, but fully compliant with Standard 6.2 – reconciliation to source data. </w:t>
      </w:r>
      <w:r w:rsidR="006A3841" w:rsidRPr="00E14BFC">
        <w:rPr>
          <w:color w:val="auto"/>
        </w:rPr>
        <w:t>While</w:t>
      </w:r>
      <w:r w:rsidR="00124A2C" w:rsidRPr="00E14BFC">
        <w:rPr>
          <w:color w:val="auto"/>
        </w:rPr>
        <w:t xml:space="preserve"> a robust data quality framework is in place,</w:t>
      </w:r>
      <w:r w:rsidR="002754E3" w:rsidRPr="00E14BFC">
        <w:rPr>
          <w:color w:val="auto"/>
        </w:rPr>
        <w:t xml:space="preserve"> there is minimal independent assurance of the cost data and no formal auditing.</w:t>
      </w:r>
    </w:p>
    <w:p w14:paraId="3DED423C" w14:textId="658F2DB5" w:rsidR="002605D4" w:rsidRPr="00E14BFC" w:rsidRDefault="002605D4" w:rsidP="00DC12F9">
      <w:pPr>
        <w:rPr>
          <w:color w:val="auto"/>
        </w:rPr>
      </w:pPr>
      <w:r>
        <w:rPr>
          <w:color w:val="auto"/>
        </w:rPr>
        <w:t>The Tasmanian Department of Health completes p</w:t>
      </w:r>
      <w:r w:rsidRPr="002605D4">
        <w:rPr>
          <w:color w:val="auto"/>
        </w:rPr>
        <w:t xml:space="preserve">atient costing </w:t>
      </w:r>
      <w:r>
        <w:rPr>
          <w:color w:val="auto"/>
        </w:rPr>
        <w:t>annually</w:t>
      </w:r>
      <w:r w:rsidRPr="002605D4">
        <w:rPr>
          <w:color w:val="auto"/>
        </w:rPr>
        <w:t>. Due to</w:t>
      </w:r>
      <w:r>
        <w:rPr>
          <w:color w:val="auto"/>
        </w:rPr>
        <w:t xml:space="preserve"> the size of Tasmania’s health system</w:t>
      </w:r>
      <w:r w:rsidRPr="002605D4">
        <w:rPr>
          <w:color w:val="auto"/>
        </w:rPr>
        <w:t>, the</w:t>
      </w:r>
      <w:r>
        <w:rPr>
          <w:color w:val="auto"/>
        </w:rPr>
        <w:t xml:space="preserve"> Department </w:t>
      </w:r>
      <w:r w:rsidRPr="002605D4">
        <w:rPr>
          <w:color w:val="auto"/>
        </w:rPr>
        <w:t xml:space="preserve">performs </w:t>
      </w:r>
      <w:r>
        <w:rPr>
          <w:color w:val="auto"/>
        </w:rPr>
        <w:t xml:space="preserve">the </w:t>
      </w:r>
      <w:r w:rsidRPr="002605D4">
        <w:rPr>
          <w:color w:val="auto"/>
        </w:rPr>
        <w:t xml:space="preserve">functions </w:t>
      </w:r>
      <w:r>
        <w:rPr>
          <w:color w:val="auto"/>
        </w:rPr>
        <w:t>of a local health network</w:t>
      </w:r>
      <w:r w:rsidRPr="002605D4">
        <w:rPr>
          <w:color w:val="auto"/>
        </w:rPr>
        <w:t xml:space="preserve">, </w:t>
      </w:r>
      <w:r>
        <w:rPr>
          <w:color w:val="auto"/>
        </w:rPr>
        <w:t>costing health services and submitting them to IHACPA.</w:t>
      </w:r>
    </w:p>
    <w:p w14:paraId="22816CAB" w14:textId="471338D5" w:rsidR="002754E3" w:rsidRPr="00E14BFC" w:rsidRDefault="007F5F19" w:rsidP="007F229E">
      <w:pPr>
        <w:spacing w:before="160"/>
        <w:rPr>
          <w:color w:val="auto"/>
        </w:rPr>
      </w:pPr>
      <w:r w:rsidRPr="00E14BFC">
        <w:rPr>
          <w:color w:val="auto"/>
        </w:rPr>
        <w:t xml:space="preserve">Tasmania completes internal quality assurance processes to ensure the NHCDC contains high-quality data that can be used to develop the national efficient price. The QA process includes annual review of activity data with source feeder systems, trend analysis and a consultation and governance process overlaying the costing process. It is noted Tasmania maintains no local costing guidelines. It has been </w:t>
      </w:r>
      <w:r w:rsidR="0069774A" w:rsidRPr="00E14BFC">
        <w:rPr>
          <w:color w:val="auto"/>
        </w:rPr>
        <w:t xml:space="preserve">identified </w:t>
      </w:r>
      <w:r w:rsidRPr="00E14BFC">
        <w:rPr>
          <w:color w:val="auto"/>
        </w:rPr>
        <w:t>that Tasmania conducted several annual checks and assessments prior to a formal sign off by the Associate Secretary to ensure a robust costing submission to IHACPA.</w:t>
      </w:r>
    </w:p>
    <w:p w14:paraId="6BC8C1E2" w14:textId="2252E721" w:rsidR="00E02893" w:rsidRPr="00E14BFC" w:rsidRDefault="007F5F19" w:rsidP="007F229E">
      <w:pPr>
        <w:spacing w:before="160"/>
        <w:rPr>
          <w:color w:val="auto"/>
          <w:highlight w:val="yellow"/>
        </w:rPr>
      </w:pPr>
      <w:r w:rsidRPr="00E14BFC">
        <w:rPr>
          <w:color w:val="auto"/>
        </w:rPr>
        <w:t xml:space="preserve">To ensure all </w:t>
      </w:r>
      <w:r w:rsidR="008819E2">
        <w:rPr>
          <w:color w:val="auto"/>
        </w:rPr>
        <w:t>in-scope</w:t>
      </w:r>
      <w:r w:rsidR="008819E2" w:rsidRPr="00E14BFC">
        <w:rPr>
          <w:color w:val="auto"/>
        </w:rPr>
        <w:t xml:space="preserve"> </w:t>
      </w:r>
      <w:r w:rsidRPr="00E14BFC">
        <w:rPr>
          <w:color w:val="auto"/>
        </w:rPr>
        <w:t xml:space="preserve">cost have been included in the NHCDC 2021-22, a reconciliation review was completed </w:t>
      </w:r>
      <w:r w:rsidRPr="008819E2">
        <w:rPr>
          <w:color w:val="auto"/>
        </w:rPr>
        <w:t xml:space="preserve">between </w:t>
      </w:r>
      <w:r w:rsidR="00DF1CF9" w:rsidRPr="008819E2">
        <w:rPr>
          <w:color w:val="auto"/>
        </w:rPr>
        <w:t xml:space="preserve">Tasmania’s </w:t>
      </w:r>
      <w:r w:rsidR="00DF1CF9" w:rsidRPr="00835A75">
        <w:rPr>
          <w:color w:val="auto"/>
        </w:rPr>
        <w:t>general</w:t>
      </w:r>
      <w:r w:rsidRPr="00835A75">
        <w:rPr>
          <w:color w:val="auto"/>
        </w:rPr>
        <w:t xml:space="preserve"> ledger and the</w:t>
      </w:r>
      <w:r w:rsidRPr="008819E2">
        <w:rPr>
          <w:color w:val="auto"/>
        </w:rPr>
        <w:t xml:space="preserve"> costs</w:t>
      </w:r>
      <w:r w:rsidRPr="00E14BFC">
        <w:rPr>
          <w:color w:val="auto"/>
        </w:rPr>
        <w:t xml:space="preserve"> submitted to IHACPA. Tasmania’s general ledger reconciles with the cost ledger as well as the costs submitted to IHACPA.</w:t>
      </w:r>
    </w:p>
    <w:p w14:paraId="0219A683" w14:textId="7540F910" w:rsidR="00E02893" w:rsidRPr="00E96C8D" w:rsidRDefault="00E02893" w:rsidP="000B0846"/>
    <w:p w14:paraId="293C2407" w14:textId="5586F54E" w:rsidR="00116285" w:rsidRPr="00E96C8D" w:rsidRDefault="00116285" w:rsidP="00116285">
      <w:pPr>
        <w:pStyle w:val="Heading1"/>
      </w:pPr>
      <w:bookmarkStart w:id="65" w:name="_Toc157776709"/>
      <w:bookmarkStart w:id="66" w:name="_Toc153890188"/>
      <w:r w:rsidRPr="00E96C8D">
        <w:lastRenderedPageBreak/>
        <w:t>Northern Territory</w:t>
      </w:r>
      <w:bookmarkEnd w:id="65"/>
    </w:p>
    <w:p w14:paraId="44923C11" w14:textId="77777777" w:rsidR="00040E21" w:rsidRDefault="00040E21" w:rsidP="003C21B3">
      <w:pPr>
        <w:pStyle w:val="Heading2"/>
      </w:pPr>
      <w:r>
        <w:t>Summary</w:t>
      </w:r>
    </w:p>
    <w:p w14:paraId="1A7DD781" w14:textId="3F12B659" w:rsidR="006E174D" w:rsidRDefault="0006045C" w:rsidP="006E174D">
      <w:pPr>
        <w:rPr>
          <w:color w:val="auto"/>
        </w:rPr>
      </w:pPr>
      <w:r>
        <w:rPr>
          <w:color w:val="auto"/>
        </w:rPr>
        <w:t xml:space="preserve">The </w:t>
      </w:r>
      <w:r w:rsidR="006E174D">
        <w:rPr>
          <w:color w:val="auto"/>
        </w:rPr>
        <w:t xml:space="preserve">Northern Territory submitted cost data from </w:t>
      </w:r>
      <w:r w:rsidR="00090CE5">
        <w:rPr>
          <w:color w:val="auto"/>
        </w:rPr>
        <w:t>6</w:t>
      </w:r>
      <w:r w:rsidR="006E174D">
        <w:rPr>
          <w:color w:val="auto"/>
        </w:rPr>
        <w:t>hospitals (including health services)</w:t>
      </w:r>
      <w:r w:rsidR="002605D4">
        <w:rPr>
          <w:color w:val="auto"/>
        </w:rPr>
        <w:t xml:space="preserve"> across </w:t>
      </w:r>
      <w:r w:rsidR="00090CE5">
        <w:rPr>
          <w:color w:val="auto"/>
        </w:rPr>
        <w:t>6</w:t>
      </w:r>
      <w:r w:rsidR="002605D4">
        <w:rPr>
          <w:color w:val="auto"/>
        </w:rPr>
        <w:t xml:space="preserve"> facilities</w:t>
      </w:r>
      <w:r w:rsidR="006E174D">
        <w:rPr>
          <w:color w:val="auto"/>
        </w:rPr>
        <w:t xml:space="preserve"> with </w:t>
      </w:r>
      <w:r w:rsidR="008E6476">
        <w:rPr>
          <w:color w:val="auto"/>
        </w:rPr>
        <w:t>0.7</w:t>
      </w:r>
      <w:r w:rsidR="006E174D">
        <w:rPr>
          <w:color w:val="auto"/>
        </w:rPr>
        <w:t xml:space="preserve"> million records and a cost of $1</w:t>
      </w:r>
      <w:r w:rsidR="008E6476">
        <w:rPr>
          <w:color w:val="auto"/>
        </w:rPr>
        <w:t>.2</w:t>
      </w:r>
      <w:r w:rsidR="006E174D">
        <w:rPr>
          <w:color w:val="auto"/>
        </w:rPr>
        <w:t xml:space="preserve"> billion in 2021-22. </w:t>
      </w:r>
      <w:r w:rsidR="00CD48C3">
        <w:rPr>
          <w:color w:val="auto"/>
        </w:rPr>
        <w:t xml:space="preserve">IHACPA consulted Northern Territory to </w:t>
      </w:r>
      <w:r w:rsidR="00CD48C3" w:rsidRPr="00D86953">
        <w:rPr>
          <w:color w:val="auto"/>
        </w:rPr>
        <w:t xml:space="preserve">confirm </w:t>
      </w:r>
      <w:r w:rsidR="00CD48C3">
        <w:rPr>
          <w:color w:val="auto"/>
        </w:rPr>
        <w:t xml:space="preserve">the Standards were correctly applied and reviewed any exceptions. </w:t>
      </w:r>
      <w:r w:rsidR="006E174D">
        <w:rPr>
          <w:color w:val="auto"/>
        </w:rPr>
        <w:t>The bilateral meeting also reviewed costs in the general ledger to ensure they reconciled with the cost data submitted and discussed the fu</w:t>
      </w:r>
      <w:r w:rsidR="006E174D" w:rsidRPr="00D86953">
        <w:rPr>
          <w:color w:val="auto"/>
        </w:rPr>
        <w:t>ture</w:t>
      </w:r>
      <w:r w:rsidR="006E174D">
        <w:rPr>
          <w:color w:val="auto"/>
        </w:rPr>
        <w:t xml:space="preserve"> of the</w:t>
      </w:r>
      <w:r w:rsidR="006E174D" w:rsidRPr="00D86953">
        <w:rPr>
          <w:color w:val="auto"/>
        </w:rPr>
        <w:t xml:space="preserve"> independent financial review</w:t>
      </w:r>
      <w:r w:rsidR="006E174D">
        <w:rPr>
          <w:color w:val="auto"/>
        </w:rPr>
        <w:t>.</w:t>
      </w:r>
    </w:p>
    <w:p w14:paraId="1DC355A8" w14:textId="4C0B5236" w:rsidR="00C21391" w:rsidRDefault="00AD1987" w:rsidP="00DC12F9">
      <w:pPr>
        <w:rPr>
          <w:color w:val="auto"/>
        </w:rPr>
      </w:pPr>
      <w:r w:rsidRPr="00D227DB">
        <w:rPr>
          <w:color w:val="auto"/>
        </w:rPr>
        <w:t>The review of Northern Territor</w:t>
      </w:r>
      <w:r w:rsidR="00D227DB">
        <w:rPr>
          <w:color w:val="auto"/>
        </w:rPr>
        <w:t>y’s</w:t>
      </w:r>
      <w:r w:rsidRPr="00D227DB">
        <w:rPr>
          <w:color w:val="auto"/>
        </w:rPr>
        <w:t xml:space="preserve"> costing and governance processes has indicated </w:t>
      </w:r>
      <w:r w:rsidR="001A7826" w:rsidRPr="00D227DB">
        <w:rPr>
          <w:color w:val="auto"/>
        </w:rPr>
        <w:t xml:space="preserve">issues in terms of cost inclusions and exclusions, with </w:t>
      </w:r>
      <w:r w:rsidRPr="00D227DB">
        <w:rPr>
          <w:color w:val="auto"/>
        </w:rPr>
        <w:t xml:space="preserve">appropriate standards required </w:t>
      </w:r>
      <w:r w:rsidR="001A7826" w:rsidRPr="00D227DB">
        <w:rPr>
          <w:color w:val="auto"/>
        </w:rPr>
        <w:t>for cost identification and</w:t>
      </w:r>
      <w:r w:rsidRPr="00D227DB">
        <w:rPr>
          <w:color w:val="auto"/>
        </w:rPr>
        <w:t xml:space="preserve"> </w:t>
      </w:r>
      <w:r w:rsidR="001A7826" w:rsidRPr="00D227DB">
        <w:rPr>
          <w:color w:val="auto"/>
        </w:rPr>
        <w:t>allocation</w:t>
      </w:r>
      <w:r w:rsidRPr="00D227DB">
        <w:rPr>
          <w:color w:val="auto"/>
        </w:rPr>
        <w:t xml:space="preserve">. Costs are appropriately allocated to </w:t>
      </w:r>
      <w:r w:rsidR="00D227DB" w:rsidRPr="00D227DB">
        <w:rPr>
          <w:color w:val="auto"/>
        </w:rPr>
        <w:t>patients</w:t>
      </w:r>
      <w:r w:rsidR="00225FDC">
        <w:rPr>
          <w:color w:val="auto"/>
        </w:rPr>
        <w:t xml:space="preserve">. </w:t>
      </w:r>
      <w:r w:rsidR="005931A0">
        <w:rPr>
          <w:color w:val="auto"/>
        </w:rPr>
        <w:t>T</w:t>
      </w:r>
      <w:r w:rsidRPr="00D227DB">
        <w:rPr>
          <w:color w:val="auto"/>
        </w:rPr>
        <w:t>he validation and review processes currently in place are robust.</w:t>
      </w:r>
    </w:p>
    <w:p w14:paraId="3BF2D611" w14:textId="1AC3F477" w:rsidR="00116285" w:rsidRPr="00E96C8D" w:rsidRDefault="00525B3F" w:rsidP="003C21B3">
      <w:pPr>
        <w:pStyle w:val="Heading2"/>
      </w:pPr>
      <w:r w:rsidRPr="005F05EB">
        <w:t>Australian Hospital Patient Costing Standards</w:t>
      </w:r>
    </w:p>
    <w:p w14:paraId="3B5D8B8A" w14:textId="762E9E7E" w:rsidR="00116285" w:rsidRPr="00E96C8D" w:rsidRDefault="00116285" w:rsidP="00116285">
      <w:pPr>
        <w:pStyle w:val="Heading3"/>
      </w:pPr>
      <w:r w:rsidRPr="00E96C8D">
        <w:t>Stage 1 – Identify Relevant Expenses</w:t>
      </w:r>
    </w:p>
    <w:p w14:paraId="24F55A16" w14:textId="4EB71A0B" w:rsidR="00014FFF" w:rsidRDefault="003466E1" w:rsidP="003466E1">
      <w:pPr>
        <w:rPr>
          <w:color w:val="auto"/>
        </w:rPr>
      </w:pPr>
      <w:r>
        <w:rPr>
          <w:color w:val="auto"/>
        </w:rPr>
        <w:t xml:space="preserve">The Northern Territory reported full compliance with the standards in Stage 1 – </w:t>
      </w:r>
      <w:r w:rsidR="007A5C32">
        <w:rPr>
          <w:color w:val="auto"/>
        </w:rPr>
        <w:t>identify</w:t>
      </w:r>
      <w:r>
        <w:rPr>
          <w:color w:val="auto"/>
        </w:rPr>
        <w:t xml:space="preserve"> relevant expenses</w:t>
      </w:r>
      <w:r w:rsidRPr="00770125">
        <w:rPr>
          <w:color w:val="auto"/>
        </w:rPr>
        <w:t xml:space="preserve">; except for </w:t>
      </w:r>
      <w:r>
        <w:rPr>
          <w:color w:val="auto"/>
        </w:rPr>
        <w:t xml:space="preserve">standard 1.1 - general, </w:t>
      </w:r>
      <w:r w:rsidR="007A5C32">
        <w:rPr>
          <w:color w:val="auto"/>
        </w:rPr>
        <w:t>reporting partial compliance</w:t>
      </w:r>
      <w:r>
        <w:rPr>
          <w:color w:val="auto"/>
        </w:rPr>
        <w:t>. The partial compliance was due to t</w:t>
      </w:r>
      <w:r w:rsidR="00592A9E" w:rsidRPr="044FA469">
        <w:rPr>
          <w:color w:val="auto"/>
        </w:rPr>
        <w:t>rust accounts</w:t>
      </w:r>
      <w:r w:rsidR="005840DF" w:rsidRPr="044FA469">
        <w:rPr>
          <w:color w:val="auto"/>
        </w:rPr>
        <w:t xml:space="preserve"> </w:t>
      </w:r>
      <w:r>
        <w:rPr>
          <w:color w:val="auto"/>
        </w:rPr>
        <w:t>not forming part of the general ledger and not included in the costing process.</w:t>
      </w:r>
    </w:p>
    <w:p w14:paraId="61E30AED" w14:textId="683771AF" w:rsidR="00116285" w:rsidRPr="00E96C8D" w:rsidRDefault="003466E1" w:rsidP="00DC12F9">
      <w:pPr>
        <w:pStyle w:val="ListLevel1"/>
        <w:numPr>
          <w:ilvl w:val="0"/>
          <w:numId w:val="0"/>
        </w:numPr>
      </w:pPr>
      <w:r>
        <w:t>The costing of p</w:t>
      </w:r>
      <w:r w:rsidR="00116285" w:rsidRPr="00E96C8D">
        <w:t xml:space="preserve">atient transport and emergency retrieval </w:t>
      </w:r>
      <w:r>
        <w:t xml:space="preserve">services are improving. The Northern Territory utilises several data sources </w:t>
      </w:r>
      <w:r w:rsidR="00116285" w:rsidRPr="00E96C8D">
        <w:t xml:space="preserve">to validate the contractual fees paid and cost per flight, particularly in collaboration with </w:t>
      </w:r>
      <w:r w:rsidR="000B64D9">
        <w:t>the</w:t>
      </w:r>
      <w:r w:rsidR="00116285" w:rsidRPr="00E96C8D">
        <w:t xml:space="preserve"> </w:t>
      </w:r>
      <w:r w:rsidR="008C71F3" w:rsidRPr="00E96C8D">
        <w:t>R</w:t>
      </w:r>
      <w:r w:rsidR="008C71F3">
        <w:t>oyal Flying Doctor’s Service (RFDS)</w:t>
      </w:r>
      <w:r w:rsidR="00116285" w:rsidRPr="00E96C8D">
        <w:t>.</w:t>
      </w:r>
      <w:r>
        <w:t xml:space="preserve"> </w:t>
      </w:r>
      <w:r w:rsidR="00116285" w:rsidRPr="00E96C8D">
        <w:t>Referral pathways to tertiary or interstate facilities result in high costs and fail to align with the funding models</w:t>
      </w:r>
      <w:r>
        <w:t>.</w:t>
      </w:r>
    </w:p>
    <w:p w14:paraId="5E271EA8" w14:textId="5E577D25" w:rsidR="00116285" w:rsidRPr="00E96C8D" w:rsidRDefault="00116285" w:rsidP="00116285">
      <w:pPr>
        <w:pStyle w:val="Heading3"/>
      </w:pPr>
      <w:r w:rsidRPr="00E96C8D">
        <w:t xml:space="preserve">Stage 2 </w:t>
      </w:r>
      <w:r w:rsidR="0027397A">
        <w:t>and</w:t>
      </w:r>
      <w:r w:rsidRPr="00E96C8D">
        <w:t xml:space="preserve"> 3 </w:t>
      </w:r>
      <w:r w:rsidR="00B65B85">
        <w:t>–</w:t>
      </w:r>
      <w:r w:rsidRPr="00E96C8D">
        <w:t xml:space="preserve"> Create the Cost Ledger and Create Final Cost Centres</w:t>
      </w:r>
    </w:p>
    <w:p w14:paraId="53CB05DE" w14:textId="77EA344A" w:rsidR="003466E1" w:rsidRPr="001724D8" w:rsidRDefault="00A1405E" w:rsidP="003466E1">
      <w:r>
        <w:rPr>
          <w:color w:val="auto"/>
        </w:rPr>
        <w:t xml:space="preserve">Northern Territory </w:t>
      </w:r>
      <w:r w:rsidR="003466E1">
        <w:rPr>
          <w:color w:val="auto"/>
        </w:rPr>
        <w:t xml:space="preserve">reported full compliance with the standards in Stages 2 and 3 – </w:t>
      </w:r>
      <w:r w:rsidR="007A5C32">
        <w:rPr>
          <w:color w:val="auto"/>
        </w:rPr>
        <w:t>create</w:t>
      </w:r>
      <w:r w:rsidR="003466E1">
        <w:rPr>
          <w:color w:val="auto"/>
        </w:rPr>
        <w:t xml:space="preserve"> the cost ledger and </w:t>
      </w:r>
      <w:r w:rsidR="007A5C32">
        <w:rPr>
          <w:color w:val="auto"/>
        </w:rPr>
        <w:t xml:space="preserve">create </w:t>
      </w:r>
      <w:r w:rsidR="003466E1">
        <w:rPr>
          <w:color w:val="auto"/>
        </w:rPr>
        <w:t xml:space="preserve">final cost centres. However, </w:t>
      </w:r>
      <w:r w:rsidR="003466E1">
        <w:t>n</w:t>
      </w:r>
      <w:r w:rsidR="003466E1" w:rsidRPr="001724D8">
        <w:t>ot all costing guidelines are followed as these are not practicable to implement due to system and data limitations, noting that the principles in the Standards have been followed to allocate costs appropriately.</w:t>
      </w:r>
    </w:p>
    <w:p w14:paraId="4938B37D" w14:textId="62B7BEC5" w:rsidR="001E387A" w:rsidRPr="001724D8" w:rsidRDefault="003466E1" w:rsidP="00DC12F9">
      <w:r>
        <w:rPr>
          <w:color w:val="auto"/>
        </w:rPr>
        <w:t xml:space="preserve">The Northern Territory utilises the </w:t>
      </w:r>
      <w:r w:rsidR="006A769E">
        <w:t>l</w:t>
      </w:r>
      <w:r w:rsidR="001E387A" w:rsidRPr="001724D8">
        <w:t xml:space="preserve">ength of </w:t>
      </w:r>
      <w:r w:rsidR="006A769E">
        <w:t>s</w:t>
      </w:r>
      <w:r w:rsidR="006A769E" w:rsidRPr="001724D8">
        <w:t xml:space="preserve">tay </w:t>
      </w:r>
      <w:r>
        <w:t xml:space="preserve">as the relevant RVU where there is a lack </w:t>
      </w:r>
      <w:r>
        <w:rPr>
          <w:color w:val="auto"/>
        </w:rPr>
        <w:t xml:space="preserve">of available data. This method is utilised for a </w:t>
      </w:r>
      <w:r>
        <w:t xml:space="preserve">patient dialysis unit and </w:t>
      </w:r>
      <w:r w:rsidRPr="001724D8">
        <w:t>admitted patients</w:t>
      </w:r>
      <w:r>
        <w:t>.</w:t>
      </w:r>
    </w:p>
    <w:p w14:paraId="4E4FA0CB" w14:textId="1C95859A" w:rsidR="00116285" w:rsidRPr="00E96C8D" w:rsidRDefault="00116285" w:rsidP="00116285">
      <w:pPr>
        <w:pStyle w:val="Heading3"/>
      </w:pPr>
      <w:r w:rsidRPr="00E96C8D">
        <w:t xml:space="preserve">Stage 4 </w:t>
      </w:r>
      <w:r w:rsidR="0027397A">
        <w:t>and</w:t>
      </w:r>
      <w:r w:rsidRPr="00E96C8D">
        <w:t xml:space="preserve"> 5 </w:t>
      </w:r>
      <w:r w:rsidR="00B65B85">
        <w:t>–</w:t>
      </w:r>
      <w:r w:rsidRPr="00E96C8D">
        <w:t xml:space="preserve"> Identify Products and Assign Expenses to Products</w:t>
      </w:r>
    </w:p>
    <w:p w14:paraId="3FAC3071" w14:textId="61E29C80" w:rsidR="003F4930" w:rsidRPr="00AC705D" w:rsidRDefault="003466E1" w:rsidP="003466E1">
      <w:pPr>
        <w:rPr>
          <w:color w:val="auto"/>
        </w:rPr>
      </w:pPr>
      <w:r>
        <w:rPr>
          <w:color w:val="auto"/>
        </w:rPr>
        <w:t xml:space="preserve">Northern Territory reported full compliance with all standards in Stages 4 and 5 </w:t>
      </w:r>
      <w:r w:rsidR="007A5C32">
        <w:rPr>
          <w:color w:val="auto"/>
        </w:rPr>
        <w:t>–</w:t>
      </w:r>
      <w:r>
        <w:rPr>
          <w:color w:val="auto"/>
        </w:rPr>
        <w:t xml:space="preserve"> </w:t>
      </w:r>
      <w:r w:rsidR="007A5C32">
        <w:rPr>
          <w:rFonts w:cs="Arial"/>
          <w:color w:val="auto"/>
        </w:rPr>
        <w:t>identify products</w:t>
      </w:r>
      <w:r w:rsidRPr="00907A70">
        <w:rPr>
          <w:rFonts w:cs="Arial"/>
          <w:color w:val="auto"/>
        </w:rPr>
        <w:t xml:space="preserve"> and assign</w:t>
      </w:r>
      <w:r w:rsidR="007A5C32">
        <w:rPr>
          <w:rFonts w:cs="Arial"/>
          <w:color w:val="auto"/>
        </w:rPr>
        <w:t xml:space="preserve"> </w:t>
      </w:r>
      <w:r w:rsidRPr="00907A70">
        <w:rPr>
          <w:rFonts w:cs="Arial"/>
          <w:color w:val="auto"/>
        </w:rPr>
        <w:t xml:space="preserve">expenses to </w:t>
      </w:r>
      <w:r w:rsidRPr="00C06E8A">
        <w:rPr>
          <w:rFonts w:cs="Arial"/>
          <w:color w:val="auto"/>
        </w:rPr>
        <w:t>products</w:t>
      </w:r>
      <w:r>
        <w:rPr>
          <w:color w:val="auto"/>
        </w:rPr>
        <w:t xml:space="preserve">; except for standard 4.2 – information requirements, </w:t>
      </w:r>
      <w:r w:rsidR="007A5C32">
        <w:rPr>
          <w:color w:val="auto"/>
        </w:rPr>
        <w:t>reporting partial compliance</w:t>
      </w:r>
      <w:r>
        <w:rPr>
          <w:color w:val="auto"/>
        </w:rPr>
        <w:t>.</w:t>
      </w:r>
      <w:r w:rsidRPr="003466E1">
        <w:rPr>
          <w:color w:val="auto"/>
        </w:rPr>
        <w:t xml:space="preserve"> </w:t>
      </w:r>
      <w:r>
        <w:rPr>
          <w:color w:val="auto"/>
        </w:rPr>
        <w:t xml:space="preserve">The partial compliance was due to costing mental health care at the episode </w:t>
      </w:r>
      <w:r>
        <w:rPr>
          <w:color w:val="auto"/>
        </w:rPr>
        <w:lastRenderedPageBreak/>
        <w:t xml:space="preserve">level as phase level activity data was not available. </w:t>
      </w:r>
      <w:r w:rsidR="0064796F" w:rsidRPr="044FA469">
        <w:rPr>
          <w:color w:val="auto"/>
        </w:rPr>
        <w:t xml:space="preserve">Costing guidelines relating to </w:t>
      </w:r>
      <w:r>
        <w:rPr>
          <w:color w:val="auto"/>
        </w:rPr>
        <w:t xml:space="preserve">teaching, training, research, </w:t>
      </w:r>
      <w:r w:rsidR="0064796F" w:rsidRPr="044FA469">
        <w:rPr>
          <w:color w:val="auto"/>
        </w:rPr>
        <w:t xml:space="preserve">and posthumous organ donation </w:t>
      </w:r>
      <w:r>
        <w:rPr>
          <w:color w:val="auto"/>
        </w:rPr>
        <w:t xml:space="preserve">were not adhered to due to limitations in data </w:t>
      </w:r>
      <w:r w:rsidR="0064796F" w:rsidRPr="044FA469">
        <w:rPr>
          <w:color w:val="auto"/>
        </w:rPr>
        <w:t xml:space="preserve">availability. </w:t>
      </w:r>
    </w:p>
    <w:p w14:paraId="73B23476" w14:textId="4274794B" w:rsidR="003466E1" w:rsidRPr="001724D8" w:rsidRDefault="001724D8" w:rsidP="00DC12F9">
      <w:pPr>
        <w:pStyle w:val="ListParagraph"/>
        <w:ind w:left="0"/>
        <w:contextualSpacing w:val="0"/>
      </w:pPr>
      <w:r w:rsidRPr="001724D8">
        <w:t xml:space="preserve">There are issues related to non-admitted services that are not successfully matched with the final products, particularly in cases where activity is captured in the primary care system. </w:t>
      </w:r>
      <w:r w:rsidR="003466E1">
        <w:t>The costing and linking m</w:t>
      </w:r>
      <w:r w:rsidR="003466E1" w:rsidRPr="003708C4">
        <w:t xml:space="preserve">ental health </w:t>
      </w:r>
      <w:r w:rsidR="003466E1">
        <w:t>care costs with activity continues to be challenging.</w:t>
      </w:r>
    </w:p>
    <w:p w14:paraId="2D1E7867" w14:textId="4BEA487A" w:rsidR="00116285" w:rsidRPr="00E96C8D" w:rsidRDefault="00282A43" w:rsidP="00DC12F9">
      <w:pPr>
        <w:pStyle w:val="ListParagraph"/>
        <w:ind w:left="0"/>
        <w:contextualSpacing w:val="0"/>
      </w:pPr>
      <w:r>
        <w:t>Northern Territory’s average cost for subacute</w:t>
      </w:r>
      <w:r w:rsidR="007A5C32">
        <w:t xml:space="preserve"> and non-acute</w:t>
      </w:r>
      <w:r>
        <w:t xml:space="preserve"> episodes is approximately </w:t>
      </w:r>
      <w:r w:rsidR="00090CE5">
        <w:t>3</w:t>
      </w:r>
      <w:r>
        <w:t>times the national average</w:t>
      </w:r>
      <w:r w:rsidR="007A5C32">
        <w:t xml:space="preserve"> due to non-acute episodes</w:t>
      </w:r>
      <w:r>
        <w:t>.</w:t>
      </w:r>
      <w:r w:rsidR="007A5C32">
        <w:t xml:space="preserve"> There are limited options</w:t>
      </w:r>
      <w:r w:rsidR="008846D6">
        <w:t xml:space="preserve"> to discharge patients from subacute to long term maintenance care</w:t>
      </w:r>
      <w:r w:rsidR="008819E2">
        <w:t xml:space="preserve"> or aged care facilities</w:t>
      </w:r>
      <w:r w:rsidR="007A5C32">
        <w:t xml:space="preserve">, resulting in </w:t>
      </w:r>
      <w:r w:rsidR="007A5C32" w:rsidRPr="00E96C8D">
        <w:t>prolonged stay</w:t>
      </w:r>
      <w:r w:rsidR="008819E2">
        <w:t>s</w:t>
      </w:r>
      <w:r w:rsidR="007A5C32" w:rsidRPr="00E96C8D">
        <w:t xml:space="preserve"> within the hospital</w:t>
      </w:r>
      <w:r w:rsidR="007A5C32">
        <w:t xml:space="preserve"> system</w:t>
      </w:r>
      <w:r w:rsidR="008846D6">
        <w:t xml:space="preserve"> and a higher average cost</w:t>
      </w:r>
      <w:r w:rsidR="007A5C32">
        <w:t>.</w:t>
      </w:r>
    </w:p>
    <w:p w14:paraId="04FDC89C" w14:textId="3E160E1A" w:rsidR="00116285" w:rsidRPr="00E96C8D" w:rsidRDefault="00116285" w:rsidP="00116285">
      <w:pPr>
        <w:pStyle w:val="Heading3"/>
      </w:pPr>
      <w:r w:rsidRPr="00E96C8D">
        <w:t xml:space="preserve">Stage 6 </w:t>
      </w:r>
      <w:r w:rsidR="00B65B85">
        <w:t>–</w:t>
      </w:r>
      <w:r w:rsidRPr="00E96C8D">
        <w:t xml:space="preserve"> Review and Reconcile</w:t>
      </w:r>
    </w:p>
    <w:p w14:paraId="21F5E46B" w14:textId="590C998D" w:rsidR="002605D4" w:rsidRDefault="00EC53EE" w:rsidP="00835A75">
      <w:pPr>
        <w:pStyle w:val="ListParagraph"/>
        <w:ind w:left="0"/>
        <w:contextualSpacing w:val="0"/>
      </w:pPr>
      <w:r w:rsidRPr="008846D6">
        <w:t>Northern Territory</w:t>
      </w:r>
      <w:r w:rsidR="003466E1" w:rsidRPr="008846D6">
        <w:t xml:space="preserve"> reported full compliance with the standards in Stage 6 – review and reconcile. A Clinical, Finance and Data reference group and additional </w:t>
      </w:r>
      <w:r w:rsidR="0015666D" w:rsidRPr="008846D6">
        <w:t>QA</w:t>
      </w:r>
      <w:r w:rsidR="003466E1" w:rsidRPr="008846D6">
        <w:t xml:space="preserve"> and validation processes were introduced in 2021-22 to improve the quality of the NHCDC submission.</w:t>
      </w:r>
      <w:r w:rsidR="002605D4" w:rsidRPr="002605D4">
        <w:t xml:space="preserve"> </w:t>
      </w:r>
    </w:p>
    <w:p w14:paraId="698B4FF9" w14:textId="4B831569" w:rsidR="00632F2B" w:rsidRPr="007A5C32" w:rsidRDefault="00116285" w:rsidP="00835A75">
      <w:pPr>
        <w:pStyle w:val="ListParagraph"/>
        <w:ind w:left="0"/>
        <w:contextualSpacing w:val="0"/>
      </w:pPr>
      <w:r w:rsidRPr="007A5C32">
        <w:t xml:space="preserve">The data quality is </w:t>
      </w:r>
      <w:r w:rsidR="00E279AC" w:rsidRPr="007A5C32">
        <w:t>improving</w:t>
      </w:r>
      <w:r w:rsidRPr="007A5C32">
        <w:t xml:space="preserve"> with the implementation of Power BI shared across all </w:t>
      </w:r>
      <w:proofErr w:type="gramStart"/>
      <w:r w:rsidRPr="007A5C32">
        <w:t>hospitals</w:t>
      </w:r>
      <w:proofErr w:type="gramEnd"/>
      <w:r w:rsidRPr="007A5C32">
        <w:t xml:space="preserve"> </w:t>
      </w:r>
      <w:r w:rsidR="0015666D" w:rsidRPr="007A5C32">
        <w:t>services</w:t>
      </w:r>
      <w:r w:rsidRPr="007A5C32">
        <w:t>. Sharing results with clinicians holds the potential for identifying data quality opportunities and addressing feedback and cost validation at the patient level. Improving data quality in a time of change poses challenges due to rising workforce expectations and financial pressures. Maintaining access to stakeholders without compromising data quality is notably challenging. This presents increasing difficulty in resource allocation and sustainability.</w:t>
      </w:r>
    </w:p>
    <w:p w14:paraId="3B6CF42D" w14:textId="6DDE3A58" w:rsidR="002605D4" w:rsidRDefault="002605D4" w:rsidP="00835A75">
      <w:pPr>
        <w:pStyle w:val="ListParagraph"/>
        <w:ind w:left="0"/>
        <w:contextualSpacing w:val="0"/>
      </w:pPr>
      <w:r>
        <w:t xml:space="preserve">The Northern Territory Department of Health (NT Health) undertakes patient level costing centrally, which is supported by external consultants who provide end-to-end costing services to deliver the costing study and analysis. Patient level costing is undertaken bi-annually using the Power Performance Manager (PPM) costing platform. NT Health successfully implemented </w:t>
      </w:r>
      <w:r w:rsidR="00090CE5">
        <w:t>6</w:t>
      </w:r>
      <w:r w:rsidR="001D5923">
        <w:t xml:space="preserve"> </w:t>
      </w:r>
      <w:r>
        <w:t>monthly costing in the 2021-22 financial year and migrated to PPM software version 3 to realise the improved functionality provided by the software upgrade.</w:t>
      </w:r>
    </w:p>
    <w:p w14:paraId="6C605DA6" w14:textId="1A66CCCD" w:rsidR="00632F2B" w:rsidRPr="008846D6" w:rsidRDefault="002605D4" w:rsidP="00835A75">
      <w:pPr>
        <w:pStyle w:val="ListParagraph"/>
        <w:ind w:left="0"/>
        <w:contextualSpacing w:val="0"/>
      </w:pPr>
      <w:r>
        <w:t xml:space="preserve">NT Health also </w:t>
      </w:r>
      <w:r w:rsidR="00632F2B" w:rsidRPr="008C6C39">
        <w:t xml:space="preserve">completes internal quality assurance processes to ensure the NHCDC contains high-quality data that can be used to develop the national efficient price. </w:t>
      </w:r>
      <w:r w:rsidR="00632F2B" w:rsidRPr="008846D6">
        <w:t xml:space="preserve">QA processes include an annual review of activity data with source feeder systems, trend analysis and a consultation and governance process overlaying the costing process. </w:t>
      </w:r>
      <w:r w:rsidR="00632F2B" w:rsidRPr="008C6C39">
        <w:t xml:space="preserve">It has been </w:t>
      </w:r>
      <w:r w:rsidR="00A7601A">
        <w:t>identified</w:t>
      </w:r>
      <w:r w:rsidR="00A7601A" w:rsidRPr="008C6C39">
        <w:t xml:space="preserve"> </w:t>
      </w:r>
      <w:r w:rsidR="00632F2B" w:rsidRPr="008C6C39">
        <w:t xml:space="preserve">that </w:t>
      </w:r>
      <w:r w:rsidR="00632F2B">
        <w:t>Northern Territory</w:t>
      </w:r>
      <w:r w:rsidR="00632F2B" w:rsidRPr="008C6C39">
        <w:t xml:space="preserve"> conducted several annual checks and assessments prior to a formal sign off by the CEO to ensure a robust costing submission to IHACPA.</w:t>
      </w:r>
      <w:r w:rsidR="00632F2B" w:rsidRPr="008846D6">
        <w:t xml:space="preserve"> </w:t>
      </w:r>
    </w:p>
    <w:p w14:paraId="2B570584" w14:textId="3E50D0C7" w:rsidR="00116285" w:rsidRPr="007F5F19" w:rsidRDefault="00632F2B" w:rsidP="00835A75">
      <w:pPr>
        <w:pStyle w:val="ListParagraph"/>
        <w:ind w:left="0"/>
        <w:contextualSpacing w:val="0"/>
      </w:pPr>
      <w:r w:rsidRPr="00384B25">
        <w:t xml:space="preserve">To ensure all </w:t>
      </w:r>
      <w:r w:rsidR="008819E2" w:rsidRPr="00835A75">
        <w:t xml:space="preserve">in-scope </w:t>
      </w:r>
      <w:r w:rsidRPr="00384B25">
        <w:t xml:space="preserve">cost have been included in the NHCDC 2021-22, a reconciliation review was completed between the </w:t>
      </w:r>
      <w:r w:rsidR="008819E2">
        <w:t>Northern Territory’s</w:t>
      </w:r>
      <w:r w:rsidRPr="00384B25">
        <w:t xml:space="preserve"> general ledger and the costs submitted to IHACPA. </w:t>
      </w:r>
      <w:r>
        <w:t xml:space="preserve">The Northern Territory’s </w:t>
      </w:r>
      <w:r w:rsidRPr="00384B25">
        <w:t>general ledger reconciles with the cost ledger as well as the costs submitted to IHACPA</w:t>
      </w:r>
      <w:r>
        <w:t>.</w:t>
      </w:r>
    </w:p>
    <w:p w14:paraId="36F885D5" w14:textId="114FFE96" w:rsidR="00116285" w:rsidRDefault="00116285" w:rsidP="00DC12F9">
      <w:pPr>
        <w:spacing w:before="160"/>
      </w:pPr>
    </w:p>
    <w:p w14:paraId="0035A372" w14:textId="77777777" w:rsidR="003D7A83" w:rsidRDefault="003D7A83">
      <w:pPr>
        <w:spacing w:line="259" w:lineRule="auto"/>
      </w:pPr>
      <w:r>
        <w:br w:type="page"/>
      </w:r>
    </w:p>
    <w:p w14:paraId="3F5AC2CC" w14:textId="01F07DE0" w:rsidR="00FE5F0C" w:rsidRPr="00E96C8D" w:rsidRDefault="00FE5F0C" w:rsidP="00267630">
      <w:pPr>
        <w:pStyle w:val="Heading1"/>
      </w:pPr>
      <w:bookmarkStart w:id="67" w:name="_Toc157776710"/>
      <w:r w:rsidRPr="00E96C8D">
        <w:lastRenderedPageBreak/>
        <w:t>Australian Capital Territory</w:t>
      </w:r>
      <w:bookmarkEnd w:id="66"/>
      <w:bookmarkEnd w:id="67"/>
      <w:r w:rsidRPr="00E96C8D">
        <w:tab/>
      </w:r>
    </w:p>
    <w:p w14:paraId="4CF8E5A3" w14:textId="77777777" w:rsidR="00244A51" w:rsidRDefault="00244A51" w:rsidP="003C21B3">
      <w:pPr>
        <w:pStyle w:val="Heading2"/>
      </w:pPr>
      <w:r>
        <w:t>Summary</w:t>
      </w:r>
    </w:p>
    <w:p w14:paraId="7C73D3C3" w14:textId="3454E422" w:rsidR="002605D4" w:rsidRPr="00C55CE8" w:rsidRDefault="008E6476" w:rsidP="008819E2">
      <w:pPr>
        <w:rPr>
          <w:color w:val="auto"/>
        </w:rPr>
      </w:pPr>
      <w:r w:rsidRPr="00E14BFC">
        <w:rPr>
          <w:color w:val="auto"/>
        </w:rPr>
        <w:t xml:space="preserve">The Australian Capital Territory </w:t>
      </w:r>
      <w:r w:rsidR="00632F2B" w:rsidRPr="00E14BFC">
        <w:rPr>
          <w:color w:val="auto"/>
        </w:rPr>
        <w:t xml:space="preserve">(ACT) </w:t>
      </w:r>
      <w:r w:rsidRPr="00E14BFC">
        <w:rPr>
          <w:color w:val="auto"/>
        </w:rPr>
        <w:t xml:space="preserve">submitted cost data from </w:t>
      </w:r>
      <w:r w:rsidR="00090CE5">
        <w:rPr>
          <w:color w:val="auto"/>
        </w:rPr>
        <w:t>3</w:t>
      </w:r>
      <w:r w:rsidR="00F406DD">
        <w:rPr>
          <w:color w:val="auto"/>
        </w:rPr>
        <w:t xml:space="preserve"> </w:t>
      </w:r>
      <w:r w:rsidRPr="00E14BFC">
        <w:rPr>
          <w:color w:val="auto"/>
        </w:rPr>
        <w:t>hospitals</w:t>
      </w:r>
      <w:r w:rsidR="002605D4">
        <w:rPr>
          <w:color w:val="auto"/>
        </w:rPr>
        <w:t xml:space="preserve"> across </w:t>
      </w:r>
      <w:r w:rsidR="00090CE5">
        <w:rPr>
          <w:color w:val="auto"/>
        </w:rPr>
        <w:t>3</w:t>
      </w:r>
      <w:r w:rsidR="00F406DD">
        <w:rPr>
          <w:color w:val="auto"/>
        </w:rPr>
        <w:t xml:space="preserve"> </w:t>
      </w:r>
      <w:r w:rsidR="002605D4">
        <w:rPr>
          <w:color w:val="auto"/>
        </w:rPr>
        <w:t>facilities</w:t>
      </w:r>
      <w:r w:rsidRPr="00E14BFC">
        <w:rPr>
          <w:color w:val="auto"/>
        </w:rPr>
        <w:t xml:space="preserve"> (including health services) with 1</w:t>
      </w:r>
      <w:r w:rsidR="00DF1CD4" w:rsidRPr="00E14BFC">
        <w:rPr>
          <w:color w:val="auto"/>
        </w:rPr>
        <w:t>.9</w:t>
      </w:r>
      <w:r w:rsidRPr="00E14BFC">
        <w:rPr>
          <w:color w:val="auto"/>
        </w:rPr>
        <w:t xml:space="preserve"> million records and a cost of $1</w:t>
      </w:r>
      <w:r w:rsidR="00DF1CD4" w:rsidRPr="00E14BFC">
        <w:rPr>
          <w:color w:val="auto"/>
        </w:rPr>
        <w:t>.5</w:t>
      </w:r>
      <w:r w:rsidRPr="00E14BFC">
        <w:rPr>
          <w:color w:val="auto"/>
        </w:rPr>
        <w:t xml:space="preserve"> billion in 2021-22. </w:t>
      </w:r>
      <w:r w:rsidR="00CD48C3" w:rsidRPr="00E14BFC">
        <w:rPr>
          <w:color w:val="auto"/>
        </w:rPr>
        <w:t xml:space="preserve">IHACPA consulted </w:t>
      </w:r>
      <w:r w:rsidR="00632F2B" w:rsidRPr="00E14BFC">
        <w:rPr>
          <w:color w:val="auto"/>
        </w:rPr>
        <w:t>the ACT</w:t>
      </w:r>
      <w:r w:rsidR="00CD48C3" w:rsidRPr="00E14BFC">
        <w:rPr>
          <w:color w:val="auto"/>
        </w:rPr>
        <w:t xml:space="preserve"> to confirm the Standards were correctly applied and reviewed any </w:t>
      </w:r>
      <w:r w:rsidR="00CD48C3" w:rsidRPr="00C55CE8">
        <w:rPr>
          <w:color w:val="auto"/>
        </w:rPr>
        <w:t>exceptions</w:t>
      </w:r>
      <w:r w:rsidRPr="00C55CE8">
        <w:rPr>
          <w:color w:val="auto"/>
        </w:rPr>
        <w:t xml:space="preserve">. </w:t>
      </w:r>
      <w:r w:rsidR="002605D4" w:rsidRPr="00C55CE8">
        <w:rPr>
          <w:color w:val="auto"/>
        </w:rPr>
        <w:t xml:space="preserve">The bilateral meeting also included a discussion on the future of the independent financial review. </w:t>
      </w:r>
      <w:r w:rsidR="004E171B">
        <w:rPr>
          <w:color w:val="auto"/>
        </w:rPr>
        <w:t xml:space="preserve">IHACPA has reconciled ACT’s general ledger to the NHCDC submission. </w:t>
      </w:r>
    </w:p>
    <w:p w14:paraId="7C8FA4AD" w14:textId="3C19FB4D" w:rsidR="008819E2" w:rsidRDefault="008819E2" w:rsidP="008819E2">
      <w:pPr>
        <w:rPr>
          <w:color w:val="auto"/>
        </w:rPr>
      </w:pPr>
      <w:r w:rsidRPr="00C55CE8">
        <w:rPr>
          <w:color w:val="auto"/>
        </w:rPr>
        <w:t>The ACT has partnered with Epic to implement a Territory-wide Digital Health Record</w:t>
      </w:r>
      <w:r w:rsidR="009A451E">
        <w:rPr>
          <w:color w:val="auto"/>
        </w:rPr>
        <w:t xml:space="preserve"> (DHR)</w:t>
      </w:r>
      <w:r w:rsidRPr="00C55CE8">
        <w:rPr>
          <w:color w:val="auto"/>
        </w:rPr>
        <w:t xml:space="preserve"> system at all public health services including public hospitals, Walk-in Centres</w:t>
      </w:r>
      <w:r w:rsidRPr="008819E2">
        <w:rPr>
          <w:color w:val="auto"/>
        </w:rPr>
        <w:t xml:space="preserve">, community health centres and justice health services. </w:t>
      </w:r>
      <w:r>
        <w:rPr>
          <w:color w:val="auto"/>
        </w:rPr>
        <w:t>The implementation of this system has impacted the ACT’s ability to report activity data and undertake costing of health services.</w:t>
      </w:r>
    </w:p>
    <w:p w14:paraId="4820BE24" w14:textId="55B2D515" w:rsidR="00C21391" w:rsidRDefault="001C4FA1" w:rsidP="00DC12F9">
      <w:pPr>
        <w:rPr>
          <w:color w:val="auto"/>
        </w:rPr>
      </w:pPr>
      <w:r w:rsidRPr="00E14BFC">
        <w:rPr>
          <w:color w:val="auto"/>
        </w:rPr>
        <w:t xml:space="preserve">The review of </w:t>
      </w:r>
      <w:r w:rsidR="00632F2B" w:rsidRPr="00E14BFC">
        <w:rPr>
          <w:color w:val="auto"/>
        </w:rPr>
        <w:t xml:space="preserve">the ACT’s </w:t>
      </w:r>
      <w:r w:rsidRPr="00E14BFC">
        <w:rPr>
          <w:color w:val="auto"/>
        </w:rPr>
        <w:t xml:space="preserve">costing and governance processes has indicated </w:t>
      </w:r>
      <w:r w:rsidR="008D6D9B" w:rsidRPr="00E14BFC">
        <w:rPr>
          <w:color w:val="auto"/>
        </w:rPr>
        <w:t>that b</w:t>
      </w:r>
      <w:r w:rsidRPr="00E14BFC">
        <w:rPr>
          <w:color w:val="auto"/>
        </w:rPr>
        <w:t xml:space="preserve">etter guidelines and standards are required </w:t>
      </w:r>
      <w:r w:rsidR="008D6D9B" w:rsidRPr="00E14BFC">
        <w:rPr>
          <w:color w:val="auto"/>
        </w:rPr>
        <w:t>to identify</w:t>
      </w:r>
      <w:r w:rsidRPr="00E14BFC">
        <w:rPr>
          <w:color w:val="auto"/>
        </w:rPr>
        <w:t xml:space="preserve"> in scope and out of scope costs. Costs are appropriately allocated to patients</w:t>
      </w:r>
      <w:r w:rsidR="003F3E67" w:rsidRPr="00E14BFC">
        <w:rPr>
          <w:color w:val="auto"/>
        </w:rPr>
        <w:t xml:space="preserve">. </w:t>
      </w:r>
      <w:r w:rsidRPr="00E14BFC">
        <w:rPr>
          <w:color w:val="auto"/>
        </w:rPr>
        <w:t xml:space="preserve">Costing at the </w:t>
      </w:r>
      <w:r w:rsidR="00C833BA" w:rsidRPr="00E14BFC">
        <w:rPr>
          <w:color w:val="auto"/>
        </w:rPr>
        <w:t xml:space="preserve">territory </w:t>
      </w:r>
      <w:r w:rsidRPr="00E14BFC">
        <w:rPr>
          <w:color w:val="auto"/>
        </w:rPr>
        <w:t>level is appropriately assigned</w:t>
      </w:r>
      <w:r w:rsidR="008D6D9B" w:rsidRPr="00E14BFC">
        <w:rPr>
          <w:color w:val="auto"/>
        </w:rPr>
        <w:t xml:space="preserve"> to the Cost Ledger</w:t>
      </w:r>
      <w:r w:rsidRPr="00E14BFC">
        <w:rPr>
          <w:color w:val="auto"/>
        </w:rPr>
        <w:t>, applying the AHPCS</w:t>
      </w:r>
      <w:r w:rsidR="00C40807" w:rsidRPr="00E14BFC">
        <w:rPr>
          <w:color w:val="auto"/>
        </w:rPr>
        <w:t>. However, t</w:t>
      </w:r>
      <w:r w:rsidRPr="00E14BFC">
        <w:rPr>
          <w:color w:val="auto"/>
        </w:rPr>
        <w:t xml:space="preserve">here are no standards and guidelines in place to ensure a rigorous </w:t>
      </w:r>
      <w:r w:rsidR="00C40807" w:rsidRPr="00E14BFC">
        <w:rPr>
          <w:color w:val="auto"/>
        </w:rPr>
        <w:t xml:space="preserve">cost </w:t>
      </w:r>
      <w:r w:rsidRPr="00E14BFC">
        <w:rPr>
          <w:color w:val="auto"/>
        </w:rPr>
        <w:t>allocation</w:t>
      </w:r>
      <w:r w:rsidR="00C40807" w:rsidRPr="00E14BFC">
        <w:rPr>
          <w:color w:val="auto"/>
        </w:rPr>
        <w:t xml:space="preserve"> methodology</w:t>
      </w:r>
      <w:r w:rsidRPr="00E14BFC">
        <w:rPr>
          <w:color w:val="auto"/>
        </w:rPr>
        <w:t xml:space="preserve"> and validation process in place to ensure costs are appropriately assigned</w:t>
      </w:r>
      <w:r w:rsidRPr="00E36490">
        <w:rPr>
          <w:color w:val="auto"/>
        </w:rPr>
        <w:t>.</w:t>
      </w:r>
    </w:p>
    <w:p w14:paraId="224253D6" w14:textId="0B034C0D" w:rsidR="00E02893" w:rsidRPr="00E96C8D" w:rsidRDefault="00525B3F" w:rsidP="003C21B3">
      <w:pPr>
        <w:pStyle w:val="Heading2"/>
      </w:pPr>
      <w:r w:rsidRPr="005F05EB">
        <w:t>Australian Hospital Patient Costing Standards</w:t>
      </w:r>
    </w:p>
    <w:p w14:paraId="6596F6B5" w14:textId="2141864B" w:rsidR="00E02893" w:rsidRPr="00E96C8D" w:rsidRDefault="00E02893" w:rsidP="00267630">
      <w:pPr>
        <w:pStyle w:val="Heading3"/>
      </w:pPr>
      <w:r w:rsidRPr="00E96C8D">
        <w:t>Stage 1 – Identify Relevant Expenses</w:t>
      </w:r>
    </w:p>
    <w:p w14:paraId="71599145" w14:textId="0CB9C311" w:rsidR="00C40807" w:rsidRPr="00E14BFC" w:rsidRDefault="00632F2B" w:rsidP="00C40807">
      <w:pPr>
        <w:pStyle w:val="ListLevel1"/>
        <w:numPr>
          <w:ilvl w:val="0"/>
          <w:numId w:val="0"/>
        </w:numPr>
        <w:contextualSpacing w:val="0"/>
        <w:rPr>
          <w:color w:val="auto"/>
        </w:rPr>
      </w:pPr>
      <w:r w:rsidRPr="00E14BFC">
        <w:rPr>
          <w:color w:val="auto"/>
        </w:rPr>
        <w:t xml:space="preserve">The ACT reported full compliance with the standards in Stage 1 – </w:t>
      </w:r>
      <w:r w:rsidR="008846D6" w:rsidRPr="00E14BFC">
        <w:rPr>
          <w:color w:val="auto"/>
        </w:rPr>
        <w:t>identify</w:t>
      </w:r>
      <w:r w:rsidRPr="00E14BFC">
        <w:rPr>
          <w:color w:val="auto"/>
        </w:rPr>
        <w:t xml:space="preserve"> relevant expenses. </w:t>
      </w:r>
      <w:r w:rsidR="00C40807" w:rsidRPr="00E14BFC">
        <w:rPr>
          <w:color w:val="auto"/>
        </w:rPr>
        <w:t xml:space="preserve">ACT Health is currently undertaking a comprehensive review of costs that were previously excluded from the NHCDC submission, such as corporate overhead costs, corporate costs, and information and communications technology costs. The inclusion of these additional costs in future submissions will lead to an increase in the average cost. The COVID-19 pandemic continues to impact the non-admitted activity and cost incurred in the </w:t>
      </w:r>
      <w:r w:rsidR="00E8005C" w:rsidRPr="00E14BFC">
        <w:rPr>
          <w:color w:val="auto"/>
        </w:rPr>
        <w:t>ACT</w:t>
      </w:r>
      <w:r w:rsidR="00C40807" w:rsidRPr="00E14BFC">
        <w:rPr>
          <w:color w:val="auto"/>
        </w:rPr>
        <w:t xml:space="preserve">. </w:t>
      </w:r>
    </w:p>
    <w:p w14:paraId="6E0DE852" w14:textId="436BB844" w:rsidR="006142B7" w:rsidRPr="00E14BFC" w:rsidRDefault="00C40807" w:rsidP="00DC12F9">
      <w:pPr>
        <w:pStyle w:val="ListLevel1"/>
        <w:numPr>
          <w:ilvl w:val="0"/>
          <w:numId w:val="0"/>
        </w:numPr>
        <w:contextualSpacing w:val="0"/>
        <w:rPr>
          <w:color w:val="auto"/>
        </w:rPr>
      </w:pPr>
      <w:r w:rsidRPr="00E14BFC">
        <w:rPr>
          <w:color w:val="auto"/>
        </w:rPr>
        <w:t xml:space="preserve">It should be noted that </w:t>
      </w:r>
      <w:r w:rsidR="006142B7" w:rsidRPr="00E14BFC">
        <w:rPr>
          <w:color w:val="auto"/>
        </w:rPr>
        <w:t xml:space="preserve">Special Purpose Account (SPA) costs </w:t>
      </w:r>
      <w:r w:rsidRPr="00E14BFC">
        <w:rPr>
          <w:color w:val="auto"/>
        </w:rPr>
        <w:t xml:space="preserve">have been excluded from the 2021-22 NHCDC </w:t>
      </w:r>
      <w:r w:rsidR="00DF1CF9" w:rsidRPr="00E14BFC">
        <w:rPr>
          <w:color w:val="auto"/>
        </w:rPr>
        <w:t>submission but</w:t>
      </w:r>
      <w:r w:rsidRPr="00E14BFC">
        <w:rPr>
          <w:color w:val="auto"/>
        </w:rPr>
        <w:t xml:space="preserve"> were included in previous years.</w:t>
      </w:r>
    </w:p>
    <w:p w14:paraId="2BF0823F" w14:textId="046D2FAB" w:rsidR="00E02893" w:rsidRPr="00E96C8D" w:rsidRDefault="00E02893" w:rsidP="00267630">
      <w:pPr>
        <w:pStyle w:val="Heading3"/>
      </w:pPr>
      <w:r w:rsidRPr="00E96C8D">
        <w:t xml:space="preserve">Stage 2 </w:t>
      </w:r>
      <w:r w:rsidR="0027397A">
        <w:t>and</w:t>
      </w:r>
      <w:r w:rsidRPr="00E96C8D">
        <w:t xml:space="preserve"> 3 </w:t>
      </w:r>
      <w:r w:rsidR="00B65B85">
        <w:t>–</w:t>
      </w:r>
      <w:r w:rsidRPr="00E96C8D">
        <w:t xml:space="preserve"> Create the Cost Ledger and Create Final Cost Centres</w:t>
      </w:r>
    </w:p>
    <w:p w14:paraId="54B8F1FF" w14:textId="6715672D" w:rsidR="00E02893" w:rsidRPr="001724D8" w:rsidRDefault="00632F2B" w:rsidP="00DC12F9">
      <w:pPr>
        <w:pStyle w:val="ListLevel1"/>
        <w:numPr>
          <w:ilvl w:val="0"/>
          <w:numId w:val="0"/>
        </w:numPr>
      </w:pPr>
      <w:r>
        <w:rPr>
          <w:color w:val="auto"/>
        </w:rPr>
        <w:t>The ACT</w:t>
      </w:r>
      <w:r w:rsidRPr="00632F2B">
        <w:rPr>
          <w:color w:val="auto"/>
        </w:rPr>
        <w:t xml:space="preserve"> reported full compliance with the standards in Stage 2 and 3 – </w:t>
      </w:r>
      <w:r w:rsidR="008846D6">
        <w:rPr>
          <w:color w:val="auto"/>
        </w:rPr>
        <w:t>create</w:t>
      </w:r>
      <w:r w:rsidRPr="00632F2B">
        <w:rPr>
          <w:color w:val="auto"/>
        </w:rPr>
        <w:t xml:space="preserve"> the cost ledger and </w:t>
      </w:r>
      <w:r w:rsidR="008846D6">
        <w:rPr>
          <w:color w:val="auto"/>
        </w:rPr>
        <w:t xml:space="preserve">create </w:t>
      </w:r>
      <w:r w:rsidRPr="00632F2B">
        <w:rPr>
          <w:color w:val="auto"/>
        </w:rPr>
        <w:t>final cost centres.</w:t>
      </w:r>
      <w:r w:rsidR="00C40807">
        <w:rPr>
          <w:color w:val="auto"/>
        </w:rPr>
        <w:t xml:space="preserve"> The </w:t>
      </w:r>
      <w:r w:rsidR="00C40807" w:rsidRPr="00C40807">
        <w:rPr>
          <w:color w:val="auto"/>
        </w:rPr>
        <w:t>ACT costs</w:t>
      </w:r>
      <w:r w:rsidR="00C40807" w:rsidRPr="00DC12F9">
        <w:t xml:space="preserve"> centrally within the </w:t>
      </w:r>
      <w:r w:rsidR="008846D6">
        <w:t>ACT Health Directorate</w:t>
      </w:r>
      <w:r w:rsidR="00C40807">
        <w:t xml:space="preserve">. The costing of health services is undertaken at the patient level, without the utilisation of any RVUs or other </w:t>
      </w:r>
      <w:r w:rsidR="00C40807">
        <w:lastRenderedPageBreak/>
        <w:t>weighting statistics</w:t>
      </w:r>
      <w:r w:rsidR="00C40807" w:rsidRPr="00C40807">
        <w:rPr>
          <w:color w:val="auto"/>
        </w:rPr>
        <w:t>. The lack of utilising RVUs was noted as posing a challenge fo</w:t>
      </w:r>
      <w:r w:rsidR="00C40807">
        <w:rPr>
          <w:color w:val="auto"/>
        </w:rPr>
        <w:t>r the allocation of overhead and</w:t>
      </w:r>
      <w:r w:rsidR="00244536">
        <w:rPr>
          <w:color w:val="auto"/>
        </w:rPr>
        <w:t xml:space="preserve"> </w:t>
      </w:r>
      <w:r w:rsidR="00244536" w:rsidRPr="00244536">
        <w:rPr>
          <w:color w:val="auto"/>
        </w:rPr>
        <w:t>Information and communications technology</w:t>
      </w:r>
      <w:r w:rsidR="00C40807">
        <w:rPr>
          <w:color w:val="auto"/>
        </w:rPr>
        <w:t xml:space="preserve"> </w:t>
      </w:r>
      <w:r w:rsidR="00244536">
        <w:rPr>
          <w:color w:val="auto"/>
        </w:rPr>
        <w:t>(</w:t>
      </w:r>
      <w:r w:rsidR="00C40807">
        <w:rPr>
          <w:color w:val="auto"/>
        </w:rPr>
        <w:t>ICT</w:t>
      </w:r>
      <w:r w:rsidR="00244536">
        <w:rPr>
          <w:color w:val="auto"/>
        </w:rPr>
        <w:t>)</w:t>
      </w:r>
      <w:r w:rsidR="00C40807">
        <w:rPr>
          <w:color w:val="auto"/>
        </w:rPr>
        <w:t xml:space="preserve"> costs. </w:t>
      </w:r>
      <w:r w:rsidR="00C40807">
        <w:t xml:space="preserve">Overheads are currently </w:t>
      </w:r>
      <w:r w:rsidR="00AD3A0D">
        <w:t>included</w:t>
      </w:r>
      <w:r w:rsidR="00C40807">
        <w:t xml:space="preserve"> in the NHCDC submission based on FTE data.</w:t>
      </w:r>
    </w:p>
    <w:p w14:paraId="72F3F789" w14:textId="4E225503" w:rsidR="00E02893" w:rsidRPr="00E96C8D" w:rsidRDefault="00E02893" w:rsidP="00267630">
      <w:pPr>
        <w:pStyle w:val="Heading3"/>
      </w:pPr>
      <w:r w:rsidRPr="00E96C8D">
        <w:t xml:space="preserve">Stage 4 </w:t>
      </w:r>
      <w:r w:rsidR="0027397A">
        <w:t>and</w:t>
      </w:r>
      <w:r w:rsidRPr="00E96C8D">
        <w:t xml:space="preserve"> 5 </w:t>
      </w:r>
      <w:r w:rsidR="00B65B85">
        <w:t>–</w:t>
      </w:r>
      <w:r w:rsidRPr="00E96C8D">
        <w:t xml:space="preserve"> Identify Products and Assign Expenses to Products</w:t>
      </w:r>
    </w:p>
    <w:p w14:paraId="28E34593" w14:textId="55F7A8BF" w:rsidR="004C7E6A" w:rsidRPr="00E14BFC" w:rsidRDefault="00632F2B" w:rsidP="004C7E6A">
      <w:pPr>
        <w:pStyle w:val="ListLevel1"/>
        <w:numPr>
          <w:ilvl w:val="0"/>
          <w:numId w:val="0"/>
        </w:numPr>
        <w:contextualSpacing w:val="0"/>
        <w:rPr>
          <w:color w:val="auto"/>
        </w:rPr>
      </w:pPr>
      <w:r w:rsidRPr="002337B7">
        <w:rPr>
          <w:color w:val="auto"/>
        </w:rPr>
        <w:t xml:space="preserve">The ACT reported full compliance with the standards in Stages 4 and 5 – </w:t>
      </w:r>
      <w:r w:rsidR="008846D6" w:rsidRPr="002337B7">
        <w:rPr>
          <w:color w:val="auto"/>
        </w:rPr>
        <w:t>identify products</w:t>
      </w:r>
      <w:r w:rsidRPr="002337B7">
        <w:rPr>
          <w:color w:val="auto"/>
        </w:rPr>
        <w:t xml:space="preserve"> and assign expenses to products</w:t>
      </w:r>
      <w:r w:rsidR="002337B7" w:rsidRPr="002337B7">
        <w:rPr>
          <w:color w:val="auto"/>
        </w:rPr>
        <w:t>, except for Stage 5.3 Assign Expenses to Products - Work in Progress, reporting partial compliance</w:t>
      </w:r>
      <w:r w:rsidRPr="002337B7">
        <w:rPr>
          <w:color w:val="auto"/>
        </w:rPr>
        <w:t>.</w:t>
      </w:r>
      <w:r w:rsidR="004C7E6A">
        <w:rPr>
          <w:color w:val="auto"/>
        </w:rPr>
        <w:t xml:space="preserve"> </w:t>
      </w:r>
      <w:r w:rsidR="002337B7" w:rsidRPr="002337B7">
        <w:rPr>
          <w:color w:val="auto"/>
        </w:rPr>
        <w:t>Due to the</w:t>
      </w:r>
      <w:r w:rsidR="002337B7">
        <w:rPr>
          <w:color w:val="auto"/>
        </w:rPr>
        <w:t xml:space="preserve"> implementation of the</w:t>
      </w:r>
      <w:r w:rsidR="002337B7" w:rsidRPr="002337B7">
        <w:rPr>
          <w:color w:val="auto"/>
        </w:rPr>
        <w:t xml:space="preserve"> </w:t>
      </w:r>
      <w:r w:rsidR="002337B7" w:rsidRPr="00E14BFC">
        <w:rPr>
          <w:color w:val="auto"/>
        </w:rPr>
        <w:t xml:space="preserve">DHR </w:t>
      </w:r>
      <w:r w:rsidR="002337B7">
        <w:rPr>
          <w:color w:val="auto"/>
        </w:rPr>
        <w:t xml:space="preserve">system, the ACT has had </w:t>
      </w:r>
      <w:r w:rsidR="004C7E6A" w:rsidRPr="00E14BFC">
        <w:rPr>
          <w:color w:val="auto"/>
        </w:rPr>
        <w:t>challenge</w:t>
      </w:r>
      <w:r w:rsidR="004C7E6A">
        <w:rPr>
          <w:color w:val="auto"/>
        </w:rPr>
        <w:t>s</w:t>
      </w:r>
      <w:r w:rsidR="004C7E6A" w:rsidRPr="00E14BFC">
        <w:rPr>
          <w:color w:val="auto"/>
        </w:rPr>
        <w:t xml:space="preserve"> in costing health services, specifically in-progress patients</w:t>
      </w:r>
      <w:r w:rsidR="004C7E6A">
        <w:rPr>
          <w:color w:val="auto"/>
        </w:rPr>
        <w:t xml:space="preserve"> (i.e., work in progress patient data)</w:t>
      </w:r>
      <w:r w:rsidR="004C7E6A" w:rsidRPr="00E14BFC">
        <w:rPr>
          <w:color w:val="auto"/>
        </w:rPr>
        <w:t xml:space="preserve"> and intermediate products.</w:t>
      </w:r>
      <w:r w:rsidR="004C7E6A" w:rsidRPr="004C7E6A">
        <w:rPr>
          <w:color w:val="auto"/>
        </w:rPr>
        <w:t xml:space="preserve"> </w:t>
      </w:r>
      <w:r w:rsidR="004C7E6A">
        <w:rPr>
          <w:color w:val="auto"/>
        </w:rPr>
        <w:t>However</w:t>
      </w:r>
      <w:r w:rsidR="004C7E6A" w:rsidRPr="00E14BFC">
        <w:rPr>
          <w:color w:val="auto"/>
        </w:rPr>
        <w:t xml:space="preserve">, once fully operational, the DHR </w:t>
      </w:r>
      <w:r w:rsidR="0009142D">
        <w:rPr>
          <w:color w:val="auto"/>
        </w:rPr>
        <w:t xml:space="preserve">system </w:t>
      </w:r>
      <w:r w:rsidR="004C7E6A" w:rsidRPr="00E14BFC">
        <w:rPr>
          <w:color w:val="auto"/>
        </w:rPr>
        <w:t>will improve the accuracy of the cost data submission, in particular pharmacy, providing more detail of the patient journey.</w:t>
      </w:r>
    </w:p>
    <w:p w14:paraId="0FC46E78" w14:textId="02787F2E" w:rsidR="00912DB6" w:rsidRPr="00E14BFC" w:rsidRDefault="00C40807" w:rsidP="00DC12F9">
      <w:pPr>
        <w:pStyle w:val="ListLevel1"/>
        <w:numPr>
          <w:ilvl w:val="0"/>
          <w:numId w:val="0"/>
        </w:numPr>
        <w:contextualSpacing w:val="0"/>
        <w:rPr>
          <w:color w:val="auto"/>
        </w:rPr>
      </w:pPr>
      <w:r w:rsidRPr="00E14BFC">
        <w:rPr>
          <w:color w:val="auto"/>
        </w:rPr>
        <w:t xml:space="preserve">The costs associate with </w:t>
      </w:r>
      <w:r w:rsidR="00912DB6" w:rsidRPr="00E14BFC">
        <w:rPr>
          <w:color w:val="auto"/>
        </w:rPr>
        <w:t>teaching, training</w:t>
      </w:r>
      <w:r w:rsidR="007B05F9" w:rsidRPr="00E14BFC">
        <w:rPr>
          <w:color w:val="auto"/>
        </w:rPr>
        <w:t>,</w:t>
      </w:r>
      <w:r w:rsidR="00912DB6" w:rsidRPr="00E14BFC">
        <w:rPr>
          <w:color w:val="auto"/>
        </w:rPr>
        <w:t xml:space="preserve"> and research are assigned to dummy patients based on feedback from cost</w:t>
      </w:r>
      <w:r w:rsidR="007B05F9" w:rsidRPr="00E14BFC">
        <w:rPr>
          <w:color w:val="auto"/>
        </w:rPr>
        <w:t xml:space="preserve">ing </w:t>
      </w:r>
      <w:r w:rsidR="00912DB6" w:rsidRPr="00E14BFC">
        <w:rPr>
          <w:color w:val="auto"/>
        </w:rPr>
        <w:t>managers. Detailed NHCDC reconciliation is</w:t>
      </w:r>
      <w:r w:rsidRPr="00E14BFC">
        <w:rPr>
          <w:color w:val="auto"/>
        </w:rPr>
        <w:t xml:space="preserve"> undertaken internally, </w:t>
      </w:r>
      <w:r w:rsidR="00E14BFC">
        <w:rPr>
          <w:color w:val="auto"/>
        </w:rPr>
        <w:t>including</w:t>
      </w:r>
      <w:r w:rsidRPr="00E14BFC">
        <w:rPr>
          <w:color w:val="auto"/>
        </w:rPr>
        <w:t xml:space="preserve"> a thorough process </w:t>
      </w:r>
      <w:r w:rsidR="00E14BFC">
        <w:rPr>
          <w:color w:val="auto"/>
        </w:rPr>
        <w:t>to identify</w:t>
      </w:r>
      <w:r w:rsidRPr="00E14BFC">
        <w:rPr>
          <w:color w:val="auto"/>
        </w:rPr>
        <w:t xml:space="preserve"> and </w:t>
      </w:r>
      <w:r w:rsidR="00E14BFC">
        <w:rPr>
          <w:color w:val="auto"/>
        </w:rPr>
        <w:t>rectify</w:t>
      </w:r>
      <w:r w:rsidR="00E14BFC" w:rsidRPr="00E14BFC">
        <w:rPr>
          <w:color w:val="auto"/>
        </w:rPr>
        <w:t xml:space="preserve"> </w:t>
      </w:r>
      <w:r w:rsidRPr="00E14BFC">
        <w:rPr>
          <w:color w:val="auto"/>
        </w:rPr>
        <w:t xml:space="preserve">any </w:t>
      </w:r>
      <w:r w:rsidR="00F84762" w:rsidRPr="00E14BFC">
        <w:rPr>
          <w:color w:val="auto"/>
        </w:rPr>
        <w:t xml:space="preserve">discrepancies </w:t>
      </w:r>
      <w:r w:rsidRPr="00E14BFC">
        <w:rPr>
          <w:color w:val="auto"/>
        </w:rPr>
        <w:t>found.</w:t>
      </w:r>
    </w:p>
    <w:p w14:paraId="10735320" w14:textId="2A1D84F3" w:rsidR="00E02893" w:rsidRPr="00E96C8D" w:rsidRDefault="00E02893" w:rsidP="0081619A">
      <w:pPr>
        <w:pStyle w:val="Heading3"/>
      </w:pPr>
      <w:r w:rsidRPr="00E96C8D">
        <w:t xml:space="preserve">Stage 6 </w:t>
      </w:r>
      <w:r w:rsidR="00B65B85">
        <w:t>–</w:t>
      </w:r>
      <w:r w:rsidRPr="00E96C8D">
        <w:t xml:space="preserve"> Review and Reconcile</w:t>
      </w:r>
    </w:p>
    <w:p w14:paraId="55D9BF92" w14:textId="70D6BEA0" w:rsidR="00010A9C" w:rsidRPr="00E14BFC" w:rsidRDefault="00632F2B" w:rsidP="00DC12F9">
      <w:pPr>
        <w:pStyle w:val="ListLevel1"/>
        <w:numPr>
          <w:ilvl w:val="0"/>
          <w:numId w:val="0"/>
        </w:numPr>
        <w:contextualSpacing w:val="0"/>
        <w:rPr>
          <w:color w:val="auto"/>
        </w:rPr>
      </w:pPr>
      <w:r w:rsidRPr="00E14BFC">
        <w:rPr>
          <w:color w:val="auto"/>
        </w:rPr>
        <w:t xml:space="preserve">The ACT reported full compliance with the standards in Stage 6 – review and reconcile. </w:t>
      </w:r>
      <w:r w:rsidR="00F84762" w:rsidRPr="00E14BFC">
        <w:rPr>
          <w:color w:val="auto"/>
        </w:rPr>
        <w:t xml:space="preserve">The costing of health services in the ACT is completed in the Health Department, </w:t>
      </w:r>
      <w:r w:rsidR="00E14BFC" w:rsidRPr="00E14BFC">
        <w:rPr>
          <w:color w:val="auto"/>
        </w:rPr>
        <w:t>including</w:t>
      </w:r>
      <w:r w:rsidR="00F84762" w:rsidRPr="00E14BFC">
        <w:rPr>
          <w:color w:val="auto"/>
        </w:rPr>
        <w:t xml:space="preserve"> a rigorous QA check of the data. If data quality issues are identified during this process, the relevant health service or hospital would be required to rectify the data submission. The ACT then contracts external consultants to complete an independent assessment and QA process of the general ledger and the NHCDC. This ensure that the e</w:t>
      </w:r>
      <w:r w:rsidR="00010A9C" w:rsidRPr="00E14BFC">
        <w:rPr>
          <w:color w:val="auto"/>
        </w:rPr>
        <w:t>xpenditure</w:t>
      </w:r>
      <w:r w:rsidR="00F84762" w:rsidRPr="00E14BFC">
        <w:rPr>
          <w:color w:val="auto"/>
        </w:rPr>
        <w:t xml:space="preserve"> outlined in the general ledger reconciles with the costs submitted to IHACPA in the</w:t>
      </w:r>
      <w:r w:rsidR="00010A9C" w:rsidRPr="00E14BFC">
        <w:rPr>
          <w:color w:val="auto"/>
        </w:rPr>
        <w:t xml:space="preserve"> NHCDC</w:t>
      </w:r>
      <w:r w:rsidR="00F84762" w:rsidRPr="00E14BFC">
        <w:rPr>
          <w:color w:val="auto"/>
        </w:rPr>
        <w:t>.</w:t>
      </w:r>
    </w:p>
    <w:p w14:paraId="61C5AC83" w14:textId="795C06C5" w:rsidR="007F5F19" w:rsidRPr="00E14BFC" w:rsidRDefault="007F5F19" w:rsidP="00DC12F9">
      <w:pPr>
        <w:pStyle w:val="ListLevel1"/>
        <w:numPr>
          <w:ilvl w:val="0"/>
          <w:numId w:val="0"/>
        </w:numPr>
        <w:contextualSpacing w:val="0"/>
        <w:rPr>
          <w:color w:val="auto"/>
        </w:rPr>
      </w:pPr>
      <w:r w:rsidRPr="00E14BFC">
        <w:rPr>
          <w:color w:val="auto"/>
        </w:rPr>
        <w:t xml:space="preserve">The ACT completes internal quality assurance processes to ensure the NHCDC contains high-quality data that can be used to develop the national efficient price. </w:t>
      </w:r>
      <w:r w:rsidR="00632F2B" w:rsidRPr="00E14BFC">
        <w:rPr>
          <w:color w:val="auto"/>
        </w:rPr>
        <w:t xml:space="preserve">QA processes include an annual review of activity data with source feeder systems, trend analysis and a consultation and governance process overlaying the costing process. It is noted that ACT maintains no local costing guidelines to support the AHPCS, noting that this is likely a reflection of the subscale nature of the ACT health system. </w:t>
      </w:r>
      <w:r w:rsidRPr="00E14BFC">
        <w:rPr>
          <w:color w:val="auto"/>
        </w:rPr>
        <w:t xml:space="preserve">It has been </w:t>
      </w:r>
      <w:r w:rsidR="00A7601A" w:rsidRPr="00E14BFC">
        <w:rPr>
          <w:color w:val="auto"/>
        </w:rPr>
        <w:t xml:space="preserve">identified </w:t>
      </w:r>
      <w:r w:rsidRPr="00E14BFC">
        <w:rPr>
          <w:color w:val="auto"/>
        </w:rPr>
        <w:t>that ACT conducted several annual checks and assessments prior to a formal sign off by the CEO to ensure a robust costing submission to IHACPA.</w:t>
      </w:r>
    </w:p>
    <w:p w14:paraId="77780297" w14:textId="79A5455E" w:rsidR="007F5F19" w:rsidRPr="00E14BFC" w:rsidRDefault="007F5F19" w:rsidP="00DC12F9">
      <w:pPr>
        <w:pStyle w:val="ListLevel1"/>
        <w:numPr>
          <w:ilvl w:val="0"/>
          <w:numId w:val="0"/>
        </w:numPr>
        <w:contextualSpacing w:val="0"/>
        <w:rPr>
          <w:color w:val="auto"/>
        </w:rPr>
      </w:pPr>
      <w:r w:rsidRPr="00E14BFC">
        <w:rPr>
          <w:color w:val="auto"/>
        </w:rPr>
        <w:t xml:space="preserve">To ensure all </w:t>
      </w:r>
      <w:r w:rsidR="008819E2">
        <w:rPr>
          <w:color w:val="auto"/>
        </w:rPr>
        <w:t>in-scope</w:t>
      </w:r>
      <w:r w:rsidR="008819E2" w:rsidRPr="00E14BFC">
        <w:rPr>
          <w:color w:val="auto"/>
        </w:rPr>
        <w:t xml:space="preserve"> </w:t>
      </w:r>
      <w:r w:rsidRPr="00E14BFC">
        <w:rPr>
          <w:color w:val="auto"/>
        </w:rPr>
        <w:t>cost have been included in the NHCDC 2021-22, a reconciliation review was completed between the</w:t>
      </w:r>
      <w:r w:rsidR="008819E2">
        <w:rPr>
          <w:color w:val="auto"/>
        </w:rPr>
        <w:t xml:space="preserve"> ACT’s </w:t>
      </w:r>
      <w:r w:rsidRPr="00E14BFC">
        <w:rPr>
          <w:color w:val="auto"/>
        </w:rPr>
        <w:t>general ledger and the costs submitted to IHACPA. ACT’s general ledger reconciles with the cost ledger as well as the costs submitted to IHACPA.</w:t>
      </w:r>
    </w:p>
    <w:p w14:paraId="649863DC" w14:textId="77777777" w:rsidR="000277BA" w:rsidRDefault="000277BA">
      <w:pPr>
        <w:spacing w:line="259" w:lineRule="auto"/>
        <w:rPr>
          <w:color w:val="15272F" w:themeColor="accent1"/>
          <w:highlight w:val="yellow"/>
        </w:rPr>
      </w:pPr>
      <w:r>
        <w:rPr>
          <w:color w:val="15272F" w:themeColor="accent1"/>
          <w:highlight w:val="yellow"/>
        </w:rPr>
        <w:br w:type="page"/>
      </w:r>
    </w:p>
    <w:p w14:paraId="487029D6" w14:textId="4A2672F4" w:rsidR="00CD48C3" w:rsidRDefault="00D35B4F" w:rsidP="00D33FBA">
      <w:pPr>
        <w:pStyle w:val="Heading1"/>
      </w:pPr>
      <w:bookmarkStart w:id="68" w:name="_Recommendations"/>
      <w:bookmarkStart w:id="69" w:name="_Toc157776711"/>
      <w:bookmarkEnd w:id="68"/>
      <w:r>
        <w:lastRenderedPageBreak/>
        <w:t>Recommendations</w:t>
      </w:r>
      <w:bookmarkEnd w:id="69"/>
    </w:p>
    <w:p w14:paraId="20BD209F" w14:textId="77777777" w:rsidR="00F84762" w:rsidRPr="0002470B" w:rsidRDefault="00F84762" w:rsidP="00DC12F9">
      <w:pPr>
        <w:pStyle w:val="Heading3"/>
        <w:spacing w:before="240"/>
      </w:pPr>
      <w:r w:rsidRPr="00031D59">
        <w:rPr>
          <w:color w:val="15272F" w:themeColor="text2"/>
          <w:sz w:val="22"/>
          <w:szCs w:val="20"/>
          <w14:textOutline w14:w="9525" w14:cap="rnd" w14:cmpd="sng" w14:algn="ctr">
            <w14:noFill/>
            <w14:prstDash w14:val="solid"/>
            <w14:bevel/>
          </w14:textOutline>
        </w:rPr>
        <w:t>Recommendation 1</w:t>
      </w:r>
      <w:r w:rsidRPr="00EB7510">
        <w:rPr>
          <w:color w:val="15272F" w:themeColor="text2"/>
          <w:sz w:val="22"/>
          <w:szCs w:val="20"/>
          <w14:textOutline w14:w="9525" w14:cap="rnd" w14:cmpd="sng" w14:algn="ctr">
            <w14:noFill/>
            <w14:prstDash w14:val="solid"/>
            <w14:bevel/>
          </w14:textOutline>
        </w:rPr>
        <w:t>:</w:t>
      </w:r>
      <w:r w:rsidRPr="00031D59">
        <w:rPr>
          <w:color w:val="15272F" w:themeColor="text2"/>
          <w:sz w:val="22"/>
          <w:szCs w:val="20"/>
          <w14:textOutline w14:w="9525" w14:cap="rnd" w14:cmpd="sng" w14:algn="ctr">
            <w14:noFill/>
            <w14:prstDash w14:val="solid"/>
            <w14:bevel/>
          </w14:textOutline>
        </w:rPr>
        <w:t xml:space="preserve"> </w:t>
      </w:r>
      <w:r>
        <w:rPr>
          <w:color w:val="15272F" w:themeColor="text2"/>
          <w:sz w:val="22"/>
          <w:szCs w:val="20"/>
          <w14:textOutline w14:w="9525" w14:cap="rnd" w14:cmpd="sng" w14:algn="ctr">
            <w14:noFill/>
            <w14:prstDash w14:val="solid"/>
            <w14:bevel/>
          </w14:textOutline>
        </w:rPr>
        <w:t>T</w:t>
      </w:r>
      <w:r w:rsidRPr="00D35B4F">
        <w:rPr>
          <w:color w:val="15272F" w:themeColor="text2"/>
          <w:sz w:val="22"/>
          <w:szCs w:val="20"/>
          <w14:textOutline w14:w="9525" w14:cap="rnd" w14:cmpd="sng" w14:algn="ctr">
            <w14:noFill/>
            <w14:prstDash w14:val="solid"/>
            <w14:bevel/>
          </w14:textOutline>
        </w:rPr>
        <w:t xml:space="preserve">he </w:t>
      </w:r>
      <w:r>
        <w:rPr>
          <w:color w:val="15272F" w:themeColor="text2"/>
          <w:sz w:val="22"/>
          <w:szCs w:val="20"/>
          <w14:textOutline w14:w="9525" w14:cap="rnd" w14:cmpd="sng" w14:algn="ctr">
            <w14:noFill/>
            <w14:prstDash w14:val="solid"/>
            <w14:bevel/>
          </w14:textOutline>
        </w:rPr>
        <w:t>IFR</w:t>
      </w:r>
      <w:r w:rsidRPr="00D35B4F">
        <w:rPr>
          <w:color w:val="15272F" w:themeColor="text2"/>
          <w:sz w:val="22"/>
          <w:szCs w:val="20"/>
          <w14:textOutline w14:w="9525" w14:cap="rnd" w14:cmpd="sng" w14:algn="ctr">
            <w14:noFill/>
            <w14:prstDash w14:val="solid"/>
            <w14:bevel/>
          </w14:textOutline>
        </w:rPr>
        <w:t xml:space="preserve"> as a reconciliation process to be discontinued and the jurisdictions to continue to provide </w:t>
      </w:r>
      <w:r>
        <w:rPr>
          <w:color w:val="15272F" w:themeColor="text2"/>
          <w:sz w:val="22"/>
          <w:szCs w:val="20"/>
          <w14:textOutline w14:w="9525" w14:cap="rnd" w14:cmpd="sng" w14:algn="ctr">
            <w14:noFill/>
            <w14:prstDash w14:val="solid"/>
            <w14:bevel/>
          </w14:textOutline>
        </w:rPr>
        <w:t>IHACPA</w:t>
      </w:r>
      <w:r w:rsidRPr="00D35B4F">
        <w:rPr>
          <w:color w:val="15272F" w:themeColor="text2"/>
          <w:sz w:val="22"/>
          <w:szCs w:val="20"/>
          <w14:textOutline w14:w="9525" w14:cap="rnd" w14:cmpd="sng" w14:algn="ctr">
            <w14:noFill/>
            <w14:prstDash w14:val="solid"/>
            <w14:bevel/>
          </w14:textOutline>
        </w:rPr>
        <w:t xml:space="preserve"> with a </w:t>
      </w:r>
      <w:r>
        <w:rPr>
          <w:color w:val="15272F" w:themeColor="text2"/>
          <w:sz w:val="22"/>
          <w:szCs w:val="20"/>
          <w14:textOutline w14:w="9525" w14:cap="rnd" w14:cmpd="sng" w14:algn="ctr">
            <w14:noFill/>
            <w14:prstDash w14:val="solid"/>
            <w14:bevel/>
          </w14:textOutline>
        </w:rPr>
        <w:t>Data Quality Statement</w:t>
      </w:r>
      <w:r w:rsidRPr="00D35B4F">
        <w:rPr>
          <w:color w:val="15272F" w:themeColor="text2"/>
          <w:sz w:val="22"/>
          <w:szCs w:val="20"/>
          <w14:textOutline w14:w="9525" w14:cap="rnd" w14:cmpd="sng" w14:algn="ctr">
            <w14:noFill/>
            <w14:prstDash w14:val="solid"/>
            <w14:bevel/>
          </w14:textOutline>
        </w:rPr>
        <w:t xml:space="preserve"> outlining exceptions in the application of the </w:t>
      </w:r>
      <w:r>
        <w:rPr>
          <w:color w:val="15272F" w:themeColor="text2"/>
          <w:sz w:val="22"/>
          <w:szCs w:val="20"/>
          <w14:textOutline w14:w="9525" w14:cap="rnd" w14:cmpd="sng" w14:algn="ctr">
            <w14:noFill/>
            <w14:prstDash w14:val="solid"/>
            <w14:bevel/>
          </w14:textOutline>
        </w:rPr>
        <w:t>Australian Hospital Patient Costing Standards</w:t>
      </w:r>
      <w:r w:rsidRPr="00D35B4F">
        <w:rPr>
          <w:color w:val="15272F" w:themeColor="text2"/>
          <w:sz w:val="22"/>
          <w:szCs w:val="20"/>
          <w14:textOutline w14:w="9525" w14:cap="rnd" w14:cmpd="sng" w14:algn="ctr">
            <w14:noFill/>
            <w14:prstDash w14:val="solid"/>
            <w14:bevel/>
          </w14:textOutline>
        </w:rPr>
        <w:t xml:space="preserve"> and the general ledger reconciliation.</w:t>
      </w:r>
    </w:p>
    <w:p w14:paraId="417543EC" w14:textId="0C77CABC" w:rsidR="0015719A" w:rsidRDefault="6F8B4514" w:rsidP="008A4B1E">
      <w:pPr>
        <w:spacing w:before="120" w:after="120"/>
      </w:pPr>
      <w:r>
        <w:t xml:space="preserve">Several </w:t>
      </w:r>
      <w:r w:rsidR="0015719A">
        <w:t xml:space="preserve">states and territories </w:t>
      </w:r>
      <w:r w:rsidR="008A6AB1">
        <w:t xml:space="preserve">advised that the </w:t>
      </w:r>
      <w:r w:rsidR="00F26A08">
        <w:t xml:space="preserve">IFR process </w:t>
      </w:r>
      <w:r w:rsidR="0015719A">
        <w:t>provide</w:t>
      </w:r>
      <w:r w:rsidR="008A6AB1">
        <w:t>d</w:t>
      </w:r>
      <w:r w:rsidR="0015719A">
        <w:t xml:space="preserve"> </w:t>
      </w:r>
      <w:r w:rsidR="00F26A08">
        <w:t>little value</w:t>
      </w:r>
      <w:r w:rsidR="00447AD1">
        <w:t xml:space="preserve"> as a quality assurance or reconciliation process</w:t>
      </w:r>
      <w:r w:rsidR="00955A6F">
        <w:t xml:space="preserve">. </w:t>
      </w:r>
      <w:r w:rsidR="00D53974">
        <w:t xml:space="preserve">The </w:t>
      </w:r>
      <w:r w:rsidR="00955A6F">
        <w:t xml:space="preserve">process is considered resource intensive and duplicative to functions and processes undertaken </w:t>
      </w:r>
      <w:r w:rsidR="00262514">
        <w:t xml:space="preserve">either through </w:t>
      </w:r>
      <w:r w:rsidR="00D53974">
        <w:t xml:space="preserve">IHACPA processes or </w:t>
      </w:r>
      <w:r w:rsidR="00EB0210">
        <w:t>internally</w:t>
      </w:r>
      <w:r w:rsidR="00D53974">
        <w:t xml:space="preserve"> </w:t>
      </w:r>
      <w:r w:rsidR="00ED1595">
        <w:t>within state and territory costing departments</w:t>
      </w:r>
      <w:r w:rsidR="00D53974">
        <w:t>.</w:t>
      </w:r>
    </w:p>
    <w:p w14:paraId="5F98C490" w14:textId="5E6B16C0" w:rsidR="009056C4" w:rsidRDefault="0015719A" w:rsidP="008A4B1E">
      <w:pPr>
        <w:spacing w:before="120" w:after="120"/>
      </w:pPr>
      <w:r w:rsidRPr="0015719A">
        <w:t xml:space="preserve">NSW questioned whether the current model of the IFR was fit for purpose as a means of assuring the Pricing Authority that the cost data is robust and has correctly applied the Standards. NSW found the current IFR to be a time-consuming and resource intensive process, </w:t>
      </w:r>
      <w:r w:rsidR="00E65316">
        <w:t>duplicating</w:t>
      </w:r>
      <w:r w:rsidRPr="0015719A">
        <w:t xml:space="preserve"> information already received by IHACPA in the Data Quality Statement</w:t>
      </w:r>
      <w:r w:rsidR="0002470B">
        <w:t xml:space="preserve"> (DQS)</w:t>
      </w:r>
      <w:r w:rsidRPr="0015719A">
        <w:t xml:space="preserve"> and the Self-Assessment.</w:t>
      </w:r>
    </w:p>
    <w:p w14:paraId="2A7B6572" w14:textId="72064AB9" w:rsidR="000A5310" w:rsidRDefault="000A5310" w:rsidP="008A4B1E">
      <w:pPr>
        <w:spacing w:before="120" w:after="120"/>
      </w:pPr>
      <w:r>
        <w:t xml:space="preserve">Victoria </w:t>
      </w:r>
      <w:r w:rsidR="007F57E7">
        <w:t xml:space="preserve">considers that the assurance aspects of the IFR </w:t>
      </w:r>
      <w:r w:rsidR="00A70709">
        <w:t>unnecessary and duplicative of pre-existing assurance processes undertaken within their health department.</w:t>
      </w:r>
      <w:r w:rsidR="00FA23CF">
        <w:t xml:space="preserve"> Similarly, South Australia </w:t>
      </w:r>
      <w:r w:rsidR="00A41910">
        <w:t>considers that the DQS provide</w:t>
      </w:r>
      <w:r w:rsidR="00E428D1">
        <w:t>s</w:t>
      </w:r>
      <w:r w:rsidR="00A41910">
        <w:t xml:space="preserve"> sufficient assurance regarding the quality of </w:t>
      </w:r>
      <w:r w:rsidR="00E1684C">
        <w:t xml:space="preserve">the </w:t>
      </w:r>
      <w:r w:rsidR="00A41910">
        <w:t>data</w:t>
      </w:r>
      <w:r w:rsidR="00311439">
        <w:t>,</w:t>
      </w:r>
      <w:r w:rsidR="005B350C">
        <w:t xml:space="preserve"> </w:t>
      </w:r>
      <w:r w:rsidR="00E65316">
        <w:t>suggesting</w:t>
      </w:r>
      <w:r w:rsidR="00311439">
        <w:t xml:space="preserve"> the assurance component of the IFR unnecessary.</w:t>
      </w:r>
    </w:p>
    <w:p w14:paraId="0BC350B4" w14:textId="668E58BD" w:rsidR="00F84762" w:rsidRDefault="00F84762" w:rsidP="00DC12F9">
      <w:pPr>
        <w:spacing w:before="120" w:after="120"/>
      </w:pPr>
      <w:r>
        <w:t xml:space="preserve">The </w:t>
      </w:r>
      <w:r w:rsidR="009D199C">
        <w:t xml:space="preserve">Australian Capital Territory derived </w:t>
      </w:r>
      <w:r w:rsidR="00040591">
        <w:t xml:space="preserve">value from the </w:t>
      </w:r>
      <w:r w:rsidR="00DF1CF9">
        <w:t>IFR but</w:t>
      </w:r>
      <w:r>
        <w:t xml:space="preserve"> considered it should </w:t>
      </w:r>
      <w:r w:rsidR="00040591">
        <w:t xml:space="preserve">be </w:t>
      </w:r>
      <w:r w:rsidR="009D199C">
        <w:t xml:space="preserve">undertaken </w:t>
      </w:r>
      <w:r w:rsidR="00040591">
        <w:t>on a bi-annual basis</w:t>
      </w:r>
      <w:r w:rsidR="009D199C">
        <w:t xml:space="preserve"> to reduce the impost on resourcing </w:t>
      </w:r>
      <w:r w:rsidR="00040591">
        <w:t xml:space="preserve">requirements </w:t>
      </w:r>
      <w:r w:rsidR="009D199C">
        <w:t>among jurisdictions.</w:t>
      </w:r>
    </w:p>
    <w:p w14:paraId="4E1E12F8" w14:textId="77777777" w:rsidR="00F84762" w:rsidRPr="008C27B0" w:rsidRDefault="00F84762" w:rsidP="00DC12F9">
      <w:pPr>
        <w:pStyle w:val="Heading3"/>
        <w:spacing w:before="240"/>
        <w:rPr>
          <w:color w:val="15272F" w:themeColor="text2"/>
          <w:sz w:val="18"/>
          <w:szCs w:val="18"/>
        </w:rPr>
      </w:pPr>
      <w:r w:rsidRPr="00031D59">
        <w:rPr>
          <w:color w:val="15272F" w:themeColor="text2"/>
          <w:sz w:val="22"/>
          <w:szCs w:val="20"/>
        </w:rPr>
        <w:t xml:space="preserve">Recommendation </w:t>
      </w:r>
      <w:r>
        <w:rPr>
          <w:color w:val="15272F" w:themeColor="text2"/>
          <w:sz w:val="22"/>
          <w:szCs w:val="20"/>
        </w:rPr>
        <w:t xml:space="preserve">2: IHACPA, with the </w:t>
      </w:r>
      <w:r w:rsidRPr="00031D59">
        <w:rPr>
          <w:bCs/>
          <w:color w:val="15272F" w:themeColor="text2"/>
          <w:sz w:val="22"/>
          <w:szCs w:val="20"/>
        </w:rPr>
        <w:t>NHCDC Advisory Committee</w:t>
      </w:r>
      <w:r>
        <w:rPr>
          <w:bCs/>
          <w:color w:val="15272F" w:themeColor="text2"/>
          <w:sz w:val="22"/>
          <w:szCs w:val="20"/>
        </w:rPr>
        <w:t>,</w:t>
      </w:r>
      <w:r w:rsidRPr="00031D59">
        <w:rPr>
          <w:bCs/>
          <w:color w:val="15272F" w:themeColor="text2"/>
          <w:sz w:val="22"/>
          <w:szCs w:val="20"/>
        </w:rPr>
        <w:t xml:space="preserve"> to develop a work plan that investigates the cost variations across the jurisdictions through selected focus areas.</w:t>
      </w:r>
    </w:p>
    <w:p w14:paraId="6E5F7629" w14:textId="59E88F57" w:rsidR="002958AE" w:rsidRDefault="00714118" w:rsidP="00966201">
      <w:r>
        <w:t>Most</w:t>
      </w:r>
      <w:r w:rsidR="002958AE">
        <w:t xml:space="preserve"> states and territories </w:t>
      </w:r>
      <w:r w:rsidR="00C01FCB">
        <w:t xml:space="preserve">derived significant value from the deep-dive aspects of the IFR process that involved focus on the </w:t>
      </w:r>
      <w:r w:rsidR="001527E3">
        <w:t>costing</w:t>
      </w:r>
      <w:r w:rsidR="00C01FCB">
        <w:t xml:space="preserve"> methodology and approach</w:t>
      </w:r>
      <w:r w:rsidR="001527E3">
        <w:t xml:space="preserve">es </w:t>
      </w:r>
      <w:r w:rsidR="00C01FCB">
        <w:t>to specific areas of costing. This was seen to prove instructive for costing representatives</w:t>
      </w:r>
      <w:r w:rsidR="001527E3">
        <w:t xml:space="preserve"> and facilitate an understanding of cost variation nationally.</w:t>
      </w:r>
    </w:p>
    <w:p w14:paraId="70BE6CFD" w14:textId="5C86AB43" w:rsidR="000517BC" w:rsidRDefault="000517BC" w:rsidP="00966201">
      <w:r>
        <w:t xml:space="preserve">Northern Territory considered that </w:t>
      </w:r>
      <w:r w:rsidR="00AB7BE8">
        <w:t>significant value could be derived from understanding variations in the application of the Standards across jurisdictions</w:t>
      </w:r>
      <w:r w:rsidR="007A2A67">
        <w:t xml:space="preserve">. </w:t>
      </w:r>
      <w:r w:rsidR="00F46126">
        <w:t>Increased tr</w:t>
      </w:r>
      <w:r w:rsidR="000F4236">
        <w:t xml:space="preserve">ansparency </w:t>
      </w:r>
      <w:r w:rsidR="00F46126">
        <w:t>of</w:t>
      </w:r>
      <w:r w:rsidR="000F4236">
        <w:t xml:space="preserve"> the costing process and results among ju</w:t>
      </w:r>
      <w:r w:rsidR="001A4F2E">
        <w:t>risdictions</w:t>
      </w:r>
      <w:r w:rsidR="00F46126">
        <w:t xml:space="preserve"> would be seen to </w:t>
      </w:r>
      <w:r w:rsidR="001A4F2E">
        <w:t xml:space="preserve">provide valuable insights on specific methodological issues (such as </w:t>
      </w:r>
      <w:r w:rsidR="002A6135">
        <w:t>the selection of cost centres and line items</w:t>
      </w:r>
      <w:r w:rsidR="000D2236">
        <w:t>)</w:t>
      </w:r>
      <w:r w:rsidR="00F46126">
        <w:t xml:space="preserve">, </w:t>
      </w:r>
      <w:r w:rsidR="00EC35C4">
        <w:t>improve standardisation of the scope of cost inclusions and exclusions, and ensure costing discrepancies are identified and actioned appropriately.</w:t>
      </w:r>
    </w:p>
    <w:p w14:paraId="7E8B8DE5" w14:textId="75B2FFCA" w:rsidR="00896ADE" w:rsidRDefault="00896ADE" w:rsidP="00966201">
      <w:r>
        <w:t xml:space="preserve">Victoria </w:t>
      </w:r>
      <w:r w:rsidR="00385ED6">
        <w:t>indicates</w:t>
      </w:r>
      <w:r w:rsidR="000A45E5">
        <w:t xml:space="preserve"> that significant value </w:t>
      </w:r>
      <w:r w:rsidR="00CB0774">
        <w:t xml:space="preserve">was </w:t>
      </w:r>
      <w:r w:rsidR="000A45E5">
        <w:t xml:space="preserve">derived </w:t>
      </w:r>
      <w:r w:rsidR="00CB0774">
        <w:t xml:space="preserve">by participants </w:t>
      </w:r>
      <w:r w:rsidR="000A45E5">
        <w:t xml:space="preserve">from the deep-dive aspects of the </w:t>
      </w:r>
      <w:r w:rsidR="00385ED6">
        <w:t>IFR process</w:t>
      </w:r>
      <w:r w:rsidR="003F1D71">
        <w:t xml:space="preserve"> and supports the inclusion of a similar piece of work in future iterations of a quality assurance process. </w:t>
      </w:r>
      <w:r w:rsidR="00CB0774">
        <w:t xml:space="preserve">They recommend this include a </w:t>
      </w:r>
      <w:r w:rsidR="00A17643">
        <w:t xml:space="preserve">detailed review of costing stages </w:t>
      </w:r>
      <w:r w:rsidR="00CB0774">
        <w:t>in the context of a</w:t>
      </w:r>
      <w:r w:rsidR="00A17643">
        <w:t xml:space="preserve"> focus area</w:t>
      </w:r>
      <w:r w:rsidR="00CB0774">
        <w:t xml:space="preserve"> or areas</w:t>
      </w:r>
      <w:r w:rsidR="007178BA">
        <w:t>. F</w:t>
      </w:r>
      <w:r w:rsidR="00A17643">
        <w:t>or example</w:t>
      </w:r>
      <w:r w:rsidR="00C76EF3">
        <w:t xml:space="preserve">, reviewing </w:t>
      </w:r>
      <w:r w:rsidR="00A17643">
        <w:t>a specific intermediate product</w:t>
      </w:r>
      <w:r w:rsidR="00C76EF3">
        <w:t xml:space="preserve"> and analysing how jurisdictions</w:t>
      </w:r>
      <w:r w:rsidR="00326979">
        <w:t xml:space="preserve"> cost that product</w:t>
      </w:r>
      <w:r w:rsidR="00412EDB">
        <w:t>.</w:t>
      </w:r>
      <w:r w:rsidR="004A55FF">
        <w:t xml:space="preserve"> </w:t>
      </w:r>
      <w:r w:rsidR="00C023B9">
        <w:t xml:space="preserve">Feedback from New South Wales supported this </w:t>
      </w:r>
      <w:r w:rsidR="00E15891">
        <w:t>position.</w:t>
      </w:r>
    </w:p>
    <w:p w14:paraId="216A4620" w14:textId="43BAA9E5" w:rsidR="00977735" w:rsidRDefault="00977735" w:rsidP="00966201">
      <w:r>
        <w:lastRenderedPageBreak/>
        <w:t xml:space="preserve">Queensland supported </w:t>
      </w:r>
      <w:r w:rsidR="00326979">
        <w:t xml:space="preserve">the </w:t>
      </w:r>
      <w:r w:rsidR="00276D3B">
        <w:t xml:space="preserve">continuation of existing IFR processes relating to </w:t>
      </w:r>
      <w:r w:rsidR="002550C8">
        <w:t xml:space="preserve">the </w:t>
      </w:r>
      <w:r w:rsidR="00276D3B">
        <w:t>review and analysis of costing variations across jurisdictions</w:t>
      </w:r>
      <w:r w:rsidR="00631F58">
        <w:t xml:space="preserve">. They considered that the </w:t>
      </w:r>
      <w:r w:rsidR="000E208D">
        <w:t>knowledge established through this process could be incorporated into future iterations of</w:t>
      </w:r>
      <w:r w:rsidR="002365B4">
        <w:t xml:space="preserve"> the Standards </w:t>
      </w:r>
      <w:r w:rsidR="002550C8">
        <w:t>to improve costing</w:t>
      </w:r>
      <w:r w:rsidR="00714118">
        <w:t>.</w:t>
      </w:r>
    </w:p>
    <w:p w14:paraId="2ACCB507" w14:textId="1AE392D2" w:rsidR="009056C4" w:rsidRDefault="00DE6A98" w:rsidP="00966201">
      <w:r>
        <w:t>South Australia supports the retention of</w:t>
      </w:r>
      <w:r w:rsidRPr="00DE6A98">
        <w:t xml:space="preserve"> deep-dives and peer review </w:t>
      </w:r>
      <w:r>
        <w:t>to facilitate inter-</w:t>
      </w:r>
      <w:r w:rsidR="00C06959">
        <w:t>jurisdictional</w:t>
      </w:r>
      <w:r>
        <w:t xml:space="preserve"> sharing of </w:t>
      </w:r>
      <w:r w:rsidR="00C06959">
        <w:t>costing methodologies and the development of an understanding of costing variations nationally.</w:t>
      </w:r>
      <w:r w:rsidR="00D24E94">
        <w:t xml:space="preserve"> Western Australia provided similar feedback, with a preference for </w:t>
      </w:r>
      <w:r w:rsidR="00A6011B">
        <w:t>focus on variation in the approach to costing allocations</w:t>
      </w:r>
      <w:r w:rsidR="00172D86">
        <w:t xml:space="preserve"> as well as the provision of jurisdictional benchmarks to improve transparency </w:t>
      </w:r>
      <w:r w:rsidR="00372344">
        <w:t>in costing and outputs.</w:t>
      </w:r>
      <w:r w:rsidR="001842CD">
        <w:t xml:space="preserve"> In combination with this, Western Australia supported </w:t>
      </w:r>
      <w:r w:rsidR="002550C8">
        <w:t xml:space="preserve">the </w:t>
      </w:r>
      <w:r w:rsidR="001842CD">
        <w:t xml:space="preserve">inclusion of a broader, more representative sample as the basis for future </w:t>
      </w:r>
      <w:r w:rsidR="00B23581">
        <w:t>analysis.</w:t>
      </w:r>
    </w:p>
    <w:p w14:paraId="48DD11FB" w14:textId="77777777" w:rsidR="00F84762" w:rsidRPr="008C27B0" w:rsidRDefault="00F84762" w:rsidP="00DC12F9">
      <w:pPr>
        <w:pStyle w:val="Heading2"/>
        <w:numPr>
          <w:ilvl w:val="0"/>
          <w:numId w:val="0"/>
        </w:numPr>
        <w:spacing w:before="240"/>
        <w:rPr>
          <w:color w:val="15272F" w:themeColor="text2"/>
          <w:sz w:val="18"/>
          <w:szCs w:val="18"/>
        </w:rPr>
      </w:pPr>
      <w:r w:rsidRPr="00031D59">
        <w:rPr>
          <w:color w:val="15272F" w:themeColor="text2"/>
          <w:sz w:val="22"/>
          <w:szCs w:val="20"/>
        </w:rPr>
        <w:t xml:space="preserve">Recommendation </w:t>
      </w:r>
      <w:r>
        <w:rPr>
          <w:color w:val="15272F" w:themeColor="text2"/>
          <w:sz w:val="22"/>
          <w:szCs w:val="20"/>
        </w:rPr>
        <w:t>3:</w:t>
      </w:r>
      <w:r>
        <w:rPr>
          <w:bCs/>
          <w:color w:val="15272F" w:themeColor="text2"/>
          <w:sz w:val="22"/>
          <w:szCs w:val="20"/>
        </w:rPr>
        <w:t xml:space="preserve"> </w:t>
      </w:r>
      <w:r w:rsidRPr="00031D59">
        <w:rPr>
          <w:bCs/>
          <w:color w:val="15272F" w:themeColor="text2"/>
          <w:sz w:val="22"/>
          <w:szCs w:val="20"/>
        </w:rPr>
        <w:t>IHACPA to develop an NHCDC Data Quality Framework to improve the cost and activity data collections in consultation with the states and territories.</w:t>
      </w:r>
    </w:p>
    <w:p w14:paraId="435C9635" w14:textId="4BACC033" w:rsidR="005F2432" w:rsidRDefault="00714118" w:rsidP="00966201">
      <w:r>
        <w:t>States</w:t>
      </w:r>
      <w:r w:rsidR="00FC42CF">
        <w:t xml:space="preserve"> and territories considered that IHACPA was positi</w:t>
      </w:r>
      <w:r w:rsidR="00523CB3">
        <w:t xml:space="preserve">oned to provide </w:t>
      </w:r>
      <w:r w:rsidR="00CC6CBC">
        <w:t xml:space="preserve">rules and guidance on quality assurance and review processes. </w:t>
      </w:r>
      <w:r w:rsidR="0046265B">
        <w:t xml:space="preserve">As an independent authority administering the NHCDC, this function can be seen to fall within the scope of similar functions already undertaken by IHACPA. </w:t>
      </w:r>
    </w:p>
    <w:p w14:paraId="329FB354" w14:textId="2555D38F" w:rsidR="005F2432" w:rsidRDefault="00CA69D5" w:rsidP="00966201">
      <w:r>
        <w:t xml:space="preserve">Western Australia supports the development of a template and </w:t>
      </w:r>
      <w:r w:rsidR="00154003">
        <w:t>guidelines</w:t>
      </w:r>
      <w:r>
        <w:t xml:space="preserve"> to facilitate </w:t>
      </w:r>
      <w:r w:rsidR="00154003">
        <w:t>improved costing submissions</w:t>
      </w:r>
      <w:r w:rsidR="00997C29">
        <w:t xml:space="preserve">. It is considered that this could be paired with provision of a data quality framework </w:t>
      </w:r>
      <w:r w:rsidR="004A64B6">
        <w:t xml:space="preserve">that </w:t>
      </w:r>
      <w:r w:rsidR="002550C8">
        <w:t xml:space="preserve">defines </w:t>
      </w:r>
      <w:r w:rsidR="00686DB8">
        <w:t>quality NHCDC data and outlines key performance indicators to measure the quality of the data received by IHACPA</w:t>
      </w:r>
      <w:r w:rsidR="0042145A">
        <w:t>.</w:t>
      </w:r>
      <w:r w:rsidR="00686DB8">
        <w:t xml:space="preserve"> The key performance indicators are recommended to be both qualitative and quantitative measures to allow for a wholistic </w:t>
      </w:r>
      <w:r w:rsidR="00F66CC0">
        <w:t>assessment of the quality of the data received</w:t>
      </w:r>
      <w:r w:rsidR="0016633B">
        <w:t>.</w:t>
      </w:r>
    </w:p>
    <w:p w14:paraId="2EAD09EE" w14:textId="2B4D7E65" w:rsidR="00BA4BF1" w:rsidRDefault="00D443B2" w:rsidP="00966201">
      <w:r>
        <w:t>Victoria</w:t>
      </w:r>
      <w:r w:rsidR="00BA4BF1">
        <w:t xml:space="preserve"> </w:t>
      </w:r>
      <w:r w:rsidR="00860D7F">
        <w:t>support</w:t>
      </w:r>
      <w:r w:rsidR="00EA3D20">
        <w:t>s</w:t>
      </w:r>
      <w:r w:rsidR="00860D7F">
        <w:t xml:space="preserve"> a future IFR process that focuses on enhanced data quality, </w:t>
      </w:r>
      <w:r w:rsidR="00B05BD2">
        <w:t>reconciliation,</w:t>
      </w:r>
      <w:r w:rsidR="00860D7F">
        <w:t xml:space="preserve"> and consistent cost allocation.</w:t>
      </w:r>
      <w:r w:rsidR="003B290D">
        <w:t xml:space="preserve"> They see IHACPA as maintain</w:t>
      </w:r>
      <w:r w:rsidR="0016633B">
        <w:t>ing</w:t>
      </w:r>
      <w:r w:rsidR="003B290D">
        <w:t xml:space="preserve"> a role in the development and assessment of quantitative checks for cost data and establishing clear criteria dictating inclusions and exclusions.</w:t>
      </w:r>
    </w:p>
    <w:p w14:paraId="573A3E99" w14:textId="56F6B33E" w:rsidR="00A03BB1" w:rsidRDefault="00A03BB1" w:rsidP="00966201">
      <w:r>
        <w:t xml:space="preserve">South Australia </w:t>
      </w:r>
      <w:r w:rsidR="00B868D6">
        <w:t xml:space="preserve">considers that </w:t>
      </w:r>
      <w:r w:rsidR="00141B65">
        <w:t xml:space="preserve">the IHACPA, from its position as a centralised and independent body, would be well positioned to provide supporting guidance and documentation on the internal processes </w:t>
      </w:r>
      <w:r w:rsidRPr="00A03BB1">
        <w:t>undertaken to transform the submitted cost data to the final published data.</w:t>
      </w:r>
      <w:r w:rsidR="00714AA0">
        <w:t xml:space="preserve"> This could include </w:t>
      </w:r>
      <w:r w:rsidR="002125C0">
        <w:t>the establishment of a forum for</w:t>
      </w:r>
      <w:r w:rsidR="00705E88" w:rsidRPr="00705E88">
        <w:t xml:space="preserve"> sharing ideas and development of state-wide documentation to help align methodologies and addressing</w:t>
      </w:r>
      <w:r w:rsidR="00705E88">
        <w:t xml:space="preserve"> cost variations</w:t>
      </w:r>
      <w:r w:rsidR="00705E88" w:rsidRPr="00705E88">
        <w:t>.</w:t>
      </w:r>
    </w:p>
    <w:p w14:paraId="44B6CA9A" w14:textId="68DE8B8C" w:rsidR="0002470B" w:rsidRDefault="0016633B" w:rsidP="00D35B4F">
      <w:r>
        <w:t>Western Australia advised that there is a lack of clear definitions and measures to determine the quality of the NHCDC</w:t>
      </w:r>
      <w:r w:rsidR="009A1F6D">
        <w:t>. The result is it is</w:t>
      </w:r>
      <w:r>
        <w:t xml:space="preserve"> difficult to determine whether the data quality has improved over time.</w:t>
      </w:r>
    </w:p>
    <w:p w14:paraId="33676DF4" w14:textId="09B6F829" w:rsidR="004214AA" w:rsidRDefault="0002470B" w:rsidP="00E14BFC">
      <w:pPr>
        <w:spacing w:before="40" w:after="40"/>
        <w:rPr>
          <w:b/>
          <w:bCs/>
          <w:color w:val="FFFFFF" w:themeColor="background2"/>
          <w:sz w:val="20"/>
          <w:szCs w:val="20"/>
        </w:rPr>
      </w:pPr>
      <w:r>
        <w:t>Queensland considered that a review and reconciliation process should focus on enhancing data quality and ensure consistent costing allocations across jurisdictions. To this end, Queensland suggested that IHACPA be responsible for the development of quantitative checks for the cost data and establish clear criteria for the inclusion and exclusion of cost data.</w:t>
      </w:r>
    </w:p>
    <w:p w14:paraId="4E1B464D" w14:textId="77777777" w:rsidR="004214AA" w:rsidRDefault="004214AA" w:rsidP="00BE1B62">
      <w:pPr>
        <w:spacing w:before="40" w:after="40"/>
        <w:jc w:val="center"/>
        <w:rPr>
          <w:b/>
          <w:bCs/>
          <w:color w:val="FFFFFF" w:themeColor="background2"/>
          <w:sz w:val="20"/>
          <w:szCs w:val="20"/>
        </w:rPr>
        <w:sectPr w:rsidR="004214AA" w:rsidSect="00134C06">
          <w:pgSz w:w="11906" w:h="16838" w:code="9"/>
          <w:pgMar w:top="1440" w:right="1080" w:bottom="1440" w:left="1080" w:header="708" w:footer="708" w:gutter="0"/>
          <w:cols w:space="708"/>
          <w:docGrid w:linePitch="360"/>
        </w:sectPr>
      </w:pPr>
    </w:p>
    <w:p w14:paraId="41AFFB62" w14:textId="77777777" w:rsidR="00502A09" w:rsidRPr="00E96C8D" w:rsidRDefault="00502A09" w:rsidP="00502A09">
      <w:pPr>
        <w:spacing w:after="360"/>
        <w:rPr>
          <w:color w:val="FFFFFF" w:themeColor="background2"/>
        </w:rPr>
      </w:pPr>
      <w:r w:rsidRPr="00E96C8D">
        <w:rPr>
          <w:noProof/>
          <w:color w:val="FFFFFF" w:themeColor="background2"/>
        </w:rPr>
        <w:lastRenderedPageBreak/>
        <w:drawing>
          <wp:inline distT="0" distB="0" distL="0" distR="0" wp14:anchorId="453D85E8" wp14:editId="6446EB99">
            <wp:extent cx="1764880" cy="396484"/>
            <wp:effectExtent l="0" t="0" r="6985" b="3810"/>
            <wp:docPr id="108" name="Graphic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bwMode="auto">
                    <a:xfrm>
                      <a:off x="0" y="0"/>
                      <a:ext cx="1764880" cy="396484"/>
                    </a:xfrm>
                    <a:prstGeom prst="rect">
                      <a:avLst/>
                    </a:prstGeom>
                  </pic:spPr>
                </pic:pic>
              </a:graphicData>
            </a:graphic>
          </wp:inline>
        </w:drawing>
      </w:r>
    </w:p>
    <w:p w14:paraId="174BBE8D" w14:textId="77777777" w:rsidR="00502A09" w:rsidRPr="00E96C8D" w:rsidRDefault="00502A09" w:rsidP="00502A09">
      <w:pPr>
        <w:spacing w:after="360"/>
      </w:pPr>
      <w:r w:rsidRPr="00E96C8D">
        <w:t>Independent Health and Aged Care Pricing Authority</w:t>
      </w:r>
    </w:p>
    <w:p w14:paraId="4FD9DE38" w14:textId="77777777" w:rsidR="00502A09" w:rsidRPr="00E96C8D" w:rsidRDefault="00335758" w:rsidP="00502A09">
      <w:pPr>
        <w:spacing w:after="360"/>
        <w:rPr>
          <w:color w:val="104F99" w:themeColor="accent2"/>
        </w:rPr>
      </w:pPr>
      <w:r w:rsidRPr="00E96C8D">
        <w:rPr>
          <w:color w:val="104F99" w:themeColor="accent2"/>
        </w:rPr>
        <w:t xml:space="preserve">Eora Nation, </w:t>
      </w:r>
      <w:r w:rsidR="00502A09" w:rsidRPr="00E96C8D">
        <w:rPr>
          <w:color w:val="104F99" w:themeColor="accent2"/>
        </w:rPr>
        <w:t xml:space="preserve">Level </w:t>
      </w:r>
      <w:r w:rsidR="00B64398" w:rsidRPr="00E96C8D">
        <w:rPr>
          <w:color w:val="104F99" w:themeColor="accent2"/>
        </w:rPr>
        <w:t>12</w:t>
      </w:r>
      <w:r w:rsidR="00502A09" w:rsidRPr="00E96C8D">
        <w:rPr>
          <w:color w:val="104F99" w:themeColor="accent2"/>
        </w:rPr>
        <w:t>, 1 Oxford Street</w:t>
      </w:r>
      <w:r w:rsidR="00502A09" w:rsidRPr="00E96C8D">
        <w:rPr>
          <w:color w:val="104F99" w:themeColor="accent2"/>
        </w:rPr>
        <w:br/>
        <w:t>Sydney NSW 2000</w:t>
      </w:r>
    </w:p>
    <w:p w14:paraId="742EF09E" w14:textId="25CF3A4D" w:rsidR="00502A09" w:rsidRPr="00E96C8D" w:rsidRDefault="00502A09" w:rsidP="00502A09">
      <w:pPr>
        <w:spacing w:after="360"/>
      </w:pPr>
      <w:r w:rsidRPr="00E96C8D">
        <w:t xml:space="preserve">Phone </w:t>
      </w:r>
      <w:r w:rsidRPr="00E96C8D">
        <w:rPr>
          <w:color w:val="104F99" w:themeColor="accent2"/>
        </w:rPr>
        <w:t>02 8215 1100</w:t>
      </w:r>
      <w:r w:rsidRPr="00E96C8D">
        <w:br/>
        <w:t xml:space="preserve">Email </w:t>
      </w:r>
      <w:hyperlink r:id="rId20" w:history="1">
        <w:r w:rsidR="00DF2CB4" w:rsidRPr="00E96C8D">
          <w:rPr>
            <w:rStyle w:val="Hyperlink"/>
          </w:rPr>
          <w:t>enquiries.ihacpa@ihacpa.gov.au</w:t>
        </w:r>
      </w:hyperlink>
      <w:r w:rsidRPr="00E96C8D">
        <w:br/>
        <w:t xml:space="preserve">Twitter </w:t>
      </w:r>
      <w:hyperlink r:id="rId21" w:history="1">
        <w:r w:rsidRPr="00E96C8D">
          <w:rPr>
            <w:rStyle w:val="Hyperlink"/>
          </w:rPr>
          <w:t>@IH</w:t>
        </w:r>
        <w:r w:rsidR="00B64398" w:rsidRPr="00E96C8D">
          <w:rPr>
            <w:rStyle w:val="Hyperlink"/>
          </w:rPr>
          <w:t>AC</w:t>
        </w:r>
        <w:r w:rsidRPr="00E96C8D">
          <w:rPr>
            <w:rStyle w:val="Hyperlink"/>
          </w:rPr>
          <w:t>PA</w:t>
        </w:r>
      </w:hyperlink>
    </w:p>
    <w:p w14:paraId="47D1DB47" w14:textId="011EADD5" w:rsidR="00502A09" w:rsidRPr="00E96C8D" w:rsidRDefault="00000000" w:rsidP="00502A09">
      <w:pPr>
        <w:spacing w:after="360"/>
        <w:rPr>
          <w:color w:val="104F99" w:themeColor="accent2"/>
        </w:rPr>
      </w:pPr>
      <w:hyperlink r:id="rId22" w:history="1">
        <w:r w:rsidR="00502A09" w:rsidRPr="00E96C8D">
          <w:rPr>
            <w:rStyle w:val="Hyperlink"/>
          </w:rPr>
          <w:t>www.ih</w:t>
        </w:r>
        <w:r w:rsidR="00B64398" w:rsidRPr="00E96C8D">
          <w:rPr>
            <w:rStyle w:val="Hyperlink"/>
          </w:rPr>
          <w:t>ac</w:t>
        </w:r>
        <w:r w:rsidR="00502A09" w:rsidRPr="00E96C8D">
          <w:rPr>
            <w:rStyle w:val="Hyperlink"/>
          </w:rPr>
          <w:t>pa.gov.au</w:t>
        </w:r>
      </w:hyperlink>
    </w:p>
    <w:p w14:paraId="58D612A0" w14:textId="77777777" w:rsidR="00502A09" w:rsidRPr="00E96C8D" w:rsidRDefault="00502A09" w:rsidP="00F95700">
      <w:pPr>
        <w:spacing w:after="360"/>
        <w:rPr>
          <w:color w:val="104F99" w:themeColor="accent2"/>
        </w:rPr>
      </w:pPr>
    </w:p>
    <w:sectPr w:rsidR="00502A09" w:rsidRPr="00E96C8D" w:rsidSect="00134C06">
      <w:headerReference w:type="even" r:id="rId23"/>
      <w:headerReference w:type="default" r:id="rId24"/>
      <w:headerReference w:type="first" r:id="rId25"/>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A5CD" w14:textId="77777777" w:rsidR="002F4CE7" w:rsidRDefault="002F4CE7" w:rsidP="00DC0458">
      <w:pPr>
        <w:spacing w:after="0" w:line="240" w:lineRule="auto"/>
      </w:pPr>
      <w:r>
        <w:separator/>
      </w:r>
    </w:p>
  </w:endnote>
  <w:endnote w:type="continuationSeparator" w:id="0">
    <w:p w14:paraId="118CE115" w14:textId="77777777" w:rsidR="002F4CE7" w:rsidRDefault="002F4CE7" w:rsidP="00DC0458">
      <w:pPr>
        <w:spacing w:after="0" w:line="240" w:lineRule="auto"/>
      </w:pPr>
      <w:r>
        <w:continuationSeparator/>
      </w:r>
    </w:p>
  </w:endnote>
  <w:endnote w:type="continuationNotice" w:id="1">
    <w:p w14:paraId="73749376" w14:textId="77777777" w:rsidR="002F4CE7" w:rsidRDefault="002F4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regular">
    <w:altName w:val="Calibri"/>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Josefin Sans Bold">
    <w:charset w:val="00"/>
    <w:family w:val="auto"/>
    <w:pitch w:val="variable"/>
    <w:sig w:usb0="A00000FF" w:usb1="4000204B"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621F" w14:textId="65C6B6D5" w:rsidR="00D60A37" w:rsidRDefault="00D60A37">
    <w:pPr>
      <w:pStyle w:val="Footer"/>
    </w:pPr>
    <w:r>
      <w:rPr>
        <w:noProof/>
      </w:rPr>
      <w:drawing>
        <wp:anchor distT="0" distB="0" distL="114300" distR="114300" simplePos="0" relativeHeight="251658241" behindDoc="0" locked="0" layoutInCell="1" allowOverlap="1" wp14:anchorId="1B670137" wp14:editId="59A6581F">
          <wp:simplePos x="0" y="0"/>
          <wp:positionH relativeFrom="column">
            <wp:posOffset>5192123</wp:posOffset>
          </wp:positionH>
          <wp:positionV relativeFrom="paragraph">
            <wp:posOffset>-464185</wp:posOffset>
          </wp:positionV>
          <wp:extent cx="1166300" cy="730445"/>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166300" cy="730445"/>
                  </a:xfrm>
                  <a:prstGeom prst="rect">
                    <a:avLst/>
                  </a:prstGeom>
                </pic:spPr>
              </pic:pic>
            </a:graphicData>
          </a:graphic>
          <wp14:sizeRelH relativeFrom="margin">
            <wp14:pctWidth>0</wp14:pctWidth>
          </wp14:sizeRelH>
          <wp14:sizeRelV relativeFrom="margin">
            <wp14:pctHeight>0</wp14:pctHeight>
          </wp14:sizeRelV>
        </wp:anchor>
      </w:drawing>
    </w:r>
    <w:r w:rsidR="00D84D47">
      <w:rPr>
        <w:noProof/>
      </w:rPr>
      <w:t>Ju</w:t>
    </w:r>
    <w:r w:rsidR="009B6AE2">
      <w:rPr>
        <w:noProof/>
      </w:rPr>
      <w:t>ly</w:t>
    </w:r>
    <w:r w:rsidR="008F1D2A">
      <w:t xml:space="preserve"> </w:t>
    </w:r>
    <w:r w:rsidR="00E96C8D">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FC64" w14:textId="07B21DFA" w:rsidR="001F2735" w:rsidRDefault="001F2735" w:rsidP="00E24D0E">
    <w:pPr>
      <w:pStyle w:val="Footer"/>
      <w:tabs>
        <w:tab w:val="clear" w:pos="4680"/>
        <w:tab w:val="clear" w:pos="9360"/>
        <w:tab w:val="center" w:pos="9498"/>
        <w:tab w:val="right" w:pos="9746"/>
      </w:tabs>
    </w:pPr>
    <w:r w:rsidRPr="00D20B03">
      <w:rPr>
        <w:b/>
        <w:bCs/>
      </w:rPr>
      <w:t>IHACPA</w:t>
    </w:r>
    <w:r>
      <w:t xml:space="preserve"> </w:t>
    </w:r>
    <w:r w:rsidR="00E96C8D" w:rsidRPr="007A3055">
      <w:t xml:space="preserve">NHCDC </w:t>
    </w:r>
    <w:r w:rsidR="007A3055" w:rsidRPr="007A3055">
      <w:t xml:space="preserve">Public Sector Review </w:t>
    </w:r>
    <w:r w:rsidR="00E96C8D" w:rsidRPr="007A3055">
      <w:t>2021-2</w:t>
    </w:r>
    <w:r w:rsidR="00E96C8D">
      <w:t>2</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672E" w14:textId="77777777" w:rsidR="002F4CE7" w:rsidRDefault="002F4CE7" w:rsidP="00DC0458">
      <w:pPr>
        <w:spacing w:after="0" w:line="240" w:lineRule="auto"/>
      </w:pPr>
      <w:r>
        <w:separator/>
      </w:r>
    </w:p>
  </w:footnote>
  <w:footnote w:type="continuationSeparator" w:id="0">
    <w:p w14:paraId="32DF5312" w14:textId="77777777" w:rsidR="002F4CE7" w:rsidRDefault="002F4CE7" w:rsidP="00DC0458">
      <w:pPr>
        <w:spacing w:after="0" w:line="240" w:lineRule="auto"/>
      </w:pPr>
      <w:r>
        <w:continuationSeparator/>
      </w:r>
    </w:p>
  </w:footnote>
  <w:footnote w:type="continuationNotice" w:id="1">
    <w:p w14:paraId="7B8D5FE7" w14:textId="77777777" w:rsidR="002F4CE7" w:rsidRDefault="002F4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D457" w14:textId="21220221" w:rsidR="00257DF2" w:rsidRDefault="001F2735">
    <w:pPr>
      <w:pStyle w:val="Header"/>
    </w:pPr>
    <w:r>
      <w:rPr>
        <w:noProof/>
      </w:rPr>
      <w:drawing>
        <wp:anchor distT="0" distB="0" distL="114300" distR="114300" simplePos="0" relativeHeight="251658240" behindDoc="1" locked="0" layoutInCell="1" allowOverlap="1" wp14:anchorId="1EA533D2" wp14:editId="42C1AF18">
          <wp:simplePos x="0" y="0"/>
          <wp:positionH relativeFrom="margin">
            <wp:posOffset>-685800</wp:posOffset>
          </wp:positionH>
          <wp:positionV relativeFrom="paragraph">
            <wp:posOffset>-451738</wp:posOffset>
          </wp:positionV>
          <wp:extent cx="7573925" cy="10712174"/>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ECC0" w14:textId="2EC84C29" w:rsidR="004468E2" w:rsidRDefault="00446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954B" w14:textId="551E7F29" w:rsidR="001F2735" w:rsidRPr="00BF5001" w:rsidRDefault="001F2735" w:rsidP="00BF50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051F" w14:textId="30B870B3" w:rsidR="004468E2" w:rsidRDefault="004468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265C" w14:textId="5C249EB8" w:rsidR="004468E2" w:rsidRDefault="004468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BAF9" w14:textId="03E9D6A8" w:rsidR="00502A09" w:rsidRDefault="00502A09">
    <w:pPr>
      <w:pStyle w:val="Header"/>
    </w:pPr>
    <w:r>
      <w:rPr>
        <w:noProof/>
      </w:rPr>
      <w:drawing>
        <wp:anchor distT="0" distB="0" distL="114300" distR="114300" simplePos="0" relativeHeight="251658242" behindDoc="1" locked="0" layoutInCell="1" allowOverlap="1" wp14:anchorId="5130DB16" wp14:editId="5A51B6EE">
          <wp:simplePos x="0" y="0"/>
          <wp:positionH relativeFrom="column">
            <wp:posOffset>-684722</wp:posOffset>
          </wp:positionH>
          <wp:positionV relativeFrom="paragraph">
            <wp:posOffset>-449580</wp:posOffset>
          </wp:positionV>
          <wp:extent cx="7565082" cy="1069966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082"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6F59" w14:textId="0E011F90" w:rsidR="004468E2" w:rsidRDefault="00446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A15"/>
    <w:multiLevelType w:val="hybridMultilevel"/>
    <w:tmpl w:val="CA5CA7E4"/>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92089B"/>
    <w:multiLevelType w:val="hybridMultilevel"/>
    <w:tmpl w:val="30FC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750C2C"/>
    <w:multiLevelType w:val="hybridMultilevel"/>
    <w:tmpl w:val="DD84A6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1D451B8"/>
    <w:multiLevelType w:val="hybridMultilevel"/>
    <w:tmpl w:val="9FE21B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063568"/>
    <w:multiLevelType w:val="hybridMultilevel"/>
    <w:tmpl w:val="75907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7A79DE"/>
    <w:multiLevelType w:val="hybridMultilevel"/>
    <w:tmpl w:val="0C963B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A140C2"/>
    <w:multiLevelType w:val="hybridMultilevel"/>
    <w:tmpl w:val="E32A77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1F6418"/>
    <w:multiLevelType w:val="hybridMultilevel"/>
    <w:tmpl w:val="6D305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E75B99"/>
    <w:multiLevelType w:val="hybridMultilevel"/>
    <w:tmpl w:val="1A64B5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124650"/>
    <w:multiLevelType w:val="hybridMultilevel"/>
    <w:tmpl w:val="7590700A"/>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AB45A7"/>
    <w:multiLevelType w:val="hybridMultilevel"/>
    <w:tmpl w:val="C658B5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096009"/>
    <w:multiLevelType w:val="hybridMultilevel"/>
    <w:tmpl w:val="97343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632121"/>
    <w:multiLevelType w:val="hybridMultilevel"/>
    <w:tmpl w:val="30FC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9A26E1"/>
    <w:multiLevelType w:val="hybridMultilevel"/>
    <w:tmpl w:val="1804D91A"/>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DB76705"/>
    <w:multiLevelType w:val="hybridMultilevel"/>
    <w:tmpl w:val="E2C68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6C3307"/>
    <w:multiLevelType w:val="hybridMultilevel"/>
    <w:tmpl w:val="AB94D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70474E"/>
    <w:multiLevelType w:val="hybridMultilevel"/>
    <w:tmpl w:val="DD84A6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2AA3AAE"/>
    <w:multiLevelType w:val="hybridMultilevel"/>
    <w:tmpl w:val="75907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C0063E"/>
    <w:multiLevelType w:val="hybridMultilevel"/>
    <w:tmpl w:val="6D305A4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7A11F61"/>
    <w:multiLevelType w:val="hybridMultilevel"/>
    <w:tmpl w:val="30FC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725D26"/>
    <w:multiLevelType w:val="multilevel"/>
    <w:tmpl w:val="4844E5D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146"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1" w15:restartNumberingAfterBreak="0">
    <w:nsid w:val="1AEC0D66"/>
    <w:multiLevelType w:val="hybridMultilevel"/>
    <w:tmpl w:val="5CEC45D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2" w15:restartNumberingAfterBreak="0">
    <w:nsid w:val="1BCB6F60"/>
    <w:multiLevelType w:val="hybridMultilevel"/>
    <w:tmpl w:val="30FC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1F0967"/>
    <w:multiLevelType w:val="hybridMultilevel"/>
    <w:tmpl w:val="7C1252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7E177C"/>
    <w:multiLevelType w:val="multilevel"/>
    <w:tmpl w:val="47C821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CF3472"/>
    <w:multiLevelType w:val="hybridMultilevel"/>
    <w:tmpl w:val="4AEC93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250441BF"/>
    <w:multiLevelType w:val="hybridMultilevel"/>
    <w:tmpl w:val="7C1252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6F135F8"/>
    <w:multiLevelType w:val="hybridMultilevel"/>
    <w:tmpl w:val="61243A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8806E9E"/>
    <w:multiLevelType w:val="hybridMultilevel"/>
    <w:tmpl w:val="C658B5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9705A68"/>
    <w:multiLevelType w:val="hybridMultilevel"/>
    <w:tmpl w:val="C6EE1520"/>
    <w:lvl w:ilvl="0" w:tplc="9C52671E">
      <w:start w:val="1"/>
      <w:numFmt w:val="bullet"/>
      <w:lvlText w:val=""/>
      <w:lvlJc w:val="left"/>
      <w:pPr>
        <w:ind w:left="1440" w:hanging="360"/>
      </w:pPr>
      <w:rPr>
        <w:rFonts w:ascii="Symbol" w:hAnsi="Symbol"/>
      </w:rPr>
    </w:lvl>
    <w:lvl w:ilvl="1" w:tplc="EA74EB86">
      <w:start w:val="1"/>
      <w:numFmt w:val="bullet"/>
      <w:lvlText w:val=""/>
      <w:lvlJc w:val="left"/>
      <w:pPr>
        <w:ind w:left="2160" w:hanging="360"/>
      </w:pPr>
      <w:rPr>
        <w:rFonts w:ascii="Symbol" w:hAnsi="Symbol"/>
      </w:rPr>
    </w:lvl>
    <w:lvl w:ilvl="2" w:tplc="59E06CCE">
      <w:start w:val="1"/>
      <w:numFmt w:val="bullet"/>
      <w:lvlText w:val=""/>
      <w:lvlJc w:val="left"/>
      <w:pPr>
        <w:ind w:left="1440" w:hanging="360"/>
      </w:pPr>
      <w:rPr>
        <w:rFonts w:ascii="Symbol" w:hAnsi="Symbol"/>
      </w:rPr>
    </w:lvl>
    <w:lvl w:ilvl="3" w:tplc="B8E6FFA6">
      <w:start w:val="1"/>
      <w:numFmt w:val="bullet"/>
      <w:lvlText w:val=""/>
      <w:lvlJc w:val="left"/>
      <w:pPr>
        <w:ind w:left="1440" w:hanging="360"/>
      </w:pPr>
      <w:rPr>
        <w:rFonts w:ascii="Symbol" w:hAnsi="Symbol"/>
      </w:rPr>
    </w:lvl>
    <w:lvl w:ilvl="4" w:tplc="39D067C8">
      <w:start w:val="1"/>
      <w:numFmt w:val="bullet"/>
      <w:lvlText w:val=""/>
      <w:lvlJc w:val="left"/>
      <w:pPr>
        <w:ind w:left="1440" w:hanging="360"/>
      </w:pPr>
      <w:rPr>
        <w:rFonts w:ascii="Symbol" w:hAnsi="Symbol"/>
      </w:rPr>
    </w:lvl>
    <w:lvl w:ilvl="5" w:tplc="CFC40C78">
      <w:start w:val="1"/>
      <w:numFmt w:val="bullet"/>
      <w:lvlText w:val=""/>
      <w:lvlJc w:val="left"/>
      <w:pPr>
        <w:ind w:left="1440" w:hanging="360"/>
      </w:pPr>
      <w:rPr>
        <w:rFonts w:ascii="Symbol" w:hAnsi="Symbol"/>
      </w:rPr>
    </w:lvl>
    <w:lvl w:ilvl="6" w:tplc="AC4A0B60">
      <w:start w:val="1"/>
      <w:numFmt w:val="bullet"/>
      <w:lvlText w:val=""/>
      <w:lvlJc w:val="left"/>
      <w:pPr>
        <w:ind w:left="1440" w:hanging="360"/>
      </w:pPr>
      <w:rPr>
        <w:rFonts w:ascii="Symbol" w:hAnsi="Symbol"/>
      </w:rPr>
    </w:lvl>
    <w:lvl w:ilvl="7" w:tplc="E46EF04A">
      <w:start w:val="1"/>
      <w:numFmt w:val="bullet"/>
      <w:lvlText w:val=""/>
      <w:lvlJc w:val="left"/>
      <w:pPr>
        <w:ind w:left="1440" w:hanging="360"/>
      </w:pPr>
      <w:rPr>
        <w:rFonts w:ascii="Symbol" w:hAnsi="Symbol"/>
      </w:rPr>
    </w:lvl>
    <w:lvl w:ilvl="8" w:tplc="DD7CA0D6">
      <w:start w:val="1"/>
      <w:numFmt w:val="bullet"/>
      <w:lvlText w:val=""/>
      <w:lvlJc w:val="left"/>
      <w:pPr>
        <w:ind w:left="1440" w:hanging="360"/>
      </w:pPr>
      <w:rPr>
        <w:rFonts w:ascii="Symbol" w:hAnsi="Symbol"/>
      </w:rPr>
    </w:lvl>
  </w:abstractNum>
  <w:abstractNum w:abstractNumId="30" w15:restartNumberingAfterBreak="0">
    <w:nsid w:val="2AC806EC"/>
    <w:multiLevelType w:val="hybridMultilevel"/>
    <w:tmpl w:val="75DE66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B6921B2"/>
    <w:multiLevelType w:val="hybridMultilevel"/>
    <w:tmpl w:val="0BE469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E0710C4"/>
    <w:multiLevelType w:val="hybridMultilevel"/>
    <w:tmpl w:val="D63C3C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D71E69"/>
    <w:multiLevelType w:val="hybridMultilevel"/>
    <w:tmpl w:val="DD84A6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FC307B1"/>
    <w:multiLevelType w:val="hybridMultilevel"/>
    <w:tmpl w:val="BBA436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F149EC"/>
    <w:multiLevelType w:val="hybridMultilevel"/>
    <w:tmpl w:val="35D6A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F12C77"/>
    <w:multiLevelType w:val="hybridMultilevel"/>
    <w:tmpl w:val="7384F640"/>
    <w:lvl w:ilvl="0" w:tplc="F5A2FAF6">
      <w:numFmt w:val="bullet"/>
      <w:lvlText w:val="•"/>
      <w:lvlJc w:val="left"/>
      <w:pPr>
        <w:ind w:left="1080" w:hanging="720"/>
      </w:pPr>
      <w:rPr>
        <w:rFonts w:ascii="Arial" w:eastAsia="Fira Sans regular"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29214B"/>
    <w:multiLevelType w:val="hybridMultilevel"/>
    <w:tmpl w:val="C390E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61B78A4"/>
    <w:multiLevelType w:val="hybridMultilevel"/>
    <w:tmpl w:val="F4168956"/>
    <w:lvl w:ilvl="0" w:tplc="0C09000F">
      <w:start w:val="1"/>
      <w:numFmt w:val="decimal"/>
      <w:lvlText w:val="%1."/>
      <w:lvlJc w:val="left"/>
      <w:pPr>
        <w:ind w:left="720" w:hanging="720"/>
      </w:pPr>
      <w:rPr>
        <w:rFonts w:hint="default"/>
      </w:rPr>
    </w:lvl>
    <w:lvl w:ilvl="1" w:tplc="0C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37642FA5"/>
    <w:multiLevelType w:val="hybridMultilevel"/>
    <w:tmpl w:val="75907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AF0F9E"/>
    <w:multiLevelType w:val="hybridMultilevel"/>
    <w:tmpl w:val="75F81A44"/>
    <w:lvl w:ilvl="0" w:tplc="0590AB88">
      <w:start w:val="1"/>
      <w:numFmt w:val="decimal"/>
      <w:lvlText w:val="%1."/>
      <w:lvlJc w:val="left"/>
      <w:pPr>
        <w:ind w:left="720" w:hanging="360"/>
      </w:pPr>
      <w:rPr>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ADC3CC8"/>
    <w:multiLevelType w:val="hybridMultilevel"/>
    <w:tmpl w:val="30FC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B4E5D03"/>
    <w:multiLevelType w:val="hybridMultilevel"/>
    <w:tmpl w:val="2AA09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B6009BD"/>
    <w:multiLevelType w:val="hybridMultilevel"/>
    <w:tmpl w:val="C658B5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C5A7FA8"/>
    <w:multiLevelType w:val="hybridMultilevel"/>
    <w:tmpl w:val="30FC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CCE7BED"/>
    <w:multiLevelType w:val="hybridMultilevel"/>
    <w:tmpl w:val="C812D4E2"/>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3D081BB9"/>
    <w:multiLevelType w:val="hybridMultilevel"/>
    <w:tmpl w:val="30FC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D6760E6"/>
    <w:multiLevelType w:val="hybridMultilevel"/>
    <w:tmpl w:val="3918D2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3D785B61"/>
    <w:multiLevelType w:val="hybridMultilevel"/>
    <w:tmpl w:val="037E68F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E197B5B"/>
    <w:multiLevelType w:val="hybridMultilevel"/>
    <w:tmpl w:val="30FC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F8C2EEB"/>
    <w:multiLevelType w:val="hybridMultilevel"/>
    <w:tmpl w:val="42FE6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0280A21"/>
    <w:multiLevelType w:val="hybridMultilevel"/>
    <w:tmpl w:val="ECCCE112"/>
    <w:lvl w:ilvl="0" w:tplc="5B925A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0D27BB9"/>
    <w:multiLevelType w:val="hybridMultilevel"/>
    <w:tmpl w:val="9ABA7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30029B1"/>
    <w:multiLevelType w:val="hybridMultilevel"/>
    <w:tmpl w:val="7C1252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3710B46"/>
    <w:multiLevelType w:val="hybridMultilevel"/>
    <w:tmpl w:val="BBA436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6FD2485"/>
    <w:multiLevelType w:val="hybridMultilevel"/>
    <w:tmpl w:val="DD84A6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88A0E13"/>
    <w:multiLevelType w:val="hybridMultilevel"/>
    <w:tmpl w:val="4066FAA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48A82074"/>
    <w:multiLevelType w:val="hybridMultilevel"/>
    <w:tmpl w:val="258026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9" w15:restartNumberingAfterBreak="0">
    <w:nsid w:val="49091233"/>
    <w:multiLevelType w:val="hybridMultilevel"/>
    <w:tmpl w:val="D01EA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9E9317C"/>
    <w:multiLevelType w:val="hybridMultilevel"/>
    <w:tmpl w:val="5730469E"/>
    <w:lvl w:ilvl="0" w:tplc="F5A2FAF6">
      <w:numFmt w:val="bullet"/>
      <w:lvlText w:val="•"/>
      <w:lvlJc w:val="left"/>
      <w:pPr>
        <w:ind w:left="1080" w:hanging="720"/>
      </w:pPr>
      <w:rPr>
        <w:rFonts w:ascii="Arial" w:eastAsia="Fira Sans regular"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9F4B3E"/>
    <w:multiLevelType w:val="hybridMultilevel"/>
    <w:tmpl w:val="DD84A6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E2A6CEA"/>
    <w:multiLevelType w:val="hybridMultilevel"/>
    <w:tmpl w:val="33603D5A"/>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E3B034A"/>
    <w:multiLevelType w:val="hybridMultilevel"/>
    <w:tmpl w:val="C658B5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F593CA1"/>
    <w:multiLevelType w:val="hybridMultilevel"/>
    <w:tmpl w:val="C658B5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F704A35"/>
    <w:multiLevelType w:val="hybridMultilevel"/>
    <w:tmpl w:val="75907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036733B"/>
    <w:multiLevelType w:val="hybridMultilevel"/>
    <w:tmpl w:val="C658B5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11559CC"/>
    <w:multiLevelType w:val="hybridMultilevel"/>
    <w:tmpl w:val="6D9A1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1D92D1A"/>
    <w:multiLevelType w:val="hybridMultilevel"/>
    <w:tmpl w:val="30FC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2683283"/>
    <w:multiLevelType w:val="hybridMultilevel"/>
    <w:tmpl w:val="9DAAF0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44A5030"/>
    <w:multiLevelType w:val="hybridMultilevel"/>
    <w:tmpl w:val="A4B428F8"/>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71" w15:restartNumberingAfterBreak="0">
    <w:nsid w:val="563737D8"/>
    <w:multiLevelType w:val="hybridMultilevel"/>
    <w:tmpl w:val="3E34E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67E6E2D"/>
    <w:multiLevelType w:val="hybridMultilevel"/>
    <w:tmpl w:val="F99C9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7977724"/>
    <w:multiLevelType w:val="hybridMultilevel"/>
    <w:tmpl w:val="27508788"/>
    <w:lvl w:ilvl="0" w:tplc="8CEE2712">
      <w:start w:val="1"/>
      <w:numFmt w:val="decimal"/>
      <w:lvlText w:val="1.%1"/>
      <w:lvlJc w:val="left"/>
      <w:pPr>
        <w:ind w:left="720" w:hanging="360"/>
      </w:pPr>
      <w:rPr>
        <w:rFonts w:ascii="Arial Bold" w:hAnsi="Arial Bold" w:hint="default"/>
        <w:b/>
        <w:i w:val="0"/>
        <w:color w:val="104F99" w:themeColor="accent2"/>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79B2BF9"/>
    <w:multiLevelType w:val="hybridMultilevel"/>
    <w:tmpl w:val="7C1252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85339E7"/>
    <w:multiLevelType w:val="hybridMultilevel"/>
    <w:tmpl w:val="75907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8C828E5"/>
    <w:multiLevelType w:val="hybridMultilevel"/>
    <w:tmpl w:val="7C1252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8D65838"/>
    <w:multiLevelType w:val="hybridMultilevel"/>
    <w:tmpl w:val="3992E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A275311"/>
    <w:multiLevelType w:val="hybridMultilevel"/>
    <w:tmpl w:val="7C1252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A3F5B5B"/>
    <w:multiLevelType w:val="hybridMultilevel"/>
    <w:tmpl w:val="C658B5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B0E793D"/>
    <w:multiLevelType w:val="hybridMultilevel"/>
    <w:tmpl w:val="30FC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D431404"/>
    <w:multiLevelType w:val="hybridMultilevel"/>
    <w:tmpl w:val="2402A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F674547"/>
    <w:multiLevelType w:val="hybridMultilevel"/>
    <w:tmpl w:val="DC86A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00976EC"/>
    <w:multiLevelType w:val="hybridMultilevel"/>
    <w:tmpl w:val="30FC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0137AEB"/>
    <w:multiLevelType w:val="hybridMultilevel"/>
    <w:tmpl w:val="75907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3ED4720"/>
    <w:multiLevelType w:val="hybridMultilevel"/>
    <w:tmpl w:val="F99674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4223FB4"/>
    <w:multiLevelType w:val="hybridMultilevel"/>
    <w:tmpl w:val="3CCCE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5581E11"/>
    <w:multiLevelType w:val="hybridMultilevel"/>
    <w:tmpl w:val="8FAA05F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786"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8" w15:restartNumberingAfterBreak="0">
    <w:nsid w:val="680D1973"/>
    <w:multiLevelType w:val="hybridMultilevel"/>
    <w:tmpl w:val="2946D4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EC969DD"/>
    <w:multiLevelType w:val="hybridMultilevel"/>
    <w:tmpl w:val="C658B5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0E02333"/>
    <w:multiLevelType w:val="hybridMultilevel"/>
    <w:tmpl w:val="146820E0"/>
    <w:lvl w:ilvl="0" w:tplc="B248E8EA">
      <w:start w:val="1"/>
      <w:numFmt w:val="bullet"/>
      <w:lvlText w:val=""/>
      <w:lvlJc w:val="left"/>
      <w:pPr>
        <w:ind w:left="1440" w:hanging="360"/>
      </w:pPr>
      <w:rPr>
        <w:rFonts w:ascii="Symbol" w:hAnsi="Symbol"/>
      </w:rPr>
    </w:lvl>
    <w:lvl w:ilvl="1" w:tplc="71069372">
      <w:start w:val="1"/>
      <w:numFmt w:val="bullet"/>
      <w:lvlText w:val=""/>
      <w:lvlJc w:val="left"/>
      <w:pPr>
        <w:ind w:left="2160" w:hanging="360"/>
      </w:pPr>
      <w:rPr>
        <w:rFonts w:ascii="Symbol" w:hAnsi="Symbol"/>
      </w:rPr>
    </w:lvl>
    <w:lvl w:ilvl="2" w:tplc="BA780374">
      <w:start w:val="1"/>
      <w:numFmt w:val="bullet"/>
      <w:lvlText w:val=""/>
      <w:lvlJc w:val="left"/>
      <w:pPr>
        <w:ind w:left="2880" w:hanging="360"/>
      </w:pPr>
      <w:rPr>
        <w:rFonts w:ascii="Symbol" w:hAnsi="Symbol"/>
      </w:rPr>
    </w:lvl>
    <w:lvl w:ilvl="3" w:tplc="4EEADE28">
      <w:start w:val="1"/>
      <w:numFmt w:val="bullet"/>
      <w:lvlText w:val=""/>
      <w:lvlJc w:val="left"/>
      <w:pPr>
        <w:ind w:left="1440" w:hanging="360"/>
      </w:pPr>
      <w:rPr>
        <w:rFonts w:ascii="Symbol" w:hAnsi="Symbol"/>
      </w:rPr>
    </w:lvl>
    <w:lvl w:ilvl="4" w:tplc="51FED344">
      <w:start w:val="1"/>
      <w:numFmt w:val="bullet"/>
      <w:lvlText w:val=""/>
      <w:lvlJc w:val="left"/>
      <w:pPr>
        <w:ind w:left="1440" w:hanging="360"/>
      </w:pPr>
      <w:rPr>
        <w:rFonts w:ascii="Symbol" w:hAnsi="Symbol"/>
      </w:rPr>
    </w:lvl>
    <w:lvl w:ilvl="5" w:tplc="7860A068">
      <w:start w:val="1"/>
      <w:numFmt w:val="bullet"/>
      <w:lvlText w:val=""/>
      <w:lvlJc w:val="left"/>
      <w:pPr>
        <w:ind w:left="1440" w:hanging="360"/>
      </w:pPr>
      <w:rPr>
        <w:rFonts w:ascii="Symbol" w:hAnsi="Symbol"/>
      </w:rPr>
    </w:lvl>
    <w:lvl w:ilvl="6" w:tplc="46549736">
      <w:start w:val="1"/>
      <w:numFmt w:val="bullet"/>
      <w:lvlText w:val=""/>
      <w:lvlJc w:val="left"/>
      <w:pPr>
        <w:ind w:left="1440" w:hanging="360"/>
      </w:pPr>
      <w:rPr>
        <w:rFonts w:ascii="Symbol" w:hAnsi="Symbol"/>
      </w:rPr>
    </w:lvl>
    <w:lvl w:ilvl="7" w:tplc="66A2D5A2">
      <w:start w:val="1"/>
      <w:numFmt w:val="bullet"/>
      <w:lvlText w:val=""/>
      <w:lvlJc w:val="left"/>
      <w:pPr>
        <w:ind w:left="1440" w:hanging="360"/>
      </w:pPr>
      <w:rPr>
        <w:rFonts w:ascii="Symbol" w:hAnsi="Symbol"/>
      </w:rPr>
    </w:lvl>
    <w:lvl w:ilvl="8" w:tplc="414C63E2">
      <w:start w:val="1"/>
      <w:numFmt w:val="bullet"/>
      <w:lvlText w:val=""/>
      <w:lvlJc w:val="left"/>
      <w:pPr>
        <w:ind w:left="1440" w:hanging="360"/>
      </w:pPr>
      <w:rPr>
        <w:rFonts w:ascii="Symbol" w:hAnsi="Symbol"/>
      </w:rPr>
    </w:lvl>
  </w:abstractNum>
  <w:abstractNum w:abstractNumId="91" w15:restartNumberingAfterBreak="0">
    <w:nsid w:val="72197B91"/>
    <w:multiLevelType w:val="hybridMultilevel"/>
    <w:tmpl w:val="BA7013C6"/>
    <w:lvl w:ilvl="0" w:tplc="FFFFFFFF">
      <w:numFmt w:val="bullet"/>
      <w:lvlText w:val="–"/>
      <w:lvlJc w:val="left"/>
      <w:pPr>
        <w:ind w:left="720" w:hanging="720"/>
      </w:pPr>
      <w:rPr>
        <w:rFonts w:ascii="Fira Sans regular" w:eastAsiaTheme="minorHAnsi" w:hAnsi="Fira Sans regular" w:cstheme="minorBidi"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15:restartNumberingAfterBreak="0">
    <w:nsid w:val="73060FCA"/>
    <w:multiLevelType w:val="hybridMultilevel"/>
    <w:tmpl w:val="DD84A6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4343E49"/>
    <w:multiLevelType w:val="hybridMultilevel"/>
    <w:tmpl w:val="5AC487E0"/>
    <w:lvl w:ilvl="0" w:tplc="FFFFFFFF">
      <w:start w:val="1"/>
      <w:numFmt w:val="decimal"/>
      <w:lvlText w:val="%1."/>
      <w:lvlJc w:val="left"/>
      <w:pPr>
        <w:ind w:left="1080" w:hanging="360"/>
      </w:pPr>
      <w:rPr>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75CE31E0"/>
    <w:multiLevelType w:val="hybridMultilevel"/>
    <w:tmpl w:val="9E940A04"/>
    <w:lvl w:ilvl="0" w:tplc="D5383BF6">
      <w:start w:val="4"/>
      <w:numFmt w:val="bullet"/>
      <w:lvlText w:val="-"/>
      <w:lvlJc w:val="left"/>
      <w:pPr>
        <w:ind w:left="1495" w:hanging="360"/>
      </w:pPr>
      <w:rPr>
        <w:rFonts w:ascii="Arial" w:eastAsia="Fira Sans regular" w:hAnsi="Arial" w:cs="Aria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95" w15:restartNumberingAfterBreak="0">
    <w:nsid w:val="76026FDD"/>
    <w:multiLevelType w:val="hybridMultilevel"/>
    <w:tmpl w:val="30FC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7694B25"/>
    <w:multiLevelType w:val="hybridMultilevel"/>
    <w:tmpl w:val="209C85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76C34F6"/>
    <w:multiLevelType w:val="hybridMultilevel"/>
    <w:tmpl w:val="1A64B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040263"/>
    <w:multiLevelType w:val="hybridMultilevel"/>
    <w:tmpl w:val="7C1A5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88B3B79"/>
    <w:multiLevelType w:val="hybridMultilevel"/>
    <w:tmpl w:val="BBA436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9B7261A"/>
    <w:multiLevelType w:val="hybridMultilevel"/>
    <w:tmpl w:val="8FB0C5EC"/>
    <w:lvl w:ilvl="0" w:tplc="FFFFFFFF">
      <w:numFmt w:val="bullet"/>
      <w:lvlText w:val="–"/>
      <w:lvlJc w:val="left"/>
      <w:pPr>
        <w:ind w:left="720" w:hanging="720"/>
      </w:pPr>
      <w:rPr>
        <w:rFonts w:ascii="Fira Sans regular" w:eastAsiaTheme="minorHAnsi" w:hAnsi="Fira Sans regular" w:cstheme="minorBidi" w:hint="default"/>
      </w:rPr>
    </w:lvl>
    <w:lvl w:ilvl="1" w:tplc="0C09000F">
      <w:start w:val="1"/>
      <w:numFmt w:val="decimal"/>
      <w:lvlText w:val="%2."/>
      <w:lvlJc w:val="left"/>
      <w:pPr>
        <w:ind w:left="72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1" w15:restartNumberingAfterBreak="0">
    <w:nsid w:val="7A276EA3"/>
    <w:multiLevelType w:val="hybridMultilevel"/>
    <w:tmpl w:val="69381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D527378"/>
    <w:multiLevelType w:val="hybridMultilevel"/>
    <w:tmpl w:val="BA7A82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F0079E2"/>
    <w:multiLevelType w:val="hybridMultilevel"/>
    <w:tmpl w:val="30FC83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F355CE8"/>
    <w:multiLevelType w:val="hybridMultilevel"/>
    <w:tmpl w:val="30FC8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FC87437"/>
    <w:multiLevelType w:val="hybridMultilevel"/>
    <w:tmpl w:val="BBA436C6"/>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FE001A8"/>
    <w:multiLevelType w:val="hybridMultilevel"/>
    <w:tmpl w:val="5356936C"/>
    <w:lvl w:ilvl="0" w:tplc="F5A2FAF6">
      <w:numFmt w:val="bullet"/>
      <w:lvlText w:val="•"/>
      <w:lvlJc w:val="left"/>
      <w:pPr>
        <w:ind w:left="1080" w:hanging="720"/>
      </w:pPr>
      <w:rPr>
        <w:rFonts w:ascii="Arial" w:eastAsia="Fira Sans regular"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2725850">
    <w:abstractNumId w:val="58"/>
  </w:num>
  <w:num w:numId="2" w16cid:durableId="186990117">
    <w:abstractNumId w:val="70"/>
  </w:num>
  <w:num w:numId="3" w16cid:durableId="1268653647">
    <w:abstractNumId w:val="0"/>
  </w:num>
  <w:num w:numId="4" w16cid:durableId="474180308">
    <w:abstractNumId w:val="70"/>
  </w:num>
  <w:num w:numId="5" w16cid:durableId="652834543">
    <w:abstractNumId w:val="0"/>
  </w:num>
  <w:num w:numId="6" w16cid:durableId="16808387">
    <w:abstractNumId w:val="70"/>
  </w:num>
  <w:num w:numId="7" w16cid:durableId="2072654975">
    <w:abstractNumId w:val="0"/>
  </w:num>
  <w:num w:numId="8" w16cid:durableId="1279294433">
    <w:abstractNumId w:val="57"/>
  </w:num>
  <w:num w:numId="9" w16cid:durableId="290478329">
    <w:abstractNumId w:val="3"/>
  </w:num>
  <w:num w:numId="10" w16cid:durableId="1844973358">
    <w:abstractNumId w:val="96"/>
  </w:num>
  <w:num w:numId="11" w16cid:durableId="772241999">
    <w:abstractNumId w:val="102"/>
  </w:num>
  <w:num w:numId="12" w16cid:durableId="587079830">
    <w:abstractNumId w:val="45"/>
  </w:num>
  <w:num w:numId="13" w16cid:durableId="421223442">
    <w:abstractNumId w:val="6"/>
  </w:num>
  <w:num w:numId="14" w16cid:durableId="1163932072">
    <w:abstractNumId w:val="27"/>
  </w:num>
  <w:num w:numId="15" w16cid:durableId="809439782">
    <w:abstractNumId w:val="24"/>
  </w:num>
  <w:num w:numId="16" w16cid:durableId="1904950427">
    <w:abstractNumId w:val="56"/>
  </w:num>
  <w:num w:numId="17" w16cid:durableId="2037807655">
    <w:abstractNumId w:val="5"/>
  </w:num>
  <w:num w:numId="18" w16cid:durableId="1029456808">
    <w:abstractNumId w:val="72"/>
  </w:num>
  <w:num w:numId="19" w16cid:durableId="1255019324">
    <w:abstractNumId w:val="13"/>
  </w:num>
  <w:num w:numId="20" w16cid:durableId="1888758324">
    <w:abstractNumId w:val="100"/>
  </w:num>
  <w:num w:numId="21" w16cid:durableId="906458952">
    <w:abstractNumId w:val="91"/>
  </w:num>
  <w:num w:numId="22" w16cid:durableId="73550433">
    <w:abstractNumId w:val="30"/>
  </w:num>
  <w:num w:numId="23" w16cid:durableId="246962680">
    <w:abstractNumId w:val="38"/>
  </w:num>
  <w:num w:numId="24" w16cid:durableId="329799102">
    <w:abstractNumId w:val="35"/>
  </w:num>
  <w:num w:numId="25" w16cid:durableId="1621957448">
    <w:abstractNumId w:val="52"/>
  </w:num>
  <w:num w:numId="26" w16cid:durableId="1655597714">
    <w:abstractNumId w:val="37"/>
  </w:num>
  <w:num w:numId="27" w16cid:durableId="452477856">
    <w:abstractNumId w:val="11"/>
  </w:num>
  <w:num w:numId="28" w16cid:durableId="2114979887">
    <w:abstractNumId w:val="32"/>
  </w:num>
  <w:num w:numId="29" w16cid:durableId="42411145">
    <w:abstractNumId w:val="88"/>
  </w:num>
  <w:num w:numId="30" w16cid:durableId="1775250534">
    <w:abstractNumId w:val="98"/>
  </w:num>
  <w:num w:numId="31" w16cid:durableId="713624872">
    <w:abstractNumId w:val="101"/>
  </w:num>
  <w:num w:numId="32" w16cid:durableId="444541065">
    <w:abstractNumId w:val="59"/>
  </w:num>
  <w:num w:numId="33" w16cid:durableId="1464077080">
    <w:abstractNumId w:val="77"/>
  </w:num>
  <w:num w:numId="34" w16cid:durableId="1763336547">
    <w:abstractNumId w:val="86"/>
  </w:num>
  <w:num w:numId="35" w16cid:durableId="823358650">
    <w:abstractNumId w:val="87"/>
  </w:num>
  <w:num w:numId="36" w16cid:durableId="41296755">
    <w:abstractNumId w:val="25"/>
  </w:num>
  <w:num w:numId="37" w16cid:durableId="10374633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7172925">
    <w:abstractNumId w:val="47"/>
  </w:num>
  <w:num w:numId="39" w16cid:durableId="792791557">
    <w:abstractNumId w:val="20"/>
  </w:num>
  <w:num w:numId="40" w16cid:durableId="2086754388">
    <w:abstractNumId w:val="73"/>
  </w:num>
  <w:num w:numId="41" w16cid:durableId="89200499">
    <w:abstractNumId w:val="73"/>
    <w:lvlOverride w:ilvl="0">
      <w:startOverride w:val="1"/>
    </w:lvlOverride>
  </w:num>
  <w:num w:numId="42" w16cid:durableId="1639797971">
    <w:abstractNumId w:val="73"/>
  </w:num>
  <w:num w:numId="43" w16cid:durableId="1872112063">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830553">
    <w:abstractNumId w:val="73"/>
  </w:num>
  <w:num w:numId="45" w16cid:durableId="1542281284">
    <w:abstractNumId w:val="73"/>
    <w:lvlOverride w:ilvl="0">
      <w:startOverride w:val="1"/>
    </w:lvlOverride>
  </w:num>
  <w:num w:numId="46" w16cid:durableId="821241674">
    <w:abstractNumId w:val="73"/>
  </w:num>
  <w:num w:numId="47" w16cid:durableId="1716268315">
    <w:abstractNumId w:val="73"/>
  </w:num>
  <w:num w:numId="48" w16cid:durableId="1966934001">
    <w:abstractNumId w:val="73"/>
  </w:num>
  <w:num w:numId="49" w16cid:durableId="456753065">
    <w:abstractNumId w:val="73"/>
  </w:num>
  <w:num w:numId="50" w16cid:durableId="625624060">
    <w:abstractNumId w:val="73"/>
  </w:num>
  <w:num w:numId="51" w16cid:durableId="493498571">
    <w:abstractNumId w:val="73"/>
  </w:num>
  <w:num w:numId="52" w16cid:durableId="1187523256">
    <w:abstractNumId w:val="73"/>
  </w:num>
  <w:num w:numId="53" w16cid:durableId="878469601">
    <w:abstractNumId w:val="73"/>
  </w:num>
  <w:num w:numId="54" w16cid:durableId="1696228464">
    <w:abstractNumId w:val="92"/>
  </w:num>
  <w:num w:numId="55" w16cid:durableId="605966638">
    <w:abstractNumId w:val="14"/>
  </w:num>
  <w:num w:numId="56" w16cid:durableId="929309753">
    <w:abstractNumId w:val="105"/>
  </w:num>
  <w:num w:numId="57" w16cid:durableId="1606889884">
    <w:abstractNumId w:val="63"/>
  </w:num>
  <w:num w:numId="58" w16cid:durableId="1551067633">
    <w:abstractNumId w:val="9"/>
  </w:num>
  <w:num w:numId="59" w16cid:durableId="129517433">
    <w:abstractNumId w:val="65"/>
  </w:num>
  <w:num w:numId="60" w16cid:durableId="1196195282">
    <w:abstractNumId w:val="40"/>
  </w:num>
  <w:num w:numId="61" w16cid:durableId="151727175">
    <w:abstractNumId w:val="62"/>
  </w:num>
  <w:num w:numId="62" w16cid:durableId="406920707">
    <w:abstractNumId w:val="75"/>
  </w:num>
  <w:num w:numId="63" w16cid:durableId="752052503">
    <w:abstractNumId w:val="55"/>
  </w:num>
  <w:num w:numId="64" w16cid:durableId="821586087">
    <w:abstractNumId w:val="74"/>
  </w:num>
  <w:num w:numId="65" w16cid:durableId="1922790524">
    <w:abstractNumId w:val="28"/>
  </w:num>
  <w:num w:numId="66" w16cid:durableId="849220404">
    <w:abstractNumId w:val="46"/>
  </w:num>
  <w:num w:numId="67" w16cid:durableId="712000520">
    <w:abstractNumId w:val="64"/>
  </w:num>
  <w:num w:numId="68" w16cid:durableId="169830591">
    <w:abstractNumId w:val="89"/>
  </w:num>
  <w:num w:numId="69" w16cid:durableId="1803424273">
    <w:abstractNumId w:val="66"/>
  </w:num>
  <w:num w:numId="70" w16cid:durableId="1560093405">
    <w:abstractNumId w:val="61"/>
  </w:num>
  <w:num w:numId="71" w16cid:durableId="1985313542">
    <w:abstractNumId w:val="78"/>
  </w:num>
  <w:num w:numId="72" w16cid:durableId="512577472">
    <w:abstractNumId w:val="44"/>
  </w:num>
  <w:num w:numId="73" w16cid:durableId="1113982960">
    <w:abstractNumId w:val="43"/>
  </w:num>
  <w:num w:numId="74" w16cid:durableId="578563204">
    <w:abstractNumId w:val="54"/>
  </w:num>
  <w:num w:numId="75" w16cid:durableId="1509710117">
    <w:abstractNumId w:val="17"/>
  </w:num>
  <w:num w:numId="76" w16cid:durableId="340208089">
    <w:abstractNumId w:val="2"/>
  </w:num>
  <w:num w:numId="77" w16cid:durableId="1404334642">
    <w:abstractNumId w:val="23"/>
  </w:num>
  <w:num w:numId="78" w16cid:durableId="1661888572">
    <w:abstractNumId w:val="18"/>
  </w:num>
  <w:num w:numId="79" w16cid:durableId="222831592">
    <w:abstractNumId w:val="68"/>
  </w:num>
  <w:num w:numId="80" w16cid:durableId="1667516432">
    <w:abstractNumId w:val="33"/>
  </w:num>
  <w:num w:numId="81" w16cid:durableId="1752699343">
    <w:abstractNumId w:val="10"/>
  </w:num>
  <w:num w:numId="82" w16cid:durableId="1056122594">
    <w:abstractNumId w:val="34"/>
  </w:num>
  <w:num w:numId="83" w16cid:durableId="1325426367">
    <w:abstractNumId w:val="84"/>
  </w:num>
  <w:num w:numId="84" w16cid:durableId="684869045">
    <w:abstractNumId w:val="93"/>
  </w:num>
  <w:num w:numId="85" w16cid:durableId="17976860">
    <w:abstractNumId w:val="104"/>
  </w:num>
  <w:num w:numId="86" w16cid:durableId="44647565">
    <w:abstractNumId w:val="79"/>
  </w:num>
  <w:num w:numId="87" w16cid:durableId="1261451454">
    <w:abstractNumId w:val="99"/>
  </w:num>
  <w:num w:numId="88" w16cid:durableId="2014407181">
    <w:abstractNumId w:val="69"/>
  </w:num>
  <w:num w:numId="89" w16cid:durableId="905184987">
    <w:abstractNumId w:val="16"/>
  </w:num>
  <w:num w:numId="90" w16cid:durableId="1613242622">
    <w:abstractNumId w:val="48"/>
  </w:num>
  <w:num w:numId="91" w16cid:durableId="807670218">
    <w:abstractNumId w:val="12"/>
  </w:num>
  <w:num w:numId="92" w16cid:durableId="1397702784">
    <w:abstractNumId w:val="1"/>
  </w:num>
  <w:num w:numId="93" w16cid:durableId="937562646">
    <w:abstractNumId w:val="95"/>
  </w:num>
  <w:num w:numId="94" w16cid:durableId="519854963">
    <w:abstractNumId w:val="103"/>
  </w:num>
  <w:num w:numId="95" w16cid:durableId="1543513410">
    <w:abstractNumId w:val="80"/>
  </w:num>
  <w:num w:numId="96" w16cid:durableId="422722102">
    <w:abstractNumId w:val="53"/>
  </w:num>
  <w:num w:numId="97" w16cid:durableId="1559634732">
    <w:abstractNumId w:val="85"/>
  </w:num>
  <w:num w:numId="98" w16cid:durableId="335155906">
    <w:abstractNumId w:val="19"/>
  </w:num>
  <w:num w:numId="99" w16cid:durableId="1989363578">
    <w:abstractNumId w:val="22"/>
  </w:num>
  <w:num w:numId="100" w16cid:durableId="350256383">
    <w:abstractNumId w:val="83"/>
  </w:num>
  <w:num w:numId="101" w16cid:durableId="2019388706">
    <w:abstractNumId w:val="41"/>
  </w:num>
  <w:num w:numId="102" w16cid:durableId="648636923">
    <w:abstractNumId w:val="49"/>
  </w:num>
  <w:num w:numId="103" w16cid:durableId="124784787">
    <w:abstractNumId w:val="26"/>
  </w:num>
  <w:num w:numId="104" w16cid:durableId="799806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72259175">
    <w:abstractNumId w:val="73"/>
  </w:num>
  <w:num w:numId="106" w16cid:durableId="1487623876">
    <w:abstractNumId w:val="73"/>
  </w:num>
  <w:num w:numId="107" w16cid:durableId="1097290908">
    <w:abstractNumId w:val="73"/>
  </w:num>
  <w:num w:numId="108" w16cid:durableId="1073159873">
    <w:abstractNumId w:val="73"/>
  </w:num>
  <w:num w:numId="109" w16cid:durableId="1560675169">
    <w:abstractNumId w:val="73"/>
  </w:num>
  <w:num w:numId="110" w16cid:durableId="953942402">
    <w:abstractNumId w:val="73"/>
  </w:num>
  <w:num w:numId="111" w16cid:durableId="682437447">
    <w:abstractNumId w:val="73"/>
  </w:num>
  <w:num w:numId="112" w16cid:durableId="516969953">
    <w:abstractNumId w:val="73"/>
  </w:num>
  <w:num w:numId="113" w16cid:durableId="134027220">
    <w:abstractNumId w:val="73"/>
  </w:num>
  <w:num w:numId="114" w16cid:durableId="1754618291">
    <w:abstractNumId w:val="73"/>
  </w:num>
  <w:num w:numId="115" w16cid:durableId="761682429">
    <w:abstractNumId w:val="73"/>
  </w:num>
  <w:num w:numId="116" w16cid:durableId="1816337591">
    <w:abstractNumId w:val="73"/>
  </w:num>
  <w:num w:numId="117" w16cid:durableId="1445269847">
    <w:abstractNumId w:val="73"/>
  </w:num>
  <w:num w:numId="118" w16cid:durableId="94518736">
    <w:abstractNumId w:val="73"/>
  </w:num>
  <w:num w:numId="119" w16cid:durableId="424769602">
    <w:abstractNumId w:val="73"/>
  </w:num>
  <w:num w:numId="120" w16cid:durableId="99952795">
    <w:abstractNumId w:val="73"/>
  </w:num>
  <w:num w:numId="121" w16cid:durableId="1412123082">
    <w:abstractNumId w:val="73"/>
  </w:num>
  <w:num w:numId="122" w16cid:durableId="577129704">
    <w:abstractNumId w:val="73"/>
  </w:num>
  <w:num w:numId="123" w16cid:durableId="1917084915">
    <w:abstractNumId w:val="73"/>
  </w:num>
  <w:num w:numId="124" w16cid:durableId="185751665">
    <w:abstractNumId w:val="73"/>
  </w:num>
  <w:num w:numId="125" w16cid:durableId="1423573255">
    <w:abstractNumId w:val="73"/>
  </w:num>
  <w:num w:numId="126" w16cid:durableId="349376808">
    <w:abstractNumId w:val="73"/>
  </w:num>
  <w:num w:numId="127" w16cid:durableId="41447153">
    <w:abstractNumId w:val="20"/>
  </w:num>
  <w:num w:numId="128" w16cid:durableId="1454905164">
    <w:abstractNumId w:val="20"/>
  </w:num>
  <w:num w:numId="129" w16cid:durableId="817842256">
    <w:abstractNumId w:val="20"/>
  </w:num>
  <w:num w:numId="130" w16cid:durableId="1502043868">
    <w:abstractNumId w:val="20"/>
  </w:num>
  <w:num w:numId="131" w16cid:durableId="900947466">
    <w:abstractNumId w:val="20"/>
  </w:num>
  <w:num w:numId="132" w16cid:durableId="1204951525">
    <w:abstractNumId w:val="20"/>
  </w:num>
  <w:num w:numId="133" w16cid:durableId="1555462697">
    <w:abstractNumId w:val="20"/>
  </w:num>
  <w:num w:numId="134" w16cid:durableId="256132269">
    <w:abstractNumId w:val="20"/>
  </w:num>
  <w:num w:numId="135" w16cid:durableId="1153791124">
    <w:abstractNumId w:val="20"/>
  </w:num>
  <w:num w:numId="136" w16cid:durableId="1005279456">
    <w:abstractNumId w:val="20"/>
  </w:num>
  <w:num w:numId="137" w16cid:durableId="1494757009">
    <w:abstractNumId w:val="20"/>
  </w:num>
  <w:num w:numId="138" w16cid:durableId="2023050256">
    <w:abstractNumId w:val="20"/>
  </w:num>
  <w:num w:numId="139" w16cid:durableId="2031687790">
    <w:abstractNumId w:val="20"/>
  </w:num>
  <w:num w:numId="140" w16cid:durableId="2076661822">
    <w:abstractNumId w:val="20"/>
  </w:num>
  <w:num w:numId="141" w16cid:durableId="733547046">
    <w:abstractNumId w:val="15"/>
  </w:num>
  <w:num w:numId="142" w16cid:durableId="777800282">
    <w:abstractNumId w:val="20"/>
  </w:num>
  <w:num w:numId="143" w16cid:durableId="520555692">
    <w:abstractNumId w:val="67"/>
  </w:num>
  <w:num w:numId="144" w16cid:durableId="1645968577">
    <w:abstractNumId w:val="29"/>
  </w:num>
  <w:num w:numId="145" w16cid:durableId="393742544">
    <w:abstractNumId w:val="90"/>
  </w:num>
  <w:num w:numId="146" w16cid:durableId="1884487854">
    <w:abstractNumId w:val="50"/>
  </w:num>
  <w:num w:numId="147" w16cid:durableId="793058548">
    <w:abstractNumId w:val="7"/>
  </w:num>
  <w:num w:numId="148" w16cid:durableId="35391746">
    <w:abstractNumId w:val="4"/>
  </w:num>
  <w:num w:numId="149" w16cid:durableId="2103451706">
    <w:abstractNumId w:val="39"/>
  </w:num>
  <w:num w:numId="150" w16cid:durableId="1461917203">
    <w:abstractNumId w:val="70"/>
  </w:num>
  <w:num w:numId="151" w16cid:durableId="955522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97346886">
    <w:abstractNumId w:val="94"/>
  </w:num>
  <w:num w:numId="153" w16cid:durableId="1682899770">
    <w:abstractNumId w:val="20"/>
  </w:num>
  <w:num w:numId="154" w16cid:durableId="1259363712">
    <w:abstractNumId w:val="42"/>
  </w:num>
  <w:num w:numId="155" w16cid:durableId="434443408">
    <w:abstractNumId w:val="36"/>
  </w:num>
  <w:num w:numId="156" w16cid:durableId="1152331375">
    <w:abstractNumId w:val="31"/>
  </w:num>
  <w:num w:numId="157" w16cid:durableId="129565889">
    <w:abstractNumId w:val="8"/>
  </w:num>
  <w:num w:numId="158" w16cid:durableId="171266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265240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471599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957441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269114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56968783">
    <w:abstractNumId w:val="97"/>
  </w:num>
  <w:num w:numId="164" w16cid:durableId="651525542">
    <w:abstractNumId w:val="76"/>
  </w:num>
  <w:num w:numId="165" w16cid:durableId="1352413769">
    <w:abstractNumId w:val="82"/>
  </w:num>
  <w:num w:numId="166" w16cid:durableId="1301691473">
    <w:abstractNumId w:val="51"/>
  </w:num>
  <w:num w:numId="167" w16cid:durableId="1790780818">
    <w:abstractNumId w:val="21"/>
  </w:num>
  <w:num w:numId="168" w16cid:durableId="804587595">
    <w:abstractNumId w:val="81"/>
  </w:num>
  <w:num w:numId="169" w16cid:durableId="1487471731">
    <w:abstractNumId w:val="71"/>
  </w:num>
  <w:num w:numId="170" w16cid:durableId="1470628967">
    <w:abstractNumId w:val="106"/>
  </w:num>
  <w:num w:numId="171" w16cid:durableId="534580276">
    <w:abstractNumId w:val="60"/>
  </w:num>
  <w:num w:numId="172" w16cid:durableId="482743160">
    <w:abstractNumId w:val="0"/>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91"/>
    <w:rsid w:val="00000080"/>
    <w:rsid w:val="00000C47"/>
    <w:rsid w:val="00002989"/>
    <w:rsid w:val="00002F99"/>
    <w:rsid w:val="000030DA"/>
    <w:rsid w:val="000038C5"/>
    <w:rsid w:val="00004263"/>
    <w:rsid w:val="000046C8"/>
    <w:rsid w:val="00004A68"/>
    <w:rsid w:val="000057EA"/>
    <w:rsid w:val="00006557"/>
    <w:rsid w:val="00010A9C"/>
    <w:rsid w:val="00010DBE"/>
    <w:rsid w:val="000115A3"/>
    <w:rsid w:val="000115B1"/>
    <w:rsid w:val="00011C8B"/>
    <w:rsid w:val="00014FFF"/>
    <w:rsid w:val="0001555B"/>
    <w:rsid w:val="0001693F"/>
    <w:rsid w:val="0002159B"/>
    <w:rsid w:val="000216E9"/>
    <w:rsid w:val="00022652"/>
    <w:rsid w:val="00022D52"/>
    <w:rsid w:val="00022DA1"/>
    <w:rsid w:val="0002470B"/>
    <w:rsid w:val="00024DCC"/>
    <w:rsid w:val="00025520"/>
    <w:rsid w:val="000277BA"/>
    <w:rsid w:val="00027E5B"/>
    <w:rsid w:val="0003127D"/>
    <w:rsid w:val="00031D59"/>
    <w:rsid w:val="00031FA0"/>
    <w:rsid w:val="00032272"/>
    <w:rsid w:val="00033580"/>
    <w:rsid w:val="000355BA"/>
    <w:rsid w:val="00035880"/>
    <w:rsid w:val="00036564"/>
    <w:rsid w:val="00036ABD"/>
    <w:rsid w:val="00036D6C"/>
    <w:rsid w:val="00040591"/>
    <w:rsid w:val="00040667"/>
    <w:rsid w:val="00040E21"/>
    <w:rsid w:val="000435FB"/>
    <w:rsid w:val="00043C50"/>
    <w:rsid w:val="00044435"/>
    <w:rsid w:val="0004554C"/>
    <w:rsid w:val="00045801"/>
    <w:rsid w:val="0005151C"/>
    <w:rsid w:val="000517BC"/>
    <w:rsid w:val="000518B1"/>
    <w:rsid w:val="00052305"/>
    <w:rsid w:val="00052A12"/>
    <w:rsid w:val="00052C63"/>
    <w:rsid w:val="00052E53"/>
    <w:rsid w:val="00052E90"/>
    <w:rsid w:val="000549FA"/>
    <w:rsid w:val="000550E0"/>
    <w:rsid w:val="00055621"/>
    <w:rsid w:val="00057080"/>
    <w:rsid w:val="0005789A"/>
    <w:rsid w:val="0006045C"/>
    <w:rsid w:val="000624E2"/>
    <w:rsid w:val="00062D62"/>
    <w:rsid w:val="00065816"/>
    <w:rsid w:val="00065F2F"/>
    <w:rsid w:val="00066163"/>
    <w:rsid w:val="0006633B"/>
    <w:rsid w:val="00066858"/>
    <w:rsid w:val="00066979"/>
    <w:rsid w:val="00067E0D"/>
    <w:rsid w:val="0007107F"/>
    <w:rsid w:val="00071411"/>
    <w:rsid w:val="00073F72"/>
    <w:rsid w:val="00075454"/>
    <w:rsid w:val="00075858"/>
    <w:rsid w:val="00077CF5"/>
    <w:rsid w:val="000837A5"/>
    <w:rsid w:val="00083EAD"/>
    <w:rsid w:val="0008517C"/>
    <w:rsid w:val="00085C10"/>
    <w:rsid w:val="0008640B"/>
    <w:rsid w:val="00086783"/>
    <w:rsid w:val="00086CE0"/>
    <w:rsid w:val="0008732E"/>
    <w:rsid w:val="00087CE0"/>
    <w:rsid w:val="00090778"/>
    <w:rsid w:val="00090CE5"/>
    <w:rsid w:val="0009142D"/>
    <w:rsid w:val="00091AA2"/>
    <w:rsid w:val="00094446"/>
    <w:rsid w:val="000945C8"/>
    <w:rsid w:val="00094A0A"/>
    <w:rsid w:val="000A0667"/>
    <w:rsid w:val="000A0CE6"/>
    <w:rsid w:val="000A1329"/>
    <w:rsid w:val="000A1964"/>
    <w:rsid w:val="000A45E5"/>
    <w:rsid w:val="000A4BC8"/>
    <w:rsid w:val="000A5310"/>
    <w:rsid w:val="000A6369"/>
    <w:rsid w:val="000A6BA3"/>
    <w:rsid w:val="000A76B7"/>
    <w:rsid w:val="000B0078"/>
    <w:rsid w:val="000B0298"/>
    <w:rsid w:val="000B0846"/>
    <w:rsid w:val="000B14CD"/>
    <w:rsid w:val="000B21A1"/>
    <w:rsid w:val="000B2E81"/>
    <w:rsid w:val="000B3798"/>
    <w:rsid w:val="000B4938"/>
    <w:rsid w:val="000B5901"/>
    <w:rsid w:val="000B5951"/>
    <w:rsid w:val="000B64D9"/>
    <w:rsid w:val="000B6C9C"/>
    <w:rsid w:val="000B7473"/>
    <w:rsid w:val="000B7EB6"/>
    <w:rsid w:val="000C0FF6"/>
    <w:rsid w:val="000C39D8"/>
    <w:rsid w:val="000C4AC4"/>
    <w:rsid w:val="000C66B3"/>
    <w:rsid w:val="000C699B"/>
    <w:rsid w:val="000C6D46"/>
    <w:rsid w:val="000C6DFE"/>
    <w:rsid w:val="000D2236"/>
    <w:rsid w:val="000D3CD7"/>
    <w:rsid w:val="000D4EC3"/>
    <w:rsid w:val="000D6A6B"/>
    <w:rsid w:val="000D7378"/>
    <w:rsid w:val="000E1D78"/>
    <w:rsid w:val="000E208D"/>
    <w:rsid w:val="000E274E"/>
    <w:rsid w:val="000E27C7"/>
    <w:rsid w:val="000E4483"/>
    <w:rsid w:val="000E4BD1"/>
    <w:rsid w:val="000E4D33"/>
    <w:rsid w:val="000E62C6"/>
    <w:rsid w:val="000E7602"/>
    <w:rsid w:val="000E7B3B"/>
    <w:rsid w:val="000F1071"/>
    <w:rsid w:val="000F1176"/>
    <w:rsid w:val="000F18E7"/>
    <w:rsid w:val="000F1E79"/>
    <w:rsid w:val="000F2076"/>
    <w:rsid w:val="000F4236"/>
    <w:rsid w:val="000F42E3"/>
    <w:rsid w:val="000F4746"/>
    <w:rsid w:val="000F5C86"/>
    <w:rsid w:val="000F5E39"/>
    <w:rsid w:val="000F6EE8"/>
    <w:rsid w:val="000F7417"/>
    <w:rsid w:val="000F7FA2"/>
    <w:rsid w:val="001002BB"/>
    <w:rsid w:val="00102246"/>
    <w:rsid w:val="00102A35"/>
    <w:rsid w:val="001035A0"/>
    <w:rsid w:val="001044C6"/>
    <w:rsid w:val="001047CA"/>
    <w:rsid w:val="00104DE3"/>
    <w:rsid w:val="00105BEC"/>
    <w:rsid w:val="00110025"/>
    <w:rsid w:val="00110DC9"/>
    <w:rsid w:val="00111214"/>
    <w:rsid w:val="00112B60"/>
    <w:rsid w:val="00115496"/>
    <w:rsid w:val="00115614"/>
    <w:rsid w:val="00116285"/>
    <w:rsid w:val="00117B20"/>
    <w:rsid w:val="00117DCF"/>
    <w:rsid w:val="00123F77"/>
    <w:rsid w:val="00124A2C"/>
    <w:rsid w:val="00125036"/>
    <w:rsid w:val="001250A1"/>
    <w:rsid w:val="00131FF7"/>
    <w:rsid w:val="00132054"/>
    <w:rsid w:val="00132E8B"/>
    <w:rsid w:val="00134055"/>
    <w:rsid w:val="001342B4"/>
    <w:rsid w:val="00134C06"/>
    <w:rsid w:val="001353F8"/>
    <w:rsid w:val="001402C1"/>
    <w:rsid w:val="00141B65"/>
    <w:rsid w:val="00141C97"/>
    <w:rsid w:val="001447DF"/>
    <w:rsid w:val="00144E4E"/>
    <w:rsid w:val="00147F8B"/>
    <w:rsid w:val="001527E3"/>
    <w:rsid w:val="0015322C"/>
    <w:rsid w:val="00154003"/>
    <w:rsid w:val="00155BFD"/>
    <w:rsid w:val="00156150"/>
    <w:rsid w:val="0015666D"/>
    <w:rsid w:val="0015719A"/>
    <w:rsid w:val="00157362"/>
    <w:rsid w:val="00157DB0"/>
    <w:rsid w:val="00160EB1"/>
    <w:rsid w:val="0016168C"/>
    <w:rsid w:val="00164299"/>
    <w:rsid w:val="001650A8"/>
    <w:rsid w:val="001656EE"/>
    <w:rsid w:val="00165A9A"/>
    <w:rsid w:val="00165D3D"/>
    <w:rsid w:val="0016633B"/>
    <w:rsid w:val="00166872"/>
    <w:rsid w:val="00166D9A"/>
    <w:rsid w:val="00167617"/>
    <w:rsid w:val="00170DCF"/>
    <w:rsid w:val="001724D8"/>
    <w:rsid w:val="00172C99"/>
    <w:rsid w:val="00172D86"/>
    <w:rsid w:val="00174225"/>
    <w:rsid w:val="00174A8E"/>
    <w:rsid w:val="0017525C"/>
    <w:rsid w:val="0017727C"/>
    <w:rsid w:val="001806BF"/>
    <w:rsid w:val="001814BE"/>
    <w:rsid w:val="00181D43"/>
    <w:rsid w:val="00182576"/>
    <w:rsid w:val="001829AA"/>
    <w:rsid w:val="00183753"/>
    <w:rsid w:val="001842CD"/>
    <w:rsid w:val="001849E5"/>
    <w:rsid w:val="001849F8"/>
    <w:rsid w:val="0018578A"/>
    <w:rsid w:val="00186C08"/>
    <w:rsid w:val="001878CA"/>
    <w:rsid w:val="001914F3"/>
    <w:rsid w:val="00193381"/>
    <w:rsid w:val="001935C9"/>
    <w:rsid w:val="001944C6"/>
    <w:rsid w:val="00194A9F"/>
    <w:rsid w:val="001956EF"/>
    <w:rsid w:val="00196842"/>
    <w:rsid w:val="00196D45"/>
    <w:rsid w:val="001A06DE"/>
    <w:rsid w:val="001A0CF5"/>
    <w:rsid w:val="001A4D1B"/>
    <w:rsid w:val="001A4F2E"/>
    <w:rsid w:val="001A5ECE"/>
    <w:rsid w:val="001A69DA"/>
    <w:rsid w:val="001A7826"/>
    <w:rsid w:val="001B115D"/>
    <w:rsid w:val="001B1F4D"/>
    <w:rsid w:val="001B23DF"/>
    <w:rsid w:val="001B29EE"/>
    <w:rsid w:val="001B4EDE"/>
    <w:rsid w:val="001B529D"/>
    <w:rsid w:val="001B53FF"/>
    <w:rsid w:val="001B6322"/>
    <w:rsid w:val="001C0D70"/>
    <w:rsid w:val="001C3B63"/>
    <w:rsid w:val="001C41CC"/>
    <w:rsid w:val="001C473D"/>
    <w:rsid w:val="001C4FA1"/>
    <w:rsid w:val="001C55D9"/>
    <w:rsid w:val="001D1B4C"/>
    <w:rsid w:val="001D22A0"/>
    <w:rsid w:val="001D3B20"/>
    <w:rsid w:val="001D3B52"/>
    <w:rsid w:val="001D5281"/>
    <w:rsid w:val="001D5923"/>
    <w:rsid w:val="001D5BBA"/>
    <w:rsid w:val="001D77A1"/>
    <w:rsid w:val="001D7EE8"/>
    <w:rsid w:val="001E0229"/>
    <w:rsid w:val="001E1F6C"/>
    <w:rsid w:val="001E2B24"/>
    <w:rsid w:val="001E2D20"/>
    <w:rsid w:val="001E2DC9"/>
    <w:rsid w:val="001E387A"/>
    <w:rsid w:val="001E39EC"/>
    <w:rsid w:val="001E494A"/>
    <w:rsid w:val="001E57F2"/>
    <w:rsid w:val="001E6031"/>
    <w:rsid w:val="001F0CED"/>
    <w:rsid w:val="001F2735"/>
    <w:rsid w:val="001F2B33"/>
    <w:rsid w:val="001F34B0"/>
    <w:rsid w:val="001F3CF3"/>
    <w:rsid w:val="001F4298"/>
    <w:rsid w:val="001F4FE3"/>
    <w:rsid w:val="001F5129"/>
    <w:rsid w:val="001F54A0"/>
    <w:rsid w:val="001F5CED"/>
    <w:rsid w:val="001F7072"/>
    <w:rsid w:val="001F7CD3"/>
    <w:rsid w:val="002012EE"/>
    <w:rsid w:val="00202314"/>
    <w:rsid w:val="0020232F"/>
    <w:rsid w:val="00203D43"/>
    <w:rsid w:val="002050D5"/>
    <w:rsid w:val="00205A22"/>
    <w:rsid w:val="00205F6F"/>
    <w:rsid w:val="00206E32"/>
    <w:rsid w:val="00207500"/>
    <w:rsid w:val="002118B7"/>
    <w:rsid w:val="002125C0"/>
    <w:rsid w:val="00215614"/>
    <w:rsid w:val="00215BB0"/>
    <w:rsid w:val="00215C8A"/>
    <w:rsid w:val="00216B15"/>
    <w:rsid w:val="002173E2"/>
    <w:rsid w:val="0022116C"/>
    <w:rsid w:val="0022173A"/>
    <w:rsid w:val="0022264C"/>
    <w:rsid w:val="00222B22"/>
    <w:rsid w:val="0022450C"/>
    <w:rsid w:val="002245BE"/>
    <w:rsid w:val="00225541"/>
    <w:rsid w:val="0022568A"/>
    <w:rsid w:val="00225FDC"/>
    <w:rsid w:val="002337B7"/>
    <w:rsid w:val="002339BE"/>
    <w:rsid w:val="00233D00"/>
    <w:rsid w:val="0023510D"/>
    <w:rsid w:val="002365B4"/>
    <w:rsid w:val="00236842"/>
    <w:rsid w:val="00236CE1"/>
    <w:rsid w:val="00240799"/>
    <w:rsid w:val="00240C61"/>
    <w:rsid w:val="00240E69"/>
    <w:rsid w:val="00241516"/>
    <w:rsid w:val="0024161B"/>
    <w:rsid w:val="00242D35"/>
    <w:rsid w:val="002436AD"/>
    <w:rsid w:val="00244536"/>
    <w:rsid w:val="0024458C"/>
    <w:rsid w:val="00244A51"/>
    <w:rsid w:val="00246273"/>
    <w:rsid w:val="0024674C"/>
    <w:rsid w:val="00246DA4"/>
    <w:rsid w:val="00247BE4"/>
    <w:rsid w:val="00250B51"/>
    <w:rsid w:val="00252A1B"/>
    <w:rsid w:val="002539DB"/>
    <w:rsid w:val="002550C8"/>
    <w:rsid w:val="00255266"/>
    <w:rsid w:val="00255D10"/>
    <w:rsid w:val="00255EF5"/>
    <w:rsid w:val="00255FAD"/>
    <w:rsid w:val="00257DF2"/>
    <w:rsid w:val="002600D0"/>
    <w:rsid w:val="002605D4"/>
    <w:rsid w:val="002616FC"/>
    <w:rsid w:val="00262514"/>
    <w:rsid w:val="00263A6C"/>
    <w:rsid w:val="00263C34"/>
    <w:rsid w:val="00264044"/>
    <w:rsid w:val="00264D19"/>
    <w:rsid w:val="002658A4"/>
    <w:rsid w:val="00265F21"/>
    <w:rsid w:val="00267630"/>
    <w:rsid w:val="00267AE7"/>
    <w:rsid w:val="00270FF4"/>
    <w:rsid w:val="0027175C"/>
    <w:rsid w:val="0027397A"/>
    <w:rsid w:val="002754E3"/>
    <w:rsid w:val="00276D3B"/>
    <w:rsid w:val="00281B2D"/>
    <w:rsid w:val="00282A43"/>
    <w:rsid w:val="00282DBC"/>
    <w:rsid w:val="0028466E"/>
    <w:rsid w:val="00287A59"/>
    <w:rsid w:val="00290740"/>
    <w:rsid w:val="0029507B"/>
    <w:rsid w:val="0029579E"/>
    <w:rsid w:val="002958AE"/>
    <w:rsid w:val="00295D4C"/>
    <w:rsid w:val="0029731C"/>
    <w:rsid w:val="002A087F"/>
    <w:rsid w:val="002A10D5"/>
    <w:rsid w:val="002A18C6"/>
    <w:rsid w:val="002A245F"/>
    <w:rsid w:val="002A2572"/>
    <w:rsid w:val="002A3C3E"/>
    <w:rsid w:val="002A3D72"/>
    <w:rsid w:val="002A5120"/>
    <w:rsid w:val="002A6135"/>
    <w:rsid w:val="002A75CB"/>
    <w:rsid w:val="002A7E4C"/>
    <w:rsid w:val="002B12D9"/>
    <w:rsid w:val="002B27BC"/>
    <w:rsid w:val="002C0240"/>
    <w:rsid w:val="002C0CBF"/>
    <w:rsid w:val="002C24FF"/>
    <w:rsid w:val="002C34EE"/>
    <w:rsid w:val="002C4654"/>
    <w:rsid w:val="002C4979"/>
    <w:rsid w:val="002C50AE"/>
    <w:rsid w:val="002C5F6B"/>
    <w:rsid w:val="002C5FFB"/>
    <w:rsid w:val="002C7B50"/>
    <w:rsid w:val="002D0BE5"/>
    <w:rsid w:val="002D32B1"/>
    <w:rsid w:val="002D3900"/>
    <w:rsid w:val="002D3FED"/>
    <w:rsid w:val="002D7AE0"/>
    <w:rsid w:val="002E06E5"/>
    <w:rsid w:val="002E12B6"/>
    <w:rsid w:val="002E1582"/>
    <w:rsid w:val="002E4850"/>
    <w:rsid w:val="002E5C6B"/>
    <w:rsid w:val="002E6901"/>
    <w:rsid w:val="002E7B4F"/>
    <w:rsid w:val="002E7DA5"/>
    <w:rsid w:val="002F118F"/>
    <w:rsid w:val="002F174B"/>
    <w:rsid w:val="002F247C"/>
    <w:rsid w:val="002F3206"/>
    <w:rsid w:val="002F4940"/>
    <w:rsid w:val="002F4CE7"/>
    <w:rsid w:val="002F5625"/>
    <w:rsid w:val="002F5C4B"/>
    <w:rsid w:val="002F637B"/>
    <w:rsid w:val="002F747C"/>
    <w:rsid w:val="002F7BB5"/>
    <w:rsid w:val="002F7DD0"/>
    <w:rsid w:val="00300A0A"/>
    <w:rsid w:val="00301FED"/>
    <w:rsid w:val="00302220"/>
    <w:rsid w:val="00302CB8"/>
    <w:rsid w:val="003039B8"/>
    <w:rsid w:val="00304EC6"/>
    <w:rsid w:val="0030506B"/>
    <w:rsid w:val="00311439"/>
    <w:rsid w:val="00312B18"/>
    <w:rsid w:val="0031428A"/>
    <w:rsid w:val="003173D9"/>
    <w:rsid w:val="00320C90"/>
    <w:rsid w:val="003227B1"/>
    <w:rsid w:val="0032281D"/>
    <w:rsid w:val="0032358C"/>
    <w:rsid w:val="00325911"/>
    <w:rsid w:val="003261BA"/>
    <w:rsid w:val="00326979"/>
    <w:rsid w:val="00327268"/>
    <w:rsid w:val="00327D88"/>
    <w:rsid w:val="00330A75"/>
    <w:rsid w:val="00331BB9"/>
    <w:rsid w:val="00332748"/>
    <w:rsid w:val="003327B8"/>
    <w:rsid w:val="00332C90"/>
    <w:rsid w:val="00334D7E"/>
    <w:rsid w:val="00335758"/>
    <w:rsid w:val="00337F8C"/>
    <w:rsid w:val="003404ED"/>
    <w:rsid w:val="003412FB"/>
    <w:rsid w:val="00342178"/>
    <w:rsid w:val="00342A08"/>
    <w:rsid w:val="003466E1"/>
    <w:rsid w:val="00346965"/>
    <w:rsid w:val="00347023"/>
    <w:rsid w:val="003470E9"/>
    <w:rsid w:val="00347E8C"/>
    <w:rsid w:val="00350890"/>
    <w:rsid w:val="0035181A"/>
    <w:rsid w:val="00351878"/>
    <w:rsid w:val="00351CC6"/>
    <w:rsid w:val="0035314F"/>
    <w:rsid w:val="00353855"/>
    <w:rsid w:val="003558C9"/>
    <w:rsid w:val="00355B68"/>
    <w:rsid w:val="00356497"/>
    <w:rsid w:val="00356DDA"/>
    <w:rsid w:val="00360300"/>
    <w:rsid w:val="0036108E"/>
    <w:rsid w:val="0036176C"/>
    <w:rsid w:val="00362970"/>
    <w:rsid w:val="00363864"/>
    <w:rsid w:val="0036441F"/>
    <w:rsid w:val="00364B12"/>
    <w:rsid w:val="00364FBF"/>
    <w:rsid w:val="00367C3A"/>
    <w:rsid w:val="00370525"/>
    <w:rsid w:val="0037056E"/>
    <w:rsid w:val="003708C4"/>
    <w:rsid w:val="00370D44"/>
    <w:rsid w:val="00371B2A"/>
    <w:rsid w:val="00371EAC"/>
    <w:rsid w:val="00372344"/>
    <w:rsid w:val="00373430"/>
    <w:rsid w:val="00374982"/>
    <w:rsid w:val="00375012"/>
    <w:rsid w:val="00375349"/>
    <w:rsid w:val="0037554F"/>
    <w:rsid w:val="00375BE7"/>
    <w:rsid w:val="00376774"/>
    <w:rsid w:val="003773A8"/>
    <w:rsid w:val="003777DD"/>
    <w:rsid w:val="00380BDD"/>
    <w:rsid w:val="00380E53"/>
    <w:rsid w:val="003815B1"/>
    <w:rsid w:val="003825F4"/>
    <w:rsid w:val="00383CE8"/>
    <w:rsid w:val="00384EEB"/>
    <w:rsid w:val="003852E3"/>
    <w:rsid w:val="00385803"/>
    <w:rsid w:val="003858CD"/>
    <w:rsid w:val="00385ED6"/>
    <w:rsid w:val="00387378"/>
    <w:rsid w:val="00387395"/>
    <w:rsid w:val="00387641"/>
    <w:rsid w:val="003905CC"/>
    <w:rsid w:val="00391437"/>
    <w:rsid w:val="0039275D"/>
    <w:rsid w:val="00392EBD"/>
    <w:rsid w:val="00395D73"/>
    <w:rsid w:val="00397009"/>
    <w:rsid w:val="003978C3"/>
    <w:rsid w:val="003A169D"/>
    <w:rsid w:val="003A1EC1"/>
    <w:rsid w:val="003A2423"/>
    <w:rsid w:val="003A2EF2"/>
    <w:rsid w:val="003A2F32"/>
    <w:rsid w:val="003A37FE"/>
    <w:rsid w:val="003A39C5"/>
    <w:rsid w:val="003A4567"/>
    <w:rsid w:val="003A7BDE"/>
    <w:rsid w:val="003B13B2"/>
    <w:rsid w:val="003B16A9"/>
    <w:rsid w:val="003B24B2"/>
    <w:rsid w:val="003B290D"/>
    <w:rsid w:val="003B3454"/>
    <w:rsid w:val="003B3759"/>
    <w:rsid w:val="003B3DBF"/>
    <w:rsid w:val="003B4049"/>
    <w:rsid w:val="003B453A"/>
    <w:rsid w:val="003B4DD1"/>
    <w:rsid w:val="003B556B"/>
    <w:rsid w:val="003B640B"/>
    <w:rsid w:val="003B79B5"/>
    <w:rsid w:val="003B7FD8"/>
    <w:rsid w:val="003C046A"/>
    <w:rsid w:val="003C1E56"/>
    <w:rsid w:val="003C21B3"/>
    <w:rsid w:val="003C360C"/>
    <w:rsid w:val="003C3623"/>
    <w:rsid w:val="003C5072"/>
    <w:rsid w:val="003C5416"/>
    <w:rsid w:val="003C5641"/>
    <w:rsid w:val="003C59E3"/>
    <w:rsid w:val="003C6654"/>
    <w:rsid w:val="003C67AC"/>
    <w:rsid w:val="003C72ED"/>
    <w:rsid w:val="003C76F2"/>
    <w:rsid w:val="003D017B"/>
    <w:rsid w:val="003D1B5B"/>
    <w:rsid w:val="003D25A8"/>
    <w:rsid w:val="003D26A4"/>
    <w:rsid w:val="003D2798"/>
    <w:rsid w:val="003D2A12"/>
    <w:rsid w:val="003D2A7A"/>
    <w:rsid w:val="003D2CCB"/>
    <w:rsid w:val="003D35FF"/>
    <w:rsid w:val="003D3EC5"/>
    <w:rsid w:val="003D4597"/>
    <w:rsid w:val="003D483B"/>
    <w:rsid w:val="003D4909"/>
    <w:rsid w:val="003D5C48"/>
    <w:rsid w:val="003D605F"/>
    <w:rsid w:val="003D642A"/>
    <w:rsid w:val="003D7A83"/>
    <w:rsid w:val="003E0758"/>
    <w:rsid w:val="003E0AAC"/>
    <w:rsid w:val="003E1CFE"/>
    <w:rsid w:val="003E1F42"/>
    <w:rsid w:val="003E21C5"/>
    <w:rsid w:val="003E2586"/>
    <w:rsid w:val="003E43E3"/>
    <w:rsid w:val="003E4A15"/>
    <w:rsid w:val="003E5851"/>
    <w:rsid w:val="003E6752"/>
    <w:rsid w:val="003F1D71"/>
    <w:rsid w:val="003F1E43"/>
    <w:rsid w:val="003F281E"/>
    <w:rsid w:val="003F3E67"/>
    <w:rsid w:val="003F4571"/>
    <w:rsid w:val="003F4930"/>
    <w:rsid w:val="003F49A5"/>
    <w:rsid w:val="003F4AAE"/>
    <w:rsid w:val="003F598B"/>
    <w:rsid w:val="00400163"/>
    <w:rsid w:val="00400506"/>
    <w:rsid w:val="00407D4B"/>
    <w:rsid w:val="00410B25"/>
    <w:rsid w:val="004117EB"/>
    <w:rsid w:val="00412382"/>
    <w:rsid w:val="00412EDB"/>
    <w:rsid w:val="0041300F"/>
    <w:rsid w:val="00413940"/>
    <w:rsid w:val="004153DE"/>
    <w:rsid w:val="00416205"/>
    <w:rsid w:val="00416787"/>
    <w:rsid w:val="00416C6A"/>
    <w:rsid w:val="0042057C"/>
    <w:rsid w:val="00420D29"/>
    <w:rsid w:val="0042145A"/>
    <w:rsid w:val="004214AA"/>
    <w:rsid w:val="00423253"/>
    <w:rsid w:val="00426B3D"/>
    <w:rsid w:val="00427166"/>
    <w:rsid w:val="00427E0F"/>
    <w:rsid w:val="00430BEC"/>
    <w:rsid w:val="004318B6"/>
    <w:rsid w:val="00432E29"/>
    <w:rsid w:val="00433E4D"/>
    <w:rsid w:val="00440868"/>
    <w:rsid w:val="004416D6"/>
    <w:rsid w:val="00441899"/>
    <w:rsid w:val="00441F38"/>
    <w:rsid w:val="00442FDF"/>
    <w:rsid w:val="00443B7C"/>
    <w:rsid w:val="00443BAD"/>
    <w:rsid w:val="004468E2"/>
    <w:rsid w:val="00447AD1"/>
    <w:rsid w:val="00447BD7"/>
    <w:rsid w:val="00447DFE"/>
    <w:rsid w:val="00450DB0"/>
    <w:rsid w:val="00451341"/>
    <w:rsid w:val="004522CB"/>
    <w:rsid w:val="00453576"/>
    <w:rsid w:val="004545E2"/>
    <w:rsid w:val="00455265"/>
    <w:rsid w:val="00456549"/>
    <w:rsid w:val="00456FAB"/>
    <w:rsid w:val="00457B60"/>
    <w:rsid w:val="00460147"/>
    <w:rsid w:val="0046166D"/>
    <w:rsid w:val="004617A1"/>
    <w:rsid w:val="00461F04"/>
    <w:rsid w:val="004620DD"/>
    <w:rsid w:val="0046265B"/>
    <w:rsid w:val="00463687"/>
    <w:rsid w:val="00465CA1"/>
    <w:rsid w:val="00466D47"/>
    <w:rsid w:val="00467288"/>
    <w:rsid w:val="00467696"/>
    <w:rsid w:val="00467B51"/>
    <w:rsid w:val="004702C1"/>
    <w:rsid w:val="00472CB5"/>
    <w:rsid w:val="004741E7"/>
    <w:rsid w:val="00474D76"/>
    <w:rsid w:val="00474FEE"/>
    <w:rsid w:val="00475380"/>
    <w:rsid w:val="00477AC3"/>
    <w:rsid w:val="0048004D"/>
    <w:rsid w:val="00480F5D"/>
    <w:rsid w:val="004819B4"/>
    <w:rsid w:val="00482022"/>
    <w:rsid w:val="004822F6"/>
    <w:rsid w:val="0048266C"/>
    <w:rsid w:val="0048274D"/>
    <w:rsid w:val="00482FAE"/>
    <w:rsid w:val="00483DBE"/>
    <w:rsid w:val="00484B5D"/>
    <w:rsid w:val="004850D5"/>
    <w:rsid w:val="00486532"/>
    <w:rsid w:val="00486896"/>
    <w:rsid w:val="00490294"/>
    <w:rsid w:val="004902A9"/>
    <w:rsid w:val="00490D58"/>
    <w:rsid w:val="00490DA0"/>
    <w:rsid w:val="00491FE9"/>
    <w:rsid w:val="0049293B"/>
    <w:rsid w:val="004930EE"/>
    <w:rsid w:val="00493E72"/>
    <w:rsid w:val="00495F05"/>
    <w:rsid w:val="00497097"/>
    <w:rsid w:val="00497C74"/>
    <w:rsid w:val="004A33C9"/>
    <w:rsid w:val="004A5451"/>
    <w:rsid w:val="004A55FF"/>
    <w:rsid w:val="004A6054"/>
    <w:rsid w:val="004A64B6"/>
    <w:rsid w:val="004B0336"/>
    <w:rsid w:val="004B1759"/>
    <w:rsid w:val="004B1F15"/>
    <w:rsid w:val="004B3297"/>
    <w:rsid w:val="004B4564"/>
    <w:rsid w:val="004B575D"/>
    <w:rsid w:val="004B5CB8"/>
    <w:rsid w:val="004B6088"/>
    <w:rsid w:val="004C1AC2"/>
    <w:rsid w:val="004C3F12"/>
    <w:rsid w:val="004C449E"/>
    <w:rsid w:val="004C4696"/>
    <w:rsid w:val="004C5F67"/>
    <w:rsid w:val="004C61C2"/>
    <w:rsid w:val="004C7E6A"/>
    <w:rsid w:val="004D0006"/>
    <w:rsid w:val="004D2754"/>
    <w:rsid w:val="004D2C64"/>
    <w:rsid w:val="004D2FDA"/>
    <w:rsid w:val="004D30D5"/>
    <w:rsid w:val="004D4D13"/>
    <w:rsid w:val="004D5369"/>
    <w:rsid w:val="004D7764"/>
    <w:rsid w:val="004D7DD4"/>
    <w:rsid w:val="004E0DE7"/>
    <w:rsid w:val="004E1110"/>
    <w:rsid w:val="004E171B"/>
    <w:rsid w:val="004E1953"/>
    <w:rsid w:val="004E19B3"/>
    <w:rsid w:val="004E2FAF"/>
    <w:rsid w:val="004E3011"/>
    <w:rsid w:val="004E4AF4"/>
    <w:rsid w:val="004E4B6C"/>
    <w:rsid w:val="004E53DD"/>
    <w:rsid w:val="004E6533"/>
    <w:rsid w:val="004F0210"/>
    <w:rsid w:val="004F0B66"/>
    <w:rsid w:val="004F1CBD"/>
    <w:rsid w:val="004F68E8"/>
    <w:rsid w:val="00500A0F"/>
    <w:rsid w:val="00501DEA"/>
    <w:rsid w:val="005029AB"/>
    <w:rsid w:val="00502A09"/>
    <w:rsid w:val="00502B57"/>
    <w:rsid w:val="005039E4"/>
    <w:rsid w:val="00506799"/>
    <w:rsid w:val="005069EC"/>
    <w:rsid w:val="00507EB0"/>
    <w:rsid w:val="00510161"/>
    <w:rsid w:val="0051114D"/>
    <w:rsid w:val="00513D9F"/>
    <w:rsid w:val="00514395"/>
    <w:rsid w:val="00514547"/>
    <w:rsid w:val="00514E59"/>
    <w:rsid w:val="0051569D"/>
    <w:rsid w:val="00516F1B"/>
    <w:rsid w:val="005200A6"/>
    <w:rsid w:val="005217F0"/>
    <w:rsid w:val="00522623"/>
    <w:rsid w:val="00522A3E"/>
    <w:rsid w:val="00522B2C"/>
    <w:rsid w:val="00523CB3"/>
    <w:rsid w:val="00523E39"/>
    <w:rsid w:val="0052411E"/>
    <w:rsid w:val="00524D85"/>
    <w:rsid w:val="00525420"/>
    <w:rsid w:val="00525B3F"/>
    <w:rsid w:val="00525FBE"/>
    <w:rsid w:val="00526373"/>
    <w:rsid w:val="00526906"/>
    <w:rsid w:val="00526B20"/>
    <w:rsid w:val="00532D86"/>
    <w:rsid w:val="0053381C"/>
    <w:rsid w:val="00536754"/>
    <w:rsid w:val="00537DC8"/>
    <w:rsid w:val="00540E71"/>
    <w:rsid w:val="00541621"/>
    <w:rsid w:val="00542537"/>
    <w:rsid w:val="00542615"/>
    <w:rsid w:val="00543703"/>
    <w:rsid w:val="00543CCA"/>
    <w:rsid w:val="00544F5F"/>
    <w:rsid w:val="00546DD7"/>
    <w:rsid w:val="005506FE"/>
    <w:rsid w:val="0055118C"/>
    <w:rsid w:val="00551C61"/>
    <w:rsid w:val="00552D6A"/>
    <w:rsid w:val="00552FE0"/>
    <w:rsid w:val="00553FE7"/>
    <w:rsid w:val="00557D9F"/>
    <w:rsid w:val="005605FD"/>
    <w:rsid w:val="00561820"/>
    <w:rsid w:val="00561A2C"/>
    <w:rsid w:val="005621B2"/>
    <w:rsid w:val="0056266C"/>
    <w:rsid w:val="00562CB8"/>
    <w:rsid w:val="0056312B"/>
    <w:rsid w:val="00565593"/>
    <w:rsid w:val="005668B3"/>
    <w:rsid w:val="00571113"/>
    <w:rsid w:val="005721B0"/>
    <w:rsid w:val="00573882"/>
    <w:rsid w:val="00573F1D"/>
    <w:rsid w:val="00574F62"/>
    <w:rsid w:val="0057568D"/>
    <w:rsid w:val="005773BD"/>
    <w:rsid w:val="005809A5"/>
    <w:rsid w:val="00582AC7"/>
    <w:rsid w:val="005840DF"/>
    <w:rsid w:val="00585A67"/>
    <w:rsid w:val="00585FAE"/>
    <w:rsid w:val="00586C15"/>
    <w:rsid w:val="00586D88"/>
    <w:rsid w:val="005904F8"/>
    <w:rsid w:val="005911F5"/>
    <w:rsid w:val="00592A9E"/>
    <w:rsid w:val="00592CEF"/>
    <w:rsid w:val="005931A0"/>
    <w:rsid w:val="00593349"/>
    <w:rsid w:val="005933A0"/>
    <w:rsid w:val="00593530"/>
    <w:rsid w:val="00593902"/>
    <w:rsid w:val="00594F7C"/>
    <w:rsid w:val="00596EF1"/>
    <w:rsid w:val="00597361"/>
    <w:rsid w:val="005A131F"/>
    <w:rsid w:val="005A23C5"/>
    <w:rsid w:val="005A2A2E"/>
    <w:rsid w:val="005A3EBF"/>
    <w:rsid w:val="005A4125"/>
    <w:rsid w:val="005A6731"/>
    <w:rsid w:val="005A6F0F"/>
    <w:rsid w:val="005B1658"/>
    <w:rsid w:val="005B350C"/>
    <w:rsid w:val="005B3E72"/>
    <w:rsid w:val="005B40EE"/>
    <w:rsid w:val="005B4840"/>
    <w:rsid w:val="005B6CC4"/>
    <w:rsid w:val="005C0595"/>
    <w:rsid w:val="005C0D35"/>
    <w:rsid w:val="005C14B6"/>
    <w:rsid w:val="005C233A"/>
    <w:rsid w:val="005C3751"/>
    <w:rsid w:val="005C4FDD"/>
    <w:rsid w:val="005C5CE3"/>
    <w:rsid w:val="005D235A"/>
    <w:rsid w:val="005D3313"/>
    <w:rsid w:val="005D5B57"/>
    <w:rsid w:val="005D5FDF"/>
    <w:rsid w:val="005D6E70"/>
    <w:rsid w:val="005E1D07"/>
    <w:rsid w:val="005E2A63"/>
    <w:rsid w:val="005E528A"/>
    <w:rsid w:val="005E7C17"/>
    <w:rsid w:val="005F00ED"/>
    <w:rsid w:val="005F05EB"/>
    <w:rsid w:val="005F2432"/>
    <w:rsid w:val="005F7854"/>
    <w:rsid w:val="005F7B39"/>
    <w:rsid w:val="005F7D8E"/>
    <w:rsid w:val="00602995"/>
    <w:rsid w:val="00604668"/>
    <w:rsid w:val="00605668"/>
    <w:rsid w:val="006058CF"/>
    <w:rsid w:val="00606EAD"/>
    <w:rsid w:val="00610B83"/>
    <w:rsid w:val="00610ECC"/>
    <w:rsid w:val="0061104B"/>
    <w:rsid w:val="0061184C"/>
    <w:rsid w:val="00613080"/>
    <w:rsid w:val="006142B7"/>
    <w:rsid w:val="006147B8"/>
    <w:rsid w:val="006155E5"/>
    <w:rsid w:val="00616E13"/>
    <w:rsid w:val="0061754E"/>
    <w:rsid w:val="00617A7C"/>
    <w:rsid w:val="00617B11"/>
    <w:rsid w:val="006222E6"/>
    <w:rsid w:val="00624E2D"/>
    <w:rsid w:val="0062678E"/>
    <w:rsid w:val="00626E55"/>
    <w:rsid w:val="00627CAD"/>
    <w:rsid w:val="00631A0C"/>
    <w:rsid w:val="00631F58"/>
    <w:rsid w:val="00632502"/>
    <w:rsid w:val="00632F2B"/>
    <w:rsid w:val="006330AC"/>
    <w:rsid w:val="00633947"/>
    <w:rsid w:val="00633AF9"/>
    <w:rsid w:val="00633B78"/>
    <w:rsid w:val="00634109"/>
    <w:rsid w:val="00635403"/>
    <w:rsid w:val="0063574C"/>
    <w:rsid w:val="00636846"/>
    <w:rsid w:val="006379C2"/>
    <w:rsid w:val="0064031D"/>
    <w:rsid w:val="00640A4E"/>
    <w:rsid w:val="00640E7E"/>
    <w:rsid w:val="00640F38"/>
    <w:rsid w:val="006416FE"/>
    <w:rsid w:val="00641B88"/>
    <w:rsid w:val="006423BD"/>
    <w:rsid w:val="00642B2C"/>
    <w:rsid w:val="00644907"/>
    <w:rsid w:val="00645E26"/>
    <w:rsid w:val="00645F91"/>
    <w:rsid w:val="006465DD"/>
    <w:rsid w:val="0064796F"/>
    <w:rsid w:val="00652075"/>
    <w:rsid w:val="00653661"/>
    <w:rsid w:val="00653D4E"/>
    <w:rsid w:val="00654EBD"/>
    <w:rsid w:val="00655378"/>
    <w:rsid w:val="006607D9"/>
    <w:rsid w:val="00660D33"/>
    <w:rsid w:val="00661242"/>
    <w:rsid w:val="0066167E"/>
    <w:rsid w:val="00662B36"/>
    <w:rsid w:val="00663713"/>
    <w:rsid w:val="00663CDA"/>
    <w:rsid w:val="00664F45"/>
    <w:rsid w:val="00666852"/>
    <w:rsid w:val="00666EC5"/>
    <w:rsid w:val="006671E1"/>
    <w:rsid w:val="006672DD"/>
    <w:rsid w:val="00670036"/>
    <w:rsid w:val="00670264"/>
    <w:rsid w:val="006734D4"/>
    <w:rsid w:val="006735E5"/>
    <w:rsid w:val="00675370"/>
    <w:rsid w:val="00675C65"/>
    <w:rsid w:val="00676101"/>
    <w:rsid w:val="0067614F"/>
    <w:rsid w:val="00676368"/>
    <w:rsid w:val="00677D37"/>
    <w:rsid w:val="00681334"/>
    <w:rsid w:val="00681FA2"/>
    <w:rsid w:val="006829E5"/>
    <w:rsid w:val="006853FF"/>
    <w:rsid w:val="00685E62"/>
    <w:rsid w:val="00686DB8"/>
    <w:rsid w:val="00690282"/>
    <w:rsid w:val="006906A5"/>
    <w:rsid w:val="006943E3"/>
    <w:rsid w:val="00696173"/>
    <w:rsid w:val="00696E39"/>
    <w:rsid w:val="0069774A"/>
    <w:rsid w:val="006A157E"/>
    <w:rsid w:val="006A1F0A"/>
    <w:rsid w:val="006A253F"/>
    <w:rsid w:val="006A285D"/>
    <w:rsid w:val="006A2B62"/>
    <w:rsid w:val="006A3196"/>
    <w:rsid w:val="006A3841"/>
    <w:rsid w:val="006A59AF"/>
    <w:rsid w:val="006A7067"/>
    <w:rsid w:val="006A769E"/>
    <w:rsid w:val="006A787B"/>
    <w:rsid w:val="006B0D4A"/>
    <w:rsid w:val="006B19D4"/>
    <w:rsid w:val="006B435D"/>
    <w:rsid w:val="006B49C3"/>
    <w:rsid w:val="006B5EA0"/>
    <w:rsid w:val="006B6132"/>
    <w:rsid w:val="006C0333"/>
    <w:rsid w:val="006C2EB2"/>
    <w:rsid w:val="006C3D09"/>
    <w:rsid w:val="006C40F2"/>
    <w:rsid w:val="006C4743"/>
    <w:rsid w:val="006C53AC"/>
    <w:rsid w:val="006C599B"/>
    <w:rsid w:val="006C6942"/>
    <w:rsid w:val="006D0511"/>
    <w:rsid w:val="006D05E4"/>
    <w:rsid w:val="006D109B"/>
    <w:rsid w:val="006D340D"/>
    <w:rsid w:val="006D477C"/>
    <w:rsid w:val="006E0609"/>
    <w:rsid w:val="006E16B9"/>
    <w:rsid w:val="006E174D"/>
    <w:rsid w:val="006E2013"/>
    <w:rsid w:val="006E24AE"/>
    <w:rsid w:val="006E25AF"/>
    <w:rsid w:val="006E351D"/>
    <w:rsid w:val="006E4CFB"/>
    <w:rsid w:val="006E5BBA"/>
    <w:rsid w:val="006E718F"/>
    <w:rsid w:val="006F1F34"/>
    <w:rsid w:val="006F21BA"/>
    <w:rsid w:val="006F2EFC"/>
    <w:rsid w:val="006F3537"/>
    <w:rsid w:val="006F5881"/>
    <w:rsid w:val="006F7157"/>
    <w:rsid w:val="00701121"/>
    <w:rsid w:val="007011AD"/>
    <w:rsid w:val="00701F4C"/>
    <w:rsid w:val="007024E1"/>
    <w:rsid w:val="007038AA"/>
    <w:rsid w:val="00704243"/>
    <w:rsid w:val="00705A02"/>
    <w:rsid w:val="00705E23"/>
    <w:rsid w:val="00705E88"/>
    <w:rsid w:val="00706C70"/>
    <w:rsid w:val="00707A91"/>
    <w:rsid w:val="0071010B"/>
    <w:rsid w:val="00712434"/>
    <w:rsid w:val="007140BB"/>
    <w:rsid w:val="00714118"/>
    <w:rsid w:val="00714AA0"/>
    <w:rsid w:val="007158F9"/>
    <w:rsid w:val="00715D43"/>
    <w:rsid w:val="00715F7B"/>
    <w:rsid w:val="007160C8"/>
    <w:rsid w:val="007161AB"/>
    <w:rsid w:val="007162CC"/>
    <w:rsid w:val="007178BA"/>
    <w:rsid w:val="007205FF"/>
    <w:rsid w:val="00722A55"/>
    <w:rsid w:val="00722CFA"/>
    <w:rsid w:val="00723995"/>
    <w:rsid w:val="00724708"/>
    <w:rsid w:val="00724A4E"/>
    <w:rsid w:val="0072513A"/>
    <w:rsid w:val="0072548D"/>
    <w:rsid w:val="00726831"/>
    <w:rsid w:val="0072740D"/>
    <w:rsid w:val="007300A8"/>
    <w:rsid w:val="007310CC"/>
    <w:rsid w:val="00731DBB"/>
    <w:rsid w:val="00732410"/>
    <w:rsid w:val="00734AA7"/>
    <w:rsid w:val="00735BBB"/>
    <w:rsid w:val="00737A9C"/>
    <w:rsid w:val="00737C92"/>
    <w:rsid w:val="00741F91"/>
    <w:rsid w:val="0074521A"/>
    <w:rsid w:val="007457D2"/>
    <w:rsid w:val="00747960"/>
    <w:rsid w:val="00750C2F"/>
    <w:rsid w:val="007510A3"/>
    <w:rsid w:val="00751FA2"/>
    <w:rsid w:val="00753616"/>
    <w:rsid w:val="00753A67"/>
    <w:rsid w:val="00754CA4"/>
    <w:rsid w:val="007601E2"/>
    <w:rsid w:val="00761CB6"/>
    <w:rsid w:val="0076230D"/>
    <w:rsid w:val="00763538"/>
    <w:rsid w:val="0076463A"/>
    <w:rsid w:val="007646B7"/>
    <w:rsid w:val="0076509B"/>
    <w:rsid w:val="00767861"/>
    <w:rsid w:val="00770125"/>
    <w:rsid w:val="0077107D"/>
    <w:rsid w:val="0077245A"/>
    <w:rsid w:val="007725FD"/>
    <w:rsid w:val="00772FBC"/>
    <w:rsid w:val="0077580C"/>
    <w:rsid w:val="00775E50"/>
    <w:rsid w:val="007764C1"/>
    <w:rsid w:val="007805F0"/>
    <w:rsid w:val="00780721"/>
    <w:rsid w:val="0078239C"/>
    <w:rsid w:val="00783551"/>
    <w:rsid w:val="00783BDA"/>
    <w:rsid w:val="00784AC1"/>
    <w:rsid w:val="00785CC0"/>
    <w:rsid w:val="007864BF"/>
    <w:rsid w:val="007905B8"/>
    <w:rsid w:val="00790ACA"/>
    <w:rsid w:val="00790C87"/>
    <w:rsid w:val="00790FBF"/>
    <w:rsid w:val="0079460A"/>
    <w:rsid w:val="00794F85"/>
    <w:rsid w:val="007954F4"/>
    <w:rsid w:val="00796FFE"/>
    <w:rsid w:val="007A03FA"/>
    <w:rsid w:val="007A13DD"/>
    <w:rsid w:val="007A23F0"/>
    <w:rsid w:val="007A2A67"/>
    <w:rsid w:val="007A3055"/>
    <w:rsid w:val="007A46CF"/>
    <w:rsid w:val="007A4AD8"/>
    <w:rsid w:val="007A59AB"/>
    <w:rsid w:val="007A5C32"/>
    <w:rsid w:val="007A73E4"/>
    <w:rsid w:val="007B05F9"/>
    <w:rsid w:val="007B09A7"/>
    <w:rsid w:val="007B0DD1"/>
    <w:rsid w:val="007B11D8"/>
    <w:rsid w:val="007B12EB"/>
    <w:rsid w:val="007B1319"/>
    <w:rsid w:val="007B1404"/>
    <w:rsid w:val="007B511E"/>
    <w:rsid w:val="007B59E4"/>
    <w:rsid w:val="007B7CF1"/>
    <w:rsid w:val="007C4DE6"/>
    <w:rsid w:val="007C666F"/>
    <w:rsid w:val="007C6EAF"/>
    <w:rsid w:val="007C7539"/>
    <w:rsid w:val="007D0A81"/>
    <w:rsid w:val="007D1BA4"/>
    <w:rsid w:val="007D2A3D"/>
    <w:rsid w:val="007D2CC0"/>
    <w:rsid w:val="007D2DF0"/>
    <w:rsid w:val="007D34DD"/>
    <w:rsid w:val="007D45D2"/>
    <w:rsid w:val="007D6686"/>
    <w:rsid w:val="007D66D3"/>
    <w:rsid w:val="007D747C"/>
    <w:rsid w:val="007D7887"/>
    <w:rsid w:val="007E00D1"/>
    <w:rsid w:val="007E01AC"/>
    <w:rsid w:val="007E2095"/>
    <w:rsid w:val="007E2312"/>
    <w:rsid w:val="007E2F4B"/>
    <w:rsid w:val="007E4752"/>
    <w:rsid w:val="007E4A11"/>
    <w:rsid w:val="007E4E30"/>
    <w:rsid w:val="007E64F8"/>
    <w:rsid w:val="007E6588"/>
    <w:rsid w:val="007E671B"/>
    <w:rsid w:val="007F1FB8"/>
    <w:rsid w:val="007F229E"/>
    <w:rsid w:val="007F2876"/>
    <w:rsid w:val="007F3645"/>
    <w:rsid w:val="007F3EE0"/>
    <w:rsid w:val="007F4539"/>
    <w:rsid w:val="007F5704"/>
    <w:rsid w:val="007F57E7"/>
    <w:rsid w:val="007F5F19"/>
    <w:rsid w:val="007F7984"/>
    <w:rsid w:val="007F7DB9"/>
    <w:rsid w:val="00801B78"/>
    <w:rsid w:val="00803073"/>
    <w:rsid w:val="008044BD"/>
    <w:rsid w:val="00804B9C"/>
    <w:rsid w:val="00805A7F"/>
    <w:rsid w:val="00805D6F"/>
    <w:rsid w:val="008060A4"/>
    <w:rsid w:val="00810A30"/>
    <w:rsid w:val="008148C6"/>
    <w:rsid w:val="00815090"/>
    <w:rsid w:val="0081523A"/>
    <w:rsid w:val="00815732"/>
    <w:rsid w:val="0081597E"/>
    <w:rsid w:val="0081619A"/>
    <w:rsid w:val="00816C5A"/>
    <w:rsid w:val="008210B4"/>
    <w:rsid w:val="00821225"/>
    <w:rsid w:val="0082272B"/>
    <w:rsid w:val="008256A0"/>
    <w:rsid w:val="00827C66"/>
    <w:rsid w:val="0083140B"/>
    <w:rsid w:val="008320B8"/>
    <w:rsid w:val="008346BB"/>
    <w:rsid w:val="008358E1"/>
    <w:rsid w:val="00835A75"/>
    <w:rsid w:val="00837212"/>
    <w:rsid w:val="00837B29"/>
    <w:rsid w:val="00837BCC"/>
    <w:rsid w:val="0084188D"/>
    <w:rsid w:val="0084216B"/>
    <w:rsid w:val="008422EE"/>
    <w:rsid w:val="00842BC4"/>
    <w:rsid w:val="00845E78"/>
    <w:rsid w:val="00846381"/>
    <w:rsid w:val="00846DBF"/>
    <w:rsid w:val="00851310"/>
    <w:rsid w:val="008516B9"/>
    <w:rsid w:val="00851C32"/>
    <w:rsid w:val="00851EB1"/>
    <w:rsid w:val="008528A8"/>
    <w:rsid w:val="00852E32"/>
    <w:rsid w:val="0085367F"/>
    <w:rsid w:val="0085383A"/>
    <w:rsid w:val="00854024"/>
    <w:rsid w:val="008547EE"/>
    <w:rsid w:val="00855607"/>
    <w:rsid w:val="00855695"/>
    <w:rsid w:val="00855F09"/>
    <w:rsid w:val="00855F81"/>
    <w:rsid w:val="008569AF"/>
    <w:rsid w:val="00856A85"/>
    <w:rsid w:val="00860D7F"/>
    <w:rsid w:val="0086356F"/>
    <w:rsid w:val="00864CBC"/>
    <w:rsid w:val="00870A43"/>
    <w:rsid w:val="00870B63"/>
    <w:rsid w:val="00872268"/>
    <w:rsid w:val="0087228D"/>
    <w:rsid w:val="00872D9D"/>
    <w:rsid w:val="00873FB9"/>
    <w:rsid w:val="00874A19"/>
    <w:rsid w:val="00876332"/>
    <w:rsid w:val="00877D7E"/>
    <w:rsid w:val="008800E7"/>
    <w:rsid w:val="008805CC"/>
    <w:rsid w:val="008808D7"/>
    <w:rsid w:val="008819E2"/>
    <w:rsid w:val="008827B1"/>
    <w:rsid w:val="008846D6"/>
    <w:rsid w:val="00884DEB"/>
    <w:rsid w:val="00887292"/>
    <w:rsid w:val="0088730F"/>
    <w:rsid w:val="008875C7"/>
    <w:rsid w:val="008904AE"/>
    <w:rsid w:val="008914ED"/>
    <w:rsid w:val="008919D6"/>
    <w:rsid w:val="00891C1D"/>
    <w:rsid w:val="00892A40"/>
    <w:rsid w:val="0089458E"/>
    <w:rsid w:val="00894B32"/>
    <w:rsid w:val="00896098"/>
    <w:rsid w:val="00896ADE"/>
    <w:rsid w:val="00897C4E"/>
    <w:rsid w:val="008A1AA2"/>
    <w:rsid w:val="008A2D1E"/>
    <w:rsid w:val="008A4B1E"/>
    <w:rsid w:val="008A5250"/>
    <w:rsid w:val="008A561C"/>
    <w:rsid w:val="008A61C3"/>
    <w:rsid w:val="008A6AB1"/>
    <w:rsid w:val="008A76D1"/>
    <w:rsid w:val="008B0383"/>
    <w:rsid w:val="008B07AE"/>
    <w:rsid w:val="008B334D"/>
    <w:rsid w:val="008B395B"/>
    <w:rsid w:val="008B50F2"/>
    <w:rsid w:val="008B6ED8"/>
    <w:rsid w:val="008B7CA7"/>
    <w:rsid w:val="008C146F"/>
    <w:rsid w:val="008C1F4C"/>
    <w:rsid w:val="008C22AA"/>
    <w:rsid w:val="008C27B0"/>
    <w:rsid w:val="008C4641"/>
    <w:rsid w:val="008C4A41"/>
    <w:rsid w:val="008C6256"/>
    <w:rsid w:val="008C71F3"/>
    <w:rsid w:val="008C7B15"/>
    <w:rsid w:val="008D031E"/>
    <w:rsid w:val="008D12CA"/>
    <w:rsid w:val="008D2C07"/>
    <w:rsid w:val="008D3054"/>
    <w:rsid w:val="008D4C0F"/>
    <w:rsid w:val="008D53BE"/>
    <w:rsid w:val="008D6091"/>
    <w:rsid w:val="008D6356"/>
    <w:rsid w:val="008D6D9B"/>
    <w:rsid w:val="008D7066"/>
    <w:rsid w:val="008E0667"/>
    <w:rsid w:val="008E1203"/>
    <w:rsid w:val="008E163B"/>
    <w:rsid w:val="008E2C4A"/>
    <w:rsid w:val="008E442F"/>
    <w:rsid w:val="008E6176"/>
    <w:rsid w:val="008E644C"/>
    <w:rsid w:val="008E6476"/>
    <w:rsid w:val="008E7504"/>
    <w:rsid w:val="008F05DF"/>
    <w:rsid w:val="008F1D2A"/>
    <w:rsid w:val="008F7370"/>
    <w:rsid w:val="00900D26"/>
    <w:rsid w:val="00901675"/>
    <w:rsid w:val="00901E05"/>
    <w:rsid w:val="009026F2"/>
    <w:rsid w:val="00904170"/>
    <w:rsid w:val="00904677"/>
    <w:rsid w:val="009056C4"/>
    <w:rsid w:val="00906F5C"/>
    <w:rsid w:val="009119A8"/>
    <w:rsid w:val="00912DB6"/>
    <w:rsid w:val="009136B1"/>
    <w:rsid w:val="00913BA0"/>
    <w:rsid w:val="00913F45"/>
    <w:rsid w:val="00914F92"/>
    <w:rsid w:val="00916436"/>
    <w:rsid w:val="009167D1"/>
    <w:rsid w:val="00916A6A"/>
    <w:rsid w:val="00916DFB"/>
    <w:rsid w:val="009174F3"/>
    <w:rsid w:val="00920B91"/>
    <w:rsid w:val="00922147"/>
    <w:rsid w:val="00922AD6"/>
    <w:rsid w:val="00923049"/>
    <w:rsid w:val="009236E3"/>
    <w:rsid w:val="00924C82"/>
    <w:rsid w:val="009279F0"/>
    <w:rsid w:val="00930139"/>
    <w:rsid w:val="00930CAA"/>
    <w:rsid w:val="00931654"/>
    <w:rsid w:val="00931D77"/>
    <w:rsid w:val="0093534E"/>
    <w:rsid w:val="009355A4"/>
    <w:rsid w:val="00936A95"/>
    <w:rsid w:val="00937433"/>
    <w:rsid w:val="00940054"/>
    <w:rsid w:val="00940ACC"/>
    <w:rsid w:val="0094198A"/>
    <w:rsid w:val="00942503"/>
    <w:rsid w:val="00942DBF"/>
    <w:rsid w:val="00943100"/>
    <w:rsid w:val="009437D0"/>
    <w:rsid w:val="009438B0"/>
    <w:rsid w:val="00944799"/>
    <w:rsid w:val="0094595C"/>
    <w:rsid w:val="0094678B"/>
    <w:rsid w:val="00950367"/>
    <w:rsid w:val="00950E69"/>
    <w:rsid w:val="0095242F"/>
    <w:rsid w:val="00953C42"/>
    <w:rsid w:val="00953DB3"/>
    <w:rsid w:val="009545DB"/>
    <w:rsid w:val="00954F5E"/>
    <w:rsid w:val="009559C4"/>
    <w:rsid w:val="00955A6F"/>
    <w:rsid w:val="00955F59"/>
    <w:rsid w:val="00956027"/>
    <w:rsid w:val="00956506"/>
    <w:rsid w:val="0095788E"/>
    <w:rsid w:val="0096093F"/>
    <w:rsid w:val="00961F84"/>
    <w:rsid w:val="0096247B"/>
    <w:rsid w:val="0096248C"/>
    <w:rsid w:val="00962A4F"/>
    <w:rsid w:val="00966201"/>
    <w:rsid w:val="009662DA"/>
    <w:rsid w:val="009708A9"/>
    <w:rsid w:val="009719D4"/>
    <w:rsid w:val="009721F9"/>
    <w:rsid w:val="00972914"/>
    <w:rsid w:val="009737C9"/>
    <w:rsid w:val="009771EE"/>
    <w:rsid w:val="00977735"/>
    <w:rsid w:val="00977F26"/>
    <w:rsid w:val="00980978"/>
    <w:rsid w:val="009822A5"/>
    <w:rsid w:val="009825A5"/>
    <w:rsid w:val="009835A2"/>
    <w:rsid w:val="00987504"/>
    <w:rsid w:val="00987BAC"/>
    <w:rsid w:val="00992311"/>
    <w:rsid w:val="00993224"/>
    <w:rsid w:val="009936B6"/>
    <w:rsid w:val="00993D4D"/>
    <w:rsid w:val="00993D82"/>
    <w:rsid w:val="00993E39"/>
    <w:rsid w:val="0099603A"/>
    <w:rsid w:val="00996286"/>
    <w:rsid w:val="00996C74"/>
    <w:rsid w:val="00997C29"/>
    <w:rsid w:val="009A081A"/>
    <w:rsid w:val="009A0DDF"/>
    <w:rsid w:val="009A14FF"/>
    <w:rsid w:val="009A1B99"/>
    <w:rsid w:val="009A1F6D"/>
    <w:rsid w:val="009A25BD"/>
    <w:rsid w:val="009A41B1"/>
    <w:rsid w:val="009A451E"/>
    <w:rsid w:val="009A5123"/>
    <w:rsid w:val="009A5246"/>
    <w:rsid w:val="009A7101"/>
    <w:rsid w:val="009A72EB"/>
    <w:rsid w:val="009B0621"/>
    <w:rsid w:val="009B08AB"/>
    <w:rsid w:val="009B122A"/>
    <w:rsid w:val="009B2D7C"/>
    <w:rsid w:val="009B4F50"/>
    <w:rsid w:val="009B5719"/>
    <w:rsid w:val="009B68AE"/>
    <w:rsid w:val="009B6AE2"/>
    <w:rsid w:val="009B6B0F"/>
    <w:rsid w:val="009B7D27"/>
    <w:rsid w:val="009C0804"/>
    <w:rsid w:val="009C10F8"/>
    <w:rsid w:val="009C3B75"/>
    <w:rsid w:val="009C58C4"/>
    <w:rsid w:val="009C60A9"/>
    <w:rsid w:val="009C72C9"/>
    <w:rsid w:val="009C75A1"/>
    <w:rsid w:val="009D0269"/>
    <w:rsid w:val="009D02AA"/>
    <w:rsid w:val="009D0C7B"/>
    <w:rsid w:val="009D17CD"/>
    <w:rsid w:val="009D199C"/>
    <w:rsid w:val="009D1FAF"/>
    <w:rsid w:val="009D26F3"/>
    <w:rsid w:val="009D27EA"/>
    <w:rsid w:val="009D3F37"/>
    <w:rsid w:val="009D44B4"/>
    <w:rsid w:val="009D5EF7"/>
    <w:rsid w:val="009D703A"/>
    <w:rsid w:val="009D7079"/>
    <w:rsid w:val="009D73AB"/>
    <w:rsid w:val="009D797F"/>
    <w:rsid w:val="009D7EFB"/>
    <w:rsid w:val="009E01B1"/>
    <w:rsid w:val="009E09CB"/>
    <w:rsid w:val="009E0FF7"/>
    <w:rsid w:val="009E1973"/>
    <w:rsid w:val="009E22B4"/>
    <w:rsid w:val="009E386D"/>
    <w:rsid w:val="009E455F"/>
    <w:rsid w:val="009E4F94"/>
    <w:rsid w:val="009E54AF"/>
    <w:rsid w:val="009E5FB4"/>
    <w:rsid w:val="009E61F5"/>
    <w:rsid w:val="009E7CEF"/>
    <w:rsid w:val="009F0041"/>
    <w:rsid w:val="009F05D5"/>
    <w:rsid w:val="009F06BD"/>
    <w:rsid w:val="009F0AC6"/>
    <w:rsid w:val="009F0F06"/>
    <w:rsid w:val="009F1429"/>
    <w:rsid w:val="009F14B6"/>
    <w:rsid w:val="009F15C7"/>
    <w:rsid w:val="009F2464"/>
    <w:rsid w:val="009F30C6"/>
    <w:rsid w:val="009F410C"/>
    <w:rsid w:val="009F507F"/>
    <w:rsid w:val="009F57DE"/>
    <w:rsid w:val="00A00BBA"/>
    <w:rsid w:val="00A0101C"/>
    <w:rsid w:val="00A03BB1"/>
    <w:rsid w:val="00A03CC1"/>
    <w:rsid w:val="00A043C0"/>
    <w:rsid w:val="00A049C3"/>
    <w:rsid w:val="00A058B5"/>
    <w:rsid w:val="00A119D0"/>
    <w:rsid w:val="00A11E72"/>
    <w:rsid w:val="00A12F19"/>
    <w:rsid w:val="00A12FC0"/>
    <w:rsid w:val="00A12FF3"/>
    <w:rsid w:val="00A139AB"/>
    <w:rsid w:val="00A13B2A"/>
    <w:rsid w:val="00A1405E"/>
    <w:rsid w:val="00A17626"/>
    <w:rsid w:val="00A17643"/>
    <w:rsid w:val="00A17C81"/>
    <w:rsid w:val="00A2042B"/>
    <w:rsid w:val="00A20EEE"/>
    <w:rsid w:val="00A213EB"/>
    <w:rsid w:val="00A226D0"/>
    <w:rsid w:val="00A23646"/>
    <w:rsid w:val="00A23883"/>
    <w:rsid w:val="00A243C3"/>
    <w:rsid w:val="00A2501E"/>
    <w:rsid w:val="00A25475"/>
    <w:rsid w:val="00A25C62"/>
    <w:rsid w:val="00A2682B"/>
    <w:rsid w:val="00A30C72"/>
    <w:rsid w:val="00A32613"/>
    <w:rsid w:val="00A340C3"/>
    <w:rsid w:val="00A35439"/>
    <w:rsid w:val="00A35F43"/>
    <w:rsid w:val="00A364F0"/>
    <w:rsid w:val="00A3679E"/>
    <w:rsid w:val="00A36A90"/>
    <w:rsid w:val="00A36E40"/>
    <w:rsid w:val="00A37C54"/>
    <w:rsid w:val="00A4131D"/>
    <w:rsid w:val="00A41666"/>
    <w:rsid w:val="00A41910"/>
    <w:rsid w:val="00A41CEA"/>
    <w:rsid w:val="00A42158"/>
    <w:rsid w:val="00A42A92"/>
    <w:rsid w:val="00A43083"/>
    <w:rsid w:val="00A43873"/>
    <w:rsid w:val="00A45A9D"/>
    <w:rsid w:val="00A4747D"/>
    <w:rsid w:val="00A47BBB"/>
    <w:rsid w:val="00A503E1"/>
    <w:rsid w:val="00A504B5"/>
    <w:rsid w:val="00A50AE9"/>
    <w:rsid w:val="00A520A4"/>
    <w:rsid w:val="00A5420E"/>
    <w:rsid w:val="00A54706"/>
    <w:rsid w:val="00A5515F"/>
    <w:rsid w:val="00A55588"/>
    <w:rsid w:val="00A55616"/>
    <w:rsid w:val="00A5626C"/>
    <w:rsid w:val="00A6011B"/>
    <w:rsid w:val="00A6031C"/>
    <w:rsid w:val="00A612CF"/>
    <w:rsid w:val="00A630DD"/>
    <w:rsid w:val="00A64432"/>
    <w:rsid w:val="00A6497E"/>
    <w:rsid w:val="00A6564B"/>
    <w:rsid w:val="00A67A7A"/>
    <w:rsid w:val="00A67DF1"/>
    <w:rsid w:val="00A706B4"/>
    <w:rsid w:val="00A70709"/>
    <w:rsid w:val="00A74F38"/>
    <w:rsid w:val="00A75E91"/>
    <w:rsid w:val="00A7601A"/>
    <w:rsid w:val="00A77B94"/>
    <w:rsid w:val="00A77BFF"/>
    <w:rsid w:val="00A80063"/>
    <w:rsid w:val="00A8115E"/>
    <w:rsid w:val="00A815E4"/>
    <w:rsid w:val="00A81DEB"/>
    <w:rsid w:val="00A8672B"/>
    <w:rsid w:val="00A868F5"/>
    <w:rsid w:val="00A8703E"/>
    <w:rsid w:val="00A903B2"/>
    <w:rsid w:val="00A903C7"/>
    <w:rsid w:val="00A90945"/>
    <w:rsid w:val="00A91389"/>
    <w:rsid w:val="00A9144F"/>
    <w:rsid w:val="00A92179"/>
    <w:rsid w:val="00A926ED"/>
    <w:rsid w:val="00A92B08"/>
    <w:rsid w:val="00A937EE"/>
    <w:rsid w:val="00A93D90"/>
    <w:rsid w:val="00A96734"/>
    <w:rsid w:val="00AA0767"/>
    <w:rsid w:val="00AA332B"/>
    <w:rsid w:val="00AA6C91"/>
    <w:rsid w:val="00AA6FE6"/>
    <w:rsid w:val="00AB1521"/>
    <w:rsid w:val="00AB18C3"/>
    <w:rsid w:val="00AB1A8C"/>
    <w:rsid w:val="00AB470F"/>
    <w:rsid w:val="00AB4DF0"/>
    <w:rsid w:val="00AB6B56"/>
    <w:rsid w:val="00AB7BE8"/>
    <w:rsid w:val="00AC3DF7"/>
    <w:rsid w:val="00AC705D"/>
    <w:rsid w:val="00AD0992"/>
    <w:rsid w:val="00AD0A8B"/>
    <w:rsid w:val="00AD1987"/>
    <w:rsid w:val="00AD1F26"/>
    <w:rsid w:val="00AD22E1"/>
    <w:rsid w:val="00AD3173"/>
    <w:rsid w:val="00AD38F9"/>
    <w:rsid w:val="00AD3A0D"/>
    <w:rsid w:val="00AD4FBC"/>
    <w:rsid w:val="00AE04FF"/>
    <w:rsid w:val="00AE467B"/>
    <w:rsid w:val="00AE54C8"/>
    <w:rsid w:val="00AE64C8"/>
    <w:rsid w:val="00AE688D"/>
    <w:rsid w:val="00AE726A"/>
    <w:rsid w:val="00AF0AB2"/>
    <w:rsid w:val="00AF1F83"/>
    <w:rsid w:val="00AF2E73"/>
    <w:rsid w:val="00AF4792"/>
    <w:rsid w:val="00AF56BF"/>
    <w:rsid w:val="00AF57C2"/>
    <w:rsid w:val="00AF5A76"/>
    <w:rsid w:val="00AF5E6F"/>
    <w:rsid w:val="00AF68D6"/>
    <w:rsid w:val="00AF6E07"/>
    <w:rsid w:val="00B00E5A"/>
    <w:rsid w:val="00B00F56"/>
    <w:rsid w:val="00B0134C"/>
    <w:rsid w:val="00B0161A"/>
    <w:rsid w:val="00B02BF4"/>
    <w:rsid w:val="00B05BD2"/>
    <w:rsid w:val="00B06A8D"/>
    <w:rsid w:val="00B0717E"/>
    <w:rsid w:val="00B11C9C"/>
    <w:rsid w:val="00B11E69"/>
    <w:rsid w:val="00B12862"/>
    <w:rsid w:val="00B133DE"/>
    <w:rsid w:val="00B1529C"/>
    <w:rsid w:val="00B15DA2"/>
    <w:rsid w:val="00B16D36"/>
    <w:rsid w:val="00B17076"/>
    <w:rsid w:val="00B2018C"/>
    <w:rsid w:val="00B213D4"/>
    <w:rsid w:val="00B2162F"/>
    <w:rsid w:val="00B21B8C"/>
    <w:rsid w:val="00B21F5E"/>
    <w:rsid w:val="00B23581"/>
    <w:rsid w:val="00B3024F"/>
    <w:rsid w:val="00B31159"/>
    <w:rsid w:val="00B31E33"/>
    <w:rsid w:val="00B31F14"/>
    <w:rsid w:val="00B329EF"/>
    <w:rsid w:val="00B34B7A"/>
    <w:rsid w:val="00B34E3D"/>
    <w:rsid w:val="00B40784"/>
    <w:rsid w:val="00B410A9"/>
    <w:rsid w:val="00B41361"/>
    <w:rsid w:val="00B4143A"/>
    <w:rsid w:val="00B41CCF"/>
    <w:rsid w:val="00B41CDB"/>
    <w:rsid w:val="00B42BAF"/>
    <w:rsid w:val="00B436B6"/>
    <w:rsid w:val="00B4638E"/>
    <w:rsid w:val="00B46394"/>
    <w:rsid w:val="00B5057E"/>
    <w:rsid w:val="00B50A1B"/>
    <w:rsid w:val="00B50E0F"/>
    <w:rsid w:val="00B5118B"/>
    <w:rsid w:val="00B5358D"/>
    <w:rsid w:val="00B53BD8"/>
    <w:rsid w:val="00B5505A"/>
    <w:rsid w:val="00B55476"/>
    <w:rsid w:val="00B55DB6"/>
    <w:rsid w:val="00B56F2B"/>
    <w:rsid w:val="00B574A7"/>
    <w:rsid w:val="00B625E7"/>
    <w:rsid w:val="00B63656"/>
    <w:rsid w:val="00B64398"/>
    <w:rsid w:val="00B65387"/>
    <w:rsid w:val="00B659F6"/>
    <w:rsid w:val="00B65B85"/>
    <w:rsid w:val="00B66833"/>
    <w:rsid w:val="00B670D8"/>
    <w:rsid w:val="00B67817"/>
    <w:rsid w:val="00B70D84"/>
    <w:rsid w:val="00B75877"/>
    <w:rsid w:val="00B767CE"/>
    <w:rsid w:val="00B76B27"/>
    <w:rsid w:val="00B77395"/>
    <w:rsid w:val="00B77D31"/>
    <w:rsid w:val="00B80BB7"/>
    <w:rsid w:val="00B81EE2"/>
    <w:rsid w:val="00B83BBA"/>
    <w:rsid w:val="00B84770"/>
    <w:rsid w:val="00B85308"/>
    <w:rsid w:val="00B85E54"/>
    <w:rsid w:val="00B868D6"/>
    <w:rsid w:val="00B8699F"/>
    <w:rsid w:val="00B87165"/>
    <w:rsid w:val="00B90E31"/>
    <w:rsid w:val="00B91265"/>
    <w:rsid w:val="00B91C65"/>
    <w:rsid w:val="00B91FF2"/>
    <w:rsid w:val="00B92599"/>
    <w:rsid w:val="00B9281F"/>
    <w:rsid w:val="00B931FC"/>
    <w:rsid w:val="00B93D19"/>
    <w:rsid w:val="00B9402F"/>
    <w:rsid w:val="00B94EF5"/>
    <w:rsid w:val="00B96DEA"/>
    <w:rsid w:val="00BA000E"/>
    <w:rsid w:val="00BA1076"/>
    <w:rsid w:val="00BA2663"/>
    <w:rsid w:val="00BA31E4"/>
    <w:rsid w:val="00BA440F"/>
    <w:rsid w:val="00BA443A"/>
    <w:rsid w:val="00BA4BF1"/>
    <w:rsid w:val="00BA4F92"/>
    <w:rsid w:val="00BA5210"/>
    <w:rsid w:val="00BA55CD"/>
    <w:rsid w:val="00BA5E49"/>
    <w:rsid w:val="00BA61BD"/>
    <w:rsid w:val="00BA7769"/>
    <w:rsid w:val="00BA7D54"/>
    <w:rsid w:val="00BB1585"/>
    <w:rsid w:val="00BB159E"/>
    <w:rsid w:val="00BB1CCF"/>
    <w:rsid w:val="00BB3180"/>
    <w:rsid w:val="00BB44A2"/>
    <w:rsid w:val="00BB56EF"/>
    <w:rsid w:val="00BB5DBD"/>
    <w:rsid w:val="00BB639F"/>
    <w:rsid w:val="00BB6B51"/>
    <w:rsid w:val="00BB73E4"/>
    <w:rsid w:val="00BC01D2"/>
    <w:rsid w:val="00BC04EA"/>
    <w:rsid w:val="00BC1184"/>
    <w:rsid w:val="00BC18E4"/>
    <w:rsid w:val="00BC2A62"/>
    <w:rsid w:val="00BC2A72"/>
    <w:rsid w:val="00BC2B29"/>
    <w:rsid w:val="00BC3363"/>
    <w:rsid w:val="00BC3CAD"/>
    <w:rsid w:val="00BC46D7"/>
    <w:rsid w:val="00BC6D1A"/>
    <w:rsid w:val="00BC73A7"/>
    <w:rsid w:val="00BD1295"/>
    <w:rsid w:val="00BD145C"/>
    <w:rsid w:val="00BD201C"/>
    <w:rsid w:val="00BD38FA"/>
    <w:rsid w:val="00BD4794"/>
    <w:rsid w:val="00BD4D98"/>
    <w:rsid w:val="00BD5D33"/>
    <w:rsid w:val="00BD6BCA"/>
    <w:rsid w:val="00BE01C4"/>
    <w:rsid w:val="00BE0F3F"/>
    <w:rsid w:val="00BE2483"/>
    <w:rsid w:val="00BE24B8"/>
    <w:rsid w:val="00BE26AF"/>
    <w:rsid w:val="00BE3DBD"/>
    <w:rsid w:val="00BE4ADC"/>
    <w:rsid w:val="00BE4BE8"/>
    <w:rsid w:val="00BE4DD9"/>
    <w:rsid w:val="00BE6852"/>
    <w:rsid w:val="00BE73F9"/>
    <w:rsid w:val="00BF0BA2"/>
    <w:rsid w:val="00BF0C19"/>
    <w:rsid w:val="00BF1C23"/>
    <w:rsid w:val="00BF26EA"/>
    <w:rsid w:val="00BF2771"/>
    <w:rsid w:val="00BF3BF6"/>
    <w:rsid w:val="00BF4546"/>
    <w:rsid w:val="00BF4934"/>
    <w:rsid w:val="00BF5001"/>
    <w:rsid w:val="00BF62BC"/>
    <w:rsid w:val="00BF7F29"/>
    <w:rsid w:val="00C01FCB"/>
    <w:rsid w:val="00C023B9"/>
    <w:rsid w:val="00C03038"/>
    <w:rsid w:val="00C04A2D"/>
    <w:rsid w:val="00C066A5"/>
    <w:rsid w:val="00C06959"/>
    <w:rsid w:val="00C06964"/>
    <w:rsid w:val="00C06E04"/>
    <w:rsid w:val="00C06E8A"/>
    <w:rsid w:val="00C12315"/>
    <w:rsid w:val="00C12340"/>
    <w:rsid w:val="00C12B8D"/>
    <w:rsid w:val="00C12E06"/>
    <w:rsid w:val="00C13B2D"/>
    <w:rsid w:val="00C142CD"/>
    <w:rsid w:val="00C157A2"/>
    <w:rsid w:val="00C164F3"/>
    <w:rsid w:val="00C21342"/>
    <w:rsid w:val="00C21391"/>
    <w:rsid w:val="00C217DE"/>
    <w:rsid w:val="00C21993"/>
    <w:rsid w:val="00C219B8"/>
    <w:rsid w:val="00C21C5B"/>
    <w:rsid w:val="00C21D18"/>
    <w:rsid w:val="00C224C2"/>
    <w:rsid w:val="00C233B1"/>
    <w:rsid w:val="00C23880"/>
    <w:rsid w:val="00C30F4C"/>
    <w:rsid w:val="00C31490"/>
    <w:rsid w:val="00C33217"/>
    <w:rsid w:val="00C3343B"/>
    <w:rsid w:val="00C35E31"/>
    <w:rsid w:val="00C36641"/>
    <w:rsid w:val="00C37E3D"/>
    <w:rsid w:val="00C40807"/>
    <w:rsid w:val="00C40B1B"/>
    <w:rsid w:val="00C40FF9"/>
    <w:rsid w:val="00C41AED"/>
    <w:rsid w:val="00C42106"/>
    <w:rsid w:val="00C42253"/>
    <w:rsid w:val="00C4526D"/>
    <w:rsid w:val="00C4675D"/>
    <w:rsid w:val="00C46A38"/>
    <w:rsid w:val="00C471E9"/>
    <w:rsid w:val="00C471F6"/>
    <w:rsid w:val="00C4720D"/>
    <w:rsid w:val="00C50CEE"/>
    <w:rsid w:val="00C51DDF"/>
    <w:rsid w:val="00C53859"/>
    <w:rsid w:val="00C54DCB"/>
    <w:rsid w:val="00C5503B"/>
    <w:rsid w:val="00C55CE8"/>
    <w:rsid w:val="00C5633D"/>
    <w:rsid w:val="00C5747F"/>
    <w:rsid w:val="00C61A87"/>
    <w:rsid w:val="00C637F1"/>
    <w:rsid w:val="00C63833"/>
    <w:rsid w:val="00C63D38"/>
    <w:rsid w:val="00C64B7E"/>
    <w:rsid w:val="00C64CDC"/>
    <w:rsid w:val="00C65D0B"/>
    <w:rsid w:val="00C67E56"/>
    <w:rsid w:val="00C704AF"/>
    <w:rsid w:val="00C70C1A"/>
    <w:rsid w:val="00C71085"/>
    <w:rsid w:val="00C7145C"/>
    <w:rsid w:val="00C73390"/>
    <w:rsid w:val="00C741D8"/>
    <w:rsid w:val="00C754A5"/>
    <w:rsid w:val="00C75BDC"/>
    <w:rsid w:val="00C76EF3"/>
    <w:rsid w:val="00C777AE"/>
    <w:rsid w:val="00C8309B"/>
    <w:rsid w:val="00C833BA"/>
    <w:rsid w:val="00C86413"/>
    <w:rsid w:val="00C86794"/>
    <w:rsid w:val="00C86BFF"/>
    <w:rsid w:val="00C86CCA"/>
    <w:rsid w:val="00C87E17"/>
    <w:rsid w:val="00C9015E"/>
    <w:rsid w:val="00C901DE"/>
    <w:rsid w:val="00C90823"/>
    <w:rsid w:val="00C9100F"/>
    <w:rsid w:val="00C91649"/>
    <w:rsid w:val="00C918A3"/>
    <w:rsid w:val="00C9229B"/>
    <w:rsid w:val="00C92EDF"/>
    <w:rsid w:val="00C93805"/>
    <w:rsid w:val="00C93CE9"/>
    <w:rsid w:val="00C93FE2"/>
    <w:rsid w:val="00C9426E"/>
    <w:rsid w:val="00C9437F"/>
    <w:rsid w:val="00C943F9"/>
    <w:rsid w:val="00C94A9B"/>
    <w:rsid w:val="00C94D2A"/>
    <w:rsid w:val="00C9519B"/>
    <w:rsid w:val="00C97456"/>
    <w:rsid w:val="00CA0DDF"/>
    <w:rsid w:val="00CA17B3"/>
    <w:rsid w:val="00CA192B"/>
    <w:rsid w:val="00CA65B1"/>
    <w:rsid w:val="00CA69D5"/>
    <w:rsid w:val="00CA6A37"/>
    <w:rsid w:val="00CA6C51"/>
    <w:rsid w:val="00CA711D"/>
    <w:rsid w:val="00CB0774"/>
    <w:rsid w:val="00CB15CD"/>
    <w:rsid w:val="00CB2339"/>
    <w:rsid w:val="00CB2822"/>
    <w:rsid w:val="00CB4970"/>
    <w:rsid w:val="00CB4D04"/>
    <w:rsid w:val="00CB4E38"/>
    <w:rsid w:val="00CB5155"/>
    <w:rsid w:val="00CB522D"/>
    <w:rsid w:val="00CC0F44"/>
    <w:rsid w:val="00CC2457"/>
    <w:rsid w:val="00CC50F8"/>
    <w:rsid w:val="00CC6CBC"/>
    <w:rsid w:val="00CD3098"/>
    <w:rsid w:val="00CD3412"/>
    <w:rsid w:val="00CD413D"/>
    <w:rsid w:val="00CD48C3"/>
    <w:rsid w:val="00CE0140"/>
    <w:rsid w:val="00CE259D"/>
    <w:rsid w:val="00CE3D02"/>
    <w:rsid w:val="00CE3E5F"/>
    <w:rsid w:val="00CE5F9B"/>
    <w:rsid w:val="00CE60C6"/>
    <w:rsid w:val="00CE7F7C"/>
    <w:rsid w:val="00CF116A"/>
    <w:rsid w:val="00CF26C0"/>
    <w:rsid w:val="00CF361A"/>
    <w:rsid w:val="00CF40CC"/>
    <w:rsid w:val="00CF42D3"/>
    <w:rsid w:val="00CF5DF2"/>
    <w:rsid w:val="00CF7C70"/>
    <w:rsid w:val="00D013E8"/>
    <w:rsid w:val="00D03469"/>
    <w:rsid w:val="00D03F49"/>
    <w:rsid w:val="00D04B0C"/>
    <w:rsid w:val="00D070F9"/>
    <w:rsid w:val="00D07A88"/>
    <w:rsid w:val="00D113F2"/>
    <w:rsid w:val="00D1179B"/>
    <w:rsid w:val="00D11BC6"/>
    <w:rsid w:val="00D12242"/>
    <w:rsid w:val="00D1389A"/>
    <w:rsid w:val="00D1484E"/>
    <w:rsid w:val="00D1545D"/>
    <w:rsid w:val="00D16589"/>
    <w:rsid w:val="00D17202"/>
    <w:rsid w:val="00D17668"/>
    <w:rsid w:val="00D208B3"/>
    <w:rsid w:val="00D209DD"/>
    <w:rsid w:val="00D20A76"/>
    <w:rsid w:val="00D20B03"/>
    <w:rsid w:val="00D20D87"/>
    <w:rsid w:val="00D21096"/>
    <w:rsid w:val="00D22510"/>
    <w:rsid w:val="00D227DB"/>
    <w:rsid w:val="00D22F89"/>
    <w:rsid w:val="00D2300C"/>
    <w:rsid w:val="00D23CFA"/>
    <w:rsid w:val="00D24E94"/>
    <w:rsid w:val="00D2586B"/>
    <w:rsid w:val="00D2719F"/>
    <w:rsid w:val="00D3061B"/>
    <w:rsid w:val="00D327FB"/>
    <w:rsid w:val="00D329A9"/>
    <w:rsid w:val="00D32D9C"/>
    <w:rsid w:val="00D33923"/>
    <w:rsid w:val="00D33FBA"/>
    <w:rsid w:val="00D35B4F"/>
    <w:rsid w:val="00D36D09"/>
    <w:rsid w:val="00D37179"/>
    <w:rsid w:val="00D40839"/>
    <w:rsid w:val="00D40A60"/>
    <w:rsid w:val="00D40C3E"/>
    <w:rsid w:val="00D4168F"/>
    <w:rsid w:val="00D41E1F"/>
    <w:rsid w:val="00D41EF5"/>
    <w:rsid w:val="00D434E7"/>
    <w:rsid w:val="00D442E8"/>
    <w:rsid w:val="00D443B2"/>
    <w:rsid w:val="00D44980"/>
    <w:rsid w:val="00D4517E"/>
    <w:rsid w:val="00D454A7"/>
    <w:rsid w:val="00D46399"/>
    <w:rsid w:val="00D47493"/>
    <w:rsid w:val="00D474B0"/>
    <w:rsid w:val="00D47F41"/>
    <w:rsid w:val="00D53974"/>
    <w:rsid w:val="00D53C49"/>
    <w:rsid w:val="00D563DD"/>
    <w:rsid w:val="00D566FA"/>
    <w:rsid w:val="00D568B8"/>
    <w:rsid w:val="00D5767E"/>
    <w:rsid w:val="00D60A37"/>
    <w:rsid w:val="00D6510B"/>
    <w:rsid w:val="00D65D9F"/>
    <w:rsid w:val="00D72969"/>
    <w:rsid w:val="00D734BC"/>
    <w:rsid w:val="00D768B7"/>
    <w:rsid w:val="00D77A98"/>
    <w:rsid w:val="00D812C9"/>
    <w:rsid w:val="00D81DAA"/>
    <w:rsid w:val="00D84D47"/>
    <w:rsid w:val="00D8514A"/>
    <w:rsid w:val="00D8680B"/>
    <w:rsid w:val="00D86953"/>
    <w:rsid w:val="00D8794C"/>
    <w:rsid w:val="00D901C0"/>
    <w:rsid w:val="00D9124B"/>
    <w:rsid w:val="00D94220"/>
    <w:rsid w:val="00D949EC"/>
    <w:rsid w:val="00D9567B"/>
    <w:rsid w:val="00D97963"/>
    <w:rsid w:val="00DA1178"/>
    <w:rsid w:val="00DA3D74"/>
    <w:rsid w:val="00DA4EB5"/>
    <w:rsid w:val="00DA5160"/>
    <w:rsid w:val="00DA5576"/>
    <w:rsid w:val="00DA602A"/>
    <w:rsid w:val="00DA776A"/>
    <w:rsid w:val="00DA7D1E"/>
    <w:rsid w:val="00DA7F79"/>
    <w:rsid w:val="00DB120F"/>
    <w:rsid w:val="00DB14AD"/>
    <w:rsid w:val="00DB2352"/>
    <w:rsid w:val="00DB2BE5"/>
    <w:rsid w:val="00DB2D13"/>
    <w:rsid w:val="00DB4469"/>
    <w:rsid w:val="00DB5220"/>
    <w:rsid w:val="00DB5849"/>
    <w:rsid w:val="00DB5C43"/>
    <w:rsid w:val="00DB7AC4"/>
    <w:rsid w:val="00DC03F3"/>
    <w:rsid w:val="00DC0458"/>
    <w:rsid w:val="00DC11EE"/>
    <w:rsid w:val="00DC12F9"/>
    <w:rsid w:val="00DC26B8"/>
    <w:rsid w:val="00DC2FE8"/>
    <w:rsid w:val="00DC44CD"/>
    <w:rsid w:val="00DC4688"/>
    <w:rsid w:val="00DC620B"/>
    <w:rsid w:val="00DC6D00"/>
    <w:rsid w:val="00DC7DD4"/>
    <w:rsid w:val="00DD17BE"/>
    <w:rsid w:val="00DD3C85"/>
    <w:rsid w:val="00DD5070"/>
    <w:rsid w:val="00DD5310"/>
    <w:rsid w:val="00DD6470"/>
    <w:rsid w:val="00DD6A2F"/>
    <w:rsid w:val="00DD7F21"/>
    <w:rsid w:val="00DE02F8"/>
    <w:rsid w:val="00DE13D3"/>
    <w:rsid w:val="00DE1A48"/>
    <w:rsid w:val="00DE1BF3"/>
    <w:rsid w:val="00DE1CC1"/>
    <w:rsid w:val="00DE2042"/>
    <w:rsid w:val="00DE21B2"/>
    <w:rsid w:val="00DE2F21"/>
    <w:rsid w:val="00DE6461"/>
    <w:rsid w:val="00DE6A98"/>
    <w:rsid w:val="00DF1CD4"/>
    <w:rsid w:val="00DF1CF9"/>
    <w:rsid w:val="00DF2322"/>
    <w:rsid w:val="00DF2CB4"/>
    <w:rsid w:val="00DF2D0E"/>
    <w:rsid w:val="00DF3BCA"/>
    <w:rsid w:val="00DF4774"/>
    <w:rsid w:val="00DF5C86"/>
    <w:rsid w:val="00DF714B"/>
    <w:rsid w:val="00E02025"/>
    <w:rsid w:val="00E02029"/>
    <w:rsid w:val="00E02893"/>
    <w:rsid w:val="00E03202"/>
    <w:rsid w:val="00E036B8"/>
    <w:rsid w:val="00E03805"/>
    <w:rsid w:val="00E03CA3"/>
    <w:rsid w:val="00E068AD"/>
    <w:rsid w:val="00E107F1"/>
    <w:rsid w:val="00E11062"/>
    <w:rsid w:val="00E115E8"/>
    <w:rsid w:val="00E11960"/>
    <w:rsid w:val="00E14BFC"/>
    <w:rsid w:val="00E15891"/>
    <w:rsid w:val="00E163F3"/>
    <w:rsid w:val="00E164C9"/>
    <w:rsid w:val="00E16530"/>
    <w:rsid w:val="00E1684C"/>
    <w:rsid w:val="00E17E4A"/>
    <w:rsid w:val="00E2181A"/>
    <w:rsid w:val="00E23664"/>
    <w:rsid w:val="00E23B96"/>
    <w:rsid w:val="00E24210"/>
    <w:rsid w:val="00E2485A"/>
    <w:rsid w:val="00E24D0E"/>
    <w:rsid w:val="00E24F6A"/>
    <w:rsid w:val="00E274F4"/>
    <w:rsid w:val="00E279AC"/>
    <w:rsid w:val="00E33B47"/>
    <w:rsid w:val="00E3452D"/>
    <w:rsid w:val="00E34F98"/>
    <w:rsid w:val="00E353BC"/>
    <w:rsid w:val="00E359BD"/>
    <w:rsid w:val="00E35F86"/>
    <w:rsid w:val="00E36490"/>
    <w:rsid w:val="00E37402"/>
    <w:rsid w:val="00E37BAC"/>
    <w:rsid w:val="00E37FE9"/>
    <w:rsid w:val="00E4055B"/>
    <w:rsid w:val="00E40CCE"/>
    <w:rsid w:val="00E4146A"/>
    <w:rsid w:val="00E426C6"/>
    <w:rsid w:val="00E426E9"/>
    <w:rsid w:val="00E428D1"/>
    <w:rsid w:val="00E42EDA"/>
    <w:rsid w:val="00E4344B"/>
    <w:rsid w:val="00E45DCF"/>
    <w:rsid w:val="00E46B79"/>
    <w:rsid w:val="00E47A5D"/>
    <w:rsid w:val="00E47FBD"/>
    <w:rsid w:val="00E505D3"/>
    <w:rsid w:val="00E5151E"/>
    <w:rsid w:val="00E525D7"/>
    <w:rsid w:val="00E551FD"/>
    <w:rsid w:val="00E55C83"/>
    <w:rsid w:val="00E55CEA"/>
    <w:rsid w:val="00E55F7B"/>
    <w:rsid w:val="00E6024E"/>
    <w:rsid w:val="00E6169F"/>
    <w:rsid w:val="00E62207"/>
    <w:rsid w:val="00E637BF"/>
    <w:rsid w:val="00E63D73"/>
    <w:rsid w:val="00E645E3"/>
    <w:rsid w:val="00E64AA2"/>
    <w:rsid w:val="00E64F6B"/>
    <w:rsid w:val="00E65316"/>
    <w:rsid w:val="00E65B48"/>
    <w:rsid w:val="00E6657D"/>
    <w:rsid w:val="00E66AA0"/>
    <w:rsid w:val="00E66B9A"/>
    <w:rsid w:val="00E67BE8"/>
    <w:rsid w:val="00E70DF5"/>
    <w:rsid w:val="00E73619"/>
    <w:rsid w:val="00E762B5"/>
    <w:rsid w:val="00E76C79"/>
    <w:rsid w:val="00E8005C"/>
    <w:rsid w:val="00E80B28"/>
    <w:rsid w:val="00E81582"/>
    <w:rsid w:val="00E819E8"/>
    <w:rsid w:val="00E84FE4"/>
    <w:rsid w:val="00E8772D"/>
    <w:rsid w:val="00E878FE"/>
    <w:rsid w:val="00E903B7"/>
    <w:rsid w:val="00E9042A"/>
    <w:rsid w:val="00E9187B"/>
    <w:rsid w:val="00E93096"/>
    <w:rsid w:val="00E959E8"/>
    <w:rsid w:val="00E95A19"/>
    <w:rsid w:val="00E95A42"/>
    <w:rsid w:val="00E96C8D"/>
    <w:rsid w:val="00EA070A"/>
    <w:rsid w:val="00EA080F"/>
    <w:rsid w:val="00EA123E"/>
    <w:rsid w:val="00EA1846"/>
    <w:rsid w:val="00EA2E6B"/>
    <w:rsid w:val="00EA3D20"/>
    <w:rsid w:val="00EA3FBC"/>
    <w:rsid w:val="00EA4390"/>
    <w:rsid w:val="00EA43C1"/>
    <w:rsid w:val="00EA48D2"/>
    <w:rsid w:val="00EA4BD2"/>
    <w:rsid w:val="00EA516B"/>
    <w:rsid w:val="00EA53CC"/>
    <w:rsid w:val="00EA5B00"/>
    <w:rsid w:val="00EA64F6"/>
    <w:rsid w:val="00EA6AF6"/>
    <w:rsid w:val="00EA6E37"/>
    <w:rsid w:val="00EB0210"/>
    <w:rsid w:val="00EB0D91"/>
    <w:rsid w:val="00EB18C8"/>
    <w:rsid w:val="00EB26AC"/>
    <w:rsid w:val="00EB3908"/>
    <w:rsid w:val="00EB3F54"/>
    <w:rsid w:val="00EB40B0"/>
    <w:rsid w:val="00EB4DBE"/>
    <w:rsid w:val="00EB5D8C"/>
    <w:rsid w:val="00EB7510"/>
    <w:rsid w:val="00EC0A3B"/>
    <w:rsid w:val="00EC35C4"/>
    <w:rsid w:val="00EC4537"/>
    <w:rsid w:val="00EC463D"/>
    <w:rsid w:val="00EC53EE"/>
    <w:rsid w:val="00EC585F"/>
    <w:rsid w:val="00ED01EA"/>
    <w:rsid w:val="00ED1595"/>
    <w:rsid w:val="00ED2B78"/>
    <w:rsid w:val="00ED3A27"/>
    <w:rsid w:val="00ED47B3"/>
    <w:rsid w:val="00ED6564"/>
    <w:rsid w:val="00EE1451"/>
    <w:rsid w:val="00EE1C80"/>
    <w:rsid w:val="00EE21C6"/>
    <w:rsid w:val="00EE40BE"/>
    <w:rsid w:val="00EE41EC"/>
    <w:rsid w:val="00EE4617"/>
    <w:rsid w:val="00EE6265"/>
    <w:rsid w:val="00EE751D"/>
    <w:rsid w:val="00EF05A8"/>
    <w:rsid w:val="00EF0742"/>
    <w:rsid w:val="00EF0B2A"/>
    <w:rsid w:val="00EF1965"/>
    <w:rsid w:val="00EF3B69"/>
    <w:rsid w:val="00EF43FD"/>
    <w:rsid w:val="00EF4AB4"/>
    <w:rsid w:val="00EF4DAE"/>
    <w:rsid w:val="00EF5B8D"/>
    <w:rsid w:val="00EF5CA5"/>
    <w:rsid w:val="00EF5CE6"/>
    <w:rsid w:val="00EF61F7"/>
    <w:rsid w:val="00EF6464"/>
    <w:rsid w:val="00EF72F2"/>
    <w:rsid w:val="00EF7301"/>
    <w:rsid w:val="00EF7DD9"/>
    <w:rsid w:val="00F00213"/>
    <w:rsid w:val="00F016EC"/>
    <w:rsid w:val="00F02B9A"/>
    <w:rsid w:val="00F056EF"/>
    <w:rsid w:val="00F059A7"/>
    <w:rsid w:val="00F05BB5"/>
    <w:rsid w:val="00F10072"/>
    <w:rsid w:val="00F10283"/>
    <w:rsid w:val="00F110B7"/>
    <w:rsid w:val="00F1179E"/>
    <w:rsid w:val="00F1223A"/>
    <w:rsid w:val="00F12765"/>
    <w:rsid w:val="00F12A1B"/>
    <w:rsid w:val="00F151D4"/>
    <w:rsid w:val="00F15E10"/>
    <w:rsid w:val="00F16BBE"/>
    <w:rsid w:val="00F205EF"/>
    <w:rsid w:val="00F23385"/>
    <w:rsid w:val="00F23820"/>
    <w:rsid w:val="00F23B42"/>
    <w:rsid w:val="00F23E97"/>
    <w:rsid w:val="00F2520B"/>
    <w:rsid w:val="00F26396"/>
    <w:rsid w:val="00F26A08"/>
    <w:rsid w:val="00F33321"/>
    <w:rsid w:val="00F33987"/>
    <w:rsid w:val="00F33D2E"/>
    <w:rsid w:val="00F33DAE"/>
    <w:rsid w:val="00F35236"/>
    <w:rsid w:val="00F369B7"/>
    <w:rsid w:val="00F377A4"/>
    <w:rsid w:val="00F406DD"/>
    <w:rsid w:val="00F412B1"/>
    <w:rsid w:val="00F4140F"/>
    <w:rsid w:val="00F42D00"/>
    <w:rsid w:val="00F43269"/>
    <w:rsid w:val="00F44B59"/>
    <w:rsid w:val="00F45457"/>
    <w:rsid w:val="00F46126"/>
    <w:rsid w:val="00F4628E"/>
    <w:rsid w:val="00F462A2"/>
    <w:rsid w:val="00F46D22"/>
    <w:rsid w:val="00F5057B"/>
    <w:rsid w:val="00F51BCD"/>
    <w:rsid w:val="00F51E10"/>
    <w:rsid w:val="00F52F58"/>
    <w:rsid w:val="00F53441"/>
    <w:rsid w:val="00F53D56"/>
    <w:rsid w:val="00F53E02"/>
    <w:rsid w:val="00F5488D"/>
    <w:rsid w:val="00F55D89"/>
    <w:rsid w:val="00F56304"/>
    <w:rsid w:val="00F613B6"/>
    <w:rsid w:val="00F65855"/>
    <w:rsid w:val="00F66CC0"/>
    <w:rsid w:val="00F66F1F"/>
    <w:rsid w:val="00F6727B"/>
    <w:rsid w:val="00F67821"/>
    <w:rsid w:val="00F7038C"/>
    <w:rsid w:val="00F72492"/>
    <w:rsid w:val="00F727DB"/>
    <w:rsid w:val="00F72B70"/>
    <w:rsid w:val="00F72C9E"/>
    <w:rsid w:val="00F74F65"/>
    <w:rsid w:val="00F75F98"/>
    <w:rsid w:val="00F76336"/>
    <w:rsid w:val="00F76BFB"/>
    <w:rsid w:val="00F80839"/>
    <w:rsid w:val="00F83619"/>
    <w:rsid w:val="00F84762"/>
    <w:rsid w:val="00F84FE4"/>
    <w:rsid w:val="00F85D00"/>
    <w:rsid w:val="00F864AC"/>
    <w:rsid w:val="00F87F2B"/>
    <w:rsid w:val="00F900A1"/>
    <w:rsid w:val="00F909D0"/>
    <w:rsid w:val="00F90A61"/>
    <w:rsid w:val="00F90ED1"/>
    <w:rsid w:val="00F90F84"/>
    <w:rsid w:val="00F9137E"/>
    <w:rsid w:val="00F91416"/>
    <w:rsid w:val="00F92DE0"/>
    <w:rsid w:val="00F93FA5"/>
    <w:rsid w:val="00F94682"/>
    <w:rsid w:val="00F95700"/>
    <w:rsid w:val="00F9651C"/>
    <w:rsid w:val="00F96A5D"/>
    <w:rsid w:val="00F96BE1"/>
    <w:rsid w:val="00F97621"/>
    <w:rsid w:val="00F977E4"/>
    <w:rsid w:val="00F97EAB"/>
    <w:rsid w:val="00F97F71"/>
    <w:rsid w:val="00FA0215"/>
    <w:rsid w:val="00FA06C6"/>
    <w:rsid w:val="00FA08A3"/>
    <w:rsid w:val="00FA0B55"/>
    <w:rsid w:val="00FA17D8"/>
    <w:rsid w:val="00FA21C6"/>
    <w:rsid w:val="00FA23CF"/>
    <w:rsid w:val="00FA337E"/>
    <w:rsid w:val="00FA3985"/>
    <w:rsid w:val="00FA3E12"/>
    <w:rsid w:val="00FA593E"/>
    <w:rsid w:val="00FA6267"/>
    <w:rsid w:val="00FA676F"/>
    <w:rsid w:val="00FA74E1"/>
    <w:rsid w:val="00FB01A7"/>
    <w:rsid w:val="00FB2187"/>
    <w:rsid w:val="00FB35FC"/>
    <w:rsid w:val="00FB598F"/>
    <w:rsid w:val="00FB6A55"/>
    <w:rsid w:val="00FC0389"/>
    <w:rsid w:val="00FC0811"/>
    <w:rsid w:val="00FC0D0E"/>
    <w:rsid w:val="00FC1327"/>
    <w:rsid w:val="00FC1657"/>
    <w:rsid w:val="00FC2A92"/>
    <w:rsid w:val="00FC2FD3"/>
    <w:rsid w:val="00FC334E"/>
    <w:rsid w:val="00FC363C"/>
    <w:rsid w:val="00FC3951"/>
    <w:rsid w:val="00FC42CF"/>
    <w:rsid w:val="00FC4566"/>
    <w:rsid w:val="00FC4B2D"/>
    <w:rsid w:val="00FC543D"/>
    <w:rsid w:val="00FC61C6"/>
    <w:rsid w:val="00FC6201"/>
    <w:rsid w:val="00FD0223"/>
    <w:rsid w:val="00FD15D5"/>
    <w:rsid w:val="00FD16D1"/>
    <w:rsid w:val="00FD2097"/>
    <w:rsid w:val="00FD209C"/>
    <w:rsid w:val="00FD2AE4"/>
    <w:rsid w:val="00FD3A78"/>
    <w:rsid w:val="00FD44B7"/>
    <w:rsid w:val="00FD4F27"/>
    <w:rsid w:val="00FD57B3"/>
    <w:rsid w:val="00FD6D28"/>
    <w:rsid w:val="00FD77CD"/>
    <w:rsid w:val="00FE1273"/>
    <w:rsid w:val="00FE1D03"/>
    <w:rsid w:val="00FE5474"/>
    <w:rsid w:val="00FE570B"/>
    <w:rsid w:val="00FE5F0C"/>
    <w:rsid w:val="00FE6AFF"/>
    <w:rsid w:val="00FE7F09"/>
    <w:rsid w:val="00FF02AB"/>
    <w:rsid w:val="00FF087E"/>
    <w:rsid w:val="00FF0BE9"/>
    <w:rsid w:val="00FF18AE"/>
    <w:rsid w:val="00FF2532"/>
    <w:rsid w:val="00FF2D7D"/>
    <w:rsid w:val="00FF3236"/>
    <w:rsid w:val="00FF4149"/>
    <w:rsid w:val="00FF535F"/>
    <w:rsid w:val="00FF62AB"/>
    <w:rsid w:val="00FF663A"/>
    <w:rsid w:val="00FF66E0"/>
    <w:rsid w:val="02583455"/>
    <w:rsid w:val="02668054"/>
    <w:rsid w:val="026B7CFE"/>
    <w:rsid w:val="040250B5"/>
    <w:rsid w:val="044FA469"/>
    <w:rsid w:val="047DD6E9"/>
    <w:rsid w:val="04F83C1A"/>
    <w:rsid w:val="06700E63"/>
    <w:rsid w:val="067A59DB"/>
    <w:rsid w:val="076E4277"/>
    <w:rsid w:val="089DD7F7"/>
    <w:rsid w:val="0C63B839"/>
    <w:rsid w:val="0DD884DB"/>
    <w:rsid w:val="0E983A2E"/>
    <w:rsid w:val="0EB1628B"/>
    <w:rsid w:val="0FF04290"/>
    <w:rsid w:val="10330B67"/>
    <w:rsid w:val="10A8AB4D"/>
    <w:rsid w:val="10FD2DE0"/>
    <w:rsid w:val="11E9034D"/>
    <w:rsid w:val="126FEDD0"/>
    <w:rsid w:val="136BAB51"/>
    <w:rsid w:val="14627E66"/>
    <w:rsid w:val="156D8789"/>
    <w:rsid w:val="156F3EA6"/>
    <w:rsid w:val="1862C754"/>
    <w:rsid w:val="1909FA95"/>
    <w:rsid w:val="19966AC2"/>
    <w:rsid w:val="19D00BED"/>
    <w:rsid w:val="1C95DC6E"/>
    <w:rsid w:val="1CC114C5"/>
    <w:rsid w:val="1D891B26"/>
    <w:rsid w:val="1F3F331D"/>
    <w:rsid w:val="235E5C8E"/>
    <w:rsid w:val="2372AFC6"/>
    <w:rsid w:val="2418A2AD"/>
    <w:rsid w:val="26B83DEC"/>
    <w:rsid w:val="277FC6FC"/>
    <w:rsid w:val="295F0460"/>
    <w:rsid w:val="29D2122E"/>
    <w:rsid w:val="2A29F7B6"/>
    <w:rsid w:val="2AFAD4C1"/>
    <w:rsid w:val="2B871783"/>
    <w:rsid w:val="2D00000C"/>
    <w:rsid w:val="2FB635A9"/>
    <w:rsid w:val="302B0312"/>
    <w:rsid w:val="307761F1"/>
    <w:rsid w:val="30C78AF6"/>
    <w:rsid w:val="31300BD1"/>
    <w:rsid w:val="316A1645"/>
    <w:rsid w:val="31C85E93"/>
    <w:rsid w:val="3263A6EF"/>
    <w:rsid w:val="333BCCD2"/>
    <w:rsid w:val="3349AEA5"/>
    <w:rsid w:val="3421199C"/>
    <w:rsid w:val="372CB071"/>
    <w:rsid w:val="385A2931"/>
    <w:rsid w:val="385A3DFF"/>
    <w:rsid w:val="38CA3D53"/>
    <w:rsid w:val="38CE463D"/>
    <w:rsid w:val="3FBD2DA8"/>
    <w:rsid w:val="3FEE2739"/>
    <w:rsid w:val="40588248"/>
    <w:rsid w:val="4155B458"/>
    <w:rsid w:val="4189F79A"/>
    <w:rsid w:val="426891BB"/>
    <w:rsid w:val="4348CD02"/>
    <w:rsid w:val="43E22387"/>
    <w:rsid w:val="43E687ED"/>
    <w:rsid w:val="440BE9F5"/>
    <w:rsid w:val="465D68BD"/>
    <w:rsid w:val="4754DC26"/>
    <w:rsid w:val="480243FD"/>
    <w:rsid w:val="48CA1629"/>
    <w:rsid w:val="48F6AF04"/>
    <w:rsid w:val="491737E7"/>
    <w:rsid w:val="4C598B14"/>
    <w:rsid w:val="4C8817F9"/>
    <w:rsid w:val="4D513B4A"/>
    <w:rsid w:val="5063C310"/>
    <w:rsid w:val="5124EF58"/>
    <w:rsid w:val="51BB092E"/>
    <w:rsid w:val="5374C2C6"/>
    <w:rsid w:val="559A360D"/>
    <w:rsid w:val="55BC09AF"/>
    <w:rsid w:val="57127E7A"/>
    <w:rsid w:val="571D2D8C"/>
    <w:rsid w:val="58971733"/>
    <w:rsid w:val="5901D1B2"/>
    <w:rsid w:val="5BA1A31A"/>
    <w:rsid w:val="5C95EA91"/>
    <w:rsid w:val="5FEB6A3A"/>
    <w:rsid w:val="60E1FCCD"/>
    <w:rsid w:val="625FE033"/>
    <w:rsid w:val="634031E9"/>
    <w:rsid w:val="639A5144"/>
    <w:rsid w:val="64B13B2E"/>
    <w:rsid w:val="64C1D9B8"/>
    <w:rsid w:val="64FD8730"/>
    <w:rsid w:val="654EFC2A"/>
    <w:rsid w:val="673B3EDC"/>
    <w:rsid w:val="6803DFE8"/>
    <w:rsid w:val="6893B45B"/>
    <w:rsid w:val="68D70F3D"/>
    <w:rsid w:val="6C3FA990"/>
    <w:rsid w:val="6D6D94D1"/>
    <w:rsid w:val="6DB89409"/>
    <w:rsid w:val="6E9A8DBF"/>
    <w:rsid w:val="6F8B4514"/>
    <w:rsid w:val="70914D84"/>
    <w:rsid w:val="70929318"/>
    <w:rsid w:val="70B0360A"/>
    <w:rsid w:val="71088C20"/>
    <w:rsid w:val="73A04FAE"/>
    <w:rsid w:val="75203665"/>
    <w:rsid w:val="7667D480"/>
    <w:rsid w:val="76F9297C"/>
    <w:rsid w:val="7C113B12"/>
    <w:rsid w:val="7DD8755E"/>
    <w:rsid w:val="7EC9605A"/>
    <w:rsid w:val="7F438019"/>
    <w:rsid w:val="7F516C32"/>
    <w:rsid w:val="7FAE55E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42C80"/>
  <w15:docId w15:val="{DDC0E3AB-E514-4016-8D37-5683748D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21D18"/>
    <w:pPr>
      <w:spacing w:line="288" w:lineRule="auto"/>
    </w:pPr>
    <w:rPr>
      <w:rFonts w:ascii="Arial" w:hAnsi="Arial"/>
      <w:color w:val="15272F" w:themeColor="text1"/>
      <w:lang w:val="en-AU"/>
    </w:rPr>
  </w:style>
  <w:style w:type="paragraph" w:styleId="Heading1">
    <w:name w:val="heading 1"/>
    <w:basedOn w:val="Normal"/>
    <w:next w:val="Normal"/>
    <w:link w:val="Heading1Char"/>
    <w:uiPriority w:val="9"/>
    <w:qFormat/>
    <w:rsid w:val="00CC0F44"/>
    <w:pPr>
      <w:keepNext/>
      <w:keepLines/>
      <w:numPr>
        <w:numId w:val="39"/>
      </w:numPr>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3C21B3"/>
    <w:pPr>
      <w:keepNext/>
      <w:keepLines/>
      <w:numPr>
        <w:ilvl w:val="1"/>
        <w:numId w:val="39"/>
      </w:numPr>
      <w:spacing w:before="36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9"/>
    <w:unhideWhenUsed/>
    <w:qFormat/>
    <w:rsid w:val="009355A4"/>
    <w:pPr>
      <w:keepNext/>
      <w:keepLines/>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9"/>
    <w:unhideWhenUsed/>
    <w:qFormat/>
    <w:rsid w:val="009355A4"/>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unhideWhenUsed/>
    <w:rsid w:val="009355A4"/>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5A4"/>
    <w:rPr>
      <w:rFonts w:ascii="Arial" w:eastAsiaTheme="majorEastAsia" w:hAnsi="Arial" w:cstheme="majorBidi"/>
      <w:b/>
      <w:color w:val="15272F" w:themeColor="text1"/>
      <w:sz w:val="72"/>
      <w:szCs w:val="32"/>
    </w:rPr>
  </w:style>
  <w:style w:type="paragraph" w:styleId="Title">
    <w:name w:val="Title"/>
    <w:basedOn w:val="Normal"/>
    <w:next w:val="Normal"/>
    <w:link w:val="TitleChar"/>
    <w:uiPriority w:val="10"/>
    <w:qFormat/>
    <w:rsid w:val="009355A4"/>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9355A4"/>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3C21B3"/>
    <w:rPr>
      <w:rFonts w:ascii="Arial" w:eastAsiaTheme="majorEastAsia" w:hAnsi="Arial" w:cstheme="majorBidi"/>
      <w:b/>
      <w:color w:val="104F99" w:themeColor="accent2"/>
      <w:sz w:val="36"/>
      <w:szCs w:val="26"/>
      <w:lang w:val="en-AU"/>
    </w:rPr>
  </w:style>
  <w:style w:type="character" w:customStyle="1" w:styleId="Heading3Char">
    <w:name w:val="Heading 3 Char"/>
    <w:basedOn w:val="DefaultParagraphFont"/>
    <w:link w:val="Heading3"/>
    <w:uiPriority w:val="9"/>
    <w:rsid w:val="009355A4"/>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9"/>
    <w:rsid w:val="009355A4"/>
    <w:rPr>
      <w:rFonts w:ascii="Arial" w:eastAsiaTheme="majorEastAsia" w:hAnsi="Arial" w:cstheme="majorBidi"/>
      <w:b/>
      <w:iCs/>
      <w:color w:val="15272F" w:themeColor="text1"/>
    </w:rPr>
  </w:style>
  <w:style w:type="paragraph" w:customStyle="1" w:styleId="ListLevel1">
    <w:name w:val="List Level 1"/>
    <w:basedOn w:val="ListLevel2"/>
    <w:link w:val="ListLevel1Char"/>
    <w:qFormat/>
    <w:rsid w:val="009355A4"/>
    <w:pPr>
      <w:numPr>
        <w:numId w:val="7"/>
      </w:numPr>
    </w:pPr>
  </w:style>
  <w:style w:type="paragraph" w:customStyle="1" w:styleId="ListLevel2">
    <w:name w:val="List Level 2"/>
    <w:basedOn w:val="Normal"/>
    <w:link w:val="ListLevel2Char"/>
    <w:qFormat/>
    <w:rsid w:val="009355A4"/>
    <w:pPr>
      <w:numPr>
        <w:ilvl w:val="1"/>
        <w:numId w:val="6"/>
      </w:numPr>
      <w:contextualSpacing/>
    </w:pPr>
  </w:style>
  <w:style w:type="paragraph" w:styleId="Header">
    <w:name w:val="header"/>
    <w:basedOn w:val="Normal"/>
    <w:link w:val="HeaderChar"/>
    <w:uiPriority w:val="99"/>
    <w:unhideWhenUsed/>
    <w:rsid w:val="009355A4"/>
    <w:pPr>
      <w:tabs>
        <w:tab w:val="center" w:pos="4680"/>
        <w:tab w:val="right" w:pos="9360"/>
      </w:tabs>
      <w:spacing w:after="0" w:line="240" w:lineRule="auto"/>
    </w:pPr>
  </w:style>
  <w:style w:type="character" w:customStyle="1" w:styleId="ListLevel1Char">
    <w:name w:val="List Level 1 Char"/>
    <w:basedOn w:val="ListLevel2Char"/>
    <w:link w:val="ListLevel1"/>
    <w:rsid w:val="009355A4"/>
    <w:rPr>
      <w:rFonts w:ascii="Arial" w:hAnsi="Arial"/>
      <w:color w:val="15272F" w:themeColor="text1"/>
    </w:rPr>
  </w:style>
  <w:style w:type="character" w:customStyle="1" w:styleId="ListLevel2Char">
    <w:name w:val="List Level 2 Char"/>
    <w:basedOn w:val="DefaultParagraphFont"/>
    <w:link w:val="ListLevel2"/>
    <w:rsid w:val="009355A4"/>
    <w:rPr>
      <w:rFonts w:ascii="Arial" w:hAnsi="Arial"/>
      <w:color w:val="15272F" w:themeColor="text1"/>
    </w:rPr>
  </w:style>
  <w:style w:type="character" w:customStyle="1" w:styleId="HeaderChar">
    <w:name w:val="Header Char"/>
    <w:basedOn w:val="DefaultParagraphFont"/>
    <w:link w:val="Header"/>
    <w:uiPriority w:val="99"/>
    <w:rsid w:val="009355A4"/>
    <w:rPr>
      <w:rFonts w:ascii="Arial" w:hAnsi="Arial"/>
      <w:color w:val="15272F" w:themeColor="text1"/>
    </w:rPr>
  </w:style>
  <w:style w:type="paragraph" w:styleId="Footer">
    <w:name w:val="footer"/>
    <w:basedOn w:val="Normal"/>
    <w:link w:val="FooterChar"/>
    <w:uiPriority w:val="99"/>
    <w:unhideWhenUsed/>
    <w:rsid w:val="0093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5A4"/>
    <w:rPr>
      <w:rFonts w:ascii="Arial" w:hAnsi="Arial"/>
      <w:color w:val="15272F" w:themeColor="text1"/>
    </w:rPr>
  </w:style>
  <w:style w:type="paragraph" w:styleId="ListParagraph">
    <w:name w:val="List Paragraph"/>
    <w:basedOn w:val="Normal"/>
    <w:uiPriority w:val="34"/>
    <w:qFormat/>
    <w:rsid w:val="009355A4"/>
    <w:pPr>
      <w:ind w:left="720"/>
      <w:contextualSpacing/>
    </w:pPr>
  </w:style>
  <w:style w:type="paragraph" w:customStyle="1" w:styleId="TableFigureheading">
    <w:name w:val="Table/Figure heading"/>
    <w:basedOn w:val="Heading4"/>
    <w:link w:val="TableFigureheadingChar"/>
    <w:qFormat/>
    <w:rsid w:val="00E96C8D"/>
    <w:pPr>
      <w:spacing w:before="240"/>
      <w:jc w:val="center"/>
    </w:pPr>
    <w:rPr>
      <w:b w:val="0"/>
      <w:color w:val="008F55" w:themeColor="accent4"/>
    </w:rPr>
  </w:style>
  <w:style w:type="table" w:customStyle="1" w:styleId="IHACPATable">
    <w:name w:val="IHACPA Table"/>
    <w:basedOn w:val="TableNormal"/>
    <w:uiPriority w:val="99"/>
    <w:rsid w:val="009355A4"/>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E96C8D"/>
    <w:rPr>
      <w:rFonts w:ascii="Arial" w:eastAsiaTheme="majorEastAsia" w:hAnsi="Arial" w:cstheme="majorBidi"/>
      <w:b w:val="0"/>
      <w:iCs/>
      <w:color w:val="008F55" w:themeColor="accent4"/>
      <w:lang w:val="en-AU"/>
    </w:rPr>
  </w:style>
  <w:style w:type="table" w:styleId="TableGrid">
    <w:name w:val="Table Grid"/>
    <w:basedOn w:val="TableNormal"/>
    <w:uiPriority w:val="39"/>
    <w:rsid w:val="0093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9355A4"/>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9355A4"/>
    <w:pPr>
      <w:spacing w:after="120"/>
    </w:pPr>
    <w:rPr>
      <w:sz w:val="16"/>
      <w:szCs w:val="15"/>
    </w:rPr>
  </w:style>
  <w:style w:type="character" w:customStyle="1" w:styleId="FootnoteChar">
    <w:name w:val="Footnote Char"/>
    <w:basedOn w:val="DefaultParagraphFont"/>
    <w:link w:val="Footnote"/>
    <w:rsid w:val="009355A4"/>
    <w:rPr>
      <w:rFonts w:ascii="Arial" w:hAnsi="Arial"/>
      <w:color w:val="15272F" w:themeColor="text1"/>
      <w:sz w:val="16"/>
      <w:szCs w:val="15"/>
    </w:rPr>
  </w:style>
  <w:style w:type="character" w:styleId="Hyperlink">
    <w:name w:val="Hyperlink"/>
    <w:basedOn w:val="DefaultParagraphFont"/>
    <w:uiPriority w:val="99"/>
    <w:unhideWhenUsed/>
    <w:rsid w:val="009355A4"/>
    <w:rPr>
      <w:color w:val="0080C4" w:themeColor="hyperlink"/>
      <w:u w:val="single"/>
    </w:rPr>
  </w:style>
  <w:style w:type="paragraph" w:styleId="TOC1">
    <w:name w:val="toc 1"/>
    <w:basedOn w:val="Normal"/>
    <w:next w:val="Normal"/>
    <w:autoRedefine/>
    <w:uiPriority w:val="39"/>
    <w:unhideWhenUsed/>
    <w:rsid w:val="002605D4"/>
    <w:pPr>
      <w:tabs>
        <w:tab w:val="left" w:pos="440"/>
        <w:tab w:val="right" w:leader="dot" w:pos="9736"/>
      </w:tabs>
      <w:spacing w:after="360"/>
    </w:pPr>
    <w:rPr>
      <w:b/>
      <w:sz w:val="28"/>
    </w:rPr>
  </w:style>
  <w:style w:type="paragraph" w:customStyle="1" w:styleId="CoverTitle">
    <w:name w:val="Cover Title"/>
    <w:basedOn w:val="Title"/>
    <w:link w:val="CoverTitleChar"/>
    <w:qFormat/>
    <w:rsid w:val="009355A4"/>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9355A4"/>
    <w:rPr>
      <w:color w:val="54C1AF" w:themeColor="accent5"/>
      <w:sz w:val="48"/>
      <w:szCs w:val="48"/>
    </w:rPr>
  </w:style>
  <w:style w:type="character" w:customStyle="1" w:styleId="CoverTitleChar">
    <w:name w:val="Cover Title Char"/>
    <w:basedOn w:val="TitleChar"/>
    <w:link w:val="CoverTitle"/>
    <w:rsid w:val="009355A4"/>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9355A4"/>
    <w:rPr>
      <w:color w:val="605E5C"/>
      <w:shd w:val="clear" w:color="auto" w:fill="E1DFDD"/>
    </w:rPr>
  </w:style>
  <w:style w:type="character" w:customStyle="1" w:styleId="CoversubtitleChar">
    <w:name w:val="Cover subtitle Char"/>
    <w:basedOn w:val="CoverTitleChar"/>
    <w:link w:val="Coversubtitle"/>
    <w:rsid w:val="009355A4"/>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9355A4"/>
    <w:pPr>
      <w:ind w:right="4064"/>
    </w:pPr>
    <w:rPr>
      <w:sz w:val="18"/>
    </w:rPr>
  </w:style>
  <w:style w:type="paragraph" w:customStyle="1" w:styleId="Copyrightheading">
    <w:name w:val="Copyright heading"/>
    <w:basedOn w:val="Heading4"/>
    <w:next w:val="Normal"/>
    <w:qFormat/>
    <w:rsid w:val="009355A4"/>
  </w:style>
  <w:style w:type="character" w:customStyle="1" w:styleId="Heading5Char">
    <w:name w:val="Heading 5 Char"/>
    <w:basedOn w:val="DefaultParagraphFont"/>
    <w:link w:val="Heading5"/>
    <w:uiPriority w:val="9"/>
    <w:rsid w:val="009355A4"/>
    <w:rPr>
      <w:rFonts w:ascii="Arial" w:eastAsiaTheme="majorEastAsia" w:hAnsi="Arial" w:cstheme="majorBidi"/>
      <w:b/>
      <w:color w:val="0F1D23" w:themeColor="accent1" w:themeShade="BF"/>
    </w:rPr>
  </w:style>
  <w:style w:type="paragraph" w:styleId="NoSpacing">
    <w:name w:val="No Spacing"/>
    <w:uiPriority w:val="1"/>
    <w:rsid w:val="009355A4"/>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9355A4"/>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9355A4"/>
    <w:rPr>
      <w:rFonts w:ascii="Arial" w:eastAsiaTheme="minorEastAsia" w:hAnsi="Arial"/>
      <w:color w:val="45809A" w:themeColor="text1" w:themeTint="A5"/>
      <w:spacing w:val="15"/>
    </w:rPr>
  </w:style>
  <w:style w:type="character" w:styleId="FollowedHyperlink">
    <w:name w:val="FollowedHyperlink"/>
    <w:basedOn w:val="DefaultParagraphFont"/>
    <w:uiPriority w:val="99"/>
    <w:semiHidden/>
    <w:unhideWhenUsed/>
    <w:rsid w:val="00DF2CB4"/>
    <w:rPr>
      <w:color w:val="104F99" w:themeColor="followedHyperlink"/>
      <w:u w:val="single"/>
    </w:rPr>
  </w:style>
  <w:style w:type="paragraph" w:styleId="Caption">
    <w:name w:val="caption"/>
    <w:basedOn w:val="Normal"/>
    <w:next w:val="Normal"/>
    <w:uiPriority w:val="35"/>
    <w:unhideWhenUsed/>
    <w:qFormat/>
    <w:rsid w:val="00606EAD"/>
    <w:pPr>
      <w:spacing w:after="200" w:line="240" w:lineRule="auto"/>
    </w:pPr>
    <w:rPr>
      <w:i/>
      <w:iCs/>
      <w:color w:val="15272F" w:themeColor="text2"/>
      <w:sz w:val="18"/>
      <w:szCs w:val="18"/>
    </w:rPr>
  </w:style>
  <w:style w:type="character" w:styleId="Strong">
    <w:name w:val="Strong"/>
    <w:basedOn w:val="DefaultParagraphFont"/>
    <w:uiPriority w:val="22"/>
    <w:rsid w:val="0086356F"/>
    <w:rPr>
      <w:b/>
      <w:bCs/>
    </w:rPr>
  </w:style>
  <w:style w:type="paragraph" w:styleId="Revision">
    <w:name w:val="Revision"/>
    <w:hidden/>
    <w:uiPriority w:val="99"/>
    <w:semiHidden/>
    <w:rsid w:val="00497C74"/>
    <w:pPr>
      <w:spacing w:after="0" w:line="240" w:lineRule="auto"/>
    </w:pPr>
    <w:rPr>
      <w:rFonts w:ascii="Arial" w:hAnsi="Arial"/>
      <w:color w:val="15272F" w:themeColor="text1"/>
    </w:rPr>
  </w:style>
  <w:style w:type="character" w:styleId="CommentReference">
    <w:name w:val="annotation reference"/>
    <w:basedOn w:val="DefaultParagraphFont"/>
    <w:uiPriority w:val="99"/>
    <w:semiHidden/>
    <w:unhideWhenUsed/>
    <w:rsid w:val="00497C74"/>
    <w:rPr>
      <w:sz w:val="16"/>
      <w:szCs w:val="16"/>
    </w:rPr>
  </w:style>
  <w:style w:type="paragraph" w:styleId="CommentText">
    <w:name w:val="annotation text"/>
    <w:basedOn w:val="Normal"/>
    <w:link w:val="CommentTextChar"/>
    <w:uiPriority w:val="99"/>
    <w:unhideWhenUsed/>
    <w:rsid w:val="00497C74"/>
    <w:pPr>
      <w:spacing w:line="240" w:lineRule="auto"/>
    </w:pPr>
    <w:rPr>
      <w:sz w:val="20"/>
      <w:szCs w:val="20"/>
    </w:rPr>
  </w:style>
  <w:style w:type="character" w:customStyle="1" w:styleId="CommentTextChar">
    <w:name w:val="Comment Text Char"/>
    <w:basedOn w:val="DefaultParagraphFont"/>
    <w:link w:val="CommentText"/>
    <w:uiPriority w:val="99"/>
    <w:rsid w:val="00497C74"/>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497C74"/>
    <w:rPr>
      <w:b/>
      <w:bCs/>
    </w:rPr>
  </w:style>
  <w:style w:type="character" w:customStyle="1" w:styleId="CommentSubjectChar">
    <w:name w:val="Comment Subject Char"/>
    <w:basedOn w:val="CommentTextChar"/>
    <w:link w:val="CommentSubject"/>
    <w:uiPriority w:val="99"/>
    <w:semiHidden/>
    <w:rsid w:val="00497C74"/>
    <w:rPr>
      <w:rFonts w:ascii="Arial" w:hAnsi="Arial"/>
      <w:b/>
      <w:bCs/>
      <w:color w:val="15272F" w:themeColor="text1"/>
      <w:sz w:val="20"/>
      <w:szCs w:val="20"/>
    </w:rPr>
  </w:style>
  <w:style w:type="table" w:customStyle="1" w:styleId="IHACPATable1">
    <w:name w:val="IHACPA Table1"/>
    <w:basedOn w:val="TableNormal"/>
    <w:uiPriority w:val="99"/>
    <w:rsid w:val="00A6564B"/>
    <w:pPr>
      <w:spacing w:after="0" w:line="240" w:lineRule="auto"/>
    </w:pPr>
    <w:rPr>
      <w:rFonts w:ascii="Fira Sans regular" w:eastAsia="Fira Sans regular" w:hAnsi="Fira Sans regular" w:cs="Times New Roman"/>
      <w:sz w:val="18"/>
    </w:rPr>
    <w:tblPr>
      <w:tblStyleRowBandSize w:val="1"/>
      <w:tblInd w:w="0" w:type="nil"/>
    </w:tblPr>
    <w:tblStylePr w:type="firstRow">
      <w:tblPr/>
      <w:tcPr>
        <w:shd w:val="clear" w:color="auto" w:fill="15272F" w:themeFill="text2"/>
      </w:tcPr>
    </w:tblStylePr>
    <w:tblStylePr w:type="lastRow">
      <w:rPr>
        <w:rFonts w:ascii="Arial Bold" w:hAnsi="Arial Bold" w:hint="default"/>
        <w:sz w:val="15"/>
        <w:szCs w:val="15"/>
      </w:rPr>
      <w:tblPr/>
      <w:tcPr>
        <w:tcBorders>
          <w:top w:val="nil"/>
          <w:bottom w:val="single" w:sz="4" w:space="0" w:color="D9D9D9" w:themeColor="background2" w:themeShade="D9"/>
        </w:tcBorders>
      </w:tcPr>
    </w:tblStylePr>
    <w:tblStylePr w:type="firstCol">
      <w:rPr>
        <w:rFonts w:ascii="Arial Bold" w:hAnsi="Arial Bold" w:hint="default"/>
        <w:sz w:val="15"/>
        <w:szCs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styleId="SubtleEmphasis">
    <w:name w:val="Subtle Emphasis"/>
    <w:basedOn w:val="DefaultParagraphFont"/>
    <w:uiPriority w:val="19"/>
    <w:rsid w:val="00923049"/>
    <w:rPr>
      <w:i/>
      <w:iCs/>
      <w:color w:val="37667B" w:themeColor="text1" w:themeTint="BF"/>
    </w:rPr>
  </w:style>
  <w:style w:type="paragraph" w:styleId="TOCHeading">
    <w:name w:val="TOC Heading"/>
    <w:basedOn w:val="Heading1"/>
    <w:next w:val="Normal"/>
    <w:uiPriority w:val="39"/>
    <w:unhideWhenUsed/>
    <w:qFormat/>
    <w:rsid w:val="00C12340"/>
    <w:pPr>
      <w:numPr>
        <w:numId w:val="0"/>
      </w:numPr>
      <w:spacing w:before="240" w:after="0" w:line="259" w:lineRule="auto"/>
      <w:outlineLvl w:val="9"/>
    </w:pPr>
    <w:rPr>
      <w:rFonts w:asciiTheme="majorHAnsi" w:hAnsiTheme="majorHAnsi"/>
      <w:b w:val="0"/>
      <w:color w:val="0F1D23" w:themeColor="accent1" w:themeShade="BF"/>
      <w:sz w:val="32"/>
      <w:lang w:val="en-US"/>
    </w:rPr>
  </w:style>
  <w:style w:type="paragraph" w:styleId="TOC2">
    <w:name w:val="toc 2"/>
    <w:basedOn w:val="Normal"/>
    <w:next w:val="Normal"/>
    <w:autoRedefine/>
    <w:uiPriority w:val="39"/>
    <w:unhideWhenUsed/>
    <w:rsid w:val="00C12340"/>
    <w:pPr>
      <w:tabs>
        <w:tab w:val="left" w:pos="880"/>
        <w:tab w:val="right" w:leader="dot" w:pos="9736"/>
      </w:tabs>
      <w:spacing w:after="100"/>
      <w:ind w:left="220"/>
    </w:pPr>
  </w:style>
  <w:style w:type="paragraph" w:styleId="TOC3">
    <w:name w:val="toc 3"/>
    <w:basedOn w:val="Normal"/>
    <w:next w:val="Normal"/>
    <w:autoRedefine/>
    <w:uiPriority w:val="39"/>
    <w:unhideWhenUsed/>
    <w:rsid w:val="00C12340"/>
    <w:pPr>
      <w:spacing w:after="100"/>
      <w:ind w:left="440"/>
    </w:pPr>
  </w:style>
  <w:style w:type="paragraph" w:styleId="TOC4">
    <w:name w:val="toc 4"/>
    <w:basedOn w:val="Normal"/>
    <w:next w:val="Normal"/>
    <w:autoRedefine/>
    <w:uiPriority w:val="39"/>
    <w:unhideWhenUsed/>
    <w:rsid w:val="00C12340"/>
    <w:pPr>
      <w:spacing w:after="100" w:line="259" w:lineRule="auto"/>
      <w:ind w:left="660"/>
    </w:pPr>
    <w:rPr>
      <w:rFonts w:asciiTheme="minorHAnsi" w:eastAsiaTheme="minorEastAsia" w:hAnsiTheme="minorHAnsi"/>
      <w:color w:val="auto"/>
      <w:kern w:val="2"/>
      <w:lang w:eastAsia="en-AU"/>
    </w:rPr>
  </w:style>
  <w:style w:type="paragraph" w:styleId="TOC5">
    <w:name w:val="toc 5"/>
    <w:basedOn w:val="Normal"/>
    <w:next w:val="Normal"/>
    <w:autoRedefine/>
    <w:uiPriority w:val="39"/>
    <w:unhideWhenUsed/>
    <w:rsid w:val="00C12340"/>
    <w:pPr>
      <w:spacing w:after="100" w:line="259" w:lineRule="auto"/>
      <w:ind w:left="880"/>
    </w:pPr>
    <w:rPr>
      <w:rFonts w:asciiTheme="minorHAnsi" w:eastAsiaTheme="minorEastAsia" w:hAnsiTheme="minorHAnsi"/>
      <w:color w:val="auto"/>
      <w:kern w:val="2"/>
      <w:lang w:eastAsia="en-AU"/>
    </w:rPr>
  </w:style>
  <w:style w:type="paragraph" w:styleId="TOC6">
    <w:name w:val="toc 6"/>
    <w:basedOn w:val="Normal"/>
    <w:next w:val="Normal"/>
    <w:autoRedefine/>
    <w:uiPriority w:val="39"/>
    <w:unhideWhenUsed/>
    <w:rsid w:val="00C12340"/>
    <w:pPr>
      <w:spacing w:after="100" w:line="259" w:lineRule="auto"/>
      <w:ind w:left="1100"/>
    </w:pPr>
    <w:rPr>
      <w:rFonts w:asciiTheme="minorHAnsi" w:eastAsiaTheme="minorEastAsia" w:hAnsiTheme="minorHAnsi"/>
      <w:color w:val="auto"/>
      <w:kern w:val="2"/>
      <w:lang w:eastAsia="en-AU"/>
    </w:rPr>
  </w:style>
  <w:style w:type="paragraph" w:styleId="TOC7">
    <w:name w:val="toc 7"/>
    <w:basedOn w:val="Normal"/>
    <w:next w:val="Normal"/>
    <w:autoRedefine/>
    <w:uiPriority w:val="39"/>
    <w:unhideWhenUsed/>
    <w:rsid w:val="00C12340"/>
    <w:pPr>
      <w:spacing w:after="100" w:line="259" w:lineRule="auto"/>
      <w:ind w:left="1320"/>
    </w:pPr>
    <w:rPr>
      <w:rFonts w:asciiTheme="minorHAnsi" w:eastAsiaTheme="minorEastAsia" w:hAnsiTheme="minorHAnsi"/>
      <w:color w:val="auto"/>
      <w:kern w:val="2"/>
      <w:lang w:eastAsia="en-AU"/>
    </w:rPr>
  </w:style>
  <w:style w:type="paragraph" w:styleId="TOC8">
    <w:name w:val="toc 8"/>
    <w:basedOn w:val="Normal"/>
    <w:next w:val="Normal"/>
    <w:autoRedefine/>
    <w:uiPriority w:val="39"/>
    <w:unhideWhenUsed/>
    <w:rsid w:val="00C12340"/>
    <w:pPr>
      <w:spacing w:after="100" w:line="259" w:lineRule="auto"/>
      <w:ind w:left="1540"/>
    </w:pPr>
    <w:rPr>
      <w:rFonts w:asciiTheme="minorHAnsi" w:eastAsiaTheme="minorEastAsia" w:hAnsiTheme="minorHAnsi"/>
      <w:color w:val="auto"/>
      <w:kern w:val="2"/>
      <w:lang w:eastAsia="en-AU"/>
    </w:rPr>
  </w:style>
  <w:style w:type="paragraph" w:styleId="TOC9">
    <w:name w:val="toc 9"/>
    <w:basedOn w:val="Normal"/>
    <w:next w:val="Normal"/>
    <w:autoRedefine/>
    <w:uiPriority w:val="39"/>
    <w:unhideWhenUsed/>
    <w:rsid w:val="00C12340"/>
    <w:pPr>
      <w:spacing w:after="100" w:line="259" w:lineRule="auto"/>
      <w:ind w:left="1760"/>
    </w:pPr>
    <w:rPr>
      <w:rFonts w:asciiTheme="minorHAnsi" w:eastAsiaTheme="minorEastAsia" w:hAnsiTheme="minorHAnsi"/>
      <w:color w:val="auto"/>
      <w:kern w:val="2"/>
      <w:lang w:eastAsia="en-AU"/>
    </w:rPr>
  </w:style>
  <w:style w:type="table" w:styleId="ListTable3-Accent2">
    <w:name w:val="List Table 3 Accent 2"/>
    <w:basedOn w:val="TableNormal"/>
    <w:uiPriority w:val="48"/>
    <w:rsid w:val="002C0240"/>
    <w:pPr>
      <w:spacing w:after="0" w:line="240" w:lineRule="auto"/>
    </w:pPr>
    <w:tblPr>
      <w:tblStyleRowBandSize w:val="1"/>
      <w:tblStyleColBandSize w:val="1"/>
      <w:tblBorders>
        <w:top w:val="single" w:sz="4" w:space="0" w:color="104F99" w:themeColor="accent2"/>
        <w:left w:val="single" w:sz="4" w:space="0" w:color="104F99" w:themeColor="accent2"/>
        <w:bottom w:val="single" w:sz="4" w:space="0" w:color="104F99" w:themeColor="accent2"/>
        <w:right w:val="single" w:sz="4" w:space="0" w:color="104F99" w:themeColor="accent2"/>
      </w:tblBorders>
    </w:tblPr>
    <w:tblStylePr w:type="firstRow">
      <w:rPr>
        <w:b/>
        <w:bCs/>
        <w:color w:val="54C1AF" w:themeColor="background1"/>
      </w:rPr>
      <w:tblPr/>
      <w:tcPr>
        <w:shd w:val="clear" w:color="auto" w:fill="104F99" w:themeFill="accent2"/>
      </w:tcPr>
    </w:tblStylePr>
    <w:tblStylePr w:type="lastRow">
      <w:rPr>
        <w:b/>
        <w:bCs/>
      </w:rPr>
      <w:tblPr/>
      <w:tcPr>
        <w:tcBorders>
          <w:top w:val="double" w:sz="4" w:space="0" w:color="104F99" w:themeColor="accent2"/>
        </w:tcBorders>
        <w:shd w:val="clear" w:color="auto" w:fill="54C1AF" w:themeFill="background1"/>
      </w:tcPr>
    </w:tblStylePr>
    <w:tblStylePr w:type="firstCol">
      <w:rPr>
        <w:b/>
        <w:bCs/>
      </w:rPr>
      <w:tblPr/>
      <w:tcPr>
        <w:tcBorders>
          <w:right w:val="nil"/>
        </w:tcBorders>
        <w:shd w:val="clear" w:color="auto" w:fill="54C1AF" w:themeFill="background1"/>
      </w:tcPr>
    </w:tblStylePr>
    <w:tblStylePr w:type="lastCol">
      <w:rPr>
        <w:b/>
        <w:bCs/>
      </w:rPr>
      <w:tblPr/>
      <w:tcPr>
        <w:tcBorders>
          <w:left w:val="nil"/>
        </w:tcBorders>
        <w:shd w:val="clear" w:color="auto" w:fill="54C1AF" w:themeFill="background1"/>
      </w:tcPr>
    </w:tblStylePr>
    <w:tblStylePr w:type="band1Vert">
      <w:tblPr/>
      <w:tcPr>
        <w:tcBorders>
          <w:left w:val="single" w:sz="4" w:space="0" w:color="104F99" w:themeColor="accent2"/>
          <w:right w:val="single" w:sz="4" w:space="0" w:color="104F99" w:themeColor="accent2"/>
        </w:tcBorders>
      </w:tcPr>
    </w:tblStylePr>
    <w:tblStylePr w:type="band1Horz">
      <w:tblPr/>
      <w:tcPr>
        <w:tcBorders>
          <w:top w:val="single" w:sz="4" w:space="0" w:color="104F99" w:themeColor="accent2"/>
          <w:bottom w:val="single" w:sz="4" w:space="0" w:color="104F9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4F99" w:themeColor="accent2"/>
          <w:left w:val="nil"/>
        </w:tcBorders>
      </w:tcPr>
    </w:tblStylePr>
    <w:tblStylePr w:type="swCell">
      <w:tblPr/>
      <w:tcPr>
        <w:tcBorders>
          <w:top w:val="double" w:sz="4" w:space="0" w:color="104F99" w:themeColor="accent2"/>
          <w:right w:val="nil"/>
        </w:tcBorders>
      </w:tcPr>
    </w:tblStylePr>
  </w:style>
  <w:style w:type="table" w:styleId="ListTable3">
    <w:name w:val="List Table 3"/>
    <w:basedOn w:val="TableNormal"/>
    <w:uiPriority w:val="48"/>
    <w:rsid w:val="007158F9"/>
    <w:pPr>
      <w:spacing w:after="0" w:line="240" w:lineRule="auto"/>
    </w:pPr>
    <w:tblPr>
      <w:tblStyleRowBandSize w:val="1"/>
      <w:tblStyleColBandSize w:val="1"/>
      <w:tblBorders>
        <w:top w:val="single" w:sz="4" w:space="0" w:color="15272F" w:themeColor="text1"/>
        <w:left w:val="single" w:sz="4" w:space="0" w:color="15272F" w:themeColor="text1"/>
        <w:bottom w:val="single" w:sz="4" w:space="0" w:color="15272F" w:themeColor="text1"/>
        <w:right w:val="single" w:sz="4" w:space="0" w:color="15272F" w:themeColor="text1"/>
      </w:tblBorders>
    </w:tblPr>
    <w:tblStylePr w:type="firstRow">
      <w:rPr>
        <w:b/>
        <w:bCs/>
        <w:color w:val="54C1AF" w:themeColor="background1"/>
      </w:rPr>
      <w:tblPr/>
      <w:tcPr>
        <w:shd w:val="clear" w:color="auto" w:fill="15272F" w:themeFill="text1"/>
      </w:tcPr>
    </w:tblStylePr>
    <w:tblStylePr w:type="lastRow">
      <w:rPr>
        <w:b/>
        <w:bCs/>
      </w:rPr>
      <w:tblPr/>
      <w:tcPr>
        <w:tcBorders>
          <w:top w:val="double" w:sz="4" w:space="0" w:color="15272F" w:themeColor="text1"/>
        </w:tcBorders>
        <w:shd w:val="clear" w:color="auto" w:fill="54C1AF" w:themeFill="background1"/>
      </w:tcPr>
    </w:tblStylePr>
    <w:tblStylePr w:type="firstCol">
      <w:rPr>
        <w:b/>
        <w:bCs/>
      </w:rPr>
      <w:tblPr/>
      <w:tcPr>
        <w:tcBorders>
          <w:right w:val="nil"/>
        </w:tcBorders>
        <w:shd w:val="clear" w:color="auto" w:fill="54C1AF" w:themeFill="background1"/>
      </w:tcPr>
    </w:tblStylePr>
    <w:tblStylePr w:type="lastCol">
      <w:rPr>
        <w:b/>
        <w:bCs/>
      </w:rPr>
      <w:tblPr/>
      <w:tcPr>
        <w:tcBorders>
          <w:left w:val="nil"/>
        </w:tcBorders>
        <w:shd w:val="clear" w:color="auto" w:fill="54C1AF" w:themeFill="background1"/>
      </w:tcPr>
    </w:tblStylePr>
    <w:tblStylePr w:type="band1Vert">
      <w:tblPr/>
      <w:tcPr>
        <w:tcBorders>
          <w:left w:val="single" w:sz="4" w:space="0" w:color="15272F" w:themeColor="text1"/>
          <w:right w:val="single" w:sz="4" w:space="0" w:color="15272F" w:themeColor="text1"/>
        </w:tcBorders>
      </w:tcPr>
    </w:tblStylePr>
    <w:tblStylePr w:type="band1Horz">
      <w:tblPr/>
      <w:tcPr>
        <w:tcBorders>
          <w:top w:val="single" w:sz="4" w:space="0" w:color="15272F" w:themeColor="text1"/>
          <w:bottom w:val="single" w:sz="4" w:space="0" w:color="15272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72F" w:themeColor="text1"/>
          <w:left w:val="nil"/>
        </w:tcBorders>
      </w:tcPr>
    </w:tblStylePr>
    <w:tblStylePr w:type="swCell">
      <w:tblPr/>
      <w:tcPr>
        <w:tcBorders>
          <w:top w:val="double" w:sz="4" w:space="0" w:color="15272F"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935">
      <w:bodyDiv w:val="1"/>
      <w:marLeft w:val="0"/>
      <w:marRight w:val="0"/>
      <w:marTop w:val="0"/>
      <w:marBottom w:val="0"/>
      <w:divBdr>
        <w:top w:val="none" w:sz="0" w:space="0" w:color="auto"/>
        <w:left w:val="none" w:sz="0" w:space="0" w:color="auto"/>
        <w:bottom w:val="none" w:sz="0" w:space="0" w:color="auto"/>
        <w:right w:val="none" w:sz="0" w:space="0" w:color="auto"/>
      </w:divBdr>
    </w:div>
    <w:div w:id="102922300">
      <w:bodyDiv w:val="1"/>
      <w:marLeft w:val="0"/>
      <w:marRight w:val="0"/>
      <w:marTop w:val="0"/>
      <w:marBottom w:val="0"/>
      <w:divBdr>
        <w:top w:val="none" w:sz="0" w:space="0" w:color="auto"/>
        <w:left w:val="none" w:sz="0" w:space="0" w:color="auto"/>
        <w:bottom w:val="none" w:sz="0" w:space="0" w:color="auto"/>
        <w:right w:val="none" w:sz="0" w:space="0" w:color="auto"/>
      </w:divBdr>
    </w:div>
    <w:div w:id="130367109">
      <w:bodyDiv w:val="1"/>
      <w:marLeft w:val="0"/>
      <w:marRight w:val="0"/>
      <w:marTop w:val="0"/>
      <w:marBottom w:val="0"/>
      <w:divBdr>
        <w:top w:val="none" w:sz="0" w:space="0" w:color="auto"/>
        <w:left w:val="none" w:sz="0" w:space="0" w:color="auto"/>
        <w:bottom w:val="none" w:sz="0" w:space="0" w:color="auto"/>
        <w:right w:val="none" w:sz="0" w:space="0" w:color="auto"/>
      </w:divBdr>
    </w:div>
    <w:div w:id="183060527">
      <w:bodyDiv w:val="1"/>
      <w:marLeft w:val="0"/>
      <w:marRight w:val="0"/>
      <w:marTop w:val="0"/>
      <w:marBottom w:val="0"/>
      <w:divBdr>
        <w:top w:val="none" w:sz="0" w:space="0" w:color="auto"/>
        <w:left w:val="none" w:sz="0" w:space="0" w:color="auto"/>
        <w:bottom w:val="none" w:sz="0" w:space="0" w:color="auto"/>
        <w:right w:val="none" w:sz="0" w:space="0" w:color="auto"/>
      </w:divBdr>
    </w:div>
    <w:div w:id="269556655">
      <w:bodyDiv w:val="1"/>
      <w:marLeft w:val="0"/>
      <w:marRight w:val="0"/>
      <w:marTop w:val="0"/>
      <w:marBottom w:val="0"/>
      <w:divBdr>
        <w:top w:val="none" w:sz="0" w:space="0" w:color="auto"/>
        <w:left w:val="none" w:sz="0" w:space="0" w:color="auto"/>
        <w:bottom w:val="none" w:sz="0" w:space="0" w:color="auto"/>
        <w:right w:val="none" w:sz="0" w:space="0" w:color="auto"/>
      </w:divBdr>
    </w:div>
    <w:div w:id="280651705">
      <w:bodyDiv w:val="1"/>
      <w:marLeft w:val="0"/>
      <w:marRight w:val="0"/>
      <w:marTop w:val="0"/>
      <w:marBottom w:val="0"/>
      <w:divBdr>
        <w:top w:val="none" w:sz="0" w:space="0" w:color="auto"/>
        <w:left w:val="none" w:sz="0" w:space="0" w:color="auto"/>
        <w:bottom w:val="none" w:sz="0" w:space="0" w:color="auto"/>
        <w:right w:val="none" w:sz="0" w:space="0" w:color="auto"/>
      </w:divBdr>
    </w:div>
    <w:div w:id="283384617">
      <w:bodyDiv w:val="1"/>
      <w:marLeft w:val="0"/>
      <w:marRight w:val="0"/>
      <w:marTop w:val="0"/>
      <w:marBottom w:val="0"/>
      <w:divBdr>
        <w:top w:val="none" w:sz="0" w:space="0" w:color="auto"/>
        <w:left w:val="none" w:sz="0" w:space="0" w:color="auto"/>
        <w:bottom w:val="none" w:sz="0" w:space="0" w:color="auto"/>
        <w:right w:val="none" w:sz="0" w:space="0" w:color="auto"/>
      </w:divBdr>
    </w:div>
    <w:div w:id="292373694">
      <w:bodyDiv w:val="1"/>
      <w:marLeft w:val="0"/>
      <w:marRight w:val="0"/>
      <w:marTop w:val="0"/>
      <w:marBottom w:val="0"/>
      <w:divBdr>
        <w:top w:val="none" w:sz="0" w:space="0" w:color="auto"/>
        <w:left w:val="none" w:sz="0" w:space="0" w:color="auto"/>
        <w:bottom w:val="none" w:sz="0" w:space="0" w:color="auto"/>
        <w:right w:val="none" w:sz="0" w:space="0" w:color="auto"/>
      </w:divBdr>
    </w:div>
    <w:div w:id="390999475">
      <w:bodyDiv w:val="1"/>
      <w:marLeft w:val="0"/>
      <w:marRight w:val="0"/>
      <w:marTop w:val="0"/>
      <w:marBottom w:val="0"/>
      <w:divBdr>
        <w:top w:val="none" w:sz="0" w:space="0" w:color="auto"/>
        <w:left w:val="none" w:sz="0" w:space="0" w:color="auto"/>
        <w:bottom w:val="none" w:sz="0" w:space="0" w:color="auto"/>
        <w:right w:val="none" w:sz="0" w:space="0" w:color="auto"/>
      </w:divBdr>
    </w:div>
    <w:div w:id="466165383">
      <w:bodyDiv w:val="1"/>
      <w:marLeft w:val="0"/>
      <w:marRight w:val="0"/>
      <w:marTop w:val="0"/>
      <w:marBottom w:val="0"/>
      <w:divBdr>
        <w:top w:val="none" w:sz="0" w:space="0" w:color="auto"/>
        <w:left w:val="none" w:sz="0" w:space="0" w:color="auto"/>
        <w:bottom w:val="none" w:sz="0" w:space="0" w:color="auto"/>
        <w:right w:val="none" w:sz="0" w:space="0" w:color="auto"/>
      </w:divBdr>
    </w:div>
    <w:div w:id="474179433">
      <w:bodyDiv w:val="1"/>
      <w:marLeft w:val="0"/>
      <w:marRight w:val="0"/>
      <w:marTop w:val="0"/>
      <w:marBottom w:val="0"/>
      <w:divBdr>
        <w:top w:val="none" w:sz="0" w:space="0" w:color="auto"/>
        <w:left w:val="none" w:sz="0" w:space="0" w:color="auto"/>
        <w:bottom w:val="none" w:sz="0" w:space="0" w:color="auto"/>
        <w:right w:val="none" w:sz="0" w:space="0" w:color="auto"/>
      </w:divBdr>
    </w:div>
    <w:div w:id="477646798">
      <w:bodyDiv w:val="1"/>
      <w:marLeft w:val="0"/>
      <w:marRight w:val="0"/>
      <w:marTop w:val="0"/>
      <w:marBottom w:val="0"/>
      <w:divBdr>
        <w:top w:val="none" w:sz="0" w:space="0" w:color="auto"/>
        <w:left w:val="none" w:sz="0" w:space="0" w:color="auto"/>
        <w:bottom w:val="none" w:sz="0" w:space="0" w:color="auto"/>
        <w:right w:val="none" w:sz="0" w:space="0" w:color="auto"/>
      </w:divBdr>
    </w:div>
    <w:div w:id="782265497">
      <w:bodyDiv w:val="1"/>
      <w:marLeft w:val="0"/>
      <w:marRight w:val="0"/>
      <w:marTop w:val="0"/>
      <w:marBottom w:val="0"/>
      <w:divBdr>
        <w:top w:val="none" w:sz="0" w:space="0" w:color="auto"/>
        <w:left w:val="none" w:sz="0" w:space="0" w:color="auto"/>
        <w:bottom w:val="none" w:sz="0" w:space="0" w:color="auto"/>
        <w:right w:val="none" w:sz="0" w:space="0" w:color="auto"/>
      </w:divBdr>
    </w:div>
    <w:div w:id="1102608406">
      <w:bodyDiv w:val="1"/>
      <w:marLeft w:val="0"/>
      <w:marRight w:val="0"/>
      <w:marTop w:val="0"/>
      <w:marBottom w:val="0"/>
      <w:divBdr>
        <w:top w:val="none" w:sz="0" w:space="0" w:color="auto"/>
        <w:left w:val="none" w:sz="0" w:space="0" w:color="auto"/>
        <w:bottom w:val="none" w:sz="0" w:space="0" w:color="auto"/>
        <w:right w:val="none" w:sz="0" w:space="0" w:color="auto"/>
      </w:divBdr>
    </w:div>
    <w:div w:id="1117027452">
      <w:bodyDiv w:val="1"/>
      <w:marLeft w:val="0"/>
      <w:marRight w:val="0"/>
      <w:marTop w:val="0"/>
      <w:marBottom w:val="0"/>
      <w:divBdr>
        <w:top w:val="none" w:sz="0" w:space="0" w:color="auto"/>
        <w:left w:val="none" w:sz="0" w:space="0" w:color="auto"/>
        <w:bottom w:val="none" w:sz="0" w:space="0" w:color="auto"/>
        <w:right w:val="none" w:sz="0" w:space="0" w:color="auto"/>
      </w:divBdr>
    </w:div>
    <w:div w:id="1215199973">
      <w:bodyDiv w:val="1"/>
      <w:marLeft w:val="0"/>
      <w:marRight w:val="0"/>
      <w:marTop w:val="0"/>
      <w:marBottom w:val="0"/>
      <w:divBdr>
        <w:top w:val="none" w:sz="0" w:space="0" w:color="auto"/>
        <w:left w:val="none" w:sz="0" w:space="0" w:color="auto"/>
        <w:bottom w:val="none" w:sz="0" w:space="0" w:color="auto"/>
        <w:right w:val="none" w:sz="0" w:space="0" w:color="auto"/>
      </w:divBdr>
    </w:div>
    <w:div w:id="1518036896">
      <w:bodyDiv w:val="1"/>
      <w:marLeft w:val="0"/>
      <w:marRight w:val="0"/>
      <w:marTop w:val="0"/>
      <w:marBottom w:val="0"/>
      <w:divBdr>
        <w:top w:val="none" w:sz="0" w:space="0" w:color="auto"/>
        <w:left w:val="none" w:sz="0" w:space="0" w:color="auto"/>
        <w:bottom w:val="none" w:sz="0" w:space="0" w:color="auto"/>
        <w:right w:val="none" w:sz="0" w:space="0" w:color="auto"/>
      </w:divBdr>
    </w:div>
    <w:div w:id="1546722515">
      <w:bodyDiv w:val="1"/>
      <w:marLeft w:val="0"/>
      <w:marRight w:val="0"/>
      <w:marTop w:val="0"/>
      <w:marBottom w:val="0"/>
      <w:divBdr>
        <w:top w:val="none" w:sz="0" w:space="0" w:color="auto"/>
        <w:left w:val="none" w:sz="0" w:space="0" w:color="auto"/>
        <w:bottom w:val="none" w:sz="0" w:space="0" w:color="auto"/>
        <w:right w:val="none" w:sz="0" w:space="0" w:color="auto"/>
      </w:divBdr>
    </w:div>
    <w:div w:id="1644849195">
      <w:bodyDiv w:val="1"/>
      <w:marLeft w:val="0"/>
      <w:marRight w:val="0"/>
      <w:marTop w:val="0"/>
      <w:marBottom w:val="0"/>
      <w:divBdr>
        <w:top w:val="none" w:sz="0" w:space="0" w:color="auto"/>
        <w:left w:val="none" w:sz="0" w:space="0" w:color="auto"/>
        <w:bottom w:val="none" w:sz="0" w:space="0" w:color="auto"/>
        <w:right w:val="none" w:sz="0" w:space="0" w:color="auto"/>
      </w:divBdr>
    </w:div>
    <w:div w:id="1657027893">
      <w:bodyDiv w:val="1"/>
      <w:marLeft w:val="0"/>
      <w:marRight w:val="0"/>
      <w:marTop w:val="0"/>
      <w:marBottom w:val="0"/>
      <w:divBdr>
        <w:top w:val="none" w:sz="0" w:space="0" w:color="auto"/>
        <w:left w:val="none" w:sz="0" w:space="0" w:color="auto"/>
        <w:bottom w:val="none" w:sz="0" w:space="0" w:color="auto"/>
        <w:right w:val="none" w:sz="0" w:space="0" w:color="auto"/>
      </w:divBdr>
    </w:div>
    <w:div w:id="1966620243">
      <w:bodyDiv w:val="1"/>
      <w:marLeft w:val="0"/>
      <w:marRight w:val="0"/>
      <w:marTop w:val="0"/>
      <w:marBottom w:val="0"/>
      <w:divBdr>
        <w:top w:val="none" w:sz="0" w:space="0" w:color="auto"/>
        <w:left w:val="none" w:sz="0" w:space="0" w:color="auto"/>
        <w:bottom w:val="none" w:sz="0" w:space="0" w:color="auto"/>
        <w:right w:val="none" w:sz="0" w:space="0" w:color="auto"/>
      </w:divBdr>
    </w:div>
    <w:div w:id="2038311264">
      <w:bodyDiv w:val="1"/>
      <w:marLeft w:val="0"/>
      <w:marRight w:val="0"/>
      <w:marTop w:val="0"/>
      <w:marBottom w:val="0"/>
      <w:divBdr>
        <w:top w:val="none" w:sz="0" w:space="0" w:color="auto"/>
        <w:left w:val="none" w:sz="0" w:space="0" w:color="auto"/>
        <w:bottom w:val="none" w:sz="0" w:space="0" w:color="auto"/>
        <w:right w:val="none" w:sz="0" w:space="0" w:color="auto"/>
      </w:divBdr>
    </w:div>
    <w:div w:id="2092655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witter.com/IHACP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nquiries.ihacpa@ihacp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hacpa.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IM\Downloads\IHACPA%20template%20-%20External%20-%20Report%20(4).dotx" TargetMode="External"/></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E6414D1EFD15458E1E47C3C8F343A9" ma:contentTypeVersion="8" ma:contentTypeDescription="Create a new document." ma:contentTypeScope="" ma:versionID="b4f4fc2b2e2359c30af3ef9af39a345e">
  <xsd:schema xmlns:xsd="http://www.w3.org/2001/XMLSchema" xmlns:xs="http://www.w3.org/2001/XMLSchema" xmlns:p="http://schemas.microsoft.com/office/2006/metadata/properties" xmlns:ns2="081bb03b-d2c1-45a4-ae90-4912b956cc97" xmlns:ns3="1e0afa56-dce4-4a2b-8f0a-63f00579f08b" targetNamespace="http://schemas.microsoft.com/office/2006/metadata/properties" ma:root="true" ma:fieldsID="db2537b1361222b1dd14bc74041edd4e" ns2:_="" ns3:_="">
    <xsd:import namespace="081bb03b-d2c1-45a4-ae90-4912b956cc97"/>
    <xsd:import namespace="1e0afa56-dce4-4a2b-8f0a-63f00579f0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b03b-d2c1-45a4-ae90-4912b956c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afa56-dce4-4a2b-8f0a-63f00579f0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FECAE-4F35-4C00-A7BB-B1EDD538FA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9B485F-F97A-4E4C-B5C6-B4270D648A98}">
  <ds:schemaRefs>
    <ds:schemaRef ds:uri="http://schemas.microsoft.com/sharepoint/v3/contenttype/forms"/>
  </ds:schemaRefs>
</ds:datastoreItem>
</file>

<file path=customXml/itemProps3.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customXml/itemProps4.xml><?xml version="1.0" encoding="utf-8"?>
<ds:datastoreItem xmlns:ds="http://schemas.openxmlformats.org/officeDocument/2006/customXml" ds:itemID="{99A57C6E-F7D2-434F-A0F3-CE91036AC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b03b-d2c1-45a4-ae90-4912b956cc97"/>
    <ds:schemaRef ds:uri="1e0afa56-dce4-4a2b-8f0a-63f00579f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IHACPA template - External - Report (4).dotx</Template>
  <TotalTime>138</TotalTime>
  <Pages>29</Pages>
  <Words>10511</Words>
  <Characters>59918</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70289</CharactersWithSpaces>
  <SharedDoc>false</SharedDoc>
  <HLinks>
    <vt:vector size="84" baseType="variant">
      <vt:variant>
        <vt:i4>4784202</vt:i4>
      </vt:variant>
      <vt:variant>
        <vt:i4>168</vt:i4>
      </vt:variant>
      <vt:variant>
        <vt:i4>0</vt:i4>
      </vt:variant>
      <vt:variant>
        <vt:i4>5</vt:i4>
      </vt:variant>
      <vt:variant>
        <vt:lpwstr>http://www.ihacpa.gov.au/</vt:lpwstr>
      </vt:variant>
      <vt:variant>
        <vt:lpwstr/>
      </vt:variant>
      <vt:variant>
        <vt:i4>7536685</vt:i4>
      </vt:variant>
      <vt:variant>
        <vt:i4>165</vt:i4>
      </vt:variant>
      <vt:variant>
        <vt:i4>0</vt:i4>
      </vt:variant>
      <vt:variant>
        <vt:i4>5</vt:i4>
      </vt:variant>
      <vt:variant>
        <vt:lpwstr>https://twitter.com/IHACPA</vt:lpwstr>
      </vt:variant>
      <vt:variant>
        <vt:lpwstr/>
      </vt:variant>
      <vt:variant>
        <vt:i4>2555925</vt:i4>
      </vt:variant>
      <vt:variant>
        <vt:i4>162</vt:i4>
      </vt:variant>
      <vt:variant>
        <vt:i4>0</vt:i4>
      </vt:variant>
      <vt:variant>
        <vt:i4>5</vt:i4>
      </vt:variant>
      <vt:variant>
        <vt:lpwstr>mailto:enquiries.ihacpa@ihacpa.gov.au</vt:lpwstr>
      </vt:variant>
      <vt:variant>
        <vt:lpwstr/>
      </vt:variant>
      <vt:variant>
        <vt:i4>1835056</vt:i4>
      </vt:variant>
      <vt:variant>
        <vt:i4>62</vt:i4>
      </vt:variant>
      <vt:variant>
        <vt:i4>0</vt:i4>
      </vt:variant>
      <vt:variant>
        <vt:i4>5</vt:i4>
      </vt:variant>
      <vt:variant>
        <vt:lpwstr/>
      </vt:variant>
      <vt:variant>
        <vt:lpwstr>_Toc156811671</vt:lpwstr>
      </vt:variant>
      <vt:variant>
        <vt:i4>1835056</vt:i4>
      </vt:variant>
      <vt:variant>
        <vt:i4>56</vt:i4>
      </vt:variant>
      <vt:variant>
        <vt:i4>0</vt:i4>
      </vt:variant>
      <vt:variant>
        <vt:i4>5</vt:i4>
      </vt:variant>
      <vt:variant>
        <vt:lpwstr/>
      </vt:variant>
      <vt:variant>
        <vt:lpwstr>_Toc156811670</vt:lpwstr>
      </vt:variant>
      <vt:variant>
        <vt:i4>1900592</vt:i4>
      </vt:variant>
      <vt:variant>
        <vt:i4>50</vt:i4>
      </vt:variant>
      <vt:variant>
        <vt:i4>0</vt:i4>
      </vt:variant>
      <vt:variant>
        <vt:i4>5</vt:i4>
      </vt:variant>
      <vt:variant>
        <vt:lpwstr/>
      </vt:variant>
      <vt:variant>
        <vt:lpwstr>_Toc156811669</vt:lpwstr>
      </vt:variant>
      <vt:variant>
        <vt:i4>1900592</vt:i4>
      </vt:variant>
      <vt:variant>
        <vt:i4>44</vt:i4>
      </vt:variant>
      <vt:variant>
        <vt:i4>0</vt:i4>
      </vt:variant>
      <vt:variant>
        <vt:i4>5</vt:i4>
      </vt:variant>
      <vt:variant>
        <vt:lpwstr/>
      </vt:variant>
      <vt:variant>
        <vt:lpwstr>_Toc156811668</vt:lpwstr>
      </vt:variant>
      <vt:variant>
        <vt:i4>1900592</vt:i4>
      </vt:variant>
      <vt:variant>
        <vt:i4>38</vt:i4>
      </vt:variant>
      <vt:variant>
        <vt:i4>0</vt:i4>
      </vt:variant>
      <vt:variant>
        <vt:i4>5</vt:i4>
      </vt:variant>
      <vt:variant>
        <vt:lpwstr/>
      </vt:variant>
      <vt:variant>
        <vt:lpwstr>_Toc156811667</vt:lpwstr>
      </vt:variant>
      <vt:variant>
        <vt:i4>1900592</vt:i4>
      </vt:variant>
      <vt:variant>
        <vt:i4>32</vt:i4>
      </vt:variant>
      <vt:variant>
        <vt:i4>0</vt:i4>
      </vt:variant>
      <vt:variant>
        <vt:i4>5</vt:i4>
      </vt:variant>
      <vt:variant>
        <vt:lpwstr/>
      </vt:variant>
      <vt:variant>
        <vt:lpwstr>_Toc156811666</vt:lpwstr>
      </vt:variant>
      <vt:variant>
        <vt:i4>1900592</vt:i4>
      </vt:variant>
      <vt:variant>
        <vt:i4>26</vt:i4>
      </vt:variant>
      <vt:variant>
        <vt:i4>0</vt:i4>
      </vt:variant>
      <vt:variant>
        <vt:i4>5</vt:i4>
      </vt:variant>
      <vt:variant>
        <vt:lpwstr/>
      </vt:variant>
      <vt:variant>
        <vt:lpwstr>_Toc156811665</vt:lpwstr>
      </vt:variant>
      <vt:variant>
        <vt:i4>1900592</vt:i4>
      </vt:variant>
      <vt:variant>
        <vt:i4>20</vt:i4>
      </vt:variant>
      <vt:variant>
        <vt:i4>0</vt:i4>
      </vt:variant>
      <vt:variant>
        <vt:i4>5</vt:i4>
      </vt:variant>
      <vt:variant>
        <vt:lpwstr/>
      </vt:variant>
      <vt:variant>
        <vt:lpwstr>_Toc156811664</vt:lpwstr>
      </vt:variant>
      <vt:variant>
        <vt:i4>1900592</vt:i4>
      </vt:variant>
      <vt:variant>
        <vt:i4>14</vt:i4>
      </vt:variant>
      <vt:variant>
        <vt:i4>0</vt:i4>
      </vt:variant>
      <vt:variant>
        <vt:i4>5</vt:i4>
      </vt:variant>
      <vt:variant>
        <vt:lpwstr/>
      </vt:variant>
      <vt:variant>
        <vt:lpwstr>_Toc156811663</vt:lpwstr>
      </vt:variant>
      <vt:variant>
        <vt:i4>1900592</vt:i4>
      </vt:variant>
      <vt:variant>
        <vt:i4>8</vt:i4>
      </vt:variant>
      <vt:variant>
        <vt:i4>0</vt:i4>
      </vt:variant>
      <vt:variant>
        <vt:i4>5</vt:i4>
      </vt:variant>
      <vt:variant>
        <vt:lpwstr/>
      </vt:variant>
      <vt:variant>
        <vt:lpwstr>_Toc156811662</vt:lpwstr>
      </vt:variant>
      <vt:variant>
        <vt:i4>1900592</vt:i4>
      </vt:variant>
      <vt:variant>
        <vt:i4>2</vt:i4>
      </vt:variant>
      <vt:variant>
        <vt:i4>0</vt:i4>
      </vt:variant>
      <vt:variant>
        <vt:i4>5</vt:i4>
      </vt:variant>
      <vt:variant>
        <vt:lpwstr/>
      </vt:variant>
      <vt:variant>
        <vt:lpwstr>_Toc156811661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FARMILOE, Molly</dc:creator>
  <cp:keywords/>
  <dc:description/>
  <cp:lastModifiedBy>FARMILOE, Molly</cp:lastModifiedBy>
  <cp:revision>10</cp:revision>
  <cp:lastPrinted>2023-11-21T18:04:00Z</cp:lastPrinted>
  <dcterms:created xsi:type="dcterms:W3CDTF">2024-05-28T04:14:00Z</dcterms:created>
  <dcterms:modified xsi:type="dcterms:W3CDTF">2024-07-04T01:11:00Z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0x010100AEE6414D1EFD15458E1E47C3C8F343A9</vt:lpwstr>
  </property>
</Properties>
</file>