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EBC3" w14:textId="06389B75" w:rsidR="00707A91" w:rsidRPr="00D97BC5" w:rsidRDefault="00707A91" w:rsidP="00AD22E1">
      <w:pPr>
        <w:spacing w:after="1320"/>
        <w:rPr>
          <w:rFonts w:cs="Arial"/>
          <w:lang w:val="en-AU"/>
        </w:rPr>
      </w:pPr>
      <w:r w:rsidRPr="00D97BC5">
        <w:rPr>
          <w:rFonts w:cs="Arial"/>
          <w:noProof/>
          <w:lang w:val="en-AU"/>
        </w:rPr>
        <w:drawing>
          <wp:inline distT="0" distB="0" distL="0" distR="0" wp14:anchorId="7E5C6FDC" wp14:editId="2A5DD90C">
            <wp:extent cx="1791651" cy="1122098"/>
            <wp:effectExtent l="0" t="0" r="0" b="190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bwMode="auto">
                    <a:xfrm>
                      <a:off x="0" y="0"/>
                      <a:ext cx="1791651" cy="1122098"/>
                    </a:xfrm>
                    <a:prstGeom prst="rect">
                      <a:avLst/>
                    </a:prstGeom>
                  </pic:spPr>
                </pic:pic>
              </a:graphicData>
            </a:graphic>
          </wp:inline>
        </w:drawing>
      </w:r>
    </w:p>
    <w:p w14:paraId="3126E457" w14:textId="17B03F85" w:rsidR="00707A91" w:rsidRPr="00D97BC5" w:rsidRDefault="005611E6" w:rsidP="00723269">
      <w:pPr>
        <w:pStyle w:val="CoverTitle"/>
        <w:ind w:right="107"/>
        <w:rPr>
          <w:rFonts w:cs="Arial"/>
          <w:lang w:val="en-AU"/>
        </w:rPr>
      </w:pPr>
      <w:bookmarkStart w:id="0" w:name="_Toc92707238"/>
      <w:bookmarkStart w:id="1" w:name="_Toc92709443"/>
      <w:bookmarkStart w:id="2" w:name="_Toc92731671"/>
      <w:bookmarkStart w:id="3" w:name="_Toc93324916"/>
      <w:r w:rsidRPr="00D97BC5">
        <w:rPr>
          <w:lang w:val="en-AU"/>
        </w:rPr>
        <w:t>National Pricing Model Consultation Policy</w:t>
      </w:r>
      <w:bookmarkEnd w:id="0"/>
      <w:bookmarkEnd w:id="1"/>
      <w:bookmarkEnd w:id="2"/>
      <w:bookmarkEnd w:id="3"/>
    </w:p>
    <w:p w14:paraId="123EFD30" w14:textId="7E12308C" w:rsidR="00493FE8" w:rsidRPr="00D97BC5" w:rsidRDefault="00D97BC5" w:rsidP="004606DD">
      <w:pPr>
        <w:pStyle w:val="Coversubtitle"/>
        <w:rPr>
          <w:rFonts w:cs="Arial"/>
          <w:sz w:val="40"/>
          <w:szCs w:val="40"/>
          <w:lang w:val="en-AU"/>
        </w:rPr>
      </w:pPr>
      <w:r w:rsidRPr="00D97BC5">
        <w:rPr>
          <w:rFonts w:cs="Arial"/>
          <w:color w:val="54C1AF"/>
          <w:sz w:val="40"/>
          <w:szCs w:val="40"/>
          <w:lang w:val="en-AU"/>
        </w:rPr>
        <w:t>June 2024</w:t>
      </w:r>
    </w:p>
    <w:p w14:paraId="064B3B5A" w14:textId="77777777" w:rsidR="009E4914" w:rsidRPr="00D97BC5" w:rsidRDefault="009E4914" w:rsidP="004606DD">
      <w:pPr>
        <w:pStyle w:val="Coversubtitle"/>
        <w:rPr>
          <w:rFonts w:cs="Arial"/>
          <w:sz w:val="40"/>
          <w:szCs w:val="40"/>
          <w:lang w:val="en-AU"/>
        </w:rPr>
      </w:pPr>
    </w:p>
    <w:p w14:paraId="7B48E9A5" w14:textId="77777777" w:rsidR="009E4914" w:rsidRPr="00D97BC5" w:rsidRDefault="009E4914" w:rsidP="004606DD">
      <w:pPr>
        <w:pStyle w:val="Coversubtitle"/>
        <w:rPr>
          <w:rFonts w:cs="Arial"/>
          <w:sz w:val="40"/>
          <w:szCs w:val="40"/>
          <w:lang w:val="en-AU"/>
        </w:rPr>
      </w:pPr>
    </w:p>
    <w:p w14:paraId="5867E2AE" w14:textId="0B9458B2" w:rsidR="009E4914" w:rsidRPr="00D97BC5" w:rsidRDefault="009E4914" w:rsidP="004606DD">
      <w:pPr>
        <w:pStyle w:val="Coversubtitle"/>
        <w:rPr>
          <w:rFonts w:cs="Arial"/>
          <w:sz w:val="40"/>
          <w:szCs w:val="40"/>
          <w:lang w:val="en-AU"/>
        </w:rPr>
        <w:sectPr w:rsidR="009E4914" w:rsidRPr="00D97BC5" w:rsidSect="00E426C6">
          <w:headerReference w:type="default" r:id="rId10"/>
          <w:type w:val="continuous"/>
          <w:pgSz w:w="11906" w:h="16838" w:code="9"/>
          <w:pgMar w:top="1440" w:right="1080" w:bottom="1440" w:left="1080" w:header="708" w:footer="708" w:gutter="0"/>
          <w:cols w:space="720"/>
          <w:docGrid w:linePitch="360"/>
        </w:sectPr>
      </w:pPr>
    </w:p>
    <w:p w14:paraId="20BF2D79" w14:textId="1A9B116A" w:rsidR="00276510" w:rsidRPr="00D97BC5" w:rsidRDefault="003C4C7F" w:rsidP="00276510">
      <w:pPr>
        <w:pStyle w:val="Copyrightheading"/>
        <w:rPr>
          <w:rFonts w:cs="Arial"/>
          <w:lang w:val="en-AU"/>
        </w:rPr>
      </w:pPr>
      <w:r w:rsidRPr="00D97BC5">
        <w:rPr>
          <w:rFonts w:cs="Arial"/>
          <w:lang w:val="en-AU"/>
        </w:rPr>
        <w:lastRenderedPageBreak/>
        <w:t>National Pricing Model Consultation</w:t>
      </w:r>
      <w:r w:rsidR="00BF41F8" w:rsidRPr="00D97BC5">
        <w:rPr>
          <w:rFonts w:cs="Arial"/>
          <w:lang w:val="en-AU"/>
        </w:rPr>
        <w:t xml:space="preserve"> Policy – Version</w:t>
      </w:r>
      <w:r w:rsidR="00D97BC5">
        <w:rPr>
          <w:rFonts w:cs="Arial"/>
          <w:lang w:val="en-AU"/>
        </w:rPr>
        <w:t xml:space="preserve"> </w:t>
      </w:r>
      <w:r w:rsidR="009E4914" w:rsidRPr="00D97BC5">
        <w:rPr>
          <w:rFonts w:cs="Arial"/>
          <w:lang w:val="en-AU"/>
        </w:rPr>
        <w:t>4.0</w:t>
      </w:r>
      <w:r w:rsidR="009E4914" w:rsidRPr="00D97BC5">
        <w:rPr>
          <w:rFonts w:cs="Arial"/>
          <w:lang w:val="en-AU"/>
        </w:rPr>
        <w:br/>
      </w:r>
      <w:r w:rsidR="00D97BC5" w:rsidRPr="00D97BC5">
        <w:rPr>
          <w:rFonts w:cs="Arial"/>
          <w:lang w:val="en-AU"/>
        </w:rPr>
        <w:t xml:space="preserve">June </w:t>
      </w:r>
      <w:r w:rsidR="009E4914" w:rsidRPr="00D97BC5">
        <w:rPr>
          <w:rFonts w:cs="Arial"/>
          <w:lang w:val="en-AU"/>
        </w:rPr>
        <w:t>2024</w:t>
      </w:r>
    </w:p>
    <w:p w14:paraId="61404F53" w14:textId="442AAAC0" w:rsidR="00276510" w:rsidRPr="00D97BC5" w:rsidRDefault="00276510" w:rsidP="00276510">
      <w:pPr>
        <w:pStyle w:val="Copyrightcopy"/>
        <w:rPr>
          <w:rFonts w:cs="Arial"/>
          <w:lang w:val="en-AU"/>
        </w:rPr>
      </w:pPr>
      <w:r w:rsidRPr="00D97BC5">
        <w:rPr>
          <w:rFonts w:cs="Arial"/>
          <w:lang w:val="en-AU"/>
        </w:rPr>
        <w:t xml:space="preserve">© Independent Health and Aged Care Pricing Authority </w:t>
      </w:r>
      <w:r w:rsidR="009E4914" w:rsidRPr="00D97BC5">
        <w:rPr>
          <w:rFonts w:cs="Arial"/>
          <w:lang w:val="en-AU"/>
        </w:rPr>
        <w:t>2024</w:t>
      </w:r>
    </w:p>
    <w:p w14:paraId="6FC3C172" w14:textId="77777777" w:rsidR="00927BBD" w:rsidRPr="00D97BC5" w:rsidRDefault="00927BBD" w:rsidP="00927BBD">
      <w:pPr>
        <w:pStyle w:val="Copyrightcopy"/>
        <w:rPr>
          <w:lang w:val="en-AU"/>
        </w:rPr>
      </w:pPr>
      <w:bookmarkStart w:id="4" w:name="_Toc113568509"/>
      <w:bookmarkStart w:id="5" w:name="_Toc113579393"/>
      <w:bookmarkStart w:id="6" w:name="_Toc113632745"/>
      <w:bookmarkStart w:id="7" w:name="_Toc114170121"/>
      <w:bookmarkStart w:id="8" w:name="_Toc114236946"/>
      <w:bookmarkStart w:id="9" w:name="_Toc114498844"/>
      <w:bookmarkStart w:id="10" w:name="_Toc116550297"/>
      <w:bookmarkStart w:id="11" w:name="_Toc116558925"/>
      <w:bookmarkStart w:id="12" w:name="_Toc116559442"/>
      <w:bookmarkStart w:id="13" w:name="_Toc116642026"/>
      <w:r w:rsidRPr="00D97BC5">
        <w:rPr>
          <w:lang w:val="en-AU"/>
        </w:rPr>
        <w:t>This publication is available for your use under a Creative Commons Attribution 4.0 International licence, with the exception of the Independent Health and Aged Care Pricing Authority logo, photographs, images, signatures and where otherwise stated. The full licence terms are available from the Creative Commons website.</w:t>
      </w:r>
    </w:p>
    <w:p w14:paraId="43E120A2" w14:textId="77777777" w:rsidR="00927BBD" w:rsidRPr="00D97BC5" w:rsidRDefault="00927BBD" w:rsidP="00927BBD">
      <w:pPr>
        <w:pStyle w:val="Copyrightcopy"/>
        <w:rPr>
          <w:lang w:val="en-AU"/>
        </w:rPr>
      </w:pPr>
      <w:r w:rsidRPr="00D97BC5">
        <w:rPr>
          <w:noProof/>
          <w:lang w:val="en-AU"/>
        </w:rPr>
        <w:drawing>
          <wp:inline distT="0" distB="0" distL="0" distR="0" wp14:anchorId="4229F71A" wp14:editId="5EF97783">
            <wp:extent cx="1175004" cy="411480"/>
            <wp:effectExtent l="0" t="0" r="6350" b="7620"/>
            <wp:docPr id="54" name="Picture 54" descr="Creative Commons Attribution 3.0 Australia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eative Commons Attribution 3.0 Australia licence"/>
                    <pic:cNvPicPr/>
                  </pic:nvPicPr>
                  <pic:blipFill>
                    <a:blip r:embed="rId11">
                      <a:extLst>
                        <a:ext uri="{28A0092B-C50C-407E-A947-70E740481C1C}">
                          <a14:useLocalDpi xmlns:a14="http://schemas.microsoft.com/office/drawing/2010/main" val="0"/>
                        </a:ext>
                      </a:extLst>
                    </a:blip>
                    <a:stretch>
                      <a:fillRect/>
                    </a:stretch>
                  </pic:blipFill>
                  <pic:spPr>
                    <a:xfrm>
                      <a:off x="0" y="0"/>
                      <a:ext cx="1175004" cy="411480"/>
                    </a:xfrm>
                    <a:prstGeom prst="rect">
                      <a:avLst/>
                    </a:prstGeom>
                  </pic:spPr>
                </pic:pic>
              </a:graphicData>
            </a:graphic>
          </wp:inline>
        </w:drawing>
      </w:r>
      <w:r w:rsidRPr="00D97BC5">
        <w:rPr>
          <w:lang w:val="en-AU"/>
        </w:rPr>
        <w:t xml:space="preserve"> </w:t>
      </w:r>
    </w:p>
    <w:p w14:paraId="2EADC82F" w14:textId="77777777" w:rsidR="00927BBD" w:rsidRPr="00D97BC5" w:rsidRDefault="00927BBD" w:rsidP="00927BBD">
      <w:pPr>
        <w:pStyle w:val="Copyrightcopy"/>
        <w:rPr>
          <w:lang w:val="en-AU"/>
        </w:rPr>
      </w:pPr>
      <w:r w:rsidRPr="00D97BC5">
        <w:rPr>
          <w:lang w:val="en-AU"/>
        </w:rPr>
        <w:t>Use of Independent Health and Aged Care Pricing Authority material under a Creative Commons Attribution 4.0 International licence requires you to attribute the work (but not in any way that suggests that the Independent Health and Aged Care Pricing Authority endorses you or your use of the work).</w:t>
      </w:r>
    </w:p>
    <w:p w14:paraId="5BE58B0A" w14:textId="77777777" w:rsidR="00927BBD" w:rsidRPr="00D97BC5" w:rsidRDefault="00927BBD" w:rsidP="00927BBD">
      <w:pPr>
        <w:pStyle w:val="Copyrightcopy"/>
        <w:rPr>
          <w:lang w:val="en-AU"/>
        </w:rPr>
      </w:pPr>
      <w:r w:rsidRPr="00D97BC5">
        <w:rPr>
          <w:lang w:val="en-AU"/>
        </w:rPr>
        <w:t>Independent Health and Aged Care Pricing Authority material used 'as supplied'.</w:t>
      </w:r>
    </w:p>
    <w:p w14:paraId="1013E1EB" w14:textId="77777777" w:rsidR="00927BBD" w:rsidRPr="00D97BC5" w:rsidRDefault="00927BBD" w:rsidP="00927BBD">
      <w:pPr>
        <w:pStyle w:val="Copyrightcopy"/>
        <w:rPr>
          <w:lang w:val="en-AU"/>
        </w:rPr>
      </w:pPr>
      <w:r w:rsidRPr="00D97BC5">
        <w:rPr>
          <w:lang w:val="en-AU"/>
        </w:rPr>
        <w:t>Provided you have not modified or transformed Independent Health and Aged Care Pricing Authority material in any way including, for example, by changing Independent Health and Aged Care Pricing Authority text – then the Independent Health and Aged Care Pricing Authority prefers the following attribution:</w:t>
      </w:r>
    </w:p>
    <w:p w14:paraId="65CE9B55" w14:textId="77777777" w:rsidR="00927BBD" w:rsidRPr="00D97BC5" w:rsidRDefault="00927BBD" w:rsidP="00927BBD">
      <w:pPr>
        <w:pStyle w:val="Copyrightcopy"/>
        <w:rPr>
          <w:lang w:val="en-AU"/>
        </w:rPr>
        <w:sectPr w:rsidR="00927BBD" w:rsidRPr="00D97BC5" w:rsidSect="00276510">
          <w:headerReference w:type="default" r:id="rId12"/>
          <w:footerReference w:type="default" r:id="rId13"/>
          <w:pgSz w:w="11906" w:h="16838" w:code="9"/>
          <w:pgMar w:top="7371" w:right="1077" w:bottom="1440" w:left="1077" w:header="709" w:footer="709" w:gutter="0"/>
          <w:cols w:space="720"/>
          <w:docGrid w:linePitch="360"/>
        </w:sectPr>
      </w:pPr>
      <w:r w:rsidRPr="00D97BC5">
        <w:rPr>
          <w:lang w:val="en-AU"/>
        </w:rPr>
        <w:t>Source: The Independent Health and Aged Care Pricing Authority</w:t>
      </w:r>
    </w:p>
    <w:p w14:paraId="0DB615F4" w14:textId="645B9DC7" w:rsidR="00723269" w:rsidRPr="00D97BC5" w:rsidRDefault="00723269" w:rsidP="009E4914">
      <w:pPr>
        <w:rPr>
          <w:b/>
          <w:bCs/>
          <w:sz w:val="72"/>
          <w:szCs w:val="72"/>
          <w:lang w:val="en-AU"/>
        </w:rPr>
      </w:pPr>
      <w:r w:rsidRPr="00D97BC5">
        <w:rPr>
          <w:b/>
          <w:bCs/>
          <w:sz w:val="72"/>
          <w:szCs w:val="72"/>
          <w:lang w:val="en-AU"/>
        </w:rPr>
        <w:lastRenderedPageBreak/>
        <w:t xml:space="preserve">Table of </w:t>
      </w:r>
      <w:r w:rsidR="008859CC" w:rsidRPr="00D97BC5">
        <w:rPr>
          <w:b/>
          <w:bCs/>
          <w:sz w:val="72"/>
          <w:szCs w:val="72"/>
          <w:lang w:val="en-AU"/>
        </w:rPr>
        <w:t>C</w:t>
      </w:r>
      <w:r w:rsidRPr="00D97BC5">
        <w:rPr>
          <w:b/>
          <w:bCs/>
          <w:sz w:val="72"/>
          <w:szCs w:val="72"/>
          <w:lang w:val="en-AU"/>
        </w:rPr>
        <w:t>ontents</w:t>
      </w:r>
      <w:bookmarkEnd w:id="4"/>
      <w:bookmarkEnd w:id="5"/>
      <w:bookmarkEnd w:id="6"/>
      <w:bookmarkEnd w:id="7"/>
      <w:bookmarkEnd w:id="8"/>
      <w:bookmarkEnd w:id="9"/>
      <w:bookmarkEnd w:id="10"/>
      <w:bookmarkEnd w:id="11"/>
      <w:bookmarkEnd w:id="12"/>
      <w:bookmarkEnd w:id="13"/>
    </w:p>
    <w:p w14:paraId="177C9042" w14:textId="77777777" w:rsidR="00BF41F8" w:rsidRPr="00D97BC5" w:rsidRDefault="00BF41F8" w:rsidP="00BF41F8">
      <w:pPr>
        <w:rPr>
          <w:rFonts w:cs="Arial"/>
          <w:lang w:val="en-AU"/>
        </w:rPr>
      </w:pPr>
    </w:p>
    <w:p w14:paraId="0645010A" w14:textId="6FACC9D9" w:rsidR="00EE6A76" w:rsidRDefault="00CA1505">
      <w:pPr>
        <w:pStyle w:val="TOC1"/>
        <w:rPr>
          <w:rFonts w:asciiTheme="minorHAnsi" w:eastAsiaTheme="minorEastAsia" w:hAnsiTheme="minorHAnsi"/>
          <w:b w:val="0"/>
          <w:noProof/>
          <w:color w:val="auto"/>
          <w:kern w:val="2"/>
          <w:sz w:val="22"/>
          <w:lang w:val="en-AU" w:eastAsia="en-AU"/>
          <w14:ligatures w14:val="standardContextual"/>
        </w:rPr>
      </w:pPr>
      <w:r w:rsidRPr="00D97BC5">
        <w:rPr>
          <w:lang w:val="en-AU"/>
        </w:rPr>
        <w:fldChar w:fldCharType="begin"/>
      </w:r>
      <w:r w:rsidRPr="00D97BC5">
        <w:rPr>
          <w:lang w:val="en-AU"/>
        </w:rPr>
        <w:instrText xml:space="preserve"> TOC \o "1-1" \u </w:instrText>
      </w:r>
      <w:r w:rsidRPr="00D97BC5">
        <w:rPr>
          <w:lang w:val="en-AU"/>
        </w:rPr>
        <w:fldChar w:fldCharType="separate"/>
      </w:r>
      <w:r w:rsidR="00EE6A76">
        <w:rPr>
          <w:noProof/>
        </w:rPr>
        <w:t>Acronyms and abbreviations</w:t>
      </w:r>
      <w:r w:rsidR="00EE6A76">
        <w:rPr>
          <w:noProof/>
        </w:rPr>
        <w:tab/>
      </w:r>
      <w:r w:rsidR="00EE6A76">
        <w:rPr>
          <w:noProof/>
        </w:rPr>
        <w:fldChar w:fldCharType="begin"/>
      </w:r>
      <w:r w:rsidR="00EE6A76">
        <w:rPr>
          <w:noProof/>
        </w:rPr>
        <w:instrText xml:space="preserve"> PAGEREF _Toc168557599 \h </w:instrText>
      </w:r>
      <w:r w:rsidR="00EE6A76">
        <w:rPr>
          <w:noProof/>
        </w:rPr>
      </w:r>
      <w:r w:rsidR="00EE6A76">
        <w:rPr>
          <w:noProof/>
        </w:rPr>
        <w:fldChar w:fldCharType="separate"/>
      </w:r>
      <w:r w:rsidR="00EE6A76">
        <w:rPr>
          <w:noProof/>
        </w:rPr>
        <w:t>4</w:t>
      </w:r>
      <w:r w:rsidR="00EE6A76">
        <w:rPr>
          <w:noProof/>
        </w:rPr>
        <w:fldChar w:fldCharType="end"/>
      </w:r>
    </w:p>
    <w:p w14:paraId="2045A1CB" w14:textId="59A8746B" w:rsidR="00EE6A76" w:rsidRDefault="00EE6A76">
      <w:pPr>
        <w:pStyle w:val="TOC1"/>
        <w:rPr>
          <w:rFonts w:asciiTheme="minorHAnsi" w:eastAsiaTheme="minorEastAsia" w:hAnsiTheme="minorHAnsi"/>
          <w:b w:val="0"/>
          <w:noProof/>
          <w:color w:val="auto"/>
          <w:kern w:val="2"/>
          <w:sz w:val="22"/>
          <w:lang w:val="en-AU" w:eastAsia="en-AU"/>
          <w14:ligatures w14:val="standardContextual"/>
        </w:rPr>
      </w:pPr>
      <w:r>
        <w:rPr>
          <w:noProof/>
        </w:rPr>
        <w:t>Definitions</w:t>
      </w:r>
      <w:r>
        <w:rPr>
          <w:noProof/>
        </w:rPr>
        <w:tab/>
      </w:r>
      <w:r>
        <w:rPr>
          <w:noProof/>
        </w:rPr>
        <w:fldChar w:fldCharType="begin"/>
      </w:r>
      <w:r>
        <w:rPr>
          <w:noProof/>
        </w:rPr>
        <w:instrText xml:space="preserve"> PAGEREF _Toc168557600 \h </w:instrText>
      </w:r>
      <w:r>
        <w:rPr>
          <w:noProof/>
        </w:rPr>
      </w:r>
      <w:r>
        <w:rPr>
          <w:noProof/>
        </w:rPr>
        <w:fldChar w:fldCharType="separate"/>
      </w:r>
      <w:r>
        <w:rPr>
          <w:noProof/>
        </w:rPr>
        <w:t>5</w:t>
      </w:r>
      <w:r>
        <w:rPr>
          <w:noProof/>
        </w:rPr>
        <w:fldChar w:fldCharType="end"/>
      </w:r>
    </w:p>
    <w:p w14:paraId="2A5CB553" w14:textId="52E30F35" w:rsidR="00EE6A76" w:rsidRDefault="00EE6A76">
      <w:pPr>
        <w:pStyle w:val="TOC1"/>
        <w:tabs>
          <w:tab w:val="left" w:pos="440"/>
        </w:tabs>
        <w:rPr>
          <w:rFonts w:asciiTheme="minorHAnsi" w:eastAsiaTheme="minorEastAsia" w:hAnsiTheme="minorHAnsi"/>
          <w:b w:val="0"/>
          <w:noProof/>
          <w:color w:val="auto"/>
          <w:kern w:val="2"/>
          <w:sz w:val="22"/>
          <w:lang w:val="en-AU" w:eastAsia="en-AU"/>
          <w14:ligatures w14:val="standardContextual"/>
        </w:rPr>
      </w:pPr>
      <w:r>
        <w:rPr>
          <w:noProof/>
        </w:rPr>
        <w:t>1.</w:t>
      </w:r>
      <w:r>
        <w:rPr>
          <w:rFonts w:asciiTheme="minorHAnsi" w:eastAsiaTheme="minorEastAsia" w:hAnsiTheme="minorHAnsi"/>
          <w:b w:val="0"/>
          <w:noProof/>
          <w:color w:val="auto"/>
          <w:kern w:val="2"/>
          <w:sz w:val="22"/>
          <w:lang w:val="en-AU" w:eastAsia="en-AU"/>
          <w14:ligatures w14:val="standardContextual"/>
        </w:rPr>
        <w:tab/>
      </w:r>
      <w:r>
        <w:rPr>
          <w:noProof/>
        </w:rPr>
        <w:t>Executive summary</w:t>
      </w:r>
      <w:r>
        <w:rPr>
          <w:noProof/>
        </w:rPr>
        <w:tab/>
      </w:r>
      <w:r>
        <w:rPr>
          <w:noProof/>
        </w:rPr>
        <w:fldChar w:fldCharType="begin"/>
      </w:r>
      <w:r>
        <w:rPr>
          <w:noProof/>
        </w:rPr>
        <w:instrText xml:space="preserve"> PAGEREF _Toc168557601 \h </w:instrText>
      </w:r>
      <w:r>
        <w:rPr>
          <w:noProof/>
        </w:rPr>
      </w:r>
      <w:r>
        <w:rPr>
          <w:noProof/>
        </w:rPr>
        <w:fldChar w:fldCharType="separate"/>
      </w:r>
      <w:r>
        <w:rPr>
          <w:noProof/>
        </w:rPr>
        <w:t>6</w:t>
      </w:r>
      <w:r>
        <w:rPr>
          <w:noProof/>
        </w:rPr>
        <w:fldChar w:fldCharType="end"/>
      </w:r>
    </w:p>
    <w:p w14:paraId="41A4FD0E" w14:textId="23D50DF0" w:rsidR="00EE6A76" w:rsidRDefault="00EE6A76">
      <w:pPr>
        <w:pStyle w:val="TOC1"/>
        <w:tabs>
          <w:tab w:val="left" w:pos="440"/>
        </w:tabs>
        <w:rPr>
          <w:rFonts w:asciiTheme="minorHAnsi" w:eastAsiaTheme="minorEastAsia" w:hAnsiTheme="minorHAnsi"/>
          <w:b w:val="0"/>
          <w:noProof/>
          <w:color w:val="auto"/>
          <w:kern w:val="2"/>
          <w:sz w:val="22"/>
          <w:lang w:val="en-AU" w:eastAsia="en-AU"/>
          <w14:ligatures w14:val="standardContextual"/>
        </w:rPr>
      </w:pPr>
      <w:r w:rsidRPr="007D5194">
        <w:rPr>
          <w:rFonts w:cs="Arial"/>
          <w:noProof/>
        </w:rPr>
        <w:t>2.</w:t>
      </w:r>
      <w:r>
        <w:rPr>
          <w:rFonts w:asciiTheme="minorHAnsi" w:eastAsiaTheme="minorEastAsia" w:hAnsiTheme="minorHAnsi"/>
          <w:b w:val="0"/>
          <w:noProof/>
          <w:color w:val="auto"/>
          <w:kern w:val="2"/>
          <w:sz w:val="22"/>
          <w:lang w:val="en-AU" w:eastAsia="en-AU"/>
          <w14:ligatures w14:val="standardContextual"/>
        </w:rPr>
        <w:tab/>
      </w:r>
      <w:r>
        <w:rPr>
          <w:noProof/>
        </w:rPr>
        <w:t>Key principles</w:t>
      </w:r>
      <w:r>
        <w:rPr>
          <w:noProof/>
        </w:rPr>
        <w:tab/>
      </w:r>
      <w:r>
        <w:rPr>
          <w:noProof/>
        </w:rPr>
        <w:fldChar w:fldCharType="begin"/>
      </w:r>
      <w:r>
        <w:rPr>
          <w:noProof/>
        </w:rPr>
        <w:instrText xml:space="preserve"> PAGEREF _Toc168557602 \h </w:instrText>
      </w:r>
      <w:r>
        <w:rPr>
          <w:noProof/>
        </w:rPr>
      </w:r>
      <w:r>
        <w:rPr>
          <w:noProof/>
        </w:rPr>
        <w:fldChar w:fldCharType="separate"/>
      </w:r>
      <w:r>
        <w:rPr>
          <w:noProof/>
        </w:rPr>
        <w:t>8</w:t>
      </w:r>
      <w:r>
        <w:rPr>
          <w:noProof/>
        </w:rPr>
        <w:fldChar w:fldCharType="end"/>
      </w:r>
    </w:p>
    <w:p w14:paraId="718CDBFF" w14:textId="76CB3CB9" w:rsidR="00EE6A76" w:rsidRDefault="00EE6A76">
      <w:pPr>
        <w:pStyle w:val="TOC1"/>
        <w:tabs>
          <w:tab w:val="left" w:pos="440"/>
        </w:tabs>
        <w:rPr>
          <w:rFonts w:asciiTheme="minorHAnsi" w:eastAsiaTheme="minorEastAsia" w:hAnsiTheme="minorHAnsi"/>
          <w:b w:val="0"/>
          <w:noProof/>
          <w:color w:val="auto"/>
          <w:kern w:val="2"/>
          <w:sz w:val="22"/>
          <w:lang w:val="en-AU" w:eastAsia="en-AU"/>
          <w14:ligatures w14:val="standardContextual"/>
        </w:rPr>
      </w:pPr>
      <w:r w:rsidRPr="007D5194">
        <w:rPr>
          <w:rFonts w:cs="Arial"/>
          <w:noProof/>
        </w:rPr>
        <w:t>3.</w:t>
      </w:r>
      <w:r>
        <w:rPr>
          <w:rFonts w:asciiTheme="minorHAnsi" w:eastAsiaTheme="minorEastAsia" w:hAnsiTheme="minorHAnsi"/>
          <w:b w:val="0"/>
          <w:noProof/>
          <w:color w:val="auto"/>
          <w:kern w:val="2"/>
          <w:sz w:val="22"/>
          <w:lang w:val="en-AU" w:eastAsia="en-AU"/>
          <w14:ligatures w14:val="standardContextual"/>
        </w:rPr>
        <w:tab/>
      </w:r>
      <w:r>
        <w:rPr>
          <w:noProof/>
        </w:rPr>
        <w:t>Consultation process</w:t>
      </w:r>
      <w:r>
        <w:rPr>
          <w:noProof/>
        </w:rPr>
        <w:tab/>
      </w:r>
      <w:r>
        <w:rPr>
          <w:noProof/>
        </w:rPr>
        <w:fldChar w:fldCharType="begin"/>
      </w:r>
      <w:r>
        <w:rPr>
          <w:noProof/>
        </w:rPr>
        <w:instrText xml:space="preserve"> PAGEREF _Toc168557603 \h </w:instrText>
      </w:r>
      <w:r>
        <w:rPr>
          <w:noProof/>
        </w:rPr>
      </w:r>
      <w:r>
        <w:rPr>
          <w:noProof/>
        </w:rPr>
        <w:fldChar w:fldCharType="separate"/>
      </w:r>
      <w:r>
        <w:rPr>
          <w:noProof/>
        </w:rPr>
        <w:t>10</w:t>
      </w:r>
      <w:r>
        <w:rPr>
          <w:noProof/>
        </w:rPr>
        <w:fldChar w:fldCharType="end"/>
      </w:r>
    </w:p>
    <w:p w14:paraId="43E0C4A4" w14:textId="153F5738" w:rsidR="00EE6A76" w:rsidRDefault="00EE6A76">
      <w:pPr>
        <w:pStyle w:val="TOC1"/>
        <w:tabs>
          <w:tab w:val="left" w:pos="440"/>
        </w:tabs>
        <w:rPr>
          <w:rFonts w:asciiTheme="minorHAnsi" w:eastAsiaTheme="minorEastAsia" w:hAnsiTheme="minorHAnsi"/>
          <w:b w:val="0"/>
          <w:noProof/>
          <w:color w:val="auto"/>
          <w:kern w:val="2"/>
          <w:sz w:val="22"/>
          <w:lang w:val="en-AU" w:eastAsia="en-AU"/>
          <w14:ligatures w14:val="standardContextual"/>
        </w:rPr>
      </w:pPr>
      <w:r w:rsidRPr="007D5194">
        <w:rPr>
          <w:rFonts w:cs="Arial"/>
          <w:noProof/>
        </w:rPr>
        <w:t>4.</w:t>
      </w:r>
      <w:r>
        <w:rPr>
          <w:rFonts w:asciiTheme="minorHAnsi" w:eastAsiaTheme="minorEastAsia" w:hAnsiTheme="minorHAnsi"/>
          <w:b w:val="0"/>
          <w:noProof/>
          <w:color w:val="auto"/>
          <w:kern w:val="2"/>
          <w:sz w:val="22"/>
          <w:lang w:val="en-AU" w:eastAsia="en-AU"/>
          <w14:ligatures w14:val="standardContextual"/>
        </w:rPr>
        <w:tab/>
      </w:r>
      <w:r>
        <w:rPr>
          <w:noProof/>
        </w:rPr>
        <w:t>Statement of Impact</w:t>
      </w:r>
      <w:r>
        <w:rPr>
          <w:noProof/>
        </w:rPr>
        <w:tab/>
      </w:r>
      <w:r>
        <w:rPr>
          <w:noProof/>
        </w:rPr>
        <w:fldChar w:fldCharType="begin"/>
      </w:r>
      <w:r>
        <w:rPr>
          <w:noProof/>
        </w:rPr>
        <w:instrText xml:space="preserve"> PAGEREF _Toc168557604 \h </w:instrText>
      </w:r>
      <w:r>
        <w:rPr>
          <w:noProof/>
        </w:rPr>
      </w:r>
      <w:r>
        <w:rPr>
          <w:noProof/>
        </w:rPr>
        <w:fldChar w:fldCharType="separate"/>
      </w:r>
      <w:r>
        <w:rPr>
          <w:noProof/>
        </w:rPr>
        <w:t>12</w:t>
      </w:r>
      <w:r>
        <w:rPr>
          <w:noProof/>
        </w:rPr>
        <w:fldChar w:fldCharType="end"/>
      </w:r>
    </w:p>
    <w:p w14:paraId="20E49CEC" w14:textId="1C80BDB1" w:rsidR="00EE6A76" w:rsidRDefault="00EE6A76">
      <w:pPr>
        <w:pStyle w:val="TOC1"/>
        <w:tabs>
          <w:tab w:val="left" w:pos="440"/>
        </w:tabs>
        <w:rPr>
          <w:rFonts w:asciiTheme="minorHAnsi" w:eastAsiaTheme="minorEastAsia" w:hAnsiTheme="minorHAnsi"/>
          <w:b w:val="0"/>
          <w:noProof/>
          <w:color w:val="auto"/>
          <w:kern w:val="2"/>
          <w:sz w:val="22"/>
          <w:lang w:val="en-AU" w:eastAsia="en-AU"/>
          <w14:ligatures w14:val="standardContextual"/>
        </w:rPr>
      </w:pPr>
      <w:r w:rsidRPr="007D5194">
        <w:rPr>
          <w:rFonts w:cs="Arial"/>
          <w:noProof/>
        </w:rPr>
        <w:t>5.</w:t>
      </w:r>
      <w:r>
        <w:rPr>
          <w:rFonts w:asciiTheme="minorHAnsi" w:eastAsiaTheme="minorEastAsia" w:hAnsiTheme="minorHAnsi"/>
          <w:b w:val="0"/>
          <w:noProof/>
          <w:color w:val="auto"/>
          <w:kern w:val="2"/>
          <w:sz w:val="22"/>
          <w:lang w:val="en-AU" w:eastAsia="en-AU"/>
          <w14:ligatures w14:val="standardContextual"/>
        </w:rPr>
        <w:tab/>
      </w:r>
      <w:r>
        <w:rPr>
          <w:noProof/>
        </w:rPr>
        <w:t>Thresholds for additional consultation</w:t>
      </w:r>
      <w:r>
        <w:rPr>
          <w:noProof/>
        </w:rPr>
        <w:tab/>
      </w:r>
      <w:r>
        <w:rPr>
          <w:noProof/>
        </w:rPr>
        <w:fldChar w:fldCharType="begin"/>
      </w:r>
      <w:r>
        <w:rPr>
          <w:noProof/>
        </w:rPr>
        <w:instrText xml:space="preserve"> PAGEREF _Toc168557605 \h </w:instrText>
      </w:r>
      <w:r>
        <w:rPr>
          <w:noProof/>
        </w:rPr>
      </w:r>
      <w:r>
        <w:rPr>
          <w:noProof/>
        </w:rPr>
        <w:fldChar w:fldCharType="separate"/>
      </w:r>
      <w:r>
        <w:rPr>
          <w:noProof/>
        </w:rPr>
        <w:t>15</w:t>
      </w:r>
      <w:r>
        <w:rPr>
          <w:noProof/>
        </w:rPr>
        <w:fldChar w:fldCharType="end"/>
      </w:r>
    </w:p>
    <w:p w14:paraId="7D64DF4D" w14:textId="72D698B0" w:rsidR="00EE6A76" w:rsidRDefault="00EE6A76">
      <w:pPr>
        <w:pStyle w:val="TOC1"/>
        <w:tabs>
          <w:tab w:val="left" w:pos="440"/>
        </w:tabs>
        <w:rPr>
          <w:rFonts w:asciiTheme="minorHAnsi" w:eastAsiaTheme="minorEastAsia" w:hAnsiTheme="minorHAnsi"/>
          <w:b w:val="0"/>
          <w:noProof/>
          <w:color w:val="auto"/>
          <w:kern w:val="2"/>
          <w:sz w:val="22"/>
          <w:lang w:val="en-AU" w:eastAsia="en-AU"/>
          <w14:ligatures w14:val="standardContextual"/>
        </w:rPr>
      </w:pPr>
      <w:r>
        <w:rPr>
          <w:noProof/>
        </w:rPr>
        <w:t>6.</w:t>
      </w:r>
      <w:r>
        <w:rPr>
          <w:rFonts w:asciiTheme="minorHAnsi" w:eastAsiaTheme="minorEastAsia" w:hAnsiTheme="minorHAnsi"/>
          <w:b w:val="0"/>
          <w:noProof/>
          <w:color w:val="auto"/>
          <w:kern w:val="2"/>
          <w:sz w:val="22"/>
          <w:lang w:val="en-AU" w:eastAsia="en-AU"/>
          <w14:ligatures w14:val="standardContextual"/>
        </w:rPr>
        <w:tab/>
      </w:r>
      <w:r>
        <w:rPr>
          <w:noProof/>
        </w:rPr>
        <w:t>Shadow pricing</w:t>
      </w:r>
      <w:r>
        <w:rPr>
          <w:noProof/>
        </w:rPr>
        <w:tab/>
      </w:r>
      <w:r>
        <w:rPr>
          <w:noProof/>
        </w:rPr>
        <w:fldChar w:fldCharType="begin"/>
      </w:r>
      <w:r>
        <w:rPr>
          <w:noProof/>
        </w:rPr>
        <w:instrText xml:space="preserve"> PAGEREF _Toc168557606 \h </w:instrText>
      </w:r>
      <w:r>
        <w:rPr>
          <w:noProof/>
        </w:rPr>
      </w:r>
      <w:r>
        <w:rPr>
          <w:noProof/>
        </w:rPr>
        <w:fldChar w:fldCharType="separate"/>
      </w:r>
      <w:r>
        <w:rPr>
          <w:noProof/>
        </w:rPr>
        <w:t>18</w:t>
      </w:r>
      <w:r>
        <w:rPr>
          <w:noProof/>
        </w:rPr>
        <w:fldChar w:fldCharType="end"/>
      </w:r>
    </w:p>
    <w:p w14:paraId="21D77773" w14:textId="1CCA44E6" w:rsidR="00EE6A76" w:rsidRDefault="00EE6A76">
      <w:pPr>
        <w:pStyle w:val="TOC1"/>
        <w:rPr>
          <w:rFonts w:asciiTheme="minorHAnsi" w:eastAsiaTheme="minorEastAsia" w:hAnsiTheme="minorHAnsi"/>
          <w:b w:val="0"/>
          <w:noProof/>
          <w:color w:val="auto"/>
          <w:kern w:val="2"/>
          <w:sz w:val="22"/>
          <w:lang w:val="en-AU" w:eastAsia="en-AU"/>
          <w14:ligatures w14:val="standardContextual"/>
        </w:rPr>
      </w:pPr>
      <w:r>
        <w:rPr>
          <w:noProof/>
        </w:rPr>
        <w:t>Appendix A: Extracts from the addendum</w:t>
      </w:r>
      <w:r>
        <w:rPr>
          <w:noProof/>
        </w:rPr>
        <w:tab/>
      </w:r>
      <w:r>
        <w:rPr>
          <w:noProof/>
        </w:rPr>
        <w:fldChar w:fldCharType="begin"/>
      </w:r>
      <w:r>
        <w:rPr>
          <w:noProof/>
        </w:rPr>
        <w:instrText xml:space="preserve"> PAGEREF _Toc168557607 \h </w:instrText>
      </w:r>
      <w:r>
        <w:rPr>
          <w:noProof/>
        </w:rPr>
      </w:r>
      <w:r>
        <w:rPr>
          <w:noProof/>
        </w:rPr>
        <w:fldChar w:fldCharType="separate"/>
      </w:r>
      <w:r>
        <w:rPr>
          <w:noProof/>
        </w:rPr>
        <w:t>22</w:t>
      </w:r>
      <w:r>
        <w:rPr>
          <w:noProof/>
        </w:rPr>
        <w:fldChar w:fldCharType="end"/>
      </w:r>
    </w:p>
    <w:p w14:paraId="620E2E99" w14:textId="2AD93BF4" w:rsidR="00EE6A76" w:rsidRDefault="00EE6A76">
      <w:pPr>
        <w:pStyle w:val="TOC1"/>
        <w:rPr>
          <w:rFonts w:asciiTheme="minorHAnsi" w:eastAsiaTheme="minorEastAsia" w:hAnsiTheme="minorHAnsi"/>
          <w:b w:val="0"/>
          <w:noProof/>
          <w:color w:val="auto"/>
          <w:kern w:val="2"/>
          <w:sz w:val="22"/>
          <w:lang w:val="en-AU" w:eastAsia="en-AU"/>
          <w14:ligatures w14:val="standardContextual"/>
        </w:rPr>
      </w:pPr>
      <w:r>
        <w:rPr>
          <w:noProof/>
        </w:rPr>
        <w:t>Appendix B: Statement of Impact</w:t>
      </w:r>
      <w:r>
        <w:rPr>
          <w:noProof/>
        </w:rPr>
        <w:tab/>
      </w:r>
      <w:r>
        <w:rPr>
          <w:noProof/>
        </w:rPr>
        <w:fldChar w:fldCharType="begin"/>
      </w:r>
      <w:r>
        <w:rPr>
          <w:noProof/>
        </w:rPr>
        <w:instrText xml:space="preserve"> PAGEREF _Toc168557608 \h </w:instrText>
      </w:r>
      <w:r>
        <w:rPr>
          <w:noProof/>
        </w:rPr>
      </w:r>
      <w:r>
        <w:rPr>
          <w:noProof/>
        </w:rPr>
        <w:fldChar w:fldCharType="separate"/>
      </w:r>
      <w:r>
        <w:rPr>
          <w:noProof/>
        </w:rPr>
        <w:t>24</w:t>
      </w:r>
      <w:r>
        <w:rPr>
          <w:noProof/>
        </w:rPr>
        <w:fldChar w:fldCharType="end"/>
      </w:r>
    </w:p>
    <w:p w14:paraId="06041AB6" w14:textId="551E89C9" w:rsidR="00723269" w:rsidRPr="00D97BC5" w:rsidRDefault="00CA1505" w:rsidP="00CE65AB">
      <w:pPr>
        <w:rPr>
          <w:rFonts w:cs="Arial"/>
          <w:lang w:val="en-AU"/>
        </w:rPr>
      </w:pPr>
      <w:r w:rsidRPr="00D97BC5">
        <w:rPr>
          <w:rFonts w:cs="Arial"/>
          <w:b/>
          <w:sz w:val="24"/>
          <w:lang w:val="en-AU"/>
        </w:rPr>
        <w:fldChar w:fldCharType="end"/>
      </w:r>
    </w:p>
    <w:p w14:paraId="03E9E655" w14:textId="77777777" w:rsidR="00723269" w:rsidRPr="00D97BC5" w:rsidRDefault="00723269">
      <w:pPr>
        <w:spacing w:line="259" w:lineRule="auto"/>
        <w:rPr>
          <w:rFonts w:eastAsiaTheme="majorEastAsia" w:cs="Arial"/>
          <w:b/>
          <w:sz w:val="72"/>
          <w:szCs w:val="32"/>
          <w:lang w:val="en-AU"/>
        </w:rPr>
      </w:pPr>
      <w:r w:rsidRPr="00D97BC5">
        <w:rPr>
          <w:rFonts w:cs="Arial"/>
          <w:lang w:val="en-AU"/>
        </w:rPr>
        <w:br w:type="page"/>
      </w:r>
    </w:p>
    <w:p w14:paraId="7E24FFFB" w14:textId="4E4302F1" w:rsidR="00723269" w:rsidRPr="00D97BC5" w:rsidRDefault="004606DD" w:rsidP="00F5752F">
      <w:pPr>
        <w:pStyle w:val="Heading1"/>
        <w:numPr>
          <w:ilvl w:val="0"/>
          <w:numId w:val="0"/>
        </w:numPr>
      </w:pPr>
      <w:bookmarkStart w:id="14" w:name="_Toc168557599"/>
      <w:r w:rsidRPr="00D97BC5">
        <w:lastRenderedPageBreak/>
        <w:t>Acronyms and abbreviations</w:t>
      </w:r>
      <w:bookmarkEnd w:id="14"/>
    </w:p>
    <w:p w14:paraId="7BD4BEE0" w14:textId="660C1200" w:rsidR="00BF41F8" w:rsidRPr="00D97BC5" w:rsidRDefault="00BF41F8" w:rsidP="00BF41F8">
      <w:pPr>
        <w:rPr>
          <w:rFonts w:cs="Arial"/>
          <w:lang w:val="en-AU"/>
        </w:rPr>
      </w:pPr>
    </w:p>
    <w:tbl>
      <w:tblPr>
        <w:tblStyle w:val="TableGrid"/>
        <w:tblW w:w="9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946"/>
        <w:gridCol w:w="6706"/>
      </w:tblGrid>
      <w:tr w:rsidR="003C4C7F" w:rsidRPr="00D97BC5" w14:paraId="7F53D6E8" w14:textId="77777777" w:rsidTr="00522E09">
        <w:trPr>
          <w:trHeight w:val="509"/>
        </w:trPr>
        <w:tc>
          <w:tcPr>
            <w:tcW w:w="2946" w:type="dxa"/>
          </w:tcPr>
          <w:p w14:paraId="4F9B0C37" w14:textId="2DB7EB2A" w:rsidR="003C4C7F" w:rsidRPr="00D97BC5" w:rsidRDefault="003C4C7F" w:rsidP="003C4C7F">
            <w:pPr>
              <w:spacing w:line="480" w:lineRule="auto"/>
              <w:rPr>
                <w:rFonts w:cs="Arial"/>
                <w:b/>
                <w:bCs/>
                <w:lang w:val="en-AU"/>
              </w:rPr>
            </w:pPr>
            <w:r w:rsidRPr="00D97BC5">
              <w:rPr>
                <w:b/>
                <w:bCs/>
                <w:lang w:val="en-AU"/>
              </w:rPr>
              <w:t>ABF</w:t>
            </w:r>
          </w:p>
        </w:tc>
        <w:tc>
          <w:tcPr>
            <w:tcW w:w="6706" w:type="dxa"/>
          </w:tcPr>
          <w:p w14:paraId="0A307060" w14:textId="77777777" w:rsidR="003C4C7F" w:rsidRPr="00D97BC5" w:rsidRDefault="003C4C7F" w:rsidP="003C4C7F">
            <w:pPr>
              <w:spacing w:line="480" w:lineRule="auto"/>
              <w:rPr>
                <w:rFonts w:cs="Arial"/>
                <w:lang w:val="en-AU"/>
              </w:rPr>
            </w:pPr>
            <w:r w:rsidRPr="00D97BC5">
              <w:rPr>
                <w:rFonts w:cs="Arial"/>
                <w:lang w:val="en-AU"/>
              </w:rPr>
              <w:t>Activity based funding</w:t>
            </w:r>
          </w:p>
        </w:tc>
      </w:tr>
      <w:tr w:rsidR="003C4C7F" w:rsidRPr="00D97BC5" w14:paraId="52D8880A" w14:textId="77777777" w:rsidTr="00522E09">
        <w:trPr>
          <w:trHeight w:val="509"/>
        </w:trPr>
        <w:tc>
          <w:tcPr>
            <w:tcW w:w="2946" w:type="dxa"/>
          </w:tcPr>
          <w:p w14:paraId="4E687FC9" w14:textId="47AF2FB1" w:rsidR="003C4C7F" w:rsidRPr="00D97BC5" w:rsidRDefault="003C4C7F" w:rsidP="003C4C7F">
            <w:pPr>
              <w:spacing w:line="480" w:lineRule="auto"/>
              <w:rPr>
                <w:rFonts w:cs="Arial"/>
                <w:b/>
                <w:bCs/>
                <w:lang w:val="en-AU"/>
              </w:rPr>
            </w:pPr>
            <w:r w:rsidRPr="00D97BC5">
              <w:rPr>
                <w:b/>
                <w:bCs/>
                <w:lang w:val="en-AU"/>
              </w:rPr>
              <w:t>AHPCS</w:t>
            </w:r>
          </w:p>
        </w:tc>
        <w:tc>
          <w:tcPr>
            <w:tcW w:w="6706" w:type="dxa"/>
          </w:tcPr>
          <w:p w14:paraId="19FB2574" w14:textId="7C368618" w:rsidR="003C4C7F" w:rsidRPr="00D97BC5" w:rsidRDefault="003C4C7F" w:rsidP="003C4C7F">
            <w:pPr>
              <w:spacing w:line="480" w:lineRule="auto"/>
              <w:rPr>
                <w:rFonts w:cs="Arial"/>
                <w:lang w:val="en-AU"/>
              </w:rPr>
            </w:pPr>
            <w:r w:rsidRPr="00D97BC5">
              <w:rPr>
                <w:lang w:val="en-AU"/>
              </w:rPr>
              <w:t>Australian Hospital Patient Costing Standards</w:t>
            </w:r>
          </w:p>
        </w:tc>
      </w:tr>
      <w:tr w:rsidR="003C4C7F" w:rsidRPr="00D97BC5" w14:paraId="193F3A81" w14:textId="77777777" w:rsidTr="00522E09">
        <w:trPr>
          <w:trHeight w:val="509"/>
        </w:trPr>
        <w:tc>
          <w:tcPr>
            <w:tcW w:w="2946" w:type="dxa"/>
          </w:tcPr>
          <w:p w14:paraId="51F3C3C6" w14:textId="2598D74A" w:rsidR="003C4C7F" w:rsidRPr="00D97BC5" w:rsidRDefault="003C4C7F" w:rsidP="003C4C7F">
            <w:pPr>
              <w:spacing w:line="480" w:lineRule="auto"/>
              <w:rPr>
                <w:rFonts w:cs="Arial"/>
                <w:b/>
                <w:bCs/>
                <w:lang w:val="en-AU"/>
              </w:rPr>
            </w:pPr>
            <w:r w:rsidRPr="00D97BC5">
              <w:rPr>
                <w:b/>
                <w:bCs/>
                <w:lang w:val="en-AU"/>
              </w:rPr>
              <w:t>HCEF</w:t>
            </w:r>
          </w:p>
        </w:tc>
        <w:tc>
          <w:tcPr>
            <w:tcW w:w="6706" w:type="dxa"/>
          </w:tcPr>
          <w:p w14:paraId="0FAA7460" w14:textId="4D5B59B7" w:rsidR="003C4C7F" w:rsidRPr="00D97BC5" w:rsidRDefault="003C4C7F" w:rsidP="003C4C7F">
            <w:pPr>
              <w:spacing w:line="480" w:lineRule="auto"/>
              <w:rPr>
                <w:rFonts w:cs="Arial"/>
                <w:i/>
                <w:lang w:val="en-AU"/>
              </w:rPr>
            </w:pPr>
            <w:r w:rsidRPr="00D97BC5">
              <w:rPr>
                <w:lang w:val="en-AU"/>
              </w:rPr>
              <w:t>Health Chief Executives Forum</w:t>
            </w:r>
            <w:r w:rsidRPr="00D97BC5">
              <w:rPr>
                <w:rStyle w:val="FootnoteReference"/>
                <w:lang w:val="en-AU"/>
              </w:rPr>
              <w:footnoteReference w:id="1"/>
            </w:r>
          </w:p>
        </w:tc>
      </w:tr>
      <w:tr w:rsidR="003C4C7F" w:rsidRPr="00D97BC5" w14:paraId="10C64FC4" w14:textId="77777777" w:rsidTr="00522E09">
        <w:trPr>
          <w:trHeight w:val="509"/>
        </w:trPr>
        <w:tc>
          <w:tcPr>
            <w:tcW w:w="2946" w:type="dxa"/>
          </w:tcPr>
          <w:p w14:paraId="29B4201C" w14:textId="405CC1BF" w:rsidR="003C4C7F" w:rsidRPr="00D97BC5" w:rsidRDefault="003C4C7F" w:rsidP="003C4C7F">
            <w:pPr>
              <w:spacing w:line="480" w:lineRule="auto"/>
              <w:rPr>
                <w:rFonts w:cs="Arial"/>
                <w:b/>
                <w:bCs/>
                <w:lang w:val="en-AU"/>
              </w:rPr>
            </w:pPr>
            <w:r w:rsidRPr="00D97BC5">
              <w:rPr>
                <w:b/>
                <w:bCs/>
                <w:lang w:val="en-AU"/>
              </w:rPr>
              <w:t>HMM</w:t>
            </w:r>
          </w:p>
        </w:tc>
        <w:tc>
          <w:tcPr>
            <w:tcW w:w="6706" w:type="dxa"/>
          </w:tcPr>
          <w:p w14:paraId="7E40A351" w14:textId="4D9F11B5" w:rsidR="003C4C7F" w:rsidRPr="00D97BC5" w:rsidRDefault="003C4C7F" w:rsidP="003C4C7F">
            <w:pPr>
              <w:spacing w:line="480" w:lineRule="auto"/>
              <w:rPr>
                <w:rFonts w:cs="Arial"/>
                <w:lang w:val="en-AU"/>
              </w:rPr>
            </w:pPr>
            <w:r w:rsidRPr="00D97BC5">
              <w:rPr>
                <w:lang w:val="en-AU"/>
              </w:rPr>
              <w:t>Health Ministers’ Meeting</w:t>
            </w:r>
            <w:r w:rsidRPr="00D97BC5">
              <w:rPr>
                <w:rStyle w:val="FootnoteReference"/>
                <w:lang w:val="en-AU"/>
              </w:rPr>
              <w:footnoteReference w:id="2"/>
            </w:r>
          </w:p>
        </w:tc>
      </w:tr>
      <w:tr w:rsidR="003C4C7F" w:rsidRPr="00D97BC5" w14:paraId="5DE12F20" w14:textId="77777777" w:rsidTr="00522E09">
        <w:trPr>
          <w:trHeight w:val="509"/>
        </w:trPr>
        <w:tc>
          <w:tcPr>
            <w:tcW w:w="2946" w:type="dxa"/>
          </w:tcPr>
          <w:p w14:paraId="22EED710" w14:textId="4F941548" w:rsidR="003C4C7F" w:rsidRPr="00D97BC5" w:rsidRDefault="003C4C7F" w:rsidP="003C4C7F">
            <w:pPr>
              <w:spacing w:line="480" w:lineRule="auto"/>
              <w:rPr>
                <w:rFonts w:cs="Arial"/>
                <w:b/>
                <w:bCs/>
                <w:lang w:val="en-AU"/>
              </w:rPr>
            </w:pPr>
            <w:r w:rsidRPr="00D97BC5">
              <w:rPr>
                <w:b/>
                <w:bCs/>
                <w:lang w:val="en-AU"/>
              </w:rPr>
              <w:t>IH</w:t>
            </w:r>
            <w:r w:rsidR="008859CC" w:rsidRPr="00D97BC5">
              <w:rPr>
                <w:b/>
                <w:bCs/>
                <w:lang w:val="en-AU"/>
              </w:rPr>
              <w:t>AC</w:t>
            </w:r>
            <w:r w:rsidRPr="00D97BC5">
              <w:rPr>
                <w:b/>
                <w:bCs/>
                <w:lang w:val="en-AU"/>
              </w:rPr>
              <w:t>PA</w:t>
            </w:r>
          </w:p>
        </w:tc>
        <w:tc>
          <w:tcPr>
            <w:tcW w:w="6706" w:type="dxa"/>
          </w:tcPr>
          <w:p w14:paraId="3FBD57E1" w14:textId="04D4FF31" w:rsidR="003C4C7F" w:rsidRPr="00D97BC5" w:rsidRDefault="003C4C7F" w:rsidP="003C4C7F">
            <w:pPr>
              <w:spacing w:line="480" w:lineRule="auto"/>
              <w:rPr>
                <w:rFonts w:cs="Arial"/>
                <w:lang w:val="en-AU"/>
              </w:rPr>
            </w:pPr>
            <w:r w:rsidRPr="00D97BC5">
              <w:rPr>
                <w:rFonts w:cs="Arial"/>
                <w:lang w:val="en-AU"/>
              </w:rPr>
              <w:t xml:space="preserve">Independent </w:t>
            </w:r>
            <w:r w:rsidR="008859CC" w:rsidRPr="00D97BC5">
              <w:rPr>
                <w:rFonts w:cs="Arial"/>
                <w:lang w:val="en-AU"/>
              </w:rPr>
              <w:t>Health and Aged Care</w:t>
            </w:r>
            <w:r w:rsidR="00264FAB" w:rsidRPr="00D97BC5">
              <w:rPr>
                <w:rFonts w:cs="Arial"/>
                <w:lang w:val="en-AU"/>
              </w:rPr>
              <w:t xml:space="preserve"> </w:t>
            </w:r>
            <w:r w:rsidRPr="00D97BC5">
              <w:rPr>
                <w:rFonts w:cs="Arial"/>
                <w:lang w:val="en-AU"/>
              </w:rPr>
              <w:t>Pricing Authority</w:t>
            </w:r>
          </w:p>
        </w:tc>
      </w:tr>
      <w:tr w:rsidR="003C4C7F" w:rsidRPr="00D97BC5" w14:paraId="55AA2423" w14:textId="77777777" w:rsidTr="00522E09">
        <w:trPr>
          <w:trHeight w:val="509"/>
        </w:trPr>
        <w:tc>
          <w:tcPr>
            <w:tcW w:w="2946" w:type="dxa"/>
          </w:tcPr>
          <w:p w14:paraId="0317772C" w14:textId="05B0641A" w:rsidR="003C4C7F" w:rsidRPr="00D97BC5" w:rsidRDefault="003C4C7F" w:rsidP="003C4C7F">
            <w:pPr>
              <w:spacing w:line="480" w:lineRule="auto"/>
              <w:rPr>
                <w:rFonts w:cs="Arial"/>
                <w:b/>
                <w:bCs/>
                <w:lang w:val="en-AU"/>
              </w:rPr>
            </w:pPr>
            <w:r w:rsidRPr="00D97BC5">
              <w:rPr>
                <w:b/>
                <w:bCs/>
                <w:lang w:val="en-AU"/>
              </w:rPr>
              <w:t>JAC</w:t>
            </w:r>
          </w:p>
        </w:tc>
        <w:tc>
          <w:tcPr>
            <w:tcW w:w="6706" w:type="dxa"/>
          </w:tcPr>
          <w:p w14:paraId="364379F3" w14:textId="5659BAB7" w:rsidR="003C4C7F" w:rsidRPr="00D97BC5" w:rsidRDefault="003C4C7F" w:rsidP="003C4C7F">
            <w:pPr>
              <w:spacing w:line="480" w:lineRule="auto"/>
              <w:rPr>
                <w:rFonts w:cs="Arial"/>
                <w:lang w:val="en-AU"/>
              </w:rPr>
            </w:pPr>
            <w:r w:rsidRPr="00D97BC5">
              <w:rPr>
                <w:lang w:val="en-AU"/>
              </w:rPr>
              <w:t>Jurisdictional Advisory Committee</w:t>
            </w:r>
          </w:p>
        </w:tc>
      </w:tr>
      <w:tr w:rsidR="00C70B9E" w:rsidRPr="00D97BC5" w14:paraId="4BF0BDE5" w14:textId="77777777" w:rsidTr="00522E09">
        <w:trPr>
          <w:trHeight w:val="509"/>
        </w:trPr>
        <w:tc>
          <w:tcPr>
            <w:tcW w:w="2946" w:type="dxa"/>
          </w:tcPr>
          <w:p w14:paraId="37BD4F6F" w14:textId="2D719A81" w:rsidR="00C70B9E" w:rsidRPr="00D97BC5" w:rsidRDefault="000870D2" w:rsidP="003C4C7F">
            <w:pPr>
              <w:spacing w:line="480" w:lineRule="auto"/>
              <w:rPr>
                <w:b/>
                <w:bCs/>
                <w:lang w:val="en-AU"/>
              </w:rPr>
            </w:pPr>
            <w:r w:rsidRPr="00D97BC5">
              <w:rPr>
                <w:b/>
                <w:bCs/>
                <w:lang w:val="en-AU"/>
              </w:rPr>
              <w:t>NBEDS</w:t>
            </w:r>
          </w:p>
        </w:tc>
        <w:tc>
          <w:tcPr>
            <w:tcW w:w="6706" w:type="dxa"/>
          </w:tcPr>
          <w:p w14:paraId="749D2711" w14:textId="60B8F100" w:rsidR="00C70B9E" w:rsidRPr="00D97BC5" w:rsidRDefault="000870D2" w:rsidP="003C4C7F">
            <w:pPr>
              <w:spacing w:line="480" w:lineRule="auto"/>
              <w:rPr>
                <w:lang w:val="en-AU"/>
              </w:rPr>
            </w:pPr>
            <w:r w:rsidRPr="00D97BC5">
              <w:rPr>
                <w:lang w:val="en-AU"/>
              </w:rPr>
              <w:t>National best endeavours data set</w:t>
            </w:r>
          </w:p>
        </w:tc>
      </w:tr>
      <w:tr w:rsidR="003C4C7F" w:rsidRPr="00D97BC5" w14:paraId="34856163" w14:textId="77777777" w:rsidTr="00522E09">
        <w:trPr>
          <w:trHeight w:val="509"/>
        </w:trPr>
        <w:tc>
          <w:tcPr>
            <w:tcW w:w="2946" w:type="dxa"/>
          </w:tcPr>
          <w:p w14:paraId="22D9B70B" w14:textId="338FF19D" w:rsidR="003C4C7F" w:rsidRPr="00D97BC5" w:rsidRDefault="003C4C7F" w:rsidP="003C4C7F">
            <w:pPr>
              <w:spacing w:line="480" w:lineRule="auto"/>
              <w:rPr>
                <w:rFonts w:cs="Arial"/>
                <w:b/>
                <w:bCs/>
                <w:lang w:val="en-AU"/>
              </w:rPr>
            </w:pPr>
            <w:r w:rsidRPr="00D97BC5">
              <w:rPr>
                <w:b/>
                <w:bCs/>
                <w:lang w:val="en-AU"/>
              </w:rPr>
              <w:t>NEC</w:t>
            </w:r>
          </w:p>
        </w:tc>
        <w:tc>
          <w:tcPr>
            <w:tcW w:w="6706" w:type="dxa"/>
          </w:tcPr>
          <w:p w14:paraId="154FE15D" w14:textId="4AE68A2B" w:rsidR="003C4C7F" w:rsidRPr="00D97BC5" w:rsidRDefault="003C4C7F" w:rsidP="003C4C7F">
            <w:pPr>
              <w:spacing w:line="480" w:lineRule="auto"/>
              <w:rPr>
                <w:rFonts w:cs="Arial"/>
                <w:lang w:val="en-AU"/>
              </w:rPr>
            </w:pPr>
            <w:r w:rsidRPr="00D97BC5">
              <w:rPr>
                <w:lang w:val="en-AU"/>
              </w:rPr>
              <w:t>National efficient cost</w:t>
            </w:r>
          </w:p>
        </w:tc>
      </w:tr>
      <w:tr w:rsidR="003C4C7F" w:rsidRPr="00D97BC5" w14:paraId="3CAE27F3" w14:textId="77777777" w:rsidTr="00522E09">
        <w:trPr>
          <w:trHeight w:val="509"/>
        </w:trPr>
        <w:tc>
          <w:tcPr>
            <w:tcW w:w="2946" w:type="dxa"/>
          </w:tcPr>
          <w:p w14:paraId="7BF5DA12" w14:textId="6E6B3279" w:rsidR="003C4C7F" w:rsidRPr="00D97BC5" w:rsidRDefault="003C4C7F" w:rsidP="003C4C7F">
            <w:pPr>
              <w:spacing w:line="480" w:lineRule="auto"/>
              <w:rPr>
                <w:rFonts w:cs="Arial"/>
                <w:b/>
                <w:bCs/>
                <w:lang w:val="en-AU"/>
              </w:rPr>
            </w:pPr>
            <w:r w:rsidRPr="00D97BC5">
              <w:rPr>
                <w:b/>
                <w:bCs/>
                <w:lang w:val="en-AU"/>
              </w:rPr>
              <w:t>NEP</w:t>
            </w:r>
          </w:p>
        </w:tc>
        <w:tc>
          <w:tcPr>
            <w:tcW w:w="6706" w:type="dxa"/>
          </w:tcPr>
          <w:p w14:paraId="21BBCCD7" w14:textId="2156B96E" w:rsidR="003C4C7F" w:rsidRPr="00D97BC5" w:rsidRDefault="003C4C7F" w:rsidP="003C4C7F">
            <w:pPr>
              <w:spacing w:line="480" w:lineRule="auto"/>
              <w:rPr>
                <w:rFonts w:cs="Arial"/>
                <w:i/>
                <w:lang w:val="en-AU"/>
              </w:rPr>
            </w:pPr>
            <w:r w:rsidRPr="00D97BC5">
              <w:rPr>
                <w:lang w:val="en-AU"/>
              </w:rPr>
              <w:t>National efficient price</w:t>
            </w:r>
          </w:p>
        </w:tc>
      </w:tr>
      <w:tr w:rsidR="00992205" w:rsidRPr="00D97BC5" w14:paraId="01445FAB" w14:textId="77777777" w:rsidTr="00522E09">
        <w:trPr>
          <w:trHeight w:val="509"/>
        </w:trPr>
        <w:tc>
          <w:tcPr>
            <w:tcW w:w="2946" w:type="dxa"/>
          </w:tcPr>
          <w:p w14:paraId="6B5CCE8C" w14:textId="728DF527" w:rsidR="00992205" w:rsidRPr="00D97BC5" w:rsidRDefault="00992205" w:rsidP="003C4C7F">
            <w:pPr>
              <w:spacing w:line="480" w:lineRule="auto"/>
              <w:rPr>
                <w:b/>
                <w:bCs/>
                <w:lang w:val="en-AU"/>
              </w:rPr>
            </w:pPr>
            <w:r w:rsidRPr="00D97BC5">
              <w:rPr>
                <w:b/>
                <w:bCs/>
                <w:lang w:val="en-AU"/>
              </w:rPr>
              <w:t>NHFB</w:t>
            </w:r>
          </w:p>
        </w:tc>
        <w:tc>
          <w:tcPr>
            <w:tcW w:w="6706" w:type="dxa"/>
          </w:tcPr>
          <w:p w14:paraId="626CC166" w14:textId="23220977" w:rsidR="00992205" w:rsidRPr="00D97BC5" w:rsidRDefault="00992205" w:rsidP="003C4C7F">
            <w:pPr>
              <w:spacing w:line="480" w:lineRule="auto"/>
              <w:rPr>
                <w:lang w:val="en-AU"/>
              </w:rPr>
            </w:pPr>
            <w:r w:rsidRPr="00D97BC5">
              <w:rPr>
                <w:lang w:val="en-AU"/>
              </w:rPr>
              <w:t>National Health Funding Body</w:t>
            </w:r>
          </w:p>
        </w:tc>
      </w:tr>
      <w:tr w:rsidR="003C4C7F" w:rsidRPr="00D97BC5" w14:paraId="4816211B" w14:textId="77777777" w:rsidTr="00522E09">
        <w:trPr>
          <w:trHeight w:val="509"/>
        </w:trPr>
        <w:tc>
          <w:tcPr>
            <w:tcW w:w="2946" w:type="dxa"/>
          </w:tcPr>
          <w:p w14:paraId="003F78F0" w14:textId="38BC100E" w:rsidR="003C4C7F" w:rsidRPr="00D97BC5" w:rsidRDefault="003C4C7F" w:rsidP="003C4C7F">
            <w:pPr>
              <w:spacing w:line="480" w:lineRule="auto"/>
              <w:rPr>
                <w:rFonts w:cs="Arial"/>
                <w:b/>
                <w:bCs/>
                <w:lang w:val="en-AU"/>
              </w:rPr>
            </w:pPr>
            <w:r w:rsidRPr="00D97BC5">
              <w:rPr>
                <w:b/>
                <w:bCs/>
                <w:lang w:val="en-AU"/>
              </w:rPr>
              <w:t>NHRA</w:t>
            </w:r>
          </w:p>
        </w:tc>
        <w:tc>
          <w:tcPr>
            <w:tcW w:w="6706" w:type="dxa"/>
          </w:tcPr>
          <w:p w14:paraId="1E0F32A2" w14:textId="33E5794C" w:rsidR="003C4C7F" w:rsidRPr="00D97BC5" w:rsidRDefault="003C4C7F" w:rsidP="003C4C7F">
            <w:pPr>
              <w:spacing w:line="480" w:lineRule="auto"/>
              <w:rPr>
                <w:rFonts w:cs="Arial"/>
                <w:lang w:val="en-AU"/>
              </w:rPr>
            </w:pPr>
            <w:r w:rsidRPr="00D97BC5">
              <w:rPr>
                <w:lang w:val="en-AU"/>
              </w:rPr>
              <w:t>National Health Reform Agreement</w:t>
            </w:r>
          </w:p>
        </w:tc>
      </w:tr>
      <w:tr w:rsidR="003C4C7F" w:rsidRPr="00D97BC5" w14:paraId="26CD3424" w14:textId="77777777" w:rsidTr="00522E09">
        <w:trPr>
          <w:trHeight w:val="509"/>
        </w:trPr>
        <w:tc>
          <w:tcPr>
            <w:tcW w:w="2946" w:type="dxa"/>
          </w:tcPr>
          <w:p w14:paraId="53BDBD57" w14:textId="4000C807" w:rsidR="003C4C7F" w:rsidRPr="00D97BC5" w:rsidRDefault="003C4C7F" w:rsidP="003C4C7F">
            <w:pPr>
              <w:spacing w:line="480" w:lineRule="auto"/>
              <w:rPr>
                <w:rFonts w:cs="Arial"/>
                <w:b/>
                <w:bCs/>
                <w:lang w:val="en-AU"/>
              </w:rPr>
            </w:pPr>
            <w:r w:rsidRPr="00D97BC5">
              <w:rPr>
                <w:b/>
                <w:bCs/>
                <w:lang w:val="en-AU"/>
              </w:rPr>
              <w:t>NMDS</w:t>
            </w:r>
          </w:p>
        </w:tc>
        <w:tc>
          <w:tcPr>
            <w:tcW w:w="6706" w:type="dxa"/>
          </w:tcPr>
          <w:p w14:paraId="3115A7A5" w14:textId="1DA6C6E6" w:rsidR="003C4C7F" w:rsidRPr="00D97BC5" w:rsidRDefault="003C4C7F" w:rsidP="003C4C7F">
            <w:pPr>
              <w:spacing w:line="480" w:lineRule="auto"/>
              <w:rPr>
                <w:rFonts w:cs="Arial"/>
                <w:lang w:val="en-AU"/>
              </w:rPr>
            </w:pPr>
            <w:r w:rsidRPr="00D97BC5">
              <w:rPr>
                <w:rFonts w:cs="Arial"/>
                <w:lang w:val="en-AU"/>
              </w:rPr>
              <w:t xml:space="preserve">National </w:t>
            </w:r>
            <w:r w:rsidR="000870D2" w:rsidRPr="00D97BC5">
              <w:rPr>
                <w:rFonts w:cs="Arial"/>
                <w:lang w:val="en-AU"/>
              </w:rPr>
              <w:t>m</w:t>
            </w:r>
            <w:r w:rsidRPr="00D97BC5">
              <w:rPr>
                <w:rFonts w:cs="Arial"/>
                <w:lang w:val="en-AU"/>
              </w:rPr>
              <w:t xml:space="preserve">inimum </w:t>
            </w:r>
            <w:r w:rsidR="000870D2" w:rsidRPr="00D97BC5">
              <w:rPr>
                <w:rFonts w:cs="Arial"/>
                <w:lang w:val="en-AU"/>
              </w:rPr>
              <w:t>d</w:t>
            </w:r>
            <w:r w:rsidRPr="00D97BC5">
              <w:rPr>
                <w:rFonts w:cs="Arial"/>
                <w:lang w:val="en-AU"/>
              </w:rPr>
              <w:t xml:space="preserve">ata </w:t>
            </w:r>
            <w:r w:rsidR="000870D2" w:rsidRPr="00D97BC5">
              <w:rPr>
                <w:rFonts w:cs="Arial"/>
                <w:lang w:val="en-AU"/>
              </w:rPr>
              <w:t>s</w:t>
            </w:r>
            <w:r w:rsidRPr="00D97BC5">
              <w:rPr>
                <w:rFonts w:cs="Arial"/>
                <w:lang w:val="en-AU"/>
              </w:rPr>
              <w:t>et</w:t>
            </w:r>
          </w:p>
        </w:tc>
      </w:tr>
      <w:tr w:rsidR="003C4C7F" w:rsidRPr="00D97BC5" w14:paraId="3BBF38B7" w14:textId="77777777" w:rsidTr="00522E09">
        <w:trPr>
          <w:trHeight w:val="509"/>
        </w:trPr>
        <w:tc>
          <w:tcPr>
            <w:tcW w:w="2946" w:type="dxa"/>
          </w:tcPr>
          <w:p w14:paraId="295622B2" w14:textId="00D8A477" w:rsidR="003C4C7F" w:rsidRPr="00D97BC5" w:rsidRDefault="003C4C7F" w:rsidP="003C4C7F">
            <w:pPr>
              <w:spacing w:line="480" w:lineRule="auto"/>
              <w:rPr>
                <w:rFonts w:cs="Arial"/>
                <w:b/>
                <w:bCs/>
                <w:lang w:val="en-AU"/>
              </w:rPr>
            </w:pPr>
            <w:r w:rsidRPr="00D97BC5">
              <w:rPr>
                <w:b/>
                <w:bCs/>
                <w:lang w:val="en-AU"/>
              </w:rPr>
              <w:t>Pricing Framework</w:t>
            </w:r>
          </w:p>
        </w:tc>
        <w:tc>
          <w:tcPr>
            <w:tcW w:w="6706" w:type="dxa"/>
          </w:tcPr>
          <w:p w14:paraId="687DC36E" w14:textId="5E5B56F5" w:rsidR="003C4C7F" w:rsidRPr="00D97BC5" w:rsidRDefault="003C4C7F" w:rsidP="003C4C7F">
            <w:pPr>
              <w:spacing w:line="480" w:lineRule="auto"/>
              <w:rPr>
                <w:rFonts w:cs="Arial"/>
                <w:iCs/>
                <w:lang w:val="en-AU"/>
              </w:rPr>
            </w:pPr>
            <w:r w:rsidRPr="00D97BC5">
              <w:rPr>
                <w:iCs/>
                <w:lang w:val="en-AU"/>
              </w:rPr>
              <w:t>Pricing Framework for Australian Public Hospital Services</w:t>
            </w:r>
          </w:p>
        </w:tc>
      </w:tr>
      <w:tr w:rsidR="003C4C7F" w:rsidRPr="00D97BC5" w14:paraId="714613D7" w14:textId="77777777" w:rsidTr="00522E09">
        <w:trPr>
          <w:trHeight w:val="509"/>
        </w:trPr>
        <w:tc>
          <w:tcPr>
            <w:tcW w:w="2946" w:type="dxa"/>
          </w:tcPr>
          <w:p w14:paraId="31EF9195" w14:textId="72743641" w:rsidR="003C4C7F" w:rsidRPr="00D97BC5" w:rsidRDefault="003C4C7F" w:rsidP="003C4C7F">
            <w:pPr>
              <w:spacing w:line="480" w:lineRule="auto"/>
              <w:rPr>
                <w:rFonts w:cs="Arial"/>
                <w:b/>
                <w:bCs/>
                <w:lang w:val="en-AU"/>
              </w:rPr>
            </w:pPr>
            <w:r w:rsidRPr="00D97BC5">
              <w:rPr>
                <w:b/>
                <w:bCs/>
                <w:lang w:val="en-AU"/>
              </w:rPr>
              <w:t>TAC</w:t>
            </w:r>
          </w:p>
        </w:tc>
        <w:tc>
          <w:tcPr>
            <w:tcW w:w="6706" w:type="dxa"/>
          </w:tcPr>
          <w:p w14:paraId="4EB0D772" w14:textId="15B2CDCD" w:rsidR="003C4C7F" w:rsidRPr="00D97BC5" w:rsidRDefault="003C4C7F" w:rsidP="003C4C7F">
            <w:pPr>
              <w:spacing w:line="480" w:lineRule="auto"/>
              <w:rPr>
                <w:rFonts w:cs="Arial"/>
                <w:lang w:val="en-AU"/>
              </w:rPr>
            </w:pPr>
            <w:r w:rsidRPr="00D97BC5">
              <w:rPr>
                <w:lang w:val="en-AU"/>
              </w:rPr>
              <w:t>Technical Advisory Committee</w:t>
            </w:r>
          </w:p>
        </w:tc>
      </w:tr>
      <w:tr w:rsidR="003C4C7F" w:rsidRPr="00D97BC5" w14:paraId="3B692B88" w14:textId="77777777" w:rsidTr="00215DE4">
        <w:trPr>
          <w:trHeight w:val="509"/>
        </w:trPr>
        <w:tc>
          <w:tcPr>
            <w:tcW w:w="2946" w:type="dxa"/>
          </w:tcPr>
          <w:p w14:paraId="11ADA4DE" w14:textId="2229398D" w:rsidR="003C4C7F" w:rsidRPr="00D97BC5" w:rsidRDefault="003C4C7F" w:rsidP="003C4C7F">
            <w:pPr>
              <w:spacing w:line="480" w:lineRule="auto"/>
              <w:rPr>
                <w:rFonts w:cs="Arial"/>
                <w:b/>
                <w:bCs/>
                <w:lang w:val="en-AU"/>
              </w:rPr>
            </w:pPr>
            <w:r w:rsidRPr="00D97BC5">
              <w:rPr>
                <w:b/>
                <w:bCs/>
                <w:lang w:val="en-AU"/>
              </w:rPr>
              <w:t xml:space="preserve">The </w:t>
            </w:r>
            <w:r w:rsidR="00486E50" w:rsidRPr="00D97BC5">
              <w:rPr>
                <w:b/>
                <w:bCs/>
                <w:lang w:val="en-AU"/>
              </w:rPr>
              <w:t>a</w:t>
            </w:r>
            <w:r w:rsidRPr="00D97BC5">
              <w:rPr>
                <w:b/>
                <w:bCs/>
                <w:lang w:val="en-AU"/>
              </w:rPr>
              <w:t>ddendum</w:t>
            </w:r>
          </w:p>
        </w:tc>
        <w:tc>
          <w:tcPr>
            <w:tcW w:w="6706" w:type="dxa"/>
          </w:tcPr>
          <w:p w14:paraId="4D9A818F" w14:textId="6C319B8B" w:rsidR="003C4C7F" w:rsidRPr="00D97BC5" w:rsidRDefault="003C4C7F" w:rsidP="003C4C7F">
            <w:pPr>
              <w:spacing w:line="480" w:lineRule="auto"/>
              <w:rPr>
                <w:rFonts w:cs="Arial"/>
                <w:b/>
                <w:lang w:val="en-AU"/>
              </w:rPr>
            </w:pPr>
            <w:r w:rsidRPr="00D97BC5">
              <w:rPr>
                <w:lang w:val="en-AU"/>
              </w:rPr>
              <w:t>Addendum to the National Health Reform Agreement 2020–25</w:t>
            </w:r>
          </w:p>
        </w:tc>
      </w:tr>
      <w:tr w:rsidR="003C4C7F" w:rsidRPr="00D97BC5" w14:paraId="6A4F1090" w14:textId="77777777" w:rsidTr="00522E09">
        <w:trPr>
          <w:trHeight w:val="509"/>
        </w:trPr>
        <w:tc>
          <w:tcPr>
            <w:tcW w:w="2946" w:type="dxa"/>
          </w:tcPr>
          <w:p w14:paraId="287420BC" w14:textId="266FDC5E" w:rsidR="003C4C7F" w:rsidRPr="00D97BC5" w:rsidRDefault="003C4C7F" w:rsidP="003C4C7F">
            <w:pPr>
              <w:spacing w:line="480" w:lineRule="auto"/>
              <w:rPr>
                <w:rFonts w:cs="Arial"/>
                <w:b/>
                <w:bCs/>
                <w:lang w:val="en-AU"/>
              </w:rPr>
            </w:pPr>
            <w:r w:rsidRPr="00D97BC5">
              <w:rPr>
                <w:b/>
                <w:bCs/>
                <w:lang w:val="en-AU"/>
              </w:rPr>
              <w:t>The Administrator</w:t>
            </w:r>
          </w:p>
        </w:tc>
        <w:tc>
          <w:tcPr>
            <w:tcW w:w="6706" w:type="dxa"/>
          </w:tcPr>
          <w:p w14:paraId="0A188911" w14:textId="51E90808" w:rsidR="003C4C7F" w:rsidRPr="00D97BC5" w:rsidRDefault="003C4C7F" w:rsidP="003C4C7F">
            <w:pPr>
              <w:spacing w:line="480" w:lineRule="auto"/>
              <w:rPr>
                <w:rFonts w:cs="Arial"/>
                <w:i/>
                <w:lang w:val="en-AU"/>
              </w:rPr>
            </w:pPr>
            <w:r w:rsidRPr="00D97BC5">
              <w:rPr>
                <w:lang w:val="en-AU"/>
              </w:rPr>
              <w:t>Administrator of the National Health Funding Pool</w:t>
            </w:r>
          </w:p>
        </w:tc>
      </w:tr>
      <w:tr w:rsidR="003C4C7F" w:rsidRPr="00D97BC5" w14:paraId="5B659B1A" w14:textId="77777777" w:rsidTr="00522E09">
        <w:trPr>
          <w:trHeight w:val="509"/>
        </w:trPr>
        <w:tc>
          <w:tcPr>
            <w:tcW w:w="2946" w:type="dxa"/>
          </w:tcPr>
          <w:p w14:paraId="763B57C6" w14:textId="2291A174" w:rsidR="003C4C7F" w:rsidRPr="00D97BC5" w:rsidRDefault="003C4C7F" w:rsidP="003C4C7F">
            <w:pPr>
              <w:spacing w:line="480" w:lineRule="auto"/>
              <w:rPr>
                <w:rFonts w:cs="Arial"/>
                <w:b/>
                <w:bCs/>
                <w:lang w:val="en-AU"/>
              </w:rPr>
            </w:pPr>
            <w:r w:rsidRPr="00D97BC5">
              <w:rPr>
                <w:b/>
                <w:bCs/>
                <w:lang w:val="en-AU"/>
              </w:rPr>
              <w:t xml:space="preserve">This </w:t>
            </w:r>
            <w:r w:rsidR="009E4914" w:rsidRPr="00D97BC5">
              <w:rPr>
                <w:b/>
                <w:bCs/>
                <w:lang w:val="en-AU"/>
              </w:rPr>
              <w:t>p</w:t>
            </w:r>
            <w:r w:rsidRPr="00D97BC5">
              <w:rPr>
                <w:b/>
                <w:bCs/>
                <w:lang w:val="en-AU"/>
              </w:rPr>
              <w:t>olicy</w:t>
            </w:r>
          </w:p>
        </w:tc>
        <w:tc>
          <w:tcPr>
            <w:tcW w:w="6706" w:type="dxa"/>
          </w:tcPr>
          <w:p w14:paraId="5DA3439C" w14:textId="4C125A7E" w:rsidR="003C4C7F" w:rsidRPr="00D97BC5" w:rsidRDefault="003C4C7F" w:rsidP="003C4C7F">
            <w:pPr>
              <w:spacing w:line="480" w:lineRule="auto"/>
              <w:rPr>
                <w:rFonts w:cs="Arial"/>
                <w:iCs/>
                <w:lang w:val="en-AU"/>
              </w:rPr>
            </w:pPr>
            <w:r w:rsidRPr="00D97BC5">
              <w:rPr>
                <w:iCs/>
                <w:lang w:val="en-AU"/>
              </w:rPr>
              <w:t>National Pricing Model Consultation Policy</w:t>
            </w:r>
          </w:p>
        </w:tc>
      </w:tr>
    </w:tbl>
    <w:p w14:paraId="15DE7746" w14:textId="4E93EEA8" w:rsidR="00BF41F8" w:rsidRPr="00D97BC5" w:rsidRDefault="00BF41F8" w:rsidP="00F5752F">
      <w:pPr>
        <w:pStyle w:val="Heading1"/>
        <w:numPr>
          <w:ilvl w:val="0"/>
          <w:numId w:val="0"/>
        </w:numPr>
      </w:pPr>
      <w:bookmarkStart w:id="15" w:name="_Toc168557600"/>
      <w:r w:rsidRPr="00D97BC5">
        <w:lastRenderedPageBreak/>
        <w:t>Definitions</w:t>
      </w:r>
      <w:bookmarkEnd w:id="15"/>
    </w:p>
    <w:p w14:paraId="1C37778E" w14:textId="16F231DE" w:rsidR="00BF41F8" w:rsidRPr="00D97BC5" w:rsidRDefault="00BF41F8" w:rsidP="00BF41F8">
      <w:pPr>
        <w:rPr>
          <w:rFonts w:cs="Arial"/>
          <w:lang w:val="en-AU"/>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27"/>
        <w:gridCol w:w="7371"/>
      </w:tblGrid>
      <w:tr w:rsidR="003C4C7F" w:rsidRPr="00D97BC5" w14:paraId="26A3C519" w14:textId="77777777" w:rsidTr="00954ECD">
        <w:tc>
          <w:tcPr>
            <w:tcW w:w="2127" w:type="dxa"/>
          </w:tcPr>
          <w:p w14:paraId="3273A58F" w14:textId="7908FD5A" w:rsidR="003C4C7F" w:rsidRPr="00D97BC5" w:rsidRDefault="003C4C7F" w:rsidP="00F5752F">
            <w:pPr>
              <w:adjustRightInd w:val="0"/>
              <w:snapToGrid w:val="0"/>
              <w:spacing w:before="120" w:after="120" w:line="259" w:lineRule="auto"/>
              <w:rPr>
                <w:rFonts w:cs="Arial"/>
                <w:b/>
                <w:bCs/>
                <w:lang w:val="en-AU" w:eastAsia="zh-CN"/>
              </w:rPr>
            </w:pPr>
            <w:r w:rsidRPr="00D97BC5">
              <w:rPr>
                <w:b/>
                <w:bCs/>
                <w:lang w:val="en-AU"/>
              </w:rPr>
              <w:t>Activity based funding</w:t>
            </w:r>
          </w:p>
        </w:tc>
        <w:tc>
          <w:tcPr>
            <w:tcW w:w="7371" w:type="dxa"/>
          </w:tcPr>
          <w:p w14:paraId="0AF62D18" w14:textId="11330F0B" w:rsidR="00954ECD" w:rsidRPr="00D97BC5" w:rsidRDefault="00B51709" w:rsidP="00F5752F">
            <w:pPr>
              <w:spacing w:before="120" w:after="120" w:line="259" w:lineRule="auto"/>
              <w:rPr>
                <w:lang w:val="en-AU"/>
              </w:rPr>
            </w:pPr>
            <w:r w:rsidRPr="00D97BC5">
              <w:rPr>
                <w:lang w:val="en-AU"/>
              </w:rPr>
              <w:t>Refers to a way of funding public hospitals whereby they get paid for the number and mix of patients they treat. Activity based funding is underpinned by national classification systems, data collections, costing standards, price weights and efficient costs developed by the Independent Health and Aged Care Pricing Authority (IHACPA), as outlined in the National Health Reform Agreement (NHRA)</w:t>
            </w:r>
            <w:r w:rsidR="00954ECD" w:rsidRPr="00D97BC5">
              <w:rPr>
                <w:lang w:val="en-AU"/>
              </w:rPr>
              <w:t>.</w:t>
            </w:r>
          </w:p>
          <w:p w14:paraId="19A33E8F" w14:textId="2BA2634A" w:rsidR="003C4C7F" w:rsidRPr="00D97BC5" w:rsidRDefault="00954ECD" w:rsidP="00F5752F">
            <w:pPr>
              <w:autoSpaceDE w:val="0"/>
              <w:autoSpaceDN w:val="0"/>
              <w:adjustRightInd w:val="0"/>
              <w:spacing w:before="120" w:after="120" w:line="259" w:lineRule="auto"/>
              <w:rPr>
                <w:lang w:val="en-AU"/>
              </w:rPr>
            </w:pPr>
            <w:r w:rsidRPr="00D97BC5">
              <w:rPr>
                <w:lang w:val="en-AU"/>
              </w:rPr>
              <w:t xml:space="preserve">An activity based funding (ABF) activity may take the form of a separation, </w:t>
            </w:r>
            <w:r w:rsidR="00680803" w:rsidRPr="00D97BC5">
              <w:rPr>
                <w:lang w:val="en-AU"/>
              </w:rPr>
              <w:t xml:space="preserve">phase, </w:t>
            </w:r>
            <w:r w:rsidRPr="00D97BC5">
              <w:rPr>
                <w:lang w:val="en-AU"/>
              </w:rPr>
              <w:t>presentation or service event</w:t>
            </w:r>
            <w:r w:rsidR="003C4C7F" w:rsidRPr="00D97BC5">
              <w:rPr>
                <w:lang w:val="en-AU"/>
              </w:rPr>
              <w:t>.</w:t>
            </w:r>
          </w:p>
        </w:tc>
      </w:tr>
      <w:tr w:rsidR="003C4C7F" w:rsidRPr="00D97BC5" w14:paraId="270FB91A" w14:textId="77777777" w:rsidTr="00954ECD">
        <w:trPr>
          <w:trHeight w:val="913"/>
        </w:trPr>
        <w:tc>
          <w:tcPr>
            <w:tcW w:w="2127" w:type="dxa"/>
          </w:tcPr>
          <w:p w14:paraId="73CD1F0E" w14:textId="4C620484" w:rsidR="003C4C7F" w:rsidRPr="00D97BC5" w:rsidRDefault="003C4C7F" w:rsidP="00F5752F">
            <w:pPr>
              <w:adjustRightInd w:val="0"/>
              <w:snapToGrid w:val="0"/>
              <w:spacing w:before="120" w:after="120" w:line="259" w:lineRule="auto"/>
              <w:rPr>
                <w:rFonts w:cs="Arial"/>
                <w:b/>
                <w:bCs/>
                <w:lang w:val="en-AU" w:eastAsia="zh-CN"/>
              </w:rPr>
            </w:pPr>
            <w:r w:rsidRPr="00D97BC5">
              <w:rPr>
                <w:b/>
                <w:bCs/>
                <w:lang w:val="en-AU"/>
              </w:rPr>
              <w:t>National funding bodies</w:t>
            </w:r>
          </w:p>
        </w:tc>
        <w:tc>
          <w:tcPr>
            <w:tcW w:w="7371" w:type="dxa"/>
          </w:tcPr>
          <w:p w14:paraId="1F2D4729" w14:textId="085612EF" w:rsidR="003C4C7F" w:rsidRPr="00D97BC5" w:rsidRDefault="00954ECD" w:rsidP="00F5752F">
            <w:pPr>
              <w:spacing w:before="120" w:after="120" w:line="259" w:lineRule="auto"/>
              <w:rPr>
                <w:lang w:val="en-AU"/>
              </w:rPr>
            </w:pPr>
            <w:r w:rsidRPr="00D97BC5">
              <w:rPr>
                <w:lang w:val="en-AU"/>
              </w:rPr>
              <w:t>Collective term for IH</w:t>
            </w:r>
            <w:r w:rsidR="00683B7B" w:rsidRPr="00D97BC5">
              <w:rPr>
                <w:lang w:val="en-AU"/>
              </w:rPr>
              <w:t>AC</w:t>
            </w:r>
            <w:r w:rsidRPr="00D97BC5">
              <w:rPr>
                <w:lang w:val="en-AU"/>
              </w:rPr>
              <w:t>PA, the National Health Funding Body and the Administrator of the National Health Funding Pool</w:t>
            </w:r>
            <w:r w:rsidR="003C4C7F" w:rsidRPr="00D97BC5">
              <w:rPr>
                <w:lang w:val="en-AU"/>
              </w:rPr>
              <w:t>.</w:t>
            </w:r>
          </w:p>
        </w:tc>
      </w:tr>
      <w:tr w:rsidR="003C4C7F" w:rsidRPr="00D97BC5" w14:paraId="28DD7F42" w14:textId="77777777" w:rsidTr="00954ECD">
        <w:tc>
          <w:tcPr>
            <w:tcW w:w="2127" w:type="dxa"/>
          </w:tcPr>
          <w:p w14:paraId="213CDFAE" w14:textId="207E76CA" w:rsidR="003C4C7F" w:rsidRPr="00D97BC5" w:rsidRDefault="003C4C7F" w:rsidP="00F5752F">
            <w:pPr>
              <w:adjustRightInd w:val="0"/>
              <w:snapToGrid w:val="0"/>
              <w:spacing w:before="120" w:after="120" w:line="259" w:lineRule="auto"/>
              <w:rPr>
                <w:rFonts w:cs="Arial"/>
                <w:b/>
                <w:bCs/>
                <w:lang w:val="en-AU" w:eastAsia="zh-CN"/>
              </w:rPr>
            </w:pPr>
            <w:r w:rsidRPr="00D97BC5">
              <w:rPr>
                <w:b/>
                <w:bCs/>
                <w:lang w:val="en-AU"/>
              </w:rPr>
              <w:t>National funding model</w:t>
            </w:r>
          </w:p>
        </w:tc>
        <w:tc>
          <w:tcPr>
            <w:tcW w:w="7371" w:type="dxa"/>
          </w:tcPr>
          <w:p w14:paraId="793511F3" w14:textId="6CADE271" w:rsidR="00954ECD" w:rsidRPr="00D97BC5" w:rsidRDefault="00954ECD" w:rsidP="00F5752F">
            <w:pPr>
              <w:spacing w:before="120" w:after="120" w:line="259" w:lineRule="auto"/>
              <w:rPr>
                <w:lang w:val="en-AU"/>
              </w:rPr>
            </w:pPr>
            <w:r w:rsidRPr="00D97BC5">
              <w:rPr>
                <w:lang w:val="en-AU"/>
              </w:rPr>
              <w:t xml:space="preserve">Refers to the calculation, payment and reconciliation of Commonwealth </w:t>
            </w:r>
            <w:r w:rsidR="0089785F" w:rsidRPr="00D97BC5">
              <w:rPr>
                <w:lang w:val="en-AU"/>
              </w:rPr>
              <w:t>NHRA</w:t>
            </w:r>
            <w:r w:rsidRPr="00D97BC5">
              <w:rPr>
                <w:lang w:val="en-AU"/>
              </w:rPr>
              <w:t xml:space="preserve"> funding for </w:t>
            </w:r>
            <w:r w:rsidR="0089785F" w:rsidRPr="00D97BC5">
              <w:rPr>
                <w:lang w:val="en-AU"/>
              </w:rPr>
              <w:t xml:space="preserve">public hospital </w:t>
            </w:r>
            <w:r w:rsidRPr="00D97BC5">
              <w:rPr>
                <w:lang w:val="en-AU"/>
              </w:rPr>
              <w:t>services by the Administrator applying the agreed methodology, business rules and policies. This is calculated from ABF based on national weighted activity units and IH</w:t>
            </w:r>
            <w:r w:rsidR="00972AF4" w:rsidRPr="00D97BC5">
              <w:rPr>
                <w:lang w:val="en-AU"/>
              </w:rPr>
              <w:t>AC</w:t>
            </w:r>
            <w:r w:rsidRPr="00D97BC5">
              <w:rPr>
                <w:lang w:val="en-AU"/>
              </w:rPr>
              <w:t>PA’s national efficient price (NEP) determination, and block funding calculated from the IH</w:t>
            </w:r>
            <w:r w:rsidR="00972AF4" w:rsidRPr="00D97BC5">
              <w:rPr>
                <w:lang w:val="en-AU"/>
              </w:rPr>
              <w:t>AC</w:t>
            </w:r>
            <w:r w:rsidRPr="00D97BC5">
              <w:rPr>
                <w:lang w:val="en-AU"/>
              </w:rPr>
              <w:t>PA’s national efficient cost determination.</w:t>
            </w:r>
          </w:p>
          <w:p w14:paraId="375DE9C2" w14:textId="65D4F086" w:rsidR="003C4C7F" w:rsidRPr="00D97BC5" w:rsidRDefault="00954ECD" w:rsidP="00F5752F">
            <w:pPr>
              <w:adjustRightInd w:val="0"/>
              <w:snapToGrid w:val="0"/>
              <w:spacing w:before="120" w:after="120" w:line="259" w:lineRule="auto"/>
              <w:rPr>
                <w:lang w:val="en-AU"/>
              </w:rPr>
            </w:pPr>
            <w:r w:rsidRPr="00D97BC5">
              <w:rPr>
                <w:lang w:val="en-AU"/>
              </w:rPr>
              <w:t xml:space="preserve">The agreed methodology, business rules and policies include the ABF formula, the Administrator’s </w:t>
            </w:r>
            <w:r w:rsidR="0089785F" w:rsidRPr="00D97BC5">
              <w:rPr>
                <w:lang w:val="en-AU"/>
              </w:rPr>
              <w:t xml:space="preserve">funding formula </w:t>
            </w:r>
            <w:r w:rsidRPr="00D97BC5">
              <w:rPr>
                <w:lang w:val="en-AU"/>
              </w:rPr>
              <w:t>and associated operational documents, IH</w:t>
            </w:r>
            <w:r w:rsidR="002F745B" w:rsidRPr="00D97BC5">
              <w:rPr>
                <w:lang w:val="en-AU"/>
              </w:rPr>
              <w:t>AC</w:t>
            </w:r>
            <w:r w:rsidRPr="00D97BC5">
              <w:rPr>
                <w:lang w:val="en-AU"/>
              </w:rPr>
              <w:t xml:space="preserve">PA's Pricing Framework for Australian Public Hospital Services and national pricing model </w:t>
            </w:r>
            <w:r w:rsidR="0089785F" w:rsidRPr="00D97BC5">
              <w:rPr>
                <w:lang w:val="en-AU"/>
              </w:rPr>
              <w:t xml:space="preserve">technical </w:t>
            </w:r>
            <w:r w:rsidRPr="00D97BC5">
              <w:rPr>
                <w:lang w:val="en-AU"/>
              </w:rPr>
              <w:t xml:space="preserve">specifications, classification systems, counting rules, </w:t>
            </w:r>
            <w:r w:rsidR="0089785F" w:rsidRPr="00D97BC5">
              <w:rPr>
                <w:lang w:val="en-AU"/>
              </w:rPr>
              <w:t xml:space="preserve">and </w:t>
            </w:r>
            <w:r w:rsidRPr="00D97BC5">
              <w:rPr>
                <w:lang w:val="en-AU"/>
              </w:rPr>
              <w:t>data, coding and costing standards.</w:t>
            </w:r>
          </w:p>
        </w:tc>
      </w:tr>
      <w:tr w:rsidR="003C4C7F" w:rsidRPr="00D97BC5" w14:paraId="32F3D951" w14:textId="77777777" w:rsidTr="00954ECD">
        <w:trPr>
          <w:trHeight w:val="353"/>
        </w:trPr>
        <w:tc>
          <w:tcPr>
            <w:tcW w:w="2127" w:type="dxa"/>
          </w:tcPr>
          <w:p w14:paraId="5467E144" w14:textId="48BFBC87" w:rsidR="003C4C7F" w:rsidRPr="00D97BC5" w:rsidRDefault="003C4C7F" w:rsidP="00F5752F">
            <w:pPr>
              <w:adjustRightInd w:val="0"/>
              <w:snapToGrid w:val="0"/>
              <w:spacing w:before="120" w:after="120" w:line="259" w:lineRule="auto"/>
              <w:rPr>
                <w:rFonts w:cs="Arial"/>
                <w:b/>
                <w:bCs/>
                <w:lang w:val="en-AU" w:eastAsia="zh-CN"/>
              </w:rPr>
            </w:pPr>
            <w:r w:rsidRPr="00D97BC5">
              <w:rPr>
                <w:b/>
                <w:bCs/>
                <w:lang w:val="en-AU"/>
              </w:rPr>
              <w:t>National pricing model</w:t>
            </w:r>
          </w:p>
        </w:tc>
        <w:tc>
          <w:tcPr>
            <w:tcW w:w="7371" w:type="dxa"/>
          </w:tcPr>
          <w:p w14:paraId="3039C2D3" w14:textId="7BD40CC5" w:rsidR="00954ECD" w:rsidRPr="00D97BC5" w:rsidRDefault="00954ECD" w:rsidP="000458FE">
            <w:pPr>
              <w:adjustRightInd w:val="0"/>
              <w:snapToGrid w:val="0"/>
              <w:spacing w:before="120" w:after="120" w:line="259" w:lineRule="auto"/>
              <w:rPr>
                <w:rFonts w:cs="Arial"/>
                <w:lang w:val="en-AU" w:eastAsia="zh-CN"/>
              </w:rPr>
            </w:pPr>
            <w:r w:rsidRPr="00D97BC5">
              <w:rPr>
                <w:lang w:val="en-AU"/>
              </w:rPr>
              <w:t>The national pricing model is produced annually by IH</w:t>
            </w:r>
            <w:r w:rsidR="00972AF4" w:rsidRPr="00D97BC5">
              <w:rPr>
                <w:lang w:val="en-AU"/>
              </w:rPr>
              <w:t>AC</w:t>
            </w:r>
            <w:r w:rsidRPr="00D97BC5">
              <w:rPr>
                <w:lang w:val="en-AU"/>
              </w:rPr>
              <w:t xml:space="preserve">PA and defines the NEP, price weights and adjustments based on the cost and activity data from </w:t>
            </w:r>
            <w:r w:rsidR="00626CBA" w:rsidRPr="00D97BC5">
              <w:rPr>
                <w:lang w:val="en-AU"/>
              </w:rPr>
              <w:t xml:space="preserve">3 </w:t>
            </w:r>
            <w:r w:rsidRPr="00D97BC5">
              <w:rPr>
                <w:lang w:val="en-AU"/>
              </w:rPr>
              <w:t xml:space="preserve">years prior. For more detail, refer to the </w:t>
            </w:r>
            <w:hyperlink r:id="rId14" w:history="1">
              <w:r w:rsidRPr="00D97BC5">
                <w:rPr>
                  <w:rStyle w:val="Hyperlink"/>
                  <w:color w:val="0080C4"/>
                  <w:lang w:val="en-AU"/>
                </w:rPr>
                <w:t>National Pricing Model Technical Specifications</w:t>
              </w:r>
            </w:hyperlink>
            <w:r w:rsidRPr="00D97BC5">
              <w:rPr>
                <w:lang w:val="en-AU"/>
              </w:rPr>
              <w:t>.</w:t>
            </w:r>
          </w:p>
        </w:tc>
      </w:tr>
      <w:tr w:rsidR="003C4C7F" w:rsidRPr="00D97BC5" w14:paraId="5C1423EE" w14:textId="77777777" w:rsidTr="00954ECD">
        <w:trPr>
          <w:trHeight w:val="814"/>
        </w:trPr>
        <w:tc>
          <w:tcPr>
            <w:tcW w:w="2127" w:type="dxa"/>
          </w:tcPr>
          <w:p w14:paraId="4FE4C8E6" w14:textId="50C0A16B" w:rsidR="003C4C7F" w:rsidRPr="00D97BC5" w:rsidRDefault="003C4C7F" w:rsidP="00F5752F">
            <w:pPr>
              <w:adjustRightInd w:val="0"/>
              <w:snapToGrid w:val="0"/>
              <w:spacing w:before="120" w:after="120" w:line="259" w:lineRule="auto"/>
              <w:rPr>
                <w:rFonts w:cs="Arial"/>
                <w:b/>
                <w:bCs/>
                <w:lang w:val="en-AU" w:eastAsia="zh-CN"/>
              </w:rPr>
            </w:pPr>
            <w:r w:rsidRPr="00D97BC5">
              <w:rPr>
                <w:b/>
                <w:bCs/>
                <w:lang w:val="en-AU"/>
              </w:rPr>
              <w:t>Parties</w:t>
            </w:r>
          </w:p>
        </w:tc>
        <w:tc>
          <w:tcPr>
            <w:tcW w:w="7371" w:type="dxa"/>
          </w:tcPr>
          <w:p w14:paraId="16FBFC8B" w14:textId="10FADF13" w:rsidR="003C4C7F" w:rsidRPr="00D97BC5" w:rsidRDefault="00954ECD" w:rsidP="000458FE">
            <w:pPr>
              <w:adjustRightInd w:val="0"/>
              <w:snapToGrid w:val="0"/>
              <w:spacing w:before="120" w:after="120" w:line="259" w:lineRule="auto"/>
              <w:rPr>
                <w:rFonts w:cs="Arial"/>
                <w:sz w:val="24"/>
                <w:lang w:val="en-AU" w:eastAsia="zh-CN"/>
              </w:rPr>
            </w:pPr>
            <w:r w:rsidRPr="00D97BC5">
              <w:rPr>
                <w:lang w:val="en-AU"/>
              </w:rPr>
              <w:t>Refers to the signatories to the Addendum</w:t>
            </w:r>
            <w:r w:rsidR="00B51709" w:rsidRPr="00D97BC5">
              <w:rPr>
                <w:lang w:val="en-AU"/>
              </w:rPr>
              <w:t xml:space="preserve"> to the NHRA 2020–25</w:t>
            </w:r>
            <w:r w:rsidRPr="00D97BC5">
              <w:rPr>
                <w:lang w:val="en-AU"/>
              </w:rPr>
              <w:t xml:space="preserve">, being the </w:t>
            </w:r>
            <w:r w:rsidR="00B51709" w:rsidRPr="00D97BC5">
              <w:rPr>
                <w:lang w:val="en-AU"/>
              </w:rPr>
              <w:t xml:space="preserve">Australian Government </w:t>
            </w:r>
            <w:r w:rsidRPr="00D97BC5">
              <w:rPr>
                <w:lang w:val="en-AU"/>
              </w:rPr>
              <w:t>and each state and territory</w:t>
            </w:r>
            <w:r w:rsidR="00B51709" w:rsidRPr="00D97BC5">
              <w:rPr>
                <w:lang w:val="en-AU"/>
              </w:rPr>
              <w:t xml:space="preserve"> government</w:t>
            </w:r>
            <w:r w:rsidR="003C4C7F" w:rsidRPr="00D97BC5">
              <w:rPr>
                <w:rFonts w:cs="Arial"/>
                <w:sz w:val="24"/>
                <w:lang w:val="en-AU" w:eastAsia="zh-CN"/>
              </w:rPr>
              <w:t>.</w:t>
            </w:r>
            <w:r w:rsidRPr="00D97BC5">
              <w:rPr>
                <w:rFonts w:cs="Arial"/>
                <w:sz w:val="24"/>
                <w:lang w:val="en-AU" w:eastAsia="zh-CN"/>
              </w:rPr>
              <w:t xml:space="preserve"> </w:t>
            </w:r>
          </w:p>
        </w:tc>
      </w:tr>
      <w:tr w:rsidR="003C4C7F" w:rsidRPr="00D97BC5" w14:paraId="32E5E2A7" w14:textId="77777777" w:rsidTr="00954ECD">
        <w:trPr>
          <w:trHeight w:val="737"/>
        </w:trPr>
        <w:tc>
          <w:tcPr>
            <w:tcW w:w="2127" w:type="dxa"/>
          </w:tcPr>
          <w:p w14:paraId="0BB34D96" w14:textId="7BAF5663" w:rsidR="003C4C7F" w:rsidRPr="00D97BC5" w:rsidRDefault="003C4C7F" w:rsidP="00F5752F">
            <w:pPr>
              <w:adjustRightInd w:val="0"/>
              <w:snapToGrid w:val="0"/>
              <w:spacing w:before="120" w:after="120" w:line="259" w:lineRule="auto"/>
              <w:rPr>
                <w:rFonts w:cs="Arial"/>
                <w:b/>
                <w:bCs/>
                <w:lang w:val="en-AU" w:eastAsia="zh-CN"/>
              </w:rPr>
            </w:pPr>
            <w:r w:rsidRPr="00D97BC5">
              <w:rPr>
                <w:b/>
                <w:bCs/>
                <w:lang w:val="en-AU"/>
              </w:rPr>
              <w:t>Pricing Authority</w:t>
            </w:r>
          </w:p>
        </w:tc>
        <w:tc>
          <w:tcPr>
            <w:tcW w:w="7371" w:type="dxa"/>
          </w:tcPr>
          <w:p w14:paraId="78B42B16" w14:textId="15CB0174" w:rsidR="003C4C7F" w:rsidRPr="00D97BC5" w:rsidRDefault="003C4C7F" w:rsidP="000458FE">
            <w:pPr>
              <w:adjustRightInd w:val="0"/>
              <w:snapToGrid w:val="0"/>
              <w:spacing w:before="120" w:after="120" w:line="259" w:lineRule="auto"/>
              <w:rPr>
                <w:rFonts w:cs="Arial"/>
                <w:lang w:val="en-AU" w:eastAsia="zh-CN"/>
              </w:rPr>
            </w:pPr>
            <w:r w:rsidRPr="00D97BC5">
              <w:rPr>
                <w:rFonts w:cs="Arial"/>
                <w:lang w:val="en-AU" w:eastAsia="zh-CN"/>
              </w:rPr>
              <w:t xml:space="preserve">The governing body of IHACPA established under the </w:t>
            </w:r>
            <w:r w:rsidRPr="00D97BC5">
              <w:rPr>
                <w:rFonts w:cs="Arial"/>
                <w:i/>
                <w:lang w:val="en-AU" w:eastAsia="zh-CN"/>
              </w:rPr>
              <w:t>National Health Reform Act 2011</w:t>
            </w:r>
            <w:r w:rsidR="00CC534E" w:rsidRPr="00D97BC5">
              <w:rPr>
                <w:rFonts w:cs="Arial"/>
                <w:lang w:val="en-AU" w:eastAsia="zh-CN"/>
              </w:rPr>
              <w:t>.</w:t>
            </w:r>
          </w:p>
        </w:tc>
      </w:tr>
      <w:tr w:rsidR="00954ECD" w:rsidRPr="00D97BC5" w14:paraId="0073CE9E" w14:textId="77777777" w:rsidTr="00954ECD">
        <w:tc>
          <w:tcPr>
            <w:tcW w:w="2127" w:type="dxa"/>
          </w:tcPr>
          <w:p w14:paraId="2E58BE2D" w14:textId="77777777" w:rsidR="00954ECD" w:rsidRPr="00D97BC5" w:rsidRDefault="00954ECD" w:rsidP="00E05353">
            <w:pPr>
              <w:adjustRightInd w:val="0"/>
              <w:snapToGrid w:val="0"/>
              <w:spacing w:before="120" w:after="120" w:line="240" w:lineRule="auto"/>
              <w:rPr>
                <w:rFonts w:cs="Arial"/>
                <w:b/>
                <w:bCs/>
                <w:lang w:val="en-AU" w:eastAsia="zh-CN"/>
              </w:rPr>
            </w:pPr>
          </w:p>
        </w:tc>
        <w:tc>
          <w:tcPr>
            <w:tcW w:w="7371" w:type="dxa"/>
          </w:tcPr>
          <w:p w14:paraId="1D848876" w14:textId="77777777" w:rsidR="00954ECD" w:rsidRPr="00D97BC5" w:rsidRDefault="00954ECD" w:rsidP="00E05353">
            <w:pPr>
              <w:autoSpaceDE w:val="0"/>
              <w:autoSpaceDN w:val="0"/>
              <w:adjustRightInd w:val="0"/>
              <w:spacing w:before="120" w:after="120" w:line="240" w:lineRule="auto"/>
              <w:rPr>
                <w:rFonts w:cs="Arial"/>
                <w:lang w:val="en-AU"/>
              </w:rPr>
            </w:pPr>
          </w:p>
        </w:tc>
      </w:tr>
    </w:tbl>
    <w:p w14:paraId="38B1A695" w14:textId="0B9586DC" w:rsidR="009721F9" w:rsidRPr="00D97BC5" w:rsidRDefault="00954ECD" w:rsidP="00F5752F">
      <w:pPr>
        <w:pStyle w:val="Heading1"/>
      </w:pPr>
      <w:r w:rsidRPr="00D97BC5">
        <w:br w:type="page"/>
      </w:r>
      <w:bookmarkStart w:id="16" w:name="_Toc168557601"/>
      <w:r w:rsidR="00BF41F8" w:rsidRPr="00D97BC5">
        <w:lastRenderedPageBreak/>
        <w:t>Executive summary</w:t>
      </w:r>
      <w:bookmarkEnd w:id="16"/>
    </w:p>
    <w:p w14:paraId="28741C29" w14:textId="18B9B045" w:rsidR="0013544E" w:rsidRPr="00D97BC5" w:rsidRDefault="00BF41F8" w:rsidP="00B51709">
      <w:pPr>
        <w:pStyle w:val="Heading2"/>
      </w:pPr>
      <w:r w:rsidRPr="00D97BC5">
        <w:t>Background</w:t>
      </w:r>
    </w:p>
    <w:p w14:paraId="7C0603DD" w14:textId="38EDBB0B" w:rsidR="008E7DBA" w:rsidRPr="00D97BC5" w:rsidRDefault="008E7DBA" w:rsidP="00F5752F">
      <w:pPr>
        <w:spacing w:before="120" w:after="120"/>
        <w:rPr>
          <w:lang w:val="en-AU"/>
        </w:rPr>
      </w:pPr>
      <w:r w:rsidRPr="00D97BC5">
        <w:rPr>
          <w:lang w:val="en-AU"/>
        </w:rPr>
        <w:t xml:space="preserve">The National Health Reform Agreement (NHRA), signed in August 2011, specifies that the Independent </w:t>
      </w:r>
      <w:r w:rsidR="00485FA1" w:rsidRPr="00D97BC5">
        <w:rPr>
          <w:lang w:val="en-AU"/>
        </w:rPr>
        <w:t xml:space="preserve">Health and Aged Care </w:t>
      </w:r>
      <w:r w:rsidRPr="00D97BC5">
        <w:rPr>
          <w:lang w:val="en-AU"/>
        </w:rPr>
        <w:t>Pricing Authority (IH</w:t>
      </w:r>
      <w:r w:rsidR="00485FA1" w:rsidRPr="00D97BC5">
        <w:rPr>
          <w:lang w:val="en-AU"/>
        </w:rPr>
        <w:t>AC</w:t>
      </w:r>
      <w:r w:rsidRPr="00D97BC5">
        <w:rPr>
          <w:lang w:val="en-AU"/>
        </w:rPr>
        <w:t>PA) is to develop, refine and maintain systems as necessary to calculate the national efficient price (NEP), including determining classifications, costing, data elements and data collections.</w:t>
      </w:r>
    </w:p>
    <w:p w14:paraId="0DCF2A07" w14:textId="76FBEC00" w:rsidR="008E7DBA" w:rsidRPr="00D97BC5" w:rsidRDefault="008E7DBA" w:rsidP="00F5752F">
      <w:pPr>
        <w:spacing w:before="120" w:after="120"/>
        <w:rPr>
          <w:lang w:val="en-AU"/>
        </w:rPr>
      </w:pPr>
      <w:r w:rsidRPr="00D97BC5">
        <w:rPr>
          <w:lang w:val="en-AU"/>
        </w:rPr>
        <w:t>The Addendum to the NHRA 2020–25, signed by all Australian governments in May 2020, further defines IH</w:t>
      </w:r>
      <w:r w:rsidR="0070798A" w:rsidRPr="00D97BC5">
        <w:rPr>
          <w:lang w:val="en-AU"/>
        </w:rPr>
        <w:t>AC</w:t>
      </w:r>
      <w:r w:rsidRPr="00D97BC5">
        <w:rPr>
          <w:lang w:val="en-AU"/>
        </w:rPr>
        <w:t>PA’s role in public hospital funding arrangements, particularly when considering changes to the national pricing model and the impact on the national funding model.</w:t>
      </w:r>
    </w:p>
    <w:p w14:paraId="71FDC69A" w14:textId="6F914F87" w:rsidR="00271FC1" w:rsidRPr="00D97BC5" w:rsidRDefault="008E7DBA" w:rsidP="00F5752F">
      <w:pPr>
        <w:spacing w:before="120" w:after="120"/>
        <w:rPr>
          <w:rFonts w:cs="Arial"/>
          <w:lang w:val="en-AU"/>
        </w:rPr>
      </w:pPr>
      <w:r w:rsidRPr="00D97BC5">
        <w:rPr>
          <w:lang w:val="en-AU"/>
        </w:rPr>
        <w:t>The national pricing model is produced annually by IH</w:t>
      </w:r>
      <w:r w:rsidR="006E0174" w:rsidRPr="00D97BC5">
        <w:rPr>
          <w:lang w:val="en-AU"/>
        </w:rPr>
        <w:t>AC</w:t>
      </w:r>
      <w:r w:rsidRPr="00D97BC5">
        <w:rPr>
          <w:lang w:val="en-AU"/>
        </w:rPr>
        <w:t xml:space="preserve">PA and defines the NEP, price weights and adjustments based on the cost and activity data from </w:t>
      </w:r>
      <w:r w:rsidR="00626CBA" w:rsidRPr="00D97BC5">
        <w:rPr>
          <w:lang w:val="en-AU"/>
        </w:rPr>
        <w:t xml:space="preserve">3 </w:t>
      </w:r>
      <w:r w:rsidRPr="00D97BC5">
        <w:rPr>
          <w:lang w:val="en-AU"/>
        </w:rPr>
        <w:t xml:space="preserve">years prior. </w:t>
      </w:r>
      <w:r w:rsidR="00B51709" w:rsidRPr="00D97BC5">
        <w:rPr>
          <w:lang w:val="en-AU"/>
        </w:rPr>
        <w:t xml:space="preserve">The NEP underpins </w:t>
      </w:r>
      <w:r w:rsidRPr="00D97BC5">
        <w:rPr>
          <w:lang w:val="en-AU"/>
        </w:rPr>
        <w:t>activity based funding (ABF)</w:t>
      </w:r>
      <w:r w:rsidR="00B51709" w:rsidRPr="00D97BC5">
        <w:rPr>
          <w:lang w:val="en-AU"/>
        </w:rPr>
        <w:t xml:space="preserve"> across Australia for public hospital services, whereby hospitals are paid for the number and mix of patients they treat. The national efficient cost (NEC) determines the Australian Government funding contribution for public hospital services that are not suitable for ABF, such as for small rural hospitals</w:t>
      </w:r>
      <w:r w:rsidR="004606DD" w:rsidRPr="00D97BC5">
        <w:rPr>
          <w:rFonts w:cs="Arial"/>
          <w:lang w:val="en-AU"/>
        </w:rPr>
        <w:t>.</w:t>
      </w:r>
    </w:p>
    <w:p w14:paraId="1A4C8375" w14:textId="78D591C5" w:rsidR="00A229CD" w:rsidRPr="00D97BC5" w:rsidRDefault="008E7DBA" w:rsidP="00B51709">
      <w:pPr>
        <w:pStyle w:val="Heading2"/>
        <w:rPr>
          <w:rFonts w:cs="Arial"/>
        </w:rPr>
      </w:pPr>
      <w:bookmarkStart w:id="17" w:name="_Toc93324922"/>
      <w:r w:rsidRPr="00D97BC5">
        <w:t>Legislative requirements</w:t>
      </w:r>
      <w:bookmarkEnd w:id="17"/>
    </w:p>
    <w:p w14:paraId="200D71C8" w14:textId="65E7C3E0" w:rsidR="008E7DBA" w:rsidRPr="00D97BC5" w:rsidRDefault="008E7DBA" w:rsidP="00F5752F">
      <w:pPr>
        <w:spacing w:before="120" w:after="120"/>
        <w:rPr>
          <w:lang w:val="en-AU"/>
        </w:rPr>
      </w:pPr>
      <w:r w:rsidRPr="00D97BC5">
        <w:rPr>
          <w:lang w:val="en-AU"/>
        </w:rPr>
        <w:t xml:space="preserve">Pursuant to section 211(1) of the </w:t>
      </w:r>
      <w:r w:rsidRPr="00D97BC5">
        <w:rPr>
          <w:i/>
          <w:lang w:val="en-AU"/>
        </w:rPr>
        <w:t>National Health Reform Act 2011</w:t>
      </w:r>
      <w:r w:rsidRPr="00D97BC5">
        <w:rPr>
          <w:szCs w:val="28"/>
          <w:lang w:val="en-AU"/>
        </w:rPr>
        <w:t xml:space="preserve"> </w:t>
      </w:r>
      <w:r w:rsidRPr="00D97BC5">
        <w:rPr>
          <w:lang w:val="en-AU"/>
        </w:rPr>
        <w:t xml:space="preserve">the annual NEP and NEC </w:t>
      </w:r>
      <w:r w:rsidR="007D6E65" w:rsidRPr="00D97BC5">
        <w:rPr>
          <w:lang w:val="en-AU"/>
        </w:rPr>
        <w:t>d</w:t>
      </w:r>
      <w:r w:rsidRPr="00D97BC5">
        <w:rPr>
          <w:lang w:val="en-AU"/>
        </w:rPr>
        <w:t>eterminations are to be provided to the Commonwealth and state and territory health ministers for the statutory 45-day ministerial comment period prior to publication.</w:t>
      </w:r>
    </w:p>
    <w:p w14:paraId="3ED2B5FC" w14:textId="07525540" w:rsidR="008E7DBA" w:rsidRPr="00D97BC5" w:rsidRDefault="008E7DBA" w:rsidP="00F5752F">
      <w:pPr>
        <w:spacing w:before="120" w:after="120"/>
        <w:rPr>
          <w:lang w:val="en-AU"/>
        </w:rPr>
      </w:pPr>
      <w:r w:rsidRPr="00D97BC5">
        <w:rPr>
          <w:lang w:val="en-AU"/>
        </w:rPr>
        <w:t xml:space="preserve">The </w:t>
      </w:r>
      <w:r w:rsidR="00B51709" w:rsidRPr="00D97BC5">
        <w:rPr>
          <w:lang w:val="en-AU"/>
        </w:rPr>
        <w:t>a</w:t>
      </w:r>
      <w:r w:rsidRPr="00D97BC5">
        <w:rPr>
          <w:lang w:val="en-AU"/>
        </w:rPr>
        <w:t>ddendum outlines additional provisions relating to the consultation processes IH</w:t>
      </w:r>
      <w:r w:rsidR="006E0174" w:rsidRPr="00D97BC5">
        <w:rPr>
          <w:lang w:val="en-AU"/>
        </w:rPr>
        <w:t>AC</w:t>
      </w:r>
      <w:r w:rsidRPr="00D97BC5">
        <w:rPr>
          <w:lang w:val="en-AU"/>
        </w:rPr>
        <w:t>PA is required to undertake for proposed changes to the national funding model, with special reference to the processes for changing ABF classifications and costing methodologies.</w:t>
      </w:r>
    </w:p>
    <w:p w14:paraId="349C6475" w14:textId="34333549" w:rsidR="008E7DBA" w:rsidRPr="00D97BC5" w:rsidRDefault="008E7DBA" w:rsidP="00F5752F">
      <w:pPr>
        <w:spacing w:before="120" w:after="120"/>
        <w:rPr>
          <w:lang w:val="en-AU"/>
        </w:rPr>
      </w:pPr>
      <w:r w:rsidRPr="00D97BC5">
        <w:rPr>
          <w:lang w:val="en-AU"/>
        </w:rPr>
        <w:t xml:space="preserve">Clause B10 of the </w:t>
      </w:r>
      <w:r w:rsidR="00263F42" w:rsidRPr="00D97BC5">
        <w:rPr>
          <w:lang w:val="en-AU"/>
        </w:rPr>
        <w:t>a</w:t>
      </w:r>
      <w:r w:rsidRPr="00D97BC5">
        <w:rPr>
          <w:lang w:val="en-AU"/>
        </w:rPr>
        <w:t>ddendum provides that IH</w:t>
      </w:r>
      <w:r w:rsidR="006E0174" w:rsidRPr="00D97BC5">
        <w:rPr>
          <w:lang w:val="en-AU"/>
        </w:rPr>
        <w:t>AC</w:t>
      </w:r>
      <w:r w:rsidRPr="00D97BC5">
        <w:rPr>
          <w:lang w:val="en-AU"/>
        </w:rPr>
        <w:t xml:space="preserve">PA will undertake further consultation on changes that materially impact the application of the national funding model, in addition to specific consultation requirements and processes with the Parties, which refers to the signatories to the </w:t>
      </w:r>
      <w:r w:rsidR="00263F42" w:rsidRPr="00D97BC5">
        <w:rPr>
          <w:lang w:val="en-AU"/>
        </w:rPr>
        <w:t>a</w:t>
      </w:r>
      <w:r w:rsidRPr="00D97BC5">
        <w:rPr>
          <w:lang w:val="en-AU"/>
        </w:rPr>
        <w:t>ddendum, being the Commonwealth and each state and territory.</w:t>
      </w:r>
    </w:p>
    <w:p w14:paraId="751735FE" w14:textId="6920FF9D" w:rsidR="00992205" w:rsidRPr="00D97BC5" w:rsidRDefault="00992205" w:rsidP="00F5752F">
      <w:pPr>
        <w:spacing w:before="120" w:after="120"/>
        <w:rPr>
          <w:lang w:val="en-AU"/>
        </w:rPr>
      </w:pPr>
      <w:r w:rsidRPr="00D97BC5">
        <w:rPr>
          <w:lang w:val="en-AU"/>
        </w:rPr>
        <w:t>Clause B11 of the addendum stipulates that the national funding bodies, which refers to IHACPA, the National Health Funding Body (NHFB) and the Administrator of the National Health Funding Pool, must consult with affected Parties and provide relevant analysis and documentation on decisions that could materially impact Parties before releasing draft or final advice on the matter.</w:t>
      </w:r>
    </w:p>
    <w:p w14:paraId="6EC6A329" w14:textId="51190E32" w:rsidR="008E7DBA" w:rsidRPr="00D97BC5" w:rsidRDefault="008E7DBA" w:rsidP="00F5752F">
      <w:pPr>
        <w:spacing w:before="120" w:after="120"/>
        <w:rPr>
          <w:lang w:val="en-AU"/>
        </w:rPr>
      </w:pPr>
      <w:r w:rsidRPr="00D97BC5">
        <w:rPr>
          <w:lang w:val="en-AU"/>
        </w:rPr>
        <w:t xml:space="preserve">Clause A42 of the </w:t>
      </w:r>
      <w:r w:rsidR="00263F42" w:rsidRPr="00D97BC5">
        <w:rPr>
          <w:lang w:val="en-AU"/>
        </w:rPr>
        <w:t>a</w:t>
      </w:r>
      <w:r w:rsidRPr="00D97BC5">
        <w:rPr>
          <w:lang w:val="en-AU"/>
        </w:rPr>
        <w:t>ddendum requires IH</w:t>
      </w:r>
      <w:r w:rsidR="006E0174" w:rsidRPr="00D97BC5">
        <w:rPr>
          <w:lang w:val="en-AU"/>
        </w:rPr>
        <w:t>AC</w:t>
      </w:r>
      <w:r w:rsidRPr="00D97BC5">
        <w:rPr>
          <w:lang w:val="en-AU"/>
        </w:rPr>
        <w:t xml:space="preserve">PA to use transitional arrangements when developing new ABF classification systems or costing methodologies, including shadow pricing classification system changes and pricing based on a costing study, for </w:t>
      </w:r>
      <w:r w:rsidR="00626CBA" w:rsidRPr="00D97BC5">
        <w:rPr>
          <w:lang w:val="en-AU"/>
        </w:rPr>
        <w:t xml:space="preserve">2 </w:t>
      </w:r>
      <w:r w:rsidRPr="00D97BC5">
        <w:rPr>
          <w:lang w:val="en-AU"/>
        </w:rPr>
        <w:t>years or a period agreed with the Commonwealth and a majority of states and territories.</w:t>
      </w:r>
    </w:p>
    <w:p w14:paraId="556E40BF" w14:textId="4942720D" w:rsidR="008E7DBA" w:rsidRPr="00D97BC5" w:rsidRDefault="008E7DBA" w:rsidP="00F5752F">
      <w:pPr>
        <w:spacing w:before="120" w:after="120"/>
        <w:rPr>
          <w:lang w:val="en-AU"/>
        </w:rPr>
      </w:pPr>
      <w:r w:rsidRPr="00D97BC5">
        <w:rPr>
          <w:lang w:val="en-AU"/>
        </w:rPr>
        <w:t xml:space="preserve">Clauses B37 and B38 of the </w:t>
      </w:r>
      <w:r w:rsidR="00263F42" w:rsidRPr="00D97BC5">
        <w:rPr>
          <w:lang w:val="en-AU"/>
        </w:rPr>
        <w:t>a</w:t>
      </w:r>
      <w:r w:rsidRPr="00D97BC5">
        <w:rPr>
          <w:lang w:val="en-AU"/>
        </w:rPr>
        <w:t>ddendum outline the consultation requirements whereby IH</w:t>
      </w:r>
      <w:r w:rsidR="006E0174" w:rsidRPr="00D97BC5">
        <w:rPr>
          <w:lang w:val="en-AU"/>
        </w:rPr>
        <w:t>AC</w:t>
      </w:r>
      <w:r w:rsidRPr="00D97BC5">
        <w:rPr>
          <w:lang w:val="en-AU"/>
        </w:rPr>
        <w:t xml:space="preserve">PA must seek guidance from the Parties, through the Jurisdictional Advisory Committee (JAC), when </w:t>
      </w:r>
      <w:r w:rsidRPr="00D97BC5">
        <w:rPr>
          <w:lang w:val="en-AU"/>
        </w:rPr>
        <w:lastRenderedPageBreak/>
        <w:t>implementing changes to the national funding model that will impact the way services are delivered and provide a Statement of Impact when material changes or significant transitions are proposed to the national funding model.</w:t>
      </w:r>
    </w:p>
    <w:p w14:paraId="6689A0FD" w14:textId="151E270E" w:rsidR="004606DD" w:rsidRPr="00D97BC5" w:rsidRDefault="008E7DBA" w:rsidP="00F5752F">
      <w:pPr>
        <w:spacing w:before="120" w:after="120"/>
        <w:rPr>
          <w:rFonts w:cs="Arial"/>
          <w:lang w:val="en-AU"/>
        </w:rPr>
      </w:pPr>
      <w:r w:rsidRPr="00D97BC5">
        <w:rPr>
          <w:lang w:val="en-AU"/>
        </w:rPr>
        <w:t xml:space="preserve">Full extracts from the </w:t>
      </w:r>
      <w:r w:rsidR="00263F42" w:rsidRPr="00D97BC5">
        <w:rPr>
          <w:lang w:val="en-AU"/>
        </w:rPr>
        <w:t>a</w:t>
      </w:r>
      <w:r w:rsidRPr="00D97BC5">
        <w:rPr>
          <w:lang w:val="en-AU"/>
        </w:rPr>
        <w:t xml:space="preserve">ddendum are provided at </w:t>
      </w:r>
      <w:r w:rsidRPr="00D97BC5">
        <w:rPr>
          <w:b/>
          <w:bCs/>
          <w:lang w:val="en-AU"/>
        </w:rPr>
        <w:t>Appendix A</w:t>
      </w:r>
      <w:r w:rsidR="004606DD" w:rsidRPr="00D97BC5">
        <w:rPr>
          <w:rFonts w:cs="Arial"/>
          <w:lang w:val="en-AU"/>
        </w:rPr>
        <w:t>.</w:t>
      </w:r>
    </w:p>
    <w:p w14:paraId="49D3E787" w14:textId="05E4DD79" w:rsidR="008E7DBA" w:rsidRPr="00D97BC5" w:rsidRDefault="008E7DBA" w:rsidP="00B51709">
      <w:pPr>
        <w:pStyle w:val="Heading2"/>
      </w:pPr>
      <w:bookmarkStart w:id="18" w:name="_Toc93324923"/>
      <w:r w:rsidRPr="00D97BC5">
        <w:t>Purpose</w:t>
      </w:r>
    </w:p>
    <w:p w14:paraId="2F7CF519" w14:textId="13561492" w:rsidR="008E7DBA" w:rsidRPr="00D97BC5" w:rsidRDefault="008E7DBA" w:rsidP="00F5752F">
      <w:pPr>
        <w:keepNext/>
        <w:keepLines/>
        <w:spacing w:before="120" w:after="120"/>
        <w:rPr>
          <w:lang w:val="en-AU"/>
        </w:rPr>
      </w:pPr>
      <w:r w:rsidRPr="00D97BC5">
        <w:rPr>
          <w:lang w:val="en-AU"/>
        </w:rPr>
        <w:t xml:space="preserve">The purpose of the </w:t>
      </w:r>
      <w:r w:rsidRPr="00D97BC5">
        <w:rPr>
          <w:iCs/>
          <w:lang w:val="en-AU"/>
        </w:rPr>
        <w:t>National Pricing Model Consultation Policy</w:t>
      </w:r>
      <w:r w:rsidRPr="00D97BC5">
        <w:rPr>
          <w:lang w:val="en-AU"/>
        </w:rPr>
        <w:t xml:space="preserve"> is to outline the guiding principles and consultative processes associated with the development of the NEP and NEC </w:t>
      </w:r>
      <w:r w:rsidR="007D6E65" w:rsidRPr="00D97BC5">
        <w:rPr>
          <w:lang w:val="en-AU"/>
        </w:rPr>
        <w:t>d</w:t>
      </w:r>
      <w:r w:rsidRPr="00D97BC5">
        <w:rPr>
          <w:lang w:val="en-AU"/>
        </w:rPr>
        <w:t>eterminations and proposed changes that materially impact the application of the national funding model</w:t>
      </w:r>
      <w:r w:rsidR="00696EDE" w:rsidRPr="00D97BC5">
        <w:rPr>
          <w:lang w:val="en-AU"/>
        </w:rPr>
        <w:t>, including the parameters for progression from shadow pricing to pricing</w:t>
      </w:r>
      <w:r w:rsidRPr="00D97BC5">
        <w:rPr>
          <w:lang w:val="en-AU"/>
        </w:rPr>
        <w:t>.</w:t>
      </w:r>
    </w:p>
    <w:p w14:paraId="67D3834A" w14:textId="32BCE205" w:rsidR="008E7DBA" w:rsidRPr="00D97BC5" w:rsidRDefault="008E7DBA" w:rsidP="00F5752F">
      <w:pPr>
        <w:spacing w:before="120" w:after="120"/>
        <w:rPr>
          <w:lang w:val="en-AU"/>
        </w:rPr>
      </w:pPr>
      <w:r w:rsidRPr="00D97BC5">
        <w:rPr>
          <w:lang w:val="en-AU"/>
        </w:rPr>
        <w:t xml:space="preserve">This </w:t>
      </w:r>
      <w:r w:rsidR="00626CBA" w:rsidRPr="00D97BC5">
        <w:rPr>
          <w:lang w:val="en-AU"/>
        </w:rPr>
        <w:t>p</w:t>
      </w:r>
      <w:r w:rsidRPr="00D97BC5">
        <w:rPr>
          <w:lang w:val="en-AU"/>
        </w:rPr>
        <w:t>olicy is intended to facilitate the engagement and participation of jurisdictions in the consultation process, through IH</w:t>
      </w:r>
      <w:r w:rsidR="006E0174" w:rsidRPr="00D97BC5">
        <w:rPr>
          <w:lang w:val="en-AU"/>
        </w:rPr>
        <w:t>AC</w:t>
      </w:r>
      <w:r w:rsidRPr="00D97BC5">
        <w:rPr>
          <w:lang w:val="en-AU"/>
        </w:rPr>
        <w:t>PA</w:t>
      </w:r>
      <w:r w:rsidR="00077DA3" w:rsidRPr="00D97BC5">
        <w:rPr>
          <w:lang w:val="en-AU"/>
        </w:rPr>
        <w:t>’s</w:t>
      </w:r>
      <w:r w:rsidRPr="00D97BC5">
        <w:rPr>
          <w:lang w:val="en-AU"/>
        </w:rPr>
        <w:t xml:space="preserve"> </w:t>
      </w:r>
      <w:r w:rsidR="00D97BC5">
        <w:rPr>
          <w:lang w:val="en-AU"/>
        </w:rPr>
        <w:t xml:space="preserve">Technical Advisory Committee (TAC), </w:t>
      </w:r>
      <w:r w:rsidRPr="00D97BC5">
        <w:rPr>
          <w:lang w:val="en-AU"/>
        </w:rPr>
        <w:t xml:space="preserve">JAC </w:t>
      </w:r>
      <w:r w:rsidR="00F26BDC" w:rsidRPr="00D97BC5">
        <w:rPr>
          <w:lang w:val="en-AU"/>
        </w:rPr>
        <w:t xml:space="preserve">and Clinical Advisory Committee, </w:t>
      </w:r>
      <w:r w:rsidRPr="00D97BC5">
        <w:rPr>
          <w:lang w:val="en-AU"/>
        </w:rPr>
        <w:t>particularly in identifying operational</w:t>
      </w:r>
      <w:r w:rsidR="00470D1A" w:rsidRPr="00D97BC5">
        <w:rPr>
          <w:lang w:val="en-AU"/>
        </w:rPr>
        <w:t>, technical</w:t>
      </w:r>
      <w:r w:rsidRPr="00D97BC5">
        <w:rPr>
          <w:lang w:val="en-AU"/>
        </w:rPr>
        <w:t xml:space="preserve"> and</w:t>
      </w:r>
      <w:r w:rsidR="00CE0416" w:rsidRPr="00D97BC5">
        <w:rPr>
          <w:lang w:val="en-AU"/>
        </w:rPr>
        <w:t xml:space="preserve"> </w:t>
      </w:r>
      <w:r w:rsidRPr="00D97BC5">
        <w:rPr>
          <w:lang w:val="en-AU"/>
        </w:rPr>
        <w:t>clinical implications of proposed changes. In order to maintain accurate and effective pricing of public hospital services, IH</w:t>
      </w:r>
      <w:r w:rsidR="006E0174" w:rsidRPr="00D97BC5">
        <w:rPr>
          <w:lang w:val="en-AU"/>
        </w:rPr>
        <w:t>AC</w:t>
      </w:r>
      <w:r w:rsidRPr="00D97BC5">
        <w:rPr>
          <w:lang w:val="en-AU"/>
        </w:rPr>
        <w:t>PA must ensure the consultation process is completed in a timely and predictable manner, to allow sufficient notification for implementation of changes.</w:t>
      </w:r>
    </w:p>
    <w:p w14:paraId="3860AB77" w14:textId="35961EAF" w:rsidR="008E7DBA" w:rsidRPr="00D97BC5" w:rsidRDefault="008E7DBA" w:rsidP="00F5752F">
      <w:pPr>
        <w:spacing w:before="120" w:after="120"/>
        <w:rPr>
          <w:lang w:val="en-AU"/>
        </w:rPr>
      </w:pPr>
      <w:r w:rsidRPr="00D97BC5">
        <w:rPr>
          <w:lang w:val="en-AU"/>
        </w:rPr>
        <w:t xml:space="preserve">This </w:t>
      </w:r>
      <w:r w:rsidR="00626CBA" w:rsidRPr="00D97BC5">
        <w:rPr>
          <w:lang w:val="en-AU"/>
        </w:rPr>
        <w:t>p</w:t>
      </w:r>
      <w:r w:rsidRPr="00D97BC5">
        <w:rPr>
          <w:lang w:val="en-AU"/>
        </w:rPr>
        <w:t>olicy is to be applied in conjunction with the following IH</w:t>
      </w:r>
      <w:r w:rsidR="006E0174" w:rsidRPr="00D97BC5">
        <w:rPr>
          <w:lang w:val="en-AU"/>
        </w:rPr>
        <w:t>AC</w:t>
      </w:r>
      <w:r w:rsidRPr="00D97BC5">
        <w:rPr>
          <w:lang w:val="en-AU"/>
        </w:rPr>
        <w:t>PA policies:</w:t>
      </w:r>
    </w:p>
    <w:p w14:paraId="6F9EB830" w14:textId="7BEC875E" w:rsidR="008E7DBA" w:rsidRPr="00D97BC5" w:rsidRDefault="00EE6A76" w:rsidP="00F5752F">
      <w:pPr>
        <w:pStyle w:val="ListParagraph"/>
        <w:numPr>
          <w:ilvl w:val="0"/>
          <w:numId w:val="5"/>
        </w:numPr>
        <w:spacing w:before="120" w:after="120"/>
        <w:contextualSpacing w:val="0"/>
        <w:rPr>
          <w:lang w:val="en-AU"/>
        </w:rPr>
      </w:pPr>
      <w:hyperlink r:id="rId15" w:history="1">
        <w:r w:rsidR="008E7DBA" w:rsidRPr="00D97BC5">
          <w:rPr>
            <w:rStyle w:val="Hyperlink"/>
            <w:color w:val="0080C4"/>
            <w:lang w:val="en-AU"/>
          </w:rPr>
          <w:t>Back-Casting Policy</w:t>
        </w:r>
      </w:hyperlink>
    </w:p>
    <w:p w14:paraId="370CFFFA" w14:textId="68431EBB" w:rsidR="008E7DBA" w:rsidRPr="00D97BC5" w:rsidRDefault="00EE6A76" w:rsidP="00F5752F">
      <w:pPr>
        <w:pStyle w:val="ListParagraph"/>
        <w:numPr>
          <w:ilvl w:val="0"/>
          <w:numId w:val="5"/>
        </w:numPr>
        <w:spacing w:before="120" w:after="120"/>
        <w:contextualSpacing w:val="0"/>
        <w:rPr>
          <w:lang w:val="en-AU"/>
        </w:rPr>
      </w:pPr>
      <w:hyperlink r:id="rId16" w:history="1">
        <w:r w:rsidR="00684B9D" w:rsidRPr="00D97BC5">
          <w:rPr>
            <w:rStyle w:val="Hyperlink"/>
            <w:color w:val="0080C4"/>
            <w:lang w:val="en-AU"/>
          </w:rPr>
          <w:t>Assessment of Adjustments to the National Pricing Model</w:t>
        </w:r>
        <w:r w:rsidR="00801D0E" w:rsidRPr="00D97BC5">
          <w:rPr>
            <w:rStyle w:val="Hyperlink"/>
            <w:color w:val="0080C4"/>
            <w:lang w:val="en-AU"/>
          </w:rPr>
          <w:t xml:space="preserve"> Policy</w:t>
        </w:r>
      </w:hyperlink>
    </w:p>
    <w:p w14:paraId="19716C6D" w14:textId="64A4CD6A" w:rsidR="008E7DBA" w:rsidRPr="00D97BC5" w:rsidRDefault="00EE6A76" w:rsidP="00F5752F">
      <w:pPr>
        <w:pStyle w:val="ListParagraph"/>
        <w:numPr>
          <w:ilvl w:val="0"/>
          <w:numId w:val="5"/>
        </w:numPr>
        <w:spacing w:before="120" w:after="120"/>
        <w:contextualSpacing w:val="0"/>
        <w:rPr>
          <w:lang w:val="en-AU"/>
        </w:rPr>
      </w:pPr>
      <w:hyperlink r:id="rId17" w:history="1">
        <w:r w:rsidR="008E7DBA" w:rsidRPr="00D97BC5">
          <w:rPr>
            <w:rStyle w:val="Hyperlink"/>
            <w:color w:val="0080C4"/>
            <w:lang w:val="en-AU"/>
          </w:rPr>
          <w:t>National Pricing Model Stability Policy</w:t>
        </w:r>
      </w:hyperlink>
    </w:p>
    <w:p w14:paraId="5F6F3292" w14:textId="10E151FA" w:rsidR="00586E8E" w:rsidRPr="00D97BC5" w:rsidRDefault="00EE6A76" w:rsidP="00F5752F">
      <w:pPr>
        <w:pStyle w:val="ListParagraph"/>
        <w:numPr>
          <w:ilvl w:val="0"/>
          <w:numId w:val="5"/>
        </w:numPr>
        <w:spacing w:before="120" w:after="120"/>
        <w:contextualSpacing w:val="0"/>
        <w:rPr>
          <w:lang w:val="en-AU"/>
        </w:rPr>
      </w:pPr>
      <w:hyperlink r:id="rId18" w:history="1">
        <w:r w:rsidR="00586E8E" w:rsidRPr="00D97BC5">
          <w:rPr>
            <w:rStyle w:val="Hyperlink"/>
            <w:color w:val="0080C4"/>
            <w:lang w:val="en-AU"/>
          </w:rPr>
          <w:t>Shadow Pricing Guidelines</w:t>
        </w:r>
      </w:hyperlink>
      <w:r w:rsidR="009E4914" w:rsidRPr="00D97BC5">
        <w:rPr>
          <w:lang w:val="en-AU"/>
        </w:rPr>
        <w:t>.</w:t>
      </w:r>
    </w:p>
    <w:p w14:paraId="3698E5AC" w14:textId="0E944424" w:rsidR="00077DA3" w:rsidRPr="00D97BC5" w:rsidRDefault="00077DA3" w:rsidP="00F5752F">
      <w:pPr>
        <w:spacing w:before="120" w:after="120"/>
        <w:rPr>
          <w:i/>
          <w:lang w:val="en-AU"/>
        </w:rPr>
      </w:pPr>
      <w:r w:rsidRPr="00D97BC5">
        <w:rPr>
          <w:rFonts w:cs="Arial"/>
          <w:lang w:val="en-AU"/>
        </w:rPr>
        <w:t xml:space="preserve">This </w:t>
      </w:r>
      <w:r w:rsidR="00626CBA" w:rsidRPr="00D97BC5">
        <w:rPr>
          <w:rFonts w:cs="Arial"/>
          <w:lang w:val="en-AU"/>
        </w:rPr>
        <w:t>p</w:t>
      </w:r>
      <w:r w:rsidRPr="00D97BC5">
        <w:rPr>
          <w:rFonts w:cs="Arial"/>
          <w:lang w:val="en-AU"/>
        </w:rPr>
        <w:t xml:space="preserve">olicy does not apply to IHACPA’s functions pertaining to the provision of advice to the </w:t>
      </w:r>
      <w:r w:rsidR="00D949F8" w:rsidRPr="00D97BC5">
        <w:rPr>
          <w:rFonts w:cs="Arial"/>
          <w:lang w:val="en-AU"/>
        </w:rPr>
        <w:t xml:space="preserve">Australian Government </w:t>
      </w:r>
      <w:r w:rsidRPr="00D97BC5">
        <w:rPr>
          <w:rFonts w:cs="Arial"/>
          <w:lang w:val="en-AU"/>
        </w:rPr>
        <w:t>on aged care costing and pricing</w:t>
      </w:r>
      <w:r w:rsidRPr="00D97BC5">
        <w:rPr>
          <w:bCs/>
          <w:lang w:val="en-AU" w:eastAsia="ja-JP"/>
        </w:rPr>
        <w:t>.</w:t>
      </w:r>
    </w:p>
    <w:bookmarkEnd w:id="18"/>
    <w:p w14:paraId="728B7BEB" w14:textId="69C356C6" w:rsidR="004606DD" w:rsidRPr="00D97BC5" w:rsidRDefault="008E7DBA" w:rsidP="00B51709">
      <w:pPr>
        <w:pStyle w:val="Heading2"/>
        <w:rPr>
          <w:rFonts w:cs="Arial"/>
        </w:rPr>
      </w:pPr>
      <w:r w:rsidRPr="00D97BC5">
        <w:t>Review</w:t>
      </w:r>
    </w:p>
    <w:p w14:paraId="42A06F8D" w14:textId="4AF56A0D" w:rsidR="00D279DE" w:rsidRPr="00D97BC5" w:rsidRDefault="00D279DE" w:rsidP="00F5752F">
      <w:pPr>
        <w:spacing w:before="120" w:after="120"/>
        <w:rPr>
          <w:lang w:val="en-AU"/>
        </w:rPr>
      </w:pPr>
      <w:r w:rsidRPr="00D97BC5">
        <w:rPr>
          <w:lang w:val="en-AU"/>
        </w:rPr>
        <w:t>The Pricing Authority and Chief Executive Officer</w:t>
      </w:r>
      <w:r w:rsidR="006E0174" w:rsidRPr="00D97BC5">
        <w:rPr>
          <w:lang w:val="en-AU"/>
        </w:rPr>
        <w:t xml:space="preserve"> </w:t>
      </w:r>
      <w:r w:rsidRPr="00D97BC5">
        <w:rPr>
          <w:lang w:val="en-AU"/>
        </w:rPr>
        <w:t>of IH</w:t>
      </w:r>
      <w:r w:rsidR="006E0174" w:rsidRPr="00D97BC5">
        <w:rPr>
          <w:lang w:val="en-AU"/>
        </w:rPr>
        <w:t>AC</w:t>
      </w:r>
      <w:r w:rsidRPr="00D97BC5">
        <w:rPr>
          <w:lang w:val="en-AU"/>
        </w:rPr>
        <w:t xml:space="preserve">PA will review this </w:t>
      </w:r>
      <w:r w:rsidR="00626CBA" w:rsidRPr="00D97BC5">
        <w:rPr>
          <w:lang w:val="en-AU"/>
        </w:rPr>
        <w:t>p</w:t>
      </w:r>
      <w:r w:rsidRPr="00D97BC5">
        <w:rPr>
          <w:lang w:val="en-AU"/>
        </w:rPr>
        <w:t xml:space="preserve">olicy, including associated documentation, </w:t>
      </w:r>
      <w:r w:rsidR="00843549">
        <w:rPr>
          <w:lang w:val="en-AU"/>
        </w:rPr>
        <w:t xml:space="preserve">every 3 years </w:t>
      </w:r>
      <w:r w:rsidRPr="00D97BC5">
        <w:rPr>
          <w:lang w:val="en-AU"/>
        </w:rPr>
        <w:t>or as required.</w:t>
      </w:r>
    </w:p>
    <w:p w14:paraId="3190D5BA" w14:textId="3F78161C" w:rsidR="004606DD" w:rsidRPr="00D97BC5" w:rsidRDefault="00D279DE" w:rsidP="00F5752F">
      <w:pPr>
        <w:spacing w:before="120" w:after="120"/>
        <w:rPr>
          <w:rFonts w:cs="Arial"/>
          <w:lang w:val="en-AU"/>
        </w:rPr>
      </w:pPr>
      <w:r w:rsidRPr="00D97BC5">
        <w:rPr>
          <w:lang w:val="en-AU"/>
        </w:rPr>
        <w:t xml:space="preserve">This </w:t>
      </w:r>
      <w:r w:rsidR="00626CBA" w:rsidRPr="00D97BC5">
        <w:rPr>
          <w:lang w:val="en-AU"/>
        </w:rPr>
        <w:t>p</w:t>
      </w:r>
      <w:r w:rsidRPr="00D97BC5">
        <w:rPr>
          <w:lang w:val="en-AU"/>
        </w:rPr>
        <w:t xml:space="preserve">olicy was </w:t>
      </w:r>
      <w:r w:rsidR="006E0174" w:rsidRPr="00D97BC5">
        <w:rPr>
          <w:lang w:val="en-AU"/>
        </w:rPr>
        <w:t xml:space="preserve">last </w:t>
      </w:r>
      <w:r w:rsidRPr="00D97BC5">
        <w:rPr>
          <w:lang w:val="en-AU"/>
        </w:rPr>
        <w:t xml:space="preserve">reviewed in </w:t>
      </w:r>
      <w:r w:rsidR="00D97BC5">
        <w:rPr>
          <w:lang w:val="en-AU"/>
        </w:rPr>
        <w:t xml:space="preserve">June </w:t>
      </w:r>
      <w:r w:rsidR="00626CBA" w:rsidRPr="00D97BC5">
        <w:rPr>
          <w:lang w:val="en-AU"/>
        </w:rPr>
        <w:t>2024</w:t>
      </w:r>
      <w:r w:rsidR="004606DD" w:rsidRPr="00D97BC5">
        <w:rPr>
          <w:rFonts w:cs="Arial"/>
          <w:lang w:val="en-AU"/>
        </w:rPr>
        <w:t>.</w:t>
      </w:r>
    </w:p>
    <w:p w14:paraId="11027FB6" w14:textId="27EA23A3" w:rsidR="00465F58" w:rsidRPr="00D97BC5" w:rsidRDefault="00465F58" w:rsidP="00BF41F8">
      <w:pPr>
        <w:spacing w:line="259" w:lineRule="auto"/>
        <w:rPr>
          <w:rFonts w:cs="Arial"/>
          <w:lang w:val="en-AU"/>
        </w:rPr>
      </w:pPr>
    </w:p>
    <w:p w14:paraId="5C65F8BC" w14:textId="7605E379" w:rsidR="00465F58" w:rsidRPr="00D97BC5" w:rsidRDefault="00465F58">
      <w:pPr>
        <w:spacing w:line="259" w:lineRule="auto"/>
        <w:rPr>
          <w:rFonts w:cs="Arial"/>
          <w:lang w:val="en-AU"/>
        </w:rPr>
      </w:pPr>
      <w:r w:rsidRPr="00D97BC5">
        <w:rPr>
          <w:rFonts w:cs="Arial"/>
          <w:lang w:val="en-AU"/>
        </w:rPr>
        <w:br w:type="page"/>
      </w:r>
    </w:p>
    <w:p w14:paraId="780B0964" w14:textId="7B88608E" w:rsidR="00723269" w:rsidRPr="00D97BC5" w:rsidRDefault="009C75CA" w:rsidP="00F5752F">
      <w:pPr>
        <w:pStyle w:val="Heading1"/>
        <w:rPr>
          <w:rFonts w:cs="Arial"/>
        </w:rPr>
      </w:pPr>
      <w:bookmarkStart w:id="19" w:name="_Toc93324925"/>
      <w:bookmarkStart w:id="20" w:name="_Toc168557602"/>
      <w:r w:rsidRPr="00D97BC5">
        <w:lastRenderedPageBreak/>
        <w:t>Key principles</w:t>
      </w:r>
      <w:bookmarkEnd w:id="19"/>
      <w:bookmarkEnd w:id="20"/>
    </w:p>
    <w:p w14:paraId="6347CE0C" w14:textId="5DC1FB74" w:rsidR="009C75CA" w:rsidRPr="00D97BC5" w:rsidRDefault="009C75CA" w:rsidP="00F5752F">
      <w:pPr>
        <w:spacing w:before="120" w:after="120"/>
        <w:rPr>
          <w:lang w:val="en-AU"/>
        </w:rPr>
      </w:pPr>
      <w:r w:rsidRPr="00D97BC5">
        <w:rPr>
          <w:lang w:val="en-AU"/>
        </w:rPr>
        <w:t xml:space="preserve">Under the </w:t>
      </w:r>
      <w:r w:rsidR="00263F42" w:rsidRPr="00D97BC5">
        <w:rPr>
          <w:lang w:val="en-AU"/>
        </w:rPr>
        <w:t>a</w:t>
      </w:r>
      <w:r w:rsidRPr="00D97BC5">
        <w:rPr>
          <w:lang w:val="en-AU"/>
        </w:rPr>
        <w:t>ddendum, IH</w:t>
      </w:r>
      <w:r w:rsidR="006E0174" w:rsidRPr="00D97BC5">
        <w:rPr>
          <w:lang w:val="en-AU"/>
        </w:rPr>
        <w:t>AC</w:t>
      </w:r>
      <w:r w:rsidRPr="00D97BC5">
        <w:rPr>
          <w:lang w:val="en-AU"/>
        </w:rPr>
        <w:t>PA is required to seek guidance from the Parties</w:t>
      </w:r>
      <w:r w:rsidR="00F16679" w:rsidRPr="00D97BC5">
        <w:rPr>
          <w:lang w:val="en-AU"/>
        </w:rPr>
        <w:t>, through JAC,</w:t>
      </w:r>
      <w:r w:rsidRPr="00D97BC5">
        <w:rPr>
          <w:lang w:val="en-AU"/>
        </w:rPr>
        <w:t xml:space="preserve"> when implementing changes to the national funding model that will impact the way services are delivered.</w:t>
      </w:r>
    </w:p>
    <w:p w14:paraId="54B88FC1" w14:textId="6A2BB6E3" w:rsidR="009C75CA" w:rsidRPr="00D97BC5" w:rsidRDefault="009C75CA" w:rsidP="00F5752F">
      <w:pPr>
        <w:spacing w:before="120" w:after="120"/>
        <w:rPr>
          <w:lang w:val="en-AU"/>
        </w:rPr>
      </w:pPr>
      <w:r w:rsidRPr="00D97BC5">
        <w:rPr>
          <w:lang w:val="en-AU"/>
        </w:rPr>
        <w:t>In determining the NEP and NEC for public hospital services, IH</w:t>
      </w:r>
      <w:r w:rsidR="006E0174" w:rsidRPr="00D97BC5">
        <w:rPr>
          <w:lang w:val="en-AU"/>
        </w:rPr>
        <w:t>AC</w:t>
      </w:r>
      <w:r w:rsidRPr="00D97BC5">
        <w:rPr>
          <w:lang w:val="en-AU"/>
        </w:rPr>
        <w:t>PA ensures these decisions are evidence-based and use the latest cost and activity data supplied by states and territories. IH</w:t>
      </w:r>
      <w:r w:rsidR="006E0174" w:rsidRPr="00D97BC5">
        <w:rPr>
          <w:lang w:val="en-AU"/>
        </w:rPr>
        <w:t>AC</w:t>
      </w:r>
      <w:r w:rsidRPr="00D97BC5">
        <w:rPr>
          <w:lang w:val="en-AU"/>
        </w:rPr>
        <w:t>PA balances a range of policy objectives including improving the efficiency and accessibility of public hospital services.</w:t>
      </w:r>
    </w:p>
    <w:p w14:paraId="6198223D" w14:textId="06FFC57B" w:rsidR="00BF41F8" w:rsidRPr="00D97BC5" w:rsidRDefault="009C75CA" w:rsidP="00F5752F">
      <w:pPr>
        <w:spacing w:before="120" w:after="120"/>
        <w:rPr>
          <w:rFonts w:cs="Arial"/>
          <w:lang w:val="en-AU"/>
        </w:rPr>
      </w:pPr>
      <w:r w:rsidRPr="00D97BC5">
        <w:rPr>
          <w:lang w:val="en-AU"/>
        </w:rPr>
        <w:t xml:space="preserve">This </w:t>
      </w:r>
      <w:r w:rsidR="00626CBA" w:rsidRPr="00D97BC5">
        <w:rPr>
          <w:lang w:val="en-AU"/>
        </w:rPr>
        <w:t>p</w:t>
      </w:r>
      <w:r w:rsidRPr="00D97BC5">
        <w:rPr>
          <w:lang w:val="en-AU"/>
        </w:rPr>
        <w:t>olicy signals IH</w:t>
      </w:r>
      <w:r w:rsidR="006E0174" w:rsidRPr="00D97BC5">
        <w:rPr>
          <w:lang w:val="en-AU"/>
        </w:rPr>
        <w:t>AC</w:t>
      </w:r>
      <w:r w:rsidRPr="00D97BC5">
        <w:rPr>
          <w:lang w:val="en-AU"/>
        </w:rPr>
        <w:t>PA’s commitment to transparency and accountability as it undertakes its work. IH</w:t>
      </w:r>
      <w:r w:rsidR="006E0174" w:rsidRPr="00D97BC5">
        <w:rPr>
          <w:lang w:val="en-AU"/>
        </w:rPr>
        <w:t>AC</w:t>
      </w:r>
      <w:r w:rsidRPr="00D97BC5">
        <w:rPr>
          <w:lang w:val="en-AU"/>
        </w:rPr>
        <w:t xml:space="preserve">PA and the jurisdictions will be guided by the following principles and responsibilities associated with the consultation process for proposed changes to the national funding model. The guiding principles are outlined in </w:t>
      </w:r>
      <w:r w:rsidRPr="00D97BC5">
        <w:rPr>
          <w:b/>
          <w:lang w:val="en-AU"/>
        </w:rPr>
        <w:t>Table 1</w:t>
      </w:r>
      <w:r w:rsidR="00BF41F8" w:rsidRPr="00D97BC5">
        <w:rPr>
          <w:rFonts w:cs="Arial"/>
          <w:lang w:val="en-AU"/>
        </w:rPr>
        <w:t>.</w:t>
      </w:r>
    </w:p>
    <w:p w14:paraId="75489ACC" w14:textId="33DD9B20" w:rsidR="009C75CA" w:rsidRPr="00D97BC5" w:rsidRDefault="009C75CA" w:rsidP="00F5752F">
      <w:pPr>
        <w:spacing w:before="120" w:after="120"/>
        <w:rPr>
          <w:b/>
          <w:lang w:val="en-AU"/>
        </w:rPr>
      </w:pPr>
      <w:r w:rsidRPr="00D97BC5">
        <w:rPr>
          <w:b/>
          <w:lang w:val="en-AU"/>
        </w:rPr>
        <w:t>Table 1</w:t>
      </w:r>
      <w:r w:rsidR="00F5752F" w:rsidRPr="00D97BC5">
        <w:rPr>
          <w:b/>
          <w:lang w:val="en-AU"/>
        </w:rPr>
        <w:t>:</w:t>
      </w:r>
      <w:r w:rsidRPr="00D97BC5">
        <w:rPr>
          <w:b/>
          <w:lang w:val="en-AU"/>
        </w:rPr>
        <w:t xml:space="preserve"> Guiding principles for proposed changes to the national funding model</w:t>
      </w:r>
    </w:p>
    <w:tbl>
      <w:tblPr>
        <w:tblStyle w:val="TableGrid"/>
        <w:tblW w:w="0" w:type="auto"/>
        <w:tblLook w:val="04A0" w:firstRow="1" w:lastRow="0" w:firstColumn="1" w:lastColumn="0" w:noHBand="0" w:noVBand="1"/>
      </w:tblPr>
      <w:tblGrid>
        <w:gridCol w:w="9435"/>
      </w:tblGrid>
      <w:tr w:rsidR="009C75CA" w:rsidRPr="00D97BC5" w14:paraId="6A9C2BCD" w14:textId="77777777" w:rsidTr="005338CA">
        <w:tc>
          <w:tcPr>
            <w:tcW w:w="9435" w:type="dxa"/>
            <w:shd w:val="clear" w:color="auto" w:fill="104F99"/>
          </w:tcPr>
          <w:p w14:paraId="7D31627C" w14:textId="77777777" w:rsidR="009C75CA" w:rsidRPr="00D97BC5" w:rsidRDefault="009C75CA" w:rsidP="00992205">
            <w:pPr>
              <w:spacing w:before="80" w:after="80" w:line="259" w:lineRule="auto"/>
              <w:rPr>
                <w:color w:val="FFFFFF" w:themeColor="background1"/>
                <w:lang w:val="en-AU"/>
              </w:rPr>
            </w:pPr>
            <w:r w:rsidRPr="00D97BC5">
              <w:rPr>
                <w:b/>
                <w:color w:val="FFFFFF" w:themeColor="background1"/>
                <w:lang w:val="en-AU"/>
              </w:rPr>
              <w:t>Overarching principles</w:t>
            </w:r>
            <w:r w:rsidRPr="00D97BC5">
              <w:rPr>
                <w:color w:val="FFFFFF" w:themeColor="background1"/>
                <w:lang w:val="en-AU"/>
              </w:rPr>
              <w:t xml:space="preserve"> to inform the policy intent behind the consultation process for proposed changes to the national funding model</w:t>
            </w:r>
          </w:p>
        </w:tc>
      </w:tr>
      <w:tr w:rsidR="009C75CA" w:rsidRPr="00D97BC5" w14:paraId="0973BF07" w14:textId="77777777" w:rsidTr="005338CA">
        <w:tc>
          <w:tcPr>
            <w:tcW w:w="9435" w:type="dxa"/>
            <w:shd w:val="clear" w:color="auto" w:fill="D9D9D9" w:themeFill="background1" w:themeFillShade="D9"/>
          </w:tcPr>
          <w:p w14:paraId="044941F3" w14:textId="77777777" w:rsidR="009C75CA" w:rsidRPr="00D97BC5" w:rsidRDefault="009C75CA" w:rsidP="00992205">
            <w:pPr>
              <w:spacing w:before="80" w:after="80" w:line="259" w:lineRule="auto"/>
              <w:rPr>
                <w:b/>
                <w:color w:val="auto"/>
                <w:lang w:val="en-AU"/>
              </w:rPr>
            </w:pPr>
            <w:r w:rsidRPr="00D97BC5">
              <w:rPr>
                <w:b/>
                <w:color w:val="auto"/>
                <w:lang w:val="en-AU"/>
              </w:rPr>
              <w:t xml:space="preserve">Accurate pricing of services: </w:t>
            </w:r>
          </w:p>
        </w:tc>
      </w:tr>
      <w:tr w:rsidR="009C75CA" w:rsidRPr="00D97BC5" w14:paraId="5B3F3F2D" w14:textId="77777777" w:rsidTr="007170BA">
        <w:tc>
          <w:tcPr>
            <w:tcW w:w="9435" w:type="dxa"/>
          </w:tcPr>
          <w:p w14:paraId="3874286A" w14:textId="01163445" w:rsidR="009C75CA" w:rsidRPr="00D97BC5" w:rsidRDefault="009C75CA" w:rsidP="00992205">
            <w:pPr>
              <w:spacing w:before="80" w:after="80" w:line="259" w:lineRule="auto"/>
              <w:rPr>
                <w:color w:val="auto"/>
                <w:lang w:val="en-AU"/>
              </w:rPr>
            </w:pPr>
            <w:r w:rsidRPr="00D97BC5">
              <w:rPr>
                <w:color w:val="auto"/>
                <w:lang w:val="en-AU"/>
              </w:rPr>
              <w:t>The accuracy and responsiveness of IH</w:t>
            </w:r>
            <w:r w:rsidR="006E0174" w:rsidRPr="00D97BC5">
              <w:rPr>
                <w:color w:val="auto"/>
                <w:lang w:val="en-AU"/>
              </w:rPr>
              <w:t>AC</w:t>
            </w:r>
            <w:r w:rsidRPr="00D97BC5">
              <w:rPr>
                <w:color w:val="auto"/>
                <w:lang w:val="en-AU"/>
              </w:rPr>
              <w:t>PA’s pricing processes will not be adversely affected by the procedures in place for consulting on proposed changes to the national funding model.</w:t>
            </w:r>
          </w:p>
        </w:tc>
      </w:tr>
      <w:tr w:rsidR="009C75CA" w:rsidRPr="00D97BC5" w14:paraId="3263614C" w14:textId="77777777" w:rsidTr="005338CA">
        <w:tc>
          <w:tcPr>
            <w:tcW w:w="9435" w:type="dxa"/>
            <w:shd w:val="clear" w:color="auto" w:fill="D9D9D9" w:themeFill="background1" w:themeFillShade="D9"/>
          </w:tcPr>
          <w:p w14:paraId="246784EE" w14:textId="77777777" w:rsidR="009C75CA" w:rsidRPr="00D97BC5" w:rsidRDefault="009C75CA" w:rsidP="00992205">
            <w:pPr>
              <w:spacing w:before="80" w:after="80" w:line="259" w:lineRule="auto"/>
              <w:rPr>
                <w:b/>
                <w:color w:val="auto"/>
                <w:lang w:val="en-AU"/>
              </w:rPr>
            </w:pPr>
            <w:r w:rsidRPr="00D97BC5">
              <w:rPr>
                <w:b/>
                <w:color w:val="auto"/>
                <w:lang w:val="en-AU"/>
              </w:rPr>
              <w:t>Engagement:</w:t>
            </w:r>
          </w:p>
        </w:tc>
      </w:tr>
      <w:tr w:rsidR="009C75CA" w:rsidRPr="00D97BC5" w14:paraId="570D8EDB" w14:textId="77777777" w:rsidTr="007170BA">
        <w:tc>
          <w:tcPr>
            <w:tcW w:w="9435" w:type="dxa"/>
          </w:tcPr>
          <w:p w14:paraId="29987B59" w14:textId="75D871DF" w:rsidR="009C75CA" w:rsidRPr="00D97BC5" w:rsidRDefault="009C75CA" w:rsidP="00992205">
            <w:pPr>
              <w:spacing w:before="80" w:after="80" w:line="259" w:lineRule="auto"/>
              <w:rPr>
                <w:color w:val="auto"/>
                <w:lang w:val="en-AU"/>
              </w:rPr>
            </w:pPr>
            <w:r w:rsidRPr="00D97BC5">
              <w:rPr>
                <w:color w:val="auto"/>
                <w:lang w:val="en-AU"/>
              </w:rPr>
              <w:t>IH</w:t>
            </w:r>
            <w:r w:rsidR="006E0174" w:rsidRPr="00D97BC5">
              <w:rPr>
                <w:color w:val="auto"/>
                <w:lang w:val="en-AU"/>
              </w:rPr>
              <w:t>AC</w:t>
            </w:r>
            <w:r w:rsidRPr="00D97BC5">
              <w:rPr>
                <w:color w:val="auto"/>
                <w:lang w:val="en-AU"/>
              </w:rPr>
              <w:t xml:space="preserve">PA will actively engage and </w:t>
            </w:r>
            <w:r w:rsidR="00A415D9" w:rsidRPr="00D97BC5">
              <w:rPr>
                <w:color w:val="auto"/>
                <w:lang w:val="en-AU"/>
              </w:rPr>
              <w:t xml:space="preserve">consult with </w:t>
            </w:r>
            <w:r w:rsidRPr="00D97BC5">
              <w:rPr>
                <w:color w:val="auto"/>
                <w:lang w:val="en-AU"/>
              </w:rPr>
              <w:t xml:space="preserve">all </w:t>
            </w:r>
            <w:r w:rsidR="00626CBA" w:rsidRPr="00D97BC5">
              <w:rPr>
                <w:color w:val="auto"/>
                <w:lang w:val="en-AU"/>
              </w:rPr>
              <w:t xml:space="preserve">9 </w:t>
            </w:r>
            <w:r w:rsidRPr="00D97BC5">
              <w:rPr>
                <w:color w:val="auto"/>
                <w:lang w:val="en-AU"/>
              </w:rPr>
              <w:t>jurisdictions in the consultative processes for proposed changes to the national funding model.</w:t>
            </w:r>
          </w:p>
          <w:p w14:paraId="59C0DDE5" w14:textId="7A7D335C" w:rsidR="009C75CA" w:rsidRPr="00D97BC5" w:rsidRDefault="009C75CA" w:rsidP="00992205">
            <w:pPr>
              <w:spacing w:before="80" w:after="80" w:line="259" w:lineRule="auto"/>
              <w:rPr>
                <w:color w:val="auto"/>
                <w:lang w:val="en-AU"/>
              </w:rPr>
            </w:pPr>
            <w:r w:rsidRPr="00D97BC5">
              <w:rPr>
                <w:color w:val="auto"/>
                <w:lang w:val="en-AU"/>
              </w:rPr>
              <w:t>Jurisdictions will actively participate in the consultation process for proposed changes to the national funding model</w:t>
            </w:r>
            <w:r w:rsidR="00A415D9" w:rsidRPr="00D97BC5">
              <w:rPr>
                <w:color w:val="auto"/>
                <w:lang w:val="en-AU"/>
              </w:rPr>
              <w:t xml:space="preserve">, including the provision of all </w:t>
            </w:r>
            <w:r w:rsidR="00992205" w:rsidRPr="00D97BC5">
              <w:rPr>
                <w:color w:val="auto"/>
                <w:lang w:val="en-AU"/>
              </w:rPr>
              <w:t xml:space="preserve">relevant </w:t>
            </w:r>
            <w:r w:rsidR="00A415D9" w:rsidRPr="00D97BC5">
              <w:rPr>
                <w:color w:val="auto"/>
                <w:lang w:val="en-AU"/>
              </w:rPr>
              <w:t>data and information required by IHACPA</w:t>
            </w:r>
            <w:r w:rsidRPr="00D97BC5">
              <w:rPr>
                <w:color w:val="auto"/>
                <w:lang w:val="en-AU"/>
              </w:rPr>
              <w:t>.</w:t>
            </w:r>
          </w:p>
        </w:tc>
      </w:tr>
      <w:tr w:rsidR="009C75CA" w:rsidRPr="00D97BC5" w14:paraId="0E7EA404" w14:textId="77777777" w:rsidTr="005338CA">
        <w:tc>
          <w:tcPr>
            <w:tcW w:w="9435" w:type="dxa"/>
            <w:shd w:val="clear" w:color="auto" w:fill="D9D9D9" w:themeFill="background1" w:themeFillShade="D9"/>
          </w:tcPr>
          <w:p w14:paraId="3E2E3A48" w14:textId="77777777" w:rsidR="009C75CA" w:rsidRPr="00D97BC5" w:rsidRDefault="009C75CA" w:rsidP="00992205">
            <w:pPr>
              <w:spacing w:before="80" w:after="80" w:line="259" w:lineRule="auto"/>
              <w:rPr>
                <w:b/>
                <w:color w:val="auto"/>
                <w:lang w:val="en-AU"/>
              </w:rPr>
            </w:pPr>
            <w:r w:rsidRPr="00D97BC5">
              <w:rPr>
                <w:b/>
                <w:color w:val="auto"/>
                <w:lang w:val="en-AU"/>
              </w:rPr>
              <w:t>Transparency:</w:t>
            </w:r>
          </w:p>
        </w:tc>
      </w:tr>
      <w:tr w:rsidR="009C75CA" w:rsidRPr="00D97BC5" w14:paraId="7A77D0EA" w14:textId="77777777" w:rsidTr="007170BA">
        <w:tc>
          <w:tcPr>
            <w:tcW w:w="9435" w:type="dxa"/>
          </w:tcPr>
          <w:p w14:paraId="2B66E859" w14:textId="72C4825E" w:rsidR="009C75CA" w:rsidRPr="00D97BC5" w:rsidRDefault="009C75CA" w:rsidP="00992205">
            <w:pPr>
              <w:spacing w:before="80" w:after="80" w:line="259" w:lineRule="auto"/>
              <w:rPr>
                <w:color w:val="auto"/>
                <w:lang w:val="en-AU"/>
              </w:rPr>
            </w:pPr>
            <w:r w:rsidRPr="00D97BC5">
              <w:rPr>
                <w:color w:val="auto"/>
                <w:lang w:val="en-AU"/>
              </w:rPr>
              <w:t>Jurisdictions will be able to reliably anticipate outcomes of new processes associated with national funding model changes through the provision of technical details and clear policy objectives by IH</w:t>
            </w:r>
            <w:r w:rsidR="006E0174" w:rsidRPr="00D97BC5">
              <w:rPr>
                <w:color w:val="auto"/>
                <w:lang w:val="en-AU"/>
              </w:rPr>
              <w:t>AC</w:t>
            </w:r>
            <w:r w:rsidRPr="00D97BC5">
              <w:rPr>
                <w:color w:val="auto"/>
                <w:lang w:val="en-AU"/>
              </w:rPr>
              <w:t>PA.</w:t>
            </w:r>
          </w:p>
          <w:p w14:paraId="25EC6F55" w14:textId="273A00F7" w:rsidR="009C75CA" w:rsidRPr="00D97BC5" w:rsidRDefault="009C75CA" w:rsidP="00992205">
            <w:pPr>
              <w:spacing w:before="80" w:after="80" w:line="259" w:lineRule="auto"/>
              <w:rPr>
                <w:color w:val="auto"/>
                <w:lang w:val="en-AU"/>
              </w:rPr>
            </w:pPr>
            <w:r w:rsidRPr="00D97BC5">
              <w:rPr>
                <w:color w:val="auto"/>
                <w:lang w:val="en-AU"/>
              </w:rPr>
              <w:t>Jurisdictions will work with IH</w:t>
            </w:r>
            <w:r w:rsidR="006E0174" w:rsidRPr="00D97BC5">
              <w:rPr>
                <w:color w:val="auto"/>
                <w:lang w:val="en-AU"/>
              </w:rPr>
              <w:t>AC</w:t>
            </w:r>
            <w:r w:rsidRPr="00D97BC5">
              <w:rPr>
                <w:color w:val="auto"/>
                <w:lang w:val="en-AU"/>
              </w:rPr>
              <w:t>PA to identify potential risks and notify IH</w:t>
            </w:r>
            <w:r w:rsidR="006E0174" w:rsidRPr="00D97BC5">
              <w:rPr>
                <w:color w:val="auto"/>
                <w:lang w:val="en-AU"/>
              </w:rPr>
              <w:t>AC</w:t>
            </w:r>
            <w:r w:rsidRPr="00D97BC5">
              <w:rPr>
                <w:color w:val="auto"/>
                <w:lang w:val="en-AU"/>
              </w:rPr>
              <w:t>PA of unforeseen impacts identified as a result of application of the national funding model.</w:t>
            </w:r>
          </w:p>
        </w:tc>
      </w:tr>
      <w:tr w:rsidR="009C75CA" w:rsidRPr="00D97BC5" w14:paraId="68C4FC9B" w14:textId="77777777" w:rsidTr="005338CA">
        <w:tc>
          <w:tcPr>
            <w:tcW w:w="9435" w:type="dxa"/>
            <w:shd w:val="clear" w:color="auto" w:fill="D9D9D9" w:themeFill="background1" w:themeFillShade="D9"/>
          </w:tcPr>
          <w:p w14:paraId="61969452" w14:textId="77777777" w:rsidR="009C75CA" w:rsidRPr="00D97BC5" w:rsidRDefault="009C75CA" w:rsidP="00992205">
            <w:pPr>
              <w:keepNext/>
              <w:spacing w:before="80" w:after="80" w:line="259" w:lineRule="auto"/>
              <w:rPr>
                <w:b/>
                <w:color w:val="auto"/>
                <w:lang w:val="en-AU"/>
              </w:rPr>
            </w:pPr>
            <w:r w:rsidRPr="00D97BC5">
              <w:rPr>
                <w:b/>
                <w:color w:val="auto"/>
                <w:lang w:val="en-AU"/>
              </w:rPr>
              <w:t>Predictability:</w:t>
            </w:r>
          </w:p>
        </w:tc>
      </w:tr>
      <w:tr w:rsidR="009C75CA" w:rsidRPr="00D97BC5" w14:paraId="0A9318AC" w14:textId="77777777" w:rsidTr="007170BA">
        <w:tc>
          <w:tcPr>
            <w:tcW w:w="9435" w:type="dxa"/>
          </w:tcPr>
          <w:p w14:paraId="681BB8F2" w14:textId="0B9564F6" w:rsidR="009C75CA" w:rsidRPr="00D97BC5" w:rsidRDefault="00A415D9" w:rsidP="00992205">
            <w:pPr>
              <w:spacing w:before="80" w:after="80" w:line="259" w:lineRule="auto"/>
              <w:rPr>
                <w:color w:val="auto"/>
                <w:lang w:val="en-AU"/>
              </w:rPr>
            </w:pPr>
            <w:r w:rsidRPr="00D97BC5">
              <w:rPr>
                <w:color w:val="auto"/>
                <w:lang w:val="en-AU"/>
              </w:rPr>
              <w:t xml:space="preserve">IHACPA’s </w:t>
            </w:r>
            <w:r w:rsidR="009C75CA" w:rsidRPr="00D97BC5">
              <w:rPr>
                <w:color w:val="auto"/>
                <w:lang w:val="en-AU"/>
              </w:rPr>
              <w:t>pricing processes will be consistent and predictable to allow meaningful participation from jurisdictions and result in minimal disruptions to implementation of changes.</w:t>
            </w:r>
          </w:p>
        </w:tc>
      </w:tr>
      <w:tr w:rsidR="009C75CA" w:rsidRPr="00D97BC5" w14:paraId="7ED2BF74" w14:textId="77777777" w:rsidTr="005338CA">
        <w:tc>
          <w:tcPr>
            <w:tcW w:w="9435" w:type="dxa"/>
            <w:shd w:val="clear" w:color="auto" w:fill="D9D9D9" w:themeFill="background1" w:themeFillShade="D9"/>
          </w:tcPr>
          <w:p w14:paraId="48264285" w14:textId="77777777" w:rsidR="009C75CA" w:rsidRPr="00D97BC5" w:rsidRDefault="009C75CA" w:rsidP="00992205">
            <w:pPr>
              <w:spacing w:before="80" w:after="80" w:line="259" w:lineRule="auto"/>
              <w:rPr>
                <w:b/>
                <w:color w:val="auto"/>
                <w:lang w:val="en-AU"/>
              </w:rPr>
            </w:pPr>
            <w:r w:rsidRPr="00D97BC5">
              <w:rPr>
                <w:b/>
                <w:color w:val="auto"/>
                <w:lang w:val="en-AU"/>
              </w:rPr>
              <w:t>Flexibility:</w:t>
            </w:r>
          </w:p>
        </w:tc>
      </w:tr>
      <w:tr w:rsidR="009C75CA" w:rsidRPr="00D97BC5" w14:paraId="2497A25E" w14:textId="77777777" w:rsidTr="007170BA">
        <w:tc>
          <w:tcPr>
            <w:tcW w:w="9435" w:type="dxa"/>
          </w:tcPr>
          <w:p w14:paraId="7607CEDB" w14:textId="7D4EE909" w:rsidR="009C75CA" w:rsidRPr="00D97BC5" w:rsidRDefault="00A415D9" w:rsidP="00992205">
            <w:pPr>
              <w:spacing w:before="80" w:after="80" w:line="259" w:lineRule="auto"/>
              <w:rPr>
                <w:color w:val="auto"/>
                <w:lang w:val="en-AU"/>
              </w:rPr>
            </w:pPr>
            <w:r w:rsidRPr="00D97BC5">
              <w:rPr>
                <w:color w:val="auto"/>
                <w:lang w:val="en-AU"/>
              </w:rPr>
              <w:t xml:space="preserve">IHACPA will support jurisdictions in </w:t>
            </w:r>
            <w:r w:rsidR="009C75CA" w:rsidRPr="00D97BC5">
              <w:rPr>
                <w:color w:val="auto"/>
                <w:lang w:val="en-AU"/>
              </w:rPr>
              <w:t>trial</w:t>
            </w:r>
            <w:r w:rsidR="00626CBA" w:rsidRPr="00D97BC5">
              <w:rPr>
                <w:color w:val="auto"/>
                <w:lang w:val="en-AU"/>
              </w:rPr>
              <w:t>l</w:t>
            </w:r>
            <w:r w:rsidR="009C75CA" w:rsidRPr="00D97BC5">
              <w:rPr>
                <w:color w:val="auto"/>
                <w:lang w:val="en-AU"/>
              </w:rPr>
              <w:t>ing innovative funding models</w:t>
            </w:r>
            <w:r w:rsidRPr="00D97BC5">
              <w:rPr>
                <w:color w:val="auto"/>
                <w:lang w:val="en-AU"/>
              </w:rPr>
              <w:t xml:space="preserve"> and innovative models of care, guided by the requirements under </w:t>
            </w:r>
            <w:r w:rsidR="006F0CF3" w:rsidRPr="00D97BC5">
              <w:rPr>
                <w:color w:val="auto"/>
                <w:lang w:val="en-AU"/>
              </w:rPr>
              <w:t>clauses A96–A101 of the addendum</w:t>
            </w:r>
            <w:r w:rsidR="009C75CA" w:rsidRPr="00D97BC5">
              <w:rPr>
                <w:color w:val="auto"/>
                <w:lang w:val="en-AU"/>
              </w:rPr>
              <w:t>.</w:t>
            </w:r>
          </w:p>
        </w:tc>
      </w:tr>
      <w:tr w:rsidR="009C75CA" w:rsidRPr="00D97BC5" w14:paraId="7D7453B8" w14:textId="77777777" w:rsidTr="005338CA">
        <w:tc>
          <w:tcPr>
            <w:tcW w:w="9435" w:type="dxa"/>
            <w:shd w:val="clear" w:color="auto" w:fill="104F99"/>
          </w:tcPr>
          <w:p w14:paraId="683CBEE5" w14:textId="77777777" w:rsidR="009C75CA" w:rsidRPr="00D97BC5" w:rsidRDefault="009C75CA" w:rsidP="00992205">
            <w:pPr>
              <w:spacing w:before="80" w:after="80" w:line="259" w:lineRule="auto"/>
              <w:rPr>
                <w:color w:val="FFFFFF" w:themeColor="background1"/>
                <w:lang w:val="en-AU"/>
              </w:rPr>
            </w:pPr>
            <w:r w:rsidRPr="00D97BC5">
              <w:rPr>
                <w:b/>
                <w:color w:val="FFFFFF" w:themeColor="background1"/>
                <w:lang w:val="en-AU"/>
              </w:rPr>
              <w:lastRenderedPageBreak/>
              <w:t>Process principles</w:t>
            </w:r>
            <w:r w:rsidRPr="00D97BC5">
              <w:rPr>
                <w:color w:val="FFFFFF" w:themeColor="background1"/>
                <w:lang w:val="en-AU"/>
              </w:rPr>
              <w:t xml:space="preserve"> to guide the timing of the jurisdictional notification and consultation process</w:t>
            </w:r>
          </w:p>
        </w:tc>
      </w:tr>
      <w:tr w:rsidR="009C75CA" w:rsidRPr="00D97BC5" w14:paraId="4C93779B" w14:textId="77777777" w:rsidTr="005338CA">
        <w:tc>
          <w:tcPr>
            <w:tcW w:w="9435" w:type="dxa"/>
            <w:shd w:val="clear" w:color="auto" w:fill="D9D9D9" w:themeFill="background1" w:themeFillShade="D9"/>
          </w:tcPr>
          <w:p w14:paraId="72BCB5B3" w14:textId="77777777" w:rsidR="009C75CA" w:rsidRPr="00D97BC5" w:rsidRDefault="009C75CA" w:rsidP="00992205">
            <w:pPr>
              <w:spacing w:before="80" w:after="80" w:line="259" w:lineRule="auto"/>
              <w:rPr>
                <w:b/>
                <w:color w:val="auto"/>
                <w:lang w:val="en-AU"/>
              </w:rPr>
            </w:pPr>
            <w:r w:rsidRPr="00D97BC5">
              <w:rPr>
                <w:b/>
                <w:color w:val="auto"/>
                <w:lang w:val="en-AU"/>
              </w:rPr>
              <w:t>Early notification:</w:t>
            </w:r>
          </w:p>
        </w:tc>
      </w:tr>
      <w:tr w:rsidR="009C75CA" w:rsidRPr="00D97BC5" w14:paraId="519F011D" w14:textId="77777777" w:rsidTr="007170BA">
        <w:tc>
          <w:tcPr>
            <w:tcW w:w="9435" w:type="dxa"/>
          </w:tcPr>
          <w:p w14:paraId="50605E95" w14:textId="14035636" w:rsidR="009C75CA" w:rsidRPr="00D97BC5" w:rsidRDefault="009C75CA" w:rsidP="00992205">
            <w:pPr>
              <w:spacing w:before="80" w:after="80" w:line="259" w:lineRule="auto"/>
              <w:rPr>
                <w:color w:val="auto"/>
                <w:lang w:val="en-AU"/>
              </w:rPr>
            </w:pPr>
            <w:r w:rsidRPr="00D97BC5">
              <w:rPr>
                <w:color w:val="auto"/>
                <w:lang w:val="en-AU"/>
              </w:rPr>
              <w:t>IH</w:t>
            </w:r>
            <w:r w:rsidR="006E0174" w:rsidRPr="00D97BC5">
              <w:rPr>
                <w:color w:val="auto"/>
                <w:lang w:val="en-AU"/>
              </w:rPr>
              <w:t>AC</w:t>
            </w:r>
            <w:r w:rsidRPr="00D97BC5">
              <w:rPr>
                <w:color w:val="auto"/>
                <w:lang w:val="en-AU"/>
              </w:rPr>
              <w:t>PA will notify jurisdictions as early as possible of proposed changes to the national funding model to allow for meaningful contribution and smooth implementation</w:t>
            </w:r>
            <w:r w:rsidR="006F0CF3" w:rsidRPr="00D97BC5">
              <w:rPr>
                <w:color w:val="auto"/>
                <w:lang w:val="en-AU"/>
              </w:rPr>
              <w:t xml:space="preserve">, including where changes may be </w:t>
            </w:r>
            <w:r w:rsidR="00B07B0F" w:rsidRPr="00D97BC5">
              <w:rPr>
                <w:color w:val="auto"/>
                <w:lang w:val="en-AU"/>
              </w:rPr>
              <w:t xml:space="preserve">implemented as a result of feedback received during the 45-day ministerial comment period for the draft </w:t>
            </w:r>
            <w:r w:rsidR="00874AA0" w:rsidRPr="00D97BC5">
              <w:rPr>
                <w:color w:val="auto"/>
                <w:lang w:val="en-AU"/>
              </w:rPr>
              <w:t xml:space="preserve">NEP and NEC </w:t>
            </w:r>
            <w:r w:rsidR="00B07B0F" w:rsidRPr="00D97BC5">
              <w:rPr>
                <w:color w:val="auto"/>
                <w:lang w:val="en-AU"/>
              </w:rPr>
              <w:t>determinations</w:t>
            </w:r>
            <w:r w:rsidRPr="00D97BC5">
              <w:rPr>
                <w:color w:val="auto"/>
                <w:lang w:val="en-AU"/>
              </w:rPr>
              <w:t>.</w:t>
            </w:r>
          </w:p>
          <w:p w14:paraId="1C195BD7" w14:textId="623FBEEA" w:rsidR="009C75CA" w:rsidRPr="00D97BC5" w:rsidRDefault="009C75CA" w:rsidP="00992205">
            <w:pPr>
              <w:spacing w:before="80" w:after="80" w:line="259" w:lineRule="auto"/>
              <w:rPr>
                <w:color w:val="auto"/>
                <w:lang w:val="en-AU"/>
              </w:rPr>
            </w:pPr>
            <w:r w:rsidRPr="00D97BC5">
              <w:rPr>
                <w:color w:val="auto"/>
                <w:lang w:val="en-AU"/>
              </w:rPr>
              <w:t>Jurisdictions will notify IH</w:t>
            </w:r>
            <w:r w:rsidR="006E0174" w:rsidRPr="00D97BC5">
              <w:rPr>
                <w:color w:val="auto"/>
                <w:lang w:val="en-AU"/>
              </w:rPr>
              <w:t>AC</w:t>
            </w:r>
            <w:r w:rsidRPr="00D97BC5">
              <w:rPr>
                <w:color w:val="auto"/>
                <w:lang w:val="en-AU"/>
              </w:rPr>
              <w:t>PA as early as possible when intending to trial an innovative funding model</w:t>
            </w:r>
            <w:r w:rsidR="00713D70" w:rsidRPr="00D97BC5">
              <w:rPr>
                <w:color w:val="auto"/>
                <w:lang w:val="en-AU"/>
              </w:rPr>
              <w:t xml:space="preserve"> </w:t>
            </w:r>
            <w:r w:rsidR="00713D70" w:rsidRPr="00D97BC5">
              <w:rPr>
                <w:lang w:val="en-AU"/>
              </w:rPr>
              <w:t xml:space="preserve">or innovative </w:t>
            </w:r>
            <w:r w:rsidR="006A6B66" w:rsidRPr="00D97BC5">
              <w:rPr>
                <w:lang w:val="en-AU"/>
              </w:rPr>
              <w:t xml:space="preserve">model of care under clauses A96–A101 of the </w:t>
            </w:r>
            <w:r w:rsidR="00263F42" w:rsidRPr="00D97BC5">
              <w:rPr>
                <w:lang w:val="en-AU"/>
              </w:rPr>
              <w:t>a</w:t>
            </w:r>
            <w:r w:rsidR="006A6B66" w:rsidRPr="00D97BC5">
              <w:rPr>
                <w:lang w:val="en-AU"/>
              </w:rPr>
              <w:t>ddendum</w:t>
            </w:r>
            <w:r w:rsidRPr="00D97BC5">
              <w:rPr>
                <w:color w:val="auto"/>
                <w:lang w:val="en-AU"/>
              </w:rPr>
              <w:t xml:space="preserve">, </w:t>
            </w:r>
            <w:r w:rsidR="00B07B0F" w:rsidRPr="00D97BC5">
              <w:rPr>
                <w:color w:val="auto"/>
                <w:lang w:val="en-AU"/>
              </w:rPr>
              <w:t xml:space="preserve">when </w:t>
            </w:r>
            <w:r w:rsidRPr="00D97BC5">
              <w:rPr>
                <w:color w:val="auto"/>
                <w:lang w:val="en-AU"/>
              </w:rPr>
              <w:t>request</w:t>
            </w:r>
            <w:r w:rsidR="00B07B0F" w:rsidRPr="00D97BC5">
              <w:rPr>
                <w:color w:val="auto"/>
                <w:lang w:val="en-AU"/>
              </w:rPr>
              <w:t>ing</w:t>
            </w:r>
            <w:r w:rsidRPr="00D97BC5">
              <w:rPr>
                <w:color w:val="auto"/>
                <w:lang w:val="en-AU"/>
              </w:rPr>
              <w:t xml:space="preserve"> additional guidance be sought or </w:t>
            </w:r>
            <w:r w:rsidR="00B07B0F" w:rsidRPr="00D97BC5">
              <w:rPr>
                <w:color w:val="auto"/>
                <w:lang w:val="en-AU"/>
              </w:rPr>
              <w:t xml:space="preserve">when escalating </w:t>
            </w:r>
            <w:r w:rsidRPr="00D97BC5">
              <w:rPr>
                <w:color w:val="auto"/>
                <w:lang w:val="en-AU"/>
              </w:rPr>
              <w:t>a funding policy issue.</w:t>
            </w:r>
          </w:p>
          <w:p w14:paraId="13E4F530" w14:textId="007A98BB" w:rsidR="009C75CA" w:rsidRPr="00D97BC5" w:rsidRDefault="009C75CA" w:rsidP="00992205">
            <w:pPr>
              <w:spacing w:before="80" w:after="80" w:line="259" w:lineRule="auto"/>
              <w:rPr>
                <w:color w:val="auto"/>
                <w:lang w:val="en-AU"/>
              </w:rPr>
            </w:pPr>
            <w:r w:rsidRPr="00D97BC5">
              <w:rPr>
                <w:color w:val="auto"/>
                <w:lang w:val="en-AU"/>
              </w:rPr>
              <w:t>IH</w:t>
            </w:r>
            <w:r w:rsidR="006E0174" w:rsidRPr="00D97BC5">
              <w:rPr>
                <w:color w:val="auto"/>
                <w:lang w:val="en-AU"/>
              </w:rPr>
              <w:t>AC</w:t>
            </w:r>
            <w:r w:rsidRPr="00D97BC5">
              <w:rPr>
                <w:color w:val="auto"/>
                <w:lang w:val="en-AU"/>
              </w:rPr>
              <w:t>PA and jurisdictions will also notify each other as early as possible of any</w:t>
            </w:r>
            <w:r w:rsidR="00B07B0F" w:rsidRPr="00D97BC5">
              <w:rPr>
                <w:color w:val="auto"/>
                <w:lang w:val="en-AU"/>
              </w:rPr>
              <w:t xml:space="preserve"> potential risks or unforeseen impacts associated with proposed changes to the national funding model that have been</w:t>
            </w:r>
            <w:r w:rsidRPr="00D97BC5">
              <w:rPr>
                <w:color w:val="auto"/>
                <w:lang w:val="en-AU"/>
              </w:rPr>
              <w:t xml:space="preserve"> identified.</w:t>
            </w:r>
          </w:p>
        </w:tc>
      </w:tr>
      <w:tr w:rsidR="009C75CA" w:rsidRPr="00D97BC5" w14:paraId="34C2F9EA" w14:textId="77777777" w:rsidTr="005338CA">
        <w:tc>
          <w:tcPr>
            <w:tcW w:w="9435" w:type="dxa"/>
            <w:shd w:val="clear" w:color="auto" w:fill="D9D9D9" w:themeFill="background1" w:themeFillShade="D9"/>
          </w:tcPr>
          <w:p w14:paraId="5BFA84BC" w14:textId="77777777" w:rsidR="009C75CA" w:rsidRPr="00D97BC5" w:rsidRDefault="009C75CA" w:rsidP="00992205">
            <w:pPr>
              <w:spacing w:before="80" w:after="80" w:line="259" w:lineRule="auto"/>
              <w:rPr>
                <w:b/>
                <w:color w:val="auto"/>
                <w:lang w:val="en-AU"/>
              </w:rPr>
            </w:pPr>
            <w:r w:rsidRPr="00D97BC5">
              <w:rPr>
                <w:b/>
                <w:color w:val="auto"/>
                <w:lang w:val="en-AU"/>
              </w:rPr>
              <w:t>Timeliness:</w:t>
            </w:r>
          </w:p>
        </w:tc>
      </w:tr>
      <w:tr w:rsidR="009C75CA" w:rsidRPr="00D97BC5" w14:paraId="765B85AC" w14:textId="77777777" w:rsidTr="007170BA">
        <w:tc>
          <w:tcPr>
            <w:tcW w:w="9435" w:type="dxa"/>
          </w:tcPr>
          <w:p w14:paraId="36FA42C7" w14:textId="7A41F4A1" w:rsidR="009C75CA" w:rsidRPr="00D97BC5" w:rsidRDefault="009C75CA" w:rsidP="00992205">
            <w:pPr>
              <w:spacing w:before="80" w:after="80" w:line="259" w:lineRule="auto"/>
              <w:rPr>
                <w:color w:val="auto"/>
                <w:lang w:val="en-AU"/>
              </w:rPr>
            </w:pPr>
            <w:r w:rsidRPr="00D97BC5">
              <w:rPr>
                <w:color w:val="auto"/>
                <w:lang w:val="en-AU"/>
              </w:rPr>
              <w:t xml:space="preserve">Processes will be timely to ensure effective and accurate pricing of public hospital services and, where possible, </w:t>
            </w:r>
            <w:r w:rsidR="00B07B0F" w:rsidRPr="00D97BC5">
              <w:rPr>
                <w:color w:val="auto"/>
                <w:lang w:val="en-AU"/>
              </w:rPr>
              <w:t>align</w:t>
            </w:r>
            <w:r w:rsidRPr="00D97BC5">
              <w:rPr>
                <w:color w:val="auto"/>
                <w:lang w:val="en-AU"/>
              </w:rPr>
              <w:t xml:space="preserve"> with jurisdiction budget cycles to minimise disruptions</w:t>
            </w:r>
            <w:r w:rsidR="00B07B0F" w:rsidRPr="00D97BC5">
              <w:rPr>
                <w:color w:val="auto"/>
                <w:lang w:val="en-AU"/>
              </w:rPr>
              <w:t xml:space="preserve"> to service delivery</w:t>
            </w:r>
            <w:r w:rsidRPr="00D97BC5">
              <w:rPr>
                <w:color w:val="auto"/>
                <w:lang w:val="en-AU"/>
              </w:rPr>
              <w:t>.</w:t>
            </w:r>
          </w:p>
          <w:p w14:paraId="0298CF47" w14:textId="77777777" w:rsidR="009C75CA" w:rsidRDefault="009C75CA" w:rsidP="00992205">
            <w:pPr>
              <w:spacing w:before="80" w:after="80" w:line="259" w:lineRule="auto"/>
              <w:rPr>
                <w:color w:val="auto"/>
                <w:lang w:val="en-AU"/>
              </w:rPr>
            </w:pPr>
            <w:r w:rsidRPr="00D97BC5">
              <w:rPr>
                <w:color w:val="auto"/>
                <w:lang w:val="en-AU"/>
              </w:rPr>
              <w:t>Jurisdictions will respond to consultation requests and facilitate the provision of required data in a timely manner, to minimise delays in the consultation process</w:t>
            </w:r>
            <w:r w:rsidR="00B07B0F" w:rsidRPr="00D97BC5">
              <w:rPr>
                <w:color w:val="auto"/>
                <w:lang w:val="en-AU"/>
              </w:rPr>
              <w:t xml:space="preserve"> and IHACPA’s pricing processes</w:t>
            </w:r>
            <w:r w:rsidRPr="00D97BC5">
              <w:rPr>
                <w:color w:val="auto"/>
                <w:lang w:val="en-AU"/>
              </w:rPr>
              <w:t>.</w:t>
            </w:r>
          </w:p>
          <w:p w14:paraId="39E08BAF" w14:textId="3428B141" w:rsidR="00495989" w:rsidRPr="00D97BC5" w:rsidRDefault="00495989" w:rsidP="00992205">
            <w:pPr>
              <w:spacing w:before="80" w:after="80" w:line="259" w:lineRule="auto"/>
              <w:rPr>
                <w:color w:val="auto"/>
                <w:lang w:val="en-AU"/>
              </w:rPr>
            </w:pPr>
            <w:r>
              <w:rPr>
                <w:color w:val="auto"/>
                <w:lang w:val="en-AU"/>
              </w:rPr>
              <w:t>I</w:t>
            </w:r>
            <w:r>
              <w:rPr>
                <w:lang w:val="en-AU"/>
              </w:rPr>
              <w:t>HACPA will respond to jurisdictional enquiries and requests raised through TAC and JAC in a timely manner, to facilitate consultation and robust decision making.</w:t>
            </w:r>
          </w:p>
        </w:tc>
      </w:tr>
      <w:tr w:rsidR="009C75CA" w:rsidRPr="00D97BC5" w14:paraId="732672AF" w14:textId="77777777" w:rsidTr="005338CA">
        <w:tc>
          <w:tcPr>
            <w:tcW w:w="9435" w:type="dxa"/>
            <w:shd w:val="clear" w:color="auto" w:fill="104F99"/>
          </w:tcPr>
          <w:p w14:paraId="3024142B" w14:textId="77777777" w:rsidR="009C75CA" w:rsidRPr="00D97BC5" w:rsidRDefault="009C75CA" w:rsidP="00992205">
            <w:pPr>
              <w:spacing w:before="80" w:after="80" w:line="259" w:lineRule="auto"/>
              <w:rPr>
                <w:color w:val="FFFFFF" w:themeColor="background1"/>
                <w:lang w:val="en-AU"/>
              </w:rPr>
            </w:pPr>
            <w:r w:rsidRPr="00D97BC5">
              <w:rPr>
                <w:b/>
                <w:color w:val="FFFFFF" w:themeColor="background1"/>
                <w:lang w:val="en-AU"/>
              </w:rPr>
              <w:t>Impact principles</w:t>
            </w:r>
            <w:r w:rsidRPr="00D97BC5">
              <w:rPr>
                <w:color w:val="FFFFFF" w:themeColor="background1"/>
                <w:lang w:val="en-AU"/>
              </w:rPr>
              <w:t xml:space="preserve"> to ensure consideration of all potential implications of proposed changes to the national funding model</w:t>
            </w:r>
          </w:p>
        </w:tc>
      </w:tr>
      <w:tr w:rsidR="009C75CA" w:rsidRPr="00D97BC5" w14:paraId="247078A9" w14:textId="77777777" w:rsidTr="005338CA">
        <w:tc>
          <w:tcPr>
            <w:tcW w:w="9435" w:type="dxa"/>
            <w:shd w:val="clear" w:color="auto" w:fill="D9D9D9" w:themeFill="background1" w:themeFillShade="D9"/>
          </w:tcPr>
          <w:p w14:paraId="250AA534" w14:textId="4F52B542" w:rsidR="009C75CA" w:rsidRPr="00D97BC5" w:rsidRDefault="009C75CA" w:rsidP="00992205">
            <w:pPr>
              <w:spacing w:before="80" w:after="80" w:line="259" w:lineRule="auto"/>
              <w:rPr>
                <w:b/>
                <w:color w:val="auto"/>
                <w:lang w:val="en-AU"/>
              </w:rPr>
            </w:pPr>
            <w:r w:rsidRPr="00D97BC5">
              <w:rPr>
                <w:b/>
                <w:color w:val="auto"/>
                <w:lang w:val="en-AU"/>
              </w:rPr>
              <w:t xml:space="preserve">Clinical and operational </w:t>
            </w:r>
            <w:r w:rsidR="00B07B0F" w:rsidRPr="00D97BC5">
              <w:rPr>
                <w:b/>
                <w:color w:val="auto"/>
                <w:lang w:val="en-AU"/>
              </w:rPr>
              <w:t>impacts</w:t>
            </w:r>
            <w:r w:rsidRPr="00D97BC5">
              <w:rPr>
                <w:b/>
                <w:color w:val="auto"/>
                <w:lang w:val="en-AU"/>
              </w:rPr>
              <w:t>:</w:t>
            </w:r>
          </w:p>
        </w:tc>
      </w:tr>
      <w:tr w:rsidR="009C75CA" w:rsidRPr="00D97BC5" w14:paraId="2ED1B195" w14:textId="77777777" w:rsidTr="007170BA">
        <w:tc>
          <w:tcPr>
            <w:tcW w:w="9435" w:type="dxa"/>
          </w:tcPr>
          <w:p w14:paraId="09D1AACA" w14:textId="3300723B" w:rsidR="009C75CA" w:rsidRPr="00D97BC5" w:rsidRDefault="009C75CA" w:rsidP="00992205">
            <w:pPr>
              <w:spacing w:before="80" w:after="80" w:line="259" w:lineRule="auto"/>
              <w:rPr>
                <w:color w:val="auto"/>
                <w:lang w:val="en-AU"/>
              </w:rPr>
            </w:pPr>
            <w:r w:rsidRPr="00D97BC5">
              <w:rPr>
                <w:color w:val="auto"/>
                <w:lang w:val="en-AU"/>
              </w:rPr>
              <w:t>IH</w:t>
            </w:r>
            <w:r w:rsidR="006E0174" w:rsidRPr="00D97BC5">
              <w:rPr>
                <w:color w:val="auto"/>
                <w:lang w:val="en-AU"/>
              </w:rPr>
              <w:t>AC</w:t>
            </w:r>
            <w:r w:rsidRPr="00D97BC5">
              <w:rPr>
                <w:color w:val="auto"/>
                <w:lang w:val="en-AU"/>
              </w:rPr>
              <w:t xml:space="preserve">PA will consider and address potential clinical and operational </w:t>
            </w:r>
            <w:r w:rsidR="00B07B0F" w:rsidRPr="00D97BC5">
              <w:rPr>
                <w:color w:val="auto"/>
                <w:lang w:val="en-AU"/>
              </w:rPr>
              <w:t xml:space="preserve">impacts </w:t>
            </w:r>
            <w:r w:rsidRPr="00D97BC5">
              <w:rPr>
                <w:color w:val="auto"/>
                <w:lang w:val="en-AU"/>
              </w:rPr>
              <w:t>resulting from proposed changes that extend beyond financial implications.</w:t>
            </w:r>
          </w:p>
          <w:p w14:paraId="4B91AE1F" w14:textId="6A273001" w:rsidR="009C75CA" w:rsidRPr="00D97BC5" w:rsidRDefault="009C75CA" w:rsidP="00992205">
            <w:pPr>
              <w:spacing w:before="80" w:after="80" w:line="259" w:lineRule="auto"/>
              <w:rPr>
                <w:color w:val="auto"/>
                <w:lang w:val="en-AU"/>
              </w:rPr>
            </w:pPr>
            <w:r w:rsidRPr="00D97BC5">
              <w:rPr>
                <w:color w:val="auto"/>
                <w:lang w:val="en-AU"/>
              </w:rPr>
              <w:t>Jurisdictions have a mutual obligation to advise IH</w:t>
            </w:r>
            <w:r w:rsidR="006E0174" w:rsidRPr="00D97BC5">
              <w:rPr>
                <w:color w:val="auto"/>
                <w:lang w:val="en-AU"/>
              </w:rPr>
              <w:t>AC</w:t>
            </w:r>
            <w:r w:rsidRPr="00D97BC5">
              <w:rPr>
                <w:color w:val="auto"/>
                <w:lang w:val="en-AU"/>
              </w:rPr>
              <w:t xml:space="preserve">PA of any </w:t>
            </w:r>
            <w:r w:rsidR="00E32E9C" w:rsidRPr="00D97BC5">
              <w:rPr>
                <w:color w:val="auto"/>
                <w:lang w:val="en-AU"/>
              </w:rPr>
              <w:t xml:space="preserve">data </w:t>
            </w:r>
            <w:r w:rsidRPr="00D97BC5">
              <w:rPr>
                <w:color w:val="auto"/>
                <w:lang w:val="en-AU"/>
              </w:rPr>
              <w:t>anomalies, risks or potential clinical or operational impacts that have been identified as a consequence of proposed changes to the national funding model.</w:t>
            </w:r>
          </w:p>
        </w:tc>
      </w:tr>
    </w:tbl>
    <w:p w14:paraId="1EBC9E57" w14:textId="10F8510A" w:rsidR="00BF41F8" w:rsidRPr="00D97BC5" w:rsidRDefault="00BF41F8" w:rsidP="00BF41F8">
      <w:pPr>
        <w:rPr>
          <w:rFonts w:cs="Arial"/>
          <w:lang w:val="en-AU"/>
        </w:rPr>
      </w:pPr>
    </w:p>
    <w:p w14:paraId="27BB56EF" w14:textId="77777777" w:rsidR="00BF41F8" w:rsidRPr="00D97BC5" w:rsidRDefault="00BF41F8" w:rsidP="00FC072C">
      <w:pPr>
        <w:rPr>
          <w:rFonts w:cs="Arial"/>
          <w:lang w:val="en-AU"/>
        </w:rPr>
      </w:pPr>
    </w:p>
    <w:p w14:paraId="2BB4617F" w14:textId="77777777" w:rsidR="00BF41F8" w:rsidRPr="00D97BC5" w:rsidRDefault="00BF41F8">
      <w:pPr>
        <w:spacing w:line="259" w:lineRule="auto"/>
        <w:rPr>
          <w:rFonts w:cs="Arial"/>
          <w:lang w:val="en-AU"/>
        </w:rPr>
      </w:pPr>
      <w:r w:rsidRPr="00D97BC5">
        <w:rPr>
          <w:rFonts w:cs="Arial"/>
          <w:lang w:val="en-AU"/>
        </w:rPr>
        <w:br w:type="page"/>
      </w:r>
    </w:p>
    <w:p w14:paraId="0B6A7102" w14:textId="49724FAB" w:rsidR="00BF41F8" w:rsidRPr="00D97BC5" w:rsidRDefault="009C75CA" w:rsidP="00F5752F">
      <w:pPr>
        <w:pStyle w:val="Heading1"/>
        <w:rPr>
          <w:rFonts w:cs="Arial"/>
        </w:rPr>
      </w:pPr>
      <w:bookmarkStart w:id="21" w:name="_Toc93324926"/>
      <w:bookmarkStart w:id="22" w:name="_Toc168557603"/>
      <w:r w:rsidRPr="00D97BC5">
        <w:lastRenderedPageBreak/>
        <w:t>Consultation process</w:t>
      </w:r>
      <w:bookmarkEnd w:id="21"/>
      <w:bookmarkEnd w:id="22"/>
    </w:p>
    <w:p w14:paraId="0BAF8CE5" w14:textId="77777777" w:rsidR="009C75CA" w:rsidRPr="00D97BC5" w:rsidRDefault="009C75CA" w:rsidP="00B51709">
      <w:pPr>
        <w:pStyle w:val="Heading2"/>
      </w:pPr>
      <w:bookmarkStart w:id="23" w:name="_Toc93324927"/>
      <w:r w:rsidRPr="00D97BC5">
        <w:t>Overview</w:t>
      </w:r>
      <w:bookmarkEnd w:id="23"/>
    </w:p>
    <w:p w14:paraId="13973108" w14:textId="42428FBD" w:rsidR="00D949F8" w:rsidRPr="00D97BC5" w:rsidRDefault="009C75CA" w:rsidP="00F5752F">
      <w:pPr>
        <w:spacing w:before="120" w:after="120"/>
        <w:rPr>
          <w:lang w:val="en-AU"/>
        </w:rPr>
      </w:pPr>
      <w:r w:rsidRPr="00D97BC5">
        <w:rPr>
          <w:lang w:val="en-AU"/>
        </w:rPr>
        <w:t xml:space="preserve">Under the </w:t>
      </w:r>
      <w:r w:rsidR="00263F42" w:rsidRPr="00D97BC5">
        <w:rPr>
          <w:lang w:val="en-AU"/>
        </w:rPr>
        <w:t>a</w:t>
      </w:r>
      <w:r w:rsidRPr="00D97BC5">
        <w:rPr>
          <w:lang w:val="en-AU"/>
        </w:rPr>
        <w:t>ddendum, IH</w:t>
      </w:r>
      <w:r w:rsidR="006E0174" w:rsidRPr="00D97BC5">
        <w:rPr>
          <w:lang w:val="en-AU"/>
        </w:rPr>
        <w:t>AC</w:t>
      </w:r>
      <w:r w:rsidRPr="00D97BC5">
        <w:rPr>
          <w:lang w:val="en-AU"/>
        </w:rPr>
        <w:t xml:space="preserve">PA is required to consult with the Parties when developing the annual NEP and NEC </w:t>
      </w:r>
      <w:r w:rsidR="007D6E65" w:rsidRPr="00D97BC5">
        <w:rPr>
          <w:lang w:val="en-AU"/>
        </w:rPr>
        <w:t>d</w:t>
      </w:r>
      <w:r w:rsidRPr="00D97BC5">
        <w:rPr>
          <w:lang w:val="en-AU"/>
        </w:rPr>
        <w:t>eterminations and when considering and implementing changes to the national funding model that will impact the way services are delivered.</w:t>
      </w:r>
    </w:p>
    <w:p w14:paraId="2EC67B46" w14:textId="2B86A784" w:rsidR="009C75CA" w:rsidRPr="00D97BC5" w:rsidRDefault="009C75CA" w:rsidP="00F5752F">
      <w:pPr>
        <w:spacing w:before="120" w:after="120"/>
        <w:rPr>
          <w:lang w:val="en-AU"/>
        </w:rPr>
      </w:pPr>
      <w:r w:rsidRPr="00D97BC5">
        <w:rPr>
          <w:lang w:val="en-AU"/>
        </w:rPr>
        <w:t>IH</w:t>
      </w:r>
      <w:r w:rsidR="006E0174" w:rsidRPr="00D97BC5">
        <w:rPr>
          <w:lang w:val="en-AU"/>
        </w:rPr>
        <w:t>AC</w:t>
      </w:r>
      <w:r w:rsidRPr="00D97BC5">
        <w:rPr>
          <w:lang w:val="en-AU"/>
        </w:rPr>
        <w:t xml:space="preserve">PA seeks </w:t>
      </w:r>
      <w:r w:rsidR="00B31C7F" w:rsidRPr="00D97BC5">
        <w:rPr>
          <w:lang w:val="en-AU"/>
        </w:rPr>
        <w:t xml:space="preserve">technical </w:t>
      </w:r>
      <w:r w:rsidR="00B66DD0" w:rsidRPr="00D97BC5">
        <w:rPr>
          <w:lang w:val="en-AU"/>
        </w:rPr>
        <w:t xml:space="preserve">input </w:t>
      </w:r>
      <w:r w:rsidRPr="00D97BC5">
        <w:rPr>
          <w:lang w:val="en-AU"/>
        </w:rPr>
        <w:t>from TAC and</w:t>
      </w:r>
      <w:r w:rsidR="00C750E8" w:rsidRPr="00D97BC5">
        <w:rPr>
          <w:lang w:val="en-AU"/>
        </w:rPr>
        <w:t xml:space="preserve"> policy input from</w:t>
      </w:r>
      <w:r w:rsidRPr="00D97BC5">
        <w:rPr>
          <w:lang w:val="en-AU"/>
        </w:rPr>
        <w:t xml:space="preserve"> JAC, as well as health ministers through the statutory 45-day ministerial comment period</w:t>
      </w:r>
      <w:r w:rsidR="0089785F" w:rsidRPr="00D97BC5">
        <w:rPr>
          <w:lang w:val="en-AU"/>
        </w:rPr>
        <w:t xml:space="preserve"> for the draft</w:t>
      </w:r>
      <w:r w:rsidR="00874AA0" w:rsidRPr="00D97BC5">
        <w:rPr>
          <w:lang w:val="en-AU"/>
        </w:rPr>
        <w:t xml:space="preserve"> NEP and NEC</w:t>
      </w:r>
      <w:r w:rsidR="0089785F" w:rsidRPr="00D97BC5">
        <w:rPr>
          <w:lang w:val="en-AU"/>
        </w:rPr>
        <w:t xml:space="preserve"> determinations</w:t>
      </w:r>
      <w:r w:rsidRPr="00D97BC5">
        <w:rPr>
          <w:lang w:val="en-AU"/>
        </w:rPr>
        <w:t>. The Parties may escalate a funding policy issue to the Health Chief Executives Forum (HCEF) or the Health Ministers’ Meetings (HMM) for consideration.</w:t>
      </w:r>
    </w:p>
    <w:p w14:paraId="6889181C" w14:textId="07DCD9EF" w:rsidR="00BF41F8" w:rsidRPr="00D97BC5" w:rsidRDefault="009C75CA" w:rsidP="00F5752F">
      <w:pPr>
        <w:spacing w:before="120" w:after="120"/>
        <w:rPr>
          <w:rFonts w:cs="Arial"/>
          <w:lang w:val="en-AU"/>
        </w:rPr>
      </w:pPr>
      <w:r w:rsidRPr="00D97BC5">
        <w:rPr>
          <w:lang w:val="en-AU"/>
        </w:rPr>
        <w:t>Changes proposed within the NEP and NEC development cycle will adhere to timeframes for existing annual processes relating to IH</w:t>
      </w:r>
      <w:r w:rsidR="006E0174" w:rsidRPr="00D97BC5">
        <w:rPr>
          <w:lang w:val="en-AU"/>
        </w:rPr>
        <w:t>AC</w:t>
      </w:r>
      <w:r w:rsidRPr="00D97BC5">
        <w:rPr>
          <w:lang w:val="en-AU"/>
        </w:rPr>
        <w:t xml:space="preserve">PA’s </w:t>
      </w:r>
      <w:r w:rsidRPr="00D97BC5">
        <w:rPr>
          <w:iCs/>
          <w:lang w:val="en-AU"/>
        </w:rPr>
        <w:t>Pricing Framework for Australian Public Hospital Services</w:t>
      </w:r>
      <w:r w:rsidRPr="00D97BC5">
        <w:rPr>
          <w:lang w:val="en-AU"/>
        </w:rPr>
        <w:t xml:space="preserve"> and NEP and NEC </w:t>
      </w:r>
      <w:r w:rsidR="007D6E65" w:rsidRPr="00D97BC5">
        <w:rPr>
          <w:lang w:val="en-AU"/>
        </w:rPr>
        <w:t>d</w:t>
      </w:r>
      <w:r w:rsidRPr="00D97BC5">
        <w:rPr>
          <w:lang w:val="en-AU"/>
        </w:rPr>
        <w:t xml:space="preserve">eterminations. This is outlined in </w:t>
      </w:r>
      <w:r w:rsidRPr="00D97BC5">
        <w:rPr>
          <w:b/>
          <w:lang w:val="en-AU"/>
        </w:rPr>
        <w:t>Table 2</w:t>
      </w:r>
      <w:r w:rsidR="00BF41F8" w:rsidRPr="00D97BC5">
        <w:rPr>
          <w:rFonts w:cs="Arial"/>
          <w:lang w:val="en-AU"/>
        </w:rPr>
        <w:t>.</w:t>
      </w:r>
    </w:p>
    <w:p w14:paraId="5EF0D09A" w14:textId="05400FC4" w:rsidR="00BF41F8" w:rsidRPr="00D97BC5" w:rsidRDefault="00BF41F8" w:rsidP="00F5752F">
      <w:pPr>
        <w:spacing w:before="120" w:after="120"/>
        <w:rPr>
          <w:b/>
          <w:lang w:val="en-AU"/>
        </w:rPr>
      </w:pPr>
      <w:r w:rsidRPr="00D97BC5">
        <w:rPr>
          <w:rFonts w:cs="Arial"/>
          <w:b/>
          <w:bCs/>
          <w:lang w:val="en-AU"/>
        </w:rPr>
        <w:t xml:space="preserve">Table </w:t>
      </w:r>
      <w:r w:rsidR="009C75CA" w:rsidRPr="00D97BC5">
        <w:rPr>
          <w:rFonts w:cs="Arial"/>
          <w:b/>
          <w:bCs/>
          <w:lang w:val="en-AU"/>
        </w:rPr>
        <w:t>2</w:t>
      </w:r>
      <w:r w:rsidR="00F5752F" w:rsidRPr="00D97BC5">
        <w:rPr>
          <w:rFonts w:cs="Arial"/>
          <w:b/>
          <w:bCs/>
          <w:lang w:val="en-AU"/>
        </w:rPr>
        <w:t>:</w:t>
      </w:r>
      <w:r w:rsidRPr="00D97BC5">
        <w:rPr>
          <w:rFonts w:cs="Arial"/>
          <w:b/>
          <w:bCs/>
          <w:lang w:val="en-AU"/>
        </w:rPr>
        <w:t xml:space="preserve"> </w:t>
      </w:r>
      <w:r w:rsidR="009C75CA" w:rsidRPr="00D97BC5">
        <w:rPr>
          <w:b/>
          <w:lang w:val="en-AU"/>
        </w:rPr>
        <w:t>Timelines for the NEP and NEC development cycle</w:t>
      </w:r>
    </w:p>
    <w:tbl>
      <w:tblPr>
        <w:tblStyle w:val="TableGrid"/>
        <w:tblW w:w="0" w:type="auto"/>
        <w:tblLook w:val="04A0" w:firstRow="1" w:lastRow="0" w:firstColumn="1" w:lastColumn="0" w:noHBand="0" w:noVBand="1"/>
      </w:tblPr>
      <w:tblGrid>
        <w:gridCol w:w="1818"/>
        <w:gridCol w:w="1721"/>
        <w:gridCol w:w="2410"/>
        <w:gridCol w:w="3787"/>
      </w:tblGrid>
      <w:tr w:rsidR="007D40ED" w:rsidRPr="00D97BC5" w14:paraId="6F4FC21F" w14:textId="77777777" w:rsidTr="00E9349F">
        <w:trPr>
          <w:tblHeader/>
        </w:trPr>
        <w:tc>
          <w:tcPr>
            <w:tcW w:w="1818" w:type="dxa"/>
            <w:shd w:val="clear" w:color="auto" w:fill="104F99"/>
          </w:tcPr>
          <w:p w14:paraId="3109F1BE" w14:textId="7F189BAD" w:rsidR="007D40ED" w:rsidRPr="00D97BC5" w:rsidRDefault="007D40ED" w:rsidP="00E9349F">
            <w:pPr>
              <w:spacing w:before="100" w:after="100"/>
              <w:rPr>
                <w:b/>
                <w:color w:val="FFFFFF" w:themeColor="background1"/>
                <w:sz w:val="20"/>
                <w:szCs w:val="20"/>
                <w:lang w:val="en-AU"/>
              </w:rPr>
            </w:pPr>
            <w:r w:rsidRPr="00D97BC5">
              <w:rPr>
                <w:b/>
                <w:color w:val="FFFFFF" w:themeColor="background1"/>
                <w:sz w:val="20"/>
                <w:szCs w:val="20"/>
                <w:lang w:val="en-AU"/>
              </w:rPr>
              <w:t>Deliverable</w:t>
            </w:r>
          </w:p>
        </w:tc>
        <w:tc>
          <w:tcPr>
            <w:tcW w:w="1721" w:type="dxa"/>
            <w:shd w:val="clear" w:color="auto" w:fill="104F99"/>
          </w:tcPr>
          <w:p w14:paraId="658BE57B" w14:textId="798BEC23" w:rsidR="007D40ED" w:rsidRPr="00D97BC5" w:rsidRDefault="007D40ED" w:rsidP="00E9349F">
            <w:pPr>
              <w:spacing w:before="100" w:after="100"/>
              <w:rPr>
                <w:b/>
                <w:color w:val="FFFFFF" w:themeColor="background1"/>
                <w:sz w:val="20"/>
                <w:szCs w:val="20"/>
                <w:lang w:val="en-AU"/>
              </w:rPr>
            </w:pPr>
            <w:r w:rsidRPr="00D97BC5">
              <w:rPr>
                <w:b/>
                <w:color w:val="FFFFFF" w:themeColor="background1"/>
                <w:sz w:val="20"/>
                <w:szCs w:val="20"/>
                <w:lang w:val="en-AU"/>
              </w:rPr>
              <w:t>Consultation</w:t>
            </w:r>
            <w:r w:rsidR="00E9349F">
              <w:rPr>
                <w:rStyle w:val="FootnoteReference"/>
                <w:b/>
                <w:color w:val="FFFFFF" w:themeColor="background1"/>
                <w:sz w:val="20"/>
                <w:szCs w:val="20"/>
                <w:lang w:val="en-AU"/>
              </w:rPr>
              <w:footnoteReference w:id="3"/>
            </w:r>
          </w:p>
        </w:tc>
        <w:tc>
          <w:tcPr>
            <w:tcW w:w="2410" w:type="dxa"/>
            <w:shd w:val="clear" w:color="auto" w:fill="104F99"/>
          </w:tcPr>
          <w:p w14:paraId="42EF8942" w14:textId="1C8CB930" w:rsidR="007D40ED" w:rsidRPr="00D97BC5" w:rsidRDefault="007D40ED" w:rsidP="00E9349F">
            <w:pPr>
              <w:spacing w:before="100" w:after="100"/>
              <w:rPr>
                <w:b/>
                <w:color w:val="FFFFFF" w:themeColor="background1"/>
                <w:sz w:val="20"/>
                <w:szCs w:val="20"/>
                <w:lang w:val="en-AU"/>
              </w:rPr>
            </w:pPr>
            <w:r w:rsidRPr="00D97BC5">
              <w:rPr>
                <w:b/>
                <w:color w:val="FFFFFF" w:themeColor="background1"/>
                <w:sz w:val="20"/>
                <w:szCs w:val="20"/>
                <w:lang w:val="en-AU"/>
              </w:rPr>
              <w:t>Timeline</w:t>
            </w:r>
          </w:p>
        </w:tc>
        <w:tc>
          <w:tcPr>
            <w:tcW w:w="3787" w:type="dxa"/>
            <w:shd w:val="clear" w:color="auto" w:fill="104F99"/>
          </w:tcPr>
          <w:p w14:paraId="7A718031" w14:textId="539859E0" w:rsidR="007D40ED" w:rsidRPr="00D97BC5" w:rsidRDefault="007D40ED" w:rsidP="00E9349F">
            <w:pPr>
              <w:spacing w:before="100" w:after="100"/>
              <w:rPr>
                <w:b/>
                <w:color w:val="FFFFFF" w:themeColor="background1"/>
                <w:sz w:val="20"/>
                <w:szCs w:val="20"/>
                <w:lang w:val="en-AU"/>
              </w:rPr>
            </w:pPr>
            <w:r w:rsidRPr="00D97BC5">
              <w:rPr>
                <w:b/>
                <w:color w:val="FFFFFF" w:themeColor="background1"/>
                <w:sz w:val="20"/>
                <w:szCs w:val="20"/>
                <w:lang w:val="en-AU"/>
              </w:rPr>
              <w:t>Detail</w:t>
            </w:r>
          </w:p>
        </w:tc>
      </w:tr>
      <w:tr w:rsidR="007D40ED" w:rsidRPr="00D97BC5" w14:paraId="13DE80D3" w14:textId="77777777" w:rsidTr="00E9349F">
        <w:tc>
          <w:tcPr>
            <w:tcW w:w="1818" w:type="dxa"/>
            <w:vMerge w:val="restart"/>
          </w:tcPr>
          <w:p w14:paraId="61D715DF" w14:textId="46D16891" w:rsidR="007D40ED" w:rsidRPr="00D97BC5" w:rsidRDefault="007D40ED" w:rsidP="00E9349F">
            <w:pPr>
              <w:spacing w:before="100" w:after="100"/>
              <w:rPr>
                <w:bCs/>
                <w:sz w:val="20"/>
                <w:szCs w:val="20"/>
                <w:lang w:val="en-AU"/>
              </w:rPr>
            </w:pPr>
            <w:r w:rsidRPr="00D97BC5">
              <w:rPr>
                <w:sz w:val="20"/>
                <w:szCs w:val="20"/>
                <w:lang w:val="en-AU"/>
              </w:rPr>
              <w:t>Consultation paper on the pricing framework</w:t>
            </w:r>
          </w:p>
        </w:tc>
        <w:tc>
          <w:tcPr>
            <w:tcW w:w="1721" w:type="dxa"/>
            <w:vMerge w:val="restart"/>
          </w:tcPr>
          <w:p w14:paraId="136EFA89" w14:textId="19A20B22" w:rsidR="007D40ED" w:rsidRPr="00D97BC5" w:rsidRDefault="007D40ED" w:rsidP="00E9349F">
            <w:pPr>
              <w:spacing w:before="100" w:after="100"/>
              <w:rPr>
                <w:bCs/>
                <w:sz w:val="20"/>
                <w:szCs w:val="20"/>
                <w:lang w:val="en-AU"/>
              </w:rPr>
            </w:pPr>
            <w:r w:rsidRPr="00D97BC5">
              <w:rPr>
                <w:sz w:val="20"/>
                <w:szCs w:val="20"/>
                <w:lang w:val="en-AU"/>
              </w:rPr>
              <w:t>30-day public consultation period</w:t>
            </w:r>
          </w:p>
        </w:tc>
        <w:tc>
          <w:tcPr>
            <w:tcW w:w="2410" w:type="dxa"/>
          </w:tcPr>
          <w:p w14:paraId="238E0A2D" w14:textId="332AFF53" w:rsidR="007D40ED" w:rsidRPr="00D97BC5" w:rsidRDefault="007D40ED" w:rsidP="00E9349F">
            <w:pPr>
              <w:spacing w:before="100" w:after="100"/>
              <w:rPr>
                <w:bCs/>
                <w:sz w:val="20"/>
                <w:szCs w:val="20"/>
                <w:lang w:val="en-AU"/>
              </w:rPr>
            </w:pPr>
            <w:r w:rsidRPr="00D97BC5">
              <w:rPr>
                <w:sz w:val="20"/>
                <w:szCs w:val="20"/>
                <w:lang w:val="en-AU"/>
              </w:rPr>
              <w:t>Commences: May of the current year</w:t>
            </w:r>
          </w:p>
        </w:tc>
        <w:tc>
          <w:tcPr>
            <w:tcW w:w="3787" w:type="dxa"/>
            <w:vMerge w:val="restart"/>
          </w:tcPr>
          <w:p w14:paraId="1B2920DD" w14:textId="6F516634" w:rsidR="007D40ED" w:rsidRPr="00D97BC5" w:rsidRDefault="007D40ED" w:rsidP="00E9349F">
            <w:pPr>
              <w:spacing w:before="100" w:after="100"/>
              <w:rPr>
                <w:bCs/>
                <w:sz w:val="20"/>
                <w:szCs w:val="20"/>
                <w:lang w:val="en-AU"/>
              </w:rPr>
            </w:pPr>
            <w:r w:rsidRPr="00D97BC5">
              <w:rPr>
                <w:sz w:val="20"/>
                <w:szCs w:val="20"/>
                <w:lang w:val="en-AU"/>
              </w:rPr>
              <w:t>Seeks public consultation feedback on major issues and proposed changes to the national funding model for the NEP and NEC determinations.</w:t>
            </w:r>
          </w:p>
        </w:tc>
      </w:tr>
      <w:tr w:rsidR="007D40ED" w:rsidRPr="00D97BC5" w14:paraId="4BADE299" w14:textId="77777777" w:rsidTr="00E9349F">
        <w:tc>
          <w:tcPr>
            <w:tcW w:w="1818" w:type="dxa"/>
            <w:vMerge/>
          </w:tcPr>
          <w:p w14:paraId="5A00DD84" w14:textId="77777777" w:rsidR="007D40ED" w:rsidRPr="00D97BC5" w:rsidRDefault="007D40ED" w:rsidP="00E9349F">
            <w:pPr>
              <w:spacing w:before="100" w:after="100"/>
              <w:rPr>
                <w:bCs/>
                <w:sz w:val="20"/>
                <w:szCs w:val="20"/>
                <w:lang w:val="en-AU"/>
              </w:rPr>
            </w:pPr>
          </w:p>
        </w:tc>
        <w:tc>
          <w:tcPr>
            <w:tcW w:w="1721" w:type="dxa"/>
            <w:vMerge/>
          </w:tcPr>
          <w:p w14:paraId="6E3EFA00" w14:textId="77777777" w:rsidR="007D40ED" w:rsidRPr="00D97BC5" w:rsidRDefault="007D40ED" w:rsidP="00E9349F">
            <w:pPr>
              <w:spacing w:before="100" w:after="100"/>
              <w:rPr>
                <w:bCs/>
                <w:sz w:val="20"/>
                <w:szCs w:val="20"/>
                <w:lang w:val="en-AU"/>
              </w:rPr>
            </w:pPr>
          </w:p>
        </w:tc>
        <w:tc>
          <w:tcPr>
            <w:tcW w:w="2410" w:type="dxa"/>
          </w:tcPr>
          <w:p w14:paraId="0109C52B" w14:textId="1391EE58" w:rsidR="007D40ED" w:rsidRPr="00D97BC5" w:rsidRDefault="007D40ED" w:rsidP="00E9349F">
            <w:pPr>
              <w:spacing w:before="100" w:after="100"/>
              <w:rPr>
                <w:bCs/>
                <w:sz w:val="20"/>
                <w:szCs w:val="20"/>
                <w:lang w:val="en-AU"/>
              </w:rPr>
            </w:pPr>
            <w:r w:rsidRPr="00D97BC5">
              <w:rPr>
                <w:sz w:val="20"/>
                <w:szCs w:val="20"/>
                <w:lang w:val="en-AU"/>
              </w:rPr>
              <w:t>Concludes: June of the current year</w:t>
            </w:r>
          </w:p>
        </w:tc>
        <w:tc>
          <w:tcPr>
            <w:tcW w:w="3787" w:type="dxa"/>
            <w:vMerge/>
          </w:tcPr>
          <w:p w14:paraId="6EDDBD23" w14:textId="77777777" w:rsidR="007D40ED" w:rsidRPr="00D97BC5" w:rsidRDefault="007D40ED" w:rsidP="00E9349F">
            <w:pPr>
              <w:spacing w:before="100" w:after="100"/>
              <w:rPr>
                <w:bCs/>
                <w:sz w:val="20"/>
                <w:szCs w:val="20"/>
                <w:lang w:val="en-AU"/>
              </w:rPr>
            </w:pPr>
          </w:p>
        </w:tc>
      </w:tr>
      <w:tr w:rsidR="007D40ED" w:rsidRPr="00D97BC5" w14:paraId="58CB3E08" w14:textId="77777777" w:rsidTr="00E9349F">
        <w:tc>
          <w:tcPr>
            <w:tcW w:w="1818" w:type="dxa"/>
            <w:vMerge w:val="restart"/>
          </w:tcPr>
          <w:p w14:paraId="68DAE8C3" w14:textId="09C540BE" w:rsidR="007D40ED" w:rsidRPr="00D97BC5" w:rsidRDefault="007D40ED" w:rsidP="00E9349F">
            <w:pPr>
              <w:spacing w:before="100" w:after="100"/>
              <w:rPr>
                <w:bCs/>
                <w:sz w:val="20"/>
                <w:szCs w:val="20"/>
                <w:lang w:val="en-AU"/>
              </w:rPr>
            </w:pPr>
            <w:r w:rsidRPr="00D97BC5">
              <w:rPr>
                <w:sz w:val="20"/>
                <w:szCs w:val="20"/>
                <w:lang w:val="en-AU"/>
              </w:rPr>
              <w:t xml:space="preserve">Draft </w:t>
            </w:r>
            <w:r w:rsidR="00843549">
              <w:rPr>
                <w:sz w:val="20"/>
                <w:szCs w:val="20"/>
                <w:lang w:val="en-AU"/>
              </w:rPr>
              <w:t>p</w:t>
            </w:r>
            <w:r w:rsidRPr="00D97BC5">
              <w:rPr>
                <w:sz w:val="20"/>
                <w:szCs w:val="20"/>
                <w:lang w:val="en-AU"/>
              </w:rPr>
              <w:t>ricing framework</w:t>
            </w:r>
          </w:p>
        </w:tc>
        <w:tc>
          <w:tcPr>
            <w:tcW w:w="1721" w:type="dxa"/>
            <w:vMerge w:val="restart"/>
          </w:tcPr>
          <w:p w14:paraId="3120713C" w14:textId="0D470B5F" w:rsidR="007D40ED" w:rsidRPr="00D97BC5" w:rsidRDefault="007D40ED" w:rsidP="00E9349F">
            <w:pPr>
              <w:spacing w:before="100" w:after="100"/>
              <w:rPr>
                <w:bCs/>
                <w:sz w:val="20"/>
                <w:szCs w:val="20"/>
                <w:lang w:val="en-AU"/>
              </w:rPr>
            </w:pPr>
            <w:r w:rsidRPr="00D97BC5">
              <w:rPr>
                <w:sz w:val="20"/>
                <w:szCs w:val="20"/>
                <w:lang w:val="en-AU"/>
              </w:rPr>
              <w:t>45-day ministerial comment period</w:t>
            </w:r>
          </w:p>
        </w:tc>
        <w:tc>
          <w:tcPr>
            <w:tcW w:w="2410" w:type="dxa"/>
          </w:tcPr>
          <w:p w14:paraId="44A4CFF5" w14:textId="40906EB4" w:rsidR="007D40ED" w:rsidRPr="00D97BC5" w:rsidRDefault="007D40ED" w:rsidP="00E9349F">
            <w:pPr>
              <w:spacing w:before="100" w:after="100"/>
              <w:rPr>
                <w:bCs/>
                <w:sz w:val="20"/>
                <w:szCs w:val="20"/>
                <w:lang w:val="en-AU"/>
              </w:rPr>
            </w:pPr>
            <w:r w:rsidRPr="00D97BC5">
              <w:rPr>
                <w:sz w:val="20"/>
                <w:szCs w:val="20"/>
                <w:lang w:val="en-AU"/>
              </w:rPr>
              <w:t>Commences: September of the current year</w:t>
            </w:r>
          </w:p>
        </w:tc>
        <w:tc>
          <w:tcPr>
            <w:tcW w:w="3787" w:type="dxa"/>
            <w:vMerge w:val="restart"/>
          </w:tcPr>
          <w:p w14:paraId="01CAB696" w14:textId="0F8928C3" w:rsidR="007D40ED" w:rsidRPr="00D97BC5" w:rsidRDefault="007D40ED" w:rsidP="00E9349F">
            <w:pPr>
              <w:spacing w:before="100" w:after="100"/>
              <w:rPr>
                <w:bCs/>
                <w:sz w:val="20"/>
                <w:szCs w:val="20"/>
                <w:lang w:val="en-AU"/>
              </w:rPr>
            </w:pPr>
            <w:r w:rsidRPr="00D97BC5">
              <w:rPr>
                <w:bCs/>
                <w:sz w:val="20"/>
                <w:szCs w:val="20"/>
                <w:lang w:val="en-AU"/>
              </w:rPr>
              <w:t>Addresses and incorporates stakeholder feedback from the public consultation process.</w:t>
            </w:r>
          </w:p>
        </w:tc>
      </w:tr>
      <w:tr w:rsidR="007D40ED" w:rsidRPr="00D97BC5" w14:paraId="5222FB40" w14:textId="77777777" w:rsidTr="00E9349F">
        <w:tc>
          <w:tcPr>
            <w:tcW w:w="1818" w:type="dxa"/>
            <w:vMerge/>
          </w:tcPr>
          <w:p w14:paraId="081792D4" w14:textId="1F188E73" w:rsidR="007D40ED" w:rsidRPr="00D97BC5" w:rsidRDefault="007D40ED" w:rsidP="00E9349F">
            <w:pPr>
              <w:spacing w:before="100" w:after="100"/>
              <w:rPr>
                <w:bCs/>
                <w:sz w:val="20"/>
                <w:szCs w:val="20"/>
                <w:lang w:val="en-AU"/>
              </w:rPr>
            </w:pPr>
          </w:p>
        </w:tc>
        <w:tc>
          <w:tcPr>
            <w:tcW w:w="1721" w:type="dxa"/>
            <w:vMerge/>
          </w:tcPr>
          <w:p w14:paraId="0B6871F0" w14:textId="77777777" w:rsidR="007D40ED" w:rsidRPr="00D97BC5" w:rsidRDefault="007D40ED" w:rsidP="00E9349F">
            <w:pPr>
              <w:spacing w:before="100" w:after="100"/>
              <w:rPr>
                <w:bCs/>
                <w:sz w:val="20"/>
                <w:szCs w:val="20"/>
                <w:lang w:val="en-AU"/>
              </w:rPr>
            </w:pPr>
          </w:p>
        </w:tc>
        <w:tc>
          <w:tcPr>
            <w:tcW w:w="2410" w:type="dxa"/>
          </w:tcPr>
          <w:p w14:paraId="40E7AA07" w14:textId="2C561BE9" w:rsidR="007D40ED" w:rsidRPr="00D97BC5" w:rsidRDefault="007D40ED" w:rsidP="00E9349F">
            <w:pPr>
              <w:spacing w:before="100" w:after="100"/>
              <w:rPr>
                <w:bCs/>
                <w:sz w:val="20"/>
                <w:szCs w:val="20"/>
                <w:lang w:val="en-AU"/>
              </w:rPr>
            </w:pPr>
            <w:r w:rsidRPr="00D97BC5">
              <w:rPr>
                <w:sz w:val="20"/>
                <w:szCs w:val="20"/>
                <w:lang w:val="en-AU"/>
              </w:rPr>
              <w:t>Concludes: October of the current year</w:t>
            </w:r>
          </w:p>
        </w:tc>
        <w:tc>
          <w:tcPr>
            <w:tcW w:w="3787" w:type="dxa"/>
            <w:vMerge/>
          </w:tcPr>
          <w:p w14:paraId="12729DF8" w14:textId="77777777" w:rsidR="007D40ED" w:rsidRPr="00D97BC5" w:rsidRDefault="007D40ED" w:rsidP="00E9349F">
            <w:pPr>
              <w:spacing w:before="100" w:after="100"/>
              <w:rPr>
                <w:bCs/>
                <w:sz w:val="20"/>
                <w:szCs w:val="20"/>
                <w:lang w:val="en-AU"/>
              </w:rPr>
            </w:pPr>
          </w:p>
        </w:tc>
      </w:tr>
      <w:tr w:rsidR="007D40ED" w:rsidRPr="00D97BC5" w14:paraId="607AC458" w14:textId="77777777" w:rsidTr="00E9349F">
        <w:tc>
          <w:tcPr>
            <w:tcW w:w="1818" w:type="dxa"/>
          </w:tcPr>
          <w:p w14:paraId="230D9D05" w14:textId="20CAC70A" w:rsidR="007D40ED" w:rsidRPr="00D97BC5" w:rsidRDefault="007D40ED" w:rsidP="00E9349F">
            <w:pPr>
              <w:spacing w:before="100" w:after="100"/>
              <w:rPr>
                <w:bCs/>
                <w:sz w:val="20"/>
                <w:szCs w:val="20"/>
                <w:lang w:val="en-AU"/>
              </w:rPr>
            </w:pPr>
            <w:r w:rsidRPr="00D97BC5">
              <w:rPr>
                <w:sz w:val="20"/>
                <w:szCs w:val="20"/>
                <w:lang w:val="en-AU"/>
              </w:rPr>
              <w:t>Draft NEP and NEC determinations</w:t>
            </w:r>
          </w:p>
        </w:tc>
        <w:tc>
          <w:tcPr>
            <w:tcW w:w="1721" w:type="dxa"/>
          </w:tcPr>
          <w:p w14:paraId="78A1C393" w14:textId="77777777" w:rsidR="007D40ED" w:rsidRPr="00D97BC5" w:rsidRDefault="007D40ED" w:rsidP="00E9349F">
            <w:pPr>
              <w:spacing w:before="100" w:after="100" w:line="259" w:lineRule="auto"/>
              <w:rPr>
                <w:sz w:val="20"/>
                <w:szCs w:val="20"/>
                <w:lang w:val="en-AU"/>
              </w:rPr>
            </w:pPr>
            <w:r w:rsidRPr="00D97BC5">
              <w:rPr>
                <w:sz w:val="20"/>
                <w:szCs w:val="20"/>
                <w:lang w:val="en-AU"/>
              </w:rPr>
              <w:t>Consultation through TAC and JAC</w:t>
            </w:r>
          </w:p>
          <w:p w14:paraId="5C4D8954" w14:textId="70D8D742" w:rsidR="007D40ED" w:rsidRPr="00D97BC5" w:rsidRDefault="007D40ED" w:rsidP="00E9349F">
            <w:pPr>
              <w:spacing w:before="100" w:after="100"/>
              <w:rPr>
                <w:bCs/>
                <w:sz w:val="20"/>
                <w:szCs w:val="20"/>
                <w:lang w:val="en-AU"/>
              </w:rPr>
            </w:pPr>
            <w:r w:rsidRPr="00D97BC5">
              <w:rPr>
                <w:sz w:val="20"/>
                <w:szCs w:val="20"/>
                <w:lang w:val="en-AU"/>
              </w:rPr>
              <w:t>45-day ministerial comment period</w:t>
            </w:r>
          </w:p>
        </w:tc>
        <w:tc>
          <w:tcPr>
            <w:tcW w:w="2410" w:type="dxa"/>
          </w:tcPr>
          <w:p w14:paraId="259A446B" w14:textId="3282C85A" w:rsidR="007D40ED" w:rsidRPr="00D97BC5" w:rsidRDefault="007D40ED" w:rsidP="00E9349F">
            <w:pPr>
              <w:spacing w:before="100" w:after="100"/>
              <w:rPr>
                <w:bCs/>
                <w:sz w:val="20"/>
                <w:szCs w:val="20"/>
                <w:lang w:val="en-AU"/>
              </w:rPr>
            </w:pPr>
            <w:r w:rsidRPr="00D97BC5">
              <w:rPr>
                <w:sz w:val="20"/>
                <w:szCs w:val="20"/>
                <w:lang w:val="en-AU"/>
              </w:rPr>
              <w:t>Commences: September of the current year</w:t>
            </w:r>
          </w:p>
        </w:tc>
        <w:tc>
          <w:tcPr>
            <w:tcW w:w="3787" w:type="dxa"/>
            <w:vMerge w:val="restart"/>
          </w:tcPr>
          <w:p w14:paraId="1F304AD1" w14:textId="77D49855" w:rsidR="007D40ED" w:rsidRPr="00D97BC5" w:rsidRDefault="007D40ED" w:rsidP="00E9349F">
            <w:pPr>
              <w:spacing w:before="100" w:after="100" w:line="259" w:lineRule="auto"/>
              <w:rPr>
                <w:sz w:val="20"/>
                <w:szCs w:val="20"/>
                <w:lang w:val="en-AU"/>
              </w:rPr>
            </w:pPr>
            <w:r w:rsidRPr="00D97BC5">
              <w:rPr>
                <w:sz w:val="20"/>
                <w:szCs w:val="20"/>
                <w:lang w:val="en-AU"/>
              </w:rPr>
              <w:t>Discussion of major issues and proposed changes to the national funding model for the NEP and NEC determinations at TAC and JAC meetings, including development of the Statements of Impact for proposed changes to the national funding model.</w:t>
            </w:r>
          </w:p>
          <w:p w14:paraId="1AB2F9D6" w14:textId="31E4F036" w:rsidR="007D40ED" w:rsidRPr="00D97BC5" w:rsidRDefault="007D40ED" w:rsidP="00E9349F">
            <w:pPr>
              <w:spacing w:before="100" w:after="100" w:line="259" w:lineRule="auto"/>
              <w:rPr>
                <w:sz w:val="20"/>
                <w:szCs w:val="20"/>
                <w:lang w:val="en-AU"/>
              </w:rPr>
            </w:pPr>
            <w:r w:rsidRPr="00D97BC5">
              <w:rPr>
                <w:sz w:val="20"/>
                <w:szCs w:val="20"/>
                <w:lang w:val="en-AU"/>
              </w:rPr>
              <w:t>Distribution of the draft NEP and NEC determinations to health ministers.</w:t>
            </w:r>
          </w:p>
          <w:p w14:paraId="2A3F7BBD" w14:textId="5F274C46" w:rsidR="007D40ED" w:rsidRPr="00D97BC5" w:rsidRDefault="007D40ED" w:rsidP="00E9349F">
            <w:pPr>
              <w:spacing w:before="100" w:after="100"/>
              <w:rPr>
                <w:bCs/>
                <w:sz w:val="20"/>
                <w:szCs w:val="20"/>
                <w:lang w:val="en-AU"/>
              </w:rPr>
            </w:pPr>
            <w:r w:rsidRPr="00D97BC5">
              <w:rPr>
                <w:sz w:val="20"/>
                <w:szCs w:val="20"/>
                <w:lang w:val="en-AU"/>
              </w:rPr>
              <w:t>Distribution of the Statements of Impact to HMM.</w:t>
            </w:r>
          </w:p>
        </w:tc>
      </w:tr>
      <w:tr w:rsidR="007D40ED" w:rsidRPr="00D97BC5" w14:paraId="35DF4849" w14:textId="77777777" w:rsidTr="00E9349F">
        <w:tc>
          <w:tcPr>
            <w:tcW w:w="1818" w:type="dxa"/>
          </w:tcPr>
          <w:p w14:paraId="60CB5722" w14:textId="7938F2C9" w:rsidR="007D40ED" w:rsidRPr="00D97BC5" w:rsidRDefault="007D40ED" w:rsidP="00E9349F">
            <w:pPr>
              <w:spacing w:before="100" w:after="100"/>
              <w:rPr>
                <w:bCs/>
                <w:sz w:val="20"/>
                <w:szCs w:val="20"/>
                <w:lang w:val="en-AU"/>
              </w:rPr>
            </w:pPr>
            <w:r w:rsidRPr="00D97BC5">
              <w:rPr>
                <w:sz w:val="20"/>
                <w:szCs w:val="20"/>
                <w:lang w:val="en-AU"/>
              </w:rPr>
              <w:t>Statements of Impact</w:t>
            </w:r>
          </w:p>
        </w:tc>
        <w:tc>
          <w:tcPr>
            <w:tcW w:w="1721" w:type="dxa"/>
          </w:tcPr>
          <w:p w14:paraId="09ED75EF" w14:textId="77777777" w:rsidR="007D40ED" w:rsidRPr="00D97BC5" w:rsidRDefault="007D40ED" w:rsidP="00E9349F">
            <w:pPr>
              <w:spacing w:before="100" w:after="100" w:line="259" w:lineRule="auto"/>
              <w:rPr>
                <w:sz w:val="20"/>
                <w:szCs w:val="20"/>
                <w:lang w:val="en-AU"/>
              </w:rPr>
            </w:pPr>
            <w:r w:rsidRPr="00D97BC5">
              <w:rPr>
                <w:sz w:val="20"/>
                <w:szCs w:val="20"/>
                <w:lang w:val="en-AU"/>
              </w:rPr>
              <w:t>Consultation through TAC and JAC</w:t>
            </w:r>
          </w:p>
          <w:p w14:paraId="73DA9428" w14:textId="75D216D5" w:rsidR="007D40ED" w:rsidRPr="00D97BC5" w:rsidRDefault="007D40ED" w:rsidP="00E9349F">
            <w:pPr>
              <w:spacing w:before="100" w:after="100"/>
              <w:rPr>
                <w:bCs/>
                <w:sz w:val="20"/>
                <w:szCs w:val="20"/>
                <w:lang w:val="en-AU"/>
              </w:rPr>
            </w:pPr>
            <w:r w:rsidRPr="00D97BC5">
              <w:rPr>
                <w:sz w:val="20"/>
                <w:szCs w:val="20"/>
                <w:lang w:val="en-AU"/>
              </w:rPr>
              <w:t>45-day HMM consultation period</w:t>
            </w:r>
          </w:p>
        </w:tc>
        <w:tc>
          <w:tcPr>
            <w:tcW w:w="2410" w:type="dxa"/>
          </w:tcPr>
          <w:p w14:paraId="2372B673" w14:textId="6F2321E2" w:rsidR="007D40ED" w:rsidRPr="00D97BC5" w:rsidRDefault="007D40ED" w:rsidP="00E9349F">
            <w:pPr>
              <w:spacing w:before="100" w:after="100"/>
              <w:rPr>
                <w:bCs/>
                <w:sz w:val="20"/>
                <w:szCs w:val="20"/>
                <w:lang w:val="en-AU"/>
              </w:rPr>
            </w:pPr>
            <w:r w:rsidRPr="00D97BC5">
              <w:rPr>
                <w:sz w:val="20"/>
                <w:szCs w:val="20"/>
                <w:lang w:val="en-AU"/>
              </w:rPr>
              <w:t>Concludes: January of the following year</w:t>
            </w:r>
          </w:p>
        </w:tc>
        <w:tc>
          <w:tcPr>
            <w:tcW w:w="3787" w:type="dxa"/>
            <w:vMerge/>
          </w:tcPr>
          <w:p w14:paraId="02CE0D42" w14:textId="77777777" w:rsidR="007D40ED" w:rsidRPr="00D97BC5" w:rsidRDefault="007D40ED" w:rsidP="00E9349F">
            <w:pPr>
              <w:spacing w:before="100" w:after="100"/>
              <w:rPr>
                <w:bCs/>
                <w:sz w:val="20"/>
                <w:szCs w:val="20"/>
                <w:lang w:val="en-AU"/>
              </w:rPr>
            </w:pPr>
          </w:p>
        </w:tc>
      </w:tr>
      <w:tr w:rsidR="007D40ED" w:rsidRPr="00D97BC5" w14:paraId="000051D9" w14:textId="77777777" w:rsidTr="00E9349F">
        <w:tc>
          <w:tcPr>
            <w:tcW w:w="3539" w:type="dxa"/>
            <w:gridSpan w:val="2"/>
          </w:tcPr>
          <w:p w14:paraId="57215CDF" w14:textId="443B8BFC" w:rsidR="007D40ED" w:rsidRPr="00D97BC5" w:rsidRDefault="007D40ED" w:rsidP="00E9349F">
            <w:pPr>
              <w:spacing w:before="100" w:after="100"/>
              <w:rPr>
                <w:bCs/>
                <w:sz w:val="20"/>
                <w:szCs w:val="20"/>
                <w:lang w:val="en-AU"/>
              </w:rPr>
            </w:pPr>
            <w:r w:rsidRPr="00D97BC5">
              <w:rPr>
                <w:sz w:val="20"/>
                <w:szCs w:val="20"/>
                <w:lang w:val="en-AU"/>
              </w:rPr>
              <w:lastRenderedPageBreak/>
              <w:t>Final pricing framework</w:t>
            </w:r>
          </w:p>
        </w:tc>
        <w:tc>
          <w:tcPr>
            <w:tcW w:w="2410" w:type="dxa"/>
          </w:tcPr>
          <w:p w14:paraId="35F4C010" w14:textId="09F618EF" w:rsidR="007D40ED" w:rsidRPr="00D97BC5" w:rsidRDefault="007D40ED" w:rsidP="00E9349F">
            <w:pPr>
              <w:spacing w:before="100" w:after="100"/>
              <w:rPr>
                <w:bCs/>
                <w:sz w:val="20"/>
                <w:szCs w:val="20"/>
                <w:lang w:val="en-AU"/>
              </w:rPr>
            </w:pPr>
            <w:r w:rsidRPr="00D97BC5">
              <w:rPr>
                <w:sz w:val="20"/>
                <w:szCs w:val="20"/>
                <w:lang w:val="en-AU"/>
              </w:rPr>
              <w:t>Published: December of the current year</w:t>
            </w:r>
          </w:p>
        </w:tc>
        <w:tc>
          <w:tcPr>
            <w:tcW w:w="3787" w:type="dxa"/>
          </w:tcPr>
          <w:p w14:paraId="0978F29E" w14:textId="41273183" w:rsidR="007D40ED" w:rsidRPr="00D97BC5" w:rsidRDefault="007D40ED" w:rsidP="00E9349F">
            <w:pPr>
              <w:spacing w:before="100" w:after="100"/>
              <w:rPr>
                <w:bCs/>
                <w:sz w:val="20"/>
                <w:szCs w:val="20"/>
                <w:lang w:val="en-AU"/>
              </w:rPr>
            </w:pPr>
            <w:r w:rsidRPr="00D97BC5">
              <w:rPr>
                <w:sz w:val="20"/>
                <w:szCs w:val="20"/>
                <w:lang w:val="en-AU"/>
              </w:rPr>
              <w:t>Addresses and incorporates feedback from the ministerial consultation process.</w:t>
            </w:r>
          </w:p>
        </w:tc>
      </w:tr>
      <w:tr w:rsidR="007D40ED" w:rsidRPr="00D97BC5" w14:paraId="69575C15" w14:textId="77777777" w:rsidTr="00E9349F">
        <w:tc>
          <w:tcPr>
            <w:tcW w:w="3539" w:type="dxa"/>
            <w:gridSpan w:val="2"/>
          </w:tcPr>
          <w:p w14:paraId="741E413E" w14:textId="3B7613D8" w:rsidR="007D40ED" w:rsidRPr="00D97BC5" w:rsidRDefault="007D40ED" w:rsidP="00E9349F">
            <w:pPr>
              <w:spacing w:before="100" w:after="100"/>
              <w:rPr>
                <w:bCs/>
                <w:sz w:val="20"/>
                <w:szCs w:val="20"/>
                <w:lang w:val="en-AU"/>
              </w:rPr>
            </w:pPr>
            <w:r w:rsidRPr="00D97BC5">
              <w:rPr>
                <w:sz w:val="20"/>
                <w:szCs w:val="20"/>
                <w:lang w:val="en-AU"/>
              </w:rPr>
              <w:t>Final NEP and NEC determinations</w:t>
            </w:r>
          </w:p>
        </w:tc>
        <w:tc>
          <w:tcPr>
            <w:tcW w:w="2410" w:type="dxa"/>
          </w:tcPr>
          <w:p w14:paraId="47B9CED9" w14:textId="6BFF2E13" w:rsidR="007D40ED" w:rsidRPr="00D97BC5" w:rsidRDefault="007D40ED" w:rsidP="00E9349F">
            <w:pPr>
              <w:spacing w:before="100" w:after="100"/>
              <w:rPr>
                <w:bCs/>
                <w:sz w:val="20"/>
                <w:szCs w:val="20"/>
                <w:lang w:val="en-AU"/>
              </w:rPr>
            </w:pPr>
            <w:r w:rsidRPr="00D97BC5">
              <w:rPr>
                <w:sz w:val="20"/>
                <w:szCs w:val="20"/>
                <w:lang w:val="en-AU"/>
              </w:rPr>
              <w:t xml:space="preserve">Published: March of the following year </w:t>
            </w:r>
          </w:p>
        </w:tc>
        <w:tc>
          <w:tcPr>
            <w:tcW w:w="3787" w:type="dxa"/>
          </w:tcPr>
          <w:p w14:paraId="3E414741" w14:textId="379773E8" w:rsidR="007D40ED" w:rsidRPr="00D97BC5" w:rsidRDefault="007D40ED" w:rsidP="00E9349F">
            <w:pPr>
              <w:spacing w:before="100" w:after="100"/>
              <w:rPr>
                <w:bCs/>
                <w:sz w:val="20"/>
                <w:szCs w:val="20"/>
                <w:lang w:val="en-AU"/>
              </w:rPr>
            </w:pPr>
            <w:r w:rsidRPr="00D97BC5">
              <w:rPr>
                <w:sz w:val="20"/>
                <w:szCs w:val="20"/>
                <w:lang w:val="en-AU"/>
              </w:rPr>
              <w:t>Addresses and incorporates feedback from the ministerial and HMM consultation process, including endorsed changes to the national funding model.</w:t>
            </w:r>
          </w:p>
        </w:tc>
      </w:tr>
    </w:tbl>
    <w:p w14:paraId="454626B3" w14:textId="3A07C612" w:rsidR="009C75CA" w:rsidRPr="00D97BC5" w:rsidRDefault="009C75CA" w:rsidP="00F5752F">
      <w:pPr>
        <w:spacing w:before="120" w:after="120"/>
        <w:rPr>
          <w:lang w:val="en-AU"/>
        </w:rPr>
      </w:pPr>
      <w:r w:rsidRPr="00D97BC5">
        <w:rPr>
          <w:lang w:val="en-AU"/>
        </w:rPr>
        <w:t xml:space="preserve">As part of the draft NEP and NEC </w:t>
      </w:r>
      <w:r w:rsidR="007D6E65" w:rsidRPr="00D97BC5">
        <w:rPr>
          <w:lang w:val="en-AU"/>
        </w:rPr>
        <w:t>d</w:t>
      </w:r>
      <w:r w:rsidRPr="00D97BC5">
        <w:rPr>
          <w:lang w:val="en-AU"/>
        </w:rPr>
        <w:t xml:space="preserve">eterminations, Statements of Impact are provided to TAC and JAC for all proposed changes to the national funding model in the NEP and NEC </w:t>
      </w:r>
      <w:r w:rsidR="007D6E65" w:rsidRPr="00D97BC5">
        <w:rPr>
          <w:lang w:val="en-AU"/>
        </w:rPr>
        <w:t>d</w:t>
      </w:r>
      <w:r w:rsidRPr="00D97BC5">
        <w:rPr>
          <w:lang w:val="en-AU"/>
        </w:rPr>
        <w:t>eterminations</w:t>
      </w:r>
      <w:r w:rsidR="004B2B9F" w:rsidRPr="00D97BC5">
        <w:rPr>
          <w:lang w:val="en-AU"/>
        </w:rPr>
        <w:t>,</w:t>
      </w:r>
      <w:r w:rsidRPr="00D97BC5">
        <w:rPr>
          <w:lang w:val="en-AU"/>
        </w:rPr>
        <w:t xml:space="preserve"> prior to being provided to HMM for additional consultation where required</w:t>
      </w:r>
      <w:r w:rsidR="004B2B9F" w:rsidRPr="00D97BC5">
        <w:rPr>
          <w:lang w:val="en-AU"/>
        </w:rPr>
        <w:t xml:space="preserve"> at the time of distribution of the draft determinations</w:t>
      </w:r>
      <w:r w:rsidRPr="00D97BC5">
        <w:rPr>
          <w:lang w:val="en-AU"/>
        </w:rPr>
        <w:t>.</w:t>
      </w:r>
    </w:p>
    <w:p w14:paraId="2F4787FB" w14:textId="72C0C324" w:rsidR="009C75CA" w:rsidRPr="00D97BC5" w:rsidRDefault="009C75CA" w:rsidP="00F5752F">
      <w:pPr>
        <w:spacing w:before="120" w:after="120"/>
        <w:rPr>
          <w:lang w:val="en-AU"/>
        </w:rPr>
      </w:pPr>
      <w:r w:rsidRPr="00D97BC5">
        <w:rPr>
          <w:lang w:val="en-AU"/>
        </w:rPr>
        <w:t xml:space="preserve">Feedback from health ministers on the draft NEP and NEC </w:t>
      </w:r>
      <w:r w:rsidR="007D6E65" w:rsidRPr="00D97BC5">
        <w:rPr>
          <w:lang w:val="en-AU"/>
        </w:rPr>
        <w:t>d</w:t>
      </w:r>
      <w:r w:rsidRPr="00D97BC5">
        <w:rPr>
          <w:lang w:val="en-AU"/>
        </w:rPr>
        <w:t xml:space="preserve">eterminations and feedback from HMM on the proposed changes outlined in the Statements of Impact will be considered by </w:t>
      </w:r>
      <w:r w:rsidR="004B2B9F" w:rsidRPr="00D97BC5">
        <w:rPr>
          <w:lang w:val="en-AU"/>
        </w:rPr>
        <w:t xml:space="preserve">the Pricing Authority in finalising the </w:t>
      </w:r>
      <w:r w:rsidRPr="00D97BC5">
        <w:rPr>
          <w:lang w:val="en-AU"/>
        </w:rPr>
        <w:t xml:space="preserve">NEP and NEC </w:t>
      </w:r>
      <w:r w:rsidR="007D6E65" w:rsidRPr="00D97BC5">
        <w:rPr>
          <w:lang w:val="en-AU"/>
        </w:rPr>
        <w:t>d</w:t>
      </w:r>
      <w:r w:rsidRPr="00D97BC5">
        <w:rPr>
          <w:lang w:val="en-AU"/>
        </w:rPr>
        <w:t xml:space="preserve">eterminations. </w:t>
      </w:r>
      <w:r w:rsidR="00C750E8" w:rsidRPr="00D97BC5">
        <w:rPr>
          <w:lang w:val="en-AU"/>
        </w:rPr>
        <w:t xml:space="preserve">Unless there is significant </w:t>
      </w:r>
      <w:r w:rsidRPr="00D97BC5">
        <w:rPr>
          <w:lang w:val="en-AU"/>
        </w:rPr>
        <w:t xml:space="preserve">feedback received from </w:t>
      </w:r>
      <w:r w:rsidR="004B2B9F" w:rsidRPr="00D97BC5">
        <w:rPr>
          <w:lang w:val="en-AU"/>
        </w:rPr>
        <w:t xml:space="preserve">health ministers and </w:t>
      </w:r>
      <w:r w:rsidRPr="00D97BC5">
        <w:rPr>
          <w:lang w:val="en-AU"/>
        </w:rPr>
        <w:t xml:space="preserve">HMM </w:t>
      </w:r>
      <w:r w:rsidR="00D0296C" w:rsidRPr="00D97BC5">
        <w:rPr>
          <w:lang w:val="en-AU"/>
        </w:rPr>
        <w:t xml:space="preserve">that would </w:t>
      </w:r>
      <w:r w:rsidR="00C750E8" w:rsidRPr="00D97BC5">
        <w:rPr>
          <w:lang w:val="en-AU"/>
        </w:rPr>
        <w:t xml:space="preserve">require IHACPA to amend or not proceed with the </w:t>
      </w:r>
      <w:r w:rsidRPr="00D97BC5">
        <w:rPr>
          <w:lang w:val="en-AU"/>
        </w:rPr>
        <w:t>proposed changes outlined in the Statements of Impact at the conclusion of the 45-day consultation period, IH</w:t>
      </w:r>
      <w:r w:rsidR="00E04A34" w:rsidRPr="00D97BC5">
        <w:rPr>
          <w:lang w:val="en-AU"/>
        </w:rPr>
        <w:t>AC</w:t>
      </w:r>
      <w:r w:rsidRPr="00D97BC5">
        <w:rPr>
          <w:lang w:val="en-AU"/>
        </w:rPr>
        <w:t xml:space="preserve">PA will </w:t>
      </w:r>
      <w:r w:rsidR="004B2B9F" w:rsidRPr="00D97BC5">
        <w:rPr>
          <w:lang w:val="en-AU"/>
        </w:rPr>
        <w:t>recommend that the Pricing Authority implement the proposed changes</w:t>
      </w:r>
      <w:r w:rsidRPr="00D97BC5">
        <w:rPr>
          <w:lang w:val="en-AU"/>
        </w:rPr>
        <w:t xml:space="preserve"> as part of the final NEP and NEC </w:t>
      </w:r>
      <w:r w:rsidR="007D6E65" w:rsidRPr="00D97BC5">
        <w:rPr>
          <w:lang w:val="en-AU"/>
        </w:rPr>
        <w:t>d</w:t>
      </w:r>
      <w:r w:rsidRPr="00D97BC5">
        <w:rPr>
          <w:lang w:val="en-AU"/>
        </w:rPr>
        <w:t>eterminations.</w:t>
      </w:r>
    </w:p>
    <w:p w14:paraId="1EF43615" w14:textId="3CE5D409" w:rsidR="009C75CA" w:rsidRPr="00D97BC5" w:rsidRDefault="009C75CA" w:rsidP="00974CBB">
      <w:pPr>
        <w:rPr>
          <w:rFonts w:cs="Arial"/>
          <w:lang w:val="en-AU"/>
        </w:rPr>
      </w:pPr>
      <w:r w:rsidRPr="00D97BC5">
        <w:rPr>
          <w:rFonts w:cs="Arial"/>
          <w:lang w:val="en-AU"/>
        </w:rPr>
        <w:br w:type="page"/>
      </w:r>
    </w:p>
    <w:p w14:paraId="4F81174D" w14:textId="102C5B7E" w:rsidR="00FC072C" w:rsidRPr="00D97BC5" w:rsidRDefault="009C75CA" w:rsidP="00F5752F">
      <w:pPr>
        <w:pStyle w:val="Heading1"/>
        <w:rPr>
          <w:rFonts w:cs="Arial"/>
        </w:rPr>
      </w:pPr>
      <w:bookmarkStart w:id="24" w:name="_Toc93324928"/>
      <w:bookmarkStart w:id="25" w:name="_Toc168557604"/>
      <w:r w:rsidRPr="00D97BC5">
        <w:lastRenderedPageBreak/>
        <w:t>Statement of Impact</w:t>
      </w:r>
      <w:bookmarkEnd w:id="24"/>
      <w:bookmarkEnd w:id="25"/>
    </w:p>
    <w:p w14:paraId="280075AB" w14:textId="77777777" w:rsidR="001428D7" w:rsidRPr="00D97BC5" w:rsidRDefault="001428D7" w:rsidP="00B51709">
      <w:pPr>
        <w:pStyle w:val="Heading2"/>
      </w:pPr>
      <w:bookmarkStart w:id="26" w:name="_Toc93324929"/>
      <w:r w:rsidRPr="00D97BC5">
        <w:t>Statement of Impact</w:t>
      </w:r>
      <w:bookmarkEnd w:id="26"/>
    </w:p>
    <w:p w14:paraId="4F19D90E" w14:textId="5C73B730" w:rsidR="00101439" w:rsidRPr="00D97BC5" w:rsidRDefault="00D747CB" w:rsidP="00F5752F">
      <w:pPr>
        <w:spacing w:before="120" w:after="120"/>
        <w:rPr>
          <w:rFonts w:cs="Arial"/>
          <w:lang w:val="en-AU"/>
        </w:rPr>
      </w:pPr>
      <w:r w:rsidRPr="00D97BC5">
        <w:rPr>
          <w:lang w:val="en-AU"/>
        </w:rPr>
        <w:t xml:space="preserve">Clause B38 of the </w:t>
      </w:r>
      <w:r w:rsidR="00263F42" w:rsidRPr="00D97BC5">
        <w:rPr>
          <w:lang w:val="en-AU"/>
        </w:rPr>
        <w:t>a</w:t>
      </w:r>
      <w:r w:rsidRPr="00D97BC5">
        <w:rPr>
          <w:lang w:val="en-AU"/>
        </w:rPr>
        <w:t>ddendum states that IH</w:t>
      </w:r>
      <w:r w:rsidR="00E04A34" w:rsidRPr="00D97BC5">
        <w:rPr>
          <w:lang w:val="en-AU"/>
        </w:rPr>
        <w:t>AC</w:t>
      </w:r>
      <w:r w:rsidRPr="00D97BC5">
        <w:rPr>
          <w:lang w:val="en-AU"/>
        </w:rPr>
        <w:t>PA must provide a Statement of Impact to the Parties when material changes or significant transitions are proposed to the national funding model, including changes that will have a major impact on any one party or materially redistribute activity between service streams</w:t>
      </w:r>
      <w:r w:rsidR="00101439" w:rsidRPr="00D97BC5">
        <w:rPr>
          <w:rFonts w:cs="Arial"/>
          <w:lang w:val="en-AU"/>
        </w:rPr>
        <w:t>.</w:t>
      </w:r>
    </w:p>
    <w:p w14:paraId="1A25F12D" w14:textId="5E479CAE" w:rsidR="00D747CB" w:rsidRPr="00D97BC5" w:rsidRDefault="00D747CB" w:rsidP="00F5752F">
      <w:pPr>
        <w:spacing w:before="120" w:after="120"/>
        <w:rPr>
          <w:lang w:val="en-AU"/>
        </w:rPr>
      </w:pPr>
      <w:r w:rsidRPr="00D97BC5">
        <w:rPr>
          <w:lang w:val="en-AU"/>
        </w:rPr>
        <w:t xml:space="preserve">Clause B39 of the </w:t>
      </w:r>
      <w:r w:rsidR="00263F42" w:rsidRPr="00D97BC5">
        <w:rPr>
          <w:lang w:val="en-AU"/>
        </w:rPr>
        <w:t>a</w:t>
      </w:r>
      <w:r w:rsidRPr="00D97BC5">
        <w:rPr>
          <w:lang w:val="en-AU"/>
        </w:rPr>
        <w:t>ddendum stipulates that the Statement of Impact must be timely in relation to the matter raised and:</w:t>
      </w:r>
    </w:p>
    <w:p w14:paraId="3CA20677" w14:textId="7F447CA7" w:rsidR="00D747CB" w:rsidRPr="00D97BC5" w:rsidRDefault="00D747CB" w:rsidP="00F5752F">
      <w:pPr>
        <w:pStyle w:val="ListParagraph"/>
        <w:numPr>
          <w:ilvl w:val="0"/>
          <w:numId w:val="8"/>
        </w:numPr>
        <w:spacing w:before="120" w:after="120"/>
        <w:contextualSpacing w:val="0"/>
        <w:rPr>
          <w:lang w:val="en-AU"/>
        </w:rPr>
      </w:pPr>
      <w:r w:rsidRPr="00D97BC5">
        <w:rPr>
          <w:lang w:val="en-AU"/>
        </w:rPr>
        <w:t>include a risk assessment of the proposed changes or adjustments</w:t>
      </w:r>
      <w:r w:rsidR="003757DE" w:rsidRPr="00D97BC5">
        <w:rPr>
          <w:lang w:val="en-AU"/>
        </w:rPr>
        <w:t>;</w:t>
      </w:r>
    </w:p>
    <w:p w14:paraId="2EDEE922" w14:textId="3DE05783" w:rsidR="00D747CB" w:rsidRPr="00D97BC5" w:rsidRDefault="00D747CB" w:rsidP="00F5752F">
      <w:pPr>
        <w:pStyle w:val="ListParagraph"/>
        <w:numPr>
          <w:ilvl w:val="0"/>
          <w:numId w:val="8"/>
        </w:numPr>
        <w:spacing w:before="120" w:after="120"/>
        <w:contextualSpacing w:val="0"/>
        <w:rPr>
          <w:lang w:val="en-AU"/>
        </w:rPr>
      </w:pPr>
      <w:r w:rsidRPr="00D97BC5">
        <w:rPr>
          <w:lang w:val="en-AU"/>
        </w:rPr>
        <w:t>outline appropriate transition arrangements</w:t>
      </w:r>
      <w:r w:rsidR="003757DE" w:rsidRPr="00D97BC5">
        <w:rPr>
          <w:lang w:val="en-AU"/>
        </w:rPr>
        <w:t>;</w:t>
      </w:r>
    </w:p>
    <w:p w14:paraId="38A29864" w14:textId="77777777" w:rsidR="00D747CB" w:rsidRPr="00D97BC5" w:rsidRDefault="00D747CB" w:rsidP="00F5752F">
      <w:pPr>
        <w:pStyle w:val="ListParagraph"/>
        <w:numPr>
          <w:ilvl w:val="0"/>
          <w:numId w:val="8"/>
        </w:numPr>
        <w:spacing w:before="120" w:after="120"/>
        <w:contextualSpacing w:val="0"/>
        <w:rPr>
          <w:lang w:val="en-AU"/>
        </w:rPr>
      </w:pPr>
      <w:r w:rsidRPr="00D97BC5">
        <w:rPr>
          <w:lang w:val="en-AU"/>
        </w:rPr>
        <w:t>be informed by consultation with the Parties; and</w:t>
      </w:r>
    </w:p>
    <w:p w14:paraId="778B1FEE" w14:textId="7C529CCB" w:rsidR="00101439" w:rsidRPr="00D97BC5" w:rsidRDefault="00D747CB" w:rsidP="00F5752F">
      <w:pPr>
        <w:pStyle w:val="ListParagraph"/>
        <w:numPr>
          <w:ilvl w:val="0"/>
          <w:numId w:val="8"/>
        </w:numPr>
        <w:spacing w:before="120" w:after="120"/>
        <w:rPr>
          <w:rFonts w:cs="Arial"/>
          <w:lang w:val="en-AU"/>
        </w:rPr>
      </w:pPr>
      <w:r w:rsidRPr="00D97BC5">
        <w:rPr>
          <w:lang w:val="en-AU"/>
        </w:rPr>
        <w:t>have input from the Administrator</w:t>
      </w:r>
      <w:r w:rsidR="00101439" w:rsidRPr="00D97BC5">
        <w:rPr>
          <w:rFonts w:cs="Arial"/>
          <w:lang w:val="en-AU"/>
        </w:rPr>
        <w:t>.</w:t>
      </w:r>
    </w:p>
    <w:p w14:paraId="187A7496" w14:textId="07667716" w:rsidR="00D747CB" w:rsidRPr="00D97BC5" w:rsidRDefault="00D747CB" w:rsidP="00F5752F">
      <w:pPr>
        <w:spacing w:before="120" w:after="120"/>
        <w:rPr>
          <w:lang w:val="en-AU"/>
        </w:rPr>
      </w:pPr>
      <w:r w:rsidRPr="00D97BC5">
        <w:rPr>
          <w:lang w:val="en-AU"/>
        </w:rPr>
        <w:t>IH</w:t>
      </w:r>
      <w:r w:rsidR="00E04A34" w:rsidRPr="00D97BC5">
        <w:rPr>
          <w:lang w:val="en-AU"/>
        </w:rPr>
        <w:t>AC</w:t>
      </w:r>
      <w:r w:rsidRPr="00D97BC5">
        <w:rPr>
          <w:lang w:val="en-AU"/>
        </w:rPr>
        <w:t xml:space="preserve">PA will utilise the Statement of Impact to inform </w:t>
      </w:r>
      <w:r w:rsidR="003757DE" w:rsidRPr="00D97BC5">
        <w:rPr>
          <w:lang w:val="en-AU"/>
        </w:rPr>
        <w:t xml:space="preserve">and engage with </w:t>
      </w:r>
      <w:r w:rsidRPr="00D97BC5">
        <w:rPr>
          <w:lang w:val="en-AU"/>
        </w:rPr>
        <w:t xml:space="preserve">jurisdictions </w:t>
      </w:r>
      <w:r w:rsidR="003757DE" w:rsidRPr="00D97BC5">
        <w:rPr>
          <w:lang w:val="en-AU"/>
        </w:rPr>
        <w:t xml:space="preserve">for </w:t>
      </w:r>
      <w:r w:rsidRPr="00D97BC5">
        <w:rPr>
          <w:lang w:val="en-AU"/>
        </w:rPr>
        <w:t xml:space="preserve">all proposed changes to the national funding model. A Statement of Impact will be prepared for each proposed change and </w:t>
      </w:r>
      <w:r w:rsidR="003757DE" w:rsidRPr="00D97BC5">
        <w:rPr>
          <w:lang w:val="en-AU"/>
        </w:rPr>
        <w:t xml:space="preserve">for discussion at </w:t>
      </w:r>
      <w:r w:rsidRPr="00D97BC5">
        <w:rPr>
          <w:lang w:val="en-AU"/>
        </w:rPr>
        <w:t xml:space="preserve">TAC </w:t>
      </w:r>
      <w:r w:rsidR="007D371A" w:rsidRPr="00D97BC5">
        <w:rPr>
          <w:lang w:val="en-AU"/>
        </w:rPr>
        <w:t xml:space="preserve">and </w:t>
      </w:r>
      <w:r w:rsidRPr="00D97BC5">
        <w:rPr>
          <w:lang w:val="en-AU"/>
        </w:rPr>
        <w:t>JAC</w:t>
      </w:r>
      <w:r w:rsidR="003757DE" w:rsidRPr="00D97BC5">
        <w:rPr>
          <w:lang w:val="en-AU"/>
        </w:rPr>
        <w:t xml:space="preserve"> meetings</w:t>
      </w:r>
      <w:r w:rsidRPr="00D97BC5">
        <w:rPr>
          <w:lang w:val="en-AU"/>
        </w:rPr>
        <w:t>.</w:t>
      </w:r>
      <w:r w:rsidR="00D0296C" w:rsidRPr="00D97BC5">
        <w:rPr>
          <w:lang w:val="en-AU"/>
        </w:rPr>
        <w:t xml:space="preserve"> </w:t>
      </w:r>
      <w:r w:rsidR="003757DE" w:rsidRPr="00D97BC5">
        <w:rPr>
          <w:lang w:val="en-AU"/>
        </w:rPr>
        <w:t xml:space="preserve">Where possible, </w:t>
      </w:r>
      <w:r w:rsidR="00D0296C" w:rsidRPr="00D97BC5">
        <w:rPr>
          <w:lang w:val="en-AU"/>
        </w:rPr>
        <w:t>IHACPA will endeavour</w:t>
      </w:r>
      <w:r w:rsidR="008D30BC" w:rsidRPr="00D97BC5">
        <w:rPr>
          <w:lang w:val="en-AU"/>
        </w:rPr>
        <w:t xml:space="preserve"> to</w:t>
      </w:r>
      <w:r w:rsidR="00D0296C" w:rsidRPr="00D97BC5">
        <w:rPr>
          <w:lang w:val="en-AU"/>
        </w:rPr>
        <w:t xml:space="preserve"> seek technical input from TAC on proposed changes prior to consultation with JAC</w:t>
      </w:r>
      <w:r w:rsidR="008D30BC" w:rsidRPr="00D97BC5">
        <w:rPr>
          <w:lang w:val="en-AU"/>
        </w:rPr>
        <w:t>. T</w:t>
      </w:r>
      <w:r w:rsidR="00D0296C" w:rsidRPr="00D97BC5">
        <w:rPr>
          <w:lang w:val="en-AU"/>
        </w:rPr>
        <w:t xml:space="preserve">here may be situations where matters are deemed urgent by the </w:t>
      </w:r>
      <w:r w:rsidR="007D371A" w:rsidRPr="00D97BC5">
        <w:rPr>
          <w:lang w:val="en-AU"/>
        </w:rPr>
        <w:t xml:space="preserve">Chair of </w:t>
      </w:r>
      <w:r w:rsidR="00D0296C" w:rsidRPr="00D97BC5">
        <w:rPr>
          <w:lang w:val="en-AU"/>
        </w:rPr>
        <w:t xml:space="preserve">TAC or JAC </w:t>
      </w:r>
      <w:r w:rsidR="008D30BC" w:rsidRPr="00D97BC5">
        <w:rPr>
          <w:lang w:val="en-AU"/>
        </w:rPr>
        <w:t xml:space="preserve">that require </w:t>
      </w:r>
      <w:r w:rsidR="007D371A" w:rsidRPr="00D97BC5">
        <w:rPr>
          <w:lang w:val="en-AU"/>
        </w:rPr>
        <w:t>Statements of Impact</w:t>
      </w:r>
      <w:r w:rsidR="00D0296C" w:rsidRPr="00D97BC5">
        <w:rPr>
          <w:lang w:val="en-AU"/>
        </w:rPr>
        <w:t xml:space="preserve"> </w:t>
      </w:r>
      <w:r w:rsidR="008D30BC" w:rsidRPr="00D97BC5">
        <w:rPr>
          <w:lang w:val="en-AU"/>
        </w:rPr>
        <w:t xml:space="preserve">to </w:t>
      </w:r>
      <w:r w:rsidR="00D0296C" w:rsidRPr="00D97BC5">
        <w:rPr>
          <w:lang w:val="en-AU"/>
        </w:rPr>
        <w:t>be provide</w:t>
      </w:r>
      <w:r w:rsidR="007D371A" w:rsidRPr="00D97BC5">
        <w:rPr>
          <w:lang w:val="en-AU"/>
        </w:rPr>
        <w:t>d</w:t>
      </w:r>
      <w:r w:rsidR="00D0296C" w:rsidRPr="00D97BC5">
        <w:rPr>
          <w:lang w:val="en-AU"/>
        </w:rPr>
        <w:t xml:space="preserve"> directly to JAC</w:t>
      </w:r>
      <w:r w:rsidR="003757DE" w:rsidRPr="00D97BC5">
        <w:rPr>
          <w:lang w:val="en-AU"/>
        </w:rPr>
        <w:t xml:space="preserve"> prior to being tabled at TAC</w:t>
      </w:r>
      <w:r w:rsidR="00D0296C" w:rsidRPr="00D97BC5">
        <w:rPr>
          <w:lang w:val="en-AU"/>
        </w:rPr>
        <w:t>.</w:t>
      </w:r>
    </w:p>
    <w:p w14:paraId="7EBA2C32" w14:textId="615FF98F" w:rsidR="00D747CB" w:rsidRPr="00D97BC5" w:rsidRDefault="00D747CB" w:rsidP="00F5752F">
      <w:pPr>
        <w:spacing w:before="120" w:after="120"/>
        <w:rPr>
          <w:rFonts w:cs="Arial"/>
          <w:lang w:val="en-AU"/>
        </w:rPr>
      </w:pPr>
      <w:r w:rsidRPr="00D97BC5">
        <w:rPr>
          <w:lang w:val="en-AU"/>
        </w:rPr>
        <w:t>The Statement of Impact form to be utilised by IH</w:t>
      </w:r>
      <w:r w:rsidR="00E04A34" w:rsidRPr="00D97BC5">
        <w:rPr>
          <w:lang w:val="en-AU"/>
        </w:rPr>
        <w:t>AC</w:t>
      </w:r>
      <w:r w:rsidRPr="00D97BC5">
        <w:rPr>
          <w:lang w:val="en-AU"/>
        </w:rPr>
        <w:t xml:space="preserve">PA is provided at </w:t>
      </w:r>
      <w:r w:rsidRPr="00D97BC5">
        <w:rPr>
          <w:b/>
          <w:bCs/>
          <w:lang w:val="en-AU"/>
        </w:rPr>
        <w:t>Appendix B</w:t>
      </w:r>
      <w:r w:rsidR="00E04A34" w:rsidRPr="00D97BC5">
        <w:rPr>
          <w:lang w:val="en-AU"/>
        </w:rPr>
        <w:t>.</w:t>
      </w:r>
    </w:p>
    <w:p w14:paraId="1F872D7E" w14:textId="06F1833D" w:rsidR="00101439" w:rsidRPr="00D97BC5" w:rsidRDefault="00D747CB" w:rsidP="00B51709">
      <w:pPr>
        <w:pStyle w:val="Heading2"/>
        <w:rPr>
          <w:rFonts w:cs="Arial"/>
        </w:rPr>
      </w:pPr>
      <w:bookmarkStart w:id="27" w:name="_Toc93324930"/>
      <w:r w:rsidRPr="00D97BC5">
        <w:t>Overall scope</w:t>
      </w:r>
      <w:bookmarkEnd w:id="27"/>
    </w:p>
    <w:p w14:paraId="0B2679E8" w14:textId="77777777" w:rsidR="00D747CB" w:rsidRPr="00D97BC5" w:rsidRDefault="00D747CB" w:rsidP="00B51709">
      <w:pPr>
        <w:pStyle w:val="Heading3"/>
      </w:pPr>
      <w:r w:rsidRPr="00D97BC5">
        <w:t>4.2.1</w:t>
      </w:r>
      <w:r w:rsidRPr="00D97BC5">
        <w:tab/>
        <w:t>Materiality of proposed changes</w:t>
      </w:r>
    </w:p>
    <w:p w14:paraId="386E65F1" w14:textId="0DD7A21D" w:rsidR="00D747CB" w:rsidRPr="00D97BC5" w:rsidRDefault="00D747CB" w:rsidP="00F5752F">
      <w:pPr>
        <w:spacing w:before="120" w:after="120"/>
        <w:rPr>
          <w:lang w:val="en-AU"/>
        </w:rPr>
      </w:pPr>
      <w:r w:rsidRPr="00D97BC5">
        <w:rPr>
          <w:lang w:val="en-AU"/>
        </w:rPr>
        <w:t>IH</w:t>
      </w:r>
      <w:r w:rsidR="00E04A34" w:rsidRPr="00D97BC5">
        <w:rPr>
          <w:lang w:val="en-AU"/>
        </w:rPr>
        <w:t>AC</w:t>
      </w:r>
      <w:r w:rsidRPr="00D97BC5">
        <w:rPr>
          <w:lang w:val="en-AU"/>
        </w:rPr>
        <w:t xml:space="preserve">PA </w:t>
      </w:r>
      <w:r w:rsidR="00992205" w:rsidRPr="00D97BC5">
        <w:rPr>
          <w:lang w:val="en-AU"/>
        </w:rPr>
        <w:t xml:space="preserve">will assess the materiality of proposed changes and transitions to </w:t>
      </w:r>
      <w:r w:rsidRPr="00D97BC5">
        <w:rPr>
          <w:lang w:val="en-AU"/>
        </w:rPr>
        <w:t xml:space="preserve">determine what constitutes a material change or a significant transition requiring additional consultation. </w:t>
      </w:r>
      <w:r w:rsidR="007D371A" w:rsidRPr="00D97BC5">
        <w:rPr>
          <w:lang w:val="en-AU"/>
        </w:rPr>
        <w:t>P</w:t>
      </w:r>
      <w:r w:rsidRPr="00D97BC5">
        <w:rPr>
          <w:lang w:val="en-AU"/>
        </w:rPr>
        <w:t xml:space="preserve">roposed changes and adjustments to the national funding model will be assessed against the thresholds to ensure that </w:t>
      </w:r>
      <w:r w:rsidR="003757DE" w:rsidRPr="00D97BC5">
        <w:rPr>
          <w:lang w:val="en-AU"/>
        </w:rPr>
        <w:t xml:space="preserve">IHACPA’s </w:t>
      </w:r>
      <w:r w:rsidRPr="00D97BC5">
        <w:rPr>
          <w:lang w:val="en-AU"/>
        </w:rPr>
        <w:t>pricing process remains reactive and transparent. The proposed changes and adjustments that trigger one or more of the established thresholds will undergo additional consultation</w:t>
      </w:r>
      <w:r w:rsidR="003757DE" w:rsidRPr="00D97BC5">
        <w:rPr>
          <w:lang w:val="en-AU"/>
        </w:rPr>
        <w:t xml:space="preserve"> with HMM</w:t>
      </w:r>
      <w:r w:rsidRPr="00D97BC5">
        <w:rPr>
          <w:lang w:val="en-AU"/>
        </w:rPr>
        <w:t>.</w:t>
      </w:r>
    </w:p>
    <w:p w14:paraId="1E9777CC" w14:textId="2472F380" w:rsidR="00101439" w:rsidRPr="00D97BC5" w:rsidRDefault="00D747CB" w:rsidP="00F5752F">
      <w:pPr>
        <w:spacing w:before="120" w:after="120"/>
        <w:rPr>
          <w:rFonts w:cs="Arial"/>
          <w:lang w:val="en-AU"/>
        </w:rPr>
      </w:pPr>
      <w:r w:rsidRPr="00D97BC5">
        <w:rPr>
          <w:lang w:val="en-AU"/>
        </w:rPr>
        <w:t xml:space="preserve">The thresholds are </w:t>
      </w:r>
      <w:r w:rsidR="003757DE" w:rsidRPr="00D97BC5">
        <w:rPr>
          <w:lang w:val="en-AU"/>
        </w:rPr>
        <w:t>outlined at</w:t>
      </w:r>
      <w:r w:rsidRPr="00D97BC5">
        <w:rPr>
          <w:lang w:val="en-AU"/>
        </w:rPr>
        <w:t xml:space="preserve"> </w:t>
      </w:r>
      <w:r w:rsidR="00DD4495" w:rsidRPr="00D97BC5">
        <w:rPr>
          <w:lang w:val="en-AU"/>
        </w:rPr>
        <w:t>c</w:t>
      </w:r>
      <w:r w:rsidRPr="00D97BC5">
        <w:rPr>
          <w:lang w:val="en-AU"/>
        </w:rPr>
        <w:t>hapter 5</w:t>
      </w:r>
      <w:r w:rsidR="00101439" w:rsidRPr="00D97BC5">
        <w:rPr>
          <w:rFonts w:cs="Arial"/>
          <w:lang w:val="en-AU"/>
        </w:rPr>
        <w:t>.</w:t>
      </w:r>
    </w:p>
    <w:p w14:paraId="3F97F029" w14:textId="77777777" w:rsidR="00D747CB" w:rsidRPr="00D97BC5" w:rsidRDefault="00D747CB" w:rsidP="00B51709">
      <w:pPr>
        <w:pStyle w:val="Heading3"/>
      </w:pPr>
      <w:r w:rsidRPr="00D97BC5">
        <w:t>4.2.2</w:t>
      </w:r>
      <w:r w:rsidRPr="00D97BC5">
        <w:tab/>
        <w:t>Risk assessment</w:t>
      </w:r>
    </w:p>
    <w:p w14:paraId="179C862A" w14:textId="76622905" w:rsidR="00101439" w:rsidRPr="00D97BC5" w:rsidRDefault="00D747CB" w:rsidP="00F5752F">
      <w:pPr>
        <w:spacing w:before="120" w:after="120"/>
        <w:rPr>
          <w:rFonts w:cs="Arial"/>
          <w:lang w:val="en-AU"/>
        </w:rPr>
      </w:pPr>
      <w:r w:rsidRPr="00D97BC5">
        <w:rPr>
          <w:lang w:val="en-AU"/>
        </w:rPr>
        <w:t>The risk assessment included in the Statement of Impact will assess the benefits and risks associated with the proposed change across different risk categories. IH</w:t>
      </w:r>
      <w:r w:rsidR="00E04A34" w:rsidRPr="00D97BC5">
        <w:rPr>
          <w:lang w:val="en-AU"/>
        </w:rPr>
        <w:t>AC</w:t>
      </w:r>
      <w:r w:rsidRPr="00D97BC5">
        <w:rPr>
          <w:lang w:val="en-AU"/>
        </w:rPr>
        <w:t>PA will assess the likelihood of the identified risks occurring and address how the risks will be mitigated and/or managed</w:t>
      </w:r>
      <w:r w:rsidR="00101439" w:rsidRPr="00D97BC5">
        <w:rPr>
          <w:rFonts w:cs="Arial"/>
          <w:lang w:val="en-AU"/>
        </w:rPr>
        <w:t>.</w:t>
      </w:r>
    </w:p>
    <w:p w14:paraId="61973504" w14:textId="77777777" w:rsidR="00D747CB" w:rsidRPr="00D97BC5" w:rsidRDefault="00D747CB" w:rsidP="00B51709">
      <w:pPr>
        <w:pStyle w:val="Heading3"/>
      </w:pPr>
      <w:r w:rsidRPr="00D97BC5">
        <w:lastRenderedPageBreak/>
        <w:t>4.2.3</w:t>
      </w:r>
      <w:r w:rsidRPr="00D97BC5">
        <w:tab/>
        <w:t>Transition arrangements</w:t>
      </w:r>
    </w:p>
    <w:p w14:paraId="061EBEE3" w14:textId="0B9B043D" w:rsidR="00D747CB" w:rsidRPr="00D97BC5" w:rsidRDefault="00D747CB" w:rsidP="00F5752F">
      <w:pPr>
        <w:spacing w:before="120" w:after="120"/>
        <w:rPr>
          <w:lang w:val="en-AU"/>
        </w:rPr>
      </w:pPr>
      <w:r w:rsidRPr="00D97BC5">
        <w:rPr>
          <w:lang w:val="en-AU"/>
        </w:rPr>
        <w:t xml:space="preserve">The Statement of Impact </w:t>
      </w:r>
      <w:r w:rsidR="003757DE" w:rsidRPr="00D97BC5">
        <w:rPr>
          <w:lang w:val="en-AU"/>
        </w:rPr>
        <w:t xml:space="preserve">outlines </w:t>
      </w:r>
      <w:r w:rsidRPr="00D97BC5">
        <w:rPr>
          <w:lang w:val="en-AU"/>
        </w:rPr>
        <w:t xml:space="preserve">the transition arrangements associated with the proposed change, including whether the change will require shadow pricing. </w:t>
      </w:r>
      <w:r w:rsidR="0035448B" w:rsidRPr="00D97BC5">
        <w:rPr>
          <w:lang w:val="en-AU"/>
        </w:rPr>
        <w:t>This includes proposals to commence shadow pricing and proposals to transition from shadow pricing to pricing. Further detail on principles and timeframes for commencing shadow pricing and reporting requirements during the shadow pricing period</w:t>
      </w:r>
      <w:r w:rsidR="0035448B" w:rsidRPr="00D97BC5" w:rsidDel="003757DE">
        <w:rPr>
          <w:lang w:val="en-AU"/>
        </w:rPr>
        <w:t xml:space="preserve"> </w:t>
      </w:r>
      <w:r w:rsidR="0035448B" w:rsidRPr="00D97BC5">
        <w:rPr>
          <w:lang w:val="en-AU"/>
        </w:rPr>
        <w:t xml:space="preserve">is provided in the </w:t>
      </w:r>
      <w:hyperlink r:id="rId19" w:history="1">
        <w:r w:rsidR="0035448B" w:rsidRPr="00D97BC5">
          <w:rPr>
            <w:rStyle w:val="Hyperlink"/>
            <w:color w:val="0080C4"/>
            <w:lang w:val="en-AU"/>
          </w:rPr>
          <w:t>Shadow Pricing Guidelines</w:t>
        </w:r>
      </w:hyperlink>
      <w:r w:rsidRPr="00D97BC5">
        <w:rPr>
          <w:lang w:val="en-AU"/>
        </w:rPr>
        <w:t>.</w:t>
      </w:r>
    </w:p>
    <w:p w14:paraId="76643B61" w14:textId="07FF2475" w:rsidR="00D747CB" w:rsidRPr="00D97BC5" w:rsidRDefault="00D747CB" w:rsidP="00F5752F">
      <w:pPr>
        <w:spacing w:before="120" w:after="120"/>
        <w:rPr>
          <w:lang w:val="en-AU"/>
        </w:rPr>
      </w:pPr>
      <w:r w:rsidRPr="00D97BC5">
        <w:rPr>
          <w:lang w:val="en-AU"/>
        </w:rPr>
        <w:t xml:space="preserve">Further detail on the requirements for transitional arrangements is provided in </w:t>
      </w:r>
      <w:r w:rsidR="0035448B" w:rsidRPr="00D97BC5">
        <w:rPr>
          <w:lang w:val="en-AU"/>
        </w:rPr>
        <w:t>c</w:t>
      </w:r>
      <w:r w:rsidRPr="00D97BC5">
        <w:rPr>
          <w:lang w:val="en-AU"/>
        </w:rPr>
        <w:t>hapter 6</w:t>
      </w:r>
      <w:r w:rsidR="0035448B" w:rsidRPr="00D97BC5">
        <w:rPr>
          <w:lang w:val="en-AU"/>
        </w:rPr>
        <w:t xml:space="preserve"> of this policy</w:t>
      </w:r>
      <w:r w:rsidRPr="00D97BC5">
        <w:rPr>
          <w:lang w:val="en-AU"/>
        </w:rPr>
        <w:t>.</w:t>
      </w:r>
    </w:p>
    <w:p w14:paraId="5E50E180" w14:textId="77777777" w:rsidR="00EA16B2" w:rsidRPr="00D97BC5" w:rsidRDefault="00EA16B2" w:rsidP="00B51709">
      <w:pPr>
        <w:pStyle w:val="Heading3"/>
      </w:pPr>
      <w:r w:rsidRPr="00D97BC5">
        <w:t>4.2.4</w:t>
      </w:r>
      <w:r w:rsidRPr="00D97BC5">
        <w:tab/>
        <w:t>Consultation pathway</w:t>
      </w:r>
    </w:p>
    <w:p w14:paraId="555D20C0" w14:textId="54FE3C80" w:rsidR="00EA16B2" w:rsidRPr="00D97BC5" w:rsidRDefault="00EA16B2" w:rsidP="00F5752F">
      <w:pPr>
        <w:spacing w:before="120" w:after="120"/>
        <w:rPr>
          <w:lang w:val="en-AU"/>
        </w:rPr>
      </w:pPr>
      <w:r w:rsidRPr="00D97BC5">
        <w:rPr>
          <w:lang w:val="en-AU"/>
        </w:rPr>
        <w:t xml:space="preserve">The purpose of the Statement of Impact is to inform </w:t>
      </w:r>
      <w:r w:rsidR="001319FB" w:rsidRPr="00D97BC5">
        <w:rPr>
          <w:lang w:val="en-AU"/>
        </w:rPr>
        <w:t xml:space="preserve">and engage with </w:t>
      </w:r>
      <w:r w:rsidRPr="00D97BC5">
        <w:rPr>
          <w:lang w:val="en-AU"/>
        </w:rPr>
        <w:t xml:space="preserve">jurisdictions </w:t>
      </w:r>
      <w:r w:rsidR="001319FB" w:rsidRPr="00D97BC5">
        <w:rPr>
          <w:lang w:val="en-AU"/>
        </w:rPr>
        <w:t xml:space="preserve">for </w:t>
      </w:r>
      <w:r w:rsidRPr="00D97BC5">
        <w:rPr>
          <w:lang w:val="en-AU"/>
        </w:rPr>
        <w:t>all proposed changes to the national funding model. The Statement of Impact includes IH</w:t>
      </w:r>
      <w:r w:rsidR="00E04A34" w:rsidRPr="00D97BC5">
        <w:rPr>
          <w:lang w:val="en-AU"/>
        </w:rPr>
        <w:t>AC</w:t>
      </w:r>
      <w:r w:rsidRPr="00D97BC5">
        <w:rPr>
          <w:lang w:val="en-AU"/>
        </w:rPr>
        <w:t>PA’s assessment of whether the proposed change triggers the requirement for additional consultation</w:t>
      </w:r>
      <w:r w:rsidR="001319FB" w:rsidRPr="00D97BC5">
        <w:rPr>
          <w:lang w:val="en-AU"/>
        </w:rPr>
        <w:t xml:space="preserve"> with HMM</w:t>
      </w:r>
      <w:r w:rsidR="00116B8D" w:rsidRPr="00D97BC5">
        <w:rPr>
          <w:lang w:val="en-AU"/>
        </w:rPr>
        <w:t xml:space="preserve">, as outlined in </w:t>
      </w:r>
      <w:r w:rsidR="00DD4495" w:rsidRPr="00D97BC5">
        <w:rPr>
          <w:lang w:val="en-AU"/>
        </w:rPr>
        <w:t>c</w:t>
      </w:r>
      <w:r w:rsidR="00116B8D" w:rsidRPr="00D97BC5">
        <w:rPr>
          <w:lang w:val="en-AU"/>
        </w:rPr>
        <w:t>hapter 3</w:t>
      </w:r>
      <w:r w:rsidRPr="00D97BC5">
        <w:rPr>
          <w:lang w:val="en-AU"/>
        </w:rPr>
        <w:t>.</w:t>
      </w:r>
    </w:p>
    <w:p w14:paraId="70BE3C24" w14:textId="7DBFE528" w:rsidR="00EA16B2" w:rsidRPr="00D97BC5" w:rsidRDefault="00EA16B2" w:rsidP="00F5752F">
      <w:pPr>
        <w:spacing w:before="120" w:after="120"/>
        <w:rPr>
          <w:lang w:val="en-AU"/>
        </w:rPr>
      </w:pPr>
      <w:r w:rsidRPr="00D97BC5">
        <w:rPr>
          <w:lang w:val="en-AU"/>
        </w:rPr>
        <w:t>If jurisdictions disagree with IH</w:t>
      </w:r>
      <w:r w:rsidR="00E04A34" w:rsidRPr="00D97BC5">
        <w:rPr>
          <w:lang w:val="en-AU"/>
        </w:rPr>
        <w:t>AC</w:t>
      </w:r>
      <w:r w:rsidRPr="00D97BC5">
        <w:rPr>
          <w:lang w:val="en-AU"/>
        </w:rPr>
        <w:t>PA’s assessment of a proposed change and the necessity of additional consultation</w:t>
      </w:r>
      <w:r w:rsidR="001319FB" w:rsidRPr="00D97BC5">
        <w:rPr>
          <w:lang w:val="en-AU"/>
        </w:rPr>
        <w:t xml:space="preserve"> with HMM</w:t>
      </w:r>
      <w:r w:rsidRPr="00D97BC5">
        <w:rPr>
          <w:lang w:val="en-AU"/>
        </w:rPr>
        <w:t xml:space="preserve">, the Statement of Impact provides an avenue for the Commonwealth or </w:t>
      </w:r>
      <w:r w:rsidR="00626CBA" w:rsidRPr="00D97BC5">
        <w:rPr>
          <w:lang w:val="en-AU"/>
        </w:rPr>
        <w:t xml:space="preserve">2 </w:t>
      </w:r>
      <w:r w:rsidRPr="00D97BC5">
        <w:rPr>
          <w:lang w:val="en-AU"/>
        </w:rPr>
        <w:t xml:space="preserve">or more states or territories to instigate the pathway for additional consultation. Any requests for additional consultation </w:t>
      </w:r>
      <w:r w:rsidR="001319FB" w:rsidRPr="00D97BC5">
        <w:rPr>
          <w:lang w:val="en-AU"/>
        </w:rPr>
        <w:t xml:space="preserve">with HMM </w:t>
      </w:r>
      <w:r w:rsidRPr="00D97BC5">
        <w:rPr>
          <w:lang w:val="en-AU"/>
        </w:rPr>
        <w:t xml:space="preserve">must be provided in writing from </w:t>
      </w:r>
      <w:r w:rsidR="001319FB" w:rsidRPr="00D97BC5">
        <w:rPr>
          <w:lang w:val="en-AU"/>
        </w:rPr>
        <w:t xml:space="preserve">the </w:t>
      </w:r>
      <w:r w:rsidRPr="00D97BC5">
        <w:rPr>
          <w:lang w:val="en-AU"/>
        </w:rPr>
        <w:t xml:space="preserve">requesting JAC </w:t>
      </w:r>
      <w:r w:rsidR="001319FB" w:rsidRPr="00D97BC5">
        <w:rPr>
          <w:lang w:val="en-AU"/>
        </w:rPr>
        <w:t>m</w:t>
      </w:r>
      <w:r w:rsidRPr="00D97BC5">
        <w:rPr>
          <w:lang w:val="en-AU"/>
        </w:rPr>
        <w:t>embers.</w:t>
      </w:r>
    </w:p>
    <w:p w14:paraId="4CBC70B8" w14:textId="77777777" w:rsidR="00EA16B2" w:rsidRPr="00D97BC5" w:rsidRDefault="00EA16B2" w:rsidP="00B51709">
      <w:pPr>
        <w:pStyle w:val="Heading3"/>
      </w:pPr>
      <w:r w:rsidRPr="00D97BC5">
        <w:t>4.2.5</w:t>
      </w:r>
      <w:r w:rsidRPr="00D97BC5">
        <w:tab/>
        <w:t>Input from the Administrator</w:t>
      </w:r>
    </w:p>
    <w:p w14:paraId="664FE1DC" w14:textId="77777777" w:rsidR="00354430" w:rsidRPr="00D97BC5" w:rsidRDefault="00354430" w:rsidP="00354430">
      <w:pPr>
        <w:spacing w:before="120" w:after="120"/>
        <w:rPr>
          <w:lang w:val="en-AU"/>
        </w:rPr>
      </w:pPr>
      <w:r w:rsidRPr="00D97BC5">
        <w:rPr>
          <w:lang w:val="en-AU"/>
        </w:rPr>
        <w:t>Clause B39 of the Addendum requires the Statement of Impact to include input from the Administrator on the proposed change. The Administrator participates in TAC and JAC meetings, as well as meetings between IHACPA and the NHFB in relation to updates to the national funding model.</w:t>
      </w:r>
    </w:p>
    <w:p w14:paraId="11BA72D5" w14:textId="3863D803" w:rsidR="00354430" w:rsidRPr="00D97BC5" w:rsidDel="00392FC2" w:rsidRDefault="00354430" w:rsidP="00354430">
      <w:pPr>
        <w:spacing w:before="120" w:after="120"/>
        <w:rPr>
          <w:lang w:val="en-AU"/>
        </w:rPr>
      </w:pPr>
      <w:r w:rsidRPr="00D97BC5">
        <w:rPr>
          <w:lang w:val="en-AU"/>
        </w:rPr>
        <w:t>Specific advice on the proposed change will be sought from the Administrator for inclusion in the Statement of Impact.</w:t>
      </w:r>
    </w:p>
    <w:p w14:paraId="2478358F" w14:textId="6962B8F0" w:rsidR="00101439" w:rsidRPr="00D97BC5" w:rsidRDefault="00992205" w:rsidP="00B51709">
      <w:pPr>
        <w:pStyle w:val="Heading2"/>
        <w:rPr>
          <w:rFonts w:cs="Arial"/>
        </w:rPr>
      </w:pPr>
      <w:bookmarkStart w:id="28" w:name="_Toc93324931"/>
      <w:r w:rsidRPr="00D97BC5">
        <w:t xml:space="preserve">Consultation with </w:t>
      </w:r>
      <w:r w:rsidR="00EA16B2" w:rsidRPr="00D97BC5">
        <w:t>jurisdictions</w:t>
      </w:r>
      <w:bookmarkEnd w:id="28"/>
    </w:p>
    <w:p w14:paraId="3795785C" w14:textId="5E50C341" w:rsidR="00EA16B2" w:rsidRPr="00D97BC5" w:rsidRDefault="00EA16B2" w:rsidP="00F5752F">
      <w:pPr>
        <w:spacing w:before="120" w:after="120"/>
        <w:rPr>
          <w:rFonts w:cs="Arial"/>
          <w:lang w:val="en-AU"/>
        </w:rPr>
      </w:pPr>
      <w:r w:rsidRPr="00D97BC5">
        <w:rPr>
          <w:rFonts w:cs="Arial"/>
          <w:lang w:val="en-AU"/>
        </w:rPr>
        <w:t>All proposed changes and adjustments to the national funding model, even those that do not trigger any of the thresholds for additional consultation, will still see the provision of a Statement of Impact and</w:t>
      </w:r>
      <w:r w:rsidR="003B1A66" w:rsidRPr="00D97BC5">
        <w:rPr>
          <w:rFonts w:cs="Arial"/>
          <w:lang w:val="en-AU"/>
        </w:rPr>
        <w:t xml:space="preserve"> undergo</w:t>
      </w:r>
      <w:r w:rsidRPr="00D97BC5">
        <w:rPr>
          <w:rFonts w:cs="Arial"/>
          <w:lang w:val="en-AU"/>
        </w:rPr>
        <w:t xml:space="preserve"> </w:t>
      </w:r>
      <w:r w:rsidR="00CE0416" w:rsidRPr="00D97BC5">
        <w:rPr>
          <w:rFonts w:cs="Arial"/>
          <w:lang w:val="en-AU"/>
        </w:rPr>
        <w:t xml:space="preserve">existing </w:t>
      </w:r>
      <w:r w:rsidRPr="00D97BC5">
        <w:rPr>
          <w:rFonts w:cs="Arial"/>
          <w:lang w:val="en-AU"/>
        </w:rPr>
        <w:t>consultative mechanisms through TAC</w:t>
      </w:r>
      <w:r w:rsidR="002E3F86" w:rsidRPr="00D97BC5">
        <w:rPr>
          <w:rFonts w:cs="Arial"/>
          <w:lang w:val="en-AU"/>
        </w:rPr>
        <w:t xml:space="preserve"> and</w:t>
      </w:r>
      <w:r w:rsidRPr="00D97BC5">
        <w:rPr>
          <w:rFonts w:cs="Arial"/>
          <w:lang w:val="en-AU"/>
        </w:rPr>
        <w:t xml:space="preserve"> JAC</w:t>
      </w:r>
      <w:r w:rsidR="002E3F86" w:rsidRPr="00D97BC5">
        <w:rPr>
          <w:rFonts w:cs="Arial"/>
          <w:lang w:val="en-AU"/>
        </w:rPr>
        <w:t xml:space="preserve"> in accordance with their Terms of Reference</w:t>
      </w:r>
      <w:r w:rsidRPr="00D97BC5">
        <w:rPr>
          <w:rFonts w:cs="Arial"/>
          <w:lang w:val="en-AU"/>
        </w:rPr>
        <w:t>.</w:t>
      </w:r>
    </w:p>
    <w:p w14:paraId="7C372BAC" w14:textId="45C72864" w:rsidR="00EA16B2" w:rsidRPr="00D97BC5" w:rsidRDefault="00EA16B2" w:rsidP="00F5752F">
      <w:pPr>
        <w:spacing w:before="120" w:after="120"/>
        <w:rPr>
          <w:rFonts w:cs="Arial"/>
          <w:lang w:val="en-AU"/>
        </w:rPr>
      </w:pPr>
      <w:r w:rsidRPr="00D97BC5">
        <w:rPr>
          <w:rFonts w:cs="Arial"/>
          <w:lang w:val="en-AU"/>
        </w:rPr>
        <w:t>The Statement of Impact ensures that guidance is sought from the jurisdictions when IH</w:t>
      </w:r>
      <w:r w:rsidR="00E04A34" w:rsidRPr="00D97BC5">
        <w:rPr>
          <w:rFonts w:cs="Arial"/>
          <w:lang w:val="en-AU"/>
        </w:rPr>
        <w:t>AC</w:t>
      </w:r>
      <w:r w:rsidRPr="00D97BC5">
        <w:rPr>
          <w:rFonts w:cs="Arial"/>
          <w:lang w:val="en-AU"/>
        </w:rPr>
        <w:t xml:space="preserve">PA proposes changes to the national funding model that will impact the way services are delivered, as stipulated by clause B37 of the </w:t>
      </w:r>
      <w:r w:rsidR="00263F42" w:rsidRPr="00D97BC5">
        <w:rPr>
          <w:rFonts w:cs="Arial"/>
          <w:lang w:val="en-AU"/>
        </w:rPr>
        <w:t>a</w:t>
      </w:r>
      <w:r w:rsidRPr="00D97BC5">
        <w:rPr>
          <w:rFonts w:cs="Arial"/>
          <w:lang w:val="en-AU"/>
        </w:rPr>
        <w:t>ddendum.</w:t>
      </w:r>
    </w:p>
    <w:p w14:paraId="06431917" w14:textId="6B9365E9" w:rsidR="00101439" w:rsidRPr="00D97BC5" w:rsidRDefault="00EA16B2" w:rsidP="00F5752F">
      <w:pPr>
        <w:spacing w:before="120" w:after="120"/>
        <w:rPr>
          <w:rFonts w:cs="Arial"/>
          <w:lang w:val="en-AU"/>
        </w:rPr>
      </w:pPr>
      <w:r w:rsidRPr="00D97BC5">
        <w:rPr>
          <w:rFonts w:cs="Arial"/>
          <w:lang w:val="en-AU"/>
        </w:rPr>
        <w:t>Additionally, the Parties may escalate a funding policy issue at any stage to HCEF or HMM for consideration</w:t>
      </w:r>
      <w:r w:rsidR="00101439" w:rsidRPr="00D97BC5">
        <w:rPr>
          <w:rFonts w:cs="Arial"/>
          <w:lang w:val="en-AU"/>
        </w:rPr>
        <w:t xml:space="preserve">.  </w:t>
      </w:r>
    </w:p>
    <w:p w14:paraId="4F96537C" w14:textId="30E11FC4" w:rsidR="00A3000B" w:rsidRPr="00D97BC5" w:rsidRDefault="00A3000B" w:rsidP="00A3000B">
      <w:pPr>
        <w:spacing w:before="120" w:after="120"/>
        <w:rPr>
          <w:rFonts w:cs="Arial"/>
          <w:lang w:val="en-AU"/>
        </w:rPr>
      </w:pPr>
      <w:r w:rsidRPr="00D97BC5">
        <w:rPr>
          <w:lang w:val="en-AU"/>
        </w:rPr>
        <w:t xml:space="preserve">Further detail on the consultation process for Statements of Impact for proposed changes to the national funding model, including pathways for jurisdictions to request additional consultation, is provided at </w:t>
      </w:r>
      <w:r w:rsidRPr="00D97BC5">
        <w:rPr>
          <w:b/>
          <w:lang w:val="en-AU"/>
        </w:rPr>
        <w:t>Figure 1</w:t>
      </w:r>
      <w:r w:rsidRPr="00D97BC5">
        <w:rPr>
          <w:bCs/>
          <w:lang w:val="en-AU"/>
        </w:rPr>
        <w:t>.</w:t>
      </w:r>
    </w:p>
    <w:p w14:paraId="550DA791" w14:textId="77777777" w:rsidR="00A3000B" w:rsidRPr="00D97BC5" w:rsidRDefault="00A3000B" w:rsidP="00A3000B">
      <w:pPr>
        <w:pStyle w:val="FigureHeading"/>
      </w:pPr>
      <w:r w:rsidRPr="00D97BC5">
        <w:lastRenderedPageBreak/>
        <w:t>Consultation process for Statements of Impact</w:t>
      </w:r>
    </w:p>
    <w:p w14:paraId="70139737" w14:textId="10171576" w:rsidR="00101439" w:rsidRPr="00D97BC5" w:rsidRDefault="00A3000B">
      <w:pPr>
        <w:spacing w:line="259" w:lineRule="auto"/>
        <w:rPr>
          <w:rFonts w:cs="Arial"/>
          <w:lang w:val="en-AU"/>
        </w:rPr>
      </w:pPr>
      <w:r w:rsidRPr="00D97BC5">
        <w:rPr>
          <w:rFonts w:cs="Arial"/>
          <w:noProof/>
          <w:lang w:val="en-AU"/>
        </w:rPr>
        <w:drawing>
          <wp:inline distT="0" distB="0" distL="0" distR="0" wp14:anchorId="609F1B9E" wp14:editId="52F36EBD">
            <wp:extent cx="6070594" cy="66484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77840" cy="6656385"/>
                    </a:xfrm>
                    <a:prstGeom prst="rect">
                      <a:avLst/>
                    </a:prstGeom>
                    <a:noFill/>
                  </pic:spPr>
                </pic:pic>
              </a:graphicData>
            </a:graphic>
          </wp:inline>
        </w:drawing>
      </w:r>
      <w:r w:rsidR="00101439" w:rsidRPr="00D97BC5">
        <w:rPr>
          <w:rFonts w:cs="Arial"/>
          <w:lang w:val="en-AU"/>
        </w:rPr>
        <w:br w:type="page"/>
      </w:r>
    </w:p>
    <w:p w14:paraId="38BF07AE" w14:textId="6C3573ED" w:rsidR="00101439" w:rsidRPr="00D97BC5" w:rsidRDefault="00EA16B2" w:rsidP="00F5752F">
      <w:pPr>
        <w:pStyle w:val="Heading1"/>
        <w:rPr>
          <w:rFonts w:cs="Arial"/>
        </w:rPr>
      </w:pPr>
      <w:bookmarkStart w:id="29" w:name="_Toc93324932"/>
      <w:bookmarkStart w:id="30" w:name="_Toc168557605"/>
      <w:r w:rsidRPr="00D97BC5">
        <w:lastRenderedPageBreak/>
        <w:t>Threshold</w:t>
      </w:r>
      <w:r w:rsidR="002C723D" w:rsidRPr="00D97BC5">
        <w:t>s</w:t>
      </w:r>
      <w:r w:rsidRPr="00D97BC5">
        <w:t xml:space="preserve"> for additional consultation</w:t>
      </w:r>
      <w:bookmarkEnd w:id="29"/>
      <w:bookmarkEnd w:id="30"/>
    </w:p>
    <w:p w14:paraId="7BF17A6D" w14:textId="04655DB9" w:rsidR="00EA16B2" w:rsidRPr="00D97BC5" w:rsidRDefault="00EA16B2" w:rsidP="00B51709">
      <w:pPr>
        <w:pStyle w:val="Heading2"/>
      </w:pPr>
      <w:bookmarkStart w:id="31" w:name="_Toc93324933"/>
      <w:r w:rsidRPr="00D97BC5">
        <w:t xml:space="preserve">Requirements under the </w:t>
      </w:r>
      <w:r w:rsidR="00263F42" w:rsidRPr="00D97BC5">
        <w:t>a</w:t>
      </w:r>
      <w:r w:rsidRPr="00D97BC5">
        <w:t>ddendum</w:t>
      </w:r>
      <w:bookmarkEnd w:id="31"/>
    </w:p>
    <w:p w14:paraId="354F60DB" w14:textId="2B60C93A" w:rsidR="00EA16B2" w:rsidRPr="00D97BC5" w:rsidRDefault="00EA16B2" w:rsidP="00F5752F">
      <w:pPr>
        <w:spacing w:before="120" w:after="120"/>
        <w:rPr>
          <w:lang w:val="en-AU"/>
        </w:rPr>
      </w:pPr>
      <w:r w:rsidRPr="00D97BC5">
        <w:rPr>
          <w:lang w:val="en-AU"/>
        </w:rPr>
        <w:t xml:space="preserve">Clause B10 of the </w:t>
      </w:r>
      <w:r w:rsidR="00263F42" w:rsidRPr="00D97BC5">
        <w:rPr>
          <w:lang w:val="en-AU"/>
        </w:rPr>
        <w:t>a</w:t>
      </w:r>
      <w:r w:rsidRPr="00D97BC5">
        <w:rPr>
          <w:lang w:val="en-AU"/>
        </w:rPr>
        <w:t xml:space="preserve">ddendum states that given the significance to all Parties of the functions discharged by the national funding bodies, the bodies will undertake additional consultation </w:t>
      </w:r>
      <w:r w:rsidR="002C723D" w:rsidRPr="00D97BC5">
        <w:rPr>
          <w:lang w:val="en-AU"/>
        </w:rPr>
        <w:t xml:space="preserve">with HMM </w:t>
      </w:r>
      <w:r w:rsidRPr="00D97BC5">
        <w:rPr>
          <w:lang w:val="en-AU"/>
        </w:rPr>
        <w:t>for changes that materially impact the application of the national funding model.</w:t>
      </w:r>
    </w:p>
    <w:p w14:paraId="2240527E" w14:textId="4F822ABD" w:rsidR="00101439" w:rsidRPr="00D97BC5" w:rsidRDefault="00EA16B2" w:rsidP="00F5752F">
      <w:pPr>
        <w:shd w:val="clear" w:color="auto" w:fill="FFFFFF"/>
        <w:spacing w:before="120" w:after="120"/>
        <w:rPr>
          <w:rFonts w:cs="Arial"/>
          <w:lang w:val="en-AU"/>
        </w:rPr>
      </w:pPr>
      <w:r w:rsidRPr="00D97BC5">
        <w:rPr>
          <w:lang w:val="en-AU"/>
        </w:rPr>
        <w:t>In fulfilling the intent behind this clause, IH</w:t>
      </w:r>
      <w:r w:rsidR="00E04A34" w:rsidRPr="00D97BC5">
        <w:rPr>
          <w:lang w:val="en-AU"/>
        </w:rPr>
        <w:t>AC</w:t>
      </w:r>
      <w:r w:rsidRPr="00D97BC5">
        <w:rPr>
          <w:lang w:val="en-AU"/>
        </w:rPr>
        <w:t>PA has developed a set of thresholds for assessing whether a proposed change is sufficiently material to warrant additional consultation with HMM</w:t>
      </w:r>
      <w:r w:rsidR="00101439" w:rsidRPr="00D97BC5">
        <w:rPr>
          <w:rFonts w:cs="Arial"/>
          <w:lang w:val="en-AU"/>
        </w:rPr>
        <w:t xml:space="preserve">. </w:t>
      </w:r>
    </w:p>
    <w:p w14:paraId="688DB5AC" w14:textId="77777777" w:rsidR="00E36CA8" w:rsidRPr="00D97BC5" w:rsidRDefault="00E36CA8" w:rsidP="00B51709">
      <w:pPr>
        <w:pStyle w:val="Heading2"/>
      </w:pPr>
      <w:bookmarkStart w:id="32" w:name="_Toc93324934"/>
      <w:r w:rsidRPr="00D97BC5">
        <w:t>Thresholds for additional consultation</w:t>
      </w:r>
      <w:bookmarkEnd w:id="32"/>
    </w:p>
    <w:p w14:paraId="0759CE4A" w14:textId="27C83201" w:rsidR="00E36CA8" w:rsidRPr="00D97BC5" w:rsidRDefault="00E36CA8" w:rsidP="00F5752F">
      <w:pPr>
        <w:spacing w:before="120" w:after="120"/>
        <w:rPr>
          <w:lang w:val="en-AU"/>
        </w:rPr>
      </w:pPr>
      <w:r w:rsidRPr="00D97BC5">
        <w:rPr>
          <w:lang w:val="en-AU"/>
        </w:rPr>
        <w:t>The thresholds aim to capture proposed changes that represent a significant departure from IH</w:t>
      </w:r>
      <w:r w:rsidR="00E04A34" w:rsidRPr="00D97BC5">
        <w:rPr>
          <w:lang w:val="en-AU"/>
        </w:rPr>
        <w:t>AC</w:t>
      </w:r>
      <w:r w:rsidRPr="00D97BC5">
        <w:rPr>
          <w:lang w:val="en-AU"/>
        </w:rPr>
        <w:t>PA’s established annual processes or a material impact on the national funding model that requires consultation beyond IH</w:t>
      </w:r>
      <w:r w:rsidR="00E04A34" w:rsidRPr="00D97BC5">
        <w:rPr>
          <w:lang w:val="en-AU"/>
        </w:rPr>
        <w:t>AC</w:t>
      </w:r>
      <w:r w:rsidRPr="00D97BC5">
        <w:rPr>
          <w:lang w:val="en-AU"/>
        </w:rPr>
        <w:t>PA’s existing consultative mechanisms with the jurisdictions.</w:t>
      </w:r>
    </w:p>
    <w:p w14:paraId="1B4BA0F6" w14:textId="6162FD08" w:rsidR="00E36CA8" w:rsidRPr="00D97BC5" w:rsidRDefault="00E36CA8" w:rsidP="00F5752F">
      <w:pPr>
        <w:spacing w:before="120" w:after="120"/>
        <w:rPr>
          <w:lang w:val="en-AU"/>
        </w:rPr>
      </w:pPr>
      <w:r w:rsidRPr="00D97BC5">
        <w:rPr>
          <w:lang w:val="en-AU"/>
        </w:rPr>
        <w:t>As such, each change proposed by IH</w:t>
      </w:r>
      <w:r w:rsidR="00E04A34" w:rsidRPr="00D97BC5">
        <w:rPr>
          <w:lang w:val="en-AU"/>
        </w:rPr>
        <w:t>AC</w:t>
      </w:r>
      <w:r w:rsidRPr="00D97BC5">
        <w:rPr>
          <w:lang w:val="en-AU"/>
        </w:rPr>
        <w:t xml:space="preserve">PA will be assessed against the thresholds to determine if the change is </w:t>
      </w:r>
      <w:r w:rsidR="00992205" w:rsidRPr="00D97BC5">
        <w:rPr>
          <w:lang w:val="en-AU"/>
        </w:rPr>
        <w:t xml:space="preserve">sufficiently </w:t>
      </w:r>
      <w:r w:rsidRPr="00D97BC5">
        <w:rPr>
          <w:lang w:val="en-AU"/>
        </w:rPr>
        <w:t>material to require additional consultation</w:t>
      </w:r>
      <w:r w:rsidR="00046640" w:rsidRPr="00D97BC5">
        <w:rPr>
          <w:lang w:val="en-AU"/>
        </w:rPr>
        <w:t xml:space="preserve"> with HMM</w:t>
      </w:r>
      <w:r w:rsidRPr="00D97BC5">
        <w:rPr>
          <w:lang w:val="en-AU"/>
        </w:rPr>
        <w:t xml:space="preserve">. This assessment will be included as part of the Statement of Impact and </w:t>
      </w:r>
      <w:r w:rsidR="00046640" w:rsidRPr="00D97BC5">
        <w:rPr>
          <w:lang w:val="en-AU"/>
        </w:rPr>
        <w:t xml:space="preserve">undergo consultation through TAC and JAC </w:t>
      </w:r>
      <w:r w:rsidRPr="00D97BC5">
        <w:rPr>
          <w:lang w:val="en-AU"/>
        </w:rPr>
        <w:t>for each proposed change.</w:t>
      </w:r>
    </w:p>
    <w:p w14:paraId="3F6ABA0F" w14:textId="14E51567" w:rsidR="00E36CA8" w:rsidRPr="00D97BC5" w:rsidRDefault="00E36CA8" w:rsidP="00F5752F">
      <w:pPr>
        <w:spacing w:before="120" w:after="120"/>
        <w:rPr>
          <w:lang w:val="en-AU"/>
        </w:rPr>
      </w:pPr>
      <w:r w:rsidRPr="00D97BC5">
        <w:rPr>
          <w:lang w:val="en-AU"/>
        </w:rPr>
        <w:t>Changes that are assessed to trigger one or more of the thresholds will require additional consultation</w:t>
      </w:r>
      <w:r w:rsidR="00046640" w:rsidRPr="00D97BC5">
        <w:rPr>
          <w:lang w:val="en-AU"/>
        </w:rPr>
        <w:t xml:space="preserve"> with HMM</w:t>
      </w:r>
      <w:r w:rsidRPr="00D97BC5">
        <w:rPr>
          <w:lang w:val="en-AU"/>
        </w:rPr>
        <w:t xml:space="preserve">. Changes that do not meet a threshold for additional consultation will still </w:t>
      </w:r>
      <w:r w:rsidR="00EF0BAC" w:rsidRPr="00D97BC5">
        <w:rPr>
          <w:lang w:val="en-AU"/>
        </w:rPr>
        <w:t xml:space="preserve">be subject to </w:t>
      </w:r>
      <w:r w:rsidRPr="00D97BC5">
        <w:rPr>
          <w:lang w:val="en-AU"/>
        </w:rPr>
        <w:t xml:space="preserve">the </w:t>
      </w:r>
      <w:r w:rsidR="00CE0416" w:rsidRPr="00D97BC5">
        <w:rPr>
          <w:lang w:val="en-AU"/>
        </w:rPr>
        <w:t xml:space="preserve">existing </w:t>
      </w:r>
      <w:r w:rsidRPr="00D97BC5">
        <w:rPr>
          <w:lang w:val="en-AU"/>
        </w:rPr>
        <w:t xml:space="preserve">consultative mechanisms with the jurisdictions through </w:t>
      </w:r>
      <w:r w:rsidR="00855F09" w:rsidRPr="00D97BC5">
        <w:rPr>
          <w:lang w:val="en-AU"/>
        </w:rPr>
        <w:t xml:space="preserve">TAC and </w:t>
      </w:r>
      <w:r w:rsidRPr="00D97BC5">
        <w:rPr>
          <w:lang w:val="en-AU"/>
        </w:rPr>
        <w:t xml:space="preserve">JAC. However, if the Commonwealth or </w:t>
      </w:r>
      <w:r w:rsidR="00626CBA" w:rsidRPr="00D97BC5">
        <w:rPr>
          <w:lang w:val="en-AU"/>
        </w:rPr>
        <w:t xml:space="preserve">2 </w:t>
      </w:r>
      <w:r w:rsidRPr="00D97BC5">
        <w:rPr>
          <w:lang w:val="en-AU"/>
        </w:rPr>
        <w:t>or more states and territories disagree with IH</w:t>
      </w:r>
      <w:r w:rsidR="00E04A34" w:rsidRPr="00D97BC5">
        <w:rPr>
          <w:lang w:val="en-AU"/>
        </w:rPr>
        <w:t>AC</w:t>
      </w:r>
      <w:r w:rsidRPr="00D97BC5">
        <w:rPr>
          <w:lang w:val="en-AU"/>
        </w:rPr>
        <w:t>PA’s assessment, additional consultation</w:t>
      </w:r>
      <w:r w:rsidR="00EF0BAC" w:rsidRPr="00D97BC5">
        <w:rPr>
          <w:lang w:val="en-AU"/>
        </w:rPr>
        <w:t xml:space="preserve"> on the proposed change </w:t>
      </w:r>
      <w:r w:rsidR="00046640" w:rsidRPr="00D97BC5">
        <w:rPr>
          <w:lang w:val="en-AU"/>
        </w:rPr>
        <w:t xml:space="preserve">may </w:t>
      </w:r>
      <w:r w:rsidR="00EF0BAC" w:rsidRPr="00D97BC5">
        <w:rPr>
          <w:lang w:val="en-AU"/>
        </w:rPr>
        <w:t>be requested</w:t>
      </w:r>
      <w:r w:rsidR="00046640" w:rsidRPr="00D97BC5">
        <w:rPr>
          <w:lang w:val="en-AU"/>
        </w:rPr>
        <w:t xml:space="preserve"> in writing from the requesting JAC members</w:t>
      </w:r>
      <w:r w:rsidRPr="00D97BC5">
        <w:rPr>
          <w:lang w:val="en-AU"/>
        </w:rPr>
        <w:t>.</w:t>
      </w:r>
    </w:p>
    <w:p w14:paraId="7BD1257D" w14:textId="1C00FBC3" w:rsidR="00EA16B2" w:rsidRPr="00D97BC5" w:rsidRDefault="00E36CA8" w:rsidP="00F5752F">
      <w:pPr>
        <w:shd w:val="clear" w:color="auto" w:fill="FFFFFF"/>
        <w:spacing w:before="120" w:after="120"/>
        <w:rPr>
          <w:b/>
          <w:lang w:val="en-AU"/>
        </w:rPr>
      </w:pPr>
      <w:r w:rsidRPr="00D97BC5">
        <w:rPr>
          <w:lang w:val="en-AU"/>
        </w:rPr>
        <w:t xml:space="preserve">The thresholds </w:t>
      </w:r>
      <w:r w:rsidR="00046640" w:rsidRPr="00D97BC5">
        <w:rPr>
          <w:lang w:val="en-AU"/>
        </w:rPr>
        <w:t xml:space="preserve">to assess materiality </w:t>
      </w:r>
      <w:r w:rsidRPr="00D97BC5">
        <w:rPr>
          <w:lang w:val="en-AU"/>
        </w:rPr>
        <w:t>for additional consultation</w:t>
      </w:r>
      <w:r w:rsidR="00046640" w:rsidRPr="00D97BC5">
        <w:rPr>
          <w:lang w:val="en-AU"/>
        </w:rPr>
        <w:t xml:space="preserve"> with HMM</w:t>
      </w:r>
      <w:r w:rsidRPr="00D97BC5">
        <w:rPr>
          <w:lang w:val="en-AU"/>
        </w:rPr>
        <w:t xml:space="preserve"> are outlined in </w:t>
      </w:r>
      <w:r w:rsidRPr="00D97BC5">
        <w:rPr>
          <w:b/>
          <w:lang w:val="en-AU"/>
        </w:rPr>
        <w:t>Table 3</w:t>
      </w:r>
      <w:r w:rsidRPr="00D97BC5">
        <w:rPr>
          <w:bCs/>
          <w:lang w:val="en-AU"/>
        </w:rPr>
        <w:t>.</w:t>
      </w:r>
    </w:p>
    <w:p w14:paraId="0E9DBC99" w14:textId="0F8DF092" w:rsidR="00E36CA8" w:rsidRPr="00D97BC5" w:rsidRDefault="00E36CA8" w:rsidP="00101B11">
      <w:pPr>
        <w:keepNext/>
        <w:spacing w:before="120" w:after="120"/>
        <w:rPr>
          <w:b/>
          <w:lang w:val="en-AU"/>
        </w:rPr>
      </w:pPr>
      <w:r w:rsidRPr="00D97BC5">
        <w:rPr>
          <w:b/>
          <w:lang w:val="en-AU"/>
        </w:rPr>
        <w:lastRenderedPageBreak/>
        <w:t>Table 3</w:t>
      </w:r>
      <w:r w:rsidR="00F5752F" w:rsidRPr="00D97BC5">
        <w:rPr>
          <w:b/>
          <w:lang w:val="en-AU"/>
        </w:rPr>
        <w:t>:</w:t>
      </w:r>
      <w:r w:rsidRPr="00D97BC5">
        <w:rPr>
          <w:b/>
          <w:lang w:val="en-AU"/>
        </w:rPr>
        <w:t xml:space="preserve"> Thresholds for initiating additional consultation</w:t>
      </w:r>
    </w:p>
    <w:tbl>
      <w:tblPr>
        <w:tblStyle w:val="TableGrid"/>
        <w:tblW w:w="0" w:type="auto"/>
        <w:tblLook w:val="04A0" w:firstRow="1" w:lastRow="0" w:firstColumn="1" w:lastColumn="0" w:noHBand="0" w:noVBand="1"/>
      </w:tblPr>
      <w:tblGrid>
        <w:gridCol w:w="5949"/>
        <w:gridCol w:w="3787"/>
      </w:tblGrid>
      <w:tr w:rsidR="0000285D" w:rsidRPr="00D97BC5" w14:paraId="52C9B8F3" w14:textId="77777777" w:rsidTr="00101B11">
        <w:trPr>
          <w:tblHeader/>
        </w:trPr>
        <w:tc>
          <w:tcPr>
            <w:tcW w:w="5949" w:type="dxa"/>
            <w:shd w:val="clear" w:color="auto" w:fill="104F99"/>
          </w:tcPr>
          <w:p w14:paraId="70319B9F" w14:textId="6CC72A26" w:rsidR="00EF0BAC" w:rsidRPr="00D97BC5" w:rsidRDefault="00AA4831" w:rsidP="00DD4495">
            <w:pPr>
              <w:keepNext/>
              <w:keepLines/>
              <w:spacing w:before="100" w:after="100" w:line="240" w:lineRule="auto"/>
              <w:rPr>
                <w:rFonts w:cs="Arial"/>
                <w:b/>
                <w:color w:val="FFFFFF" w:themeColor="background1"/>
                <w:sz w:val="21"/>
                <w:szCs w:val="21"/>
                <w:lang w:val="en-AU"/>
              </w:rPr>
            </w:pPr>
            <w:r w:rsidRPr="00D97BC5">
              <w:rPr>
                <w:rFonts w:cs="Arial"/>
                <w:b/>
                <w:color w:val="FFFFFF" w:themeColor="background1"/>
                <w:sz w:val="21"/>
                <w:szCs w:val="21"/>
                <w:lang w:val="en-AU"/>
              </w:rPr>
              <w:t>Consultation threshold</w:t>
            </w:r>
          </w:p>
        </w:tc>
        <w:tc>
          <w:tcPr>
            <w:tcW w:w="3787" w:type="dxa"/>
            <w:shd w:val="clear" w:color="auto" w:fill="104F99"/>
          </w:tcPr>
          <w:p w14:paraId="30554877" w14:textId="08EDF393" w:rsidR="00EF0BAC" w:rsidRPr="00D97BC5" w:rsidRDefault="00EF0BAC" w:rsidP="00DD4495">
            <w:pPr>
              <w:keepLines/>
              <w:spacing w:before="100" w:after="100" w:line="240" w:lineRule="auto"/>
              <w:rPr>
                <w:rFonts w:cs="Arial"/>
                <w:b/>
                <w:color w:val="FFFFFF" w:themeColor="background1"/>
                <w:sz w:val="21"/>
                <w:szCs w:val="21"/>
                <w:lang w:val="en-AU"/>
              </w:rPr>
            </w:pPr>
            <w:r w:rsidRPr="00D97BC5">
              <w:rPr>
                <w:rFonts w:cs="Arial"/>
                <w:b/>
                <w:color w:val="FFFFFF" w:themeColor="background1"/>
                <w:sz w:val="21"/>
                <w:szCs w:val="21"/>
                <w:lang w:val="en-AU"/>
              </w:rPr>
              <w:t>Exceptions</w:t>
            </w:r>
          </w:p>
        </w:tc>
      </w:tr>
      <w:tr w:rsidR="00E36CA8" w:rsidRPr="00D97BC5" w14:paraId="60600FE2" w14:textId="77777777" w:rsidTr="00E3104A">
        <w:tc>
          <w:tcPr>
            <w:tcW w:w="9736" w:type="dxa"/>
            <w:gridSpan w:val="2"/>
            <w:shd w:val="clear" w:color="auto" w:fill="DDDDDD" w:themeFill="accent1"/>
          </w:tcPr>
          <w:p w14:paraId="5D6AAC47" w14:textId="2FA8EA7E" w:rsidR="00E36CA8" w:rsidRPr="00D97BC5" w:rsidRDefault="00AA4831" w:rsidP="00DD4495">
            <w:pPr>
              <w:keepNext/>
              <w:keepLines/>
              <w:spacing w:before="100" w:after="100" w:line="240" w:lineRule="auto"/>
              <w:rPr>
                <w:rFonts w:cs="Arial"/>
                <w:b/>
                <w:color w:val="auto"/>
                <w:sz w:val="21"/>
                <w:szCs w:val="21"/>
                <w:lang w:val="en-AU"/>
              </w:rPr>
            </w:pPr>
            <w:r w:rsidRPr="00D97BC5">
              <w:rPr>
                <w:rFonts w:cs="Arial"/>
                <w:b/>
                <w:color w:val="auto"/>
                <w:sz w:val="21"/>
                <w:szCs w:val="21"/>
                <w:lang w:val="en-AU"/>
              </w:rPr>
              <w:t>Assessment of projected pricing impact on funding</w:t>
            </w:r>
          </w:p>
        </w:tc>
      </w:tr>
      <w:tr w:rsidR="00E36CA8" w:rsidRPr="00D97BC5" w14:paraId="5E48A731" w14:textId="77777777" w:rsidTr="00101B11">
        <w:tc>
          <w:tcPr>
            <w:tcW w:w="5949" w:type="dxa"/>
          </w:tcPr>
          <w:p w14:paraId="604E471D" w14:textId="4416A985" w:rsidR="00E36CA8" w:rsidRPr="00D97BC5" w:rsidRDefault="00E36CA8" w:rsidP="00DD4495">
            <w:pPr>
              <w:keepNext/>
              <w:keepLines/>
              <w:spacing w:before="100" w:after="100" w:line="240" w:lineRule="auto"/>
              <w:rPr>
                <w:rFonts w:cs="Arial"/>
                <w:color w:val="auto"/>
                <w:sz w:val="21"/>
                <w:szCs w:val="21"/>
                <w:lang w:val="en-AU"/>
              </w:rPr>
            </w:pPr>
            <w:r w:rsidRPr="00D97BC5">
              <w:rPr>
                <w:rFonts w:cs="Arial"/>
                <w:color w:val="auto"/>
                <w:sz w:val="21"/>
                <w:szCs w:val="21"/>
                <w:lang w:val="en-AU"/>
              </w:rPr>
              <w:t>Pricing impact on funding projected to be more than 0.5</w:t>
            </w:r>
            <w:r w:rsidR="000A4AD4" w:rsidRPr="00D97BC5">
              <w:rPr>
                <w:rFonts w:cs="Arial"/>
                <w:color w:val="auto"/>
                <w:sz w:val="21"/>
                <w:szCs w:val="21"/>
                <w:lang w:val="en-AU"/>
              </w:rPr>
              <w:t>%</w:t>
            </w:r>
            <w:r w:rsidRPr="00D97BC5">
              <w:rPr>
                <w:rFonts w:cs="Arial"/>
                <w:color w:val="auto"/>
                <w:sz w:val="21"/>
                <w:szCs w:val="21"/>
                <w:lang w:val="en-AU"/>
              </w:rPr>
              <w:t xml:space="preserve"> at a national level.</w:t>
            </w:r>
          </w:p>
          <w:p w14:paraId="360B0099" w14:textId="77777777" w:rsidR="00E36CA8" w:rsidRPr="00D97BC5" w:rsidRDefault="00E36CA8" w:rsidP="00DD4495">
            <w:pPr>
              <w:keepNext/>
              <w:keepLines/>
              <w:spacing w:before="100" w:after="100" w:line="240" w:lineRule="auto"/>
              <w:rPr>
                <w:rFonts w:cs="Arial"/>
                <w:color w:val="auto"/>
                <w:sz w:val="21"/>
                <w:szCs w:val="21"/>
                <w:lang w:val="en-AU"/>
              </w:rPr>
            </w:pPr>
            <w:r w:rsidRPr="00D97BC5">
              <w:rPr>
                <w:rFonts w:cs="Arial"/>
                <w:color w:val="auto"/>
                <w:sz w:val="21"/>
                <w:szCs w:val="21"/>
                <w:lang w:val="en-AU"/>
              </w:rPr>
              <w:t>To be assessed separately, not cumulatively, if other changes have been proposed concurrently.</w:t>
            </w:r>
          </w:p>
        </w:tc>
        <w:tc>
          <w:tcPr>
            <w:tcW w:w="3787" w:type="dxa"/>
            <w:vMerge w:val="restart"/>
          </w:tcPr>
          <w:p w14:paraId="51F9268C" w14:textId="50A8F8DF"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Changes that IH</w:t>
            </w:r>
            <w:r w:rsidR="00D36DC3" w:rsidRPr="00D97BC5">
              <w:rPr>
                <w:rFonts w:cs="Arial"/>
                <w:color w:val="auto"/>
                <w:sz w:val="21"/>
                <w:szCs w:val="21"/>
                <w:lang w:val="en-AU"/>
              </w:rPr>
              <w:t>AC</w:t>
            </w:r>
            <w:r w:rsidRPr="00D97BC5">
              <w:rPr>
                <w:rFonts w:cs="Arial"/>
                <w:color w:val="auto"/>
                <w:sz w:val="21"/>
                <w:szCs w:val="21"/>
                <w:lang w:val="en-AU"/>
              </w:rPr>
              <w:t>PA is directed to implement</w:t>
            </w:r>
            <w:r w:rsidRPr="00D97BC5">
              <w:rPr>
                <w:rStyle w:val="FootnoteReference"/>
                <w:rFonts w:cs="Arial"/>
                <w:color w:val="auto"/>
                <w:sz w:val="21"/>
                <w:szCs w:val="21"/>
                <w:lang w:val="en-AU"/>
              </w:rPr>
              <w:footnoteReference w:id="4"/>
            </w:r>
            <w:r w:rsidRPr="00D97BC5">
              <w:rPr>
                <w:rFonts w:cs="Arial"/>
                <w:color w:val="auto"/>
                <w:sz w:val="21"/>
                <w:szCs w:val="21"/>
                <w:lang w:val="en-AU"/>
              </w:rPr>
              <w:t>.</w:t>
            </w:r>
          </w:p>
        </w:tc>
      </w:tr>
      <w:tr w:rsidR="00E36CA8" w:rsidRPr="00D97BC5" w14:paraId="58A9A1F9" w14:textId="77777777" w:rsidTr="00101B11">
        <w:tc>
          <w:tcPr>
            <w:tcW w:w="5949" w:type="dxa"/>
          </w:tcPr>
          <w:p w14:paraId="2442F6F1" w14:textId="7E38B2D2"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Pricing impact on funding projected to be more than 2</w:t>
            </w:r>
            <w:r w:rsidR="000A4AD4" w:rsidRPr="00D97BC5">
              <w:rPr>
                <w:rFonts w:cs="Arial"/>
                <w:color w:val="auto"/>
                <w:sz w:val="21"/>
                <w:szCs w:val="21"/>
                <w:lang w:val="en-AU"/>
              </w:rPr>
              <w:t>%</w:t>
            </w:r>
            <w:r w:rsidRPr="00D97BC5">
              <w:rPr>
                <w:rFonts w:cs="Arial"/>
                <w:color w:val="auto"/>
                <w:sz w:val="21"/>
                <w:szCs w:val="21"/>
                <w:lang w:val="en-AU"/>
              </w:rPr>
              <w:t xml:space="preserve"> on any one </w:t>
            </w:r>
            <w:r w:rsidR="001106D6" w:rsidRPr="00D97BC5">
              <w:rPr>
                <w:rFonts w:cs="Arial"/>
                <w:color w:val="auto"/>
                <w:sz w:val="21"/>
                <w:szCs w:val="21"/>
                <w:lang w:val="en-AU"/>
              </w:rPr>
              <w:t>state or territory</w:t>
            </w:r>
            <w:r w:rsidRPr="00D97BC5">
              <w:rPr>
                <w:rFonts w:cs="Arial"/>
                <w:color w:val="auto"/>
                <w:sz w:val="21"/>
                <w:szCs w:val="21"/>
                <w:lang w:val="en-AU"/>
              </w:rPr>
              <w:t>.</w:t>
            </w:r>
          </w:p>
          <w:p w14:paraId="380843DB"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To be assessed separately, not cumulatively, if other changes have been proposed concurrently.</w:t>
            </w:r>
          </w:p>
        </w:tc>
        <w:tc>
          <w:tcPr>
            <w:tcW w:w="3787" w:type="dxa"/>
            <w:vMerge/>
          </w:tcPr>
          <w:p w14:paraId="30200D43" w14:textId="77777777" w:rsidR="00E36CA8" w:rsidRPr="00D97BC5" w:rsidRDefault="00E36CA8" w:rsidP="00DD4495">
            <w:pPr>
              <w:keepLines/>
              <w:spacing w:before="100" w:after="100" w:line="240" w:lineRule="auto"/>
              <w:rPr>
                <w:rFonts w:cs="Arial"/>
                <w:color w:val="auto"/>
                <w:sz w:val="21"/>
                <w:szCs w:val="21"/>
                <w:lang w:val="en-AU"/>
              </w:rPr>
            </w:pPr>
          </w:p>
        </w:tc>
      </w:tr>
      <w:tr w:rsidR="00E36CA8" w:rsidRPr="00D97BC5" w14:paraId="68F864FE" w14:textId="77777777" w:rsidTr="00E3104A">
        <w:tc>
          <w:tcPr>
            <w:tcW w:w="9736" w:type="dxa"/>
            <w:gridSpan w:val="2"/>
            <w:shd w:val="clear" w:color="auto" w:fill="DDDDDD" w:themeFill="accent1"/>
          </w:tcPr>
          <w:p w14:paraId="7EB7B71A" w14:textId="77777777" w:rsidR="00E36CA8" w:rsidRPr="00D97BC5" w:rsidRDefault="00E36CA8" w:rsidP="00DD4495">
            <w:pPr>
              <w:keepLines/>
              <w:spacing w:before="100" w:after="100" w:line="240" w:lineRule="auto"/>
              <w:rPr>
                <w:rFonts w:cs="Arial"/>
                <w:b/>
                <w:color w:val="auto"/>
                <w:sz w:val="21"/>
                <w:szCs w:val="21"/>
                <w:lang w:val="en-AU"/>
              </w:rPr>
            </w:pPr>
            <w:r w:rsidRPr="00D97BC5">
              <w:rPr>
                <w:rFonts w:cs="Arial"/>
                <w:b/>
                <w:color w:val="auto"/>
                <w:sz w:val="21"/>
                <w:szCs w:val="21"/>
                <w:lang w:val="en-AU"/>
              </w:rPr>
              <w:t>Costing methodology changes</w:t>
            </w:r>
          </w:p>
        </w:tc>
      </w:tr>
      <w:tr w:rsidR="00E36CA8" w:rsidRPr="00D97BC5" w14:paraId="52398E36" w14:textId="77777777" w:rsidTr="00101B11">
        <w:tc>
          <w:tcPr>
            <w:tcW w:w="5949" w:type="dxa"/>
          </w:tcPr>
          <w:p w14:paraId="1C474A8E"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Major changes in costing methodologies, for example:</w:t>
            </w:r>
          </w:p>
          <w:p w14:paraId="7603DABC" w14:textId="55E5C609"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Introduction of a new version of the Australian Hospital Patient Costing Standards (AHPCS).</w:t>
            </w:r>
          </w:p>
          <w:p w14:paraId="0CEB647F" w14:textId="77777777"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Introduction of a new standard, business rule or costing guideline within the AHPCS.</w:t>
            </w:r>
          </w:p>
        </w:tc>
        <w:tc>
          <w:tcPr>
            <w:tcW w:w="3787" w:type="dxa"/>
          </w:tcPr>
          <w:p w14:paraId="36EA3680"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Nil.</w:t>
            </w:r>
          </w:p>
        </w:tc>
      </w:tr>
      <w:tr w:rsidR="00E36CA8" w:rsidRPr="00D97BC5" w14:paraId="0E3E3164" w14:textId="77777777" w:rsidTr="00E3104A">
        <w:tc>
          <w:tcPr>
            <w:tcW w:w="9736" w:type="dxa"/>
            <w:gridSpan w:val="2"/>
            <w:shd w:val="clear" w:color="auto" w:fill="DDDDDD" w:themeFill="accent1"/>
          </w:tcPr>
          <w:p w14:paraId="051192ED" w14:textId="5D24F585" w:rsidR="00E36CA8" w:rsidRPr="00D97BC5" w:rsidRDefault="00AA4831" w:rsidP="00DD4495">
            <w:pPr>
              <w:keepLines/>
              <w:spacing w:before="100" w:after="100" w:line="240" w:lineRule="auto"/>
              <w:rPr>
                <w:rFonts w:cs="Arial"/>
                <w:b/>
                <w:color w:val="auto"/>
                <w:sz w:val="21"/>
                <w:szCs w:val="21"/>
                <w:lang w:val="en-AU"/>
              </w:rPr>
            </w:pPr>
            <w:r w:rsidRPr="00D97BC5">
              <w:rPr>
                <w:rFonts w:cs="Arial"/>
                <w:b/>
                <w:color w:val="auto"/>
                <w:sz w:val="21"/>
                <w:szCs w:val="21"/>
                <w:lang w:val="en-AU"/>
              </w:rPr>
              <w:t>Classification system changes</w:t>
            </w:r>
          </w:p>
        </w:tc>
      </w:tr>
      <w:tr w:rsidR="00E36CA8" w:rsidRPr="00D97BC5" w14:paraId="2F151232" w14:textId="77777777" w:rsidTr="00101B11">
        <w:tc>
          <w:tcPr>
            <w:tcW w:w="5949" w:type="dxa"/>
          </w:tcPr>
          <w:p w14:paraId="02F99203"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All new classifications, for example:</w:t>
            </w:r>
          </w:p>
          <w:p w14:paraId="41DEB823" w14:textId="4BD69441" w:rsidR="00A10408" w:rsidRPr="00D97BC5" w:rsidRDefault="00A1040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Introduction of the Australian Mental Health Care Classification (AMHCC) Version 1.0 for pricing mental health care services.</w:t>
            </w:r>
          </w:p>
          <w:p w14:paraId="79B45C02" w14:textId="42044F3E"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Introduction of the Australian Emergency Care Classification (AECC) Version 1.0 for pricing</w:t>
            </w:r>
            <w:r w:rsidR="00A10408" w:rsidRPr="00D97BC5">
              <w:rPr>
                <w:rFonts w:cs="Arial"/>
                <w:color w:val="auto"/>
                <w:sz w:val="21"/>
                <w:szCs w:val="21"/>
                <w:lang w:val="en-AU"/>
              </w:rPr>
              <w:t xml:space="preserve"> emergency department services</w:t>
            </w:r>
            <w:r w:rsidRPr="00D97BC5">
              <w:rPr>
                <w:rFonts w:cs="Arial"/>
                <w:color w:val="auto"/>
                <w:sz w:val="21"/>
                <w:szCs w:val="21"/>
                <w:lang w:val="en-AU"/>
              </w:rPr>
              <w:t>.</w:t>
            </w:r>
          </w:p>
        </w:tc>
        <w:tc>
          <w:tcPr>
            <w:tcW w:w="3787" w:type="dxa"/>
          </w:tcPr>
          <w:p w14:paraId="3F7CBABF"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Nil.</w:t>
            </w:r>
          </w:p>
        </w:tc>
      </w:tr>
      <w:tr w:rsidR="00E36CA8" w:rsidRPr="00D97BC5" w14:paraId="01E68837" w14:textId="77777777" w:rsidTr="00101B11">
        <w:tc>
          <w:tcPr>
            <w:tcW w:w="5949" w:type="dxa"/>
          </w:tcPr>
          <w:p w14:paraId="5667D5B7"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Major structural change to new versions of an existing classification, for example:</w:t>
            </w:r>
          </w:p>
          <w:p w14:paraId="687EA73E" w14:textId="3A60D497"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 xml:space="preserve">Implementation of brand new data elements in </w:t>
            </w:r>
            <w:r w:rsidR="00C70B9E" w:rsidRPr="00D97BC5">
              <w:rPr>
                <w:rFonts w:cs="Arial"/>
                <w:color w:val="auto"/>
                <w:sz w:val="21"/>
                <w:szCs w:val="21"/>
                <w:lang w:val="en-AU"/>
              </w:rPr>
              <w:t xml:space="preserve">a new version of an existing classification that are already collected in the national minimum data sets (NMDS) or national best endeavours data sets (NBEDS), </w:t>
            </w:r>
            <w:r w:rsidRPr="00D97BC5">
              <w:rPr>
                <w:rFonts w:cs="Arial"/>
                <w:color w:val="auto"/>
                <w:sz w:val="21"/>
                <w:szCs w:val="21"/>
                <w:lang w:val="en-AU"/>
              </w:rPr>
              <w:t>but not currently utilised in the classification.</w:t>
            </w:r>
          </w:p>
          <w:p w14:paraId="5DE2E697" w14:textId="2FC8813E"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 xml:space="preserve">Implementation of brand new data elements in </w:t>
            </w:r>
            <w:r w:rsidR="00F00D63" w:rsidRPr="00D97BC5">
              <w:rPr>
                <w:rFonts w:cs="Arial"/>
                <w:color w:val="auto"/>
                <w:sz w:val="21"/>
                <w:szCs w:val="21"/>
                <w:lang w:val="en-AU"/>
              </w:rPr>
              <w:t xml:space="preserve">a new version of an existing classification </w:t>
            </w:r>
            <w:r w:rsidRPr="00D97BC5">
              <w:rPr>
                <w:rFonts w:cs="Arial"/>
                <w:color w:val="auto"/>
                <w:sz w:val="21"/>
                <w:szCs w:val="21"/>
                <w:lang w:val="en-AU"/>
              </w:rPr>
              <w:t>that are not already collected within the NMDS</w:t>
            </w:r>
            <w:r w:rsidR="00F00D63" w:rsidRPr="00D97BC5">
              <w:rPr>
                <w:rFonts w:cs="Arial"/>
                <w:color w:val="auto"/>
                <w:sz w:val="21"/>
                <w:szCs w:val="21"/>
                <w:lang w:val="en-AU"/>
              </w:rPr>
              <w:t xml:space="preserve"> or NBEDS</w:t>
            </w:r>
            <w:r w:rsidRPr="00D97BC5">
              <w:rPr>
                <w:rFonts w:cs="Arial"/>
                <w:color w:val="auto"/>
                <w:sz w:val="21"/>
                <w:szCs w:val="21"/>
                <w:lang w:val="en-AU"/>
              </w:rPr>
              <w:t>.</w:t>
            </w:r>
          </w:p>
          <w:p w14:paraId="7BD261F2" w14:textId="1D094181" w:rsidR="00535033"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Removal of data elements that are currently collected within the NMDS</w:t>
            </w:r>
            <w:r w:rsidR="00535033" w:rsidRPr="00D97BC5">
              <w:rPr>
                <w:rFonts w:cs="Arial"/>
                <w:color w:val="auto"/>
                <w:sz w:val="21"/>
                <w:szCs w:val="21"/>
                <w:lang w:val="en-AU"/>
              </w:rPr>
              <w:t xml:space="preserve"> or NBEDS</w:t>
            </w:r>
            <w:r w:rsidRPr="00D97BC5">
              <w:rPr>
                <w:rFonts w:cs="Arial"/>
                <w:color w:val="auto"/>
                <w:sz w:val="21"/>
                <w:szCs w:val="21"/>
                <w:lang w:val="en-AU"/>
              </w:rPr>
              <w:t>.</w:t>
            </w:r>
          </w:p>
          <w:p w14:paraId="10A84001" w14:textId="18540D20" w:rsidR="00E36CA8" w:rsidRPr="00D97BC5" w:rsidRDefault="00535033"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Implementation of a significantly different complexity model.</w:t>
            </w:r>
          </w:p>
        </w:tc>
        <w:tc>
          <w:tcPr>
            <w:tcW w:w="3787" w:type="dxa"/>
          </w:tcPr>
          <w:p w14:paraId="60D2D103" w14:textId="75551B29"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Moderate changes such as implementation of a new data element that was already collected and only redistributes activity.</w:t>
            </w:r>
          </w:p>
          <w:p w14:paraId="12A93F1A" w14:textId="4394DA9D" w:rsidR="00E36CA8" w:rsidRPr="00D97BC5" w:rsidRDefault="00E36CA8" w:rsidP="00DD4495">
            <w:pPr>
              <w:pStyle w:val="ListParagraph"/>
              <w:keepLines/>
              <w:numPr>
                <w:ilvl w:val="0"/>
                <w:numId w:val="5"/>
              </w:numPr>
              <w:spacing w:before="100" w:after="100" w:line="240" w:lineRule="auto"/>
              <w:contextualSpacing w:val="0"/>
              <w:rPr>
                <w:rFonts w:cs="Arial"/>
                <w:color w:val="auto"/>
                <w:sz w:val="21"/>
                <w:szCs w:val="21"/>
                <w:lang w:val="en-AU"/>
              </w:rPr>
            </w:pPr>
            <w:r w:rsidRPr="00D97BC5">
              <w:rPr>
                <w:rFonts w:cs="Arial"/>
                <w:color w:val="auto"/>
                <w:sz w:val="21"/>
                <w:szCs w:val="21"/>
                <w:lang w:val="en-AU"/>
              </w:rPr>
              <w:t xml:space="preserve">Standard refinements undertaken with every revision to ensure the classification maintains clinical currency and cost homogeneity (such as </w:t>
            </w:r>
            <w:r w:rsidR="002354A4" w:rsidRPr="00D97BC5">
              <w:rPr>
                <w:rFonts w:cs="Arial"/>
                <w:color w:val="auto"/>
                <w:sz w:val="21"/>
                <w:szCs w:val="21"/>
                <w:lang w:val="en-AU"/>
              </w:rPr>
              <w:t xml:space="preserve">updates to complexity splits and/or thresholds for </w:t>
            </w:r>
            <w:r w:rsidRPr="00D97BC5">
              <w:rPr>
                <w:rFonts w:cs="Arial"/>
                <w:color w:val="auto"/>
                <w:sz w:val="21"/>
                <w:szCs w:val="21"/>
                <w:lang w:val="en-AU"/>
              </w:rPr>
              <w:t>existing variables).</w:t>
            </w:r>
          </w:p>
        </w:tc>
      </w:tr>
      <w:tr w:rsidR="00E36CA8" w:rsidRPr="00D97BC5" w14:paraId="3378EB3E" w14:textId="77777777" w:rsidTr="00E3104A">
        <w:tc>
          <w:tcPr>
            <w:tcW w:w="9736" w:type="dxa"/>
            <w:gridSpan w:val="2"/>
            <w:shd w:val="clear" w:color="auto" w:fill="DDDDDD" w:themeFill="accent1"/>
          </w:tcPr>
          <w:p w14:paraId="04044933" w14:textId="77777777" w:rsidR="00E36CA8" w:rsidRPr="00D97BC5" w:rsidRDefault="00E36CA8" w:rsidP="00DD4495">
            <w:pPr>
              <w:keepLines/>
              <w:spacing w:before="100" w:after="100" w:line="240" w:lineRule="auto"/>
              <w:rPr>
                <w:rFonts w:cs="Arial"/>
                <w:b/>
                <w:color w:val="auto"/>
                <w:sz w:val="21"/>
                <w:szCs w:val="21"/>
                <w:lang w:val="en-AU"/>
              </w:rPr>
            </w:pPr>
            <w:r w:rsidRPr="00D97BC5">
              <w:rPr>
                <w:rFonts w:cs="Arial"/>
                <w:b/>
                <w:color w:val="auto"/>
                <w:sz w:val="21"/>
                <w:szCs w:val="21"/>
                <w:lang w:val="en-AU"/>
              </w:rPr>
              <w:lastRenderedPageBreak/>
              <w:t>Funding cycle impacts</w:t>
            </w:r>
          </w:p>
        </w:tc>
      </w:tr>
      <w:tr w:rsidR="00E36CA8" w:rsidRPr="00D97BC5" w14:paraId="1CD0DD06" w14:textId="77777777" w:rsidTr="00101B11">
        <w:tc>
          <w:tcPr>
            <w:tcW w:w="5949" w:type="dxa"/>
          </w:tcPr>
          <w:p w14:paraId="40E57F75"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Any intended retrospective adjustments to the national funding model prior to the current pricing year.</w:t>
            </w:r>
          </w:p>
        </w:tc>
        <w:tc>
          <w:tcPr>
            <w:tcW w:w="3787" w:type="dxa"/>
            <w:vMerge w:val="restart"/>
          </w:tcPr>
          <w:p w14:paraId="1B51665E"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Nil.</w:t>
            </w:r>
          </w:p>
        </w:tc>
      </w:tr>
      <w:tr w:rsidR="00E36CA8" w:rsidRPr="00D97BC5" w14:paraId="350D0053" w14:textId="77777777" w:rsidTr="00101B11">
        <w:tc>
          <w:tcPr>
            <w:tcW w:w="5949" w:type="dxa"/>
          </w:tcPr>
          <w:p w14:paraId="13BBDD7D"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Any changes to the national funding model proposed to be made that will impact a state or territory funding cycle mid-year.</w:t>
            </w:r>
          </w:p>
        </w:tc>
        <w:tc>
          <w:tcPr>
            <w:tcW w:w="3787" w:type="dxa"/>
            <w:vMerge/>
          </w:tcPr>
          <w:p w14:paraId="292CC1A1" w14:textId="77777777" w:rsidR="00E36CA8" w:rsidRPr="00D97BC5" w:rsidRDefault="00E36CA8" w:rsidP="00DD4495">
            <w:pPr>
              <w:keepLines/>
              <w:spacing w:before="100" w:after="100" w:line="240" w:lineRule="auto"/>
              <w:rPr>
                <w:rFonts w:cs="Arial"/>
                <w:color w:val="auto"/>
                <w:sz w:val="21"/>
                <w:szCs w:val="21"/>
                <w:lang w:val="en-AU"/>
              </w:rPr>
            </w:pPr>
          </w:p>
        </w:tc>
      </w:tr>
      <w:tr w:rsidR="00E36CA8" w:rsidRPr="00D97BC5" w14:paraId="748FE564" w14:textId="77777777" w:rsidTr="00E3104A">
        <w:tc>
          <w:tcPr>
            <w:tcW w:w="9736" w:type="dxa"/>
            <w:gridSpan w:val="2"/>
            <w:shd w:val="clear" w:color="auto" w:fill="DDDDDD" w:themeFill="accent1"/>
          </w:tcPr>
          <w:p w14:paraId="4ED24AE4" w14:textId="77777777" w:rsidR="00E36CA8" w:rsidRPr="00D97BC5" w:rsidRDefault="00E36CA8" w:rsidP="00DD4495">
            <w:pPr>
              <w:keepLines/>
              <w:spacing w:before="100" w:after="100" w:line="240" w:lineRule="auto"/>
              <w:rPr>
                <w:rFonts w:cs="Arial"/>
                <w:b/>
                <w:color w:val="auto"/>
                <w:sz w:val="21"/>
                <w:szCs w:val="21"/>
                <w:lang w:val="en-AU"/>
              </w:rPr>
            </w:pPr>
            <w:r w:rsidRPr="00D97BC5">
              <w:rPr>
                <w:rFonts w:cs="Arial"/>
                <w:b/>
                <w:color w:val="auto"/>
                <w:sz w:val="21"/>
                <w:szCs w:val="21"/>
                <w:lang w:val="en-AU"/>
              </w:rPr>
              <w:t>By request</w:t>
            </w:r>
          </w:p>
        </w:tc>
      </w:tr>
      <w:tr w:rsidR="00E36CA8" w:rsidRPr="00D97BC5" w14:paraId="601689EB" w14:textId="77777777" w:rsidTr="00101B11">
        <w:tc>
          <w:tcPr>
            <w:tcW w:w="5949" w:type="dxa"/>
          </w:tcPr>
          <w:p w14:paraId="4F6021FE" w14:textId="40938CE1"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 xml:space="preserve">A request from the Commonwealth or at least </w:t>
            </w:r>
            <w:r w:rsidR="00626CBA" w:rsidRPr="00D97BC5">
              <w:rPr>
                <w:rFonts w:cs="Arial"/>
                <w:color w:val="auto"/>
                <w:sz w:val="21"/>
                <w:szCs w:val="21"/>
                <w:lang w:val="en-AU"/>
              </w:rPr>
              <w:t xml:space="preserve">2 </w:t>
            </w:r>
            <w:r w:rsidRPr="00D97BC5">
              <w:rPr>
                <w:rFonts w:cs="Arial"/>
                <w:color w:val="auto"/>
                <w:sz w:val="21"/>
                <w:szCs w:val="21"/>
                <w:lang w:val="en-AU"/>
              </w:rPr>
              <w:t xml:space="preserve">states or territories for </w:t>
            </w:r>
            <w:r w:rsidR="00535033" w:rsidRPr="00D97BC5">
              <w:rPr>
                <w:rFonts w:cs="Arial"/>
                <w:color w:val="auto"/>
                <w:sz w:val="21"/>
                <w:szCs w:val="21"/>
                <w:lang w:val="en-AU"/>
              </w:rPr>
              <w:t>additional consultation</w:t>
            </w:r>
            <w:r w:rsidRPr="00D97BC5">
              <w:rPr>
                <w:rFonts w:cs="Arial"/>
                <w:color w:val="auto"/>
                <w:sz w:val="21"/>
                <w:szCs w:val="21"/>
                <w:lang w:val="en-AU"/>
              </w:rPr>
              <w:t>.</w:t>
            </w:r>
          </w:p>
        </w:tc>
        <w:tc>
          <w:tcPr>
            <w:tcW w:w="3787" w:type="dxa"/>
          </w:tcPr>
          <w:p w14:paraId="7414E15C" w14:textId="77777777" w:rsidR="00E36CA8" w:rsidRPr="00D97BC5" w:rsidRDefault="00E36CA8" w:rsidP="00DD4495">
            <w:pPr>
              <w:keepLines/>
              <w:spacing w:before="100" w:after="100" w:line="240" w:lineRule="auto"/>
              <w:rPr>
                <w:rFonts w:cs="Arial"/>
                <w:color w:val="auto"/>
                <w:sz w:val="21"/>
                <w:szCs w:val="21"/>
                <w:lang w:val="en-AU"/>
              </w:rPr>
            </w:pPr>
            <w:r w:rsidRPr="00D97BC5">
              <w:rPr>
                <w:rFonts w:cs="Arial"/>
                <w:color w:val="auto"/>
                <w:sz w:val="21"/>
                <w:szCs w:val="21"/>
                <w:lang w:val="en-AU"/>
              </w:rPr>
              <w:t>Nil.</w:t>
            </w:r>
          </w:p>
        </w:tc>
      </w:tr>
    </w:tbl>
    <w:p w14:paraId="7EB77E71" w14:textId="77777777" w:rsidR="00E36CA8" w:rsidRPr="00D97BC5" w:rsidRDefault="00E36CA8" w:rsidP="00B51709">
      <w:pPr>
        <w:pStyle w:val="Heading2"/>
      </w:pPr>
      <w:bookmarkStart w:id="33" w:name="_Toc93324935"/>
      <w:r w:rsidRPr="00D97BC5">
        <w:t>Additional consultation with HMM</w:t>
      </w:r>
      <w:bookmarkEnd w:id="33"/>
    </w:p>
    <w:p w14:paraId="08ED7487" w14:textId="43938661" w:rsidR="00E36CA8" w:rsidRPr="00D97BC5" w:rsidRDefault="00E36CA8" w:rsidP="00F5752F">
      <w:pPr>
        <w:spacing w:before="120" w:after="120"/>
        <w:rPr>
          <w:lang w:val="en-AU"/>
        </w:rPr>
      </w:pPr>
      <w:r w:rsidRPr="00D97BC5">
        <w:rPr>
          <w:lang w:val="en-AU"/>
        </w:rPr>
        <w:t>IH</w:t>
      </w:r>
      <w:r w:rsidR="00D36DC3" w:rsidRPr="00D97BC5">
        <w:rPr>
          <w:lang w:val="en-AU"/>
        </w:rPr>
        <w:t>AC</w:t>
      </w:r>
      <w:r w:rsidRPr="00D97BC5">
        <w:rPr>
          <w:lang w:val="en-AU"/>
        </w:rPr>
        <w:t xml:space="preserve">PA’s assessment of the proposed change will be detailed in the Statement of Impact provided to jurisdictions through </w:t>
      </w:r>
      <w:r w:rsidR="0090211B" w:rsidRPr="00D97BC5">
        <w:rPr>
          <w:lang w:val="en-AU"/>
        </w:rPr>
        <w:t xml:space="preserve">TAC and </w:t>
      </w:r>
      <w:r w:rsidRPr="00D97BC5">
        <w:rPr>
          <w:lang w:val="en-AU"/>
        </w:rPr>
        <w:t xml:space="preserve">JAC. Proposed changes that trigger one or more of the thresholds, and therefore are determined to have a material impact on the application of the national funding model, will require additional consultation with HMM. An assessment that a proposed change requires additional consultation does not mean that the change must undergo shadow pricing. Shadow pricing requirements are discussed in </w:t>
      </w:r>
      <w:r w:rsidR="00DD4495" w:rsidRPr="00D97BC5">
        <w:rPr>
          <w:lang w:val="en-AU"/>
        </w:rPr>
        <w:t>c</w:t>
      </w:r>
      <w:r w:rsidRPr="00D97BC5">
        <w:rPr>
          <w:lang w:val="en-AU"/>
        </w:rPr>
        <w:t>hapter 6.</w:t>
      </w:r>
    </w:p>
    <w:p w14:paraId="301E2057" w14:textId="46DB2317" w:rsidR="00E36CA8" w:rsidRPr="00D97BC5" w:rsidRDefault="00E36CA8" w:rsidP="00F5752F">
      <w:pPr>
        <w:shd w:val="clear" w:color="auto" w:fill="FFFFFF"/>
        <w:spacing w:before="120" w:after="120"/>
        <w:rPr>
          <w:lang w:val="en-AU"/>
        </w:rPr>
      </w:pPr>
      <w:r w:rsidRPr="00D97BC5">
        <w:rPr>
          <w:lang w:val="en-AU"/>
        </w:rPr>
        <w:t xml:space="preserve">The consultation process and associated timeframes for proposed changes to the national funding model has been outlined in </w:t>
      </w:r>
      <w:r w:rsidR="00DD4495" w:rsidRPr="00D97BC5">
        <w:rPr>
          <w:lang w:val="en-AU"/>
        </w:rPr>
        <w:t>c</w:t>
      </w:r>
      <w:r w:rsidRPr="00D97BC5">
        <w:rPr>
          <w:lang w:val="en-AU"/>
        </w:rPr>
        <w:t>hapter 3.</w:t>
      </w:r>
    </w:p>
    <w:p w14:paraId="45EDBFBD" w14:textId="6376CFCE" w:rsidR="00DF23C2" w:rsidRPr="00D97BC5" w:rsidRDefault="00DF23C2">
      <w:pPr>
        <w:spacing w:line="259" w:lineRule="auto"/>
        <w:rPr>
          <w:lang w:val="en-AU"/>
        </w:rPr>
      </w:pPr>
      <w:r w:rsidRPr="00D97BC5">
        <w:rPr>
          <w:lang w:val="en-AU"/>
        </w:rPr>
        <w:br w:type="page"/>
      </w:r>
    </w:p>
    <w:p w14:paraId="3FDA213B" w14:textId="2DA8DA84" w:rsidR="00DF23C2" w:rsidRPr="00D97BC5" w:rsidRDefault="007060F6" w:rsidP="00F5752F">
      <w:pPr>
        <w:pStyle w:val="Heading1"/>
      </w:pPr>
      <w:bookmarkStart w:id="34" w:name="_Toc93324936"/>
      <w:bookmarkStart w:id="35" w:name="_Toc168557606"/>
      <w:r w:rsidRPr="00D97BC5">
        <w:lastRenderedPageBreak/>
        <w:t>Shadow pricing</w:t>
      </w:r>
      <w:bookmarkEnd w:id="34"/>
      <w:bookmarkEnd w:id="35"/>
    </w:p>
    <w:p w14:paraId="5C04C156" w14:textId="6B790CD1" w:rsidR="00DF23C2" w:rsidRPr="00D97BC5" w:rsidRDefault="00DF23C2" w:rsidP="00B51709">
      <w:pPr>
        <w:pStyle w:val="Heading2"/>
      </w:pPr>
      <w:bookmarkStart w:id="36" w:name="_Toc93324937"/>
      <w:r w:rsidRPr="00D97BC5">
        <w:t xml:space="preserve">Provisions under the </w:t>
      </w:r>
      <w:r w:rsidR="00486E50" w:rsidRPr="00D97BC5">
        <w:t>a</w:t>
      </w:r>
      <w:r w:rsidRPr="00D97BC5">
        <w:t>ddendum</w:t>
      </w:r>
      <w:bookmarkEnd w:id="36"/>
    </w:p>
    <w:p w14:paraId="3F88624E" w14:textId="6A9509D4" w:rsidR="00DF23C2" w:rsidRPr="00D97BC5" w:rsidRDefault="00DF23C2" w:rsidP="00F5752F">
      <w:pPr>
        <w:spacing w:before="120" w:after="120"/>
        <w:rPr>
          <w:lang w:val="en-AU"/>
        </w:rPr>
      </w:pPr>
      <w:r w:rsidRPr="00D97BC5">
        <w:rPr>
          <w:lang w:val="en-AU"/>
        </w:rPr>
        <w:t xml:space="preserve">Clause A42 of the </w:t>
      </w:r>
      <w:r w:rsidR="00DD4495" w:rsidRPr="00D97BC5">
        <w:rPr>
          <w:lang w:val="en-AU"/>
        </w:rPr>
        <w:t>a</w:t>
      </w:r>
      <w:r w:rsidRPr="00D97BC5">
        <w:rPr>
          <w:lang w:val="en-AU"/>
        </w:rPr>
        <w:t>ddendum states that IH</w:t>
      </w:r>
      <w:r w:rsidR="00D36DC3" w:rsidRPr="00D97BC5">
        <w:rPr>
          <w:lang w:val="en-AU"/>
        </w:rPr>
        <w:t>AC</w:t>
      </w:r>
      <w:r w:rsidRPr="00D97BC5">
        <w:rPr>
          <w:lang w:val="en-AU"/>
        </w:rPr>
        <w:t>PA will use transitional arrangements when developing new ABF classification systems or costing methodologies, including shadow pricing classification system changes</w:t>
      </w:r>
      <w:r w:rsidR="00DD4495" w:rsidRPr="00D97BC5">
        <w:rPr>
          <w:lang w:val="en-AU"/>
        </w:rPr>
        <w:t xml:space="preserve">, for 2 </w:t>
      </w:r>
      <w:r w:rsidRPr="00D97BC5">
        <w:rPr>
          <w:lang w:val="en-AU"/>
        </w:rPr>
        <w:t>years or a period agreed upon by the Commonwealth and a majority of states and territories.</w:t>
      </w:r>
    </w:p>
    <w:p w14:paraId="6E302333" w14:textId="19669A3B" w:rsidR="00DF23C2" w:rsidRPr="00D97BC5" w:rsidRDefault="00DF23C2" w:rsidP="00F5752F">
      <w:pPr>
        <w:spacing w:before="120" w:after="120"/>
        <w:rPr>
          <w:lang w:val="en-AU"/>
        </w:rPr>
      </w:pPr>
      <w:r w:rsidRPr="00D97BC5">
        <w:rPr>
          <w:lang w:val="en-AU"/>
        </w:rPr>
        <w:t xml:space="preserve">This </w:t>
      </w:r>
      <w:r w:rsidR="00DD4495" w:rsidRPr="00D97BC5">
        <w:rPr>
          <w:lang w:val="en-AU"/>
        </w:rPr>
        <w:t>c</w:t>
      </w:r>
      <w:r w:rsidRPr="00D97BC5">
        <w:rPr>
          <w:lang w:val="en-AU"/>
        </w:rPr>
        <w:t>hapter provides an outline of the role of shadow pricing for proposed changes to the national funding model. IH</w:t>
      </w:r>
      <w:r w:rsidR="00D36DC3" w:rsidRPr="00D97BC5">
        <w:rPr>
          <w:lang w:val="en-AU"/>
        </w:rPr>
        <w:t>AC</w:t>
      </w:r>
      <w:r w:rsidRPr="00D97BC5">
        <w:rPr>
          <w:lang w:val="en-AU"/>
        </w:rPr>
        <w:t>PA has defined the criteria and timeframes associated with the use of shadow pricing to provide clear guidance for jurisdictions.</w:t>
      </w:r>
    </w:p>
    <w:p w14:paraId="02117C69" w14:textId="2B090DDC" w:rsidR="00E36CA8" w:rsidRPr="00D97BC5" w:rsidRDefault="00DF23C2" w:rsidP="00F5752F">
      <w:pPr>
        <w:shd w:val="clear" w:color="auto" w:fill="FFFFFF"/>
        <w:spacing w:before="120" w:after="120"/>
        <w:rPr>
          <w:lang w:val="en-AU"/>
        </w:rPr>
      </w:pPr>
      <w:r w:rsidRPr="00D97BC5">
        <w:rPr>
          <w:lang w:val="en-AU"/>
        </w:rPr>
        <w:t>Changes to ABF classification systems and costing methodologies and associated costing studies and shadow pricing projects are usually major undertakings requiring significant resources from IH</w:t>
      </w:r>
      <w:r w:rsidR="00D36DC3" w:rsidRPr="00D97BC5">
        <w:rPr>
          <w:lang w:val="en-AU"/>
        </w:rPr>
        <w:t>AC</w:t>
      </w:r>
      <w:r w:rsidRPr="00D97BC5">
        <w:rPr>
          <w:lang w:val="en-AU"/>
        </w:rPr>
        <w:t xml:space="preserve">PA and participating </w:t>
      </w:r>
      <w:r w:rsidR="001106D6" w:rsidRPr="00D97BC5">
        <w:rPr>
          <w:lang w:val="en-AU"/>
        </w:rPr>
        <w:t>states and territories</w:t>
      </w:r>
      <w:r w:rsidRPr="00D97BC5">
        <w:rPr>
          <w:lang w:val="en-AU"/>
        </w:rPr>
        <w:t>. IH</w:t>
      </w:r>
      <w:r w:rsidR="00D36DC3" w:rsidRPr="00D97BC5">
        <w:rPr>
          <w:lang w:val="en-AU"/>
        </w:rPr>
        <w:t>AC</w:t>
      </w:r>
      <w:r w:rsidRPr="00D97BC5">
        <w:rPr>
          <w:lang w:val="en-AU"/>
        </w:rPr>
        <w:t xml:space="preserve">PA will have consideration of the capability of all </w:t>
      </w:r>
      <w:r w:rsidR="001106D6" w:rsidRPr="00D97BC5">
        <w:rPr>
          <w:lang w:val="en-AU"/>
        </w:rPr>
        <w:t xml:space="preserve">states and territories </w:t>
      </w:r>
      <w:r w:rsidRPr="00D97BC5">
        <w:rPr>
          <w:lang w:val="en-AU"/>
        </w:rPr>
        <w:t xml:space="preserve">to contribute data to costing studies and shadow pricing projects in order to ensure that </w:t>
      </w:r>
      <w:r w:rsidR="001106D6" w:rsidRPr="00D97BC5">
        <w:rPr>
          <w:lang w:val="en-AU"/>
        </w:rPr>
        <w:t xml:space="preserve">states and territories </w:t>
      </w:r>
      <w:r w:rsidRPr="00D97BC5">
        <w:rPr>
          <w:lang w:val="en-AU"/>
        </w:rPr>
        <w:t>are actively involved in their conduct and the evaluation of outcomes.</w:t>
      </w:r>
    </w:p>
    <w:p w14:paraId="02347882" w14:textId="5EB7BBE9" w:rsidR="00DF23C2" w:rsidRPr="00D97BC5" w:rsidRDefault="00DF23C2" w:rsidP="00B51709">
      <w:pPr>
        <w:pStyle w:val="Heading2"/>
      </w:pPr>
      <w:bookmarkStart w:id="37" w:name="_Toc93324938"/>
      <w:r w:rsidRPr="00D97BC5">
        <w:t>Changes requiring shadow pricing</w:t>
      </w:r>
      <w:bookmarkEnd w:id="37"/>
    </w:p>
    <w:p w14:paraId="74DC8761" w14:textId="77777777" w:rsidR="00DD4495" w:rsidRPr="00D97BC5" w:rsidRDefault="00DD4495" w:rsidP="00F5752F">
      <w:pPr>
        <w:shd w:val="clear" w:color="auto" w:fill="FFFFFF"/>
        <w:spacing w:before="120" w:after="120"/>
        <w:rPr>
          <w:lang w:val="en-AU"/>
        </w:rPr>
      </w:pPr>
      <w:r w:rsidRPr="00D97BC5">
        <w:rPr>
          <w:lang w:val="en-AU"/>
        </w:rPr>
        <w:t>Clause B37 of the addendum states that IHACPA must seek guidance from Parties, through the IHACPA JAC, when implementing changes to the national funding model that will impact the way services are delivered.</w:t>
      </w:r>
    </w:p>
    <w:p w14:paraId="0C32210D" w14:textId="77777777" w:rsidR="00DD4495" w:rsidRPr="00D97BC5" w:rsidRDefault="00DD4495" w:rsidP="00F5752F">
      <w:pPr>
        <w:shd w:val="clear" w:color="auto" w:fill="FFFFFF"/>
        <w:spacing w:before="120" w:after="120"/>
        <w:rPr>
          <w:lang w:val="en-AU"/>
        </w:rPr>
      </w:pPr>
      <w:r w:rsidRPr="00D97BC5">
        <w:rPr>
          <w:lang w:val="en-AU"/>
        </w:rPr>
        <w:t>IHACPA will undertake shadow pricing for the introduction of new classifications and major structural changes to new versions of existing classifications to ensure robust data collection and reporting to accurately model the financial and counting impact of changes on the national funding model and minimise the risk of incurring undesirable and inadvertent consequences.</w:t>
      </w:r>
    </w:p>
    <w:p w14:paraId="79DF35FF" w14:textId="70A66DBF" w:rsidR="00DF23C2" w:rsidRPr="00D97BC5" w:rsidRDefault="00DD4495" w:rsidP="00F5752F">
      <w:pPr>
        <w:shd w:val="clear" w:color="auto" w:fill="FFFFFF"/>
        <w:spacing w:before="120" w:after="120"/>
        <w:rPr>
          <w:b/>
          <w:lang w:val="en-AU"/>
        </w:rPr>
      </w:pPr>
      <w:r w:rsidRPr="00D97BC5">
        <w:rPr>
          <w:lang w:val="en-AU"/>
        </w:rPr>
        <w:t xml:space="preserve">The classification system changes </w:t>
      </w:r>
      <w:r w:rsidR="00354430" w:rsidRPr="00D97BC5">
        <w:rPr>
          <w:lang w:val="en-AU"/>
        </w:rPr>
        <w:t>determined to require</w:t>
      </w:r>
      <w:r w:rsidRPr="00D97BC5">
        <w:rPr>
          <w:lang w:val="en-AU"/>
        </w:rPr>
        <w:t xml:space="preserve"> shadow pricing are detailed at </w:t>
      </w:r>
      <w:r w:rsidR="00DF23C2" w:rsidRPr="00D97BC5">
        <w:rPr>
          <w:b/>
          <w:lang w:val="en-AU"/>
        </w:rPr>
        <w:t>Table 4</w:t>
      </w:r>
      <w:r w:rsidR="00DF23C2" w:rsidRPr="00D97BC5">
        <w:rPr>
          <w:bCs/>
          <w:lang w:val="en-AU"/>
        </w:rPr>
        <w:t>.</w:t>
      </w:r>
    </w:p>
    <w:p w14:paraId="28551411" w14:textId="61709AED" w:rsidR="00DF23C2" w:rsidRPr="00D97BC5" w:rsidRDefault="00DF23C2" w:rsidP="00DD4495">
      <w:pPr>
        <w:keepNext/>
        <w:spacing w:before="120" w:after="120"/>
        <w:rPr>
          <w:b/>
          <w:lang w:val="en-AU"/>
        </w:rPr>
      </w:pPr>
      <w:r w:rsidRPr="00D97BC5">
        <w:rPr>
          <w:b/>
          <w:lang w:val="en-AU"/>
        </w:rPr>
        <w:lastRenderedPageBreak/>
        <w:t>Table 4</w:t>
      </w:r>
      <w:r w:rsidR="00F5752F" w:rsidRPr="00D97BC5">
        <w:rPr>
          <w:b/>
          <w:lang w:val="en-AU"/>
        </w:rPr>
        <w:t>:</w:t>
      </w:r>
      <w:r w:rsidRPr="00D97BC5">
        <w:rPr>
          <w:b/>
          <w:lang w:val="en-AU"/>
        </w:rPr>
        <w:t xml:space="preserve"> Changes requiring shadow pricing</w:t>
      </w:r>
    </w:p>
    <w:tbl>
      <w:tblPr>
        <w:tblStyle w:val="TableGrid"/>
        <w:tblW w:w="9634" w:type="dxa"/>
        <w:tblLook w:val="04A0" w:firstRow="1" w:lastRow="0" w:firstColumn="1" w:lastColumn="0" w:noHBand="0" w:noVBand="1"/>
      </w:tblPr>
      <w:tblGrid>
        <w:gridCol w:w="3681"/>
        <w:gridCol w:w="5953"/>
      </w:tblGrid>
      <w:tr w:rsidR="00DF23C2" w:rsidRPr="00D97BC5" w14:paraId="42C3E38C" w14:textId="55F0FDF1" w:rsidTr="00F0330B">
        <w:tc>
          <w:tcPr>
            <w:tcW w:w="9634" w:type="dxa"/>
            <w:gridSpan w:val="2"/>
            <w:shd w:val="clear" w:color="auto" w:fill="104F99"/>
          </w:tcPr>
          <w:p w14:paraId="7D445D80" w14:textId="348E6622" w:rsidR="00DF23C2" w:rsidRPr="00D97BC5" w:rsidRDefault="00DF23C2" w:rsidP="00DD4495">
            <w:pPr>
              <w:keepNext/>
              <w:spacing w:before="80" w:after="80" w:line="259" w:lineRule="auto"/>
              <w:rPr>
                <w:b/>
                <w:color w:val="FFFFFF" w:themeColor="background1"/>
                <w:lang w:val="en-AU"/>
              </w:rPr>
            </w:pPr>
            <w:r w:rsidRPr="00D97BC5">
              <w:rPr>
                <w:b/>
                <w:color w:val="FFFFFF" w:themeColor="background1"/>
                <w:lang w:val="en-AU"/>
              </w:rPr>
              <w:t>Introduction of new classifications</w:t>
            </w:r>
          </w:p>
        </w:tc>
      </w:tr>
      <w:tr w:rsidR="00DF23C2" w:rsidRPr="00D97BC5" w14:paraId="3B2BD4AC" w14:textId="6317E259" w:rsidTr="00DD4495">
        <w:tc>
          <w:tcPr>
            <w:tcW w:w="3681" w:type="dxa"/>
          </w:tcPr>
          <w:p w14:paraId="6FFD4900" w14:textId="6A8077A0" w:rsidR="00DF23C2" w:rsidRPr="00D97BC5" w:rsidRDefault="00DF23C2" w:rsidP="00DD4495">
            <w:pPr>
              <w:keepNext/>
              <w:spacing w:before="80" w:after="80" w:line="259" w:lineRule="auto"/>
              <w:rPr>
                <w:lang w:val="en-AU"/>
              </w:rPr>
            </w:pPr>
            <w:r w:rsidRPr="00D97BC5">
              <w:rPr>
                <w:lang w:val="en-AU"/>
              </w:rPr>
              <w:t>Examples:</w:t>
            </w:r>
          </w:p>
          <w:p w14:paraId="046F6E3D" w14:textId="7CCE42F4" w:rsidR="00DD4495" w:rsidRPr="00D97BC5" w:rsidRDefault="00DD4495" w:rsidP="00DD4495">
            <w:pPr>
              <w:pStyle w:val="ListParagraph"/>
              <w:keepNext/>
              <w:numPr>
                <w:ilvl w:val="0"/>
                <w:numId w:val="5"/>
              </w:numPr>
              <w:spacing w:before="80" w:after="80" w:line="259" w:lineRule="auto"/>
              <w:contextualSpacing w:val="0"/>
              <w:rPr>
                <w:lang w:val="en-AU"/>
              </w:rPr>
            </w:pPr>
            <w:r w:rsidRPr="00D97BC5">
              <w:rPr>
                <w:lang w:val="en-AU"/>
              </w:rPr>
              <w:t>Introduction of AMHCC Version 1.0 for pricing mental health care services.</w:t>
            </w:r>
          </w:p>
          <w:p w14:paraId="3B17068A" w14:textId="2EF61D98" w:rsidR="00DF23C2" w:rsidRPr="00D97BC5" w:rsidRDefault="00DD4495" w:rsidP="00354430">
            <w:pPr>
              <w:pStyle w:val="ListParagraph"/>
              <w:keepNext/>
              <w:numPr>
                <w:ilvl w:val="0"/>
                <w:numId w:val="5"/>
              </w:numPr>
              <w:spacing w:before="80" w:after="80" w:line="259" w:lineRule="auto"/>
              <w:contextualSpacing w:val="0"/>
              <w:rPr>
                <w:lang w:val="en-AU"/>
              </w:rPr>
            </w:pPr>
            <w:r w:rsidRPr="00D97BC5">
              <w:rPr>
                <w:lang w:val="en-AU"/>
              </w:rPr>
              <w:t xml:space="preserve">Introduction of </w:t>
            </w:r>
            <w:r w:rsidR="00DF23C2" w:rsidRPr="00D97BC5">
              <w:rPr>
                <w:lang w:val="en-AU"/>
              </w:rPr>
              <w:t>AECC Version 1.0</w:t>
            </w:r>
            <w:r w:rsidRPr="00D97BC5">
              <w:rPr>
                <w:lang w:val="en-AU"/>
              </w:rPr>
              <w:t xml:space="preserve"> for pricing emergency department services</w:t>
            </w:r>
            <w:r w:rsidR="00DF23C2" w:rsidRPr="00D97BC5">
              <w:rPr>
                <w:lang w:val="en-AU"/>
              </w:rPr>
              <w:t>.</w:t>
            </w:r>
          </w:p>
        </w:tc>
        <w:tc>
          <w:tcPr>
            <w:tcW w:w="5953" w:type="dxa"/>
          </w:tcPr>
          <w:p w14:paraId="7D62AB54" w14:textId="6F1083C4" w:rsidR="00DF23C2" w:rsidRPr="00D97BC5" w:rsidRDefault="00DF23C2" w:rsidP="00DD4495">
            <w:pPr>
              <w:keepNext/>
              <w:spacing w:before="80" w:after="80" w:line="259" w:lineRule="auto"/>
              <w:rPr>
                <w:lang w:val="en-AU"/>
              </w:rPr>
            </w:pPr>
            <w:r w:rsidRPr="00D97BC5">
              <w:rPr>
                <w:lang w:val="en-AU"/>
              </w:rPr>
              <w:t>Exceptions:</w:t>
            </w:r>
          </w:p>
          <w:p w14:paraId="4D53B57E" w14:textId="32DA232A" w:rsidR="00DF23C2" w:rsidRPr="00D97BC5" w:rsidRDefault="00DF23C2" w:rsidP="00DD4495">
            <w:pPr>
              <w:pStyle w:val="ListParagraph"/>
              <w:keepNext/>
              <w:numPr>
                <w:ilvl w:val="0"/>
                <w:numId w:val="5"/>
              </w:numPr>
              <w:spacing w:before="80" w:after="80" w:line="259" w:lineRule="auto"/>
              <w:contextualSpacing w:val="0"/>
              <w:rPr>
                <w:lang w:val="en-AU"/>
              </w:rPr>
            </w:pPr>
            <w:r w:rsidRPr="00D97BC5">
              <w:rPr>
                <w:lang w:val="en-AU"/>
              </w:rPr>
              <w:t xml:space="preserve">Where there is an undue financial or administrative burden on </w:t>
            </w:r>
            <w:r w:rsidR="001106D6" w:rsidRPr="00D97BC5">
              <w:rPr>
                <w:lang w:val="en-AU"/>
              </w:rPr>
              <w:t>states and territories, such as dual data collection for new versions of the Australian Refined Diagnosis Related Groups classification or the Tier 2 Non-Admitted Services Classification</w:t>
            </w:r>
            <w:r w:rsidRPr="00D97BC5">
              <w:rPr>
                <w:lang w:val="en-AU"/>
              </w:rPr>
              <w:t>.</w:t>
            </w:r>
          </w:p>
          <w:p w14:paraId="1F6685E8" w14:textId="03E99F41" w:rsidR="00DF23C2" w:rsidRPr="00D97BC5" w:rsidRDefault="00DF23C2" w:rsidP="00DD4495">
            <w:pPr>
              <w:pStyle w:val="ListParagraph"/>
              <w:keepNext/>
              <w:numPr>
                <w:ilvl w:val="0"/>
                <w:numId w:val="5"/>
              </w:numPr>
              <w:spacing w:before="80" w:after="80" w:line="259" w:lineRule="auto"/>
              <w:contextualSpacing w:val="0"/>
              <w:rPr>
                <w:lang w:val="en-AU"/>
              </w:rPr>
            </w:pPr>
            <w:r w:rsidRPr="00D97BC5">
              <w:rPr>
                <w:lang w:val="en-AU"/>
              </w:rPr>
              <w:t>Where agreed through IH</w:t>
            </w:r>
            <w:r w:rsidR="00D36DC3" w:rsidRPr="00D97BC5">
              <w:rPr>
                <w:lang w:val="en-AU"/>
              </w:rPr>
              <w:t>AC</w:t>
            </w:r>
            <w:r w:rsidRPr="00D97BC5">
              <w:rPr>
                <w:lang w:val="en-AU"/>
              </w:rPr>
              <w:t>PA</w:t>
            </w:r>
            <w:r w:rsidR="0097201F" w:rsidRPr="00D97BC5">
              <w:rPr>
                <w:lang w:val="en-AU"/>
              </w:rPr>
              <w:t>’s</w:t>
            </w:r>
            <w:r w:rsidRPr="00D97BC5">
              <w:rPr>
                <w:lang w:val="en-AU"/>
              </w:rPr>
              <w:t xml:space="preserve"> JAC.</w:t>
            </w:r>
          </w:p>
        </w:tc>
      </w:tr>
      <w:tr w:rsidR="00DF23C2" w:rsidRPr="00D97BC5" w14:paraId="2EE62BD0" w14:textId="5AD6D237" w:rsidTr="00F0330B">
        <w:tc>
          <w:tcPr>
            <w:tcW w:w="9634" w:type="dxa"/>
            <w:gridSpan w:val="2"/>
            <w:shd w:val="clear" w:color="auto" w:fill="104F99"/>
          </w:tcPr>
          <w:p w14:paraId="1B8A9797" w14:textId="6470EA3B" w:rsidR="00DF23C2" w:rsidRPr="00D97BC5" w:rsidRDefault="00DF23C2" w:rsidP="00DD4495">
            <w:pPr>
              <w:keepNext/>
              <w:spacing w:before="80" w:after="80" w:line="259" w:lineRule="auto"/>
              <w:rPr>
                <w:b/>
                <w:color w:val="FFFFFF" w:themeColor="background1"/>
                <w:lang w:val="en-AU"/>
              </w:rPr>
            </w:pPr>
            <w:r w:rsidRPr="00D97BC5">
              <w:rPr>
                <w:b/>
                <w:color w:val="FFFFFF" w:themeColor="background1"/>
                <w:lang w:val="en-AU"/>
              </w:rPr>
              <w:t>Major structural change to new versions of existing classifications</w:t>
            </w:r>
          </w:p>
        </w:tc>
      </w:tr>
      <w:tr w:rsidR="00DF23C2" w:rsidRPr="00D97BC5" w14:paraId="20AA6A4D" w14:textId="215364D7" w:rsidTr="00DD4495">
        <w:tc>
          <w:tcPr>
            <w:tcW w:w="3681" w:type="dxa"/>
          </w:tcPr>
          <w:p w14:paraId="4F2B87A1" w14:textId="3194D1AE" w:rsidR="00DF23C2" w:rsidRPr="00D97BC5" w:rsidRDefault="00DF23C2" w:rsidP="00DD4495">
            <w:pPr>
              <w:keepNext/>
              <w:spacing w:before="80" w:after="80" w:line="259" w:lineRule="auto"/>
              <w:rPr>
                <w:lang w:val="en-AU"/>
              </w:rPr>
            </w:pPr>
            <w:r w:rsidRPr="00D97BC5">
              <w:rPr>
                <w:lang w:val="en-AU"/>
              </w:rPr>
              <w:t>Examples:</w:t>
            </w:r>
          </w:p>
          <w:p w14:paraId="53FF06C0" w14:textId="4F53FDEE" w:rsidR="00DF23C2" w:rsidRPr="00D97BC5" w:rsidRDefault="00DF23C2" w:rsidP="00F5752F">
            <w:pPr>
              <w:pStyle w:val="ListParagraph"/>
              <w:numPr>
                <w:ilvl w:val="0"/>
                <w:numId w:val="5"/>
              </w:numPr>
              <w:spacing w:before="80" w:after="80" w:line="259" w:lineRule="auto"/>
              <w:contextualSpacing w:val="0"/>
              <w:rPr>
                <w:lang w:val="en-AU"/>
              </w:rPr>
            </w:pPr>
            <w:r w:rsidRPr="00D97BC5">
              <w:rPr>
                <w:lang w:val="en-AU"/>
              </w:rPr>
              <w:t xml:space="preserve">Implementation of </w:t>
            </w:r>
            <w:r w:rsidR="00DD4495" w:rsidRPr="00D97BC5">
              <w:rPr>
                <w:lang w:val="en-AU"/>
              </w:rPr>
              <w:t xml:space="preserve">brand </w:t>
            </w:r>
            <w:r w:rsidRPr="00D97BC5">
              <w:rPr>
                <w:lang w:val="en-AU"/>
              </w:rPr>
              <w:t xml:space="preserve">new data elements in </w:t>
            </w:r>
            <w:r w:rsidR="00DD4495" w:rsidRPr="00D97BC5">
              <w:rPr>
                <w:lang w:val="en-AU"/>
              </w:rPr>
              <w:t xml:space="preserve">a new version of an </w:t>
            </w:r>
            <w:r w:rsidRPr="00D97BC5">
              <w:rPr>
                <w:lang w:val="en-AU"/>
              </w:rPr>
              <w:t>existing classification</w:t>
            </w:r>
            <w:r w:rsidR="00DD4495" w:rsidRPr="00D97BC5">
              <w:rPr>
                <w:lang w:val="en-AU"/>
              </w:rPr>
              <w:t xml:space="preserve"> that are already collected in national data sets, but not currently utilised in the classification</w:t>
            </w:r>
            <w:r w:rsidRPr="00D97BC5">
              <w:rPr>
                <w:lang w:val="en-AU"/>
              </w:rPr>
              <w:t>.</w:t>
            </w:r>
          </w:p>
          <w:p w14:paraId="79B2D6BA" w14:textId="7583DF04" w:rsidR="00DF23C2" w:rsidRPr="00D97BC5" w:rsidRDefault="00DF23C2" w:rsidP="00F5752F">
            <w:pPr>
              <w:pStyle w:val="ListParagraph"/>
              <w:numPr>
                <w:ilvl w:val="0"/>
                <w:numId w:val="5"/>
              </w:numPr>
              <w:spacing w:before="80" w:after="80" w:line="259" w:lineRule="auto"/>
              <w:contextualSpacing w:val="0"/>
              <w:rPr>
                <w:lang w:val="en-AU"/>
              </w:rPr>
            </w:pPr>
            <w:r w:rsidRPr="00D97BC5">
              <w:rPr>
                <w:lang w:val="en-AU"/>
              </w:rPr>
              <w:t xml:space="preserve">Implementation of </w:t>
            </w:r>
            <w:r w:rsidR="00DD4495" w:rsidRPr="00D97BC5">
              <w:rPr>
                <w:lang w:val="en-AU"/>
              </w:rPr>
              <w:t xml:space="preserve">brand </w:t>
            </w:r>
            <w:r w:rsidRPr="00D97BC5">
              <w:rPr>
                <w:lang w:val="en-AU"/>
              </w:rPr>
              <w:t xml:space="preserve">new data elements </w:t>
            </w:r>
            <w:r w:rsidR="00DD4495" w:rsidRPr="00D97BC5">
              <w:rPr>
                <w:lang w:val="en-AU"/>
              </w:rPr>
              <w:t xml:space="preserve">in a new version of an existing classification </w:t>
            </w:r>
            <w:r w:rsidRPr="00D97BC5">
              <w:rPr>
                <w:lang w:val="en-AU"/>
              </w:rPr>
              <w:t xml:space="preserve">that are currently not collected </w:t>
            </w:r>
            <w:r w:rsidR="00DD4495" w:rsidRPr="00D97BC5">
              <w:rPr>
                <w:lang w:val="en-AU"/>
              </w:rPr>
              <w:t>in national data sets</w:t>
            </w:r>
            <w:r w:rsidRPr="00D97BC5">
              <w:rPr>
                <w:lang w:val="en-AU"/>
              </w:rPr>
              <w:t>.</w:t>
            </w:r>
          </w:p>
        </w:tc>
        <w:tc>
          <w:tcPr>
            <w:tcW w:w="5953" w:type="dxa"/>
          </w:tcPr>
          <w:p w14:paraId="5CE49BC0" w14:textId="033F687A" w:rsidR="00DF23C2" w:rsidRPr="00D97BC5" w:rsidRDefault="00DF23C2" w:rsidP="00DD4495">
            <w:pPr>
              <w:keepNext/>
              <w:spacing w:before="80" w:after="80" w:line="259" w:lineRule="auto"/>
              <w:rPr>
                <w:lang w:val="en-AU"/>
              </w:rPr>
            </w:pPr>
            <w:r w:rsidRPr="00D97BC5">
              <w:rPr>
                <w:lang w:val="en-AU"/>
              </w:rPr>
              <w:t>Exceptions:</w:t>
            </w:r>
          </w:p>
          <w:p w14:paraId="4937EA18" w14:textId="03C93494" w:rsidR="00DF23C2" w:rsidRPr="00D97BC5" w:rsidRDefault="00DF23C2" w:rsidP="00F5752F">
            <w:pPr>
              <w:pStyle w:val="ListParagraph"/>
              <w:numPr>
                <w:ilvl w:val="0"/>
                <w:numId w:val="5"/>
              </w:numPr>
              <w:spacing w:before="80" w:after="80" w:line="259" w:lineRule="auto"/>
              <w:contextualSpacing w:val="0"/>
              <w:rPr>
                <w:lang w:val="en-AU"/>
              </w:rPr>
            </w:pPr>
            <w:r w:rsidRPr="00D97BC5">
              <w:rPr>
                <w:lang w:val="en-AU"/>
              </w:rPr>
              <w:t>Moderate changes such as implementation of a new data element that was already collected and only redistributes activity.</w:t>
            </w:r>
          </w:p>
          <w:p w14:paraId="011C704B" w14:textId="5F0F97B5" w:rsidR="00DF23C2" w:rsidRPr="00D97BC5" w:rsidRDefault="00DF23C2" w:rsidP="00F5752F">
            <w:pPr>
              <w:pStyle w:val="ListParagraph"/>
              <w:numPr>
                <w:ilvl w:val="0"/>
                <w:numId w:val="5"/>
              </w:numPr>
              <w:spacing w:before="80" w:after="80" w:line="259" w:lineRule="auto"/>
              <w:contextualSpacing w:val="0"/>
              <w:rPr>
                <w:lang w:val="en-AU"/>
              </w:rPr>
            </w:pPr>
            <w:r w:rsidRPr="00D97BC5">
              <w:rPr>
                <w:lang w:val="en-AU"/>
              </w:rPr>
              <w:t xml:space="preserve">Standard refinements undertaken with every revision </w:t>
            </w:r>
            <w:bookmarkStart w:id="38" w:name="_Hlk165474203"/>
            <w:r w:rsidRPr="00D97BC5">
              <w:rPr>
                <w:lang w:val="en-AU"/>
              </w:rPr>
              <w:t xml:space="preserve">to ensure the classification maintains clinical currency and cost homogeneity (such as </w:t>
            </w:r>
            <w:r w:rsidR="00DD4495" w:rsidRPr="00D97BC5">
              <w:rPr>
                <w:lang w:val="en-AU"/>
              </w:rPr>
              <w:t>updates to complexity splits and/or</w:t>
            </w:r>
            <w:r w:rsidR="00DD4495" w:rsidRPr="00D97BC5" w:rsidDel="00DD4495">
              <w:rPr>
                <w:lang w:val="en-AU"/>
              </w:rPr>
              <w:t xml:space="preserve"> </w:t>
            </w:r>
            <w:r w:rsidR="00DD4495" w:rsidRPr="00D97BC5">
              <w:rPr>
                <w:lang w:val="en-AU"/>
              </w:rPr>
              <w:t xml:space="preserve">thresholds for </w:t>
            </w:r>
            <w:r w:rsidRPr="00D97BC5">
              <w:rPr>
                <w:lang w:val="en-AU"/>
              </w:rPr>
              <w:t>existing variables).</w:t>
            </w:r>
            <w:bookmarkEnd w:id="38"/>
          </w:p>
          <w:p w14:paraId="3B0C8AFE" w14:textId="4F84DDBD" w:rsidR="00DF23C2" w:rsidRPr="00D97BC5" w:rsidRDefault="00DF23C2" w:rsidP="00F5752F">
            <w:pPr>
              <w:pStyle w:val="ListParagraph"/>
              <w:numPr>
                <w:ilvl w:val="0"/>
                <w:numId w:val="5"/>
              </w:numPr>
              <w:spacing w:before="80" w:after="80" w:line="259" w:lineRule="auto"/>
              <w:contextualSpacing w:val="0"/>
              <w:rPr>
                <w:lang w:val="en-AU"/>
              </w:rPr>
            </w:pPr>
            <w:r w:rsidRPr="00D97BC5">
              <w:rPr>
                <w:lang w:val="en-AU"/>
              </w:rPr>
              <w:t xml:space="preserve">Where there is an undue financial or administrative burden on </w:t>
            </w:r>
            <w:r w:rsidR="001106D6" w:rsidRPr="00D97BC5">
              <w:rPr>
                <w:lang w:val="en-AU"/>
              </w:rPr>
              <w:t>states and territories</w:t>
            </w:r>
            <w:r w:rsidRPr="00D97BC5">
              <w:rPr>
                <w:lang w:val="en-AU"/>
              </w:rPr>
              <w:t>.</w:t>
            </w:r>
          </w:p>
          <w:p w14:paraId="6B3D1062" w14:textId="20CADB7F" w:rsidR="00DF23C2" w:rsidRPr="00D97BC5" w:rsidRDefault="00DF23C2" w:rsidP="00F5752F">
            <w:pPr>
              <w:pStyle w:val="ListParagraph"/>
              <w:numPr>
                <w:ilvl w:val="0"/>
                <w:numId w:val="5"/>
              </w:numPr>
              <w:spacing w:before="80" w:after="80" w:line="259" w:lineRule="auto"/>
              <w:contextualSpacing w:val="0"/>
              <w:rPr>
                <w:lang w:val="en-AU"/>
              </w:rPr>
            </w:pPr>
            <w:r w:rsidRPr="00D97BC5">
              <w:rPr>
                <w:lang w:val="en-AU"/>
              </w:rPr>
              <w:t>Where agreed through IH</w:t>
            </w:r>
            <w:r w:rsidR="00D36DC3" w:rsidRPr="00D97BC5">
              <w:rPr>
                <w:lang w:val="en-AU"/>
              </w:rPr>
              <w:t>AC</w:t>
            </w:r>
            <w:r w:rsidRPr="00D97BC5">
              <w:rPr>
                <w:lang w:val="en-AU"/>
              </w:rPr>
              <w:t>PA</w:t>
            </w:r>
            <w:r w:rsidR="0097201F" w:rsidRPr="00D97BC5">
              <w:rPr>
                <w:lang w:val="en-AU"/>
              </w:rPr>
              <w:t>’s</w:t>
            </w:r>
            <w:r w:rsidRPr="00D97BC5">
              <w:rPr>
                <w:lang w:val="en-AU"/>
              </w:rPr>
              <w:t xml:space="preserve"> JAC.</w:t>
            </w:r>
          </w:p>
        </w:tc>
      </w:tr>
    </w:tbl>
    <w:p w14:paraId="5D5D5CD0" w14:textId="4811288D" w:rsidR="00DD4495" w:rsidRPr="00D97BC5" w:rsidRDefault="00DD4495" w:rsidP="00DD4495">
      <w:pPr>
        <w:spacing w:before="120" w:after="120"/>
        <w:rPr>
          <w:lang w:val="en-AU"/>
        </w:rPr>
      </w:pPr>
      <w:bookmarkStart w:id="39" w:name="_Toc93324939"/>
      <w:r w:rsidRPr="00D97BC5">
        <w:rPr>
          <w:lang w:val="en-AU"/>
        </w:rPr>
        <w:t xml:space="preserve">The classification system changes described in </w:t>
      </w:r>
      <w:r w:rsidRPr="00D97BC5">
        <w:rPr>
          <w:b/>
          <w:bCs/>
          <w:lang w:val="en-AU"/>
        </w:rPr>
        <w:t>Table 4</w:t>
      </w:r>
      <w:r w:rsidRPr="00D97BC5">
        <w:rPr>
          <w:lang w:val="en-AU"/>
        </w:rPr>
        <w:t xml:space="preserve"> are not intended to be exhaustive of all classification system changes that may require shadow pricing. Other circumstances will be considered by IHACPA in consultation with jurisdictions on a case-by-case basis.</w:t>
      </w:r>
    </w:p>
    <w:p w14:paraId="47DAA33D" w14:textId="7F5C7E11" w:rsidR="00DF23C2" w:rsidRPr="00D97BC5" w:rsidRDefault="00486E50" w:rsidP="00B51709">
      <w:pPr>
        <w:pStyle w:val="Heading2"/>
      </w:pPr>
      <w:r w:rsidRPr="00D97BC5">
        <w:t>P</w:t>
      </w:r>
      <w:r w:rsidR="00FC08A7" w:rsidRPr="00D97BC5">
        <w:t xml:space="preserve">rogression from </w:t>
      </w:r>
      <w:r w:rsidR="00DF23C2" w:rsidRPr="00D97BC5">
        <w:t>shadow pricing</w:t>
      </w:r>
      <w:bookmarkEnd w:id="39"/>
      <w:r w:rsidRPr="00D97BC5">
        <w:t xml:space="preserve"> to pricing</w:t>
      </w:r>
    </w:p>
    <w:p w14:paraId="7D41F95E" w14:textId="77777777" w:rsidR="00DD4495" w:rsidRPr="00D97BC5" w:rsidRDefault="00DD4495" w:rsidP="00F5752F">
      <w:pPr>
        <w:spacing w:before="120" w:after="120"/>
        <w:rPr>
          <w:lang w:val="en-AU"/>
        </w:rPr>
      </w:pPr>
      <w:r w:rsidRPr="00D97BC5">
        <w:rPr>
          <w:lang w:val="en-AU"/>
        </w:rPr>
        <w:t>IHACPA will prepare a Statement of Impact to outline its intent to progress from shadow pricing to pricing for a new or changed classification, as required under the addendum.</w:t>
      </w:r>
    </w:p>
    <w:p w14:paraId="7E1839FB" w14:textId="77777777" w:rsidR="00203469" w:rsidRPr="00D97BC5" w:rsidRDefault="00DD4495" w:rsidP="00203469">
      <w:pPr>
        <w:spacing w:before="120" w:after="120"/>
        <w:rPr>
          <w:lang w:val="en-AU"/>
        </w:rPr>
      </w:pPr>
      <w:r w:rsidRPr="00D97BC5">
        <w:rPr>
          <w:lang w:val="en-AU"/>
        </w:rPr>
        <w:t xml:space="preserve">Clause A42 of the addendum specifies </w:t>
      </w:r>
      <w:r w:rsidR="00203469" w:rsidRPr="00D97BC5">
        <w:rPr>
          <w:lang w:val="en-AU"/>
        </w:rPr>
        <w:t>that classification system changes will be shadow priced for 2 years or a period agreed with the Commonwealth and a majority of states and territories. Under the guidelines, the interpretation of this clause is that 2 years is the minimum shadow pricing period required for classification system changes, unless a reduced shadow pricing period is agreed to by the Commonwealth and a majority of states and territories.</w:t>
      </w:r>
    </w:p>
    <w:p w14:paraId="713179D7" w14:textId="33E2F679" w:rsidR="00F0330B" w:rsidRPr="00D97BC5" w:rsidRDefault="00203469" w:rsidP="00203469">
      <w:pPr>
        <w:spacing w:before="120" w:after="120"/>
        <w:rPr>
          <w:lang w:val="en-AU"/>
        </w:rPr>
      </w:pPr>
      <w:r w:rsidRPr="00D97BC5">
        <w:rPr>
          <w:lang w:val="en-AU"/>
        </w:rPr>
        <w:t>In the following sections, IHACPA has outlined the circumstances and considerations to reductions or extensions to the prescribed 2-year shadow pricing period required under the addendum</w:t>
      </w:r>
      <w:r w:rsidR="00F0330B" w:rsidRPr="00D97BC5">
        <w:rPr>
          <w:lang w:val="en-AU"/>
        </w:rPr>
        <w:t xml:space="preserve">. </w:t>
      </w:r>
    </w:p>
    <w:p w14:paraId="1E5A4D8A" w14:textId="25164318" w:rsidR="00F0330B" w:rsidRPr="00D97BC5" w:rsidRDefault="00F0330B" w:rsidP="00B51709">
      <w:pPr>
        <w:pStyle w:val="Heading3"/>
      </w:pPr>
      <w:r w:rsidRPr="00D97BC5">
        <w:lastRenderedPageBreak/>
        <w:t xml:space="preserve">Reductions to the </w:t>
      </w:r>
      <w:r w:rsidR="002B4814" w:rsidRPr="00D97BC5">
        <w:t xml:space="preserve">2-year </w:t>
      </w:r>
      <w:r w:rsidRPr="00D97BC5">
        <w:t>shadow pricing period</w:t>
      </w:r>
    </w:p>
    <w:p w14:paraId="75D2E72B" w14:textId="1F79780A" w:rsidR="002B4814" w:rsidRPr="00D97BC5" w:rsidRDefault="00836F70" w:rsidP="002B4814">
      <w:pPr>
        <w:spacing w:before="120" w:after="120"/>
        <w:rPr>
          <w:lang w:val="en-AU"/>
        </w:rPr>
      </w:pPr>
      <w:r w:rsidRPr="00D97BC5">
        <w:rPr>
          <w:lang w:val="en-AU"/>
        </w:rPr>
        <w:t xml:space="preserve">In accordance with clause A42 of the </w:t>
      </w:r>
      <w:r w:rsidR="002B4814" w:rsidRPr="00D97BC5">
        <w:rPr>
          <w:lang w:val="en-AU"/>
        </w:rPr>
        <w:t>a</w:t>
      </w:r>
      <w:r w:rsidRPr="00D97BC5">
        <w:rPr>
          <w:lang w:val="en-AU"/>
        </w:rPr>
        <w:t xml:space="preserve">ddendum, reducing the </w:t>
      </w:r>
      <w:r w:rsidR="002B4814" w:rsidRPr="00D97BC5">
        <w:rPr>
          <w:lang w:val="en-AU"/>
        </w:rPr>
        <w:t>2</w:t>
      </w:r>
      <w:r w:rsidRPr="00D97BC5">
        <w:rPr>
          <w:lang w:val="en-AU"/>
        </w:rPr>
        <w:t>-year shadow pricing period for classification system or costing methodology changes or pricing based on a costing study must be agreed upon with the Commonwealth and a majority of states or territories.</w:t>
      </w:r>
      <w:r w:rsidR="002B4814" w:rsidRPr="00D97BC5">
        <w:rPr>
          <w:lang w:val="en-AU"/>
        </w:rPr>
        <w:t xml:space="preserve"> The circumstances that may warrant a reduction to the 2-year shadow pricing period required under the addendum are outlined below:</w:t>
      </w:r>
    </w:p>
    <w:p w14:paraId="36FB4A51"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rFonts w:cs="Arial"/>
          <w:lang w:val="en-AU"/>
        </w:rPr>
        <w:t>Where a reduced shadow pricing period is dictated by the addendum or other agreement between jurisdictions. For example, under the addendum IHACPA was directed to implement a pricing model for avoidable hospital readmissions and an adjustment for private patient neutrality.</w:t>
      </w:r>
    </w:p>
    <w:p w14:paraId="615EDC44"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rFonts w:cs="Arial"/>
          <w:lang w:val="en-AU"/>
        </w:rPr>
        <w:t>Where the prescribed 2-year shadow pricing period would adversely impact the reactiveness and accuracy of pricing of public hospital services. For example, where prolonged shadow pricing would render the classification outdated prior to implementation or impact the ability of the classification to reflect the most recent cost and activity data.</w:t>
      </w:r>
    </w:p>
    <w:p w14:paraId="0F350A8D"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rFonts w:cs="Arial"/>
          <w:lang w:val="en-AU"/>
        </w:rPr>
        <w:t>Where otherwise requested or approved by the Commonwealth and a majority of states and territories.</w:t>
      </w:r>
    </w:p>
    <w:p w14:paraId="7F3164AF" w14:textId="6A89552C" w:rsidR="002B4814" w:rsidRPr="00D97BC5" w:rsidRDefault="00836F70" w:rsidP="002B4814">
      <w:pPr>
        <w:spacing w:before="120" w:after="120"/>
        <w:rPr>
          <w:lang w:val="en-AU"/>
        </w:rPr>
      </w:pPr>
      <w:r w:rsidRPr="00D97BC5">
        <w:rPr>
          <w:lang w:val="en-AU"/>
        </w:rPr>
        <w:t xml:space="preserve">Proposals for reductions to the </w:t>
      </w:r>
      <w:r w:rsidR="002B4814" w:rsidRPr="00D97BC5">
        <w:rPr>
          <w:lang w:val="en-AU"/>
        </w:rPr>
        <w:t>2</w:t>
      </w:r>
      <w:r w:rsidRPr="00D97BC5">
        <w:rPr>
          <w:lang w:val="en-AU"/>
        </w:rPr>
        <w:noBreakHyphen/>
        <w:t xml:space="preserve">year shadow pricing period will be discussed by jurisdictional representatives at IHACPA’s </w:t>
      </w:r>
      <w:r w:rsidR="00D97BC5">
        <w:rPr>
          <w:lang w:val="en-AU"/>
        </w:rPr>
        <w:t xml:space="preserve">TAC and </w:t>
      </w:r>
      <w:r w:rsidRPr="00D97BC5">
        <w:rPr>
          <w:lang w:val="en-AU"/>
        </w:rPr>
        <w:t xml:space="preserve">JAC meetings, then provided to all health ministers for </w:t>
      </w:r>
      <w:r w:rsidR="002B4814" w:rsidRPr="00D97BC5">
        <w:rPr>
          <w:lang w:val="en-AU"/>
        </w:rPr>
        <w:t>consideration through the Statement of Impact, as part of the 45-day ministerial comment period for the draft NEP and NEC determinations. In considering proposals for a reduced shadow pricing period, IHACPA will be guided by the following factors:</w:t>
      </w:r>
    </w:p>
    <w:p w14:paraId="24F0866F"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Where the volume and quality of data reporting and collection during the shadow pricing period is determined to be sufficiently mature to support progression to pricing.</w:t>
      </w:r>
    </w:p>
    <w:p w14:paraId="3A6229B7"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Where the shadow pricing model demonstrates good performance in modelling costs and  adequate year-on-year stability to support progression to pricing.</w:t>
      </w:r>
    </w:p>
    <w:p w14:paraId="62E71FB4"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Where the impact of progression to pricing represents minimal or an acceptable level of risk to funding that can be adequately mitigated.</w:t>
      </w:r>
    </w:p>
    <w:p w14:paraId="57B82E81"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Where IHACPA can provide information and evidence, through the Statement of Impact, that assures jurisdictions with regards to the impact of progression to pricing.</w:t>
      </w:r>
    </w:p>
    <w:p w14:paraId="6773A488" w14:textId="77777777" w:rsidR="002B4814" w:rsidRPr="00D97BC5" w:rsidRDefault="002B4814" w:rsidP="002B4814">
      <w:pPr>
        <w:pStyle w:val="Heading3"/>
      </w:pPr>
      <w:r w:rsidRPr="00D97BC5">
        <w:t>Extensions to the 2-year shadow pricing period</w:t>
      </w:r>
    </w:p>
    <w:p w14:paraId="5A7BDFBA" w14:textId="0C89B97D" w:rsidR="002B4814" w:rsidRPr="00D97BC5" w:rsidRDefault="002B4814" w:rsidP="002B4814">
      <w:pPr>
        <w:spacing w:before="120" w:after="120"/>
        <w:rPr>
          <w:lang w:val="en-AU"/>
        </w:rPr>
      </w:pPr>
      <w:r w:rsidRPr="00D97BC5">
        <w:rPr>
          <w:lang w:val="en-AU"/>
        </w:rPr>
        <w:t>There may be circumstances where an extension to the prescribed 2-year shadow pricing period is required, in consultation with TAC</w:t>
      </w:r>
      <w:r w:rsidR="00D97BC5">
        <w:rPr>
          <w:lang w:val="en-AU"/>
        </w:rPr>
        <w:t xml:space="preserve"> and JAC</w:t>
      </w:r>
      <w:r w:rsidRPr="00D97BC5">
        <w:rPr>
          <w:lang w:val="en-AU"/>
        </w:rPr>
        <w:t>. Factors that may warrant an extension to the 2-year shadow pricing period may include that the:</w:t>
      </w:r>
    </w:p>
    <w:p w14:paraId="5D42D91B"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volume and quality of data reporting and collection is determined to be insufficiently mature or too variable across the 2-year shadow pricing period to support progression to pricing</w:t>
      </w:r>
    </w:p>
    <w:p w14:paraId="688FC848"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 xml:space="preserve">performance of the shadow pricing model in modelling costs is insufficient or demonstrates significant variability over the 2-year shadow pricing period, to the extent there is a high likelihood that performance would decrease substantially following progression to pricing, </w:t>
      </w:r>
      <w:r w:rsidRPr="00D97BC5">
        <w:rPr>
          <w:lang w:val="en-AU"/>
        </w:rPr>
        <w:lastRenderedPageBreak/>
        <w:t>noting that all shadow pricing models would be expected to demonstrate variability as they are refined and underlying data quality improves</w:t>
      </w:r>
    </w:p>
    <w:p w14:paraId="6F036C70" w14:textId="77777777" w:rsidR="002B4814" w:rsidRPr="00D97BC5" w:rsidRDefault="002B4814" w:rsidP="002B4814">
      <w:pPr>
        <w:pStyle w:val="ListParagraph"/>
        <w:numPr>
          <w:ilvl w:val="0"/>
          <w:numId w:val="14"/>
        </w:numPr>
        <w:spacing w:before="120" w:after="120"/>
        <w:contextualSpacing w:val="0"/>
        <w:rPr>
          <w:rFonts w:cs="Arial"/>
          <w:lang w:val="en-AU"/>
        </w:rPr>
      </w:pPr>
      <w:r w:rsidRPr="00D97BC5">
        <w:rPr>
          <w:lang w:val="en-AU"/>
        </w:rPr>
        <w:t>impact of progression to pricing presents a significant and unacceptable level of risk to funding that cannot be sufficiently mitigated.</w:t>
      </w:r>
    </w:p>
    <w:p w14:paraId="728BB9C1" w14:textId="620D0298" w:rsidR="006529F9" w:rsidRPr="00D97BC5" w:rsidRDefault="006529F9" w:rsidP="00B51709">
      <w:pPr>
        <w:pStyle w:val="Heading3"/>
      </w:pPr>
      <w:r w:rsidRPr="00D97BC5">
        <w:t>Progression to pricing</w:t>
      </w:r>
    </w:p>
    <w:p w14:paraId="5E1FB678" w14:textId="3D5906E6" w:rsidR="00426B4D" w:rsidRPr="00D97BC5" w:rsidRDefault="006529F9" w:rsidP="00F5752F">
      <w:pPr>
        <w:spacing w:before="120" w:after="120"/>
        <w:rPr>
          <w:lang w:val="en-AU"/>
        </w:rPr>
      </w:pPr>
      <w:r w:rsidRPr="00D97BC5">
        <w:rPr>
          <w:lang w:val="en-AU"/>
        </w:rPr>
        <w:t xml:space="preserve">In line with this </w:t>
      </w:r>
      <w:r w:rsidR="002B4814" w:rsidRPr="00D97BC5">
        <w:rPr>
          <w:lang w:val="en-AU"/>
        </w:rPr>
        <w:t>policy and the addendum</w:t>
      </w:r>
      <w:r w:rsidRPr="00D97BC5">
        <w:rPr>
          <w:lang w:val="en-AU"/>
        </w:rPr>
        <w:t xml:space="preserve">, </w:t>
      </w:r>
      <w:r w:rsidR="00426B4D" w:rsidRPr="00D97BC5">
        <w:rPr>
          <w:lang w:val="en-AU"/>
        </w:rPr>
        <w:t xml:space="preserve">IHACPA will prepare a Statement of Impact to outline its intent to progress </w:t>
      </w:r>
      <w:r w:rsidR="002B4814" w:rsidRPr="00D97BC5">
        <w:rPr>
          <w:lang w:val="en-AU"/>
        </w:rPr>
        <w:t xml:space="preserve">from shadow pricing </w:t>
      </w:r>
      <w:r w:rsidR="00426B4D" w:rsidRPr="00D97BC5">
        <w:rPr>
          <w:lang w:val="en-AU"/>
        </w:rPr>
        <w:t xml:space="preserve">to pricing, where the full </w:t>
      </w:r>
      <w:r w:rsidR="002B4814" w:rsidRPr="00D97BC5">
        <w:rPr>
          <w:lang w:val="en-AU"/>
        </w:rPr>
        <w:t>2</w:t>
      </w:r>
      <w:r w:rsidR="00426B4D" w:rsidRPr="00D97BC5">
        <w:rPr>
          <w:lang w:val="en-AU"/>
        </w:rPr>
        <w:t xml:space="preserve">-year shadow pricing period has been undertaken or where </w:t>
      </w:r>
      <w:r w:rsidR="002B4814" w:rsidRPr="00D97BC5">
        <w:rPr>
          <w:lang w:val="en-AU"/>
        </w:rPr>
        <w:t>a reduction or extension to the 2-year shadow pricing period is being considered</w:t>
      </w:r>
      <w:r w:rsidR="00426B4D" w:rsidRPr="00D97BC5">
        <w:rPr>
          <w:lang w:val="en-AU"/>
        </w:rPr>
        <w:t>.</w:t>
      </w:r>
    </w:p>
    <w:p w14:paraId="61228715" w14:textId="087A0AC9" w:rsidR="002B4814" w:rsidRPr="00D97BC5" w:rsidRDefault="002B4814" w:rsidP="00F5752F">
      <w:pPr>
        <w:spacing w:before="120" w:after="120"/>
        <w:rPr>
          <w:lang w:val="en-AU"/>
        </w:rPr>
      </w:pPr>
      <w:r w:rsidRPr="00D97BC5">
        <w:rPr>
          <w:lang w:val="en-AU"/>
        </w:rPr>
        <w:t>The addendum does not specify the consultative mechanisms for consideration of reductions or extensions to the 2-year shadow pricing period. As such, proposals for reductions or extensions to the 2-year shadow pricing period will follow the consultative processes outlined in this policy. That is, consultation through the IHACPA committee structure and mechanisms for ministerial consultation.</w:t>
      </w:r>
    </w:p>
    <w:p w14:paraId="14C76A04" w14:textId="3721735C" w:rsidR="00DF23C2" w:rsidRPr="00D97BC5" w:rsidRDefault="00DF23C2" w:rsidP="00F5752F">
      <w:pPr>
        <w:spacing w:before="120" w:after="120"/>
        <w:rPr>
          <w:lang w:val="en-AU"/>
        </w:rPr>
      </w:pPr>
      <w:r w:rsidRPr="00D97BC5">
        <w:rPr>
          <w:lang w:val="en-AU"/>
        </w:rPr>
        <w:t xml:space="preserve">The back-casting of new services and new counting rules, as well as any shadow pricing periods, will be made explicit in each annual </w:t>
      </w:r>
      <w:r w:rsidR="002B4814" w:rsidRPr="00D97BC5">
        <w:rPr>
          <w:lang w:val="en-AU"/>
        </w:rPr>
        <w:t xml:space="preserve">NEP </w:t>
      </w:r>
      <w:r w:rsidRPr="00D97BC5">
        <w:rPr>
          <w:lang w:val="en-AU"/>
        </w:rPr>
        <w:t>determination</w:t>
      </w:r>
      <w:r w:rsidR="002B4814" w:rsidRPr="00D97BC5">
        <w:rPr>
          <w:lang w:val="en-AU"/>
        </w:rPr>
        <w:t>,</w:t>
      </w:r>
      <w:r w:rsidRPr="00D97BC5">
        <w:rPr>
          <w:lang w:val="en-AU"/>
        </w:rPr>
        <w:t xml:space="preserve"> as well has how back-casting should be applied in the calculation of Commonwealth growth funding. The process that IH</w:t>
      </w:r>
      <w:r w:rsidR="00D36DC3" w:rsidRPr="00D97BC5">
        <w:rPr>
          <w:lang w:val="en-AU"/>
        </w:rPr>
        <w:t>AC</w:t>
      </w:r>
      <w:r w:rsidRPr="00D97BC5">
        <w:rPr>
          <w:lang w:val="en-AU"/>
        </w:rPr>
        <w:t>PA follows when back</w:t>
      </w:r>
      <w:r w:rsidR="0097201F" w:rsidRPr="00D97BC5">
        <w:rPr>
          <w:lang w:val="en-AU"/>
        </w:rPr>
        <w:noBreakHyphen/>
      </w:r>
      <w:r w:rsidRPr="00D97BC5">
        <w:rPr>
          <w:lang w:val="en-AU"/>
        </w:rPr>
        <w:t>casting the NEP or NEC is outlined in IH</w:t>
      </w:r>
      <w:r w:rsidR="00D36DC3" w:rsidRPr="00D97BC5">
        <w:rPr>
          <w:lang w:val="en-AU"/>
        </w:rPr>
        <w:t>AC</w:t>
      </w:r>
      <w:r w:rsidRPr="00D97BC5">
        <w:rPr>
          <w:lang w:val="en-AU"/>
        </w:rPr>
        <w:t xml:space="preserve">PA’s </w:t>
      </w:r>
      <w:hyperlink r:id="rId21" w:history="1">
        <w:r w:rsidR="002B4814" w:rsidRPr="00D97BC5">
          <w:rPr>
            <w:rStyle w:val="Hyperlink"/>
            <w:color w:val="0080C4"/>
            <w:lang w:val="en-AU"/>
          </w:rPr>
          <w:t>Back-Casting Policy</w:t>
        </w:r>
      </w:hyperlink>
      <w:r w:rsidRPr="00D97BC5">
        <w:rPr>
          <w:lang w:val="en-AU"/>
        </w:rPr>
        <w:t>.</w:t>
      </w:r>
    </w:p>
    <w:p w14:paraId="7BFBF0B9" w14:textId="77777777" w:rsidR="002B4814" w:rsidRPr="00D97BC5" w:rsidRDefault="002B4814" w:rsidP="00F5752F">
      <w:pPr>
        <w:spacing w:before="120" w:after="120"/>
        <w:rPr>
          <w:rFonts w:cs="Arial"/>
          <w:lang w:val="en-AU"/>
        </w:rPr>
      </w:pPr>
    </w:p>
    <w:p w14:paraId="2F310613" w14:textId="06C2DAC0" w:rsidR="00101439" w:rsidRPr="00D97BC5" w:rsidRDefault="00101439">
      <w:pPr>
        <w:spacing w:line="259" w:lineRule="auto"/>
        <w:rPr>
          <w:rFonts w:cs="Arial"/>
          <w:lang w:val="en-AU"/>
        </w:rPr>
      </w:pPr>
      <w:r w:rsidRPr="00D97BC5">
        <w:rPr>
          <w:rFonts w:cs="Arial"/>
          <w:lang w:val="en-AU"/>
        </w:rPr>
        <w:br w:type="page"/>
      </w:r>
    </w:p>
    <w:p w14:paraId="69740BFF" w14:textId="78A60A2F" w:rsidR="00101439" w:rsidRPr="00D97BC5" w:rsidRDefault="00101439" w:rsidP="00F5752F">
      <w:pPr>
        <w:pStyle w:val="Heading1"/>
        <w:numPr>
          <w:ilvl w:val="0"/>
          <w:numId w:val="0"/>
        </w:numPr>
      </w:pPr>
      <w:bookmarkStart w:id="40" w:name="_Toc168557607"/>
      <w:r w:rsidRPr="00D97BC5">
        <w:lastRenderedPageBreak/>
        <w:t xml:space="preserve">Appendix A: </w:t>
      </w:r>
      <w:r w:rsidR="00DF23C2" w:rsidRPr="00D97BC5">
        <w:t xml:space="preserve">Extracts from the </w:t>
      </w:r>
      <w:r w:rsidR="00263F42" w:rsidRPr="00D97BC5">
        <w:t>a</w:t>
      </w:r>
      <w:r w:rsidR="00DF23C2" w:rsidRPr="00D97BC5">
        <w:t>ddendum</w:t>
      </w:r>
      <w:bookmarkEnd w:id="40"/>
    </w:p>
    <w:tbl>
      <w:tblPr>
        <w:tblStyle w:val="TableGrid2"/>
        <w:tblW w:w="0" w:type="auto"/>
        <w:tblLook w:val="04A0" w:firstRow="1" w:lastRow="0" w:firstColumn="1" w:lastColumn="0" w:noHBand="0" w:noVBand="1"/>
      </w:tblPr>
      <w:tblGrid>
        <w:gridCol w:w="973"/>
        <w:gridCol w:w="8763"/>
      </w:tblGrid>
      <w:tr w:rsidR="00642B26" w:rsidRPr="00D97BC5" w14:paraId="3D7A6781" w14:textId="77777777" w:rsidTr="002A34E9">
        <w:trPr>
          <w:tblHeader/>
        </w:trPr>
        <w:tc>
          <w:tcPr>
            <w:tcW w:w="973" w:type="dxa"/>
            <w:shd w:val="clear" w:color="auto" w:fill="104F99"/>
          </w:tcPr>
          <w:p w14:paraId="4B66DBAC" w14:textId="77777777" w:rsidR="00642B26" w:rsidRPr="00D97BC5" w:rsidRDefault="00642B26" w:rsidP="00F5752F">
            <w:pPr>
              <w:spacing w:before="80" w:after="80" w:line="259" w:lineRule="auto"/>
              <w:rPr>
                <w:b/>
                <w:color w:val="FFFFFF" w:themeColor="background1"/>
                <w:sz w:val="21"/>
                <w:szCs w:val="21"/>
              </w:rPr>
            </w:pPr>
            <w:r w:rsidRPr="00D97BC5">
              <w:rPr>
                <w:b/>
                <w:color w:val="FFFFFF" w:themeColor="background1"/>
                <w:sz w:val="21"/>
                <w:szCs w:val="21"/>
              </w:rPr>
              <w:t>Clause</w:t>
            </w:r>
          </w:p>
        </w:tc>
        <w:tc>
          <w:tcPr>
            <w:tcW w:w="8763" w:type="dxa"/>
            <w:shd w:val="clear" w:color="auto" w:fill="104F99"/>
          </w:tcPr>
          <w:p w14:paraId="4406370B" w14:textId="77777777" w:rsidR="00642B26" w:rsidRPr="00D97BC5" w:rsidRDefault="00642B26" w:rsidP="00F5752F">
            <w:pPr>
              <w:spacing w:before="80" w:after="80" w:line="259" w:lineRule="auto"/>
              <w:rPr>
                <w:rFonts w:eastAsia="Arial"/>
                <w:b/>
                <w:color w:val="FFFFFF" w:themeColor="background1"/>
                <w:sz w:val="21"/>
                <w:szCs w:val="21"/>
                <w:lang w:eastAsia="ja-JP"/>
              </w:rPr>
            </w:pPr>
            <w:r w:rsidRPr="00D97BC5">
              <w:rPr>
                <w:rFonts w:eastAsia="Arial"/>
                <w:b/>
                <w:color w:val="FFFFFF" w:themeColor="background1"/>
                <w:sz w:val="21"/>
                <w:szCs w:val="21"/>
                <w:lang w:eastAsia="ja-JP"/>
              </w:rPr>
              <w:t>Detail</w:t>
            </w:r>
          </w:p>
        </w:tc>
      </w:tr>
      <w:tr w:rsidR="00642B26" w:rsidRPr="00D97BC5" w14:paraId="560F0C41" w14:textId="77777777" w:rsidTr="002A34E9">
        <w:tc>
          <w:tcPr>
            <w:tcW w:w="973" w:type="dxa"/>
          </w:tcPr>
          <w:p w14:paraId="1BE196C8" w14:textId="77777777" w:rsidR="00642B26" w:rsidRPr="00D97BC5" w:rsidRDefault="00642B26" w:rsidP="00F5752F">
            <w:pPr>
              <w:spacing w:before="80" w:after="80" w:line="259" w:lineRule="auto"/>
              <w:rPr>
                <w:sz w:val="21"/>
                <w:szCs w:val="21"/>
              </w:rPr>
            </w:pPr>
            <w:r w:rsidRPr="00D97BC5">
              <w:rPr>
                <w:sz w:val="21"/>
                <w:szCs w:val="21"/>
              </w:rPr>
              <w:t>A42</w:t>
            </w:r>
          </w:p>
        </w:tc>
        <w:tc>
          <w:tcPr>
            <w:tcW w:w="8763" w:type="dxa"/>
          </w:tcPr>
          <w:p w14:paraId="3862451B" w14:textId="2B8A2488" w:rsidR="00642B26" w:rsidRPr="00D97BC5" w:rsidRDefault="00642B26" w:rsidP="00F5752F">
            <w:pPr>
              <w:spacing w:before="80" w:after="80" w:line="259" w:lineRule="auto"/>
              <w:rPr>
                <w:rFonts w:eastAsia="Arial"/>
                <w:sz w:val="21"/>
                <w:szCs w:val="21"/>
                <w:lang w:eastAsia="ja-JP"/>
              </w:rPr>
            </w:pPr>
            <w:r w:rsidRPr="00D97BC5">
              <w:rPr>
                <w:rFonts w:eastAsia="Arial"/>
                <w:sz w:val="21"/>
                <w:szCs w:val="21"/>
                <w:lang w:eastAsia="ja-JP"/>
              </w:rPr>
              <w:t>The IHPA</w:t>
            </w:r>
            <w:r w:rsidR="00B53DFA" w:rsidRPr="00D97BC5">
              <w:rPr>
                <w:rStyle w:val="FootnoteReference"/>
                <w:rFonts w:eastAsia="Arial"/>
                <w:sz w:val="21"/>
                <w:szCs w:val="21"/>
                <w:lang w:eastAsia="ja-JP"/>
              </w:rPr>
              <w:footnoteReference w:id="5"/>
            </w:r>
            <w:r w:rsidRPr="00D97BC5">
              <w:rPr>
                <w:rFonts w:eastAsia="Arial"/>
                <w:sz w:val="21"/>
                <w:szCs w:val="21"/>
                <w:lang w:eastAsia="ja-JP"/>
              </w:rPr>
              <w:t xml:space="preserve"> will use transitional arrangements when developing new ABF classification systems or costing methodologies, including shadow pricing classification system changes and pricing based on a costing study, for two years or a period agreed with the Commonwealth and a majority of States to ensure robust data collection and reporting to accurately model the financial and counting impact of changes on the National Funding Model.</w:t>
            </w:r>
          </w:p>
          <w:p w14:paraId="2D01FD78" w14:textId="77777777" w:rsidR="00642B26" w:rsidRPr="00D97BC5" w:rsidRDefault="00642B26" w:rsidP="00F5752F">
            <w:pPr>
              <w:pStyle w:val="ListParagraph"/>
              <w:numPr>
                <w:ilvl w:val="0"/>
                <w:numId w:val="9"/>
              </w:numPr>
              <w:spacing w:before="80" w:after="80" w:line="259" w:lineRule="auto"/>
              <w:contextualSpacing w:val="0"/>
              <w:rPr>
                <w:rFonts w:eastAsia="Arial"/>
                <w:sz w:val="21"/>
                <w:szCs w:val="21"/>
                <w:lang w:eastAsia="ja-JP"/>
              </w:rPr>
            </w:pPr>
            <w:r w:rsidRPr="00D97BC5">
              <w:rPr>
                <w:rFonts w:eastAsia="Arial"/>
                <w:sz w:val="21"/>
                <w:szCs w:val="21"/>
                <w:lang w:eastAsia="ja-JP"/>
              </w:rPr>
              <w:t>Where a jurisdiction participates fully in the shadow pricing, including the provision of the best available data over the shadow period to support the implementation of the new ABF classification systems or costing methodologies, the Parties agree there will be no retrospective adjustments to the National Funding Model, excluding adjustments to Commonwealth contributions as a result of service volume reconciliations as set out in clauses A63, A65 and A73.</w:t>
            </w:r>
          </w:p>
          <w:p w14:paraId="4065A435" w14:textId="77777777" w:rsidR="00642B26" w:rsidRPr="00D97BC5" w:rsidRDefault="00642B26" w:rsidP="00F5752F">
            <w:pPr>
              <w:pStyle w:val="ListParagraph"/>
              <w:numPr>
                <w:ilvl w:val="0"/>
                <w:numId w:val="9"/>
              </w:numPr>
              <w:spacing w:before="80" w:after="80" w:line="259" w:lineRule="auto"/>
              <w:contextualSpacing w:val="0"/>
              <w:rPr>
                <w:rFonts w:eastAsia="Arial"/>
                <w:sz w:val="21"/>
                <w:szCs w:val="21"/>
                <w:lang w:eastAsia="ja-JP"/>
              </w:rPr>
            </w:pPr>
            <w:r w:rsidRPr="00D97BC5">
              <w:rPr>
                <w:rFonts w:eastAsia="Arial"/>
                <w:sz w:val="21"/>
                <w:szCs w:val="21"/>
                <w:lang w:eastAsia="ja-JP"/>
              </w:rPr>
              <w:t>Business rules will be developed by the national bodies in consultation with Parties, addressing significance of changes, process and consultation around retrospective adjustments where appropriate.</w:t>
            </w:r>
          </w:p>
          <w:p w14:paraId="16596743" w14:textId="77777777" w:rsidR="00642B26" w:rsidRPr="00D97BC5" w:rsidRDefault="00642B26" w:rsidP="00F5752F">
            <w:pPr>
              <w:pStyle w:val="ListParagraph"/>
              <w:numPr>
                <w:ilvl w:val="1"/>
                <w:numId w:val="9"/>
              </w:numPr>
              <w:spacing w:before="80" w:after="80" w:line="259" w:lineRule="auto"/>
              <w:contextualSpacing w:val="0"/>
              <w:rPr>
                <w:rFonts w:eastAsia="Arial"/>
                <w:sz w:val="21"/>
                <w:szCs w:val="21"/>
                <w:lang w:eastAsia="ja-JP"/>
              </w:rPr>
            </w:pPr>
            <w:r w:rsidRPr="00D97BC5">
              <w:rPr>
                <w:rFonts w:eastAsia="Arial"/>
                <w:sz w:val="21"/>
                <w:szCs w:val="21"/>
                <w:lang w:eastAsia="ja-JP"/>
              </w:rPr>
              <w:t>If the national bodies consider there is a potential need for a retrospective adjustment to the national funding model, national bodies will communicate, consult and collaborate with Parties. The national bodies will hold a consultation period of 45 days to allow Parties an opportunity to provide submissions on the matter.</w:t>
            </w:r>
          </w:p>
          <w:p w14:paraId="7EDB3F4A" w14:textId="77777777" w:rsidR="00642B26" w:rsidRPr="00D97BC5" w:rsidRDefault="00642B26" w:rsidP="00F5752F">
            <w:pPr>
              <w:pStyle w:val="ListParagraph"/>
              <w:numPr>
                <w:ilvl w:val="1"/>
                <w:numId w:val="9"/>
              </w:numPr>
              <w:spacing w:before="80" w:after="80" w:line="259" w:lineRule="auto"/>
              <w:contextualSpacing w:val="0"/>
              <w:rPr>
                <w:rFonts w:eastAsia="Arial"/>
                <w:sz w:val="21"/>
                <w:szCs w:val="21"/>
                <w:lang w:eastAsia="ja-JP"/>
              </w:rPr>
            </w:pPr>
            <w:r w:rsidRPr="00D97BC5">
              <w:rPr>
                <w:rFonts w:eastAsia="Arial"/>
                <w:sz w:val="21"/>
                <w:szCs w:val="21"/>
                <w:lang w:eastAsia="ja-JP"/>
              </w:rPr>
              <w:t>Within 45 days following the jurisdiction 45-day consultation period, national bodies will prepare a report to the Council of Australian Governments Health Council, advising them of the national bodies’ decision and the nature and circumstances of the recommended adjustment to the national funding model.</w:t>
            </w:r>
          </w:p>
          <w:p w14:paraId="3C1804CD" w14:textId="77777777" w:rsidR="00642B26" w:rsidRPr="00D97BC5" w:rsidRDefault="00642B26" w:rsidP="00F5752F">
            <w:pPr>
              <w:pStyle w:val="ListParagraph"/>
              <w:numPr>
                <w:ilvl w:val="1"/>
                <w:numId w:val="9"/>
              </w:numPr>
              <w:spacing w:before="80" w:after="80" w:line="259" w:lineRule="auto"/>
              <w:contextualSpacing w:val="0"/>
              <w:rPr>
                <w:rFonts w:eastAsia="Arial"/>
                <w:sz w:val="21"/>
                <w:szCs w:val="21"/>
                <w:lang w:eastAsia="ja-JP"/>
              </w:rPr>
            </w:pPr>
            <w:r w:rsidRPr="00D97BC5">
              <w:rPr>
                <w:rFonts w:eastAsia="Arial"/>
                <w:sz w:val="21"/>
                <w:szCs w:val="21"/>
                <w:lang w:eastAsia="ja-JP"/>
              </w:rPr>
              <w:t>Once the report is provided to the Council of Australian Governments Health Council, the national bodies will incorporate the decision regarding the retrospective adjustment into the national funding model and provide parties with an updated report on funding entitlements from the national model.</w:t>
            </w:r>
          </w:p>
          <w:p w14:paraId="007CFD53" w14:textId="77777777" w:rsidR="00642B26" w:rsidRPr="00D97BC5" w:rsidRDefault="00642B26" w:rsidP="00F5752F">
            <w:pPr>
              <w:pStyle w:val="ListParagraph"/>
              <w:numPr>
                <w:ilvl w:val="1"/>
                <w:numId w:val="9"/>
              </w:numPr>
              <w:spacing w:before="80" w:after="80" w:line="259" w:lineRule="auto"/>
              <w:contextualSpacing w:val="0"/>
              <w:rPr>
                <w:rFonts w:eastAsia="Arial"/>
                <w:sz w:val="21"/>
                <w:szCs w:val="21"/>
                <w:lang w:eastAsia="ja-JP"/>
              </w:rPr>
            </w:pPr>
            <w:r w:rsidRPr="00D97BC5">
              <w:rPr>
                <w:rFonts w:eastAsia="Arial"/>
                <w:sz w:val="21"/>
                <w:szCs w:val="21"/>
                <w:lang w:eastAsia="ja-JP"/>
              </w:rPr>
              <w:t>When providing payment advice to the Commonwealth Treasurer following the six-month or annual reconciliation, the Administrator will include a section that notes any matters or concerns raised by State Ministers in the 45-day consultation period in the formation of that advice.</w:t>
            </w:r>
          </w:p>
        </w:tc>
      </w:tr>
      <w:tr w:rsidR="00642B26" w:rsidRPr="00D97BC5" w14:paraId="2C437DF2" w14:textId="77777777" w:rsidTr="002A34E9">
        <w:tc>
          <w:tcPr>
            <w:tcW w:w="973" w:type="dxa"/>
          </w:tcPr>
          <w:p w14:paraId="1A55EECF" w14:textId="77777777" w:rsidR="00642B26" w:rsidRPr="00D97BC5" w:rsidRDefault="00642B26" w:rsidP="00F5752F">
            <w:pPr>
              <w:spacing w:before="80" w:after="80" w:line="259" w:lineRule="auto"/>
              <w:rPr>
                <w:sz w:val="21"/>
                <w:szCs w:val="21"/>
              </w:rPr>
            </w:pPr>
            <w:r w:rsidRPr="00D97BC5">
              <w:rPr>
                <w:sz w:val="21"/>
                <w:szCs w:val="21"/>
              </w:rPr>
              <w:lastRenderedPageBreak/>
              <w:t>B10</w:t>
            </w:r>
          </w:p>
        </w:tc>
        <w:tc>
          <w:tcPr>
            <w:tcW w:w="8763" w:type="dxa"/>
          </w:tcPr>
          <w:p w14:paraId="6DB74E4B" w14:textId="77777777" w:rsidR="00642B26" w:rsidRPr="00D97BC5" w:rsidRDefault="00642B26" w:rsidP="00F5752F">
            <w:pPr>
              <w:keepLines/>
              <w:spacing w:before="80" w:after="80" w:line="259" w:lineRule="auto"/>
              <w:rPr>
                <w:rFonts w:eastAsia="Arial"/>
                <w:sz w:val="21"/>
                <w:szCs w:val="21"/>
                <w:lang w:eastAsia="ja-JP"/>
              </w:rPr>
            </w:pPr>
            <w:r w:rsidRPr="00D97BC5">
              <w:rPr>
                <w:rFonts w:eastAsia="Arial"/>
                <w:sz w:val="21"/>
                <w:szCs w:val="21"/>
                <w:lang w:eastAsia="ja-JP"/>
              </w:rPr>
              <w:t>Given the significance to all Parties of the functions discharged by the national funding bodies, the bodies will consult with the Council of Australian Governments Health Council on changes that materially impact the application of the national funding model. Such consultation will be in addition to specific consultation requirements and processes with Parties set out in this Addendum.</w:t>
            </w:r>
          </w:p>
        </w:tc>
      </w:tr>
      <w:tr w:rsidR="002A34E9" w:rsidRPr="00D97BC5" w14:paraId="0ED32226" w14:textId="77777777" w:rsidTr="002A34E9">
        <w:tc>
          <w:tcPr>
            <w:tcW w:w="973" w:type="dxa"/>
          </w:tcPr>
          <w:p w14:paraId="5962823A" w14:textId="34EB56CC" w:rsidR="002A34E9" w:rsidRPr="00D97BC5" w:rsidRDefault="002A34E9" w:rsidP="002A34E9">
            <w:pPr>
              <w:spacing w:before="80" w:after="80" w:line="259" w:lineRule="auto"/>
              <w:rPr>
                <w:sz w:val="21"/>
                <w:szCs w:val="21"/>
              </w:rPr>
            </w:pPr>
            <w:r w:rsidRPr="00D97BC5">
              <w:rPr>
                <w:sz w:val="21"/>
                <w:szCs w:val="21"/>
              </w:rPr>
              <w:t>B11</w:t>
            </w:r>
          </w:p>
        </w:tc>
        <w:tc>
          <w:tcPr>
            <w:tcW w:w="8763" w:type="dxa"/>
          </w:tcPr>
          <w:p w14:paraId="332ADFA9" w14:textId="436DA753" w:rsidR="002A34E9" w:rsidRPr="00D97BC5" w:rsidRDefault="002A34E9" w:rsidP="002A34E9">
            <w:pPr>
              <w:keepLines/>
              <w:spacing w:before="80" w:after="80" w:line="259" w:lineRule="auto"/>
              <w:rPr>
                <w:rFonts w:eastAsia="Arial"/>
                <w:sz w:val="21"/>
                <w:szCs w:val="21"/>
                <w:lang w:eastAsia="ja-JP"/>
              </w:rPr>
            </w:pPr>
            <w:r w:rsidRPr="00D97BC5">
              <w:rPr>
                <w:rFonts w:eastAsia="Arial"/>
                <w:sz w:val="21"/>
                <w:szCs w:val="21"/>
                <w:lang w:eastAsia="ja-JP"/>
              </w:rPr>
              <w:t>The national funding bodies must consult with affected Parties and provide relevant analysis and documentation on decisions that could materially impact Parties before releasing draft or final advice on the matter.</w:t>
            </w:r>
          </w:p>
        </w:tc>
      </w:tr>
      <w:tr w:rsidR="002A34E9" w:rsidRPr="00D97BC5" w14:paraId="37EC0AA7" w14:textId="77777777" w:rsidTr="002A34E9">
        <w:tc>
          <w:tcPr>
            <w:tcW w:w="973" w:type="dxa"/>
          </w:tcPr>
          <w:p w14:paraId="34437991" w14:textId="77777777" w:rsidR="002A34E9" w:rsidRPr="00D97BC5" w:rsidRDefault="002A34E9" w:rsidP="002A34E9">
            <w:pPr>
              <w:spacing w:before="80" w:after="80" w:line="259" w:lineRule="auto"/>
              <w:rPr>
                <w:sz w:val="21"/>
                <w:szCs w:val="21"/>
              </w:rPr>
            </w:pPr>
            <w:r w:rsidRPr="00D97BC5">
              <w:rPr>
                <w:sz w:val="21"/>
                <w:szCs w:val="21"/>
              </w:rPr>
              <w:t>B13</w:t>
            </w:r>
          </w:p>
        </w:tc>
        <w:tc>
          <w:tcPr>
            <w:tcW w:w="8763" w:type="dxa"/>
          </w:tcPr>
          <w:p w14:paraId="1B9B828D" w14:textId="239752D4" w:rsidR="002A34E9" w:rsidRPr="00D97BC5" w:rsidRDefault="002A34E9" w:rsidP="002A34E9">
            <w:pPr>
              <w:spacing w:before="80" w:after="80" w:line="259" w:lineRule="auto"/>
              <w:rPr>
                <w:sz w:val="21"/>
                <w:szCs w:val="21"/>
              </w:rPr>
            </w:pPr>
            <w:r w:rsidRPr="00D97BC5">
              <w:rPr>
                <w:sz w:val="21"/>
                <w:szCs w:val="21"/>
              </w:rPr>
              <w:t xml:space="preserve">The Commonwealth or two or more States may request that the national funding bodies present for Health Ministers’ consideration a final or draft business rule, decision or determination that affects the national funding model or the calculation of the Commonwealth funding contribution. Such consultation will be in addition to specific consultation requirements and processes set out in the </w:t>
            </w:r>
            <w:proofErr w:type="gramStart"/>
            <w:r w:rsidRPr="00D97BC5">
              <w:rPr>
                <w:sz w:val="21"/>
                <w:szCs w:val="21"/>
              </w:rPr>
              <w:t>Addendum, and</w:t>
            </w:r>
            <w:proofErr w:type="gramEnd"/>
            <w:r w:rsidRPr="00D97BC5">
              <w:rPr>
                <w:sz w:val="21"/>
                <w:szCs w:val="21"/>
              </w:rPr>
              <w:t xml:space="preserve"> provide no less than 45 days for response by Health Ministers.</w:t>
            </w:r>
          </w:p>
        </w:tc>
      </w:tr>
      <w:tr w:rsidR="002A34E9" w:rsidRPr="00D97BC5" w14:paraId="28B57239" w14:textId="77777777" w:rsidTr="002A34E9">
        <w:tc>
          <w:tcPr>
            <w:tcW w:w="973" w:type="dxa"/>
          </w:tcPr>
          <w:p w14:paraId="756181AE" w14:textId="77777777" w:rsidR="002A34E9" w:rsidRPr="00D97BC5" w:rsidRDefault="002A34E9" w:rsidP="002A34E9">
            <w:pPr>
              <w:spacing w:before="80" w:after="80" w:line="259" w:lineRule="auto"/>
              <w:rPr>
                <w:sz w:val="21"/>
                <w:szCs w:val="21"/>
              </w:rPr>
            </w:pPr>
            <w:r w:rsidRPr="00D97BC5">
              <w:rPr>
                <w:sz w:val="21"/>
                <w:szCs w:val="21"/>
              </w:rPr>
              <w:t>B14</w:t>
            </w:r>
          </w:p>
        </w:tc>
        <w:tc>
          <w:tcPr>
            <w:tcW w:w="8763" w:type="dxa"/>
          </w:tcPr>
          <w:p w14:paraId="38B8E852" w14:textId="77777777" w:rsidR="002A34E9" w:rsidRPr="00D97BC5" w:rsidRDefault="002A34E9" w:rsidP="002A34E9">
            <w:pPr>
              <w:spacing w:before="80" w:after="80" w:line="259" w:lineRule="auto"/>
              <w:rPr>
                <w:sz w:val="21"/>
                <w:szCs w:val="21"/>
              </w:rPr>
            </w:pPr>
            <w:r w:rsidRPr="00D97BC5">
              <w:rPr>
                <w:sz w:val="21"/>
                <w:szCs w:val="21"/>
              </w:rPr>
              <w:t xml:space="preserve">As per clause A42, National Bodies will develop business rules related to process and consultation related to retrospective adjustments, for consideration and unanimous agreement by the </w:t>
            </w:r>
            <w:r w:rsidRPr="00D97BC5">
              <w:rPr>
                <w:rFonts w:eastAsia="Arial"/>
                <w:sz w:val="21"/>
                <w:szCs w:val="21"/>
                <w:lang w:eastAsia="ja-JP"/>
              </w:rPr>
              <w:t>Council of Australian Governments Health Council</w:t>
            </w:r>
            <w:r w:rsidRPr="00D97BC5">
              <w:rPr>
                <w:sz w:val="21"/>
                <w:szCs w:val="21"/>
              </w:rPr>
              <w:t>, by April 2021.</w:t>
            </w:r>
          </w:p>
        </w:tc>
      </w:tr>
      <w:tr w:rsidR="002A34E9" w:rsidRPr="00D97BC5" w14:paraId="41BCAF97" w14:textId="77777777" w:rsidTr="002A34E9">
        <w:tc>
          <w:tcPr>
            <w:tcW w:w="973" w:type="dxa"/>
          </w:tcPr>
          <w:p w14:paraId="53EBC5C7" w14:textId="77777777" w:rsidR="002A34E9" w:rsidRPr="00D97BC5" w:rsidRDefault="002A34E9" w:rsidP="002A34E9">
            <w:pPr>
              <w:spacing w:before="80" w:after="80" w:line="259" w:lineRule="auto"/>
              <w:rPr>
                <w:sz w:val="21"/>
                <w:szCs w:val="21"/>
              </w:rPr>
            </w:pPr>
            <w:r w:rsidRPr="00D97BC5">
              <w:rPr>
                <w:sz w:val="21"/>
                <w:szCs w:val="21"/>
              </w:rPr>
              <w:t>B15</w:t>
            </w:r>
          </w:p>
        </w:tc>
        <w:tc>
          <w:tcPr>
            <w:tcW w:w="8763" w:type="dxa"/>
          </w:tcPr>
          <w:p w14:paraId="170F51AA" w14:textId="77777777" w:rsidR="002A34E9" w:rsidRPr="00D97BC5" w:rsidRDefault="002A34E9" w:rsidP="002A34E9">
            <w:pPr>
              <w:spacing w:before="80" w:after="80" w:line="259" w:lineRule="auto"/>
              <w:rPr>
                <w:sz w:val="21"/>
                <w:szCs w:val="21"/>
              </w:rPr>
            </w:pPr>
            <w:r w:rsidRPr="00D97BC5">
              <w:rPr>
                <w:sz w:val="21"/>
                <w:szCs w:val="21"/>
              </w:rPr>
              <w:t>National Bodies will formally consult with Parties on the development of business rules and policies as per clause A42.</w:t>
            </w:r>
          </w:p>
        </w:tc>
      </w:tr>
      <w:tr w:rsidR="002A34E9" w:rsidRPr="00D97BC5" w14:paraId="12C468B7" w14:textId="77777777" w:rsidTr="002A34E9">
        <w:tc>
          <w:tcPr>
            <w:tcW w:w="973" w:type="dxa"/>
          </w:tcPr>
          <w:p w14:paraId="7EA8FC9B" w14:textId="77777777" w:rsidR="002A34E9" w:rsidRPr="00D97BC5" w:rsidRDefault="002A34E9" w:rsidP="002A34E9">
            <w:pPr>
              <w:spacing w:before="80" w:after="80" w:line="259" w:lineRule="auto"/>
              <w:rPr>
                <w:sz w:val="21"/>
                <w:szCs w:val="21"/>
              </w:rPr>
            </w:pPr>
            <w:r w:rsidRPr="00D97BC5">
              <w:rPr>
                <w:sz w:val="21"/>
                <w:szCs w:val="21"/>
              </w:rPr>
              <w:t>B37</w:t>
            </w:r>
          </w:p>
        </w:tc>
        <w:tc>
          <w:tcPr>
            <w:tcW w:w="8763" w:type="dxa"/>
          </w:tcPr>
          <w:p w14:paraId="33EFD4D3" w14:textId="77777777" w:rsidR="002A34E9" w:rsidRPr="00D97BC5" w:rsidRDefault="002A34E9" w:rsidP="002A34E9">
            <w:pPr>
              <w:spacing w:before="80" w:after="80" w:line="259" w:lineRule="auto"/>
              <w:rPr>
                <w:sz w:val="21"/>
                <w:szCs w:val="21"/>
              </w:rPr>
            </w:pPr>
            <w:r w:rsidRPr="00D97BC5">
              <w:rPr>
                <w:sz w:val="21"/>
                <w:szCs w:val="21"/>
              </w:rPr>
              <w:t xml:space="preserve">The IHPA must seek guidance from Parties, through the IHPA Jurisdictional Advisory Committee, when implementing changes to the national funding model that will impact the way services are delivered. Parties may escalate a funding policy issue to the Health Services Principal Committee, the Australian Health Ministers’ Advisory Council or the </w:t>
            </w:r>
            <w:r w:rsidRPr="00D97BC5">
              <w:rPr>
                <w:rFonts w:eastAsia="Arial"/>
                <w:sz w:val="21"/>
                <w:szCs w:val="21"/>
                <w:lang w:eastAsia="ja-JP"/>
              </w:rPr>
              <w:t>Council of Australian Governments Health Council</w:t>
            </w:r>
            <w:r w:rsidRPr="00D97BC5">
              <w:rPr>
                <w:sz w:val="21"/>
                <w:szCs w:val="21"/>
              </w:rPr>
              <w:t xml:space="preserve"> for consideration.</w:t>
            </w:r>
          </w:p>
        </w:tc>
      </w:tr>
      <w:tr w:rsidR="002A34E9" w:rsidRPr="00D97BC5" w14:paraId="526D6488" w14:textId="77777777" w:rsidTr="002A34E9">
        <w:tc>
          <w:tcPr>
            <w:tcW w:w="973" w:type="dxa"/>
          </w:tcPr>
          <w:p w14:paraId="13F1E197" w14:textId="77777777" w:rsidR="002A34E9" w:rsidRPr="00D97BC5" w:rsidRDefault="002A34E9" w:rsidP="002A34E9">
            <w:pPr>
              <w:spacing w:before="80" w:after="80" w:line="259" w:lineRule="auto"/>
              <w:rPr>
                <w:sz w:val="21"/>
                <w:szCs w:val="21"/>
              </w:rPr>
            </w:pPr>
            <w:r w:rsidRPr="00D97BC5">
              <w:rPr>
                <w:sz w:val="21"/>
                <w:szCs w:val="21"/>
              </w:rPr>
              <w:t>B38</w:t>
            </w:r>
          </w:p>
        </w:tc>
        <w:tc>
          <w:tcPr>
            <w:tcW w:w="8763" w:type="dxa"/>
          </w:tcPr>
          <w:p w14:paraId="41681EAB" w14:textId="77777777" w:rsidR="002A34E9" w:rsidRPr="00D97BC5" w:rsidRDefault="002A34E9" w:rsidP="002A34E9">
            <w:pPr>
              <w:spacing w:before="80" w:after="80" w:line="259" w:lineRule="auto"/>
              <w:rPr>
                <w:sz w:val="21"/>
                <w:szCs w:val="21"/>
              </w:rPr>
            </w:pPr>
            <w:r w:rsidRPr="00D97BC5">
              <w:rPr>
                <w:sz w:val="21"/>
                <w:szCs w:val="21"/>
              </w:rPr>
              <w:t>The IHPA must provide a Statement of Impact to Parties when material changes or significant transitions are proposed to the national funding model, including changes that will have a major impact on any one party or materially redistribute activity between service streams.</w:t>
            </w:r>
          </w:p>
        </w:tc>
      </w:tr>
      <w:tr w:rsidR="002A34E9" w:rsidRPr="00D97BC5" w14:paraId="248E7B2D" w14:textId="77777777" w:rsidTr="002A34E9">
        <w:tc>
          <w:tcPr>
            <w:tcW w:w="973" w:type="dxa"/>
          </w:tcPr>
          <w:p w14:paraId="49B68A26" w14:textId="77777777" w:rsidR="002A34E9" w:rsidRPr="00D97BC5" w:rsidRDefault="002A34E9" w:rsidP="002A34E9">
            <w:pPr>
              <w:spacing w:before="80" w:after="80" w:line="259" w:lineRule="auto"/>
              <w:rPr>
                <w:sz w:val="21"/>
                <w:szCs w:val="21"/>
              </w:rPr>
            </w:pPr>
            <w:r w:rsidRPr="00D97BC5">
              <w:rPr>
                <w:sz w:val="21"/>
                <w:szCs w:val="21"/>
              </w:rPr>
              <w:t>B39</w:t>
            </w:r>
          </w:p>
        </w:tc>
        <w:tc>
          <w:tcPr>
            <w:tcW w:w="8763" w:type="dxa"/>
          </w:tcPr>
          <w:p w14:paraId="7ADEBE59" w14:textId="77777777" w:rsidR="002A34E9" w:rsidRPr="00D97BC5" w:rsidRDefault="002A34E9" w:rsidP="002A34E9">
            <w:pPr>
              <w:spacing w:before="80" w:after="80" w:line="259" w:lineRule="auto"/>
              <w:rPr>
                <w:rFonts w:eastAsia="Arial"/>
                <w:sz w:val="21"/>
                <w:szCs w:val="21"/>
                <w:lang w:eastAsia="ja-JP"/>
              </w:rPr>
            </w:pPr>
            <w:r w:rsidRPr="00D97BC5">
              <w:rPr>
                <w:rFonts w:eastAsia="Arial"/>
                <w:sz w:val="21"/>
                <w:szCs w:val="21"/>
                <w:lang w:eastAsia="ja-JP"/>
              </w:rPr>
              <w:t>The Statement of Impact must be timely in relation to the matter raised and:</w:t>
            </w:r>
          </w:p>
          <w:p w14:paraId="4E3967C6" w14:textId="77777777" w:rsidR="002A34E9" w:rsidRPr="00D97BC5" w:rsidRDefault="002A34E9" w:rsidP="002A34E9">
            <w:pPr>
              <w:pStyle w:val="ListParagraph"/>
              <w:numPr>
                <w:ilvl w:val="0"/>
                <w:numId w:val="10"/>
              </w:numPr>
              <w:spacing w:before="80" w:after="80" w:line="259" w:lineRule="auto"/>
              <w:contextualSpacing w:val="0"/>
              <w:rPr>
                <w:rFonts w:eastAsia="Arial"/>
                <w:sz w:val="21"/>
                <w:szCs w:val="21"/>
                <w:lang w:eastAsia="ja-JP"/>
              </w:rPr>
            </w:pPr>
            <w:r w:rsidRPr="00D97BC5">
              <w:rPr>
                <w:rFonts w:eastAsia="Arial"/>
                <w:sz w:val="21"/>
                <w:szCs w:val="21"/>
                <w:lang w:eastAsia="ja-JP"/>
              </w:rPr>
              <w:t>include a risk assessment of the proposed changes or adjustments;</w:t>
            </w:r>
          </w:p>
          <w:p w14:paraId="0B4EF21F" w14:textId="77777777" w:rsidR="002A34E9" w:rsidRPr="00D97BC5" w:rsidRDefault="002A34E9" w:rsidP="002A34E9">
            <w:pPr>
              <w:pStyle w:val="ListParagraph"/>
              <w:numPr>
                <w:ilvl w:val="0"/>
                <w:numId w:val="10"/>
              </w:numPr>
              <w:spacing w:before="80" w:after="80" w:line="259" w:lineRule="auto"/>
              <w:contextualSpacing w:val="0"/>
              <w:rPr>
                <w:rFonts w:eastAsia="Arial"/>
                <w:sz w:val="21"/>
                <w:szCs w:val="21"/>
                <w:lang w:eastAsia="ja-JP"/>
              </w:rPr>
            </w:pPr>
            <w:r w:rsidRPr="00D97BC5">
              <w:rPr>
                <w:rFonts w:eastAsia="Arial"/>
                <w:sz w:val="21"/>
                <w:szCs w:val="21"/>
                <w:lang w:eastAsia="ja-JP"/>
              </w:rPr>
              <w:t>outline appropriate transition arrangements;</w:t>
            </w:r>
          </w:p>
          <w:p w14:paraId="6EAB44E8" w14:textId="77777777" w:rsidR="002A34E9" w:rsidRPr="00D97BC5" w:rsidRDefault="002A34E9" w:rsidP="002A34E9">
            <w:pPr>
              <w:pStyle w:val="ListParagraph"/>
              <w:numPr>
                <w:ilvl w:val="0"/>
                <w:numId w:val="10"/>
              </w:numPr>
              <w:spacing w:before="80" w:after="80" w:line="259" w:lineRule="auto"/>
              <w:contextualSpacing w:val="0"/>
              <w:rPr>
                <w:rFonts w:eastAsia="Arial"/>
                <w:sz w:val="21"/>
                <w:szCs w:val="21"/>
                <w:lang w:eastAsia="ja-JP"/>
              </w:rPr>
            </w:pPr>
            <w:r w:rsidRPr="00D97BC5">
              <w:rPr>
                <w:rFonts w:eastAsia="Arial"/>
                <w:sz w:val="21"/>
                <w:szCs w:val="21"/>
                <w:lang w:eastAsia="ja-JP"/>
              </w:rPr>
              <w:t>be informed by consultation with the Parties; and</w:t>
            </w:r>
          </w:p>
          <w:p w14:paraId="3B7F7A95" w14:textId="77777777" w:rsidR="002A34E9" w:rsidRPr="00D97BC5" w:rsidRDefault="002A34E9" w:rsidP="002A34E9">
            <w:pPr>
              <w:pStyle w:val="ListParagraph"/>
              <w:numPr>
                <w:ilvl w:val="0"/>
                <w:numId w:val="10"/>
              </w:numPr>
              <w:spacing w:before="80" w:after="80" w:line="259" w:lineRule="auto"/>
              <w:contextualSpacing w:val="0"/>
              <w:rPr>
                <w:rFonts w:eastAsia="Arial"/>
                <w:sz w:val="21"/>
                <w:szCs w:val="21"/>
                <w:lang w:eastAsia="ja-JP"/>
              </w:rPr>
            </w:pPr>
            <w:r w:rsidRPr="00D97BC5">
              <w:rPr>
                <w:rFonts w:eastAsia="Arial"/>
                <w:sz w:val="21"/>
                <w:szCs w:val="21"/>
                <w:lang w:eastAsia="ja-JP"/>
              </w:rPr>
              <w:t>have input from the Administrator.</w:t>
            </w:r>
          </w:p>
        </w:tc>
      </w:tr>
      <w:tr w:rsidR="002A34E9" w:rsidRPr="00D97BC5" w14:paraId="27436E78" w14:textId="77777777" w:rsidTr="002A34E9">
        <w:tc>
          <w:tcPr>
            <w:tcW w:w="973" w:type="dxa"/>
          </w:tcPr>
          <w:p w14:paraId="0918270C" w14:textId="77777777" w:rsidR="002A34E9" w:rsidRPr="00D97BC5" w:rsidRDefault="002A34E9" w:rsidP="002A34E9">
            <w:pPr>
              <w:spacing w:before="80" w:after="80" w:line="259" w:lineRule="auto"/>
              <w:rPr>
                <w:sz w:val="21"/>
                <w:szCs w:val="21"/>
              </w:rPr>
            </w:pPr>
            <w:r w:rsidRPr="00D97BC5">
              <w:rPr>
                <w:sz w:val="21"/>
                <w:szCs w:val="21"/>
              </w:rPr>
              <w:t>B40</w:t>
            </w:r>
          </w:p>
        </w:tc>
        <w:tc>
          <w:tcPr>
            <w:tcW w:w="8763" w:type="dxa"/>
          </w:tcPr>
          <w:p w14:paraId="7E9EA596" w14:textId="77777777" w:rsidR="002A34E9" w:rsidRPr="00D97BC5" w:rsidRDefault="002A34E9" w:rsidP="002A34E9">
            <w:pPr>
              <w:spacing w:before="80" w:after="80" w:line="259" w:lineRule="auto"/>
              <w:rPr>
                <w:sz w:val="21"/>
                <w:szCs w:val="21"/>
              </w:rPr>
            </w:pPr>
            <w:r w:rsidRPr="00D97BC5">
              <w:rPr>
                <w:sz w:val="21"/>
                <w:szCs w:val="21"/>
              </w:rPr>
              <w:t>The IHPA will provide the Australian Health Ministers’ Advisory Council</w:t>
            </w:r>
            <w:r w:rsidRPr="00D97BC5" w:rsidDel="008603BE">
              <w:rPr>
                <w:sz w:val="21"/>
                <w:szCs w:val="21"/>
              </w:rPr>
              <w:t xml:space="preserve"> </w:t>
            </w:r>
            <w:r w:rsidRPr="00D97BC5">
              <w:rPr>
                <w:sz w:val="21"/>
                <w:szCs w:val="21"/>
              </w:rPr>
              <w:t>with a clear understanding of IHPA’s processes, governance arrangements and its committees on national funding model matters.</w:t>
            </w:r>
          </w:p>
        </w:tc>
      </w:tr>
    </w:tbl>
    <w:p w14:paraId="4B2D659A" w14:textId="6E470E8D" w:rsidR="00642B26" w:rsidRPr="00D97BC5" w:rsidRDefault="00642B26" w:rsidP="00A549F1">
      <w:pPr>
        <w:rPr>
          <w:lang w:val="en-AU"/>
        </w:rPr>
      </w:pPr>
    </w:p>
    <w:p w14:paraId="3706170F" w14:textId="77777777" w:rsidR="00642B26" w:rsidRPr="00D97BC5" w:rsidRDefault="00642B26">
      <w:pPr>
        <w:spacing w:line="259" w:lineRule="auto"/>
        <w:rPr>
          <w:rFonts w:eastAsiaTheme="majorEastAsia" w:cs="Arial"/>
          <w:b/>
          <w:sz w:val="56"/>
          <w:szCs w:val="56"/>
          <w:lang w:val="en-AU"/>
        </w:rPr>
      </w:pPr>
      <w:r w:rsidRPr="00D97BC5">
        <w:rPr>
          <w:rFonts w:cs="Arial"/>
          <w:sz w:val="56"/>
          <w:szCs w:val="56"/>
          <w:lang w:val="en-AU"/>
        </w:rPr>
        <w:br w:type="page"/>
      </w:r>
    </w:p>
    <w:p w14:paraId="11EA1D4B" w14:textId="082D1011" w:rsidR="00101439" w:rsidRPr="00D97BC5" w:rsidRDefault="00101439" w:rsidP="00F5752F">
      <w:pPr>
        <w:pStyle w:val="Heading1"/>
        <w:numPr>
          <w:ilvl w:val="0"/>
          <w:numId w:val="0"/>
        </w:numPr>
      </w:pPr>
      <w:bookmarkStart w:id="41" w:name="_Toc168557608"/>
      <w:r w:rsidRPr="00D97BC5">
        <w:lastRenderedPageBreak/>
        <w:t xml:space="preserve">Appendix B: </w:t>
      </w:r>
      <w:r w:rsidR="00642B26" w:rsidRPr="00D97BC5">
        <w:t>Statement of Impact</w:t>
      </w:r>
      <w:bookmarkEnd w:id="41"/>
    </w:p>
    <w:tbl>
      <w:tblPr>
        <w:tblStyle w:val="TableGrid"/>
        <w:tblW w:w="0" w:type="auto"/>
        <w:tblLook w:val="04A0" w:firstRow="1" w:lastRow="0" w:firstColumn="1" w:lastColumn="0" w:noHBand="0" w:noVBand="1"/>
      </w:tblPr>
      <w:tblGrid>
        <w:gridCol w:w="9435"/>
      </w:tblGrid>
      <w:tr w:rsidR="00642B26" w:rsidRPr="00D97BC5" w14:paraId="30F698A5" w14:textId="77777777" w:rsidTr="007170BA">
        <w:tc>
          <w:tcPr>
            <w:tcW w:w="9435" w:type="dxa"/>
            <w:shd w:val="clear" w:color="auto" w:fill="000000" w:themeFill="text1"/>
          </w:tcPr>
          <w:p w14:paraId="383DABDA" w14:textId="77777777" w:rsidR="00642B26" w:rsidRPr="00D97BC5" w:rsidRDefault="00642B26" w:rsidP="00680803">
            <w:pPr>
              <w:spacing w:before="120" w:after="120" w:line="240" w:lineRule="auto"/>
              <w:jc w:val="center"/>
              <w:rPr>
                <w:rFonts w:cs="Arial"/>
                <w:b/>
                <w:color w:val="FFFFFF" w:themeColor="background1"/>
                <w:lang w:val="en-AU"/>
              </w:rPr>
            </w:pPr>
            <w:r w:rsidRPr="00D97BC5">
              <w:rPr>
                <w:rFonts w:cs="Arial"/>
                <w:b/>
                <w:color w:val="FFFFFF" w:themeColor="background1"/>
                <w:lang w:val="en-AU"/>
              </w:rPr>
              <w:t>Statement of Impact – National Pricing Model Consultation Policy</w:t>
            </w:r>
          </w:p>
        </w:tc>
      </w:tr>
      <w:tr w:rsidR="00642B26" w:rsidRPr="00D97BC5" w14:paraId="747E1D8E" w14:textId="77777777" w:rsidTr="007170BA">
        <w:tc>
          <w:tcPr>
            <w:tcW w:w="9435" w:type="dxa"/>
            <w:shd w:val="clear" w:color="auto" w:fill="A6A6A6" w:themeFill="background1" w:themeFillShade="A6"/>
          </w:tcPr>
          <w:p w14:paraId="7F4AD298"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This assessment is prepared using the most recently available cost and activity data.</w:t>
            </w:r>
          </w:p>
        </w:tc>
      </w:tr>
      <w:tr w:rsidR="00642B26" w:rsidRPr="00D97BC5" w14:paraId="43D2D8E7" w14:textId="77777777" w:rsidTr="007170BA">
        <w:tc>
          <w:tcPr>
            <w:tcW w:w="9435" w:type="dxa"/>
            <w:shd w:val="clear" w:color="auto" w:fill="D9D9D9" w:themeFill="background1" w:themeFillShade="D9"/>
          </w:tcPr>
          <w:p w14:paraId="2540D908"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Proposed change</w:t>
            </w:r>
          </w:p>
        </w:tc>
      </w:tr>
      <w:tr w:rsidR="00642B26" w:rsidRPr="00D97BC5" w14:paraId="1B1DFFBE" w14:textId="77777777" w:rsidTr="007170BA">
        <w:tc>
          <w:tcPr>
            <w:tcW w:w="9435" w:type="dxa"/>
          </w:tcPr>
          <w:p w14:paraId="0AD7FD53" w14:textId="77777777" w:rsidR="00642B26" w:rsidRPr="00D97BC5" w:rsidRDefault="00642B26" w:rsidP="00680803">
            <w:pPr>
              <w:spacing w:before="120" w:after="120" w:line="240" w:lineRule="auto"/>
              <w:rPr>
                <w:rFonts w:cs="Arial"/>
                <w:lang w:val="en-AU"/>
              </w:rPr>
            </w:pPr>
            <w:r w:rsidRPr="00D97BC5">
              <w:rPr>
                <w:rFonts w:cs="Arial"/>
                <w:lang w:val="en-AU"/>
              </w:rPr>
              <w:t>For example, the introduction of a new classification for pricing.</w:t>
            </w:r>
          </w:p>
        </w:tc>
      </w:tr>
      <w:tr w:rsidR="00642B26" w:rsidRPr="00D97BC5" w14:paraId="498F2F17" w14:textId="77777777" w:rsidTr="007170BA">
        <w:tc>
          <w:tcPr>
            <w:tcW w:w="9435" w:type="dxa"/>
            <w:shd w:val="clear" w:color="auto" w:fill="D9D9D9" w:themeFill="background1" w:themeFillShade="D9"/>
          </w:tcPr>
          <w:p w14:paraId="68E8E467" w14:textId="77777777" w:rsidR="00642B26" w:rsidRPr="00D97BC5" w:rsidRDefault="00642B26" w:rsidP="00680803">
            <w:pPr>
              <w:spacing w:before="120" w:after="120" w:line="240" w:lineRule="auto"/>
              <w:rPr>
                <w:rFonts w:cs="Arial"/>
                <w:b/>
                <w:lang w:val="en-AU"/>
              </w:rPr>
            </w:pPr>
            <w:r w:rsidRPr="00D97BC5">
              <w:rPr>
                <w:rFonts w:cs="Arial"/>
                <w:b/>
                <w:lang w:val="en-AU"/>
              </w:rPr>
              <w:t>Detailed summary of proposed change</w:t>
            </w:r>
          </w:p>
        </w:tc>
      </w:tr>
      <w:tr w:rsidR="00642B26" w:rsidRPr="00D97BC5" w14:paraId="5B272873" w14:textId="77777777" w:rsidTr="007170BA">
        <w:tc>
          <w:tcPr>
            <w:tcW w:w="9435" w:type="dxa"/>
          </w:tcPr>
          <w:p w14:paraId="150E5FDF" w14:textId="77777777" w:rsidR="00642B26" w:rsidRPr="00D97BC5" w:rsidRDefault="00642B26" w:rsidP="00680803">
            <w:pPr>
              <w:spacing w:before="120" w:after="120" w:line="240" w:lineRule="auto"/>
              <w:rPr>
                <w:rFonts w:cs="Arial"/>
                <w:lang w:val="en-AU"/>
              </w:rPr>
            </w:pPr>
          </w:p>
          <w:p w14:paraId="6380B1AC" w14:textId="77777777" w:rsidR="00642B26" w:rsidRPr="00D97BC5" w:rsidRDefault="00642B26" w:rsidP="00680803">
            <w:pPr>
              <w:spacing w:before="120" w:after="120" w:line="240" w:lineRule="auto"/>
              <w:rPr>
                <w:rFonts w:cs="Arial"/>
                <w:lang w:val="en-AU"/>
              </w:rPr>
            </w:pPr>
          </w:p>
          <w:p w14:paraId="5B2CEE25" w14:textId="77777777" w:rsidR="00642B26" w:rsidRPr="00D97BC5" w:rsidRDefault="00642B26" w:rsidP="00680803">
            <w:pPr>
              <w:spacing w:before="120" w:after="120" w:line="240" w:lineRule="auto"/>
              <w:rPr>
                <w:rFonts w:cs="Arial"/>
                <w:lang w:val="en-AU"/>
              </w:rPr>
            </w:pPr>
          </w:p>
          <w:p w14:paraId="65B8F966" w14:textId="77777777" w:rsidR="00642B26" w:rsidRPr="00D97BC5" w:rsidRDefault="00642B26" w:rsidP="00680803">
            <w:pPr>
              <w:spacing w:before="120" w:after="120" w:line="240" w:lineRule="auto"/>
              <w:rPr>
                <w:rFonts w:cs="Arial"/>
                <w:lang w:val="en-AU"/>
              </w:rPr>
            </w:pPr>
          </w:p>
          <w:p w14:paraId="23C0A988" w14:textId="77777777" w:rsidR="00642B26" w:rsidRPr="00D97BC5" w:rsidRDefault="00642B26" w:rsidP="00680803">
            <w:pPr>
              <w:spacing w:before="120" w:after="120" w:line="240" w:lineRule="auto"/>
              <w:rPr>
                <w:rFonts w:cs="Arial"/>
                <w:lang w:val="en-AU"/>
              </w:rPr>
            </w:pPr>
          </w:p>
          <w:p w14:paraId="0444B6D8" w14:textId="77777777" w:rsidR="00680803" w:rsidRPr="00D97BC5" w:rsidRDefault="00680803" w:rsidP="00680803">
            <w:pPr>
              <w:spacing w:before="120" w:after="120" w:line="240" w:lineRule="auto"/>
              <w:rPr>
                <w:rFonts w:cs="Arial"/>
                <w:lang w:val="en-AU"/>
              </w:rPr>
            </w:pPr>
          </w:p>
        </w:tc>
      </w:tr>
      <w:tr w:rsidR="00F06066" w:rsidRPr="00D97BC5" w14:paraId="420B7ED1" w14:textId="77777777" w:rsidTr="007170BA">
        <w:tc>
          <w:tcPr>
            <w:tcW w:w="9435" w:type="dxa"/>
            <w:shd w:val="clear" w:color="auto" w:fill="D9D9D9" w:themeFill="background1" w:themeFillShade="D9"/>
          </w:tcPr>
          <w:p w14:paraId="0847B586"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Proposed implementation timeframe</w:t>
            </w:r>
          </w:p>
        </w:tc>
      </w:tr>
      <w:tr w:rsidR="00F06066" w:rsidRPr="00D97BC5" w14:paraId="6008B05E" w14:textId="77777777" w:rsidTr="007170BA">
        <w:tc>
          <w:tcPr>
            <w:tcW w:w="9435" w:type="dxa"/>
          </w:tcPr>
          <w:p w14:paraId="4E0CE70D" w14:textId="1B6A6865" w:rsidR="00642B26" w:rsidRPr="00D97BC5" w:rsidRDefault="00642B26" w:rsidP="00680803">
            <w:pPr>
              <w:spacing w:before="120" w:after="120" w:line="240" w:lineRule="auto"/>
              <w:rPr>
                <w:rFonts w:cs="Arial"/>
                <w:color w:val="auto"/>
                <w:lang w:val="en-AU"/>
              </w:rPr>
            </w:pPr>
            <w:r w:rsidRPr="00D97BC5">
              <w:rPr>
                <w:rFonts w:cs="Arial"/>
                <w:color w:val="auto"/>
                <w:lang w:val="en-AU"/>
              </w:rPr>
              <w:t xml:space="preserve">For example, proposed for implementation from 1 July </w:t>
            </w:r>
            <w:r w:rsidR="00535033" w:rsidRPr="00D97BC5">
              <w:rPr>
                <w:rFonts w:cs="Arial"/>
                <w:color w:val="auto"/>
                <w:lang w:val="en-AU"/>
              </w:rPr>
              <w:t>2025</w:t>
            </w:r>
            <w:r w:rsidRPr="00D97BC5">
              <w:rPr>
                <w:rFonts w:cs="Arial"/>
                <w:color w:val="auto"/>
                <w:lang w:val="en-AU"/>
              </w:rPr>
              <w:t>.</w:t>
            </w:r>
          </w:p>
        </w:tc>
      </w:tr>
      <w:tr w:rsidR="00F06066" w:rsidRPr="00D97BC5" w14:paraId="163A476F" w14:textId="77777777" w:rsidTr="007170BA">
        <w:tc>
          <w:tcPr>
            <w:tcW w:w="9435" w:type="dxa"/>
            <w:shd w:val="clear" w:color="auto" w:fill="D9D9D9" w:themeFill="background1" w:themeFillShade="D9"/>
          </w:tcPr>
          <w:p w14:paraId="4862ED66"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Date of assessment</w:t>
            </w:r>
          </w:p>
        </w:tc>
      </w:tr>
      <w:tr w:rsidR="00F06066" w:rsidRPr="00D97BC5" w14:paraId="59C28E4C" w14:textId="77777777" w:rsidTr="007170BA">
        <w:tc>
          <w:tcPr>
            <w:tcW w:w="9435" w:type="dxa"/>
          </w:tcPr>
          <w:p w14:paraId="54D33DF2"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Initial assessment date:</w:t>
            </w:r>
          </w:p>
          <w:p w14:paraId="46FC57D6" w14:textId="77777777" w:rsidR="00642B26" w:rsidRPr="00D97BC5" w:rsidRDefault="00642B26" w:rsidP="00680803">
            <w:pPr>
              <w:spacing w:before="120" w:after="120" w:line="240" w:lineRule="auto"/>
              <w:rPr>
                <w:rFonts w:cs="Arial"/>
                <w:color w:val="auto"/>
                <w:lang w:val="en-AU"/>
              </w:rPr>
            </w:pPr>
            <w:r w:rsidRPr="00D97BC5">
              <w:rPr>
                <w:rFonts w:cs="Arial"/>
                <w:b/>
                <w:color w:val="auto"/>
                <w:lang w:val="en-AU"/>
              </w:rPr>
              <w:t>Final assessment date:</w:t>
            </w:r>
          </w:p>
        </w:tc>
      </w:tr>
      <w:tr w:rsidR="00F06066" w:rsidRPr="00D97BC5" w14:paraId="1D6BD39A" w14:textId="77777777" w:rsidTr="007170BA">
        <w:tc>
          <w:tcPr>
            <w:tcW w:w="9435" w:type="dxa"/>
            <w:shd w:val="clear" w:color="auto" w:fill="D9D9D9" w:themeFill="background1" w:themeFillShade="D9"/>
          </w:tcPr>
          <w:p w14:paraId="17D9E67C"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Date of provision to jurisdictions</w:t>
            </w:r>
          </w:p>
        </w:tc>
      </w:tr>
      <w:tr w:rsidR="00F06066" w:rsidRPr="00D97BC5" w14:paraId="6C20C859" w14:textId="77777777" w:rsidTr="007170BA">
        <w:tc>
          <w:tcPr>
            <w:tcW w:w="9435" w:type="dxa"/>
          </w:tcPr>
          <w:p w14:paraId="4CA18965" w14:textId="77777777" w:rsidR="00642B26" w:rsidRPr="00D97BC5" w:rsidRDefault="00642B26" w:rsidP="00680803">
            <w:pPr>
              <w:spacing w:before="120" w:after="120" w:line="240" w:lineRule="auto"/>
              <w:rPr>
                <w:rFonts w:cs="Arial"/>
                <w:color w:val="auto"/>
                <w:lang w:val="en-AU"/>
              </w:rPr>
            </w:pPr>
          </w:p>
        </w:tc>
      </w:tr>
      <w:tr w:rsidR="00F06066" w:rsidRPr="00D97BC5" w14:paraId="29ED8CC8" w14:textId="77777777" w:rsidTr="007170BA">
        <w:tc>
          <w:tcPr>
            <w:tcW w:w="9435" w:type="dxa"/>
            <w:shd w:val="clear" w:color="auto" w:fill="A6A6A6" w:themeFill="background1" w:themeFillShade="A6"/>
          </w:tcPr>
          <w:p w14:paraId="40B2E44F"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RISK ASSESSMENT</w:t>
            </w:r>
          </w:p>
        </w:tc>
      </w:tr>
      <w:tr w:rsidR="00F06066" w:rsidRPr="00D97BC5" w14:paraId="1362FF34" w14:textId="77777777" w:rsidTr="007170BA">
        <w:tc>
          <w:tcPr>
            <w:tcW w:w="9435" w:type="dxa"/>
            <w:shd w:val="clear" w:color="auto" w:fill="D9D9D9" w:themeFill="background1" w:themeFillShade="D9"/>
          </w:tcPr>
          <w:p w14:paraId="193EA595"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Benefits associated with proposed change</w:t>
            </w:r>
          </w:p>
        </w:tc>
      </w:tr>
      <w:tr w:rsidR="00F06066" w:rsidRPr="00D97BC5" w14:paraId="0AED93F4" w14:textId="77777777" w:rsidTr="007170BA">
        <w:tc>
          <w:tcPr>
            <w:tcW w:w="9435" w:type="dxa"/>
          </w:tcPr>
          <w:p w14:paraId="57E51899" w14:textId="77777777" w:rsidR="00642B26" w:rsidRPr="00D97BC5" w:rsidRDefault="00642B26" w:rsidP="00680803">
            <w:pPr>
              <w:spacing w:before="120" w:after="120" w:line="240" w:lineRule="auto"/>
              <w:rPr>
                <w:rFonts w:cs="Arial"/>
                <w:color w:val="auto"/>
                <w:lang w:val="en-AU"/>
              </w:rPr>
            </w:pPr>
            <w:r w:rsidRPr="00D97BC5">
              <w:rPr>
                <w:rFonts w:cs="Arial"/>
                <w:color w:val="auto"/>
                <w:lang w:val="en-AU"/>
              </w:rPr>
              <w:t>For example, the new classification is more suitable for the patient service category.</w:t>
            </w:r>
          </w:p>
        </w:tc>
      </w:tr>
      <w:tr w:rsidR="00F06066" w:rsidRPr="00D97BC5" w14:paraId="7651AAB6" w14:textId="77777777" w:rsidTr="007170BA">
        <w:tc>
          <w:tcPr>
            <w:tcW w:w="9435" w:type="dxa"/>
            <w:shd w:val="clear" w:color="auto" w:fill="D9D9D9" w:themeFill="background1" w:themeFillShade="D9"/>
          </w:tcPr>
          <w:p w14:paraId="5751C078" w14:textId="77777777" w:rsidR="00642B26" w:rsidRPr="00D97BC5" w:rsidRDefault="00642B26" w:rsidP="00680803">
            <w:pPr>
              <w:spacing w:before="120" w:after="120" w:line="240" w:lineRule="auto"/>
              <w:rPr>
                <w:rFonts w:cs="Arial"/>
                <w:b/>
                <w:color w:val="auto"/>
                <w:lang w:val="en-AU"/>
              </w:rPr>
            </w:pPr>
            <w:r w:rsidRPr="00D97BC5">
              <w:rPr>
                <w:rFonts w:cs="Arial"/>
                <w:b/>
                <w:color w:val="auto"/>
                <w:lang w:val="en-AU"/>
              </w:rPr>
              <w:t>Identified risks associated with proposed change</w:t>
            </w:r>
          </w:p>
        </w:tc>
      </w:tr>
      <w:tr w:rsidR="00F06066" w:rsidRPr="00D97BC5" w14:paraId="106AB80C" w14:textId="77777777" w:rsidTr="007170BA">
        <w:tc>
          <w:tcPr>
            <w:tcW w:w="9435" w:type="dxa"/>
          </w:tcPr>
          <w:p w14:paraId="360EF045" w14:textId="77777777" w:rsidR="00642B26" w:rsidRPr="00D97BC5" w:rsidRDefault="00642B26" w:rsidP="00680803">
            <w:pPr>
              <w:pStyle w:val="ListParagraph"/>
              <w:numPr>
                <w:ilvl w:val="0"/>
                <w:numId w:val="11"/>
              </w:numPr>
              <w:spacing w:before="120" w:after="120" w:line="240" w:lineRule="auto"/>
              <w:ind w:left="454"/>
              <w:contextualSpacing w:val="0"/>
              <w:rPr>
                <w:rFonts w:cs="Arial"/>
                <w:color w:val="auto"/>
                <w:lang w:val="en-AU"/>
              </w:rPr>
            </w:pPr>
          </w:p>
          <w:p w14:paraId="76244D1F" w14:textId="77777777" w:rsidR="00642B26" w:rsidRPr="00D97BC5" w:rsidRDefault="00642B26" w:rsidP="00680803">
            <w:pPr>
              <w:pStyle w:val="ListParagraph"/>
              <w:numPr>
                <w:ilvl w:val="0"/>
                <w:numId w:val="11"/>
              </w:numPr>
              <w:spacing w:before="120" w:after="120" w:line="240" w:lineRule="auto"/>
              <w:ind w:left="454"/>
              <w:contextualSpacing w:val="0"/>
              <w:rPr>
                <w:rFonts w:cs="Arial"/>
                <w:color w:val="auto"/>
                <w:lang w:val="en-AU"/>
              </w:rPr>
            </w:pPr>
          </w:p>
          <w:p w14:paraId="69AF9818" w14:textId="77777777" w:rsidR="00642B26" w:rsidRPr="00D97BC5" w:rsidRDefault="00642B26" w:rsidP="00680803">
            <w:pPr>
              <w:pStyle w:val="ListParagraph"/>
              <w:numPr>
                <w:ilvl w:val="0"/>
                <w:numId w:val="11"/>
              </w:numPr>
              <w:spacing w:before="120" w:after="120" w:line="240" w:lineRule="auto"/>
              <w:ind w:left="454"/>
              <w:contextualSpacing w:val="0"/>
              <w:rPr>
                <w:rFonts w:cs="Arial"/>
                <w:color w:val="auto"/>
                <w:lang w:val="en-AU"/>
              </w:rPr>
            </w:pPr>
          </w:p>
        </w:tc>
      </w:tr>
    </w:tbl>
    <w:tbl>
      <w:tblPr>
        <w:tblStyle w:val="TableGrid3"/>
        <w:tblW w:w="0" w:type="auto"/>
        <w:tblLook w:val="04A0" w:firstRow="1" w:lastRow="0" w:firstColumn="1" w:lastColumn="0" w:noHBand="0" w:noVBand="1"/>
      </w:tblPr>
      <w:tblGrid>
        <w:gridCol w:w="2689"/>
        <w:gridCol w:w="1499"/>
        <w:gridCol w:w="583"/>
        <w:gridCol w:w="4664"/>
      </w:tblGrid>
      <w:tr w:rsidR="00F06066" w:rsidRPr="00D97BC5" w14:paraId="4843C185" w14:textId="77777777" w:rsidTr="007170BA">
        <w:tc>
          <w:tcPr>
            <w:tcW w:w="9435" w:type="dxa"/>
            <w:gridSpan w:val="4"/>
            <w:shd w:val="clear" w:color="auto" w:fill="D9D9D9" w:themeFill="background1" w:themeFillShade="D9"/>
          </w:tcPr>
          <w:p w14:paraId="0C8793F4" w14:textId="77777777" w:rsidR="00642B26" w:rsidRPr="00D97BC5" w:rsidRDefault="00642B26" w:rsidP="00680803">
            <w:pPr>
              <w:keepNext/>
              <w:spacing w:before="120" w:after="120" w:line="240" w:lineRule="auto"/>
              <w:rPr>
                <w:rFonts w:cs="Arial"/>
                <w:b/>
                <w:color w:val="auto"/>
                <w:sz w:val="22"/>
                <w:szCs w:val="22"/>
              </w:rPr>
            </w:pPr>
            <w:r w:rsidRPr="00D97BC5">
              <w:rPr>
                <w:rFonts w:cs="Arial"/>
                <w:b/>
                <w:color w:val="auto"/>
                <w:sz w:val="22"/>
                <w:szCs w:val="22"/>
              </w:rPr>
              <w:lastRenderedPageBreak/>
              <w:t>Identified risk #1</w:t>
            </w:r>
          </w:p>
        </w:tc>
      </w:tr>
      <w:tr w:rsidR="00F06066" w:rsidRPr="00D97BC5" w14:paraId="690AAFD0" w14:textId="77777777" w:rsidTr="007170BA">
        <w:tc>
          <w:tcPr>
            <w:tcW w:w="2689" w:type="dxa"/>
          </w:tcPr>
          <w:p w14:paraId="6A63E8E6"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associated with proposed change</w:t>
            </w:r>
          </w:p>
        </w:tc>
        <w:tc>
          <w:tcPr>
            <w:tcW w:w="6746" w:type="dxa"/>
            <w:gridSpan w:val="3"/>
          </w:tcPr>
          <w:p w14:paraId="15EABABD" w14:textId="77777777" w:rsidR="00642B26" w:rsidRPr="00D97BC5" w:rsidRDefault="00642B26" w:rsidP="00680803">
            <w:pPr>
              <w:spacing w:before="120" w:after="120" w:line="240" w:lineRule="auto"/>
              <w:rPr>
                <w:rFonts w:cs="Arial"/>
                <w:color w:val="auto"/>
                <w:sz w:val="22"/>
                <w:szCs w:val="22"/>
              </w:rPr>
            </w:pPr>
          </w:p>
        </w:tc>
      </w:tr>
      <w:tr w:rsidR="00F06066" w:rsidRPr="00D97BC5" w14:paraId="45498C5C" w14:textId="77777777" w:rsidTr="007170BA">
        <w:tc>
          <w:tcPr>
            <w:tcW w:w="2689" w:type="dxa"/>
          </w:tcPr>
          <w:p w14:paraId="5A079F85"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category</w:t>
            </w:r>
          </w:p>
        </w:tc>
        <w:tc>
          <w:tcPr>
            <w:tcW w:w="6746" w:type="dxa"/>
            <w:gridSpan w:val="3"/>
          </w:tcPr>
          <w:p w14:paraId="717F8CCD" w14:textId="77777777" w:rsidR="00642B26" w:rsidRPr="00D97BC5" w:rsidRDefault="00642B26" w:rsidP="00680803">
            <w:pPr>
              <w:spacing w:before="120" w:after="120" w:line="240" w:lineRule="auto"/>
              <w:rPr>
                <w:rFonts w:cs="Arial"/>
                <w:color w:val="auto"/>
                <w:sz w:val="22"/>
                <w:szCs w:val="22"/>
              </w:rPr>
            </w:pPr>
            <w:r w:rsidRPr="00D97BC5">
              <w:rPr>
                <w:rFonts w:cs="Arial"/>
                <w:color w:val="auto"/>
                <w:sz w:val="22"/>
                <w:szCs w:val="22"/>
              </w:rPr>
              <w:t>For example, administrative risk or funding risk.</w:t>
            </w:r>
          </w:p>
        </w:tc>
      </w:tr>
      <w:tr w:rsidR="00F06066" w:rsidRPr="00D97BC5" w14:paraId="65448478" w14:textId="77777777" w:rsidTr="007170BA">
        <w:tc>
          <w:tcPr>
            <w:tcW w:w="2689" w:type="dxa"/>
          </w:tcPr>
          <w:p w14:paraId="319A70E0"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description</w:t>
            </w:r>
          </w:p>
        </w:tc>
        <w:tc>
          <w:tcPr>
            <w:tcW w:w="6746" w:type="dxa"/>
            <w:gridSpan w:val="3"/>
          </w:tcPr>
          <w:p w14:paraId="0CE917D8" w14:textId="77777777" w:rsidR="00642B26" w:rsidRPr="00D97BC5" w:rsidRDefault="00642B26" w:rsidP="00680803">
            <w:pPr>
              <w:spacing w:before="120" w:after="120" w:line="240" w:lineRule="auto"/>
              <w:rPr>
                <w:rFonts w:cs="Arial"/>
                <w:color w:val="auto"/>
                <w:sz w:val="22"/>
                <w:szCs w:val="22"/>
              </w:rPr>
            </w:pPr>
          </w:p>
        </w:tc>
      </w:tr>
      <w:tr w:rsidR="00F06066" w:rsidRPr="00D97BC5" w14:paraId="74B0CBFE" w14:textId="77777777" w:rsidTr="007170BA">
        <w:tc>
          <w:tcPr>
            <w:tcW w:w="2689" w:type="dxa"/>
          </w:tcPr>
          <w:p w14:paraId="109AE8FB"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mitigation and/or management</w:t>
            </w:r>
          </w:p>
        </w:tc>
        <w:tc>
          <w:tcPr>
            <w:tcW w:w="6746" w:type="dxa"/>
            <w:gridSpan w:val="3"/>
          </w:tcPr>
          <w:p w14:paraId="21E8A28D" w14:textId="77777777" w:rsidR="00642B26" w:rsidRPr="00D97BC5" w:rsidRDefault="00642B26" w:rsidP="00680803">
            <w:pPr>
              <w:spacing w:before="120" w:after="120" w:line="240" w:lineRule="auto"/>
              <w:rPr>
                <w:rFonts w:cs="Arial"/>
                <w:color w:val="auto"/>
                <w:sz w:val="22"/>
                <w:szCs w:val="22"/>
              </w:rPr>
            </w:pPr>
          </w:p>
        </w:tc>
      </w:tr>
      <w:tr w:rsidR="00F06066" w:rsidRPr="00D97BC5" w14:paraId="372D5D69" w14:textId="77777777" w:rsidTr="007170BA">
        <w:tc>
          <w:tcPr>
            <w:tcW w:w="2689" w:type="dxa"/>
          </w:tcPr>
          <w:p w14:paraId="3D8EC822"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 xml:space="preserve">Risk rating (evaluated using the matrix at </w:t>
            </w:r>
            <w:r w:rsidRPr="00D97BC5">
              <w:rPr>
                <w:rFonts w:cs="Arial"/>
                <w:b/>
                <w:color w:val="auto"/>
                <w:sz w:val="22"/>
                <w:szCs w:val="22"/>
                <w:u w:val="single"/>
              </w:rPr>
              <w:t>Attachment A</w:t>
            </w:r>
            <w:r w:rsidRPr="00D97BC5">
              <w:rPr>
                <w:rFonts w:cs="Arial"/>
                <w:b/>
                <w:color w:val="auto"/>
                <w:sz w:val="22"/>
                <w:szCs w:val="22"/>
              </w:rPr>
              <w:t>)</w:t>
            </w:r>
          </w:p>
        </w:tc>
        <w:tc>
          <w:tcPr>
            <w:tcW w:w="6746" w:type="dxa"/>
            <w:gridSpan w:val="3"/>
          </w:tcPr>
          <w:tbl>
            <w:tblPr>
              <w:tblStyle w:val="TableGrid3"/>
              <w:tblW w:w="0" w:type="auto"/>
              <w:tblLook w:val="04A0" w:firstRow="1" w:lastRow="0" w:firstColumn="1" w:lastColumn="0" w:noHBand="0" w:noVBand="1"/>
            </w:tblPr>
            <w:tblGrid>
              <w:gridCol w:w="2173"/>
              <w:gridCol w:w="2173"/>
              <w:gridCol w:w="2174"/>
            </w:tblGrid>
            <w:tr w:rsidR="00F06066" w:rsidRPr="00D97BC5" w14:paraId="6D5FA557" w14:textId="77777777" w:rsidTr="007170BA">
              <w:tc>
                <w:tcPr>
                  <w:tcW w:w="2173" w:type="dxa"/>
                </w:tcPr>
                <w:p w14:paraId="29A099BE"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Likelihood</w:t>
                  </w:r>
                </w:p>
              </w:tc>
              <w:tc>
                <w:tcPr>
                  <w:tcW w:w="2173" w:type="dxa"/>
                </w:tcPr>
                <w:p w14:paraId="1136DC40"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Consequence</w:t>
                  </w:r>
                </w:p>
              </w:tc>
              <w:tc>
                <w:tcPr>
                  <w:tcW w:w="2174" w:type="dxa"/>
                </w:tcPr>
                <w:p w14:paraId="00AC4F02"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Overall rating</w:t>
                  </w:r>
                </w:p>
              </w:tc>
            </w:tr>
            <w:tr w:rsidR="00F06066" w:rsidRPr="00D97BC5" w14:paraId="477601F0" w14:textId="77777777" w:rsidTr="007170BA">
              <w:tc>
                <w:tcPr>
                  <w:tcW w:w="2173" w:type="dxa"/>
                </w:tcPr>
                <w:p w14:paraId="0956DB7E" w14:textId="77777777" w:rsidR="00642B26" w:rsidRPr="00D97BC5" w:rsidRDefault="00642B26" w:rsidP="00680803">
                  <w:pPr>
                    <w:spacing w:before="120" w:after="120" w:line="240" w:lineRule="auto"/>
                    <w:rPr>
                      <w:rFonts w:cs="Arial"/>
                      <w:b/>
                      <w:color w:val="auto"/>
                      <w:sz w:val="22"/>
                      <w:szCs w:val="22"/>
                    </w:rPr>
                  </w:pPr>
                </w:p>
              </w:tc>
              <w:tc>
                <w:tcPr>
                  <w:tcW w:w="2173" w:type="dxa"/>
                </w:tcPr>
                <w:p w14:paraId="642F2A8B" w14:textId="77777777" w:rsidR="00642B26" w:rsidRPr="00D97BC5" w:rsidRDefault="00642B26" w:rsidP="00680803">
                  <w:pPr>
                    <w:spacing w:before="120" w:after="120" w:line="240" w:lineRule="auto"/>
                    <w:rPr>
                      <w:rFonts w:cs="Arial"/>
                      <w:b/>
                      <w:color w:val="auto"/>
                      <w:sz w:val="22"/>
                      <w:szCs w:val="22"/>
                    </w:rPr>
                  </w:pPr>
                </w:p>
              </w:tc>
              <w:tc>
                <w:tcPr>
                  <w:tcW w:w="2174" w:type="dxa"/>
                </w:tcPr>
                <w:p w14:paraId="007FF210" w14:textId="77777777" w:rsidR="00642B26" w:rsidRPr="00D97BC5" w:rsidRDefault="00642B26" w:rsidP="00680803">
                  <w:pPr>
                    <w:spacing w:before="120" w:after="120" w:line="240" w:lineRule="auto"/>
                    <w:rPr>
                      <w:rFonts w:cs="Arial"/>
                      <w:b/>
                      <w:color w:val="auto"/>
                      <w:sz w:val="22"/>
                      <w:szCs w:val="22"/>
                    </w:rPr>
                  </w:pPr>
                </w:p>
              </w:tc>
            </w:tr>
          </w:tbl>
          <w:p w14:paraId="153541E3" w14:textId="77777777" w:rsidR="00642B26" w:rsidRPr="00D97BC5" w:rsidRDefault="00642B26" w:rsidP="00680803">
            <w:pPr>
              <w:spacing w:before="120" w:after="120" w:line="240" w:lineRule="auto"/>
              <w:rPr>
                <w:rFonts w:cs="Arial"/>
                <w:color w:val="auto"/>
                <w:sz w:val="22"/>
                <w:szCs w:val="22"/>
              </w:rPr>
            </w:pPr>
          </w:p>
        </w:tc>
      </w:tr>
      <w:tr w:rsidR="00F06066" w:rsidRPr="00D97BC5" w14:paraId="6205E8BD" w14:textId="77777777" w:rsidTr="007170BA">
        <w:tc>
          <w:tcPr>
            <w:tcW w:w="9435" w:type="dxa"/>
            <w:gridSpan w:val="4"/>
            <w:shd w:val="clear" w:color="auto" w:fill="D9D9D9" w:themeFill="background1" w:themeFillShade="D9"/>
          </w:tcPr>
          <w:p w14:paraId="6265449B" w14:textId="77777777" w:rsidR="00642B26" w:rsidRPr="00D97BC5" w:rsidRDefault="00642B26" w:rsidP="00680803">
            <w:pPr>
              <w:spacing w:before="120" w:after="120" w:line="240" w:lineRule="auto"/>
              <w:rPr>
                <w:rFonts w:cs="Arial"/>
                <w:color w:val="auto"/>
                <w:sz w:val="22"/>
                <w:szCs w:val="22"/>
              </w:rPr>
            </w:pPr>
            <w:r w:rsidRPr="00D97BC5">
              <w:rPr>
                <w:rFonts w:cs="Arial"/>
                <w:b/>
                <w:color w:val="auto"/>
                <w:sz w:val="22"/>
                <w:szCs w:val="22"/>
              </w:rPr>
              <w:t>Identified risk #2</w:t>
            </w:r>
          </w:p>
        </w:tc>
      </w:tr>
      <w:tr w:rsidR="00642B26" w:rsidRPr="00D97BC5" w14:paraId="1EA61C8C" w14:textId="77777777" w:rsidTr="007170BA">
        <w:tc>
          <w:tcPr>
            <w:tcW w:w="2689" w:type="dxa"/>
          </w:tcPr>
          <w:p w14:paraId="17BE9339"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Risk associated with proposed change</w:t>
            </w:r>
          </w:p>
        </w:tc>
        <w:tc>
          <w:tcPr>
            <w:tcW w:w="6746" w:type="dxa"/>
            <w:gridSpan w:val="3"/>
          </w:tcPr>
          <w:p w14:paraId="0522AF27" w14:textId="77777777" w:rsidR="00642B26" w:rsidRPr="00D97BC5" w:rsidRDefault="00642B26" w:rsidP="00680803">
            <w:pPr>
              <w:spacing w:before="120" w:after="120" w:line="240" w:lineRule="auto"/>
              <w:rPr>
                <w:rFonts w:cs="Arial"/>
                <w:sz w:val="22"/>
                <w:szCs w:val="22"/>
              </w:rPr>
            </w:pPr>
          </w:p>
        </w:tc>
      </w:tr>
      <w:tr w:rsidR="00642B26" w:rsidRPr="00D97BC5" w14:paraId="5902F725" w14:textId="77777777" w:rsidTr="007170BA">
        <w:tc>
          <w:tcPr>
            <w:tcW w:w="2689" w:type="dxa"/>
          </w:tcPr>
          <w:p w14:paraId="65A1F53B"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Risk category</w:t>
            </w:r>
          </w:p>
        </w:tc>
        <w:tc>
          <w:tcPr>
            <w:tcW w:w="6746" w:type="dxa"/>
            <w:gridSpan w:val="3"/>
          </w:tcPr>
          <w:p w14:paraId="1149D87D" w14:textId="77777777" w:rsidR="00642B26" w:rsidRPr="00D97BC5" w:rsidRDefault="00642B26" w:rsidP="00680803">
            <w:pPr>
              <w:spacing w:before="120" w:after="120" w:line="240" w:lineRule="auto"/>
              <w:rPr>
                <w:rFonts w:cs="Arial"/>
                <w:sz w:val="22"/>
                <w:szCs w:val="22"/>
              </w:rPr>
            </w:pPr>
            <w:r w:rsidRPr="00D97BC5">
              <w:rPr>
                <w:rFonts w:cs="Arial"/>
                <w:sz w:val="22"/>
                <w:szCs w:val="22"/>
              </w:rPr>
              <w:t>For example, administrative risk or funding risk.</w:t>
            </w:r>
          </w:p>
        </w:tc>
      </w:tr>
      <w:tr w:rsidR="00642B26" w:rsidRPr="00D97BC5" w14:paraId="14661209" w14:textId="77777777" w:rsidTr="007170BA">
        <w:tc>
          <w:tcPr>
            <w:tcW w:w="2689" w:type="dxa"/>
          </w:tcPr>
          <w:p w14:paraId="61D02812"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Risk description</w:t>
            </w:r>
          </w:p>
        </w:tc>
        <w:tc>
          <w:tcPr>
            <w:tcW w:w="6746" w:type="dxa"/>
            <w:gridSpan w:val="3"/>
          </w:tcPr>
          <w:p w14:paraId="099E2E62" w14:textId="77777777" w:rsidR="00642B26" w:rsidRPr="00D97BC5" w:rsidRDefault="00642B26" w:rsidP="00680803">
            <w:pPr>
              <w:spacing w:before="120" w:after="120" w:line="240" w:lineRule="auto"/>
              <w:rPr>
                <w:rFonts w:cs="Arial"/>
                <w:sz w:val="22"/>
                <w:szCs w:val="22"/>
              </w:rPr>
            </w:pPr>
          </w:p>
        </w:tc>
      </w:tr>
      <w:tr w:rsidR="00642B26" w:rsidRPr="00D97BC5" w14:paraId="6539E5EE" w14:textId="77777777" w:rsidTr="007170BA">
        <w:tc>
          <w:tcPr>
            <w:tcW w:w="2689" w:type="dxa"/>
          </w:tcPr>
          <w:p w14:paraId="2ACEB219"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Risk mitigation and/or management</w:t>
            </w:r>
          </w:p>
        </w:tc>
        <w:tc>
          <w:tcPr>
            <w:tcW w:w="6746" w:type="dxa"/>
            <w:gridSpan w:val="3"/>
          </w:tcPr>
          <w:p w14:paraId="56931FDB" w14:textId="77777777" w:rsidR="00642B26" w:rsidRPr="00D97BC5" w:rsidRDefault="00642B26" w:rsidP="00680803">
            <w:pPr>
              <w:spacing w:before="120" w:after="120" w:line="240" w:lineRule="auto"/>
              <w:rPr>
                <w:rFonts w:cs="Arial"/>
                <w:sz w:val="22"/>
                <w:szCs w:val="22"/>
              </w:rPr>
            </w:pPr>
          </w:p>
        </w:tc>
      </w:tr>
      <w:tr w:rsidR="00642B26" w:rsidRPr="00D97BC5" w14:paraId="2959EF48" w14:textId="77777777" w:rsidTr="007170BA">
        <w:tc>
          <w:tcPr>
            <w:tcW w:w="2689" w:type="dxa"/>
          </w:tcPr>
          <w:p w14:paraId="7936BF56"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 xml:space="preserve">Risk rating (evaluated using the matrix at </w:t>
            </w:r>
            <w:r w:rsidRPr="00D97BC5">
              <w:rPr>
                <w:rFonts w:cs="Arial"/>
                <w:b/>
                <w:sz w:val="22"/>
                <w:szCs w:val="22"/>
                <w:u w:val="single"/>
              </w:rPr>
              <w:t>Attachment A</w:t>
            </w:r>
            <w:r w:rsidRPr="00D97BC5">
              <w:rPr>
                <w:rFonts w:cs="Arial"/>
                <w:b/>
                <w:sz w:val="22"/>
                <w:szCs w:val="22"/>
              </w:rPr>
              <w:t>)</w:t>
            </w:r>
          </w:p>
        </w:tc>
        <w:tc>
          <w:tcPr>
            <w:tcW w:w="6746" w:type="dxa"/>
            <w:gridSpan w:val="3"/>
          </w:tcPr>
          <w:tbl>
            <w:tblPr>
              <w:tblStyle w:val="TableGrid3"/>
              <w:tblW w:w="0" w:type="auto"/>
              <w:tblLook w:val="04A0" w:firstRow="1" w:lastRow="0" w:firstColumn="1" w:lastColumn="0" w:noHBand="0" w:noVBand="1"/>
            </w:tblPr>
            <w:tblGrid>
              <w:gridCol w:w="2173"/>
              <w:gridCol w:w="2173"/>
              <w:gridCol w:w="2174"/>
            </w:tblGrid>
            <w:tr w:rsidR="00642B26" w:rsidRPr="00D97BC5" w14:paraId="19410902" w14:textId="77777777" w:rsidTr="007170BA">
              <w:tc>
                <w:tcPr>
                  <w:tcW w:w="2173" w:type="dxa"/>
                </w:tcPr>
                <w:p w14:paraId="44574B51"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Likelihood</w:t>
                  </w:r>
                </w:p>
              </w:tc>
              <w:tc>
                <w:tcPr>
                  <w:tcW w:w="2173" w:type="dxa"/>
                </w:tcPr>
                <w:p w14:paraId="63F12CAE"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Consequence</w:t>
                  </w:r>
                </w:p>
              </w:tc>
              <w:tc>
                <w:tcPr>
                  <w:tcW w:w="2174" w:type="dxa"/>
                </w:tcPr>
                <w:p w14:paraId="364BE947"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Overall rating</w:t>
                  </w:r>
                </w:p>
              </w:tc>
            </w:tr>
            <w:tr w:rsidR="00642B26" w:rsidRPr="00D97BC5" w14:paraId="6DD3EAB4" w14:textId="77777777" w:rsidTr="007170BA">
              <w:tc>
                <w:tcPr>
                  <w:tcW w:w="2173" w:type="dxa"/>
                </w:tcPr>
                <w:p w14:paraId="6F035EC0" w14:textId="77777777" w:rsidR="00642B26" w:rsidRPr="00D97BC5" w:rsidRDefault="00642B26" w:rsidP="00680803">
                  <w:pPr>
                    <w:spacing w:before="120" w:after="120" w:line="240" w:lineRule="auto"/>
                    <w:rPr>
                      <w:rFonts w:cs="Arial"/>
                      <w:b/>
                      <w:sz w:val="22"/>
                      <w:szCs w:val="22"/>
                    </w:rPr>
                  </w:pPr>
                </w:p>
              </w:tc>
              <w:tc>
                <w:tcPr>
                  <w:tcW w:w="2173" w:type="dxa"/>
                </w:tcPr>
                <w:p w14:paraId="6F56E176" w14:textId="77777777" w:rsidR="00642B26" w:rsidRPr="00D97BC5" w:rsidRDefault="00642B26" w:rsidP="00680803">
                  <w:pPr>
                    <w:spacing w:before="120" w:after="120" w:line="240" w:lineRule="auto"/>
                    <w:rPr>
                      <w:rFonts w:cs="Arial"/>
                      <w:b/>
                      <w:sz w:val="22"/>
                      <w:szCs w:val="22"/>
                    </w:rPr>
                  </w:pPr>
                </w:p>
              </w:tc>
              <w:tc>
                <w:tcPr>
                  <w:tcW w:w="2174" w:type="dxa"/>
                </w:tcPr>
                <w:p w14:paraId="7314537D" w14:textId="77777777" w:rsidR="00642B26" w:rsidRPr="00D97BC5" w:rsidRDefault="00642B26" w:rsidP="00680803">
                  <w:pPr>
                    <w:spacing w:before="120" w:after="120" w:line="240" w:lineRule="auto"/>
                    <w:rPr>
                      <w:rFonts w:cs="Arial"/>
                      <w:b/>
                      <w:sz w:val="22"/>
                      <w:szCs w:val="22"/>
                    </w:rPr>
                  </w:pPr>
                </w:p>
              </w:tc>
            </w:tr>
          </w:tbl>
          <w:p w14:paraId="75DFE4D0" w14:textId="77777777" w:rsidR="00642B26" w:rsidRPr="00D97BC5" w:rsidRDefault="00642B26" w:rsidP="00680803">
            <w:pPr>
              <w:spacing w:before="120" w:after="120" w:line="240" w:lineRule="auto"/>
              <w:rPr>
                <w:rFonts w:cs="Arial"/>
                <w:sz w:val="22"/>
                <w:szCs w:val="22"/>
              </w:rPr>
            </w:pPr>
          </w:p>
        </w:tc>
      </w:tr>
      <w:tr w:rsidR="00642B26" w:rsidRPr="00D97BC5" w14:paraId="220DF1B1" w14:textId="77777777" w:rsidTr="007170BA">
        <w:tc>
          <w:tcPr>
            <w:tcW w:w="9435" w:type="dxa"/>
            <w:gridSpan w:val="4"/>
            <w:shd w:val="clear" w:color="auto" w:fill="D9D9D9" w:themeFill="background1" w:themeFillShade="D9"/>
          </w:tcPr>
          <w:p w14:paraId="7A3D7066"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Identified risk #3</w:t>
            </w:r>
          </w:p>
        </w:tc>
      </w:tr>
      <w:tr w:rsidR="00642B26" w:rsidRPr="00D97BC5" w14:paraId="0405D932" w14:textId="77777777" w:rsidTr="007170BA">
        <w:tc>
          <w:tcPr>
            <w:tcW w:w="2689" w:type="dxa"/>
          </w:tcPr>
          <w:p w14:paraId="0BFDD7DD"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associated with proposed change</w:t>
            </w:r>
          </w:p>
        </w:tc>
        <w:tc>
          <w:tcPr>
            <w:tcW w:w="6746" w:type="dxa"/>
            <w:gridSpan w:val="3"/>
          </w:tcPr>
          <w:p w14:paraId="244EF47B" w14:textId="77777777" w:rsidR="00642B26" w:rsidRPr="00D97BC5" w:rsidRDefault="00642B26" w:rsidP="00680803">
            <w:pPr>
              <w:spacing w:before="120" w:after="120" w:line="240" w:lineRule="auto"/>
              <w:rPr>
                <w:rFonts w:cs="Arial"/>
                <w:color w:val="auto"/>
                <w:sz w:val="22"/>
                <w:szCs w:val="22"/>
              </w:rPr>
            </w:pPr>
          </w:p>
        </w:tc>
      </w:tr>
      <w:tr w:rsidR="00642B26" w:rsidRPr="00D97BC5" w14:paraId="729CB5FA" w14:textId="77777777" w:rsidTr="007170BA">
        <w:tc>
          <w:tcPr>
            <w:tcW w:w="2689" w:type="dxa"/>
          </w:tcPr>
          <w:p w14:paraId="6F6A03B7"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category</w:t>
            </w:r>
          </w:p>
        </w:tc>
        <w:tc>
          <w:tcPr>
            <w:tcW w:w="6746" w:type="dxa"/>
            <w:gridSpan w:val="3"/>
          </w:tcPr>
          <w:p w14:paraId="511D784B" w14:textId="77777777" w:rsidR="00642B26" w:rsidRPr="00D97BC5" w:rsidRDefault="00642B26" w:rsidP="00680803">
            <w:pPr>
              <w:spacing w:before="120" w:after="120" w:line="240" w:lineRule="auto"/>
              <w:rPr>
                <w:rFonts w:cs="Arial"/>
                <w:color w:val="auto"/>
                <w:sz w:val="22"/>
                <w:szCs w:val="22"/>
              </w:rPr>
            </w:pPr>
            <w:r w:rsidRPr="00D97BC5">
              <w:rPr>
                <w:rFonts w:cs="Arial"/>
                <w:color w:val="auto"/>
                <w:sz w:val="22"/>
                <w:szCs w:val="22"/>
              </w:rPr>
              <w:t>For example, administrative risk or funding risk.</w:t>
            </w:r>
          </w:p>
        </w:tc>
      </w:tr>
      <w:tr w:rsidR="00642B26" w:rsidRPr="00D97BC5" w14:paraId="029A696E" w14:textId="77777777" w:rsidTr="007170BA">
        <w:tc>
          <w:tcPr>
            <w:tcW w:w="2689" w:type="dxa"/>
          </w:tcPr>
          <w:p w14:paraId="00FE24C5"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description</w:t>
            </w:r>
          </w:p>
        </w:tc>
        <w:tc>
          <w:tcPr>
            <w:tcW w:w="6746" w:type="dxa"/>
            <w:gridSpan w:val="3"/>
          </w:tcPr>
          <w:p w14:paraId="30D5513D" w14:textId="77777777" w:rsidR="00642B26" w:rsidRPr="00D97BC5" w:rsidRDefault="00642B26" w:rsidP="00680803">
            <w:pPr>
              <w:spacing w:before="120" w:after="120" w:line="240" w:lineRule="auto"/>
              <w:rPr>
                <w:rFonts w:cs="Arial"/>
                <w:color w:val="auto"/>
                <w:sz w:val="22"/>
                <w:szCs w:val="22"/>
              </w:rPr>
            </w:pPr>
          </w:p>
        </w:tc>
      </w:tr>
      <w:tr w:rsidR="00642B26" w:rsidRPr="00D97BC5" w14:paraId="11BF53AD" w14:textId="77777777" w:rsidTr="007170BA">
        <w:tc>
          <w:tcPr>
            <w:tcW w:w="2689" w:type="dxa"/>
          </w:tcPr>
          <w:p w14:paraId="78CB5EE3"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mitigation and/or management</w:t>
            </w:r>
          </w:p>
        </w:tc>
        <w:tc>
          <w:tcPr>
            <w:tcW w:w="6746" w:type="dxa"/>
            <w:gridSpan w:val="3"/>
          </w:tcPr>
          <w:p w14:paraId="2D041C52" w14:textId="77777777" w:rsidR="00642B26" w:rsidRPr="00D97BC5" w:rsidRDefault="00642B26" w:rsidP="00680803">
            <w:pPr>
              <w:spacing w:before="120" w:after="120" w:line="240" w:lineRule="auto"/>
              <w:rPr>
                <w:rFonts w:cs="Arial"/>
                <w:color w:val="auto"/>
                <w:sz w:val="22"/>
                <w:szCs w:val="22"/>
              </w:rPr>
            </w:pPr>
          </w:p>
        </w:tc>
      </w:tr>
      <w:tr w:rsidR="00642B26" w:rsidRPr="00D97BC5" w14:paraId="046815D5" w14:textId="77777777" w:rsidTr="007170BA">
        <w:tc>
          <w:tcPr>
            <w:tcW w:w="2689" w:type="dxa"/>
          </w:tcPr>
          <w:p w14:paraId="73F9DE2C"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 xml:space="preserve">Risk rating (evaluated using the matrix at </w:t>
            </w:r>
            <w:r w:rsidRPr="00D97BC5">
              <w:rPr>
                <w:rFonts w:cs="Arial"/>
                <w:b/>
                <w:color w:val="auto"/>
                <w:sz w:val="22"/>
                <w:szCs w:val="22"/>
                <w:u w:val="single"/>
              </w:rPr>
              <w:t>Attachment A</w:t>
            </w:r>
            <w:r w:rsidRPr="00D97BC5">
              <w:rPr>
                <w:rFonts w:cs="Arial"/>
                <w:b/>
                <w:color w:val="auto"/>
                <w:sz w:val="22"/>
                <w:szCs w:val="22"/>
              </w:rPr>
              <w:t>)</w:t>
            </w:r>
          </w:p>
        </w:tc>
        <w:tc>
          <w:tcPr>
            <w:tcW w:w="6746" w:type="dxa"/>
            <w:gridSpan w:val="3"/>
          </w:tcPr>
          <w:tbl>
            <w:tblPr>
              <w:tblStyle w:val="TableGrid3"/>
              <w:tblW w:w="0" w:type="auto"/>
              <w:tblLook w:val="04A0" w:firstRow="1" w:lastRow="0" w:firstColumn="1" w:lastColumn="0" w:noHBand="0" w:noVBand="1"/>
            </w:tblPr>
            <w:tblGrid>
              <w:gridCol w:w="2173"/>
              <w:gridCol w:w="2173"/>
              <w:gridCol w:w="2174"/>
            </w:tblGrid>
            <w:tr w:rsidR="00F06066" w:rsidRPr="00D97BC5" w14:paraId="7E396FE4" w14:textId="77777777" w:rsidTr="007170BA">
              <w:tc>
                <w:tcPr>
                  <w:tcW w:w="2173" w:type="dxa"/>
                </w:tcPr>
                <w:p w14:paraId="53CD4561"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Likelihood</w:t>
                  </w:r>
                </w:p>
              </w:tc>
              <w:tc>
                <w:tcPr>
                  <w:tcW w:w="2173" w:type="dxa"/>
                </w:tcPr>
                <w:p w14:paraId="04EB7CC6"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Consequence</w:t>
                  </w:r>
                </w:p>
              </w:tc>
              <w:tc>
                <w:tcPr>
                  <w:tcW w:w="2174" w:type="dxa"/>
                </w:tcPr>
                <w:p w14:paraId="591E65EF"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Overall rating</w:t>
                  </w:r>
                </w:p>
              </w:tc>
            </w:tr>
            <w:tr w:rsidR="00F06066" w:rsidRPr="00D97BC5" w14:paraId="78EF8FFC" w14:textId="77777777" w:rsidTr="007170BA">
              <w:tc>
                <w:tcPr>
                  <w:tcW w:w="2173" w:type="dxa"/>
                </w:tcPr>
                <w:p w14:paraId="7C867782" w14:textId="77777777" w:rsidR="00642B26" w:rsidRPr="00D97BC5" w:rsidRDefault="00642B26" w:rsidP="00680803">
                  <w:pPr>
                    <w:spacing w:before="120" w:after="120" w:line="240" w:lineRule="auto"/>
                    <w:rPr>
                      <w:rFonts w:cs="Arial"/>
                      <w:b/>
                      <w:color w:val="auto"/>
                      <w:sz w:val="22"/>
                      <w:szCs w:val="22"/>
                    </w:rPr>
                  </w:pPr>
                </w:p>
              </w:tc>
              <w:tc>
                <w:tcPr>
                  <w:tcW w:w="2173" w:type="dxa"/>
                </w:tcPr>
                <w:p w14:paraId="4DA3B5D4" w14:textId="77777777" w:rsidR="00642B26" w:rsidRPr="00D97BC5" w:rsidRDefault="00642B26" w:rsidP="00680803">
                  <w:pPr>
                    <w:spacing w:before="120" w:after="120" w:line="240" w:lineRule="auto"/>
                    <w:rPr>
                      <w:rFonts w:cs="Arial"/>
                      <w:b/>
                      <w:color w:val="auto"/>
                      <w:sz w:val="22"/>
                      <w:szCs w:val="22"/>
                    </w:rPr>
                  </w:pPr>
                </w:p>
              </w:tc>
              <w:tc>
                <w:tcPr>
                  <w:tcW w:w="2174" w:type="dxa"/>
                </w:tcPr>
                <w:p w14:paraId="1C836CBF" w14:textId="77777777" w:rsidR="00642B26" w:rsidRPr="00D97BC5" w:rsidRDefault="00642B26" w:rsidP="00680803">
                  <w:pPr>
                    <w:spacing w:before="120" w:after="120" w:line="240" w:lineRule="auto"/>
                    <w:rPr>
                      <w:rFonts w:cs="Arial"/>
                      <w:b/>
                      <w:color w:val="auto"/>
                      <w:sz w:val="22"/>
                      <w:szCs w:val="22"/>
                    </w:rPr>
                  </w:pPr>
                </w:p>
              </w:tc>
            </w:tr>
          </w:tbl>
          <w:p w14:paraId="1973A405" w14:textId="77777777" w:rsidR="00642B26" w:rsidRPr="00D97BC5" w:rsidRDefault="00642B26" w:rsidP="00680803">
            <w:pPr>
              <w:spacing w:before="120" w:after="120" w:line="240" w:lineRule="auto"/>
              <w:rPr>
                <w:rFonts w:cs="Arial"/>
                <w:color w:val="auto"/>
                <w:sz w:val="22"/>
                <w:szCs w:val="22"/>
              </w:rPr>
            </w:pPr>
          </w:p>
        </w:tc>
      </w:tr>
      <w:tr w:rsidR="00642B26" w:rsidRPr="00D97BC5" w14:paraId="1235E48D" w14:textId="77777777" w:rsidTr="007170BA">
        <w:tc>
          <w:tcPr>
            <w:tcW w:w="9435" w:type="dxa"/>
            <w:gridSpan w:val="4"/>
            <w:shd w:val="clear" w:color="auto" w:fill="D9D9D9" w:themeFill="background1" w:themeFillShade="D9"/>
          </w:tcPr>
          <w:p w14:paraId="281A40D5"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Risk assessment outcome (accept/decline)</w:t>
            </w:r>
          </w:p>
        </w:tc>
      </w:tr>
      <w:tr w:rsidR="00642B26" w:rsidRPr="00D97BC5" w14:paraId="347E7D4A" w14:textId="77777777" w:rsidTr="007170BA">
        <w:tc>
          <w:tcPr>
            <w:tcW w:w="9435" w:type="dxa"/>
            <w:gridSpan w:val="4"/>
          </w:tcPr>
          <w:p w14:paraId="388DBF67" w14:textId="77777777" w:rsidR="00642B26" w:rsidRPr="00D97BC5" w:rsidRDefault="00642B26" w:rsidP="00680803">
            <w:pPr>
              <w:spacing w:before="120" w:after="120" w:line="240" w:lineRule="auto"/>
              <w:rPr>
                <w:rFonts w:cs="Arial"/>
                <w:color w:val="auto"/>
                <w:sz w:val="22"/>
                <w:szCs w:val="22"/>
              </w:rPr>
            </w:pPr>
          </w:p>
          <w:p w14:paraId="665C74CD" w14:textId="77777777" w:rsidR="00642B26" w:rsidRPr="00D97BC5" w:rsidRDefault="00642B26" w:rsidP="00680803">
            <w:pPr>
              <w:spacing w:before="120" w:after="120" w:line="240" w:lineRule="auto"/>
              <w:rPr>
                <w:rFonts w:cs="Arial"/>
                <w:color w:val="auto"/>
                <w:sz w:val="22"/>
                <w:szCs w:val="22"/>
              </w:rPr>
            </w:pPr>
          </w:p>
          <w:p w14:paraId="30F4A584" w14:textId="77777777" w:rsidR="00680803" w:rsidRPr="00D97BC5" w:rsidRDefault="00680803" w:rsidP="00680803">
            <w:pPr>
              <w:spacing w:before="120" w:after="120" w:line="240" w:lineRule="auto"/>
              <w:rPr>
                <w:rFonts w:cs="Arial"/>
                <w:color w:val="auto"/>
                <w:sz w:val="22"/>
                <w:szCs w:val="22"/>
              </w:rPr>
            </w:pPr>
          </w:p>
        </w:tc>
      </w:tr>
      <w:tr w:rsidR="00642B26" w:rsidRPr="00D97BC5" w14:paraId="5B19F6A4" w14:textId="77777777" w:rsidTr="007170BA">
        <w:tc>
          <w:tcPr>
            <w:tcW w:w="9435" w:type="dxa"/>
            <w:gridSpan w:val="4"/>
            <w:shd w:val="clear" w:color="auto" w:fill="A6A6A6" w:themeFill="background1" w:themeFillShade="A6"/>
          </w:tcPr>
          <w:p w14:paraId="73994C88"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lastRenderedPageBreak/>
              <w:t>TRANSITION REQUIREMENTS</w:t>
            </w:r>
          </w:p>
        </w:tc>
      </w:tr>
      <w:tr w:rsidR="00642B26" w:rsidRPr="00D97BC5" w14:paraId="414E2045" w14:textId="77777777" w:rsidTr="007170BA">
        <w:tc>
          <w:tcPr>
            <w:tcW w:w="9435" w:type="dxa"/>
            <w:gridSpan w:val="4"/>
            <w:shd w:val="clear" w:color="auto" w:fill="D9D9D9" w:themeFill="background1" w:themeFillShade="D9"/>
          </w:tcPr>
          <w:p w14:paraId="0E17C786"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How long has the proposed change been in development?</w:t>
            </w:r>
          </w:p>
        </w:tc>
      </w:tr>
      <w:tr w:rsidR="00642B26" w:rsidRPr="00D97BC5" w14:paraId="06CDAEDF" w14:textId="77777777" w:rsidTr="007170BA">
        <w:tc>
          <w:tcPr>
            <w:tcW w:w="9435" w:type="dxa"/>
            <w:gridSpan w:val="4"/>
          </w:tcPr>
          <w:p w14:paraId="6D38C092" w14:textId="77777777" w:rsidR="00642B26" w:rsidRPr="00D97BC5" w:rsidRDefault="00642B26" w:rsidP="00680803">
            <w:pPr>
              <w:spacing w:before="120" w:after="120" w:line="240" w:lineRule="auto"/>
              <w:rPr>
                <w:rFonts w:cs="Arial"/>
                <w:color w:val="auto"/>
                <w:sz w:val="22"/>
                <w:szCs w:val="22"/>
              </w:rPr>
            </w:pPr>
          </w:p>
          <w:p w14:paraId="35408226" w14:textId="77777777" w:rsidR="00642B26" w:rsidRPr="00D97BC5" w:rsidRDefault="00642B26" w:rsidP="00680803">
            <w:pPr>
              <w:spacing w:before="120" w:after="120" w:line="240" w:lineRule="auto"/>
              <w:rPr>
                <w:rFonts w:cs="Arial"/>
                <w:color w:val="auto"/>
                <w:sz w:val="22"/>
                <w:szCs w:val="22"/>
              </w:rPr>
            </w:pPr>
          </w:p>
        </w:tc>
      </w:tr>
      <w:tr w:rsidR="00642B26" w:rsidRPr="00D97BC5" w14:paraId="53CCCDAA" w14:textId="77777777" w:rsidTr="007170BA">
        <w:tc>
          <w:tcPr>
            <w:tcW w:w="9435" w:type="dxa"/>
            <w:gridSpan w:val="4"/>
            <w:shd w:val="clear" w:color="auto" w:fill="D9D9D9" w:themeFill="background1" w:themeFillShade="D9"/>
          </w:tcPr>
          <w:p w14:paraId="1BBA43EE"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Has a costing study been undertaken?</w:t>
            </w:r>
          </w:p>
        </w:tc>
      </w:tr>
      <w:tr w:rsidR="00642B26" w:rsidRPr="00D97BC5" w14:paraId="18F84D3C" w14:textId="77777777" w:rsidTr="007170BA">
        <w:tc>
          <w:tcPr>
            <w:tcW w:w="9435" w:type="dxa"/>
            <w:gridSpan w:val="4"/>
          </w:tcPr>
          <w:p w14:paraId="72FAC22E" w14:textId="77777777" w:rsidR="00642B26" w:rsidRPr="00D97BC5" w:rsidRDefault="00642B26" w:rsidP="00680803">
            <w:pPr>
              <w:spacing w:before="120" w:after="120" w:line="240" w:lineRule="auto"/>
              <w:rPr>
                <w:rFonts w:cs="Arial"/>
                <w:color w:val="auto"/>
                <w:sz w:val="22"/>
                <w:szCs w:val="22"/>
              </w:rPr>
            </w:pPr>
          </w:p>
        </w:tc>
      </w:tr>
      <w:tr w:rsidR="00642B26" w:rsidRPr="00D97BC5" w14:paraId="08991647" w14:textId="77777777" w:rsidTr="007170BA">
        <w:tc>
          <w:tcPr>
            <w:tcW w:w="9435" w:type="dxa"/>
            <w:gridSpan w:val="4"/>
            <w:shd w:val="clear" w:color="auto" w:fill="D9D9D9" w:themeFill="background1" w:themeFillShade="D9"/>
          </w:tcPr>
          <w:p w14:paraId="08B7A747"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Shadow pricing arrangements</w:t>
            </w:r>
          </w:p>
        </w:tc>
      </w:tr>
      <w:tr w:rsidR="00642B26" w:rsidRPr="00D97BC5" w14:paraId="1666D517" w14:textId="77777777" w:rsidTr="007170BA">
        <w:tc>
          <w:tcPr>
            <w:tcW w:w="9435" w:type="dxa"/>
            <w:gridSpan w:val="4"/>
          </w:tcPr>
          <w:p w14:paraId="73F86035" w14:textId="77777777" w:rsidR="00642B26" w:rsidRPr="00D97BC5" w:rsidRDefault="00642B26" w:rsidP="00680803">
            <w:pPr>
              <w:spacing w:before="120" w:after="120" w:line="240" w:lineRule="auto"/>
              <w:rPr>
                <w:rFonts w:cs="Arial"/>
                <w:color w:val="auto"/>
                <w:sz w:val="22"/>
                <w:szCs w:val="22"/>
              </w:rPr>
            </w:pPr>
          </w:p>
          <w:p w14:paraId="1A8FB6DC" w14:textId="77777777" w:rsidR="00642B26" w:rsidRPr="00D97BC5" w:rsidRDefault="00642B26" w:rsidP="00680803">
            <w:pPr>
              <w:spacing w:before="120" w:after="120" w:line="240" w:lineRule="auto"/>
              <w:rPr>
                <w:rFonts w:cs="Arial"/>
                <w:color w:val="auto"/>
                <w:sz w:val="22"/>
                <w:szCs w:val="22"/>
              </w:rPr>
            </w:pPr>
          </w:p>
        </w:tc>
      </w:tr>
      <w:tr w:rsidR="00642B26" w:rsidRPr="00D97BC5" w14:paraId="433B82E7" w14:textId="77777777" w:rsidTr="007170BA">
        <w:tc>
          <w:tcPr>
            <w:tcW w:w="9435" w:type="dxa"/>
            <w:gridSpan w:val="4"/>
            <w:shd w:val="clear" w:color="auto" w:fill="A6A6A6" w:themeFill="background1" w:themeFillShade="A6"/>
          </w:tcPr>
          <w:p w14:paraId="02098B8E"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BACK-CASTING REQUIREMENTS</w:t>
            </w:r>
          </w:p>
        </w:tc>
      </w:tr>
      <w:tr w:rsidR="00642B26" w:rsidRPr="00D97BC5" w14:paraId="3F0A198A" w14:textId="77777777" w:rsidTr="007170BA">
        <w:tc>
          <w:tcPr>
            <w:tcW w:w="9435" w:type="dxa"/>
            <w:gridSpan w:val="4"/>
            <w:shd w:val="clear" w:color="auto" w:fill="D9D9D9" w:themeFill="background1" w:themeFillShade="D9"/>
          </w:tcPr>
          <w:p w14:paraId="5D19BA3A"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Is back-casting required for the proposed change?</w:t>
            </w:r>
          </w:p>
        </w:tc>
      </w:tr>
      <w:tr w:rsidR="00642B26" w:rsidRPr="00D97BC5" w14:paraId="0893A7BD" w14:textId="77777777" w:rsidTr="007170BA">
        <w:tc>
          <w:tcPr>
            <w:tcW w:w="9435" w:type="dxa"/>
            <w:gridSpan w:val="4"/>
          </w:tcPr>
          <w:p w14:paraId="01828E24" w14:textId="77777777" w:rsidR="00642B26" w:rsidRPr="00D97BC5" w:rsidRDefault="00642B26" w:rsidP="00680803">
            <w:pPr>
              <w:spacing w:before="120" w:after="120" w:line="240" w:lineRule="auto"/>
              <w:rPr>
                <w:rFonts w:cs="Arial"/>
                <w:color w:val="auto"/>
                <w:sz w:val="22"/>
                <w:szCs w:val="22"/>
              </w:rPr>
            </w:pPr>
          </w:p>
        </w:tc>
      </w:tr>
      <w:tr w:rsidR="00642B26" w:rsidRPr="00D97BC5" w14:paraId="6891D7D1" w14:textId="77777777" w:rsidTr="007170BA">
        <w:tc>
          <w:tcPr>
            <w:tcW w:w="9435" w:type="dxa"/>
            <w:gridSpan w:val="4"/>
            <w:shd w:val="clear" w:color="auto" w:fill="A6A6A6" w:themeFill="background1" w:themeFillShade="A6"/>
          </w:tcPr>
          <w:p w14:paraId="2396BB08"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INPUT FROM THE ADMINISTRATOR</w:t>
            </w:r>
          </w:p>
        </w:tc>
      </w:tr>
      <w:tr w:rsidR="00642B26" w:rsidRPr="00D97BC5" w14:paraId="38ECE24E" w14:textId="77777777" w:rsidTr="007170BA">
        <w:tc>
          <w:tcPr>
            <w:tcW w:w="9435" w:type="dxa"/>
            <w:gridSpan w:val="4"/>
            <w:shd w:val="clear" w:color="auto" w:fill="D9D9D9" w:themeFill="background1" w:themeFillShade="D9"/>
          </w:tcPr>
          <w:p w14:paraId="3E114E12"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Has input been sought from the Administrator?</w:t>
            </w:r>
          </w:p>
        </w:tc>
      </w:tr>
      <w:tr w:rsidR="00642B26" w:rsidRPr="00D97BC5" w14:paraId="480C7E25" w14:textId="77777777" w:rsidTr="007170BA">
        <w:tc>
          <w:tcPr>
            <w:tcW w:w="9435" w:type="dxa"/>
            <w:gridSpan w:val="4"/>
          </w:tcPr>
          <w:p w14:paraId="72B29509" w14:textId="77777777" w:rsidR="00642B26" w:rsidRPr="00D97BC5" w:rsidRDefault="00642B26" w:rsidP="00680803">
            <w:pPr>
              <w:spacing w:before="120" w:after="120" w:line="240" w:lineRule="auto"/>
              <w:rPr>
                <w:rFonts w:cs="Arial"/>
                <w:color w:val="auto"/>
                <w:sz w:val="22"/>
                <w:szCs w:val="22"/>
              </w:rPr>
            </w:pPr>
          </w:p>
        </w:tc>
      </w:tr>
      <w:tr w:rsidR="00642B26" w:rsidRPr="00D97BC5" w14:paraId="76CD4F84" w14:textId="77777777" w:rsidTr="007170BA">
        <w:tc>
          <w:tcPr>
            <w:tcW w:w="9435" w:type="dxa"/>
            <w:gridSpan w:val="4"/>
            <w:shd w:val="clear" w:color="auto" w:fill="D9D9D9" w:themeFill="background1" w:themeFillShade="D9"/>
          </w:tcPr>
          <w:p w14:paraId="22501F4B"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Advice from the Administrator</w:t>
            </w:r>
          </w:p>
        </w:tc>
      </w:tr>
      <w:tr w:rsidR="00642B26" w:rsidRPr="00D97BC5" w14:paraId="0DADE150" w14:textId="77777777" w:rsidTr="007170BA">
        <w:tc>
          <w:tcPr>
            <w:tcW w:w="9435" w:type="dxa"/>
            <w:gridSpan w:val="4"/>
          </w:tcPr>
          <w:p w14:paraId="3D7081E6" w14:textId="77777777" w:rsidR="00642B26" w:rsidRPr="00D97BC5" w:rsidRDefault="00642B26" w:rsidP="00680803">
            <w:pPr>
              <w:spacing w:before="120" w:after="120" w:line="240" w:lineRule="auto"/>
              <w:rPr>
                <w:rFonts w:cs="Arial"/>
                <w:color w:val="auto"/>
                <w:sz w:val="22"/>
                <w:szCs w:val="22"/>
              </w:rPr>
            </w:pPr>
          </w:p>
          <w:p w14:paraId="203433A4" w14:textId="77777777" w:rsidR="00642B26" w:rsidRPr="00D97BC5" w:rsidRDefault="00642B26" w:rsidP="00680803">
            <w:pPr>
              <w:spacing w:before="120" w:after="120" w:line="240" w:lineRule="auto"/>
              <w:rPr>
                <w:rFonts w:cs="Arial"/>
                <w:color w:val="auto"/>
                <w:sz w:val="22"/>
                <w:szCs w:val="22"/>
              </w:rPr>
            </w:pPr>
          </w:p>
        </w:tc>
      </w:tr>
      <w:tr w:rsidR="00642B26" w:rsidRPr="00D97BC5" w14:paraId="1B8DF9C5" w14:textId="77777777" w:rsidTr="007170BA">
        <w:tc>
          <w:tcPr>
            <w:tcW w:w="9435" w:type="dxa"/>
            <w:gridSpan w:val="4"/>
            <w:shd w:val="clear" w:color="auto" w:fill="A6A6A6" w:themeFill="background1" w:themeFillShade="A6"/>
          </w:tcPr>
          <w:p w14:paraId="62A97F85"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ASSESSMENT AGAINST CONSULTATION THRESHOLDS</w:t>
            </w:r>
          </w:p>
        </w:tc>
      </w:tr>
      <w:tr w:rsidR="00642B26" w:rsidRPr="00D97BC5" w14:paraId="7E526F61" w14:textId="77777777" w:rsidTr="007170BA">
        <w:tc>
          <w:tcPr>
            <w:tcW w:w="4188" w:type="dxa"/>
            <w:gridSpan w:val="2"/>
            <w:shd w:val="clear" w:color="auto" w:fill="D9D9D9" w:themeFill="background1" w:themeFillShade="D9"/>
          </w:tcPr>
          <w:p w14:paraId="30B3B5FC"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Consultation threshold</w:t>
            </w:r>
          </w:p>
        </w:tc>
        <w:tc>
          <w:tcPr>
            <w:tcW w:w="583" w:type="dxa"/>
            <w:shd w:val="clear" w:color="auto" w:fill="D9D9D9" w:themeFill="background1" w:themeFillShade="D9"/>
          </w:tcPr>
          <w:p w14:paraId="79595FF5"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Y/N</w:t>
            </w:r>
          </w:p>
        </w:tc>
        <w:tc>
          <w:tcPr>
            <w:tcW w:w="4664" w:type="dxa"/>
            <w:shd w:val="clear" w:color="auto" w:fill="D9D9D9" w:themeFill="background1" w:themeFillShade="D9"/>
          </w:tcPr>
          <w:p w14:paraId="74C32AEB"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Comments</w:t>
            </w:r>
          </w:p>
        </w:tc>
      </w:tr>
      <w:tr w:rsidR="00642B26" w:rsidRPr="00D97BC5" w14:paraId="2094049F" w14:textId="77777777" w:rsidTr="007170BA">
        <w:tc>
          <w:tcPr>
            <w:tcW w:w="4188" w:type="dxa"/>
            <w:gridSpan w:val="2"/>
          </w:tcPr>
          <w:p w14:paraId="3B87DFBD" w14:textId="6AE30A73"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Pricing impact on funding projected to be more than 0.5</w:t>
            </w:r>
            <w:r w:rsidR="000A4AD4" w:rsidRPr="00D97BC5">
              <w:rPr>
                <w:rFonts w:cs="Arial"/>
                <w:b/>
                <w:color w:val="auto"/>
                <w:sz w:val="22"/>
                <w:szCs w:val="22"/>
              </w:rPr>
              <w:t>%</w:t>
            </w:r>
            <w:r w:rsidRPr="00D97BC5">
              <w:rPr>
                <w:rFonts w:cs="Arial"/>
                <w:b/>
                <w:color w:val="auto"/>
                <w:sz w:val="22"/>
                <w:szCs w:val="22"/>
              </w:rPr>
              <w:t xml:space="preserve"> at a national level</w:t>
            </w:r>
          </w:p>
        </w:tc>
        <w:tc>
          <w:tcPr>
            <w:tcW w:w="583" w:type="dxa"/>
          </w:tcPr>
          <w:p w14:paraId="669F271B" w14:textId="77777777" w:rsidR="00642B26" w:rsidRPr="00D97BC5" w:rsidRDefault="00642B26" w:rsidP="00680803">
            <w:pPr>
              <w:spacing w:before="120" w:after="120" w:line="240" w:lineRule="auto"/>
              <w:rPr>
                <w:rFonts w:cs="Arial"/>
                <w:color w:val="auto"/>
                <w:sz w:val="22"/>
                <w:szCs w:val="22"/>
              </w:rPr>
            </w:pPr>
          </w:p>
        </w:tc>
        <w:tc>
          <w:tcPr>
            <w:tcW w:w="4664" w:type="dxa"/>
          </w:tcPr>
          <w:p w14:paraId="02AC21A9" w14:textId="77777777" w:rsidR="00642B26" w:rsidRPr="00D97BC5" w:rsidRDefault="00642B26" w:rsidP="00680803">
            <w:pPr>
              <w:spacing w:before="120" w:after="120" w:line="240" w:lineRule="auto"/>
              <w:rPr>
                <w:rFonts w:cs="Arial"/>
                <w:color w:val="auto"/>
                <w:sz w:val="22"/>
                <w:szCs w:val="22"/>
              </w:rPr>
            </w:pPr>
          </w:p>
        </w:tc>
      </w:tr>
      <w:tr w:rsidR="00642B26" w:rsidRPr="00D97BC5" w14:paraId="1AD396E2" w14:textId="77777777" w:rsidTr="007170BA">
        <w:tc>
          <w:tcPr>
            <w:tcW w:w="4188" w:type="dxa"/>
            <w:gridSpan w:val="2"/>
          </w:tcPr>
          <w:p w14:paraId="69821264" w14:textId="295988D5" w:rsidR="00642B26" w:rsidRPr="00D97BC5" w:rsidRDefault="00642B26" w:rsidP="00680803">
            <w:pPr>
              <w:spacing w:before="120" w:after="120" w:line="240" w:lineRule="auto"/>
              <w:rPr>
                <w:rFonts w:cs="Arial"/>
                <w:b/>
                <w:sz w:val="22"/>
                <w:szCs w:val="22"/>
              </w:rPr>
            </w:pPr>
            <w:r w:rsidRPr="00D97BC5">
              <w:rPr>
                <w:rFonts w:cs="Arial"/>
                <w:b/>
                <w:sz w:val="22"/>
                <w:szCs w:val="22"/>
              </w:rPr>
              <w:t>Pricing impact on funding projected to be more than 2</w:t>
            </w:r>
            <w:r w:rsidR="000A4AD4" w:rsidRPr="00D97BC5">
              <w:rPr>
                <w:rFonts w:cs="Arial"/>
                <w:b/>
                <w:sz w:val="22"/>
                <w:szCs w:val="22"/>
              </w:rPr>
              <w:t>%</w:t>
            </w:r>
            <w:r w:rsidRPr="00D97BC5">
              <w:rPr>
                <w:rFonts w:cs="Arial"/>
                <w:b/>
                <w:sz w:val="22"/>
                <w:szCs w:val="22"/>
              </w:rPr>
              <w:t xml:space="preserve"> on any one jurisdiction</w:t>
            </w:r>
          </w:p>
        </w:tc>
        <w:tc>
          <w:tcPr>
            <w:tcW w:w="583" w:type="dxa"/>
          </w:tcPr>
          <w:p w14:paraId="3E0873E0" w14:textId="77777777" w:rsidR="00642B26" w:rsidRPr="00D97BC5" w:rsidRDefault="00642B26" w:rsidP="00680803">
            <w:pPr>
              <w:spacing w:before="120" w:after="120" w:line="240" w:lineRule="auto"/>
              <w:rPr>
                <w:rFonts w:cs="Arial"/>
                <w:sz w:val="22"/>
                <w:szCs w:val="22"/>
              </w:rPr>
            </w:pPr>
          </w:p>
        </w:tc>
        <w:tc>
          <w:tcPr>
            <w:tcW w:w="4664" w:type="dxa"/>
          </w:tcPr>
          <w:p w14:paraId="65522147" w14:textId="77777777" w:rsidR="00642B26" w:rsidRPr="00D97BC5" w:rsidRDefault="00642B26" w:rsidP="00680803">
            <w:pPr>
              <w:spacing w:before="120" w:after="120" w:line="240" w:lineRule="auto"/>
              <w:rPr>
                <w:rFonts w:cs="Arial"/>
                <w:sz w:val="22"/>
                <w:szCs w:val="22"/>
              </w:rPr>
            </w:pPr>
          </w:p>
        </w:tc>
      </w:tr>
      <w:tr w:rsidR="00642B26" w:rsidRPr="00D97BC5" w14:paraId="356FC511" w14:textId="77777777" w:rsidTr="007170BA">
        <w:tc>
          <w:tcPr>
            <w:tcW w:w="4188" w:type="dxa"/>
            <w:gridSpan w:val="2"/>
          </w:tcPr>
          <w:p w14:paraId="425019C5"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Major change in costing methodology</w:t>
            </w:r>
          </w:p>
        </w:tc>
        <w:tc>
          <w:tcPr>
            <w:tcW w:w="583" w:type="dxa"/>
          </w:tcPr>
          <w:p w14:paraId="15F960DA" w14:textId="77777777" w:rsidR="00642B26" w:rsidRPr="00D97BC5" w:rsidRDefault="00642B26" w:rsidP="00680803">
            <w:pPr>
              <w:spacing w:before="120" w:after="120" w:line="240" w:lineRule="auto"/>
              <w:rPr>
                <w:rFonts w:cs="Arial"/>
                <w:sz w:val="22"/>
                <w:szCs w:val="22"/>
              </w:rPr>
            </w:pPr>
          </w:p>
        </w:tc>
        <w:tc>
          <w:tcPr>
            <w:tcW w:w="4664" w:type="dxa"/>
          </w:tcPr>
          <w:p w14:paraId="1B054D36" w14:textId="77777777" w:rsidR="00642B26" w:rsidRPr="00D97BC5" w:rsidRDefault="00642B26" w:rsidP="00680803">
            <w:pPr>
              <w:spacing w:before="120" w:after="120" w:line="240" w:lineRule="auto"/>
              <w:rPr>
                <w:rFonts w:cs="Arial"/>
                <w:sz w:val="22"/>
                <w:szCs w:val="22"/>
              </w:rPr>
            </w:pPr>
          </w:p>
        </w:tc>
      </w:tr>
      <w:tr w:rsidR="00642B26" w:rsidRPr="00D97BC5" w14:paraId="5DA3FE16" w14:textId="77777777" w:rsidTr="007170BA">
        <w:tc>
          <w:tcPr>
            <w:tcW w:w="4188" w:type="dxa"/>
            <w:gridSpan w:val="2"/>
          </w:tcPr>
          <w:p w14:paraId="1BE7FCB6"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New classification</w:t>
            </w:r>
          </w:p>
        </w:tc>
        <w:tc>
          <w:tcPr>
            <w:tcW w:w="583" w:type="dxa"/>
          </w:tcPr>
          <w:p w14:paraId="2DD69C4C" w14:textId="77777777" w:rsidR="00642B26" w:rsidRPr="00D97BC5" w:rsidRDefault="00642B26" w:rsidP="00680803">
            <w:pPr>
              <w:spacing w:before="120" w:after="120" w:line="240" w:lineRule="auto"/>
              <w:rPr>
                <w:rFonts w:cs="Arial"/>
                <w:sz w:val="22"/>
                <w:szCs w:val="22"/>
              </w:rPr>
            </w:pPr>
          </w:p>
        </w:tc>
        <w:tc>
          <w:tcPr>
            <w:tcW w:w="4664" w:type="dxa"/>
          </w:tcPr>
          <w:p w14:paraId="1D36E2B5" w14:textId="77777777" w:rsidR="00642B26" w:rsidRPr="00D97BC5" w:rsidRDefault="00642B26" w:rsidP="00680803">
            <w:pPr>
              <w:spacing w:before="120" w:after="120" w:line="240" w:lineRule="auto"/>
              <w:rPr>
                <w:rFonts w:cs="Arial"/>
                <w:sz w:val="22"/>
                <w:szCs w:val="22"/>
              </w:rPr>
            </w:pPr>
          </w:p>
        </w:tc>
      </w:tr>
      <w:tr w:rsidR="00642B26" w:rsidRPr="00D97BC5" w14:paraId="27DEC2B5" w14:textId="77777777" w:rsidTr="007170BA">
        <w:tc>
          <w:tcPr>
            <w:tcW w:w="4188" w:type="dxa"/>
            <w:gridSpan w:val="2"/>
          </w:tcPr>
          <w:p w14:paraId="77578501"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Major structural change to new versions of an existing classification</w:t>
            </w:r>
          </w:p>
        </w:tc>
        <w:tc>
          <w:tcPr>
            <w:tcW w:w="583" w:type="dxa"/>
          </w:tcPr>
          <w:p w14:paraId="73967098" w14:textId="77777777" w:rsidR="00642B26" w:rsidRPr="00D97BC5" w:rsidRDefault="00642B26" w:rsidP="00680803">
            <w:pPr>
              <w:spacing w:before="120" w:after="120" w:line="240" w:lineRule="auto"/>
              <w:rPr>
                <w:rFonts w:cs="Arial"/>
                <w:sz w:val="22"/>
                <w:szCs w:val="22"/>
              </w:rPr>
            </w:pPr>
          </w:p>
        </w:tc>
        <w:tc>
          <w:tcPr>
            <w:tcW w:w="4664" w:type="dxa"/>
          </w:tcPr>
          <w:p w14:paraId="6D6A7386" w14:textId="77777777" w:rsidR="00642B26" w:rsidRPr="00D97BC5" w:rsidRDefault="00642B26" w:rsidP="00680803">
            <w:pPr>
              <w:spacing w:before="120" w:after="120" w:line="240" w:lineRule="auto"/>
              <w:rPr>
                <w:rFonts w:cs="Arial"/>
                <w:sz w:val="22"/>
                <w:szCs w:val="22"/>
              </w:rPr>
            </w:pPr>
          </w:p>
        </w:tc>
      </w:tr>
      <w:tr w:rsidR="00642B26" w:rsidRPr="00D97BC5" w14:paraId="452F646D" w14:textId="77777777" w:rsidTr="007170BA">
        <w:tc>
          <w:tcPr>
            <w:tcW w:w="4188" w:type="dxa"/>
            <w:gridSpan w:val="2"/>
          </w:tcPr>
          <w:p w14:paraId="27E06A4E"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lastRenderedPageBreak/>
              <w:t>Intended retrospective adjustments to the national funding model prior to the current pricing year</w:t>
            </w:r>
          </w:p>
        </w:tc>
        <w:tc>
          <w:tcPr>
            <w:tcW w:w="583" w:type="dxa"/>
          </w:tcPr>
          <w:p w14:paraId="675AEFED" w14:textId="77777777" w:rsidR="00642B26" w:rsidRPr="00D97BC5" w:rsidRDefault="00642B26" w:rsidP="00680803">
            <w:pPr>
              <w:spacing w:before="120" w:after="120" w:line="240" w:lineRule="auto"/>
              <w:rPr>
                <w:rFonts w:cs="Arial"/>
                <w:sz w:val="22"/>
                <w:szCs w:val="22"/>
              </w:rPr>
            </w:pPr>
          </w:p>
        </w:tc>
        <w:tc>
          <w:tcPr>
            <w:tcW w:w="4664" w:type="dxa"/>
          </w:tcPr>
          <w:p w14:paraId="26B33CC7" w14:textId="77777777" w:rsidR="00642B26" w:rsidRPr="00D97BC5" w:rsidRDefault="00642B26" w:rsidP="00680803">
            <w:pPr>
              <w:spacing w:before="120" w:after="120" w:line="240" w:lineRule="auto"/>
              <w:rPr>
                <w:rFonts w:cs="Arial"/>
                <w:sz w:val="22"/>
                <w:szCs w:val="22"/>
              </w:rPr>
            </w:pPr>
          </w:p>
        </w:tc>
      </w:tr>
      <w:tr w:rsidR="00642B26" w:rsidRPr="00D97BC5" w14:paraId="2B6DCE69" w14:textId="77777777" w:rsidTr="007170BA">
        <w:tc>
          <w:tcPr>
            <w:tcW w:w="4188" w:type="dxa"/>
            <w:gridSpan w:val="2"/>
          </w:tcPr>
          <w:p w14:paraId="462C8409" w14:textId="77777777" w:rsidR="00642B26" w:rsidRPr="00D97BC5" w:rsidRDefault="00642B26" w:rsidP="00680803">
            <w:pPr>
              <w:spacing w:before="120" w:after="120" w:line="240" w:lineRule="auto"/>
              <w:rPr>
                <w:rFonts w:cs="Arial"/>
                <w:b/>
                <w:sz w:val="22"/>
                <w:szCs w:val="22"/>
              </w:rPr>
            </w:pPr>
            <w:r w:rsidRPr="00D97BC5">
              <w:rPr>
                <w:rFonts w:cs="Arial"/>
                <w:b/>
                <w:sz w:val="22"/>
                <w:szCs w:val="22"/>
              </w:rPr>
              <w:t>Change to the national funding model proposed to be made that will impact a state or territory funding cycle mid</w:t>
            </w:r>
            <w:r w:rsidRPr="00D97BC5">
              <w:rPr>
                <w:rFonts w:cs="Arial"/>
                <w:b/>
                <w:sz w:val="22"/>
                <w:szCs w:val="22"/>
              </w:rPr>
              <w:noBreakHyphen/>
              <w:t>year</w:t>
            </w:r>
          </w:p>
        </w:tc>
        <w:tc>
          <w:tcPr>
            <w:tcW w:w="583" w:type="dxa"/>
          </w:tcPr>
          <w:p w14:paraId="34D23053" w14:textId="77777777" w:rsidR="00642B26" w:rsidRPr="00D97BC5" w:rsidRDefault="00642B26" w:rsidP="00680803">
            <w:pPr>
              <w:spacing w:before="120" w:after="120" w:line="240" w:lineRule="auto"/>
              <w:rPr>
                <w:rFonts w:cs="Arial"/>
                <w:sz w:val="22"/>
                <w:szCs w:val="22"/>
              </w:rPr>
            </w:pPr>
          </w:p>
        </w:tc>
        <w:tc>
          <w:tcPr>
            <w:tcW w:w="4664" w:type="dxa"/>
          </w:tcPr>
          <w:p w14:paraId="7E94BEEF" w14:textId="77777777" w:rsidR="00642B26" w:rsidRPr="00D97BC5" w:rsidRDefault="00642B26" w:rsidP="00680803">
            <w:pPr>
              <w:spacing w:before="120" w:after="120" w:line="240" w:lineRule="auto"/>
              <w:rPr>
                <w:rFonts w:cs="Arial"/>
                <w:sz w:val="22"/>
                <w:szCs w:val="22"/>
              </w:rPr>
            </w:pPr>
          </w:p>
        </w:tc>
      </w:tr>
      <w:tr w:rsidR="00642B26" w:rsidRPr="00D97BC5" w14:paraId="58A3ECFA" w14:textId="77777777" w:rsidTr="007170BA">
        <w:tc>
          <w:tcPr>
            <w:tcW w:w="4188" w:type="dxa"/>
            <w:gridSpan w:val="2"/>
          </w:tcPr>
          <w:p w14:paraId="2E946817" w14:textId="4689A3B1" w:rsidR="00642B26" w:rsidRPr="00D97BC5" w:rsidRDefault="00642B26" w:rsidP="00680803">
            <w:pPr>
              <w:spacing w:before="120" w:after="120" w:line="240" w:lineRule="auto"/>
              <w:rPr>
                <w:rFonts w:cs="Arial"/>
                <w:b/>
                <w:sz w:val="22"/>
                <w:szCs w:val="22"/>
              </w:rPr>
            </w:pPr>
            <w:r w:rsidRPr="00D97BC5">
              <w:rPr>
                <w:rFonts w:cs="Arial"/>
                <w:b/>
                <w:sz w:val="22"/>
                <w:szCs w:val="22"/>
              </w:rPr>
              <w:t xml:space="preserve">Request from Commonwealth or at least </w:t>
            </w:r>
            <w:r w:rsidR="00626CBA" w:rsidRPr="00D97BC5">
              <w:rPr>
                <w:rFonts w:cs="Arial"/>
                <w:b/>
                <w:sz w:val="22"/>
                <w:szCs w:val="22"/>
              </w:rPr>
              <w:t xml:space="preserve">2 </w:t>
            </w:r>
            <w:r w:rsidRPr="00D97BC5">
              <w:rPr>
                <w:rFonts w:cs="Arial"/>
                <w:b/>
                <w:sz w:val="22"/>
                <w:szCs w:val="22"/>
              </w:rPr>
              <w:t xml:space="preserve">states or territories for </w:t>
            </w:r>
            <w:r w:rsidR="00062756" w:rsidRPr="00D97BC5">
              <w:rPr>
                <w:rFonts w:cs="Arial"/>
                <w:b/>
                <w:sz w:val="22"/>
                <w:szCs w:val="22"/>
              </w:rPr>
              <w:t xml:space="preserve">additional </w:t>
            </w:r>
            <w:r w:rsidRPr="00D97BC5">
              <w:rPr>
                <w:rFonts w:cs="Arial"/>
                <w:b/>
                <w:sz w:val="22"/>
                <w:szCs w:val="22"/>
              </w:rPr>
              <w:t>guidance to be sought</w:t>
            </w:r>
          </w:p>
        </w:tc>
        <w:tc>
          <w:tcPr>
            <w:tcW w:w="583" w:type="dxa"/>
          </w:tcPr>
          <w:p w14:paraId="0E69FAF2" w14:textId="77777777" w:rsidR="00642B26" w:rsidRPr="00D97BC5" w:rsidRDefault="00642B26" w:rsidP="00680803">
            <w:pPr>
              <w:spacing w:before="120" w:after="120" w:line="240" w:lineRule="auto"/>
              <w:rPr>
                <w:rFonts w:cs="Arial"/>
                <w:sz w:val="22"/>
                <w:szCs w:val="22"/>
              </w:rPr>
            </w:pPr>
          </w:p>
        </w:tc>
        <w:tc>
          <w:tcPr>
            <w:tcW w:w="4664" w:type="dxa"/>
          </w:tcPr>
          <w:p w14:paraId="12CCDF6C" w14:textId="77777777" w:rsidR="00642B26" w:rsidRPr="00D97BC5" w:rsidRDefault="00642B26" w:rsidP="00680803">
            <w:pPr>
              <w:spacing w:before="120" w:after="120" w:line="240" w:lineRule="auto"/>
              <w:rPr>
                <w:rFonts w:cs="Arial"/>
                <w:sz w:val="22"/>
                <w:szCs w:val="22"/>
              </w:rPr>
            </w:pPr>
          </w:p>
        </w:tc>
      </w:tr>
      <w:tr w:rsidR="00642B26" w:rsidRPr="00D97BC5" w14:paraId="2893662B" w14:textId="77777777" w:rsidTr="007170BA">
        <w:tc>
          <w:tcPr>
            <w:tcW w:w="9435" w:type="dxa"/>
            <w:gridSpan w:val="4"/>
            <w:shd w:val="clear" w:color="auto" w:fill="A6A6A6" w:themeFill="background1" w:themeFillShade="A6"/>
          </w:tcPr>
          <w:p w14:paraId="23C71C3F"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CONSULTATION PATHWAY</w:t>
            </w:r>
          </w:p>
        </w:tc>
      </w:tr>
      <w:tr w:rsidR="00642B26" w:rsidRPr="00D97BC5" w14:paraId="1440AD14" w14:textId="77777777" w:rsidTr="007170BA">
        <w:tc>
          <w:tcPr>
            <w:tcW w:w="9435" w:type="dxa"/>
            <w:gridSpan w:val="4"/>
            <w:shd w:val="clear" w:color="auto" w:fill="D9D9D9" w:themeFill="background1" w:themeFillShade="D9"/>
          </w:tcPr>
          <w:p w14:paraId="39C34BD3"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Does the proposed change trigger one or more of the consultation thresholds?</w:t>
            </w:r>
          </w:p>
        </w:tc>
      </w:tr>
      <w:tr w:rsidR="00642B26" w:rsidRPr="00D97BC5" w14:paraId="2535B4E1" w14:textId="77777777" w:rsidTr="007170BA">
        <w:tc>
          <w:tcPr>
            <w:tcW w:w="9435" w:type="dxa"/>
            <w:gridSpan w:val="4"/>
          </w:tcPr>
          <w:p w14:paraId="103CA06D" w14:textId="77777777" w:rsidR="00642B26" w:rsidRPr="00D97BC5" w:rsidRDefault="00642B26" w:rsidP="00680803">
            <w:pPr>
              <w:spacing w:before="120" w:after="120" w:line="240" w:lineRule="auto"/>
              <w:rPr>
                <w:rFonts w:cs="Arial"/>
                <w:color w:val="auto"/>
                <w:sz w:val="22"/>
                <w:szCs w:val="22"/>
              </w:rPr>
            </w:pPr>
          </w:p>
          <w:p w14:paraId="00E32601" w14:textId="77777777" w:rsidR="00642B26" w:rsidRPr="00D97BC5" w:rsidRDefault="00642B26" w:rsidP="00680803">
            <w:pPr>
              <w:spacing w:before="120" w:after="120" w:line="240" w:lineRule="auto"/>
              <w:rPr>
                <w:rFonts w:cs="Arial"/>
                <w:color w:val="auto"/>
                <w:sz w:val="22"/>
                <w:szCs w:val="22"/>
              </w:rPr>
            </w:pPr>
          </w:p>
        </w:tc>
      </w:tr>
      <w:tr w:rsidR="00642B26" w:rsidRPr="00D97BC5" w14:paraId="0A24142A" w14:textId="77777777" w:rsidTr="007170BA">
        <w:tc>
          <w:tcPr>
            <w:tcW w:w="9435" w:type="dxa"/>
            <w:gridSpan w:val="4"/>
            <w:shd w:val="clear" w:color="auto" w:fill="D9D9D9" w:themeFill="background1" w:themeFillShade="D9"/>
          </w:tcPr>
          <w:p w14:paraId="1868DE47"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Is additional consultation required?</w:t>
            </w:r>
          </w:p>
        </w:tc>
      </w:tr>
      <w:tr w:rsidR="00642B26" w:rsidRPr="00D97BC5" w14:paraId="522FCBE4" w14:textId="77777777" w:rsidTr="007170BA">
        <w:tc>
          <w:tcPr>
            <w:tcW w:w="9435" w:type="dxa"/>
            <w:gridSpan w:val="4"/>
          </w:tcPr>
          <w:p w14:paraId="25263A3B" w14:textId="77777777" w:rsidR="00642B26" w:rsidRPr="00D97BC5" w:rsidRDefault="00642B26" w:rsidP="00680803">
            <w:pPr>
              <w:spacing w:before="120" w:after="120" w:line="240" w:lineRule="auto"/>
              <w:rPr>
                <w:rFonts w:cs="Arial"/>
                <w:color w:val="auto"/>
                <w:sz w:val="22"/>
                <w:szCs w:val="22"/>
              </w:rPr>
            </w:pPr>
          </w:p>
          <w:p w14:paraId="4694B6A6" w14:textId="77777777" w:rsidR="00642B26" w:rsidRPr="00D97BC5" w:rsidRDefault="00642B26" w:rsidP="00680803">
            <w:pPr>
              <w:spacing w:before="120" w:after="120" w:line="240" w:lineRule="auto"/>
              <w:rPr>
                <w:rFonts w:cs="Arial"/>
                <w:color w:val="auto"/>
                <w:sz w:val="22"/>
                <w:szCs w:val="22"/>
              </w:rPr>
            </w:pPr>
          </w:p>
        </w:tc>
      </w:tr>
      <w:tr w:rsidR="00642B26" w:rsidRPr="00D97BC5" w14:paraId="2217EE3A" w14:textId="77777777" w:rsidTr="007170BA">
        <w:tc>
          <w:tcPr>
            <w:tcW w:w="9435" w:type="dxa"/>
            <w:gridSpan w:val="4"/>
            <w:shd w:val="clear" w:color="auto" w:fill="D9D9D9" w:themeFill="background1" w:themeFillShade="D9"/>
          </w:tcPr>
          <w:p w14:paraId="0EADDA39" w14:textId="77777777" w:rsidR="00642B26" w:rsidRPr="00D97BC5" w:rsidRDefault="00642B26" w:rsidP="00680803">
            <w:pPr>
              <w:spacing w:before="120" w:after="120" w:line="240" w:lineRule="auto"/>
              <w:rPr>
                <w:rFonts w:cs="Arial"/>
                <w:b/>
                <w:color w:val="auto"/>
                <w:sz w:val="22"/>
                <w:szCs w:val="22"/>
              </w:rPr>
            </w:pPr>
            <w:r w:rsidRPr="00D97BC5">
              <w:rPr>
                <w:rFonts w:cs="Arial"/>
                <w:b/>
                <w:color w:val="auto"/>
                <w:sz w:val="22"/>
                <w:szCs w:val="22"/>
              </w:rPr>
              <w:t>Feedback from jurisdictions</w:t>
            </w:r>
          </w:p>
          <w:p w14:paraId="3E9981DE" w14:textId="5C339F11" w:rsidR="00642B26" w:rsidRPr="00D97BC5" w:rsidRDefault="00642B26" w:rsidP="00680803">
            <w:pPr>
              <w:pStyle w:val="ListParagraph"/>
              <w:numPr>
                <w:ilvl w:val="0"/>
                <w:numId w:val="12"/>
              </w:numPr>
              <w:spacing w:before="120" w:after="120" w:line="240" w:lineRule="auto"/>
              <w:ind w:left="447"/>
              <w:contextualSpacing w:val="0"/>
              <w:rPr>
                <w:rFonts w:cs="Arial"/>
                <w:color w:val="auto"/>
                <w:sz w:val="22"/>
                <w:szCs w:val="22"/>
              </w:rPr>
            </w:pPr>
            <w:r w:rsidRPr="00D97BC5">
              <w:rPr>
                <w:rFonts w:cs="Arial"/>
                <w:color w:val="auto"/>
                <w:sz w:val="22"/>
                <w:szCs w:val="22"/>
              </w:rPr>
              <w:t xml:space="preserve">Feedback on the Statement of Impact received through </w:t>
            </w:r>
            <w:r w:rsidR="00D97BC5">
              <w:rPr>
                <w:rFonts w:cs="Arial"/>
                <w:color w:val="auto"/>
                <w:sz w:val="22"/>
                <w:szCs w:val="22"/>
              </w:rPr>
              <w:t xml:space="preserve">TAC and </w:t>
            </w:r>
            <w:r w:rsidRPr="00D97BC5">
              <w:rPr>
                <w:rFonts w:cs="Arial"/>
                <w:color w:val="auto"/>
                <w:sz w:val="22"/>
                <w:szCs w:val="22"/>
              </w:rPr>
              <w:t>JAC, and assessment of whether the proposed change requires additional consultation</w:t>
            </w:r>
          </w:p>
        </w:tc>
      </w:tr>
      <w:tr w:rsidR="00642B26" w:rsidRPr="00D97BC5" w14:paraId="27184C31" w14:textId="77777777" w:rsidTr="007170BA">
        <w:tc>
          <w:tcPr>
            <w:tcW w:w="9435" w:type="dxa"/>
            <w:gridSpan w:val="4"/>
          </w:tcPr>
          <w:p w14:paraId="0B1AF2FA" w14:textId="77777777" w:rsidR="00642B26" w:rsidRPr="00D97BC5" w:rsidRDefault="00642B26" w:rsidP="00680803">
            <w:pPr>
              <w:spacing w:before="120" w:after="120" w:line="240" w:lineRule="auto"/>
              <w:rPr>
                <w:rFonts w:cs="Arial"/>
                <w:sz w:val="22"/>
                <w:szCs w:val="22"/>
              </w:rPr>
            </w:pPr>
          </w:p>
          <w:p w14:paraId="23E8145F" w14:textId="77777777" w:rsidR="00642B26" w:rsidRPr="00D97BC5" w:rsidRDefault="00642B26" w:rsidP="00680803">
            <w:pPr>
              <w:spacing w:before="120" w:after="120" w:line="240" w:lineRule="auto"/>
              <w:rPr>
                <w:rFonts w:cs="Arial"/>
                <w:sz w:val="22"/>
                <w:szCs w:val="22"/>
              </w:rPr>
            </w:pPr>
          </w:p>
          <w:p w14:paraId="19625928" w14:textId="77777777" w:rsidR="00642B26" w:rsidRPr="00D97BC5" w:rsidRDefault="00642B26" w:rsidP="00680803">
            <w:pPr>
              <w:spacing w:before="120" w:after="120" w:line="240" w:lineRule="auto"/>
              <w:rPr>
                <w:rFonts w:cs="Arial"/>
                <w:sz w:val="22"/>
                <w:szCs w:val="22"/>
              </w:rPr>
            </w:pPr>
          </w:p>
          <w:p w14:paraId="6D03026F" w14:textId="77777777" w:rsidR="00642B26" w:rsidRPr="00D97BC5" w:rsidRDefault="00642B26" w:rsidP="00680803">
            <w:pPr>
              <w:spacing w:before="120" w:after="120" w:line="240" w:lineRule="auto"/>
              <w:rPr>
                <w:rFonts w:cs="Arial"/>
                <w:sz w:val="22"/>
                <w:szCs w:val="22"/>
              </w:rPr>
            </w:pPr>
          </w:p>
          <w:p w14:paraId="2781514A" w14:textId="77777777" w:rsidR="00642B26" w:rsidRPr="00D97BC5" w:rsidRDefault="00642B26" w:rsidP="00680803">
            <w:pPr>
              <w:spacing w:before="120" w:after="120" w:line="240" w:lineRule="auto"/>
              <w:rPr>
                <w:rFonts w:cs="Arial"/>
                <w:sz w:val="22"/>
                <w:szCs w:val="22"/>
              </w:rPr>
            </w:pPr>
          </w:p>
        </w:tc>
      </w:tr>
    </w:tbl>
    <w:p w14:paraId="0D4ED6AF" w14:textId="77777777" w:rsidR="00642B26" w:rsidRPr="00D97BC5" w:rsidRDefault="00642B26" w:rsidP="00101439">
      <w:pPr>
        <w:rPr>
          <w:rFonts w:cs="Arial"/>
          <w:b/>
          <w:bCs/>
          <w:lang w:val="en-AU"/>
        </w:rPr>
      </w:pPr>
    </w:p>
    <w:p w14:paraId="31E6B32D" w14:textId="681DCD38" w:rsidR="00642B26" w:rsidRPr="00D97BC5" w:rsidRDefault="00642B26">
      <w:pPr>
        <w:spacing w:line="259" w:lineRule="auto"/>
        <w:rPr>
          <w:rFonts w:cs="Arial"/>
          <w:lang w:val="en-AU"/>
        </w:rPr>
      </w:pPr>
      <w:r w:rsidRPr="00D97BC5">
        <w:rPr>
          <w:rFonts w:cs="Arial"/>
          <w:lang w:val="en-AU"/>
        </w:rPr>
        <w:br w:type="page"/>
      </w:r>
    </w:p>
    <w:p w14:paraId="727ED666" w14:textId="77777777" w:rsidR="00642B26" w:rsidRPr="00D97BC5" w:rsidRDefault="00642B26" w:rsidP="00680803">
      <w:pPr>
        <w:spacing w:before="120" w:after="120" w:line="240" w:lineRule="auto"/>
        <w:jc w:val="right"/>
        <w:rPr>
          <w:rFonts w:cs="Arial"/>
          <w:b/>
          <w:lang w:val="en-AU"/>
        </w:rPr>
      </w:pPr>
      <w:r w:rsidRPr="00D97BC5">
        <w:rPr>
          <w:rFonts w:cs="Arial"/>
          <w:b/>
          <w:lang w:val="en-AU"/>
        </w:rPr>
        <w:lastRenderedPageBreak/>
        <w:t>Attachment A</w:t>
      </w:r>
    </w:p>
    <w:p w14:paraId="4AB7185C" w14:textId="4D9906D0" w:rsidR="002134DF" w:rsidRPr="00D97BC5" w:rsidRDefault="00642B26" w:rsidP="00680803">
      <w:pPr>
        <w:spacing w:before="120" w:after="120" w:line="240" w:lineRule="auto"/>
        <w:rPr>
          <w:rFonts w:cs="Arial"/>
          <w:b/>
          <w:lang w:val="en-AU"/>
        </w:rPr>
      </w:pPr>
      <w:r w:rsidRPr="00D97BC5">
        <w:rPr>
          <w:rFonts w:cs="Arial"/>
          <w:b/>
          <w:lang w:val="en-AU"/>
        </w:rPr>
        <w:t>Risk assessment matrix and assessment</w:t>
      </w:r>
      <w:r w:rsidR="0098237C" w:rsidRPr="00D97BC5">
        <w:rPr>
          <w:rFonts w:cs="Arial"/>
          <w:b/>
          <w:lang w:val="en-AU"/>
        </w:rPr>
        <w:t xml:space="preserve"> criteria</w:t>
      </w:r>
    </w:p>
    <w:tbl>
      <w:tblPr>
        <w:tblStyle w:val="TableGrid4"/>
        <w:tblW w:w="9776" w:type="dxa"/>
        <w:tblLook w:val="04A0" w:firstRow="1" w:lastRow="0" w:firstColumn="1" w:lastColumn="0" w:noHBand="0" w:noVBand="1"/>
      </w:tblPr>
      <w:tblGrid>
        <w:gridCol w:w="1659"/>
        <w:gridCol w:w="1431"/>
        <w:gridCol w:w="1671"/>
        <w:gridCol w:w="1672"/>
        <w:gridCol w:w="1671"/>
        <w:gridCol w:w="1672"/>
      </w:tblGrid>
      <w:tr w:rsidR="00642B26" w:rsidRPr="00D97BC5" w14:paraId="2C961596" w14:textId="77777777" w:rsidTr="009E233B">
        <w:tc>
          <w:tcPr>
            <w:tcW w:w="3090" w:type="dxa"/>
            <w:gridSpan w:val="2"/>
            <w:vMerge w:val="restart"/>
            <w:vAlign w:val="center"/>
          </w:tcPr>
          <w:p w14:paraId="29B63692" w14:textId="2D55F5D2" w:rsidR="00642B26" w:rsidRPr="00D97BC5" w:rsidRDefault="00642B26" w:rsidP="00680803">
            <w:pPr>
              <w:spacing w:before="120" w:after="120" w:line="240" w:lineRule="auto"/>
              <w:rPr>
                <w:rFonts w:cs="Arial"/>
                <w:color w:val="auto"/>
                <w:sz w:val="22"/>
                <w:szCs w:val="22"/>
              </w:rPr>
            </w:pPr>
            <w:r w:rsidRPr="00D97BC5">
              <w:rPr>
                <w:rFonts w:cs="Arial"/>
                <w:b/>
                <w:color w:val="auto"/>
                <w:sz w:val="22"/>
                <w:szCs w:val="22"/>
              </w:rPr>
              <w:t>Risk assessment matrix</w:t>
            </w:r>
          </w:p>
        </w:tc>
        <w:tc>
          <w:tcPr>
            <w:tcW w:w="6686" w:type="dxa"/>
            <w:gridSpan w:val="4"/>
            <w:vAlign w:val="center"/>
          </w:tcPr>
          <w:p w14:paraId="4E584D30" w14:textId="6D054F23" w:rsidR="00642B26" w:rsidRPr="00D97BC5" w:rsidRDefault="00642B26" w:rsidP="00680803">
            <w:pPr>
              <w:spacing w:before="120" w:after="120" w:line="240" w:lineRule="auto"/>
              <w:jc w:val="center"/>
              <w:rPr>
                <w:rFonts w:cs="Arial"/>
                <w:b/>
                <w:color w:val="auto"/>
                <w:sz w:val="22"/>
                <w:szCs w:val="22"/>
              </w:rPr>
            </w:pPr>
            <w:r w:rsidRPr="00D97BC5">
              <w:rPr>
                <w:rFonts w:cs="Arial"/>
                <w:b/>
                <w:color w:val="auto"/>
                <w:sz w:val="22"/>
                <w:szCs w:val="22"/>
              </w:rPr>
              <w:t>Likelihood</w:t>
            </w:r>
          </w:p>
        </w:tc>
      </w:tr>
      <w:tr w:rsidR="00642B26" w:rsidRPr="00D97BC5" w14:paraId="468F86DC" w14:textId="77777777" w:rsidTr="009E233B">
        <w:tc>
          <w:tcPr>
            <w:tcW w:w="3090" w:type="dxa"/>
            <w:gridSpan w:val="2"/>
            <w:vMerge/>
            <w:vAlign w:val="center"/>
          </w:tcPr>
          <w:p w14:paraId="14C6EB98" w14:textId="77777777" w:rsidR="00642B26" w:rsidRPr="00D97BC5" w:rsidRDefault="00642B26" w:rsidP="00680803">
            <w:pPr>
              <w:spacing w:before="120" w:after="120" w:line="240" w:lineRule="auto"/>
              <w:jc w:val="center"/>
              <w:rPr>
                <w:rFonts w:cs="Arial"/>
                <w:color w:val="auto"/>
                <w:sz w:val="22"/>
                <w:szCs w:val="22"/>
              </w:rPr>
            </w:pPr>
          </w:p>
        </w:tc>
        <w:tc>
          <w:tcPr>
            <w:tcW w:w="1671" w:type="dxa"/>
            <w:vAlign w:val="center"/>
          </w:tcPr>
          <w:p w14:paraId="2E48E05D" w14:textId="70D6E515"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Rare</w:t>
            </w:r>
          </w:p>
        </w:tc>
        <w:tc>
          <w:tcPr>
            <w:tcW w:w="1672" w:type="dxa"/>
            <w:vAlign w:val="center"/>
          </w:tcPr>
          <w:p w14:paraId="3CD427D4" w14:textId="1FFDACF4"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Unlikely</w:t>
            </w:r>
          </w:p>
        </w:tc>
        <w:tc>
          <w:tcPr>
            <w:tcW w:w="1671" w:type="dxa"/>
            <w:vAlign w:val="center"/>
          </w:tcPr>
          <w:p w14:paraId="3208B3E7" w14:textId="67DAC885"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Likely</w:t>
            </w:r>
          </w:p>
        </w:tc>
        <w:tc>
          <w:tcPr>
            <w:tcW w:w="1672" w:type="dxa"/>
            <w:vAlign w:val="center"/>
          </w:tcPr>
          <w:p w14:paraId="12EA6E20" w14:textId="2E5244C4"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Almost Certain</w:t>
            </w:r>
          </w:p>
        </w:tc>
      </w:tr>
      <w:tr w:rsidR="00642B26" w:rsidRPr="00D97BC5" w14:paraId="1D5AE551" w14:textId="77777777" w:rsidTr="0055441E">
        <w:tc>
          <w:tcPr>
            <w:tcW w:w="1659" w:type="dxa"/>
            <w:vMerge w:val="restart"/>
            <w:vAlign w:val="center"/>
          </w:tcPr>
          <w:p w14:paraId="0B357978" w14:textId="1264D932" w:rsidR="00642B26" w:rsidRPr="00D97BC5" w:rsidRDefault="00642B26" w:rsidP="00680803">
            <w:pPr>
              <w:spacing w:before="120" w:after="120" w:line="240" w:lineRule="auto"/>
              <w:jc w:val="center"/>
              <w:rPr>
                <w:rFonts w:cs="Arial"/>
                <w:b/>
                <w:color w:val="auto"/>
                <w:sz w:val="22"/>
                <w:szCs w:val="22"/>
              </w:rPr>
            </w:pPr>
            <w:r w:rsidRPr="00D97BC5">
              <w:rPr>
                <w:rFonts w:cs="Arial"/>
                <w:b/>
                <w:color w:val="auto"/>
                <w:sz w:val="22"/>
                <w:szCs w:val="22"/>
              </w:rPr>
              <w:t>Consequence</w:t>
            </w:r>
          </w:p>
        </w:tc>
        <w:tc>
          <w:tcPr>
            <w:tcW w:w="1431" w:type="dxa"/>
            <w:vAlign w:val="center"/>
          </w:tcPr>
          <w:p w14:paraId="1D81B861" w14:textId="39BCD3E0"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Severe</w:t>
            </w:r>
          </w:p>
        </w:tc>
        <w:tc>
          <w:tcPr>
            <w:tcW w:w="1671" w:type="dxa"/>
            <w:shd w:val="clear" w:color="auto" w:fill="FFFF00"/>
            <w:vAlign w:val="center"/>
          </w:tcPr>
          <w:p w14:paraId="148B152B"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Medium</w:t>
            </w:r>
          </w:p>
        </w:tc>
        <w:tc>
          <w:tcPr>
            <w:tcW w:w="1672" w:type="dxa"/>
            <w:shd w:val="clear" w:color="auto" w:fill="FFC000"/>
            <w:vAlign w:val="center"/>
          </w:tcPr>
          <w:p w14:paraId="36B7C161"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High</w:t>
            </w:r>
          </w:p>
        </w:tc>
        <w:tc>
          <w:tcPr>
            <w:tcW w:w="1671" w:type="dxa"/>
            <w:shd w:val="clear" w:color="auto" w:fill="FF0000"/>
            <w:vAlign w:val="center"/>
          </w:tcPr>
          <w:p w14:paraId="428266E7"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Extreme</w:t>
            </w:r>
          </w:p>
        </w:tc>
        <w:tc>
          <w:tcPr>
            <w:tcW w:w="1672" w:type="dxa"/>
            <w:shd w:val="clear" w:color="auto" w:fill="FF0000"/>
            <w:vAlign w:val="center"/>
          </w:tcPr>
          <w:p w14:paraId="1FB27C65"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Extreme</w:t>
            </w:r>
          </w:p>
        </w:tc>
      </w:tr>
      <w:tr w:rsidR="00642B26" w:rsidRPr="00D97BC5" w14:paraId="17425EB5" w14:textId="77777777" w:rsidTr="0055441E">
        <w:tc>
          <w:tcPr>
            <w:tcW w:w="1659" w:type="dxa"/>
            <w:vMerge/>
            <w:vAlign w:val="center"/>
          </w:tcPr>
          <w:p w14:paraId="431C17DD" w14:textId="77777777" w:rsidR="00642B26" w:rsidRPr="00D97BC5" w:rsidRDefault="00642B26" w:rsidP="00680803">
            <w:pPr>
              <w:spacing w:before="120" w:after="120" w:line="240" w:lineRule="auto"/>
              <w:jc w:val="center"/>
              <w:rPr>
                <w:rFonts w:cs="Arial"/>
                <w:color w:val="auto"/>
                <w:sz w:val="22"/>
                <w:szCs w:val="22"/>
              </w:rPr>
            </w:pPr>
          </w:p>
        </w:tc>
        <w:tc>
          <w:tcPr>
            <w:tcW w:w="1431" w:type="dxa"/>
            <w:vAlign w:val="center"/>
          </w:tcPr>
          <w:p w14:paraId="27CC3F0C" w14:textId="07922F3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Major</w:t>
            </w:r>
          </w:p>
        </w:tc>
        <w:tc>
          <w:tcPr>
            <w:tcW w:w="1671" w:type="dxa"/>
            <w:shd w:val="clear" w:color="auto" w:fill="FFFF00"/>
            <w:vAlign w:val="center"/>
          </w:tcPr>
          <w:p w14:paraId="619B66F4"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Medium</w:t>
            </w:r>
          </w:p>
        </w:tc>
        <w:tc>
          <w:tcPr>
            <w:tcW w:w="1672" w:type="dxa"/>
            <w:shd w:val="clear" w:color="auto" w:fill="FFC000"/>
            <w:vAlign w:val="center"/>
          </w:tcPr>
          <w:p w14:paraId="21C9964E"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High</w:t>
            </w:r>
          </w:p>
        </w:tc>
        <w:tc>
          <w:tcPr>
            <w:tcW w:w="1671" w:type="dxa"/>
            <w:shd w:val="clear" w:color="auto" w:fill="FFC000"/>
            <w:vAlign w:val="center"/>
          </w:tcPr>
          <w:p w14:paraId="4D97E4E2"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High</w:t>
            </w:r>
          </w:p>
        </w:tc>
        <w:tc>
          <w:tcPr>
            <w:tcW w:w="1672" w:type="dxa"/>
            <w:shd w:val="clear" w:color="auto" w:fill="FF0000"/>
            <w:vAlign w:val="center"/>
          </w:tcPr>
          <w:p w14:paraId="573494EE"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Extreme</w:t>
            </w:r>
          </w:p>
        </w:tc>
      </w:tr>
      <w:tr w:rsidR="00642B26" w:rsidRPr="00D97BC5" w14:paraId="5D81B699" w14:textId="77777777" w:rsidTr="0055441E">
        <w:tc>
          <w:tcPr>
            <w:tcW w:w="1659" w:type="dxa"/>
            <w:vMerge/>
            <w:vAlign w:val="center"/>
          </w:tcPr>
          <w:p w14:paraId="6837FCF9" w14:textId="77777777" w:rsidR="00642B26" w:rsidRPr="00D97BC5" w:rsidRDefault="00642B26" w:rsidP="00680803">
            <w:pPr>
              <w:spacing w:before="120" w:after="120" w:line="240" w:lineRule="auto"/>
              <w:jc w:val="center"/>
              <w:rPr>
                <w:rFonts w:cs="Arial"/>
                <w:color w:val="auto"/>
                <w:sz w:val="22"/>
                <w:szCs w:val="22"/>
              </w:rPr>
            </w:pPr>
          </w:p>
        </w:tc>
        <w:tc>
          <w:tcPr>
            <w:tcW w:w="1431" w:type="dxa"/>
            <w:vAlign w:val="center"/>
          </w:tcPr>
          <w:p w14:paraId="46F0D7A4" w14:textId="34F685E3"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Moderate</w:t>
            </w:r>
          </w:p>
        </w:tc>
        <w:tc>
          <w:tcPr>
            <w:tcW w:w="1671" w:type="dxa"/>
            <w:shd w:val="clear" w:color="auto" w:fill="92D050"/>
            <w:vAlign w:val="center"/>
          </w:tcPr>
          <w:p w14:paraId="208D79BC"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Low</w:t>
            </w:r>
          </w:p>
        </w:tc>
        <w:tc>
          <w:tcPr>
            <w:tcW w:w="1672" w:type="dxa"/>
            <w:shd w:val="clear" w:color="auto" w:fill="FFFF00"/>
            <w:vAlign w:val="center"/>
          </w:tcPr>
          <w:p w14:paraId="6E83DBE3"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Medium</w:t>
            </w:r>
          </w:p>
        </w:tc>
        <w:tc>
          <w:tcPr>
            <w:tcW w:w="1671" w:type="dxa"/>
            <w:shd w:val="clear" w:color="auto" w:fill="FFC000"/>
            <w:vAlign w:val="center"/>
          </w:tcPr>
          <w:p w14:paraId="53979551"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High</w:t>
            </w:r>
          </w:p>
        </w:tc>
        <w:tc>
          <w:tcPr>
            <w:tcW w:w="1672" w:type="dxa"/>
            <w:shd w:val="clear" w:color="auto" w:fill="FFC000"/>
            <w:vAlign w:val="center"/>
          </w:tcPr>
          <w:p w14:paraId="79481605"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High</w:t>
            </w:r>
          </w:p>
        </w:tc>
      </w:tr>
      <w:tr w:rsidR="00642B26" w:rsidRPr="00D97BC5" w14:paraId="57A86F6D" w14:textId="77777777" w:rsidTr="0055441E">
        <w:tc>
          <w:tcPr>
            <w:tcW w:w="1659" w:type="dxa"/>
            <w:vMerge/>
            <w:vAlign w:val="center"/>
          </w:tcPr>
          <w:p w14:paraId="5447044A" w14:textId="77777777" w:rsidR="00642B26" w:rsidRPr="00D97BC5" w:rsidRDefault="00642B26" w:rsidP="00680803">
            <w:pPr>
              <w:spacing w:before="120" w:after="120" w:line="240" w:lineRule="auto"/>
              <w:jc w:val="center"/>
              <w:rPr>
                <w:rFonts w:cs="Arial"/>
                <w:color w:val="auto"/>
                <w:sz w:val="22"/>
                <w:szCs w:val="22"/>
              </w:rPr>
            </w:pPr>
          </w:p>
        </w:tc>
        <w:tc>
          <w:tcPr>
            <w:tcW w:w="1431" w:type="dxa"/>
            <w:vAlign w:val="center"/>
          </w:tcPr>
          <w:p w14:paraId="437C7CA0" w14:textId="7C165EF1"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Minor</w:t>
            </w:r>
          </w:p>
        </w:tc>
        <w:tc>
          <w:tcPr>
            <w:tcW w:w="1671" w:type="dxa"/>
            <w:shd w:val="clear" w:color="auto" w:fill="92D050"/>
            <w:vAlign w:val="center"/>
          </w:tcPr>
          <w:p w14:paraId="19C5D5A0"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Low</w:t>
            </w:r>
          </w:p>
        </w:tc>
        <w:tc>
          <w:tcPr>
            <w:tcW w:w="1672" w:type="dxa"/>
            <w:shd w:val="clear" w:color="auto" w:fill="92D050"/>
            <w:vAlign w:val="center"/>
          </w:tcPr>
          <w:p w14:paraId="55A12A40"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Low</w:t>
            </w:r>
          </w:p>
        </w:tc>
        <w:tc>
          <w:tcPr>
            <w:tcW w:w="1671" w:type="dxa"/>
            <w:shd w:val="clear" w:color="auto" w:fill="FFFF00"/>
            <w:vAlign w:val="center"/>
          </w:tcPr>
          <w:p w14:paraId="22DEABE6"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Medium</w:t>
            </w:r>
          </w:p>
        </w:tc>
        <w:tc>
          <w:tcPr>
            <w:tcW w:w="1672" w:type="dxa"/>
            <w:shd w:val="clear" w:color="auto" w:fill="FFFF00"/>
            <w:vAlign w:val="center"/>
          </w:tcPr>
          <w:p w14:paraId="53755771" w14:textId="77777777" w:rsidR="00642B26" w:rsidRPr="00D97BC5" w:rsidRDefault="00642B26" w:rsidP="00680803">
            <w:pPr>
              <w:spacing w:before="120" w:after="120" w:line="240" w:lineRule="auto"/>
              <w:jc w:val="center"/>
              <w:rPr>
                <w:rFonts w:cs="Arial"/>
                <w:color w:val="auto"/>
                <w:sz w:val="22"/>
                <w:szCs w:val="22"/>
              </w:rPr>
            </w:pPr>
            <w:r w:rsidRPr="00D97BC5">
              <w:rPr>
                <w:rFonts w:cs="Arial"/>
                <w:color w:val="auto"/>
                <w:sz w:val="22"/>
                <w:szCs w:val="22"/>
              </w:rPr>
              <w:t>Medium</w:t>
            </w:r>
          </w:p>
        </w:tc>
      </w:tr>
    </w:tbl>
    <w:p w14:paraId="14F14D4F" w14:textId="258FF7D7" w:rsidR="00642B26" w:rsidRPr="00D97BC5" w:rsidRDefault="00642B26" w:rsidP="00680803">
      <w:pPr>
        <w:spacing w:before="200" w:after="120" w:line="240" w:lineRule="auto"/>
        <w:rPr>
          <w:rFonts w:cs="Arial"/>
          <w:lang w:val="en-AU"/>
        </w:rPr>
      </w:pPr>
      <w:r w:rsidRPr="00D97BC5">
        <w:rPr>
          <w:rFonts w:cs="Arial"/>
          <w:b/>
          <w:lang w:val="en-AU"/>
        </w:rPr>
        <w:t>Assessment criteria: likelihood of risk occurrence</w:t>
      </w:r>
    </w:p>
    <w:tbl>
      <w:tblPr>
        <w:tblStyle w:val="TableGrid"/>
        <w:tblW w:w="9776" w:type="dxa"/>
        <w:tblLook w:val="04A0" w:firstRow="1" w:lastRow="0" w:firstColumn="1" w:lastColumn="0" w:noHBand="0" w:noVBand="1"/>
      </w:tblPr>
      <w:tblGrid>
        <w:gridCol w:w="1980"/>
        <w:gridCol w:w="7796"/>
      </w:tblGrid>
      <w:tr w:rsidR="00845A00" w:rsidRPr="00D97BC5" w14:paraId="485703F1" w14:textId="77777777" w:rsidTr="009E233B">
        <w:tc>
          <w:tcPr>
            <w:tcW w:w="1980" w:type="dxa"/>
          </w:tcPr>
          <w:p w14:paraId="1735992D" w14:textId="77777777" w:rsidR="00845A00" w:rsidRPr="00D97BC5" w:rsidRDefault="00845A00" w:rsidP="00680803">
            <w:pPr>
              <w:spacing w:before="120" w:after="120" w:line="240" w:lineRule="auto"/>
              <w:rPr>
                <w:rFonts w:cs="Arial"/>
                <w:b/>
                <w:lang w:val="en-AU"/>
              </w:rPr>
            </w:pPr>
            <w:r w:rsidRPr="00D97BC5">
              <w:rPr>
                <w:rFonts w:cs="Arial"/>
                <w:b/>
                <w:lang w:val="en-AU"/>
              </w:rPr>
              <w:t>Likelihood</w:t>
            </w:r>
          </w:p>
        </w:tc>
        <w:tc>
          <w:tcPr>
            <w:tcW w:w="7796" w:type="dxa"/>
          </w:tcPr>
          <w:p w14:paraId="7E42161B" w14:textId="77777777" w:rsidR="00845A00" w:rsidRPr="00D97BC5" w:rsidRDefault="00845A00" w:rsidP="00680803">
            <w:pPr>
              <w:spacing w:before="120" w:after="120" w:line="240" w:lineRule="auto"/>
              <w:rPr>
                <w:rFonts w:cs="Arial"/>
                <w:b/>
                <w:lang w:val="en-AU"/>
              </w:rPr>
            </w:pPr>
            <w:r w:rsidRPr="00D97BC5">
              <w:rPr>
                <w:rFonts w:cs="Arial"/>
                <w:b/>
                <w:lang w:val="en-AU"/>
              </w:rPr>
              <w:t>Description of likelihood</w:t>
            </w:r>
          </w:p>
        </w:tc>
      </w:tr>
      <w:tr w:rsidR="00845A00" w:rsidRPr="00D97BC5" w14:paraId="75933903" w14:textId="77777777" w:rsidTr="009E233B">
        <w:tc>
          <w:tcPr>
            <w:tcW w:w="1980" w:type="dxa"/>
          </w:tcPr>
          <w:p w14:paraId="4D3F1163" w14:textId="77777777" w:rsidR="00845A00" w:rsidRPr="00D97BC5" w:rsidRDefault="00845A00" w:rsidP="00680803">
            <w:pPr>
              <w:spacing w:before="120" w:after="120" w:line="240" w:lineRule="auto"/>
              <w:rPr>
                <w:rFonts w:cs="Arial"/>
                <w:lang w:val="en-AU"/>
              </w:rPr>
            </w:pPr>
            <w:r w:rsidRPr="00D97BC5">
              <w:rPr>
                <w:rFonts w:cs="Arial"/>
                <w:lang w:val="en-AU"/>
              </w:rPr>
              <w:t>Rare</w:t>
            </w:r>
          </w:p>
        </w:tc>
        <w:tc>
          <w:tcPr>
            <w:tcW w:w="7796" w:type="dxa"/>
          </w:tcPr>
          <w:p w14:paraId="078ADED5" w14:textId="77777777" w:rsidR="00845A00" w:rsidRPr="00D97BC5" w:rsidRDefault="00845A00" w:rsidP="00680803">
            <w:pPr>
              <w:spacing w:before="120" w:after="120" w:line="240" w:lineRule="auto"/>
              <w:rPr>
                <w:rFonts w:cs="Arial"/>
                <w:lang w:val="en-AU"/>
              </w:rPr>
            </w:pPr>
            <w:r w:rsidRPr="00D97BC5">
              <w:rPr>
                <w:rFonts w:cs="Arial"/>
                <w:lang w:val="en-AU"/>
              </w:rPr>
              <w:t>Risk is an unusual event that would only occur in exceptional circumstances</w:t>
            </w:r>
          </w:p>
        </w:tc>
      </w:tr>
      <w:tr w:rsidR="00845A00" w:rsidRPr="00D97BC5" w14:paraId="2B402BD8" w14:textId="77777777" w:rsidTr="009E233B">
        <w:tc>
          <w:tcPr>
            <w:tcW w:w="1980" w:type="dxa"/>
          </w:tcPr>
          <w:p w14:paraId="2BFF2BAA" w14:textId="77777777" w:rsidR="00845A00" w:rsidRPr="00D97BC5" w:rsidRDefault="00845A00" w:rsidP="00680803">
            <w:pPr>
              <w:spacing w:before="120" w:after="120" w:line="240" w:lineRule="auto"/>
              <w:rPr>
                <w:rFonts w:cs="Arial"/>
                <w:lang w:val="en-AU"/>
              </w:rPr>
            </w:pPr>
            <w:r w:rsidRPr="00D97BC5">
              <w:rPr>
                <w:rFonts w:cs="Arial"/>
                <w:lang w:val="en-AU"/>
              </w:rPr>
              <w:t>Unlikely</w:t>
            </w:r>
          </w:p>
        </w:tc>
        <w:tc>
          <w:tcPr>
            <w:tcW w:w="7796" w:type="dxa"/>
          </w:tcPr>
          <w:p w14:paraId="773AF118" w14:textId="77777777" w:rsidR="00845A00" w:rsidRPr="00D97BC5" w:rsidRDefault="00845A00" w:rsidP="00680803">
            <w:pPr>
              <w:spacing w:before="120" w:after="120" w:line="240" w:lineRule="auto"/>
              <w:rPr>
                <w:rFonts w:cs="Arial"/>
                <w:lang w:val="en-AU"/>
              </w:rPr>
            </w:pPr>
            <w:r w:rsidRPr="00D97BC5">
              <w:rPr>
                <w:rFonts w:cs="Arial"/>
                <w:lang w:val="en-AU"/>
              </w:rPr>
              <w:t>Risk is an unusual event but could occur in some circumstances</w:t>
            </w:r>
          </w:p>
        </w:tc>
      </w:tr>
      <w:tr w:rsidR="00845A00" w:rsidRPr="00D97BC5" w14:paraId="7EABED02" w14:textId="77777777" w:rsidTr="009E233B">
        <w:tc>
          <w:tcPr>
            <w:tcW w:w="1980" w:type="dxa"/>
          </w:tcPr>
          <w:p w14:paraId="57DEB657" w14:textId="77777777" w:rsidR="00845A00" w:rsidRPr="00D97BC5" w:rsidRDefault="00845A00" w:rsidP="00680803">
            <w:pPr>
              <w:spacing w:before="120" w:after="120" w:line="240" w:lineRule="auto"/>
              <w:rPr>
                <w:rFonts w:cs="Arial"/>
                <w:lang w:val="en-AU"/>
              </w:rPr>
            </w:pPr>
            <w:r w:rsidRPr="00D97BC5">
              <w:rPr>
                <w:rFonts w:cs="Arial"/>
                <w:lang w:val="en-AU"/>
              </w:rPr>
              <w:t>Likely</w:t>
            </w:r>
          </w:p>
        </w:tc>
        <w:tc>
          <w:tcPr>
            <w:tcW w:w="7796" w:type="dxa"/>
          </w:tcPr>
          <w:p w14:paraId="1605FC47" w14:textId="77777777" w:rsidR="00845A00" w:rsidRPr="00D97BC5" w:rsidRDefault="00845A00" w:rsidP="00680803">
            <w:pPr>
              <w:spacing w:before="120" w:after="120" w:line="240" w:lineRule="auto"/>
              <w:rPr>
                <w:rFonts w:cs="Arial"/>
                <w:lang w:val="en-AU"/>
              </w:rPr>
            </w:pPr>
            <w:r w:rsidRPr="00D97BC5">
              <w:rPr>
                <w:rFonts w:cs="Arial"/>
                <w:lang w:val="en-AU"/>
              </w:rPr>
              <w:t>Risk would be expected to occur in some routine circumstances</w:t>
            </w:r>
          </w:p>
        </w:tc>
      </w:tr>
      <w:tr w:rsidR="00845A00" w:rsidRPr="00D97BC5" w14:paraId="53B64E4E" w14:textId="77777777" w:rsidTr="009E233B">
        <w:tc>
          <w:tcPr>
            <w:tcW w:w="1980" w:type="dxa"/>
          </w:tcPr>
          <w:p w14:paraId="24B04EEE" w14:textId="77777777" w:rsidR="00845A00" w:rsidRPr="00D97BC5" w:rsidRDefault="00845A00" w:rsidP="00680803">
            <w:pPr>
              <w:spacing w:before="120" w:after="120" w:line="240" w:lineRule="auto"/>
              <w:rPr>
                <w:rFonts w:cs="Arial"/>
                <w:lang w:val="en-AU"/>
              </w:rPr>
            </w:pPr>
            <w:r w:rsidRPr="00D97BC5">
              <w:rPr>
                <w:rFonts w:cs="Arial"/>
                <w:lang w:val="en-AU"/>
              </w:rPr>
              <w:t>Almost certain</w:t>
            </w:r>
          </w:p>
        </w:tc>
        <w:tc>
          <w:tcPr>
            <w:tcW w:w="7796" w:type="dxa"/>
          </w:tcPr>
          <w:p w14:paraId="1AD0B4D7" w14:textId="77777777" w:rsidR="00845A00" w:rsidRPr="00D97BC5" w:rsidRDefault="00845A00" w:rsidP="00680803">
            <w:pPr>
              <w:spacing w:before="120" w:after="120" w:line="240" w:lineRule="auto"/>
              <w:rPr>
                <w:rFonts w:cs="Arial"/>
                <w:lang w:val="en-AU"/>
              </w:rPr>
            </w:pPr>
            <w:r w:rsidRPr="00D97BC5">
              <w:rPr>
                <w:rFonts w:cs="Arial"/>
                <w:lang w:val="en-AU"/>
              </w:rPr>
              <w:t>Risk would occur in routine circumstances</w:t>
            </w:r>
          </w:p>
        </w:tc>
      </w:tr>
    </w:tbl>
    <w:p w14:paraId="1BDA18CD" w14:textId="77777777" w:rsidR="00845A00" w:rsidRPr="00D97BC5" w:rsidRDefault="00845A00" w:rsidP="00680803">
      <w:pPr>
        <w:spacing w:before="200" w:after="120" w:line="240" w:lineRule="auto"/>
        <w:rPr>
          <w:rFonts w:cs="Arial"/>
          <w:lang w:val="en-AU"/>
        </w:rPr>
      </w:pPr>
      <w:r w:rsidRPr="00D97BC5">
        <w:rPr>
          <w:rFonts w:cs="Arial"/>
          <w:b/>
          <w:lang w:val="en-AU"/>
        </w:rPr>
        <w:t>Assessment criteria: consequences associated with risk</w:t>
      </w:r>
      <w:r w:rsidRPr="00D97BC5">
        <w:rPr>
          <w:rFonts w:cs="Arial"/>
          <w:lang w:val="en-AU"/>
        </w:rPr>
        <w:t xml:space="preserve"> </w:t>
      </w:r>
    </w:p>
    <w:tbl>
      <w:tblPr>
        <w:tblStyle w:val="TableGrid5"/>
        <w:tblW w:w="9776" w:type="dxa"/>
        <w:tblLook w:val="04A0" w:firstRow="1" w:lastRow="0" w:firstColumn="1" w:lastColumn="0" w:noHBand="0" w:noVBand="1"/>
      </w:tblPr>
      <w:tblGrid>
        <w:gridCol w:w="1980"/>
        <w:gridCol w:w="7796"/>
      </w:tblGrid>
      <w:tr w:rsidR="00845A00" w:rsidRPr="00D97BC5" w14:paraId="402D6865" w14:textId="77777777" w:rsidTr="009E233B">
        <w:tc>
          <w:tcPr>
            <w:tcW w:w="1980" w:type="dxa"/>
          </w:tcPr>
          <w:p w14:paraId="337C5539" w14:textId="77777777" w:rsidR="00845A00" w:rsidRPr="00D97BC5" w:rsidRDefault="00845A00" w:rsidP="00680803">
            <w:pPr>
              <w:spacing w:before="120" w:after="120" w:line="240" w:lineRule="auto"/>
              <w:rPr>
                <w:rFonts w:cs="Arial"/>
                <w:b/>
                <w:color w:val="auto"/>
                <w:sz w:val="22"/>
                <w:szCs w:val="22"/>
              </w:rPr>
            </w:pPr>
            <w:r w:rsidRPr="00D97BC5">
              <w:rPr>
                <w:rFonts w:cs="Arial"/>
                <w:b/>
                <w:color w:val="auto"/>
                <w:sz w:val="22"/>
                <w:szCs w:val="22"/>
              </w:rPr>
              <w:t>Consequence</w:t>
            </w:r>
          </w:p>
        </w:tc>
        <w:tc>
          <w:tcPr>
            <w:tcW w:w="7796" w:type="dxa"/>
          </w:tcPr>
          <w:p w14:paraId="43DE3F41" w14:textId="77777777" w:rsidR="00845A00" w:rsidRPr="00D97BC5" w:rsidRDefault="00845A00" w:rsidP="00680803">
            <w:pPr>
              <w:spacing w:before="120" w:after="120" w:line="240" w:lineRule="auto"/>
              <w:rPr>
                <w:rFonts w:cs="Arial"/>
                <w:b/>
                <w:color w:val="auto"/>
                <w:sz w:val="22"/>
                <w:szCs w:val="22"/>
              </w:rPr>
            </w:pPr>
            <w:r w:rsidRPr="00D97BC5">
              <w:rPr>
                <w:rFonts w:cs="Arial"/>
                <w:b/>
                <w:color w:val="auto"/>
                <w:sz w:val="22"/>
                <w:szCs w:val="22"/>
              </w:rPr>
              <w:t>Description of consequence</w:t>
            </w:r>
          </w:p>
        </w:tc>
      </w:tr>
      <w:tr w:rsidR="00845A00" w:rsidRPr="00D97BC5" w14:paraId="617FBEFF" w14:textId="77777777" w:rsidTr="009E233B">
        <w:tc>
          <w:tcPr>
            <w:tcW w:w="1980" w:type="dxa"/>
          </w:tcPr>
          <w:p w14:paraId="290AC4FB" w14:textId="77777777"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Minor</w:t>
            </w:r>
          </w:p>
        </w:tc>
        <w:tc>
          <w:tcPr>
            <w:tcW w:w="7796" w:type="dxa"/>
          </w:tcPr>
          <w:p w14:paraId="1D33A64E" w14:textId="08A29B2B"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Risk represents minimal funding impacts (less than the thresholds of 0.5</w:t>
            </w:r>
            <w:r w:rsidR="000A4AD4" w:rsidRPr="00D97BC5">
              <w:rPr>
                <w:rFonts w:cs="Arial"/>
                <w:color w:val="auto"/>
                <w:sz w:val="22"/>
                <w:szCs w:val="22"/>
              </w:rPr>
              <w:t>%</w:t>
            </w:r>
            <w:r w:rsidRPr="00D97BC5">
              <w:rPr>
                <w:rFonts w:cs="Arial"/>
                <w:color w:val="auto"/>
                <w:sz w:val="22"/>
                <w:szCs w:val="22"/>
              </w:rPr>
              <w:t xml:space="preserve"> nationally and 2</w:t>
            </w:r>
            <w:r w:rsidR="000A4AD4" w:rsidRPr="00D97BC5">
              <w:rPr>
                <w:rFonts w:cs="Arial"/>
                <w:color w:val="auto"/>
                <w:sz w:val="22"/>
                <w:szCs w:val="22"/>
              </w:rPr>
              <w:t>%</w:t>
            </w:r>
            <w:r w:rsidRPr="00D97BC5">
              <w:rPr>
                <w:rFonts w:cs="Arial"/>
                <w:color w:val="auto"/>
                <w:sz w:val="22"/>
                <w:szCs w:val="22"/>
              </w:rPr>
              <w:t xml:space="preserve"> on any one jurisdiction) or administrative impacts on the delivery of IH</w:t>
            </w:r>
            <w:r w:rsidR="002134DF" w:rsidRPr="00D97BC5">
              <w:rPr>
                <w:rFonts w:cs="Arial"/>
                <w:color w:val="auto"/>
                <w:sz w:val="22"/>
                <w:szCs w:val="22"/>
              </w:rPr>
              <w:t>AC</w:t>
            </w:r>
            <w:r w:rsidRPr="00D97BC5">
              <w:rPr>
                <w:rFonts w:cs="Arial"/>
                <w:color w:val="auto"/>
                <w:sz w:val="22"/>
                <w:szCs w:val="22"/>
              </w:rPr>
              <w:t>PA’s pricing functions, though some aspects of delivery may require minor adjustment</w:t>
            </w:r>
          </w:p>
        </w:tc>
      </w:tr>
      <w:tr w:rsidR="00845A00" w:rsidRPr="00D97BC5" w14:paraId="137D586D" w14:textId="77777777" w:rsidTr="009E233B">
        <w:tc>
          <w:tcPr>
            <w:tcW w:w="1980" w:type="dxa"/>
          </w:tcPr>
          <w:p w14:paraId="7CCF3378" w14:textId="77777777"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Moderate</w:t>
            </w:r>
          </w:p>
        </w:tc>
        <w:tc>
          <w:tcPr>
            <w:tcW w:w="7796" w:type="dxa"/>
          </w:tcPr>
          <w:p w14:paraId="33F685F2" w14:textId="0D47E84D"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Risk represents moderate funding impacts (equal to the thresholds of 0.5</w:t>
            </w:r>
            <w:r w:rsidR="000A4AD4" w:rsidRPr="00D97BC5">
              <w:rPr>
                <w:rFonts w:cs="Arial"/>
                <w:color w:val="auto"/>
                <w:sz w:val="22"/>
                <w:szCs w:val="22"/>
              </w:rPr>
              <w:t>%</w:t>
            </w:r>
            <w:r w:rsidRPr="00D97BC5">
              <w:rPr>
                <w:rFonts w:cs="Arial"/>
                <w:color w:val="auto"/>
                <w:sz w:val="22"/>
                <w:szCs w:val="22"/>
              </w:rPr>
              <w:t xml:space="preserve"> nationally and 2</w:t>
            </w:r>
            <w:r w:rsidR="000A4AD4" w:rsidRPr="00D97BC5">
              <w:rPr>
                <w:rFonts w:cs="Arial"/>
                <w:color w:val="auto"/>
                <w:sz w:val="22"/>
                <w:szCs w:val="22"/>
              </w:rPr>
              <w:t>%</w:t>
            </w:r>
            <w:r w:rsidRPr="00D97BC5">
              <w:rPr>
                <w:rFonts w:cs="Arial"/>
                <w:color w:val="auto"/>
                <w:sz w:val="22"/>
                <w:szCs w:val="22"/>
              </w:rPr>
              <w:t xml:space="preserve"> on any one jurisdiction) or administrative impacts on the delivery of IH</w:t>
            </w:r>
            <w:r w:rsidR="002134DF" w:rsidRPr="00D97BC5">
              <w:rPr>
                <w:rFonts w:cs="Arial"/>
                <w:color w:val="auto"/>
                <w:sz w:val="22"/>
                <w:szCs w:val="22"/>
              </w:rPr>
              <w:t>AC</w:t>
            </w:r>
            <w:r w:rsidRPr="00D97BC5">
              <w:rPr>
                <w:rFonts w:cs="Arial"/>
                <w:color w:val="auto"/>
                <w:sz w:val="22"/>
                <w:szCs w:val="22"/>
              </w:rPr>
              <w:t>PA’s pricing functions</w:t>
            </w:r>
          </w:p>
        </w:tc>
      </w:tr>
      <w:tr w:rsidR="00845A00" w:rsidRPr="00D97BC5" w14:paraId="3464D0F2" w14:textId="77777777" w:rsidTr="009E233B">
        <w:tc>
          <w:tcPr>
            <w:tcW w:w="1980" w:type="dxa"/>
          </w:tcPr>
          <w:p w14:paraId="4AB61A53" w14:textId="77777777"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Major</w:t>
            </w:r>
          </w:p>
        </w:tc>
        <w:tc>
          <w:tcPr>
            <w:tcW w:w="7796" w:type="dxa"/>
          </w:tcPr>
          <w:p w14:paraId="471CBBFE" w14:textId="293E4CDD"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Risk represents major funding impacts (thresholds of up to 5</w:t>
            </w:r>
            <w:r w:rsidR="000A4AD4" w:rsidRPr="00D97BC5">
              <w:rPr>
                <w:rFonts w:cs="Arial"/>
                <w:color w:val="auto"/>
                <w:sz w:val="22"/>
                <w:szCs w:val="22"/>
              </w:rPr>
              <w:t>%</w:t>
            </w:r>
            <w:r w:rsidRPr="00D97BC5">
              <w:rPr>
                <w:rFonts w:cs="Arial"/>
                <w:color w:val="auto"/>
                <w:sz w:val="22"/>
                <w:szCs w:val="22"/>
              </w:rPr>
              <w:t xml:space="preserve"> nationally and 20</w:t>
            </w:r>
            <w:r w:rsidR="000A4AD4" w:rsidRPr="00D97BC5">
              <w:rPr>
                <w:rFonts w:cs="Arial"/>
                <w:color w:val="auto"/>
                <w:sz w:val="22"/>
                <w:szCs w:val="22"/>
              </w:rPr>
              <w:t>%</w:t>
            </w:r>
            <w:r w:rsidRPr="00D97BC5">
              <w:rPr>
                <w:rFonts w:cs="Arial"/>
                <w:color w:val="auto"/>
                <w:sz w:val="22"/>
                <w:szCs w:val="22"/>
              </w:rPr>
              <w:t xml:space="preserve"> on any one jurisdiction) or administrative impacts on the delivery of IH</w:t>
            </w:r>
            <w:r w:rsidR="002134DF" w:rsidRPr="00D97BC5">
              <w:rPr>
                <w:rFonts w:cs="Arial"/>
                <w:color w:val="auto"/>
                <w:sz w:val="22"/>
                <w:szCs w:val="22"/>
              </w:rPr>
              <w:t>AC</w:t>
            </w:r>
            <w:r w:rsidRPr="00D97BC5">
              <w:rPr>
                <w:rFonts w:cs="Arial"/>
                <w:color w:val="auto"/>
                <w:sz w:val="22"/>
                <w:szCs w:val="22"/>
              </w:rPr>
              <w:t>PA’s pricing functions</w:t>
            </w:r>
          </w:p>
        </w:tc>
      </w:tr>
      <w:tr w:rsidR="00845A00" w:rsidRPr="00D97BC5" w14:paraId="0D2CFB12" w14:textId="77777777" w:rsidTr="009E233B">
        <w:tc>
          <w:tcPr>
            <w:tcW w:w="1980" w:type="dxa"/>
          </w:tcPr>
          <w:p w14:paraId="1AB0AD4E" w14:textId="77777777"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Severe</w:t>
            </w:r>
          </w:p>
        </w:tc>
        <w:tc>
          <w:tcPr>
            <w:tcW w:w="7796" w:type="dxa"/>
          </w:tcPr>
          <w:p w14:paraId="06F55791" w14:textId="5E084A6C" w:rsidR="00845A00" w:rsidRPr="00D97BC5" w:rsidRDefault="00845A00" w:rsidP="00680803">
            <w:pPr>
              <w:spacing w:before="120" w:after="120" w:line="240" w:lineRule="auto"/>
              <w:rPr>
                <w:rFonts w:cs="Arial"/>
                <w:color w:val="auto"/>
                <w:sz w:val="22"/>
                <w:szCs w:val="22"/>
              </w:rPr>
            </w:pPr>
            <w:r w:rsidRPr="00D97BC5">
              <w:rPr>
                <w:rFonts w:cs="Arial"/>
                <w:color w:val="auto"/>
                <w:sz w:val="22"/>
                <w:szCs w:val="22"/>
              </w:rPr>
              <w:t>Risk would prevent the delivery of IH</w:t>
            </w:r>
            <w:r w:rsidR="002134DF" w:rsidRPr="00D97BC5">
              <w:rPr>
                <w:rFonts w:cs="Arial"/>
                <w:color w:val="auto"/>
                <w:sz w:val="22"/>
                <w:szCs w:val="22"/>
              </w:rPr>
              <w:t>AC</w:t>
            </w:r>
            <w:r w:rsidRPr="00D97BC5">
              <w:rPr>
                <w:rFonts w:cs="Arial"/>
                <w:color w:val="auto"/>
                <w:sz w:val="22"/>
                <w:szCs w:val="22"/>
              </w:rPr>
              <w:t>PA’s pricing functions due to funding impacts (thresholds of greater than 5</w:t>
            </w:r>
            <w:r w:rsidR="000A4AD4" w:rsidRPr="00D97BC5">
              <w:rPr>
                <w:rFonts w:cs="Arial"/>
                <w:color w:val="auto"/>
                <w:sz w:val="22"/>
                <w:szCs w:val="22"/>
              </w:rPr>
              <w:t>%</w:t>
            </w:r>
            <w:r w:rsidRPr="00D97BC5">
              <w:rPr>
                <w:rFonts w:cs="Arial"/>
                <w:color w:val="auto"/>
                <w:sz w:val="22"/>
                <w:szCs w:val="22"/>
              </w:rPr>
              <w:t xml:space="preserve"> nationally and 20</w:t>
            </w:r>
            <w:r w:rsidR="000A4AD4" w:rsidRPr="00D97BC5">
              <w:rPr>
                <w:rFonts w:cs="Arial"/>
                <w:color w:val="auto"/>
                <w:sz w:val="22"/>
                <w:szCs w:val="22"/>
              </w:rPr>
              <w:t>%</w:t>
            </w:r>
            <w:r w:rsidRPr="00D97BC5">
              <w:rPr>
                <w:rFonts w:cs="Arial"/>
                <w:color w:val="auto"/>
                <w:sz w:val="22"/>
                <w:szCs w:val="22"/>
              </w:rPr>
              <w:t xml:space="preserve"> on any one jurisdiction) or administrative impacts</w:t>
            </w:r>
          </w:p>
        </w:tc>
      </w:tr>
    </w:tbl>
    <w:p w14:paraId="758EFA26" w14:textId="2B7CEC76" w:rsidR="00101439" w:rsidRPr="00D97BC5" w:rsidRDefault="00101439" w:rsidP="00845A00">
      <w:pPr>
        <w:spacing w:line="259" w:lineRule="auto"/>
        <w:rPr>
          <w:rFonts w:cs="Arial"/>
          <w:b/>
          <w:lang w:val="en-AU"/>
        </w:rPr>
      </w:pPr>
      <w:r w:rsidRPr="00D97BC5">
        <w:rPr>
          <w:rFonts w:cs="Arial"/>
          <w:lang w:val="en-AU"/>
        </w:rPr>
        <w:br w:type="page"/>
      </w:r>
    </w:p>
    <w:p w14:paraId="48B5FADC" w14:textId="21B0B283" w:rsidR="00FC072C" w:rsidRPr="00D97BC5" w:rsidRDefault="00FC072C" w:rsidP="00FC072C">
      <w:pPr>
        <w:rPr>
          <w:rFonts w:cs="Arial"/>
          <w:lang w:val="en-AU"/>
        </w:rPr>
        <w:sectPr w:rsidR="00FC072C" w:rsidRPr="00D97BC5" w:rsidSect="0094620A">
          <w:headerReference w:type="default" r:id="rId22"/>
          <w:footerReference w:type="default" r:id="rId23"/>
          <w:pgSz w:w="11906" w:h="16838" w:code="9"/>
          <w:pgMar w:top="1440" w:right="1080" w:bottom="1440" w:left="1080" w:header="708" w:footer="708" w:gutter="0"/>
          <w:cols w:space="720"/>
          <w:docGrid w:linePitch="360"/>
        </w:sectPr>
      </w:pPr>
    </w:p>
    <w:p w14:paraId="122C741A" w14:textId="77777777" w:rsidR="00B56538" w:rsidRPr="00D97BC5" w:rsidRDefault="00B56538" w:rsidP="00B56538">
      <w:pPr>
        <w:spacing w:after="360"/>
        <w:rPr>
          <w:rFonts w:eastAsia="Fira Sans regular" w:cs="Arial"/>
          <w:color w:val="FFFFFF"/>
          <w:lang w:val="en-AU"/>
        </w:rPr>
      </w:pPr>
      <w:r w:rsidRPr="00D97BC5">
        <w:rPr>
          <w:rFonts w:eastAsia="Fira Sans regular" w:cs="Arial"/>
          <w:noProof/>
          <w:color w:val="FFFFFF"/>
          <w:lang w:val="en-AU"/>
        </w:rPr>
        <w:lastRenderedPageBreak/>
        <w:drawing>
          <wp:inline distT="0" distB="0" distL="0" distR="0" wp14:anchorId="57AF5B78" wp14:editId="7D54DC7D">
            <wp:extent cx="1764880" cy="396484"/>
            <wp:effectExtent l="0" t="0" r="6985" b="381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bwMode="auto">
                    <a:xfrm>
                      <a:off x="0" y="0"/>
                      <a:ext cx="1764880" cy="396484"/>
                    </a:xfrm>
                    <a:prstGeom prst="rect">
                      <a:avLst/>
                    </a:prstGeom>
                  </pic:spPr>
                </pic:pic>
              </a:graphicData>
            </a:graphic>
          </wp:inline>
        </w:drawing>
      </w:r>
    </w:p>
    <w:p w14:paraId="4E6EC9BC" w14:textId="77777777" w:rsidR="00B56538" w:rsidRPr="00D97BC5" w:rsidRDefault="00B56538" w:rsidP="00B56538">
      <w:pPr>
        <w:spacing w:after="360"/>
        <w:rPr>
          <w:rFonts w:eastAsia="Fira Sans regular" w:cs="Arial"/>
          <w:color w:val="FFFFFF"/>
          <w:lang w:val="en-AU"/>
        </w:rPr>
      </w:pPr>
      <w:r w:rsidRPr="00D97BC5">
        <w:rPr>
          <w:rFonts w:eastAsia="Fira Sans regular" w:cs="Arial"/>
          <w:color w:val="FFFFFF"/>
          <w:lang w:val="en-AU"/>
        </w:rPr>
        <w:t>Independent Health and Aged Care Pricing Authority</w:t>
      </w:r>
    </w:p>
    <w:p w14:paraId="0B3E054C" w14:textId="77777777" w:rsidR="00B56538" w:rsidRPr="00D97BC5" w:rsidRDefault="00B56538" w:rsidP="00B56538">
      <w:pPr>
        <w:spacing w:after="360"/>
        <w:rPr>
          <w:rFonts w:eastAsia="Fira Sans regular" w:cs="Arial"/>
          <w:color w:val="54C1AF"/>
          <w:lang w:val="en-AU"/>
        </w:rPr>
      </w:pPr>
      <w:r w:rsidRPr="00D97BC5">
        <w:rPr>
          <w:rFonts w:eastAsia="Fira Sans regular" w:cs="Arial"/>
          <w:color w:val="54C1AF"/>
          <w:lang w:val="en-AU"/>
        </w:rPr>
        <w:t>Eora Nation, Level 12, 1 Oxford Street</w:t>
      </w:r>
      <w:r w:rsidRPr="00D97BC5">
        <w:rPr>
          <w:rFonts w:eastAsia="Fira Sans regular" w:cs="Arial"/>
          <w:color w:val="54C1AF"/>
          <w:lang w:val="en-AU"/>
        </w:rPr>
        <w:br/>
        <w:t>Sydney NSW 2000</w:t>
      </w:r>
    </w:p>
    <w:p w14:paraId="655DD979" w14:textId="77777777" w:rsidR="00B56538" w:rsidRPr="00D97BC5" w:rsidRDefault="00B56538" w:rsidP="00B56538">
      <w:pPr>
        <w:tabs>
          <w:tab w:val="left" w:pos="851"/>
        </w:tabs>
        <w:spacing w:after="360"/>
        <w:rPr>
          <w:rFonts w:eastAsia="Fira Sans regular" w:cs="Arial"/>
          <w:color w:val="FFFFFF"/>
          <w:lang w:val="en-AU"/>
        </w:rPr>
      </w:pPr>
      <w:r w:rsidRPr="00D97BC5">
        <w:rPr>
          <w:rFonts w:eastAsia="Fira Sans regular" w:cs="Arial"/>
          <w:color w:val="FFFFFF"/>
          <w:lang w:val="en-AU"/>
        </w:rPr>
        <w:t>Phone</w:t>
      </w:r>
      <w:r w:rsidRPr="00D97BC5">
        <w:rPr>
          <w:rFonts w:eastAsia="Fira Sans regular" w:cs="Arial"/>
          <w:color w:val="FFFFFF"/>
          <w:lang w:val="en-AU"/>
        </w:rPr>
        <w:tab/>
      </w:r>
      <w:r w:rsidRPr="00D97BC5">
        <w:rPr>
          <w:rFonts w:eastAsia="Fira Sans regular" w:cs="Arial"/>
          <w:color w:val="54C1AF"/>
          <w:lang w:val="en-AU"/>
        </w:rPr>
        <w:t>02 8215 1100</w:t>
      </w:r>
      <w:r w:rsidRPr="00D97BC5">
        <w:rPr>
          <w:rFonts w:eastAsia="Fira Sans regular" w:cs="Arial"/>
          <w:color w:val="FFFFFF"/>
          <w:lang w:val="en-AU"/>
        </w:rPr>
        <w:br/>
        <w:t>Email</w:t>
      </w:r>
      <w:r w:rsidRPr="00D97BC5">
        <w:rPr>
          <w:rFonts w:eastAsia="Fira Sans regular" w:cs="Arial"/>
          <w:color w:val="FFFFFF"/>
          <w:lang w:val="en-AU"/>
        </w:rPr>
        <w:tab/>
      </w:r>
      <w:hyperlink r:id="rId26" w:history="1">
        <w:r w:rsidRPr="00D97BC5">
          <w:rPr>
            <w:rFonts w:eastAsia="Fira Sans regular" w:cs="Arial"/>
            <w:color w:val="54C1AF"/>
            <w:u w:val="single"/>
            <w:lang w:val="en-AU"/>
          </w:rPr>
          <w:t>enquiries.ihacpa@ihacpa.gov.au</w:t>
        </w:r>
      </w:hyperlink>
    </w:p>
    <w:p w14:paraId="5C6CDEE2" w14:textId="77777777" w:rsidR="00B56538" w:rsidRPr="00D97BC5" w:rsidRDefault="00EE6A76" w:rsidP="00B56538">
      <w:pPr>
        <w:spacing w:after="360"/>
        <w:rPr>
          <w:rFonts w:eastAsia="Fira Sans regular" w:cs="Arial"/>
          <w:color w:val="54C1AF"/>
          <w:lang w:val="en-AU"/>
        </w:rPr>
      </w:pPr>
      <w:hyperlink r:id="rId27" w:history="1">
        <w:r w:rsidR="00B56538" w:rsidRPr="00D97BC5">
          <w:rPr>
            <w:rFonts w:eastAsia="Fira Sans regular" w:cs="Arial"/>
            <w:color w:val="54C1AF"/>
            <w:u w:val="single"/>
            <w:lang w:val="en-AU"/>
          </w:rPr>
          <w:t>www.ihacpa.gov.au</w:t>
        </w:r>
      </w:hyperlink>
    </w:p>
    <w:p w14:paraId="55FBC7ED" w14:textId="07D09731" w:rsidR="00502A09" w:rsidRPr="00D97BC5" w:rsidRDefault="00502A09" w:rsidP="00B56538">
      <w:pPr>
        <w:spacing w:after="360"/>
        <w:rPr>
          <w:rFonts w:cs="Arial"/>
          <w:color w:val="5F5F5F" w:themeColor="accent5"/>
          <w:lang w:val="en-AU"/>
        </w:rPr>
      </w:pPr>
    </w:p>
    <w:sectPr w:rsidR="00502A09" w:rsidRPr="00D97BC5" w:rsidSect="00C5503B">
      <w:headerReference w:type="default" r:id="rId28"/>
      <w:footerReference w:type="default" r:id="rId2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E0E72" w14:textId="77777777" w:rsidR="009330D3" w:rsidRDefault="009330D3" w:rsidP="00DC0458">
      <w:pPr>
        <w:spacing w:after="0" w:line="240" w:lineRule="auto"/>
      </w:pPr>
      <w:r>
        <w:separator/>
      </w:r>
    </w:p>
    <w:p w14:paraId="4E6D0B3F" w14:textId="77777777" w:rsidR="009330D3" w:rsidRDefault="009330D3"/>
  </w:endnote>
  <w:endnote w:type="continuationSeparator" w:id="0">
    <w:p w14:paraId="0CCEC12A" w14:textId="77777777" w:rsidR="009330D3" w:rsidRDefault="009330D3" w:rsidP="00DC0458">
      <w:pPr>
        <w:spacing w:after="0" w:line="240" w:lineRule="auto"/>
      </w:pPr>
      <w:r>
        <w:continuationSeparator/>
      </w:r>
    </w:p>
    <w:p w14:paraId="72D52E17" w14:textId="77777777" w:rsidR="009330D3" w:rsidRDefault="009330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regular">
    <w:altName w:val="Cambria"/>
    <w:panose1 w:val="020B0503050000020004"/>
    <w:charset w:val="00"/>
    <w:family w:val="swiss"/>
    <w:pitch w:val="variable"/>
    <w:sig w:usb0="600002FF"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Fira Sans">
    <w:panose1 w:val="020B0503050000020004"/>
    <w:charset w:val="00"/>
    <w:family w:val="swiss"/>
    <w:pitch w:val="variable"/>
    <w:sig w:usb0="600002FF" w:usb1="00000001" w:usb2="00000000" w:usb3="00000000" w:csb0="0000019F" w:csb1="00000000"/>
  </w:font>
  <w:font w:name="Josefin Sans Bold">
    <w:panose1 w:val="00000000000000000000"/>
    <w:charset w:val="00"/>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F86" w14:textId="3A1D68F9" w:rsidR="00927BBD" w:rsidRDefault="00927BBD" w:rsidP="00E24D0E">
    <w:pPr>
      <w:pStyle w:val="Footer"/>
      <w:tabs>
        <w:tab w:val="clear" w:pos="4680"/>
        <w:tab w:val="clear" w:pos="9360"/>
        <w:tab w:val="center" w:pos="9498"/>
        <w:tab w:val="right" w:pos="9746"/>
      </w:tabs>
    </w:pPr>
    <w:r w:rsidRPr="00D20B03">
      <w:rPr>
        <w:b/>
        <w:bCs/>
      </w:rPr>
      <w:t>IHACPA</w:t>
    </w:r>
    <w:r>
      <w:t xml:space="preserve"> </w:t>
    </w:r>
    <w:r w:rsidR="00D97BC5">
      <w:t>National Pricing Model Consultation Policy</w:t>
    </w:r>
    <w:r>
      <w:tab/>
    </w: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C27FA" w14:textId="3C0B0AEB" w:rsidR="00493FE8" w:rsidRDefault="00493FE8" w:rsidP="00271FC1">
    <w:pPr>
      <w:pStyle w:val="Footer"/>
      <w:tabs>
        <w:tab w:val="clear" w:pos="4680"/>
        <w:tab w:val="clear" w:pos="9360"/>
        <w:tab w:val="center" w:pos="13750"/>
      </w:tabs>
    </w:pPr>
    <w:r w:rsidRPr="00D20B03">
      <w:rPr>
        <w:b/>
        <w:bCs/>
      </w:rPr>
      <w:t>IHACPA</w:t>
    </w:r>
    <w:r>
      <w:t xml:space="preserve"> </w:t>
    </w:r>
    <w:r w:rsidR="003C4C7F">
      <w:t>National Pricing Model Consultation</w:t>
    </w:r>
    <w:r w:rsidR="00BF41F8" w:rsidRPr="00BF41F8">
      <w:t xml:space="preserve"> Policy</w:t>
    </w:r>
    <w:r>
      <w:tab/>
    </w: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E7315" w14:textId="37C1BF47" w:rsidR="00723269" w:rsidRPr="00723269" w:rsidRDefault="00723269" w:rsidP="007232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8B3C7" w14:textId="77777777" w:rsidR="009330D3" w:rsidRDefault="009330D3" w:rsidP="00DC0458">
      <w:pPr>
        <w:spacing w:after="0" w:line="240" w:lineRule="auto"/>
      </w:pPr>
      <w:r>
        <w:separator/>
      </w:r>
    </w:p>
  </w:footnote>
  <w:footnote w:type="continuationSeparator" w:id="0">
    <w:p w14:paraId="3803682C" w14:textId="77777777" w:rsidR="009330D3" w:rsidRDefault="009330D3" w:rsidP="00DC0458">
      <w:pPr>
        <w:spacing w:after="0" w:line="240" w:lineRule="auto"/>
      </w:pPr>
      <w:r>
        <w:continuationSeparator/>
      </w:r>
    </w:p>
    <w:p w14:paraId="75C04236" w14:textId="77777777" w:rsidR="009330D3" w:rsidRDefault="009330D3"/>
  </w:footnote>
  <w:footnote w:id="1">
    <w:p w14:paraId="448D8D15" w14:textId="5A837252" w:rsidR="003C4C7F" w:rsidRPr="008B3914" w:rsidRDefault="003C4C7F" w:rsidP="00E9349F">
      <w:pPr>
        <w:pStyle w:val="FootnoteText"/>
      </w:pPr>
      <w:r w:rsidRPr="008B3914">
        <w:rPr>
          <w:rStyle w:val="FootnoteReference"/>
        </w:rPr>
        <w:footnoteRef/>
      </w:r>
      <w:r w:rsidRPr="008B3914">
        <w:t xml:space="preserve"> The Health Chief Executives Forum </w:t>
      </w:r>
      <w:r w:rsidR="0089785F">
        <w:t xml:space="preserve">(HCEF) </w:t>
      </w:r>
      <w:r w:rsidR="0089785F" w:rsidRPr="0089785F">
        <w:t>is an intergovernmental forum for joint decision-making and strategic policy discussions that helps to efficiently deliver health services in Australia. It is made up of the health department chief executive officer from each state and territory and the Australian Government. The former Australian Health Ministers Advisory Committee is now the HCEF</w:t>
      </w:r>
      <w:r w:rsidRPr="008B3914">
        <w:t>.</w:t>
      </w:r>
    </w:p>
  </w:footnote>
  <w:footnote w:id="2">
    <w:p w14:paraId="0AEE1768" w14:textId="5D85D53B" w:rsidR="003C4C7F" w:rsidRDefault="003C4C7F" w:rsidP="00E9349F">
      <w:pPr>
        <w:pStyle w:val="FootnoteText"/>
      </w:pPr>
      <w:r w:rsidRPr="008B3914">
        <w:rPr>
          <w:rStyle w:val="FootnoteReference"/>
        </w:rPr>
        <w:footnoteRef/>
      </w:r>
      <w:r w:rsidRPr="008B3914">
        <w:t xml:space="preserve"> The Health Ministers’ Meetings</w:t>
      </w:r>
      <w:r w:rsidR="0089785F" w:rsidRPr="0089785F">
        <w:t xml:space="preserve"> (HMM) works to progress health issues of national importance which require cross-border collaboration. It is made up of the health ministers of each state and territory government, along with the Australian Government Minister for Health and Aged Care. The former Council of Australian Governments Health Council</w:t>
      </w:r>
      <w:r w:rsidR="0089785F">
        <w:t xml:space="preserve"> is now the HMM</w:t>
      </w:r>
      <w:r w:rsidRPr="008B3914">
        <w:t>.</w:t>
      </w:r>
    </w:p>
  </w:footnote>
  <w:footnote w:id="3">
    <w:p w14:paraId="07EEF680" w14:textId="5AF660F6" w:rsidR="00E9349F" w:rsidRDefault="00E9349F" w:rsidP="00E9349F">
      <w:pPr>
        <w:pStyle w:val="FootnoteText"/>
      </w:pPr>
      <w:r>
        <w:rPr>
          <w:rStyle w:val="FootnoteReference"/>
        </w:rPr>
        <w:footnoteRef/>
      </w:r>
      <w:r>
        <w:t xml:space="preserve"> The 30-day public consultation period and 45-day ministerial comment period refer to calendar days.</w:t>
      </w:r>
    </w:p>
  </w:footnote>
  <w:footnote w:id="4">
    <w:p w14:paraId="5BB5F42E" w14:textId="34721E65" w:rsidR="00E36CA8" w:rsidRPr="007630C7" w:rsidRDefault="00E36CA8" w:rsidP="00E9349F">
      <w:pPr>
        <w:pStyle w:val="FootnoteText"/>
      </w:pPr>
      <w:r w:rsidRPr="007630C7">
        <w:rPr>
          <w:rStyle w:val="FootnoteReference"/>
        </w:rPr>
        <w:footnoteRef/>
      </w:r>
      <w:r w:rsidRPr="007630C7">
        <w:t xml:space="preserve"> Changes </w:t>
      </w:r>
      <w:r>
        <w:t xml:space="preserve">arising from </w:t>
      </w:r>
      <w:r w:rsidRPr="007630C7">
        <w:t>a prior arrangement with the jurisdictions</w:t>
      </w:r>
      <w:r>
        <w:t xml:space="preserve">, for example under the </w:t>
      </w:r>
      <w:r w:rsidR="00263F42">
        <w:t>a</w:t>
      </w:r>
      <w:r>
        <w:t>ddendum where IH</w:t>
      </w:r>
      <w:r w:rsidR="00D36DC3">
        <w:t>AC</w:t>
      </w:r>
      <w:r>
        <w:t>PA was directed to implement</w:t>
      </w:r>
      <w:r w:rsidRPr="007630C7">
        <w:t xml:space="preserve"> a pricing model for avoidable hospital readmissions and </w:t>
      </w:r>
      <w:r w:rsidR="00AA4831">
        <w:t xml:space="preserve">an adjustment for </w:t>
      </w:r>
      <w:r w:rsidRPr="007630C7">
        <w:t>private patient neutrality.</w:t>
      </w:r>
    </w:p>
  </w:footnote>
  <w:footnote w:id="5">
    <w:p w14:paraId="6DA8450D" w14:textId="30821163" w:rsidR="00B53DFA" w:rsidRDefault="00B53DFA" w:rsidP="00E9349F">
      <w:pPr>
        <w:pStyle w:val="FootnoteText"/>
      </w:pPr>
      <w:r>
        <w:rPr>
          <w:rStyle w:val="FootnoteReference"/>
        </w:rPr>
        <w:footnoteRef/>
      </w:r>
      <w:r>
        <w:t xml:space="preserve"> </w:t>
      </w:r>
      <w:r w:rsidRPr="00B53DFA">
        <w:t xml:space="preserve">On 12 August 2022 amendments to the </w:t>
      </w:r>
      <w:r w:rsidRPr="00BE2CB1">
        <w:rPr>
          <w:i/>
          <w:iCs/>
        </w:rPr>
        <w:t>National Health Reform Act 2011</w:t>
      </w:r>
      <w:r w:rsidRPr="00B53DFA">
        <w:t xml:space="preserve"> came into effect changing IHPA’s name to the Independent Health and Aged Care Pricing Authority (IHACPA) and expanding its role to include the provision of costing and pricing advice on aged care to the </w:t>
      </w:r>
      <w:r w:rsidR="00D949F8">
        <w:t>Australian</w:t>
      </w:r>
      <w:r w:rsidR="00D949F8" w:rsidRPr="00B53DFA">
        <w:t xml:space="preserve"> </w:t>
      </w:r>
      <w:r w:rsidRPr="00B53DFA">
        <w:t>Government.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50E66" w14:textId="73F75FF6" w:rsidR="00257DF2" w:rsidRDefault="00493FE8">
    <w:pPr>
      <w:pStyle w:val="Header"/>
    </w:pPr>
    <w:r>
      <w:rPr>
        <w:noProof/>
      </w:rPr>
      <w:drawing>
        <wp:anchor distT="0" distB="0" distL="114300" distR="114300" simplePos="0" relativeHeight="251665408" behindDoc="1" locked="0" layoutInCell="1" allowOverlap="1" wp14:anchorId="74294811" wp14:editId="3C885141">
          <wp:simplePos x="0" y="0"/>
          <wp:positionH relativeFrom="margin">
            <wp:posOffset>-685800</wp:posOffset>
          </wp:positionH>
          <wp:positionV relativeFrom="paragraph">
            <wp:posOffset>-449580</wp:posOffset>
          </wp:positionV>
          <wp:extent cx="7573925" cy="10712174"/>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3925" cy="107121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B8FA" w14:textId="77777777" w:rsidR="00927BBD" w:rsidRDefault="00927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9371" w14:textId="77777777" w:rsidR="00493FE8" w:rsidRDefault="00493F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58B2" w14:textId="1B141A50" w:rsidR="00502A09" w:rsidRDefault="00723269">
    <w:pPr>
      <w:pStyle w:val="Header"/>
    </w:pPr>
    <w:r>
      <w:rPr>
        <w:noProof/>
      </w:rPr>
      <w:drawing>
        <wp:anchor distT="0" distB="0" distL="114300" distR="114300" simplePos="0" relativeHeight="251667456" behindDoc="1" locked="0" layoutInCell="1" allowOverlap="1" wp14:anchorId="6D423E8F" wp14:editId="11233C90">
          <wp:simplePos x="0" y="0"/>
          <wp:positionH relativeFrom="page">
            <wp:align>left</wp:align>
          </wp:positionH>
          <wp:positionV relativeFrom="paragraph">
            <wp:posOffset>-453308</wp:posOffset>
          </wp:positionV>
          <wp:extent cx="7573879" cy="10699668"/>
          <wp:effectExtent l="0" t="0" r="8255" b="698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3879" cy="1069966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97035D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D01C78"/>
    <w:lvl w:ilvl="0">
      <w:start w:val="1"/>
      <w:numFmt w:val="decimal"/>
      <w:pStyle w:val="ListNumber"/>
      <w:lvlText w:val="%1."/>
      <w:lvlJc w:val="left"/>
      <w:pPr>
        <w:tabs>
          <w:tab w:val="num" w:pos="360"/>
        </w:tabs>
        <w:ind w:left="360" w:hanging="360"/>
      </w:pPr>
    </w:lvl>
  </w:abstractNum>
  <w:abstractNum w:abstractNumId="2" w15:restartNumberingAfterBreak="0">
    <w:nsid w:val="0C7C25BA"/>
    <w:multiLevelType w:val="multilevel"/>
    <w:tmpl w:val="35321D40"/>
    <w:lvl w:ilvl="0">
      <w:start w:val="1"/>
      <w:numFmt w:val="decimal"/>
      <w:pStyle w:val="Heading1"/>
      <w:lvlText w:val="%1."/>
      <w:lvlJc w:val="left"/>
      <w:pPr>
        <w:ind w:left="1080" w:hanging="720"/>
      </w:pPr>
      <w:rPr>
        <w:rFonts w:hint="default"/>
      </w:rPr>
    </w:lvl>
    <w:lvl w:ilvl="1">
      <w:start w:val="1"/>
      <w:numFmt w:val="decimal"/>
      <w:pStyle w:val="Heading2"/>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905DB8"/>
    <w:multiLevelType w:val="hybridMultilevel"/>
    <w:tmpl w:val="6D20D78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109A0F16"/>
    <w:multiLevelType w:val="hybridMultilevel"/>
    <w:tmpl w:val="E2CE93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F47B17"/>
    <w:multiLevelType w:val="hybridMultilevel"/>
    <w:tmpl w:val="5830B706"/>
    <w:lvl w:ilvl="0" w:tplc="D02EEEE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5F1C7E"/>
    <w:multiLevelType w:val="hybridMultilevel"/>
    <w:tmpl w:val="EE4C72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6A7891"/>
    <w:multiLevelType w:val="hybridMultilevel"/>
    <w:tmpl w:val="39C0CC5C"/>
    <w:lvl w:ilvl="0" w:tplc="59B85FDC">
      <w:start w:val="1"/>
      <w:numFmt w:val="decimal"/>
      <w:pStyle w:val="FigureHeading"/>
      <w:lvlText w:val="Figure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9191242"/>
    <w:multiLevelType w:val="hybridMultilevel"/>
    <w:tmpl w:val="5B3EDA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8F0369"/>
    <w:multiLevelType w:val="hybridMultilevel"/>
    <w:tmpl w:val="FEFEF42A"/>
    <w:lvl w:ilvl="0" w:tplc="CEC05884">
      <w:start w:val="1"/>
      <w:numFmt w:val="bullet"/>
      <w:pStyle w:val="ListLevel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4A5030"/>
    <w:multiLevelType w:val="hybridMultilevel"/>
    <w:tmpl w:val="8BD298AA"/>
    <w:lvl w:ilvl="0" w:tplc="D53AA28A">
      <w:numFmt w:val="bullet"/>
      <w:lvlText w:val="–"/>
      <w:lvlJc w:val="left"/>
      <w:pPr>
        <w:ind w:left="720" w:hanging="720"/>
      </w:pPr>
      <w:rPr>
        <w:rFonts w:ascii="Fira Sans regular" w:eastAsiaTheme="minorHAnsi" w:hAnsi="Fira Sans regular" w:cstheme="minorBidi" w:hint="default"/>
      </w:rPr>
    </w:lvl>
    <w:lvl w:ilvl="1" w:tplc="2B7ED244">
      <w:start w:val="1"/>
      <w:numFmt w:val="bullet"/>
      <w:pStyle w:val="ListLevel2"/>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11" w15:restartNumberingAfterBreak="0">
    <w:nsid w:val="6E894BE9"/>
    <w:multiLevelType w:val="hybridMultilevel"/>
    <w:tmpl w:val="3320D8C2"/>
    <w:lvl w:ilvl="0" w:tplc="0194C85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C187226"/>
    <w:multiLevelType w:val="hybridMultilevel"/>
    <w:tmpl w:val="C8DC4C70"/>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16cid:durableId="478226246">
    <w:abstractNumId w:val="10"/>
  </w:num>
  <w:num w:numId="2" w16cid:durableId="1017193717">
    <w:abstractNumId w:val="2"/>
  </w:num>
  <w:num w:numId="3" w16cid:durableId="1459841095">
    <w:abstractNumId w:val="0"/>
  </w:num>
  <w:num w:numId="4" w16cid:durableId="1762488288">
    <w:abstractNumId w:val="9"/>
  </w:num>
  <w:num w:numId="5" w16cid:durableId="253782416">
    <w:abstractNumId w:val="11"/>
  </w:num>
  <w:num w:numId="6" w16cid:durableId="681054461">
    <w:abstractNumId w:val="1"/>
  </w:num>
  <w:num w:numId="7" w16cid:durableId="1281457244">
    <w:abstractNumId w:val="7"/>
  </w:num>
  <w:num w:numId="8" w16cid:durableId="696584740">
    <w:abstractNumId w:val="6"/>
  </w:num>
  <w:num w:numId="9" w16cid:durableId="18709923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77466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1039055">
    <w:abstractNumId w:val="8"/>
  </w:num>
  <w:num w:numId="12" w16cid:durableId="1028797073">
    <w:abstractNumId w:val="4"/>
  </w:num>
  <w:num w:numId="13" w16cid:durableId="1052731330">
    <w:abstractNumId w:val="3"/>
  </w:num>
  <w:num w:numId="14" w16cid:durableId="97067326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E50"/>
    <w:rsid w:val="00000C47"/>
    <w:rsid w:val="0000285D"/>
    <w:rsid w:val="00002F99"/>
    <w:rsid w:val="00004CCD"/>
    <w:rsid w:val="00006557"/>
    <w:rsid w:val="00007BBC"/>
    <w:rsid w:val="00007DC1"/>
    <w:rsid w:val="00010DBE"/>
    <w:rsid w:val="00020A8B"/>
    <w:rsid w:val="00022AF4"/>
    <w:rsid w:val="000328C3"/>
    <w:rsid w:val="00040667"/>
    <w:rsid w:val="0004211D"/>
    <w:rsid w:val="000458FE"/>
    <w:rsid w:val="00046640"/>
    <w:rsid w:val="00047059"/>
    <w:rsid w:val="00047CE3"/>
    <w:rsid w:val="00051A7E"/>
    <w:rsid w:val="000564AB"/>
    <w:rsid w:val="00062756"/>
    <w:rsid w:val="00062AB7"/>
    <w:rsid w:val="00070BD8"/>
    <w:rsid w:val="00070DF3"/>
    <w:rsid w:val="00077CF5"/>
    <w:rsid w:val="00077DA3"/>
    <w:rsid w:val="0008156C"/>
    <w:rsid w:val="000870D2"/>
    <w:rsid w:val="00090D76"/>
    <w:rsid w:val="000A1964"/>
    <w:rsid w:val="000A4AD4"/>
    <w:rsid w:val="000A635A"/>
    <w:rsid w:val="000B42AA"/>
    <w:rsid w:val="000B4990"/>
    <w:rsid w:val="000B5951"/>
    <w:rsid w:val="000C105E"/>
    <w:rsid w:val="000C1E93"/>
    <w:rsid w:val="000C39D8"/>
    <w:rsid w:val="000E25CC"/>
    <w:rsid w:val="000E6112"/>
    <w:rsid w:val="000F1C1F"/>
    <w:rsid w:val="000F444A"/>
    <w:rsid w:val="00100864"/>
    <w:rsid w:val="00101439"/>
    <w:rsid w:val="00101B11"/>
    <w:rsid w:val="00102321"/>
    <w:rsid w:val="001035A0"/>
    <w:rsid w:val="00107591"/>
    <w:rsid w:val="001106D6"/>
    <w:rsid w:val="001111D7"/>
    <w:rsid w:val="001152D4"/>
    <w:rsid w:val="00115614"/>
    <w:rsid w:val="00116B8D"/>
    <w:rsid w:val="00124760"/>
    <w:rsid w:val="00130A11"/>
    <w:rsid w:val="001319FB"/>
    <w:rsid w:val="00131E5D"/>
    <w:rsid w:val="0013544E"/>
    <w:rsid w:val="00137504"/>
    <w:rsid w:val="001428D7"/>
    <w:rsid w:val="00151838"/>
    <w:rsid w:val="00164278"/>
    <w:rsid w:val="001650A8"/>
    <w:rsid w:val="00165D3D"/>
    <w:rsid w:val="00167570"/>
    <w:rsid w:val="001700F6"/>
    <w:rsid w:val="00176D13"/>
    <w:rsid w:val="00182751"/>
    <w:rsid w:val="001829AA"/>
    <w:rsid w:val="00183129"/>
    <w:rsid w:val="0019177C"/>
    <w:rsid w:val="00192F2F"/>
    <w:rsid w:val="001938D6"/>
    <w:rsid w:val="001B29EE"/>
    <w:rsid w:val="001B3C17"/>
    <w:rsid w:val="001C1EF4"/>
    <w:rsid w:val="001C6E63"/>
    <w:rsid w:val="001C7B45"/>
    <w:rsid w:val="001C7CB5"/>
    <w:rsid w:val="001D38B8"/>
    <w:rsid w:val="001D3F15"/>
    <w:rsid w:val="001D58EE"/>
    <w:rsid w:val="001D5BBA"/>
    <w:rsid w:val="001D7EE8"/>
    <w:rsid w:val="001E2B0D"/>
    <w:rsid w:val="001E51CB"/>
    <w:rsid w:val="001F34B0"/>
    <w:rsid w:val="001F4298"/>
    <w:rsid w:val="001F7524"/>
    <w:rsid w:val="00203469"/>
    <w:rsid w:val="0020404A"/>
    <w:rsid w:val="002134DF"/>
    <w:rsid w:val="00216D1D"/>
    <w:rsid w:val="00233D00"/>
    <w:rsid w:val="002354A4"/>
    <w:rsid w:val="0024043A"/>
    <w:rsid w:val="00243BD9"/>
    <w:rsid w:val="00247E46"/>
    <w:rsid w:val="00257856"/>
    <w:rsid w:val="00257DF2"/>
    <w:rsid w:val="00262096"/>
    <w:rsid w:val="00263F42"/>
    <w:rsid w:val="00264D19"/>
    <w:rsid w:val="00264FAB"/>
    <w:rsid w:val="00270251"/>
    <w:rsid w:val="002709C4"/>
    <w:rsid w:val="00271FC1"/>
    <w:rsid w:val="00274487"/>
    <w:rsid w:val="00276510"/>
    <w:rsid w:val="002807C1"/>
    <w:rsid w:val="00287CD5"/>
    <w:rsid w:val="00292ED9"/>
    <w:rsid w:val="002A34E9"/>
    <w:rsid w:val="002A50EE"/>
    <w:rsid w:val="002B4814"/>
    <w:rsid w:val="002C723D"/>
    <w:rsid w:val="002D3936"/>
    <w:rsid w:val="002D4598"/>
    <w:rsid w:val="002D5818"/>
    <w:rsid w:val="002E0003"/>
    <w:rsid w:val="002E3F86"/>
    <w:rsid w:val="002F174B"/>
    <w:rsid w:val="002F745B"/>
    <w:rsid w:val="0030315D"/>
    <w:rsid w:val="00306156"/>
    <w:rsid w:val="00312C78"/>
    <w:rsid w:val="003156D4"/>
    <w:rsid w:val="00317A1E"/>
    <w:rsid w:val="00320840"/>
    <w:rsid w:val="0032358C"/>
    <w:rsid w:val="0032361D"/>
    <w:rsid w:val="00324341"/>
    <w:rsid w:val="00327582"/>
    <w:rsid w:val="003416D6"/>
    <w:rsid w:val="00342D62"/>
    <w:rsid w:val="00354430"/>
    <w:rsid w:val="0035448B"/>
    <w:rsid w:val="00360023"/>
    <w:rsid w:val="0036017B"/>
    <w:rsid w:val="003627D2"/>
    <w:rsid w:val="00371EAC"/>
    <w:rsid w:val="003757DE"/>
    <w:rsid w:val="003773A8"/>
    <w:rsid w:val="003813A8"/>
    <w:rsid w:val="00384CF7"/>
    <w:rsid w:val="00392FC2"/>
    <w:rsid w:val="00397431"/>
    <w:rsid w:val="00397AB8"/>
    <w:rsid w:val="003A41A0"/>
    <w:rsid w:val="003B1A66"/>
    <w:rsid w:val="003B24B2"/>
    <w:rsid w:val="003B646C"/>
    <w:rsid w:val="003B7A0C"/>
    <w:rsid w:val="003C008D"/>
    <w:rsid w:val="003C360C"/>
    <w:rsid w:val="003C4C7F"/>
    <w:rsid w:val="003C76F2"/>
    <w:rsid w:val="003D3EC5"/>
    <w:rsid w:val="003E2976"/>
    <w:rsid w:val="003F663C"/>
    <w:rsid w:val="004160F7"/>
    <w:rsid w:val="0042475E"/>
    <w:rsid w:val="00426B4D"/>
    <w:rsid w:val="00430EA5"/>
    <w:rsid w:val="004400EB"/>
    <w:rsid w:val="00440461"/>
    <w:rsid w:val="00450CA4"/>
    <w:rsid w:val="00450FAD"/>
    <w:rsid w:val="00451341"/>
    <w:rsid w:val="004606DD"/>
    <w:rsid w:val="004621A6"/>
    <w:rsid w:val="0046298E"/>
    <w:rsid w:val="00464D53"/>
    <w:rsid w:val="00465F58"/>
    <w:rsid w:val="00470D1A"/>
    <w:rsid w:val="00473A55"/>
    <w:rsid w:val="004746EF"/>
    <w:rsid w:val="00484973"/>
    <w:rsid w:val="00484C5D"/>
    <w:rsid w:val="00485FA1"/>
    <w:rsid w:val="00486E50"/>
    <w:rsid w:val="004930EE"/>
    <w:rsid w:val="00493FE8"/>
    <w:rsid w:val="00494721"/>
    <w:rsid w:val="0049520A"/>
    <w:rsid w:val="00495989"/>
    <w:rsid w:val="004A41FB"/>
    <w:rsid w:val="004A76FF"/>
    <w:rsid w:val="004B2B9F"/>
    <w:rsid w:val="004B6AA1"/>
    <w:rsid w:val="004C26D7"/>
    <w:rsid w:val="004D7DD4"/>
    <w:rsid w:val="005013BE"/>
    <w:rsid w:val="00502A09"/>
    <w:rsid w:val="00506A5C"/>
    <w:rsid w:val="00515BA6"/>
    <w:rsid w:val="00516C29"/>
    <w:rsid w:val="005318DB"/>
    <w:rsid w:val="00533885"/>
    <w:rsid w:val="005338CA"/>
    <w:rsid w:val="00535033"/>
    <w:rsid w:val="00543703"/>
    <w:rsid w:val="0055415E"/>
    <w:rsid w:val="0055441E"/>
    <w:rsid w:val="00556C41"/>
    <w:rsid w:val="005611E6"/>
    <w:rsid w:val="00567BDE"/>
    <w:rsid w:val="00567EAE"/>
    <w:rsid w:val="00577409"/>
    <w:rsid w:val="00577C73"/>
    <w:rsid w:val="00582F4B"/>
    <w:rsid w:val="00586E8E"/>
    <w:rsid w:val="00592EE4"/>
    <w:rsid w:val="005930B1"/>
    <w:rsid w:val="0059569F"/>
    <w:rsid w:val="005972D0"/>
    <w:rsid w:val="005C47E3"/>
    <w:rsid w:val="005C7C05"/>
    <w:rsid w:val="005D6D69"/>
    <w:rsid w:val="005E016A"/>
    <w:rsid w:val="005E309B"/>
    <w:rsid w:val="005E330F"/>
    <w:rsid w:val="005F159C"/>
    <w:rsid w:val="005F15C4"/>
    <w:rsid w:val="005F5323"/>
    <w:rsid w:val="005F7854"/>
    <w:rsid w:val="006026DD"/>
    <w:rsid w:val="006058CF"/>
    <w:rsid w:val="006117DF"/>
    <w:rsid w:val="00611EC0"/>
    <w:rsid w:val="006133B9"/>
    <w:rsid w:val="006152E5"/>
    <w:rsid w:val="006171CB"/>
    <w:rsid w:val="006213C4"/>
    <w:rsid w:val="0062512F"/>
    <w:rsid w:val="00626CBA"/>
    <w:rsid w:val="00636846"/>
    <w:rsid w:val="00640C57"/>
    <w:rsid w:val="00640F4A"/>
    <w:rsid w:val="00641527"/>
    <w:rsid w:val="00641DBF"/>
    <w:rsid w:val="00642B26"/>
    <w:rsid w:val="006529F9"/>
    <w:rsid w:val="00654CFB"/>
    <w:rsid w:val="00671173"/>
    <w:rsid w:val="00671A50"/>
    <w:rsid w:val="00674863"/>
    <w:rsid w:val="00680803"/>
    <w:rsid w:val="00683542"/>
    <w:rsid w:val="00683B7B"/>
    <w:rsid w:val="00684B9D"/>
    <w:rsid w:val="00685E62"/>
    <w:rsid w:val="006913BA"/>
    <w:rsid w:val="00696592"/>
    <w:rsid w:val="00696EDE"/>
    <w:rsid w:val="006A5BB4"/>
    <w:rsid w:val="006A6B66"/>
    <w:rsid w:val="006B1031"/>
    <w:rsid w:val="006C13CE"/>
    <w:rsid w:val="006C5A65"/>
    <w:rsid w:val="006D0BA2"/>
    <w:rsid w:val="006D1E0E"/>
    <w:rsid w:val="006E0174"/>
    <w:rsid w:val="006E210C"/>
    <w:rsid w:val="006E351D"/>
    <w:rsid w:val="006F0CF3"/>
    <w:rsid w:val="006F2EFC"/>
    <w:rsid w:val="00701984"/>
    <w:rsid w:val="00701FD0"/>
    <w:rsid w:val="007048DD"/>
    <w:rsid w:val="007060F6"/>
    <w:rsid w:val="007078FB"/>
    <w:rsid w:val="0070798A"/>
    <w:rsid w:val="00707A91"/>
    <w:rsid w:val="00711DB2"/>
    <w:rsid w:val="00713D70"/>
    <w:rsid w:val="00723269"/>
    <w:rsid w:val="00732D4B"/>
    <w:rsid w:val="007403BC"/>
    <w:rsid w:val="00750C66"/>
    <w:rsid w:val="0075370A"/>
    <w:rsid w:val="00761A13"/>
    <w:rsid w:val="007622B9"/>
    <w:rsid w:val="00763135"/>
    <w:rsid w:val="007639EC"/>
    <w:rsid w:val="00765C41"/>
    <w:rsid w:val="007667FC"/>
    <w:rsid w:val="00771747"/>
    <w:rsid w:val="0077245A"/>
    <w:rsid w:val="00775E50"/>
    <w:rsid w:val="007764C1"/>
    <w:rsid w:val="00781429"/>
    <w:rsid w:val="007876D2"/>
    <w:rsid w:val="00790C87"/>
    <w:rsid w:val="00792C55"/>
    <w:rsid w:val="007B0226"/>
    <w:rsid w:val="007B25AF"/>
    <w:rsid w:val="007B6A60"/>
    <w:rsid w:val="007C1BF1"/>
    <w:rsid w:val="007D371A"/>
    <w:rsid w:val="007D40ED"/>
    <w:rsid w:val="007D6E65"/>
    <w:rsid w:val="007E41F9"/>
    <w:rsid w:val="007F1B0A"/>
    <w:rsid w:val="007F3660"/>
    <w:rsid w:val="007F3FE1"/>
    <w:rsid w:val="00800768"/>
    <w:rsid w:val="00801B78"/>
    <w:rsid w:val="00801C5C"/>
    <w:rsid w:val="00801D0E"/>
    <w:rsid w:val="008078BB"/>
    <w:rsid w:val="00822E1A"/>
    <w:rsid w:val="008232B2"/>
    <w:rsid w:val="0083269C"/>
    <w:rsid w:val="00836F70"/>
    <w:rsid w:val="00843549"/>
    <w:rsid w:val="00844BD6"/>
    <w:rsid w:val="00845A00"/>
    <w:rsid w:val="00853690"/>
    <w:rsid w:val="00855F09"/>
    <w:rsid w:val="00872C1D"/>
    <w:rsid w:val="00874AA0"/>
    <w:rsid w:val="00876E10"/>
    <w:rsid w:val="008823B4"/>
    <w:rsid w:val="008859CC"/>
    <w:rsid w:val="008901CE"/>
    <w:rsid w:val="0089277B"/>
    <w:rsid w:val="00892FB6"/>
    <w:rsid w:val="0089650D"/>
    <w:rsid w:val="0089785F"/>
    <w:rsid w:val="008B1300"/>
    <w:rsid w:val="008B39F8"/>
    <w:rsid w:val="008B587C"/>
    <w:rsid w:val="008C6256"/>
    <w:rsid w:val="008D3054"/>
    <w:rsid w:val="008D30BC"/>
    <w:rsid w:val="008D3C73"/>
    <w:rsid w:val="008E0828"/>
    <w:rsid w:val="008E7DBA"/>
    <w:rsid w:val="008F0D56"/>
    <w:rsid w:val="008F4E00"/>
    <w:rsid w:val="0090211B"/>
    <w:rsid w:val="00917AF6"/>
    <w:rsid w:val="0092379F"/>
    <w:rsid w:val="00927BBD"/>
    <w:rsid w:val="009330D3"/>
    <w:rsid w:val="0093534E"/>
    <w:rsid w:val="0094620A"/>
    <w:rsid w:val="009511A5"/>
    <w:rsid w:val="00952D72"/>
    <w:rsid w:val="00953C3A"/>
    <w:rsid w:val="00953FDF"/>
    <w:rsid w:val="00954ECD"/>
    <w:rsid w:val="009642E2"/>
    <w:rsid w:val="00966AF6"/>
    <w:rsid w:val="0097201F"/>
    <w:rsid w:val="009721F9"/>
    <w:rsid w:val="00972AF4"/>
    <w:rsid w:val="00974CBB"/>
    <w:rsid w:val="00977E6D"/>
    <w:rsid w:val="0098237C"/>
    <w:rsid w:val="00992205"/>
    <w:rsid w:val="009B3BA1"/>
    <w:rsid w:val="009B5C43"/>
    <w:rsid w:val="009C75CA"/>
    <w:rsid w:val="009D0340"/>
    <w:rsid w:val="009D3D28"/>
    <w:rsid w:val="009D5FD8"/>
    <w:rsid w:val="009E1F85"/>
    <w:rsid w:val="009E233B"/>
    <w:rsid w:val="009E386D"/>
    <w:rsid w:val="009E4914"/>
    <w:rsid w:val="009E5FB4"/>
    <w:rsid w:val="009F0034"/>
    <w:rsid w:val="009F266F"/>
    <w:rsid w:val="00A10408"/>
    <w:rsid w:val="00A13E43"/>
    <w:rsid w:val="00A229CD"/>
    <w:rsid w:val="00A26661"/>
    <w:rsid w:val="00A3000B"/>
    <w:rsid w:val="00A36A90"/>
    <w:rsid w:val="00A415D9"/>
    <w:rsid w:val="00A47BBB"/>
    <w:rsid w:val="00A51E38"/>
    <w:rsid w:val="00A549F1"/>
    <w:rsid w:val="00A5626C"/>
    <w:rsid w:val="00A57B6A"/>
    <w:rsid w:val="00A77B94"/>
    <w:rsid w:val="00A83828"/>
    <w:rsid w:val="00A86963"/>
    <w:rsid w:val="00A95823"/>
    <w:rsid w:val="00A9781B"/>
    <w:rsid w:val="00AA0D3A"/>
    <w:rsid w:val="00AA2F42"/>
    <w:rsid w:val="00AA4831"/>
    <w:rsid w:val="00AA63B8"/>
    <w:rsid w:val="00AB4665"/>
    <w:rsid w:val="00AC3066"/>
    <w:rsid w:val="00AC3DF7"/>
    <w:rsid w:val="00AC4038"/>
    <w:rsid w:val="00AD22E1"/>
    <w:rsid w:val="00AD7862"/>
    <w:rsid w:val="00AE1DFB"/>
    <w:rsid w:val="00AE50E1"/>
    <w:rsid w:val="00AE71EC"/>
    <w:rsid w:val="00AF1A53"/>
    <w:rsid w:val="00AF1B4A"/>
    <w:rsid w:val="00AF3182"/>
    <w:rsid w:val="00AF458E"/>
    <w:rsid w:val="00B06392"/>
    <w:rsid w:val="00B07B0F"/>
    <w:rsid w:val="00B11E69"/>
    <w:rsid w:val="00B12668"/>
    <w:rsid w:val="00B31C7F"/>
    <w:rsid w:val="00B31DDE"/>
    <w:rsid w:val="00B33F98"/>
    <w:rsid w:val="00B51709"/>
    <w:rsid w:val="00B53DFA"/>
    <w:rsid w:val="00B56538"/>
    <w:rsid w:val="00B57615"/>
    <w:rsid w:val="00B66DD0"/>
    <w:rsid w:val="00B70D33"/>
    <w:rsid w:val="00B729D7"/>
    <w:rsid w:val="00B73B9F"/>
    <w:rsid w:val="00B81569"/>
    <w:rsid w:val="00B82988"/>
    <w:rsid w:val="00B83510"/>
    <w:rsid w:val="00B92B6D"/>
    <w:rsid w:val="00B9709B"/>
    <w:rsid w:val="00BC01D2"/>
    <w:rsid w:val="00BC3F16"/>
    <w:rsid w:val="00BD25FC"/>
    <w:rsid w:val="00BE2CB1"/>
    <w:rsid w:val="00BF1F1C"/>
    <w:rsid w:val="00BF3178"/>
    <w:rsid w:val="00BF41F8"/>
    <w:rsid w:val="00BF6BA3"/>
    <w:rsid w:val="00C11CBC"/>
    <w:rsid w:val="00C24804"/>
    <w:rsid w:val="00C36B48"/>
    <w:rsid w:val="00C461E3"/>
    <w:rsid w:val="00C4675D"/>
    <w:rsid w:val="00C471F6"/>
    <w:rsid w:val="00C51575"/>
    <w:rsid w:val="00C5503B"/>
    <w:rsid w:val="00C61A87"/>
    <w:rsid w:val="00C637F1"/>
    <w:rsid w:val="00C650F2"/>
    <w:rsid w:val="00C70B9E"/>
    <w:rsid w:val="00C750E8"/>
    <w:rsid w:val="00C80268"/>
    <w:rsid w:val="00C86BFF"/>
    <w:rsid w:val="00C93CE9"/>
    <w:rsid w:val="00C9519B"/>
    <w:rsid w:val="00C97BBE"/>
    <w:rsid w:val="00CA0437"/>
    <w:rsid w:val="00CA1505"/>
    <w:rsid w:val="00CA2692"/>
    <w:rsid w:val="00CA5043"/>
    <w:rsid w:val="00CA6E08"/>
    <w:rsid w:val="00CB4D04"/>
    <w:rsid w:val="00CB5F47"/>
    <w:rsid w:val="00CC05C1"/>
    <w:rsid w:val="00CC2966"/>
    <w:rsid w:val="00CC4C1B"/>
    <w:rsid w:val="00CC534E"/>
    <w:rsid w:val="00CE0416"/>
    <w:rsid w:val="00CE65AB"/>
    <w:rsid w:val="00CE753C"/>
    <w:rsid w:val="00CF015A"/>
    <w:rsid w:val="00CF26C0"/>
    <w:rsid w:val="00D0296C"/>
    <w:rsid w:val="00D05FE1"/>
    <w:rsid w:val="00D06E04"/>
    <w:rsid w:val="00D12FC1"/>
    <w:rsid w:val="00D20B03"/>
    <w:rsid w:val="00D2543C"/>
    <w:rsid w:val="00D279DE"/>
    <w:rsid w:val="00D30E12"/>
    <w:rsid w:val="00D36DC3"/>
    <w:rsid w:val="00D37422"/>
    <w:rsid w:val="00D57E59"/>
    <w:rsid w:val="00D66634"/>
    <w:rsid w:val="00D747CB"/>
    <w:rsid w:val="00D8514A"/>
    <w:rsid w:val="00D8680B"/>
    <w:rsid w:val="00D86D7C"/>
    <w:rsid w:val="00D9124B"/>
    <w:rsid w:val="00D94116"/>
    <w:rsid w:val="00D949F8"/>
    <w:rsid w:val="00D97BC5"/>
    <w:rsid w:val="00DA1178"/>
    <w:rsid w:val="00DB5706"/>
    <w:rsid w:val="00DB5796"/>
    <w:rsid w:val="00DC0458"/>
    <w:rsid w:val="00DC0C1B"/>
    <w:rsid w:val="00DC11EE"/>
    <w:rsid w:val="00DD0C04"/>
    <w:rsid w:val="00DD16A8"/>
    <w:rsid w:val="00DD17BE"/>
    <w:rsid w:val="00DD4495"/>
    <w:rsid w:val="00DE6715"/>
    <w:rsid w:val="00DF23C2"/>
    <w:rsid w:val="00DF79B6"/>
    <w:rsid w:val="00E02D5B"/>
    <w:rsid w:val="00E04A34"/>
    <w:rsid w:val="00E04BDE"/>
    <w:rsid w:val="00E05353"/>
    <w:rsid w:val="00E118B6"/>
    <w:rsid w:val="00E150AC"/>
    <w:rsid w:val="00E16AD5"/>
    <w:rsid w:val="00E170FF"/>
    <w:rsid w:val="00E234C7"/>
    <w:rsid w:val="00E23664"/>
    <w:rsid w:val="00E23EAD"/>
    <w:rsid w:val="00E24D0E"/>
    <w:rsid w:val="00E3104A"/>
    <w:rsid w:val="00E32E9C"/>
    <w:rsid w:val="00E353BC"/>
    <w:rsid w:val="00E36CA8"/>
    <w:rsid w:val="00E40CCE"/>
    <w:rsid w:val="00E426C6"/>
    <w:rsid w:val="00E43A94"/>
    <w:rsid w:val="00E456EF"/>
    <w:rsid w:val="00E5126E"/>
    <w:rsid w:val="00E55C8E"/>
    <w:rsid w:val="00E763E3"/>
    <w:rsid w:val="00E906C0"/>
    <w:rsid w:val="00E9349F"/>
    <w:rsid w:val="00EA070A"/>
    <w:rsid w:val="00EA16B2"/>
    <w:rsid w:val="00EA48D2"/>
    <w:rsid w:val="00EA4BD2"/>
    <w:rsid w:val="00EB2A51"/>
    <w:rsid w:val="00EB2D7A"/>
    <w:rsid w:val="00EB3B57"/>
    <w:rsid w:val="00EB40B0"/>
    <w:rsid w:val="00EC09CD"/>
    <w:rsid w:val="00EC370A"/>
    <w:rsid w:val="00EC4537"/>
    <w:rsid w:val="00ED2F9F"/>
    <w:rsid w:val="00ED6165"/>
    <w:rsid w:val="00ED7AC4"/>
    <w:rsid w:val="00EE0A91"/>
    <w:rsid w:val="00EE4FDD"/>
    <w:rsid w:val="00EE517D"/>
    <w:rsid w:val="00EE6A76"/>
    <w:rsid w:val="00EF0BAC"/>
    <w:rsid w:val="00F00D63"/>
    <w:rsid w:val="00F016EC"/>
    <w:rsid w:val="00F031F7"/>
    <w:rsid w:val="00F0330B"/>
    <w:rsid w:val="00F06066"/>
    <w:rsid w:val="00F16679"/>
    <w:rsid w:val="00F21F03"/>
    <w:rsid w:val="00F26BDC"/>
    <w:rsid w:val="00F303A4"/>
    <w:rsid w:val="00F33185"/>
    <w:rsid w:val="00F362B2"/>
    <w:rsid w:val="00F50D93"/>
    <w:rsid w:val="00F51659"/>
    <w:rsid w:val="00F5752F"/>
    <w:rsid w:val="00F60297"/>
    <w:rsid w:val="00F63519"/>
    <w:rsid w:val="00F63B4B"/>
    <w:rsid w:val="00F64357"/>
    <w:rsid w:val="00F67821"/>
    <w:rsid w:val="00F71CAC"/>
    <w:rsid w:val="00F72C9E"/>
    <w:rsid w:val="00F7485C"/>
    <w:rsid w:val="00F74CE6"/>
    <w:rsid w:val="00F87F2B"/>
    <w:rsid w:val="00F95555"/>
    <w:rsid w:val="00F95700"/>
    <w:rsid w:val="00FA0341"/>
    <w:rsid w:val="00FA0B55"/>
    <w:rsid w:val="00FA1958"/>
    <w:rsid w:val="00FA1EA6"/>
    <w:rsid w:val="00FA1F97"/>
    <w:rsid w:val="00FA70CF"/>
    <w:rsid w:val="00FA75AD"/>
    <w:rsid w:val="00FB2F89"/>
    <w:rsid w:val="00FC072C"/>
    <w:rsid w:val="00FC08A7"/>
    <w:rsid w:val="00FC1EA2"/>
    <w:rsid w:val="00FC3951"/>
    <w:rsid w:val="00FC4B2D"/>
    <w:rsid w:val="00FC56D7"/>
    <w:rsid w:val="00FC672D"/>
    <w:rsid w:val="00FD6A9F"/>
    <w:rsid w:val="00FD7A01"/>
    <w:rsid w:val="00FE3509"/>
    <w:rsid w:val="00FF0BEC"/>
    <w:rsid w:val="00FF2D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2FCDA"/>
  <w15:chartTrackingRefBased/>
  <w15:docId w15:val="{38080108-91CD-4699-979C-9320E967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3"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49520A"/>
    <w:pPr>
      <w:spacing w:line="288" w:lineRule="auto"/>
    </w:pPr>
    <w:rPr>
      <w:rFonts w:ascii="Arial" w:hAnsi="Arial"/>
      <w:color w:val="000000" w:themeColor="text1"/>
    </w:rPr>
  </w:style>
  <w:style w:type="paragraph" w:styleId="Heading1">
    <w:name w:val="heading 1"/>
    <w:basedOn w:val="Normal"/>
    <w:next w:val="Normal"/>
    <w:link w:val="Heading1Char"/>
    <w:uiPriority w:val="9"/>
    <w:qFormat/>
    <w:rsid w:val="00F5752F"/>
    <w:pPr>
      <w:keepNext/>
      <w:keepLines/>
      <w:numPr>
        <w:numId w:val="2"/>
      </w:numPr>
      <w:spacing w:after="480" w:line="240" w:lineRule="auto"/>
      <w:ind w:left="992" w:hanging="992"/>
      <w:outlineLvl w:val="0"/>
    </w:pPr>
    <w:rPr>
      <w:rFonts w:eastAsiaTheme="majorEastAsia" w:cstheme="majorBidi"/>
      <w:b/>
      <w:sz w:val="72"/>
      <w:szCs w:val="32"/>
      <w:lang w:val="en-AU"/>
    </w:rPr>
  </w:style>
  <w:style w:type="paragraph" w:styleId="Heading2">
    <w:name w:val="heading 2"/>
    <w:basedOn w:val="Normal"/>
    <w:next w:val="Normal"/>
    <w:link w:val="Heading2Char"/>
    <w:uiPriority w:val="9"/>
    <w:unhideWhenUsed/>
    <w:qFormat/>
    <w:rsid w:val="00B51709"/>
    <w:pPr>
      <w:keepNext/>
      <w:keepLines/>
      <w:numPr>
        <w:ilvl w:val="1"/>
        <w:numId w:val="2"/>
      </w:numPr>
      <w:spacing w:before="240"/>
      <w:ind w:left="851" w:hanging="851"/>
      <w:outlineLvl w:val="1"/>
    </w:pPr>
    <w:rPr>
      <w:rFonts w:eastAsiaTheme="majorEastAsia" w:cstheme="majorBidi"/>
      <w:b/>
      <w:color w:val="104F99"/>
      <w:sz w:val="36"/>
      <w:szCs w:val="26"/>
      <w:lang w:val="en-AU"/>
    </w:rPr>
  </w:style>
  <w:style w:type="paragraph" w:styleId="Heading3">
    <w:name w:val="heading 3"/>
    <w:basedOn w:val="Normal"/>
    <w:next w:val="Normal"/>
    <w:link w:val="Heading3Char"/>
    <w:uiPriority w:val="9"/>
    <w:unhideWhenUsed/>
    <w:qFormat/>
    <w:rsid w:val="00B51709"/>
    <w:pPr>
      <w:keepNext/>
      <w:keepLines/>
      <w:spacing w:before="200" w:after="120"/>
      <w:outlineLvl w:val="2"/>
    </w:pPr>
    <w:rPr>
      <w:rFonts w:eastAsiaTheme="majorEastAsia" w:cstheme="majorBidi"/>
      <w:b/>
      <w:color w:val="008F55"/>
      <w:sz w:val="26"/>
      <w:szCs w:val="24"/>
      <w:lang w:val="en-AU"/>
    </w:rPr>
  </w:style>
  <w:style w:type="paragraph" w:styleId="Heading4">
    <w:name w:val="heading 4"/>
    <w:basedOn w:val="Normal"/>
    <w:next w:val="Normal"/>
    <w:link w:val="Heading4Char"/>
    <w:uiPriority w:val="9"/>
    <w:unhideWhenUsed/>
    <w:qFormat/>
    <w:rsid w:val="007F3660"/>
    <w:pPr>
      <w:keepNext/>
      <w:keepLines/>
      <w:spacing w:before="120" w:after="240"/>
      <w:outlineLvl w:val="3"/>
    </w:pPr>
    <w:rPr>
      <w:rFonts w:eastAsiaTheme="majorEastAsia" w:cstheme="majorBidi"/>
      <w:b/>
      <w:iCs/>
    </w:rPr>
  </w:style>
  <w:style w:type="paragraph" w:styleId="Heading5">
    <w:name w:val="heading 5"/>
    <w:basedOn w:val="Normal"/>
    <w:next w:val="Normal"/>
    <w:link w:val="Heading5Char"/>
    <w:uiPriority w:val="9"/>
    <w:semiHidden/>
    <w:unhideWhenUsed/>
    <w:rsid w:val="007F3660"/>
    <w:pPr>
      <w:keepNext/>
      <w:keepLines/>
      <w:spacing w:before="40" w:after="0"/>
      <w:outlineLvl w:val="4"/>
    </w:pPr>
    <w:rPr>
      <w:rFonts w:eastAsiaTheme="majorEastAsia" w:cstheme="majorBidi"/>
      <w:b/>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52F"/>
    <w:rPr>
      <w:rFonts w:ascii="Arial" w:eastAsiaTheme="majorEastAsia" w:hAnsi="Arial" w:cstheme="majorBidi"/>
      <w:b/>
      <w:color w:val="000000" w:themeColor="text1"/>
      <w:sz w:val="72"/>
      <w:szCs w:val="32"/>
      <w:lang w:val="en-AU"/>
    </w:rPr>
  </w:style>
  <w:style w:type="paragraph" w:styleId="Title">
    <w:name w:val="Title"/>
    <w:basedOn w:val="Normal"/>
    <w:next w:val="Normal"/>
    <w:link w:val="TitleChar"/>
    <w:uiPriority w:val="10"/>
    <w:qFormat/>
    <w:rsid w:val="0049520A"/>
    <w:pPr>
      <w:spacing w:after="840" w:line="240" w:lineRule="auto"/>
      <w:contextualSpacing/>
    </w:pPr>
    <w:rPr>
      <w:rFonts w:eastAsiaTheme="majorEastAsia" w:cstheme="majorBidi"/>
      <w:b/>
      <w:spacing w:val="-10"/>
      <w:kern w:val="28"/>
      <w:sz w:val="84"/>
      <w:szCs w:val="56"/>
    </w:rPr>
  </w:style>
  <w:style w:type="character" w:customStyle="1" w:styleId="TitleChar">
    <w:name w:val="Title Char"/>
    <w:basedOn w:val="DefaultParagraphFont"/>
    <w:link w:val="Title"/>
    <w:uiPriority w:val="10"/>
    <w:rsid w:val="0049520A"/>
    <w:rPr>
      <w:rFonts w:ascii="Arial" w:eastAsiaTheme="majorEastAsia" w:hAnsi="Arial" w:cstheme="majorBidi"/>
      <w:b/>
      <w:color w:val="000000" w:themeColor="text1"/>
      <w:spacing w:val="-10"/>
      <w:kern w:val="28"/>
      <w:sz w:val="84"/>
      <w:szCs w:val="56"/>
    </w:rPr>
  </w:style>
  <w:style w:type="character" w:customStyle="1" w:styleId="Heading2Char">
    <w:name w:val="Heading 2 Char"/>
    <w:basedOn w:val="DefaultParagraphFont"/>
    <w:link w:val="Heading2"/>
    <w:uiPriority w:val="9"/>
    <w:rsid w:val="00B51709"/>
    <w:rPr>
      <w:rFonts w:ascii="Arial" w:eastAsiaTheme="majorEastAsia" w:hAnsi="Arial" w:cstheme="majorBidi"/>
      <w:b/>
      <w:color w:val="104F99"/>
      <w:sz w:val="36"/>
      <w:szCs w:val="26"/>
      <w:lang w:val="en-AU"/>
    </w:rPr>
  </w:style>
  <w:style w:type="character" w:customStyle="1" w:styleId="Heading3Char">
    <w:name w:val="Heading 3 Char"/>
    <w:basedOn w:val="DefaultParagraphFont"/>
    <w:link w:val="Heading3"/>
    <w:uiPriority w:val="9"/>
    <w:rsid w:val="00B51709"/>
    <w:rPr>
      <w:rFonts w:ascii="Arial" w:eastAsiaTheme="majorEastAsia" w:hAnsi="Arial" w:cstheme="majorBidi"/>
      <w:b/>
      <w:color w:val="008F55"/>
      <w:sz w:val="26"/>
      <w:szCs w:val="24"/>
      <w:lang w:val="en-AU"/>
    </w:rPr>
  </w:style>
  <w:style w:type="character" w:customStyle="1" w:styleId="Heading4Char">
    <w:name w:val="Heading 4 Char"/>
    <w:basedOn w:val="DefaultParagraphFont"/>
    <w:link w:val="Heading4"/>
    <w:uiPriority w:val="9"/>
    <w:rsid w:val="007F3660"/>
    <w:rPr>
      <w:rFonts w:ascii="Fira Sans" w:eastAsiaTheme="majorEastAsia" w:hAnsi="Fira Sans" w:cstheme="majorBidi"/>
      <w:b/>
      <w:iCs/>
      <w:color w:val="000000" w:themeColor="text1"/>
    </w:rPr>
  </w:style>
  <w:style w:type="paragraph" w:customStyle="1" w:styleId="ListLevel1">
    <w:name w:val="List Level 1"/>
    <w:basedOn w:val="ListParagraph"/>
    <w:link w:val="ListLevel1Char"/>
    <w:qFormat/>
    <w:rsid w:val="00592EE4"/>
    <w:pPr>
      <w:numPr>
        <w:numId w:val="4"/>
      </w:numPr>
      <w:spacing w:after="120" w:line="259" w:lineRule="auto"/>
      <w:contextualSpacing w:val="0"/>
    </w:pPr>
    <w:rPr>
      <w:lang w:val="en-AU"/>
    </w:rPr>
  </w:style>
  <w:style w:type="paragraph" w:customStyle="1" w:styleId="ListLevel2">
    <w:name w:val="List Level 2"/>
    <w:basedOn w:val="Normal"/>
    <w:link w:val="ListLevel2Char"/>
    <w:qFormat/>
    <w:rsid w:val="0049520A"/>
    <w:pPr>
      <w:numPr>
        <w:ilvl w:val="1"/>
        <w:numId w:val="1"/>
      </w:numPr>
      <w:contextualSpacing/>
    </w:pPr>
  </w:style>
  <w:style w:type="paragraph" w:styleId="Header">
    <w:name w:val="header"/>
    <w:basedOn w:val="Normal"/>
    <w:link w:val="HeaderChar"/>
    <w:uiPriority w:val="99"/>
    <w:unhideWhenUsed/>
    <w:rsid w:val="007F3660"/>
    <w:pPr>
      <w:tabs>
        <w:tab w:val="center" w:pos="4680"/>
        <w:tab w:val="right" w:pos="9360"/>
      </w:tabs>
      <w:spacing w:after="0" w:line="240" w:lineRule="auto"/>
    </w:pPr>
  </w:style>
  <w:style w:type="character" w:customStyle="1" w:styleId="ListLevel1Char">
    <w:name w:val="List Level 1 Char"/>
    <w:basedOn w:val="ListLevel2Char"/>
    <w:link w:val="ListLevel1"/>
    <w:rsid w:val="00592EE4"/>
    <w:rPr>
      <w:rFonts w:ascii="Arial" w:hAnsi="Arial"/>
      <w:color w:val="000000" w:themeColor="text1"/>
      <w:lang w:val="en-AU"/>
    </w:rPr>
  </w:style>
  <w:style w:type="character" w:customStyle="1" w:styleId="ListLevel2Char">
    <w:name w:val="List Level 2 Char"/>
    <w:basedOn w:val="DefaultParagraphFont"/>
    <w:link w:val="ListLevel2"/>
    <w:rsid w:val="0049520A"/>
    <w:rPr>
      <w:rFonts w:ascii="Arial" w:hAnsi="Arial"/>
      <w:color w:val="000000" w:themeColor="text1"/>
    </w:rPr>
  </w:style>
  <w:style w:type="character" w:customStyle="1" w:styleId="HeaderChar">
    <w:name w:val="Header Char"/>
    <w:basedOn w:val="DefaultParagraphFont"/>
    <w:link w:val="Header"/>
    <w:uiPriority w:val="99"/>
    <w:rsid w:val="007F3660"/>
    <w:rPr>
      <w:rFonts w:ascii="Fira Sans" w:hAnsi="Fira Sans"/>
      <w:color w:val="000000" w:themeColor="text1"/>
    </w:rPr>
  </w:style>
  <w:style w:type="paragraph" w:styleId="Footer">
    <w:name w:val="footer"/>
    <w:basedOn w:val="Normal"/>
    <w:link w:val="FooterChar"/>
    <w:uiPriority w:val="99"/>
    <w:unhideWhenUsed/>
    <w:rsid w:val="007F36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60"/>
    <w:rPr>
      <w:rFonts w:ascii="Fira Sans" w:hAnsi="Fira Sans"/>
      <w:color w:val="000000" w:themeColor="text1"/>
    </w:rPr>
  </w:style>
  <w:style w:type="paragraph" w:styleId="ListParagraph">
    <w:name w:val="List Paragraph"/>
    <w:basedOn w:val="Normal"/>
    <w:link w:val="ListParagraphChar"/>
    <w:uiPriority w:val="34"/>
    <w:qFormat/>
    <w:rsid w:val="007F3660"/>
    <w:pPr>
      <w:ind w:left="720"/>
      <w:contextualSpacing/>
    </w:pPr>
  </w:style>
  <w:style w:type="paragraph" w:customStyle="1" w:styleId="TableFigureheading">
    <w:name w:val="Table/Figure heading"/>
    <w:basedOn w:val="Heading4"/>
    <w:link w:val="TableFigureheadingChar"/>
    <w:qFormat/>
    <w:rsid w:val="00047059"/>
    <w:pPr>
      <w:spacing w:before="240"/>
    </w:pPr>
    <w:rPr>
      <w:b w:val="0"/>
      <w:color w:val="008F55"/>
    </w:rPr>
  </w:style>
  <w:style w:type="table" w:customStyle="1" w:styleId="IHACPATable">
    <w:name w:val="IHACPA Table"/>
    <w:basedOn w:val="TableNormal"/>
    <w:uiPriority w:val="99"/>
    <w:rsid w:val="007F3660"/>
    <w:pPr>
      <w:spacing w:after="0" w:line="240" w:lineRule="auto"/>
    </w:pPr>
    <w:rPr>
      <w:sz w:val="18"/>
    </w:rPr>
    <w:tblPr>
      <w:tblStyleRowBandSize w:val="1"/>
    </w:tblPr>
    <w:tblStylePr w:type="firstRow">
      <w:tblPr/>
      <w:tcPr>
        <w:shd w:val="clear" w:color="auto" w:fill="000000" w:themeFill="text2"/>
      </w:tcPr>
    </w:tblStylePr>
    <w:tblStylePr w:type="lastRow">
      <w:rPr>
        <w:rFonts w:asciiTheme="minorHAnsi" w:hAnsiTheme="minorHAnsi"/>
        <w:sz w:val="15"/>
      </w:rPr>
      <w:tblPr/>
      <w:tcPr>
        <w:tcBorders>
          <w:top w:val="nil"/>
          <w:bottom w:val="single" w:sz="4" w:space="0" w:color="D3D3D3"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3D3D3" w:themeColor="background2" w:themeShade="D9"/>
          <w:left w:val="nil"/>
          <w:bottom w:val="single" w:sz="4" w:space="0" w:color="D3D3D3" w:themeColor="background2" w:themeShade="D9"/>
          <w:right w:val="nil"/>
          <w:insideH w:val="nil"/>
          <w:insideV w:val="nil"/>
          <w:tl2br w:val="nil"/>
          <w:tr2bl w:val="nil"/>
        </w:tcBorders>
      </w:tcPr>
    </w:tblStylePr>
    <w:tblStylePr w:type="band2Horz">
      <w:tblPr/>
      <w:tcPr>
        <w:tcBorders>
          <w:top w:val="single" w:sz="4" w:space="0" w:color="D3D3D3" w:themeColor="background2" w:themeShade="D9"/>
          <w:bottom w:val="nil"/>
        </w:tcBorders>
      </w:tcPr>
    </w:tblStylePr>
  </w:style>
  <w:style w:type="character" w:customStyle="1" w:styleId="TableFigureheadingChar">
    <w:name w:val="Table/Figure heading Char"/>
    <w:basedOn w:val="Heading4Char"/>
    <w:link w:val="TableFigureheading"/>
    <w:rsid w:val="00047059"/>
    <w:rPr>
      <w:rFonts w:ascii="Arial" w:eastAsiaTheme="majorEastAsia" w:hAnsi="Arial" w:cstheme="majorBidi"/>
      <w:b w:val="0"/>
      <w:iCs/>
      <w:color w:val="008F55"/>
    </w:rPr>
  </w:style>
  <w:style w:type="table" w:styleId="TableGrid">
    <w:name w:val="Table Grid"/>
    <w:basedOn w:val="TableNormal"/>
    <w:rsid w:val="007F3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HPATable">
    <w:name w:val="IHPA Table"/>
    <w:basedOn w:val="TableNormal"/>
    <w:uiPriority w:val="99"/>
    <w:rsid w:val="007F3660"/>
    <w:pPr>
      <w:spacing w:after="0" w:line="240" w:lineRule="auto"/>
    </w:pPr>
    <w:tblPr>
      <w:tblStyleRowBandSize w:val="1"/>
    </w:tblPr>
    <w:tblStylePr w:type="firstRow">
      <w:rPr>
        <w:rFonts w:asciiTheme="minorHAnsi" w:hAnsiTheme="minorHAnsi"/>
        <w:color w:val="F8F8F8" w:themeColor="background2"/>
        <w:sz w:val="18"/>
      </w:rPr>
      <w:tblPr/>
      <w:tcPr>
        <w:shd w:val="clear" w:color="auto" w:fill="808080" w:themeFill="accent4"/>
      </w:tcPr>
    </w:tblStylePr>
    <w:tblStylePr w:type="lastRow">
      <w:rPr>
        <w:rFonts w:asciiTheme="minorHAnsi" w:hAnsiTheme="minorHAnsi"/>
        <w:sz w:val="15"/>
      </w:rPr>
      <w:tblPr/>
      <w:tcPr>
        <w:tcBorders>
          <w:top w:val="nil"/>
          <w:bottom w:val="single" w:sz="4" w:space="0" w:color="D3D3D3" w:themeColor="background2" w:themeShade="D9"/>
        </w:tcBorders>
      </w:tcPr>
    </w:tblStylePr>
    <w:tblStylePr w:type="firstCol">
      <w:rPr>
        <w:rFonts w:asciiTheme="minorHAnsi" w:hAnsiTheme="minorHAnsi"/>
        <w:sz w:val="15"/>
      </w:rPr>
      <w:tblPr/>
      <w:tcPr>
        <w:tcBorders>
          <w:top w:val="nil"/>
          <w:bottom w:val="nil"/>
        </w:tcBorders>
      </w:tcPr>
    </w:tblStylePr>
    <w:tblStylePr w:type="band1Horz">
      <w:tblPr/>
      <w:tcPr>
        <w:tcBorders>
          <w:top w:val="single" w:sz="4" w:space="0" w:color="D3D3D3" w:themeColor="background2" w:themeShade="D9"/>
          <w:left w:val="nil"/>
          <w:bottom w:val="single" w:sz="4" w:space="0" w:color="D3D3D3" w:themeColor="background2" w:themeShade="D9"/>
          <w:right w:val="nil"/>
          <w:insideH w:val="nil"/>
          <w:insideV w:val="nil"/>
          <w:tl2br w:val="nil"/>
          <w:tr2bl w:val="nil"/>
        </w:tcBorders>
      </w:tcPr>
    </w:tblStylePr>
    <w:tblStylePr w:type="band2Horz">
      <w:tblPr/>
      <w:tcPr>
        <w:tcBorders>
          <w:top w:val="single" w:sz="4" w:space="0" w:color="D3D3D3" w:themeColor="background2" w:themeShade="D9"/>
          <w:bottom w:val="nil"/>
        </w:tcBorders>
      </w:tcPr>
    </w:tblStylePr>
  </w:style>
  <w:style w:type="paragraph" w:customStyle="1" w:styleId="Footnote">
    <w:name w:val="Footnote"/>
    <w:basedOn w:val="Normal"/>
    <w:link w:val="FootnoteChar"/>
    <w:qFormat/>
    <w:rsid w:val="0049520A"/>
    <w:pPr>
      <w:spacing w:after="120"/>
    </w:pPr>
    <w:rPr>
      <w:sz w:val="16"/>
      <w:szCs w:val="15"/>
    </w:rPr>
  </w:style>
  <w:style w:type="character" w:customStyle="1" w:styleId="FootnoteChar">
    <w:name w:val="Footnote Char"/>
    <w:basedOn w:val="DefaultParagraphFont"/>
    <w:link w:val="Footnote"/>
    <w:rsid w:val="0049520A"/>
    <w:rPr>
      <w:rFonts w:ascii="Arial" w:hAnsi="Arial"/>
      <w:color w:val="000000" w:themeColor="text1"/>
      <w:sz w:val="16"/>
      <w:szCs w:val="15"/>
    </w:rPr>
  </w:style>
  <w:style w:type="character" w:styleId="Hyperlink">
    <w:name w:val="Hyperlink"/>
    <w:basedOn w:val="DefaultParagraphFont"/>
    <w:uiPriority w:val="99"/>
    <w:unhideWhenUsed/>
    <w:rsid w:val="007F3660"/>
    <w:rPr>
      <w:color w:val="5F5F5F" w:themeColor="hyperlink"/>
      <w:u w:val="single"/>
    </w:rPr>
  </w:style>
  <w:style w:type="paragraph" w:styleId="TOC1">
    <w:name w:val="toc 1"/>
    <w:basedOn w:val="Normal"/>
    <w:next w:val="Normal"/>
    <w:autoRedefine/>
    <w:uiPriority w:val="39"/>
    <w:unhideWhenUsed/>
    <w:rsid w:val="00CC534E"/>
    <w:pPr>
      <w:tabs>
        <w:tab w:val="right" w:leader="dot" w:pos="9736"/>
      </w:tabs>
      <w:spacing w:after="360"/>
    </w:pPr>
    <w:rPr>
      <w:b/>
      <w:sz w:val="24"/>
    </w:rPr>
  </w:style>
  <w:style w:type="paragraph" w:customStyle="1" w:styleId="CoverTitle">
    <w:name w:val="Cover Title"/>
    <w:basedOn w:val="Title"/>
    <w:link w:val="CoverTitleChar"/>
    <w:qFormat/>
    <w:rsid w:val="0049520A"/>
    <w:pPr>
      <w:spacing w:after="720"/>
      <w:ind w:right="1242"/>
    </w:pPr>
    <w:rPr>
      <w:color w:val="F8F8F8" w:themeColor="background2"/>
      <w:sz w:val="96"/>
      <w:szCs w:val="96"/>
    </w:rPr>
  </w:style>
  <w:style w:type="paragraph" w:customStyle="1" w:styleId="Coversubtitle">
    <w:name w:val="Cover subtitle"/>
    <w:basedOn w:val="CoverTitle"/>
    <w:link w:val="CoversubtitleChar"/>
    <w:qFormat/>
    <w:rsid w:val="0049520A"/>
    <w:rPr>
      <w:color w:val="5F5F5F" w:themeColor="accent5"/>
      <w:sz w:val="48"/>
      <w:szCs w:val="48"/>
    </w:rPr>
  </w:style>
  <w:style w:type="character" w:customStyle="1" w:styleId="CoverTitleChar">
    <w:name w:val="Cover Title Char"/>
    <w:basedOn w:val="TitleChar"/>
    <w:link w:val="CoverTitle"/>
    <w:rsid w:val="0049520A"/>
    <w:rPr>
      <w:rFonts w:ascii="Arial" w:eastAsiaTheme="majorEastAsia" w:hAnsi="Arial" w:cstheme="majorBidi"/>
      <w:b/>
      <w:color w:val="F8F8F8" w:themeColor="background2"/>
      <w:spacing w:val="-10"/>
      <w:kern w:val="28"/>
      <w:sz w:val="96"/>
      <w:szCs w:val="96"/>
    </w:rPr>
  </w:style>
  <w:style w:type="character" w:styleId="UnresolvedMention">
    <w:name w:val="Unresolved Mention"/>
    <w:basedOn w:val="DefaultParagraphFont"/>
    <w:uiPriority w:val="99"/>
    <w:semiHidden/>
    <w:unhideWhenUsed/>
    <w:rsid w:val="007F3660"/>
    <w:rPr>
      <w:color w:val="605E5C"/>
      <w:shd w:val="clear" w:color="auto" w:fill="E1DFDD"/>
    </w:rPr>
  </w:style>
  <w:style w:type="character" w:customStyle="1" w:styleId="CoversubtitleChar">
    <w:name w:val="Cover subtitle Char"/>
    <w:basedOn w:val="CoverTitleChar"/>
    <w:link w:val="Coversubtitle"/>
    <w:rsid w:val="0049520A"/>
    <w:rPr>
      <w:rFonts w:ascii="Arial" w:eastAsiaTheme="majorEastAsia" w:hAnsi="Arial" w:cstheme="majorBidi"/>
      <w:b/>
      <w:color w:val="5F5F5F" w:themeColor="accent5"/>
      <w:spacing w:val="-10"/>
      <w:kern w:val="28"/>
      <w:sz w:val="48"/>
      <w:szCs w:val="48"/>
    </w:rPr>
  </w:style>
  <w:style w:type="paragraph" w:customStyle="1" w:styleId="Copyrightcopy">
    <w:name w:val="Copyright copy"/>
    <w:basedOn w:val="Normal"/>
    <w:next w:val="Normal"/>
    <w:qFormat/>
    <w:rsid w:val="0049520A"/>
    <w:pPr>
      <w:ind w:right="4064"/>
    </w:pPr>
    <w:rPr>
      <w:sz w:val="18"/>
    </w:rPr>
  </w:style>
  <w:style w:type="paragraph" w:customStyle="1" w:styleId="Copyrightheading">
    <w:name w:val="Copyright heading"/>
    <w:basedOn w:val="Heading4"/>
    <w:next w:val="Normal"/>
    <w:qFormat/>
    <w:rsid w:val="0049520A"/>
  </w:style>
  <w:style w:type="character" w:customStyle="1" w:styleId="Heading5Char">
    <w:name w:val="Heading 5 Char"/>
    <w:basedOn w:val="DefaultParagraphFont"/>
    <w:link w:val="Heading5"/>
    <w:uiPriority w:val="9"/>
    <w:semiHidden/>
    <w:rsid w:val="007F3660"/>
    <w:rPr>
      <w:rFonts w:ascii="Fira Sans" w:eastAsiaTheme="majorEastAsia" w:hAnsi="Fira Sans" w:cstheme="majorBidi"/>
      <w:b/>
      <w:color w:val="A5A5A5" w:themeColor="accent1" w:themeShade="BF"/>
    </w:rPr>
  </w:style>
  <w:style w:type="paragraph" w:styleId="NoSpacing">
    <w:name w:val="No Spacing"/>
    <w:uiPriority w:val="1"/>
    <w:rsid w:val="0049520A"/>
    <w:pPr>
      <w:spacing w:after="0" w:line="240" w:lineRule="auto"/>
    </w:pPr>
    <w:rPr>
      <w:rFonts w:ascii="Arial" w:hAnsi="Arial"/>
      <w:color w:val="000000" w:themeColor="text1"/>
    </w:rPr>
  </w:style>
  <w:style w:type="paragraph" w:styleId="Subtitle">
    <w:name w:val="Subtitle"/>
    <w:basedOn w:val="Normal"/>
    <w:next w:val="Normal"/>
    <w:link w:val="SubtitleChar"/>
    <w:uiPriority w:val="11"/>
    <w:rsid w:val="007F366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3660"/>
    <w:rPr>
      <w:rFonts w:ascii="Fira Sans" w:eastAsiaTheme="minorEastAsia" w:hAnsi="Fira Sans"/>
      <w:color w:val="5A5A5A" w:themeColor="text1" w:themeTint="A5"/>
      <w:spacing w:val="15"/>
    </w:rPr>
  </w:style>
  <w:style w:type="character" w:styleId="CommentReference">
    <w:name w:val="annotation reference"/>
    <w:basedOn w:val="DefaultParagraphFont"/>
    <w:uiPriority w:val="99"/>
    <w:semiHidden/>
    <w:unhideWhenUsed/>
    <w:rsid w:val="004A41FB"/>
    <w:rPr>
      <w:sz w:val="16"/>
      <w:szCs w:val="16"/>
    </w:rPr>
  </w:style>
  <w:style w:type="paragraph" w:styleId="CommentText">
    <w:name w:val="annotation text"/>
    <w:basedOn w:val="Normal"/>
    <w:link w:val="CommentTextChar"/>
    <w:uiPriority w:val="99"/>
    <w:unhideWhenUsed/>
    <w:rsid w:val="004A41FB"/>
    <w:pPr>
      <w:spacing w:line="240" w:lineRule="auto"/>
    </w:pPr>
    <w:rPr>
      <w:sz w:val="20"/>
      <w:szCs w:val="20"/>
    </w:rPr>
  </w:style>
  <w:style w:type="character" w:customStyle="1" w:styleId="CommentTextChar">
    <w:name w:val="Comment Text Char"/>
    <w:basedOn w:val="DefaultParagraphFont"/>
    <w:link w:val="CommentText"/>
    <w:uiPriority w:val="99"/>
    <w:rsid w:val="004A41FB"/>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A41FB"/>
    <w:rPr>
      <w:b/>
      <w:bCs/>
    </w:rPr>
  </w:style>
  <w:style w:type="character" w:customStyle="1" w:styleId="CommentSubjectChar">
    <w:name w:val="Comment Subject Char"/>
    <w:basedOn w:val="CommentTextChar"/>
    <w:link w:val="CommentSubject"/>
    <w:uiPriority w:val="99"/>
    <w:semiHidden/>
    <w:rsid w:val="004A41FB"/>
    <w:rPr>
      <w:rFonts w:ascii="Arial" w:hAnsi="Arial"/>
      <w:b/>
      <w:bCs/>
      <w:color w:val="000000" w:themeColor="text1"/>
      <w:sz w:val="20"/>
      <w:szCs w:val="20"/>
    </w:rPr>
  </w:style>
  <w:style w:type="paragraph" w:styleId="Revision">
    <w:name w:val="Revision"/>
    <w:hidden/>
    <w:uiPriority w:val="99"/>
    <w:semiHidden/>
    <w:rsid w:val="007622B9"/>
    <w:pPr>
      <w:spacing w:after="0" w:line="240" w:lineRule="auto"/>
    </w:pPr>
    <w:rPr>
      <w:rFonts w:ascii="Arial" w:hAnsi="Arial"/>
      <w:color w:val="000000" w:themeColor="text1"/>
    </w:rPr>
  </w:style>
  <w:style w:type="paragraph" w:styleId="FootnoteText">
    <w:name w:val="footnote text"/>
    <w:basedOn w:val="Normal"/>
    <w:link w:val="FootnoteTextChar"/>
    <w:autoRedefine/>
    <w:uiPriority w:val="99"/>
    <w:rsid w:val="00E9349F"/>
    <w:pPr>
      <w:spacing w:after="0" w:line="240" w:lineRule="auto"/>
      <w:ind w:left="142" w:hanging="142"/>
    </w:pPr>
    <w:rPr>
      <w:rFonts w:eastAsia="Times New Roman" w:cs="Times New Roman"/>
      <w:color w:val="auto"/>
      <w:sz w:val="20"/>
      <w:szCs w:val="20"/>
      <w:lang w:val="en-AU" w:eastAsia="en-AU"/>
    </w:rPr>
  </w:style>
  <w:style w:type="character" w:customStyle="1" w:styleId="FootnoteTextChar">
    <w:name w:val="Footnote Text Char"/>
    <w:basedOn w:val="DefaultParagraphFont"/>
    <w:link w:val="FootnoteText"/>
    <w:uiPriority w:val="99"/>
    <w:rsid w:val="00E9349F"/>
    <w:rPr>
      <w:rFonts w:ascii="Arial" w:eastAsia="Times New Roman" w:hAnsi="Arial" w:cs="Times New Roman"/>
      <w:sz w:val="20"/>
      <w:szCs w:val="20"/>
      <w:lang w:val="en-AU" w:eastAsia="en-AU"/>
    </w:rPr>
  </w:style>
  <w:style w:type="character" w:styleId="FootnoteReference">
    <w:name w:val="footnote reference"/>
    <w:aliases w:val="Footnote text"/>
    <w:basedOn w:val="DefaultParagraphFont"/>
    <w:uiPriority w:val="99"/>
    <w:rsid w:val="004606DD"/>
    <w:rPr>
      <w:vertAlign w:val="superscript"/>
    </w:rPr>
  </w:style>
  <w:style w:type="paragraph" w:styleId="ListBullet4">
    <w:name w:val="List Bullet 4"/>
    <w:basedOn w:val="Normal"/>
    <w:autoRedefine/>
    <w:uiPriority w:val="3"/>
    <w:semiHidden/>
    <w:unhideWhenUsed/>
    <w:rsid w:val="004606DD"/>
    <w:pPr>
      <w:numPr>
        <w:numId w:val="3"/>
      </w:numPr>
      <w:spacing w:before="120" w:after="120" w:line="260" w:lineRule="atLeast"/>
      <w:contextualSpacing/>
    </w:pPr>
    <w:rPr>
      <w:rFonts w:eastAsia="Times New Roman" w:cs="Times New Roman"/>
      <w:color w:val="auto"/>
      <w:szCs w:val="24"/>
      <w:lang w:val="en-AU" w:eastAsia="en-AU"/>
    </w:rPr>
  </w:style>
  <w:style w:type="paragraph" w:customStyle="1" w:styleId="TableText">
    <w:name w:val="Table Text"/>
    <w:basedOn w:val="Normal"/>
    <w:autoRedefine/>
    <w:uiPriority w:val="99"/>
    <w:qFormat/>
    <w:rsid w:val="00FC072C"/>
    <w:pPr>
      <w:spacing w:before="80" w:after="80" w:line="240" w:lineRule="atLeast"/>
    </w:pPr>
    <w:rPr>
      <w:rFonts w:eastAsia="Times New Roman" w:cs="Times New Roman"/>
      <w:color w:val="auto"/>
      <w:sz w:val="20"/>
      <w:szCs w:val="24"/>
      <w:lang w:val="en-AU" w:eastAsia="en-AU"/>
    </w:rPr>
  </w:style>
  <w:style w:type="character" w:styleId="Emphasis">
    <w:name w:val="Emphasis"/>
    <w:basedOn w:val="DefaultParagraphFont"/>
    <w:qFormat/>
    <w:rsid w:val="00A83828"/>
    <w:rPr>
      <w:i/>
      <w:iCs/>
    </w:rPr>
  </w:style>
  <w:style w:type="paragraph" w:styleId="NormalIndent">
    <w:name w:val="Normal Indent"/>
    <w:basedOn w:val="Normal"/>
    <w:autoRedefine/>
    <w:unhideWhenUsed/>
    <w:rsid w:val="00A83828"/>
    <w:pPr>
      <w:spacing w:before="120" w:after="120" w:line="260" w:lineRule="atLeast"/>
      <w:ind w:left="567"/>
    </w:pPr>
    <w:rPr>
      <w:rFonts w:eastAsia="Times New Roman" w:cs="Times New Roman"/>
      <w:color w:val="auto"/>
      <w:szCs w:val="24"/>
      <w:lang w:val="en-AU" w:eastAsia="en-AU"/>
    </w:rPr>
  </w:style>
  <w:style w:type="character" w:customStyle="1" w:styleId="ListParagraphChar">
    <w:name w:val="List Paragraph Char"/>
    <w:link w:val="ListParagraph"/>
    <w:uiPriority w:val="34"/>
    <w:locked/>
    <w:rsid w:val="00BF41F8"/>
    <w:rPr>
      <w:rFonts w:ascii="Arial" w:hAnsi="Arial"/>
      <w:color w:val="000000" w:themeColor="text1"/>
    </w:rPr>
  </w:style>
  <w:style w:type="table" w:styleId="TableTheme">
    <w:name w:val="Table Theme"/>
    <w:basedOn w:val="TableNormal"/>
    <w:rsid w:val="00BF41F8"/>
    <w:pPr>
      <w:spacing w:before="120" w:after="120" w:line="26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01439"/>
    <w:rPr>
      <w:b/>
      <w:bCs/>
    </w:rPr>
  </w:style>
  <w:style w:type="paragraph" w:styleId="NormalWeb">
    <w:name w:val="Normal (Web)"/>
    <w:basedOn w:val="Normal"/>
    <w:autoRedefine/>
    <w:uiPriority w:val="99"/>
    <w:unhideWhenUsed/>
    <w:rsid w:val="00101439"/>
    <w:pPr>
      <w:spacing w:before="120" w:after="120" w:line="260" w:lineRule="atLeast"/>
    </w:pPr>
    <w:rPr>
      <w:rFonts w:eastAsia="Times New Roman" w:cs="Arial"/>
      <w:color w:val="auto"/>
      <w:lang w:val="en-AU" w:eastAsia="en-AU"/>
    </w:rPr>
  </w:style>
  <w:style w:type="paragraph" w:customStyle="1" w:styleId="AppendixH1">
    <w:name w:val="Appendix H1"/>
    <w:basedOn w:val="Normal"/>
    <w:autoRedefine/>
    <w:uiPriority w:val="1"/>
    <w:semiHidden/>
    <w:rsid w:val="00101439"/>
    <w:pPr>
      <w:keepNext/>
      <w:keepLines/>
      <w:spacing w:after="360" w:line="240" w:lineRule="auto"/>
      <w:contextualSpacing/>
      <w:outlineLvl w:val="0"/>
    </w:pPr>
    <w:rPr>
      <w:rFonts w:asciiTheme="majorHAnsi" w:eastAsia="Times New Roman" w:hAnsiTheme="majorHAnsi" w:cs="Times New Roman"/>
      <w:b/>
      <w:color w:val="auto"/>
      <w:sz w:val="44"/>
      <w:szCs w:val="44"/>
      <w:lang w:val="en-AU" w:eastAsia="en-AU"/>
    </w:rPr>
  </w:style>
  <w:style w:type="character" w:styleId="FollowedHyperlink">
    <w:name w:val="FollowedHyperlink"/>
    <w:basedOn w:val="DefaultParagraphFont"/>
    <w:uiPriority w:val="99"/>
    <w:semiHidden/>
    <w:unhideWhenUsed/>
    <w:rsid w:val="00137504"/>
    <w:rPr>
      <w:color w:val="919191" w:themeColor="followedHyperlink"/>
      <w:u w:val="single"/>
    </w:rPr>
  </w:style>
  <w:style w:type="paragraph" w:styleId="ListNumber">
    <w:name w:val="List Number"/>
    <w:basedOn w:val="Normal"/>
    <w:autoRedefine/>
    <w:uiPriority w:val="3"/>
    <w:rsid w:val="009C75CA"/>
    <w:pPr>
      <w:numPr>
        <w:numId w:val="6"/>
      </w:numPr>
      <w:spacing w:before="120" w:after="120" w:line="260" w:lineRule="atLeast"/>
      <w:contextualSpacing/>
    </w:pPr>
    <w:rPr>
      <w:rFonts w:eastAsia="Times New Roman" w:cs="Times New Roman"/>
      <w:color w:val="auto"/>
      <w:szCs w:val="24"/>
      <w:lang w:val="en-AU" w:eastAsia="en-AU"/>
    </w:rPr>
  </w:style>
  <w:style w:type="table" w:customStyle="1" w:styleId="TableGrid1">
    <w:name w:val="Table Grid1"/>
    <w:basedOn w:val="TableNormal"/>
    <w:next w:val="TableGrid"/>
    <w:rsid w:val="009C75CA"/>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Heading">
    <w:name w:val="Figure Heading"/>
    <w:basedOn w:val="Normal"/>
    <w:next w:val="Normal"/>
    <w:autoRedefine/>
    <w:uiPriority w:val="99"/>
    <w:qFormat/>
    <w:rsid w:val="004B2B9F"/>
    <w:pPr>
      <w:keepNext/>
      <w:keepLines/>
      <w:numPr>
        <w:numId w:val="7"/>
      </w:numPr>
      <w:tabs>
        <w:tab w:val="left" w:pos="907"/>
      </w:tabs>
      <w:spacing w:before="120" w:after="120"/>
      <w:ind w:left="907" w:hanging="907"/>
      <w:contextualSpacing/>
    </w:pPr>
    <w:rPr>
      <w:rFonts w:eastAsia="Times New Roman" w:cs="Times New Roman"/>
      <w:b/>
      <w:bCs/>
      <w:color w:val="auto"/>
      <w:szCs w:val="24"/>
      <w:lang w:val="en-AU" w:eastAsia="en-AU"/>
    </w:rPr>
  </w:style>
  <w:style w:type="table" w:customStyle="1" w:styleId="TableGrid2">
    <w:name w:val="Table Grid2"/>
    <w:basedOn w:val="TableNormal"/>
    <w:next w:val="TableGrid"/>
    <w:rsid w:val="00642B2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42B2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42B26"/>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845A00"/>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65AB"/>
    <w:pPr>
      <w:numPr>
        <w:numId w:val="0"/>
      </w:numPr>
      <w:spacing w:before="240" w:after="0" w:line="259" w:lineRule="auto"/>
      <w:outlineLvl w:val="9"/>
    </w:pPr>
    <w:rPr>
      <w:rFonts w:asciiTheme="majorHAnsi" w:hAnsiTheme="majorHAnsi"/>
      <w:b w:val="0"/>
      <w:color w:val="A5A5A5" w:themeColor="accent1" w:themeShade="BF"/>
      <w:sz w:val="32"/>
      <w:lang w:val="en-US"/>
    </w:rPr>
  </w:style>
  <w:style w:type="paragraph" w:styleId="TOC2">
    <w:name w:val="toc 2"/>
    <w:basedOn w:val="Normal"/>
    <w:next w:val="Normal"/>
    <w:autoRedefine/>
    <w:uiPriority w:val="39"/>
    <w:unhideWhenUsed/>
    <w:rsid w:val="00CE65AB"/>
    <w:pPr>
      <w:spacing w:after="100"/>
      <w:ind w:left="220"/>
    </w:pPr>
  </w:style>
  <w:style w:type="paragraph" w:styleId="TOC3">
    <w:name w:val="toc 3"/>
    <w:basedOn w:val="Normal"/>
    <w:next w:val="Normal"/>
    <w:autoRedefine/>
    <w:uiPriority w:val="39"/>
    <w:unhideWhenUsed/>
    <w:rsid w:val="00CE65A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80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ihacpa.gov.au/resources/shadow-pricing-guidelines" TargetMode="External"/><Relationship Id="rId26" Type="http://schemas.openxmlformats.org/officeDocument/2006/relationships/hyperlink" Target="mailto:enquiries.ihacpa@ihacpa.gov.au" TargetMode="External"/><Relationship Id="rId3" Type="http://schemas.openxmlformats.org/officeDocument/2006/relationships/styles" Target="styles.xml"/><Relationship Id="rId21" Type="http://schemas.openxmlformats.org/officeDocument/2006/relationships/hyperlink" Target="https://www.ihacpa.gov.au/resources/back-casting-policy"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ihacpa.gov.au/resources/national-pricing-model-stability-policy" TargetMode="External"/><Relationship Id="rId25" Type="http://schemas.openxmlformats.org/officeDocument/2006/relationships/image" Target="media/image7.svg"/><Relationship Id="rId2" Type="http://schemas.openxmlformats.org/officeDocument/2006/relationships/numbering" Target="numbering.xml"/><Relationship Id="rId16" Type="http://schemas.openxmlformats.org/officeDocument/2006/relationships/hyperlink" Target="https://www.ihacpa.gov.au/resources/assessment-adjustments-national-pricing-model-policy" TargetMode="External"/><Relationship Id="rId20" Type="http://schemas.openxmlformats.org/officeDocument/2006/relationships/image" Target="media/image5.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ihacpa.gov.au/resources/back-casting-policy" TargetMode="External"/><Relationship Id="rId23" Type="http://schemas.openxmlformats.org/officeDocument/2006/relationships/footer" Target="footer2.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www.ihacpa.gov.au/resources/shadow-pricing-guideline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www.ihacpa.gov.au/health-care/pricing/national-pricing-model-technical-specifications" TargetMode="External"/><Relationship Id="rId22" Type="http://schemas.openxmlformats.org/officeDocument/2006/relationships/header" Target="header3.xml"/><Relationship Id="rId27" Type="http://schemas.openxmlformats.org/officeDocument/2006/relationships/hyperlink" Target="http://www.ihacpa.gov.a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HACPA">
      <a:majorFont>
        <a:latin typeface="Josefin Sans Bold"/>
        <a:ea typeface=""/>
        <a:cs typeface=""/>
      </a:majorFont>
      <a:minorFont>
        <a:latin typeface="Fira San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6822A-1CD2-483E-8A1D-E38221B7C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29</Pages>
  <Words>6910</Words>
  <Characters>39387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Laura</dc:creator>
  <cp:keywords/>
  <dc:description/>
  <cp:lastModifiedBy>FENG, Cindy</cp:lastModifiedBy>
  <cp:revision>13</cp:revision>
  <dcterms:created xsi:type="dcterms:W3CDTF">2024-04-26T20:06:00Z</dcterms:created>
  <dcterms:modified xsi:type="dcterms:W3CDTF">2024-06-05T23:13:00Z</dcterms:modified>
</cp:coreProperties>
</file>