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4263" w14:textId="12A6AA81" w:rsidR="001F3FD7" w:rsidRDefault="001F3FD7" w:rsidP="001F3FD7">
      <w:pPr>
        <w:spacing w:after="1680"/>
      </w:pPr>
      <w:bookmarkStart w:id="0" w:name="_Toc144215416"/>
      <w:bookmarkStart w:id="1" w:name="_Toc144967616"/>
      <w:bookmarkStart w:id="2" w:name="_Toc144215419"/>
      <w:bookmarkStart w:id="3" w:name="_Toc144967620"/>
      <w:bookmarkStart w:id="4" w:name="_Toc144967629"/>
      <w:bookmarkStart w:id="5" w:name="_Toc144215429"/>
    </w:p>
    <w:p w14:paraId="0DFDAD54" w14:textId="33620CED" w:rsidR="001F3FD7" w:rsidRPr="00257DF2" w:rsidRDefault="001F3FD7" w:rsidP="001F3FD7">
      <w:pPr>
        <w:pStyle w:val="CoverTitle"/>
        <w:rPr>
          <w:color w:val="15272F" w:themeColor="text1"/>
        </w:rPr>
      </w:pPr>
      <w:r w:rsidRPr="001F3FD7">
        <w:rPr>
          <w:color w:val="15272F" w:themeColor="text1"/>
        </w:rPr>
        <w:t>National Hospital Cost Data Collection</w:t>
      </w:r>
    </w:p>
    <w:p w14:paraId="363B34EC" w14:textId="77777777" w:rsidR="001F3FD7" w:rsidRDefault="001F3FD7" w:rsidP="001F3FD7">
      <w:pPr>
        <w:pStyle w:val="Coversubtitle"/>
        <w:rPr>
          <w:color w:val="104F99" w:themeColor="accent2"/>
        </w:rPr>
      </w:pPr>
      <w:r w:rsidRPr="001F3FD7">
        <w:rPr>
          <w:color w:val="104F99" w:themeColor="accent2"/>
        </w:rPr>
        <w:t>Public Sector Report, 2021-22</w:t>
      </w:r>
    </w:p>
    <w:p w14:paraId="4EA98F30" w14:textId="77777777" w:rsidR="001F3FD7" w:rsidRPr="001F3FD7" w:rsidRDefault="001F3FD7" w:rsidP="001F3FD7"/>
    <w:p w14:paraId="0DFB667B" w14:textId="59A57156" w:rsidR="001F3FD7" w:rsidRPr="001F3FD7" w:rsidRDefault="001F3FD7" w:rsidP="00371E79">
      <w:pPr>
        <w:sectPr w:rsidR="001F3FD7" w:rsidRPr="001F3FD7" w:rsidSect="00D60A37">
          <w:headerReference w:type="default" r:id="rId11"/>
          <w:footerReference w:type="default" r:id="rId12"/>
          <w:pgSz w:w="11906" w:h="16838" w:code="9"/>
          <w:pgMar w:top="1440" w:right="1080" w:bottom="1440" w:left="1080" w:header="708" w:footer="1134" w:gutter="0"/>
          <w:cols w:space="720"/>
          <w:docGrid w:linePitch="360"/>
        </w:sectPr>
      </w:pPr>
    </w:p>
    <w:p w14:paraId="00973628" w14:textId="45898C0D" w:rsidR="001F3FD7" w:rsidRPr="007372C2" w:rsidRDefault="001F3FD7" w:rsidP="001F3FD7">
      <w:pPr>
        <w:pStyle w:val="Copyrightheading"/>
      </w:pPr>
      <w:r w:rsidRPr="001F3FD7">
        <w:lastRenderedPageBreak/>
        <w:t xml:space="preserve">NHCDC Public Sector Report 2021-22 — </w:t>
      </w:r>
      <w:r w:rsidR="00EE76DB">
        <w:t>March 2024</w:t>
      </w:r>
    </w:p>
    <w:p w14:paraId="44055C38" w14:textId="77777777" w:rsidR="001F3FD7" w:rsidRPr="007372C2" w:rsidRDefault="001F3FD7" w:rsidP="001F3FD7">
      <w:pPr>
        <w:pStyle w:val="Copyrightcopy"/>
      </w:pPr>
      <w:r w:rsidRPr="007372C2">
        <w:rPr>
          <w:rFonts w:hint="cs"/>
        </w:rPr>
        <w:t>©</w:t>
      </w:r>
      <w:r w:rsidRPr="007372C2">
        <w:t xml:space="preserve"> Independent Health and Aged Care Pricing Authority 2022</w:t>
      </w:r>
    </w:p>
    <w:p w14:paraId="1CAFB952" w14:textId="77777777" w:rsidR="001F3FD7" w:rsidRPr="007372C2" w:rsidRDefault="001F3FD7" w:rsidP="001F3FD7">
      <w:pPr>
        <w:pStyle w:val="Copyrightcopy"/>
      </w:pPr>
      <w:r w:rsidRPr="007372C2">
        <w:t>This publication is available for your use under a Creative Commons BY Attribution 3.0 Australia licence, with the exception of the Independent Health and Aged Care Pricing Authority logo, photographs, images, signatures and where otherwise stated. The full licence terms are available from the Creative Commons website.</w:t>
      </w:r>
    </w:p>
    <w:p w14:paraId="1C655017" w14:textId="77777777" w:rsidR="001F3FD7" w:rsidRPr="007372C2" w:rsidRDefault="001F3FD7" w:rsidP="001F3FD7">
      <w:pPr>
        <w:pStyle w:val="Copyrightcopy"/>
      </w:pPr>
      <w:r w:rsidRPr="007372C2">
        <w:rPr>
          <w:noProof/>
        </w:rPr>
        <w:drawing>
          <wp:inline distT="0" distB="0" distL="0" distR="0" wp14:anchorId="636FDC9C" wp14:editId="556F3E90">
            <wp:extent cx="1175004" cy="411480"/>
            <wp:effectExtent l="0" t="0" r="6350" b="7620"/>
            <wp:docPr id="14" name="Picture 1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3">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7372C2">
        <w:t xml:space="preserve"> </w:t>
      </w:r>
    </w:p>
    <w:p w14:paraId="75BE38E6" w14:textId="77777777" w:rsidR="001F3FD7" w:rsidRPr="007372C2" w:rsidRDefault="001F3FD7" w:rsidP="001F3FD7">
      <w:pPr>
        <w:pStyle w:val="Copyrightcopy"/>
      </w:pPr>
      <w:r w:rsidRPr="007372C2">
        <w:t>Use of Independent Health and Aged Care Pricing Authority material under a Creative Commons BY Attribution 3.0 Australia licence requires you to attribute the work (but not in any way that suggests that the Independent Health and Aged Care Pricing Authority endorses you or your use of the</w:t>
      </w:r>
      <w:r w:rsidRPr="007372C2">
        <w:rPr>
          <w:rFonts w:hint="cs"/>
        </w:rPr>
        <w:t> </w:t>
      </w:r>
      <w:r w:rsidRPr="007372C2">
        <w:t>work).</w:t>
      </w:r>
    </w:p>
    <w:p w14:paraId="1D99D8C0" w14:textId="77777777" w:rsidR="001F3FD7" w:rsidRPr="007372C2" w:rsidRDefault="001F3FD7" w:rsidP="001F3FD7">
      <w:pPr>
        <w:pStyle w:val="Copyrightcopy"/>
      </w:pPr>
      <w:r w:rsidRPr="007372C2">
        <w:t>Independent Health and Aged Care Pricing Authority material used 'as supplied'.</w:t>
      </w:r>
    </w:p>
    <w:p w14:paraId="321D07B5" w14:textId="77777777" w:rsidR="001F3FD7" w:rsidRPr="007372C2" w:rsidRDefault="001F3FD7" w:rsidP="001F3FD7">
      <w:pPr>
        <w:pStyle w:val="Copyrightcopy"/>
      </w:pPr>
      <w:r w:rsidRPr="007372C2">
        <w:t xml:space="preserve">Provided you have not modified or transformed Independent Health and Aged Care Pricing Authority material in any way including, for example, by changing Independent Health and Aged Care Pricing Authority text </w:t>
      </w:r>
      <w:r w:rsidRPr="007372C2">
        <w:rPr>
          <w:rFonts w:hint="cs"/>
        </w:rPr>
        <w:t>–</w:t>
      </w:r>
      <w:r w:rsidRPr="007372C2">
        <w:t xml:space="preserve"> then the Independent Health and Aged Care Pricing Authority prefers the following attribution:</w:t>
      </w:r>
    </w:p>
    <w:p w14:paraId="1EBD68F2" w14:textId="3AE2A140" w:rsidR="001F3FD7" w:rsidRDefault="001F3FD7" w:rsidP="001F3FD7">
      <w:pPr>
        <w:pStyle w:val="Copyrightcopy"/>
      </w:pPr>
      <w:r w:rsidRPr="007372C2">
        <w:t>Source: The Independent Health and Aged Care Pricing</w:t>
      </w:r>
      <w:r w:rsidRPr="007372C2">
        <w:rPr>
          <w:rFonts w:hint="cs"/>
        </w:rPr>
        <w:t> </w:t>
      </w:r>
      <w:r w:rsidRPr="007372C2">
        <w:t>Authority</w:t>
      </w:r>
    </w:p>
    <w:p w14:paraId="259D0736" w14:textId="48E5D89A" w:rsidR="001F3FD7" w:rsidRDefault="001F3FD7" w:rsidP="00371E79">
      <w:pPr>
        <w:pStyle w:val="Copyrightcopy"/>
      </w:pPr>
      <w:r>
        <w:br w:type="page"/>
      </w:r>
    </w:p>
    <w:p w14:paraId="3536C296" w14:textId="77777777" w:rsidR="001F3FD7" w:rsidRDefault="001F3FD7" w:rsidP="001F3FD7">
      <w:pPr>
        <w:pStyle w:val="Copyrightcopy"/>
        <w:sectPr w:rsidR="001F3FD7" w:rsidSect="003C3623">
          <w:headerReference w:type="default" r:id="rId14"/>
          <w:footerReference w:type="default" r:id="rId15"/>
          <w:pgSz w:w="11906" w:h="16838" w:code="9"/>
          <w:pgMar w:top="7371" w:right="1077" w:bottom="1440" w:left="1077" w:header="709" w:footer="709" w:gutter="0"/>
          <w:cols w:space="720"/>
          <w:docGrid w:linePitch="360"/>
        </w:sectPr>
      </w:pPr>
    </w:p>
    <w:sdt>
      <w:sdtPr>
        <w:rPr>
          <w:rFonts w:cs="Arial"/>
          <w:b/>
          <w:iCs/>
          <w:color w:val="auto"/>
        </w:rPr>
        <w:id w:val="1643391383"/>
        <w:docPartObj>
          <w:docPartGallery w:val="Table of Contents"/>
          <w:docPartUnique/>
        </w:docPartObj>
      </w:sdtPr>
      <w:sdtEndPr>
        <w:rPr>
          <w:rFonts w:cstheme="minorBidi"/>
          <w:b w:val="0"/>
          <w:iCs w:val="0"/>
          <w:noProof/>
        </w:rPr>
      </w:sdtEndPr>
      <w:sdtContent>
        <w:p w14:paraId="01C0F7D5" w14:textId="7B8558BB" w:rsidR="001F3FD7" w:rsidRPr="00CE058E" w:rsidRDefault="001F3FD7" w:rsidP="001F3FD7">
          <w:pPr>
            <w:tabs>
              <w:tab w:val="left" w:pos="3630"/>
              <w:tab w:val="left" w:pos="4350"/>
              <w:tab w:val="left" w:pos="6750"/>
            </w:tabs>
            <w:rPr>
              <w:rFonts w:cs="Arial"/>
              <w:b/>
              <w:bCs/>
              <w:sz w:val="28"/>
              <w:szCs w:val="28"/>
            </w:rPr>
          </w:pPr>
          <w:r w:rsidRPr="00CE058E">
            <w:rPr>
              <w:rFonts w:cs="Arial"/>
              <w:b/>
              <w:bCs/>
              <w:sz w:val="28"/>
              <w:szCs w:val="28"/>
            </w:rPr>
            <w:t>Contents</w:t>
          </w:r>
        </w:p>
        <w:p w14:paraId="2EFBB5DB" w14:textId="4ED1565D" w:rsidR="005F11BC" w:rsidRDefault="001F3FD7" w:rsidP="00B45F10">
          <w:pPr>
            <w:pStyle w:val="TOC1"/>
            <w:rPr>
              <w:rFonts w:asciiTheme="minorHAnsi" w:eastAsiaTheme="minorEastAsia" w:hAnsiTheme="minorHAnsi"/>
              <w:noProof/>
              <w:color w:val="auto"/>
              <w:kern w:val="2"/>
              <w:sz w:val="22"/>
              <w:lang w:eastAsia="en-AU"/>
              <w14:ligatures w14:val="standardContextual"/>
            </w:rPr>
          </w:pPr>
          <w:r w:rsidRPr="00CE058E">
            <w:rPr>
              <w:rFonts w:cs="Arial"/>
              <w:color w:val="auto"/>
              <w:sz w:val="20"/>
              <w:szCs w:val="16"/>
            </w:rPr>
            <w:fldChar w:fldCharType="begin"/>
          </w:r>
          <w:r w:rsidRPr="00CE058E">
            <w:rPr>
              <w:rFonts w:cs="Arial"/>
              <w:color w:val="auto"/>
              <w:sz w:val="20"/>
              <w:szCs w:val="16"/>
            </w:rPr>
            <w:instrText xml:space="preserve"> TOC \o "1-3" \h \z \u </w:instrText>
          </w:r>
          <w:r w:rsidRPr="00CE058E">
            <w:rPr>
              <w:rFonts w:cs="Arial"/>
              <w:color w:val="auto"/>
              <w:sz w:val="20"/>
              <w:szCs w:val="16"/>
            </w:rPr>
            <w:fldChar w:fldCharType="separate"/>
          </w:r>
          <w:hyperlink w:anchor="_Toc158882588" w:history="1">
            <w:r w:rsidR="005F11BC" w:rsidRPr="00125432">
              <w:rPr>
                <w:rStyle w:val="Hyperlink"/>
                <w:rFonts w:cs="Arial"/>
                <w:noProof/>
              </w:rPr>
              <w:t>1.</w:t>
            </w:r>
            <w:r w:rsidR="005F11BC">
              <w:rPr>
                <w:rFonts w:asciiTheme="minorHAnsi" w:eastAsiaTheme="minorEastAsia" w:hAnsiTheme="minorHAnsi"/>
                <w:noProof/>
                <w:color w:val="auto"/>
                <w:kern w:val="2"/>
                <w:sz w:val="22"/>
                <w:lang w:eastAsia="en-AU"/>
                <w14:ligatures w14:val="standardContextual"/>
              </w:rPr>
              <w:tab/>
            </w:r>
            <w:r w:rsidR="005F11BC" w:rsidRPr="00125432">
              <w:rPr>
                <w:rStyle w:val="Hyperlink"/>
                <w:rFonts w:cs="Arial"/>
                <w:noProof/>
              </w:rPr>
              <w:t>Executive summary</w:t>
            </w:r>
            <w:r w:rsidR="005F11BC">
              <w:rPr>
                <w:noProof/>
                <w:webHidden/>
              </w:rPr>
              <w:tab/>
            </w:r>
            <w:r w:rsidR="005F11BC">
              <w:rPr>
                <w:noProof/>
                <w:webHidden/>
              </w:rPr>
              <w:fldChar w:fldCharType="begin"/>
            </w:r>
            <w:r w:rsidR="005F11BC">
              <w:rPr>
                <w:noProof/>
                <w:webHidden/>
              </w:rPr>
              <w:instrText xml:space="preserve"> PAGEREF _Toc158882588 \h </w:instrText>
            </w:r>
            <w:r w:rsidR="005F11BC">
              <w:rPr>
                <w:noProof/>
                <w:webHidden/>
              </w:rPr>
            </w:r>
            <w:r w:rsidR="005F11BC">
              <w:rPr>
                <w:noProof/>
                <w:webHidden/>
              </w:rPr>
              <w:fldChar w:fldCharType="separate"/>
            </w:r>
            <w:r w:rsidR="005F11BC">
              <w:rPr>
                <w:noProof/>
                <w:webHidden/>
              </w:rPr>
              <w:t>6</w:t>
            </w:r>
            <w:r w:rsidR="005F11BC">
              <w:rPr>
                <w:noProof/>
                <w:webHidden/>
              </w:rPr>
              <w:fldChar w:fldCharType="end"/>
            </w:r>
          </w:hyperlink>
        </w:p>
        <w:p w14:paraId="573BF20E" w14:textId="207E4CDE" w:rsidR="005F11BC" w:rsidRDefault="00000000" w:rsidP="00B45F10">
          <w:pPr>
            <w:pStyle w:val="TOC1"/>
            <w:rPr>
              <w:rFonts w:asciiTheme="minorHAnsi" w:eastAsiaTheme="minorEastAsia" w:hAnsiTheme="minorHAnsi"/>
              <w:noProof/>
              <w:color w:val="auto"/>
              <w:kern w:val="2"/>
              <w:sz w:val="22"/>
              <w:lang w:eastAsia="en-AU"/>
              <w14:ligatures w14:val="standardContextual"/>
            </w:rPr>
          </w:pPr>
          <w:hyperlink w:anchor="_Toc158882592" w:history="1">
            <w:r w:rsidR="005F11BC" w:rsidRPr="00125432">
              <w:rPr>
                <w:rStyle w:val="Hyperlink"/>
                <w:rFonts w:cs="Arial"/>
                <w:noProof/>
              </w:rPr>
              <w:t>2.</w:t>
            </w:r>
            <w:r w:rsidR="005F11BC">
              <w:rPr>
                <w:rFonts w:asciiTheme="minorHAnsi" w:eastAsiaTheme="minorEastAsia" w:hAnsiTheme="minorHAnsi"/>
                <w:noProof/>
                <w:color w:val="auto"/>
                <w:kern w:val="2"/>
                <w:sz w:val="22"/>
                <w:lang w:eastAsia="en-AU"/>
                <w14:ligatures w14:val="standardContextual"/>
              </w:rPr>
              <w:tab/>
            </w:r>
            <w:r w:rsidR="005F11BC" w:rsidRPr="00125432">
              <w:rPr>
                <w:rStyle w:val="Hyperlink"/>
                <w:rFonts w:cs="Arial"/>
                <w:noProof/>
              </w:rPr>
              <w:t>Introduction</w:t>
            </w:r>
            <w:r w:rsidR="005F11BC">
              <w:rPr>
                <w:noProof/>
                <w:webHidden/>
              </w:rPr>
              <w:tab/>
            </w:r>
            <w:r w:rsidR="005F11BC">
              <w:rPr>
                <w:noProof/>
                <w:webHidden/>
              </w:rPr>
              <w:fldChar w:fldCharType="begin"/>
            </w:r>
            <w:r w:rsidR="005F11BC">
              <w:rPr>
                <w:noProof/>
                <w:webHidden/>
              </w:rPr>
              <w:instrText xml:space="preserve"> PAGEREF _Toc158882592 \h </w:instrText>
            </w:r>
            <w:r w:rsidR="005F11BC">
              <w:rPr>
                <w:noProof/>
                <w:webHidden/>
              </w:rPr>
            </w:r>
            <w:r w:rsidR="005F11BC">
              <w:rPr>
                <w:noProof/>
                <w:webHidden/>
              </w:rPr>
              <w:fldChar w:fldCharType="separate"/>
            </w:r>
            <w:r w:rsidR="005F11BC">
              <w:rPr>
                <w:noProof/>
                <w:webHidden/>
              </w:rPr>
              <w:t>8</w:t>
            </w:r>
            <w:r w:rsidR="005F11BC">
              <w:rPr>
                <w:noProof/>
                <w:webHidden/>
              </w:rPr>
              <w:fldChar w:fldCharType="end"/>
            </w:r>
          </w:hyperlink>
        </w:p>
        <w:p w14:paraId="3DEE0D8B" w14:textId="45889C20" w:rsidR="005F11BC" w:rsidRDefault="00000000" w:rsidP="00B45F10">
          <w:pPr>
            <w:pStyle w:val="TOC1"/>
            <w:rPr>
              <w:rFonts w:asciiTheme="minorHAnsi" w:eastAsiaTheme="minorEastAsia" w:hAnsiTheme="minorHAnsi"/>
              <w:noProof/>
              <w:color w:val="auto"/>
              <w:kern w:val="2"/>
              <w:sz w:val="22"/>
              <w:lang w:eastAsia="en-AU"/>
              <w14:ligatures w14:val="standardContextual"/>
            </w:rPr>
          </w:pPr>
          <w:hyperlink w:anchor="_Toc158882599" w:history="1">
            <w:r w:rsidR="005F11BC" w:rsidRPr="00125432">
              <w:rPr>
                <w:rStyle w:val="Hyperlink"/>
                <w:rFonts w:cs="Arial"/>
                <w:noProof/>
              </w:rPr>
              <w:t>3.</w:t>
            </w:r>
            <w:r w:rsidR="005F11BC">
              <w:rPr>
                <w:rFonts w:asciiTheme="minorHAnsi" w:eastAsiaTheme="minorEastAsia" w:hAnsiTheme="minorHAnsi"/>
                <w:noProof/>
                <w:color w:val="auto"/>
                <w:kern w:val="2"/>
                <w:sz w:val="22"/>
                <w:lang w:eastAsia="en-AU"/>
                <w14:ligatures w14:val="standardContextual"/>
              </w:rPr>
              <w:tab/>
            </w:r>
            <w:r w:rsidR="005F11BC" w:rsidRPr="00125432">
              <w:rPr>
                <w:rStyle w:val="Hyperlink"/>
                <w:rFonts w:cs="Arial"/>
                <w:noProof/>
              </w:rPr>
              <w:t>Admitted acute</w:t>
            </w:r>
            <w:r w:rsidR="005F11BC">
              <w:rPr>
                <w:noProof/>
                <w:webHidden/>
              </w:rPr>
              <w:tab/>
            </w:r>
            <w:r w:rsidR="005F11BC">
              <w:rPr>
                <w:noProof/>
                <w:webHidden/>
              </w:rPr>
              <w:fldChar w:fldCharType="begin"/>
            </w:r>
            <w:r w:rsidR="005F11BC">
              <w:rPr>
                <w:noProof/>
                <w:webHidden/>
              </w:rPr>
              <w:instrText xml:space="preserve"> PAGEREF _Toc158882599 \h </w:instrText>
            </w:r>
            <w:r w:rsidR="005F11BC">
              <w:rPr>
                <w:noProof/>
                <w:webHidden/>
              </w:rPr>
            </w:r>
            <w:r w:rsidR="005F11BC">
              <w:rPr>
                <w:noProof/>
                <w:webHidden/>
              </w:rPr>
              <w:fldChar w:fldCharType="separate"/>
            </w:r>
            <w:r w:rsidR="005F11BC">
              <w:rPr>
                <w:noProof/>
                <w:webHidden/>
              </w:rPr>
              <w:t>11</w:t>
            </w:r>
            <w:r w:rsidR="005F11BC">
              <w:rPr>
                <w:noProof/>
                <w:webHidden/>
              </w:rPr>
              <w:fldChar w:fldCharType="end"/>
            </w:r>
          </w:hyperlink>
        </w:p>
        <w:p w14:paraId="3AEAACE7" w14:textId="3C5A2BFA" w:rsidR="005F11BC" w:rsidRDefault="00000000" w:rsidP="00B45F10">
          <w:pPr>
            <w:pStyle w:val="TOC1"/>
            <w:rPr>
              <w:rFonts w:asciiTheme="minorHAnsi" w:eastAsiaTheme="minorEastAsia" w:hAnsiTheme="minorHAnsi"/>
              <w:noProof/>
              <w:color w:val="auto"/>
              <w:kern w:val="2"/>
              <w:sz w:val="22"/>
              <w:lang w:eastAsia="en-AU"/>
              <w14:ligatures w14:val="standardContextual"/>
            </w:rPr>
          </w:pPr>
          <w:hyperlink w:anchor="_Toc158882609" w:history="1">
            <w:r w:rsidR="005F11BC" w:rsidRPr="00125432">
              <w:rPr>
                <w:rStyle w:val="Hyperlink"/>
                <w:rFonts w:cs="Arial"/>
                <w:noProof/>
              </w:rPr>
              <w:t>4.</w:t>
            </w:r>
            <w:r w:rsidR="005F11BC">
              <w:rPr>
                <w:rFonts w:asciiTheme="minorHAnsi" w:eastAsiaTheme="minorEastAsia" w:hAnsiTheme="minorHAnsi"/>
                <w:noProof/>
                <w:color w:val="auto"/>
                <w:kern w:val="2"/>
                <w:sz w:val="22"/>
                <w:lang w:eastAsia="en-AU"/>
                <w14:ligatures w14:val="standardContextual"/>
              </w:rPr>
              <w:tab/>
            </w:r>
            <w:r w:rsidR="005F11BC" w:rsidRPr="00125432">
              <w:rPr>
                <w:rStyle w:val="Hyperlink"/>
                <w:rFonts w:cs="Arial"/>
                <w:noProof/>
              </w:rPr>
              <w:t>Admitted subacute and non-acute</w:t>
            </w:r>
            <w:r w:rsidR="005F11BC">
              <w:rPr>
                <w:noProof/>
                <w:webHidden/>
              </w:rPr>
              <w:tab/>
            </w:r>
            <w:r w:rsidR="005F11BC">
              <w:rPr>
                <w:noProof/>
                <w:webHidden/>
              </w:rPr>
              <w:fldChar w:fldCharType="begin"/>
            </w:r>
            <w:r w:rsidR="005F11BC">
              <w:rPr>
                <w:noProof/>
                <w:webHidden/>
              </w:rPr>
              <w:instrText xml:space="preserve"> PAGEREF _Toc158882609 \h </w:instrText>
            </w:r>
            <w:r w:rsidR="005F11BC">
              <w:rPr>
                <w:noProof/>
                <w:webHidden/>
              </w:rPr>
            </w:r>
            <w:r w:rsidR="005F11BC">
              <w:rPr>
                <w:noProof/>
                <w:webHidden/>
              </w:rPr>
              <w:fldChar w:fldCharType="separate"/>
            </w:r>
            <w:r w:rsidR="005F11BC">
              <w:rPr>
                <w:noProof/>
                <w:webHidden/>
              </w:rPr>
              <w:t>17</w:t>
            </w:r>
            <w:r w:rsidR="005F11BC">
              <w:rPr>
                <w:noProof/>
                <w:webHidden/>
              </w:rPr>
              <w:fldChar w:fldCharType="end"/>
            </w:r>
          </w:hyperlink>
        </w:p>
        <w:p w14:paraId="1C603277" w14:textId="30D6D6F5" w:rsidR="005F11BC" w:rsidRDefault="00000000" w:rsidP="00B45F10">
          <w:pPr>
            <w:pStyle w:val="TOC1"/>
            <w:rPr>
              <w:rFonts w:asciiTheme="minorHAnsi" w:eastAsiaTheme="minorEastAsia" w:hAnsiTheme="minorHAnsi"/>
              <w:noProof/>
              <w:color w:val="auto"/>
              <w:kern w:val="2"/>
              <w:sz w:val="22"/>
              <w:lang w:eastAsia="en-AU"/>
              <w14:ligatures w14:val="standardContextual"/>
            </w:rPr>
          </w:pPr>
          <w:hyperlink w:anchor="_Toc158882617" w:history="1">
            <w:r w:rsidR="005F11BC" w:rsidRPr="00125432">
              <w:rPr>
                <w:rStyle w:val="Hyperlink"/>
                <w:rFonts w:cs="Arial"/>
                <w:noProof/>
              </w:rPr>
              <w:t>5.</w:t>
            </w:r>
            <w:r w:rsidR="005F11BC">
              <w:rPr>
                <w:rFonts w:asciiTheme="minorHAnsi" w:eastAsiaTheme="minorEastAsia" w:hAnsiTheme="minorHAnsi"/>
                <w:noProof/>
                <w:color w:val="auto"/>
                <w:kern w:val="2"/>
                <w:sz w:val="22"/>
                <w:lang w:eastAsia="en-AU"/>
                <w14:ligatures w14:val="standardContextual"/>
              </w:rPr>
              <w:tab/>
            </w:r>
            <w:r w:rsidR="005F11BC" w:rsidRPr="00125432">
              <w:rPr>
                <w:rStyle w:val="Hyperlink"/>
                <w:rFonts w:cs="Arial"/>
                <w:noProof/>
              </w:rPr>
              <w:t>Emergency department</w:t>
            </w:r>
            <w:r w:rsidR="005F11BC">
              <w:rPr>
                <w:noProof/>
                <w:webHidden/>
              </w:rPr>
              <w:tab/>
            </w:r>
            <w:r w:rsidR="005F11BC">
              <w:rPr>
                <w:noProof/>
                <w:webHidden/>
              </w:rPr>
              <w:fldChar w:fldCharType="begin"/>
            </w:r>
            <w:r w:rsidR="005F11BC">
              <w:rPr>
                <w:noProof/>
                <w:webHidden/>
              </w:rPr>
              <w:instrText xml:space="preserve"> PAGEREF _Toc158882617 \h </w:instrText>
            </w:r>
            <w:r w:rsidR="005F11BC">
              <w:rPr>
                <w:noProof/>
                <w:webHidden/>
              </w:rPr>
            </w:r>
            <w:r w:rsidR="005F11BC">
              <w:rPr>
                <w:noProof/>
                <w:webHidden/>
              </w:rPr>
              <w:fldChar w:fldCharType="separate"/>
            </w:r>
            <w:r w:rsidR="005F11BC">
              <w:rPr>
                <w:noProof/>
                <w:webHidden/>
              </w:rPr>
              <w:t>25</w:t>
            </w:r>
            <w:r w:rsidR="005F11BC">
              <w:rPr>
                <w:noProof/>
                <w:webHidden/>
              </w:rPr>
              <w:fldChar w:fldCharType="end"/>
            </w:r>
          </w:hyperlink>
        </w:p>
        <w:p w14:paraId="6A6BF976" w14:textId="57DA9F32" w:rsidR="005F11BC" w:rsidRDefault="00000000" w:rsidP="00B45F10">
          <w:pPr>
            <w:pStyle w:val="TOC1"/>
            <w:rPr>
              <w:rFonts w:asciiTheme="minorHAnsi" w:eastAsiaTheme="minorEastAsia" w:hAnsiTheme="minorHAnsi"/>
              <w:noProof/>
              <w:color w:val="auto"/>
              <w:kern w:val="2"/>
              <w:sz w:val="22"/>
              <w:lang w:eastAsia="en-AU"/>
              <w14:ligatures w14:val="standardContextual"/>
            </w:rPr>
          </w:pPr>
          <w:hyperlink w:anchor="_Toc158882625" w:history="1">
            <w:r w:rsidR="005F11BC" w:rsidRPr="00125432">
              <w:rPr>
                <w:rStyle w:val="Hyperlink"/>
                <w:rFonts w:cs="Arial"/>
                <w:noProof/>
              </w:rPr>
              <w:t>6.</w:t>
            </w:r>
            <w:r w:rsidR="005F11BC">
              <w:rPr>
                <w:rFonts w:asciiTheme="minorHAnsi" w:eastAsiaTheme="minorEastAsia" w:hAnsiTheme="minorHAnsi"/>
                <w:noProof/>
                <w:color w:val="auto"/>
                <w:kern w:val="2"/>
                <w:sz w:val="22"/>
                <w:lang w:eastAsia="en-AU"/>
                <w14:ligatures w14:val="standardContextual"/>
              </w:rPr>
              <w:tab/>
            </w:r>
            <w:r w:rsidR="005F11BC" w:rsidRPr="00125432">
              <w:rPr>
                <w:rStyle w:val="Hyperlink"/>
                <w:rFonts w:cs="Arial"/>
                <w:noProof/>
              </w:rPr>
              <w:t>Non-admitted</w:t>
            </w:r>
            <w:r w:rsidR="005F11BC">
              <w:rPr>
                <w:noProof/>
                <w:webHidden/>
              </w:rPr>
              <w:tab/>
            </w:r>
            <w:r w:rsidR="005F11BC">
              <w:rPr>
                <w:noProof/>
                <w:webHidden/>
              </w:rPr>
              <w:fldChar w:fldCharType="begin"/>
            </w:r>
            <w:r w:rsidR="005F11BC">
              <w:rPr>
                <w:noProof/>
                <w:webHidden/>
              </w:rPr>
              <w:instrText xml:space="preserve"> PAGEREF _Toc158882625 \h </w:instrText>
            </w:r>
            <w:r w:rsidR="005F11BC">
              <w:rPr>
                <w:noProof/>
                <w:webHidden/>
              </w:rPr>
            </w:r>
            <w:r w:rsidR="005F11BC">
              <w:rPr>
                <w:noProof/>
                <w:webHidden/>
              </w:rPr>
              <w:fldChar w:fldCharType="separate"/>
            </w:r>
            <w:r w:rsidR="005F11BC">
              <w:rPr>
                <w:noProof/>
                <w:webHidden/>
              </w:rPr>
              <w:t>30</w:t>
            </w:r>
            <w:r w:rsidR="005F11BC">
              <w:rPr>
                <w:noProof/>
                <w:webHidden/>
              </w:rPr>
              <w:fldChar w:fldCharType="end"/>
            </w:r>
          </w:hyperlink>
        </w:p>
        <w:p w14:paraId="15D88BF6" w14:textId="136CDFA0" w:rsidR="005F11BC" w:rsidRDefault="00000000" w:rsidP="00B45F10">
          <w:pPr>
            <w:pStyle w:val="TOC1"/>
            <w:rPr>
              <w:rFonts w:asciiTheme="minorHAnsi" w:eastAsiaTheme="minorEastAsia" w:hAnsiTheme="minorHAnsi"/>
              <w:noProof/>
              <w:color w:val="auto"/>
              <w:kern w:val="2"/>
              <w:sz w:val="22"/>
              <w:lang w:eastAsia="en-AU"/>
              <w14:ligatures w14:val="standardContextual"/>
            </w:rPr>
          </w:pPr>
          <w:hyperlink w:anchor="_Toc158882633" w:history="1">
            <w:r w:rsidR="005F11BC" w:rsidRPr="00125432">
              <w:rPr>
                <w:rStyle w:val="Hyperlink"/>
                <w:rFonts w:cs="Arial"/>
                <w:bCs/>
                <w:noProof/>
              </w:rPr>
              <w:t>7.</w:t>
            </w:r>
            <w:r w:rsidR="005F11BC">
              <w:rPr>
                <w:rFonts w:asciiTheme="minorHAnsi" w:eastAsiaTheme="minorEastAsia" w:hAnsiTheme="minorHAnsi"/>
                <w:noProof/>
                <w:color w:val="auto"/>
                <w:kern w:val="2"/>
                <w:sz w:val="22"/>
                <w:lang w:eastAsia="en-AU"/>
                <w14:ligatures w14:val="standardContextual"/>
              </w:rPr>
              <w:tab/>
            </w:r>
            <w:r w:rsidR="005F11BC" w:rsidRPr="00125432">
              <w:rPr>
                <w:rStyle w:val="Hyperlink"/>
                <w:rFonts w:cs="Arial"/>
                <w:bCs/>
                <w:noProof/>
              </w:rPr>
              <w:t>Admitted mental health</w:t>
            </w:r>
            <w:r w:rsidR="005F11BC">
              <w:rPr>
                <w:noProof/>
                <w:webHidden/>
              </w:rPr>
              <w:tab/>
            </w:r>
            <w:r w:rsidR="005F11BC">
              <w:rPr>
                <w:noProof/>
                <w:webHidden/>
              </w:rPr>
              <w:fldChar w:fldCharType="begin"/>
            </w:r>
            <w:r w:rsidR="005F11BC">
              <w:rPr>
                <w:noProof/>
                <w:webHidden/>
              </w:rPr>
              <w:instrText xml:space="preserve"> PAGEREF _Toc158882633 \h </w:instrText>
            </w:r>
            <w:r w:rsidR="005F11BC">
              <w:rPr>
                <w:noProof/>
                <w:webHidden/>
              </w:rPr>
            </w:r>
            <w:r w:rsidR="005F11BC">
              <w:rPr>
                <w:noProof/>
                <w:webHidden/>
              </w:rPr>
              <w:fldChar w:fldCharType="separate"/>
            </w:r>
            <w:r w:rsidR="005F11BC">
              <w:rPr>
                <w:noProof/>
                <w:webHidden/>
              </w:rPr>
              <w:t>36</w:t>
            </w:r>
            <w:r w:rsidR="005F11BC">
              <w:rPr>
                <w:noProof/>
                <w:webHidden/>
              </w:rPr>
              <w:fldChar w:fldCharType="end"/>
            </w:r>
          </w:hyperlink>
        </w:p>
        <w:p w14:paraId="6C87074F" w14:textId="6D64A31F" w:rsidR="005F11BC" w:rsidRDefault="00000000" w:rsidP="00B45F10">
          <w:pPr>
            <w:pStyle w:val="TOC1"/>
            <w:rPr>
              <w:rFonts w:asciiTheme="minorHAnsi" w:eastAsiaTheme="minorEastAsia" w:hAnsiTheme="minorHAnsi"/>
              <w:noProof/>
              <w:color w:val="auto"/>
              <w:kern w:val="2"/>
              <w:sz w:val="22"/>
              <w:lang w:eastAsia="en-AU"/>
              <w14:ligatures w14:val="standardContextual"/>
            </w:rPr>
          </w:pPr>
          <w:hyperlink w:anchor="_Toc158882642" w:history="1">
            <w:r w:rsidR="005F11BC" w:rsidRPr="00125432">
              <w:rPr>
                <w:rStyle w:val="Hyperlink"/>
                <w:rFonts w:cs="Arial"/>
                <w:bCs/>
                <w:noProof/>
              </w:rPr>
              <w:t>8.</w:t>
            </w:r>
            <w:r w:rsidR="005F11BC">
              <w:rPr>
                <w:rFonts w:asciiTheme="minorHAnsi" w:eastAsiaTheme="minorEastAsia" w:hAnsiTheme="minorHAnsi"/>
                <w:noProof/>
                <w:color w:val="auto"/>
                <w:kern w:val="2"/>
                <w:sz w:val="22"/>
                <w:lang w:eastAsia="en-AU"/>
                <w14:ligatures w14:val="standardContextual"/>
              </w:rPr>
              <w:tab/>
            </w:r>
            <w:r w:rsidR="005F11BC" w:rsidRPr="00125432">
              <w:rPr>
                <w:rStyle w:val="Hyperlink"/>
                <w:rFonts w:cs="Arial"/>
                <w:bCs/>
                <w:noProof/>
              </w:rPr>
              <w:t>Community mental health</w:t>
            </w:r>
            <w:r w:rsidR="005F11BC">
              <w:rPr>
                <w:noProof/>
                <w:webHidden/>
              </w:rPr>
              <w:tab/>
            </w:r>
            <w:r w:rsidR="005F11BC">
              <w:rPr>
                <w:noProof/>
                <w:webHidden/>
              </w:rPr>
              <w:fldChar w:fldCharType="begin"/>
            </w:r>
            <w:r w:rsidR="005F11BC">
              <w:rPr>
                <w:noProof/>
                <w:webHidden/>
              </w:rPr>
              <w:instrText xml:space="preserve"> PAGEREF _Toc158882642 \h </w:instrText>
            </w:r>
            <w:r w:rsidR="005F11BC">
              <w:rPr>
                <w:noProof/>
                <w:webHidden/>
              </w:rPr>
            </w:r>
            <w:r w:rsidR="005F11BC">
              <w:rPr>
                <w:noProof/>
                <w:webHidden/>
              </w:rPr>
              <w:fldChar w:fldCharType="separate"/>
            </w:r>
            <w:r w:rsidR="005F11BC">
              <w:rPr>
                <w:noProof/>
                <w:webHidden/>
              </w:rPr>
              <w:t>45</w:t>
            </w:r>
            <w:r w:rsidR="005F11BC">
              <w:rPr>
                <w:noProof/>
                <w:webHidden/>
              </w:rPr>
              <w:fldChar w:fldCharType="end"/>
            </w:r>
          </w:hyperlink>
        </w:p>
        <w:p w14:paraId="053CEA46" w14:textId="63F652AF" w:rsidR="001F3FD7" w:rsidRPr="00CE058E" w:rsidRDefault="001F3FD7" w:rsidP="00B45F10">
          <w:pPr>
            <w:pStyle w:val="TOC3"/>
            <w:rPr>
              <w:noProof/>
            </w:rPr>
          </w:pPr>
          <w:r w:rsidRPr="00CE058E">
            <w:rPr>
              <w:noProof/>
              <w:sz w:val="20"/>
              <w:szCs w:val="20"/>
            </w:rPr>
            <w:fldChar w:fldCharType="end"/>
          </w:r>
        </w:p>
      </w:sdtContent>
    </w:sdt>
    <w:p w14:paraId="190EE1B8" w14:textId="73F214A9" w:rsidR="002F162B" w:rsidRPr="00CE058E" w:rsidRDefault="001F3FD7" w:rsidP="00AB22F5">
      <w:pPr>
        <w:spacing w:before="60" w:after="60" w:line="259" w:lineRule="auto"/>
        <w:rPr>
          <w:rFonts w:cs="Arial"/>
          <w:sz w:val="28"/>
          <w:szCs w:val="28"/>
        </w:rPr>
      </w:pPr>
      <w:r w:rsidRPr="00CE058E">
        <w:rPr>
          <w:rFonts w:cs="Arial"/>
        </w:rPr>
        <w:br w:type="page"/>
      </w:r>
      <w:r w:rsidR="002F162B" w:rsidRPr="00CE058E">
        <w:rPr>
          <w:rFonts w:eastAsiaTheme="majorEastAsia" w:cs="Arial"/>
          <w:b/>
          <w:color w:val="104F99" w:themeColor="accent2"/>
          <w:sz w:val="28"/>
          <w:szCs w:val="28"/>
        </w:rPr>
        <w:lastRenderedPageBreak/>
        <w:t>Tables</w:t>
      </w:r>
    </w:p>
    <w:p w14:paraId="5B057AA1" w14:textId="3FD500E5" w:rsidR="00AB22F5" w:rsidRPr="00AB22F5" w:rsidRDefault="00B42434">
      <w:pPr>
        <w:pStyle w:val="TableofFigures"/>
        <w:tabs>
          <w:tab w:val="right" w:leader="dot" w:pos="9736"/>
        </w:tabs>
        <w:rPr>
          <w:rFonts w:asciiTheme="minorHAnsi" w:eastAsiaTheme="minorEastAsia" w:hAnsiTheme="minorHAnsi"/>
          <w:noProof/>
          <w:color w:val="auto"/>
          <w:sz w:val="16"/>
          <w:szCs w:val="16"/>
          <w:lang w:eastAsia="en-AU"/>
        </w:rPr>
      </w:pPr>
      <w:r w:rsidRPr="00AB22F5">
        <w:rPr>
          <w:sz w:val="16"/>
          <w:szCs w:val="16"/>
        </w:rPr>
        <w:fldChar w:fldCharType="begin"/>
      </w:r>
      <w:r w:rsidRPr="00AB22F5">
        <w:rPr>
          <w:sz w:val="16"/>
          <w:szCs w:val="16"/>
        </w:rPr>
        <w:instrText xml:space="preserve"> TOC \h \z \c "Table" </w:instrText>
      </w:r>
      <w:r w:rsidRPr="00AB22F5">
        <w:rPr>
          <w:sz w:val="16"/>
          <w:szCs w:val="16"/>
        </w:rPr>
        <w:fldChar w:fldCharType="separate"/>
      </w:r>
      <w:hyperlink w:anchor="_Toc151370027" w:history="1">
        <w:r w:rsidR="00AB22F5" w:rsidRPr="00AB22F5">
          <w:rPr>
            <w:rStyle w:val="Hyperlink"/>
            <w:noProof/>
            <w:sz w:val="16"/>
            <w:szCs w:val="16"/>
          </w:rPr>
          <w:t>Table 1: NHCDC summary by activity stream,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_Toc151370027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6</w:t>
        </w:r>
        <w:r w:rsidR="00AB22F5" w:rsidRPr="00AB22F5">
          <w:rPr>
            <w:noProof/>
            <w:webHidden/>
            <w:sz w:val="16"/>
            <w:szCs w:val="16"/>
          </w:rPr>
          <w:fldChar w:fldCharType="end"/>
        </w:r>
      </w:hyperlink>
    </w:p>
    <w:p w14:paraId="7C3E4AAD" w14:textId="43440F98"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28" w:history="1">
        <w:r w:rsidR="00AB22F5" w:rsidRPr="00AB22F5">
          <w:rPr>
            <w:rStyle w:val="Hyperlink"/>
            <w:noProof/>
            <w:sz w:val="16"/>
            <w:szCs w:val="16"/>
          </w:rPr>
          <w:t>Table 2: NHCDC linked records to activity,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_Toc151370028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9</w:t>
        </w:r>
        <w:r w:rsidR="00AB22F5" w:rsidRPr="00AB22F5">
          <w:rPr>
            <w:noProof/>
            <w:webHidden/>
            <w:sz w:val="16"/>
            <w:szCs w:val="16"/>
          </w:rPr>
          <w:fldChar w:fldCharType="end"/>
        </w:r>
      </w:hyperlink>
    </w:p>
    <w:p w14:paraId="7CC3C707" w14:textId="36D559CC"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29" w:history="1">
        <w:r w:rsidR="00AB22F5" w:rsidRPr="00AB22F5">
          <w:rPr>
            <w:rStyle w:val="Hyperlink"/>
            <w:noProof/>
            <w:sz w:val="16"/>
            <w:szCs w:val="16"/>
          </w:rPr>
          <w:t>Table 3: Contracted care records and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_Toc151370029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10</w:t>
        </w:r>
        <w:r w:rsidR="00AB22F5" w:rsidRPr="00AB22F5">
          <w:rPr>
            <w:noProof/>
            <w:webHidden/>
            <w:sz w:val="16"/>
            <w:szCs w:val="16"/>
          </w:rPr>
          <w:fldChar w:fldCharType="end"/>
        </w:r>
      </w:hyperlink>
    </w:p>
    <w:p w14:paraId="7DB7653B" w14:textId="1A737D08"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30" w:history="1">
        <w:r w:rsidR="00AB22F5" w:rsidRPr="00AB22F5">
          <w:rPr>
            <w:rStyle w:val="Hyperlink"/>
            <w:noProof/>
            <w:sz w:val="16"/>
            <w:szCs w:val="16"/>
          </w:rPr>
          <w:t>Table 4: Proportion of linked NHCDC records to activity,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_Toc151370030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12</w:t>
        </w:r>
        <w:r w:rsidR="00AB22F5" w:rsidRPr="00AB22F5">
          <w:rPr>
            <w:noProof/>
            <w:webHidden/>
            <w:sz w:val="16"/>
            <w:szCs w:val="16"/>
          </w:rPr>
          <w:fldChar w:fldCharType="end"/>
        </w:r>
      </w:hyperlink>
    </w:p>
    <w:p w14:paraId="7FB374DA" w14:textId="443278D3"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31" w:history="1">
        <w:r w:rsidR="00AB22F5" w:rsidRPr="00AB22F5">
          <w:rPr>
            <w:rStyle w:val="Hyperlink"/>
            <w:noProof/>
            <w:sz w:val="16"/>
            <w:szCs w:val="16"/>
          </w:rPr>
          <w:t>Table 5: Admitted acute separation change, 2020-21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_Toc151370031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13</w:t>
        </w:r>
        <w:r w:rsidR="00AB22F5" w:rsidRPr="00AB22F5">
          <w:rPr>
            <w:noProof/>
            <w:webHidden/>
            <w:sz w:val="16"/>
            <w:szCs w:val="16"/>
          </w:rPr>
          <w:fldChar w:fldCharType="end"/>
        </w:r>
      </w:hyperlink>
    </w:p>
    <w:p w14:paraId="2296C91B" w14:textId="190CFECF"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32" w:history="1">
        <w:r w:rsidR="00AB22F5" w:rsidRPr="00AB22F5">
          <w:rPr>
            <w:rStyle w:val="Hyperlink"/>
            <w:noProof/>
            <w:sz w:val="16"/>
            <w:szCs w:val="16"/>
          </w:rPr>
          <w:t>Table 6: Admitted acute cost change, 2020-21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_Toc151370032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14</w:t>
        </w:r>
        <w:r w:rsidR="00AB22F5" w:rsidRPr="00AB22F5">
          <w:rPr>
            <w:noProof/>
            <w:webHidden/>
            <w:sz w:val="16"/>
            <w:szCs w:val="16"/>
          </w:rPr>
          <w:fldChar w:fldCharType="end"/>
        </w:r>
      </w:hyperlink>
    </w:p>
    <w:p w14:paraId="0DADD8AB" w14:textId="5B905F6A"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33" w:history="1">
        <w:r w:rsidR="00AB22F5" w:rsidRPr="00AB22F5">
          <w:rPr>
            <w:rStyle w:val="Hyperlink"/>
            <w:noProof/>
            <w:sz w:val="16"/>
            <w:szCs w:val="16"/>
          </w:rPr>
          <w:t>Table 7: Proportion of linked NHCDC records to episode activity,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_Toc151370033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18</w:t>
        </w:r>
        <w:r w:rsidR="00AB22F5" w:rsidRPr="00AB22F5">
          <w:rPr>
            <w:noProof/>
            <w:webHidden/>
            <w:sz w:val="16"/>
            <w:szCs w:val="16"/>
          </w:rPr>
          <w:fldChar w:fldCharType="end"/>
        </w:r>
      </w:hyperlink>
    </w:p>
    <w:p w14:paraId="615DD303" w14:textId="4CA95899"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34" w:history="1">
        <w:r w:rsidR="00AB22F5" w:rsidRPr="00AB22F5">
          <w:rPr>
            <w:rStyle w:val="Hyperlink"/>
            <w:noProof/>
            <w:sz w:val="16"/>
            <w:szCs w:val="16"/>
          </w:rPr>
          <w:t>Table 8: Proportion of linked NHCDC records to phase activity,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_Toc151370034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18</w:t>
        </w:r>
        <w:r w:rsidR="00AB22F5" w:rsidRPr="00AB22F5">
          <w:rPr>
            <w:noProof/>
            <w:webHidden/>
            <w:sz w:val="16"/>
            <w:szCs w:val="16"/>
          </w:rPr>
          <w:fldChar w:fldCharType="end"/>
        </w:r>
      </w:hyperlink>
    </w:p>
    <w:p w14:paraId="67751173" w14:textId="37E8C989"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35" w:history="1">
        <w:r w:rsidR="00AB22F5" w:rsidRPr="00AB22F5">
          <w:rPr>
            <w:rStyle w:val="Hyperlink"/>
            <w:noProof/>
            <w:sz w:val="16"/>
            <w:szCs w:val="16"/>
          </w:rPr>
          <w:t>Table 9: Admitted subacute and non-acute episode change, 2020-21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_Toc151370035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20</w:t>
        </w:r>
        <w:r w:rsidR="00AB22F5" w:rsidRPr="00AB22F5">
          <w:rPr>
            <w:noProof/>
            <w:webHidden/>
            <w:sz w:val="16"/>
            <w:szCs w:val="16"/>
          </w:rPr>
          <w:fldChar w:fldCharType="end"/>
        </w:r>
      </w:hyperlink>
    </w:p>
    <w:p w14:paraId="112B502E" w14:textId="17B8BF6D"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36" w:history="1">
        <w:r w:rsidR="00AB22F5" w:rsidRPr="00AB22F5">
          <w:rPr>
            <w:rStyle w:val="Hyperlink"/>
            <w:noProof/>
            <w:sz w:val="16"/>
            <w:szCs w:val="16"/>
          </w:rPr>
          <w:t>Table 10: Proportion of linked NHCDC records to activity,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_Toc151370036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26</w:t>
        </w:r>
        <w:r w:rsidR="00AB22F5" w:rsidRPr="00AB22F5">
          <w:rPr>
            <w:noProof/>
            <w:webHidden/>
            <w:sz w:val="16"/>
            <w:szCs w:val="16"/>
          </w:rPr>
          <w:fldChar w:fldCharType="end"/>
        </w:r>
      </w:hyperlink>
    </w:p>
    <w:p w14:paraId="45AFC1AA" w14:textId="259463E8"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37" w:history="1">
        <w:r w:rsidR="00AB22F5" w:rsidRPr="00AB22F5">
          <w:rPr>
            <w:rStyle w:val="Hyperlink"/>
            <w:noProof/>
            <w:sz w:val="16"/>
            <w:szCs w:val="16"/>
          </w:rPr>
          <w:t>Table 11: Proportion of linked NHCDC records to NHCDC records,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_Toc151370037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26</w:t>
        </w:r>
        <w:r w:rsidR="00AB22F5" w:rsidRPr="00AB22F5">
          <w:rPr>
            <w:noProof/>
            <w:webHidden/>
            <w:sz w:val="16"/>
            <w:szCs w:val="16"/>
          </w:rPr>
          <w:fldChar w:fldCharType="end"/>
        </w:r>
      </w:hyperlink>
    </w:p>
    <w:p w14:paraId="02A55F25" w14:textId="192B14E6"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38" w:history="1">
        <w:r w:rsidR="00AB22F5" w:rsidRPr="00AB22F5">
          <w:rPr>
            <w:rStyle w:val="Hyperlink"/>
            <w:noProof/>
            <w:sz w:val="16"/>
            <w:szCs w:val="16"/>
          </w:rPr>
          <w:t>Table 12: Emergency department presentations change, 2020-21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_Toc151370038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28</w:t>
        </w:r>
        <w:r w:rsidR="00AB22F5" w:rsidRPr="00AB22F5">
          <w:rPr>
            <w:noProof/>
            <w:webHidden/>
            <w:sz w:val="16"/>
            <w:szCs w:val="16"/>
          </w:rPr>
          <w:fldChar w:fldCharType="end"/>
        </w:r>
      </w:hyperlink>
    </w:p>
    <w:p w14:paraId="1D3FAD64" w14:textId="0C71B39D"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39" w:history="1">
        <w:r w:rsidR="00AB22F5" w:rsidRPr="00AB22F5">
          <w:rPr>
            <w:rStyle w:val="Hyperlink"/>
            <w:noProof/>
            <w:sz w:val="16"/>
            <w:szCs w:val="16"/>
          </w:rPr>
          <w:t>Table 13: Emergency department presentation cost change, 2020-21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_Toc151370039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29</w:t>
        </w:r>
        <w:r w:rsidR="00AB22F5" w:rsidRPr="00AB22F5">
          <w:rPr>
            <w:noProof/>
            <w:webHidden/>
            <w:sz w:val="16"/>
            <w:szCs w:val="16"/>
          </w:rPr>
          <w:fldChar w:fldCharType="end"/>
        </w:r>
      </w:hyperlink>
    </w:p>
    <w:p w14:paraId="2EEB897B" w14:textId="48C994AC"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40" w:history="1">
        <w:r w:rsidR="00AB22F5" w:rsidRPr="00AB22F5">
          <w:rPr>
            <w:rStyle w:val="Hyperlink"/>
            <w:noProof/>
            <w:sz w:val="16"/>
            <w:szCs w:val="16"/>
          </w:rPr>
          <w:t>Table 14: Proportion of linked NHCDC records to activity,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_Toc151370040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31</w:t>
        </w:r>
        <w:r w:rsidR="00AB22F5" w:rsidRPr="00AB22F5">
          <w:rPr>
            <w:noProof/>
            <w:webHidden/>
            <w:sz w:val="16"/>
            <w:szCs w:val="16"/>
          </w:rPr>
          <w:fldChar w:fldCharType="end"/>
        </w:r>
      </w:hyperlink>
    </w:p>
    <w:p w14:paraId="1D060E59" w14:textId="785958B5"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41" w:history="1">
        <w:r w:rsidR="00AB22F5" w:rsidRPr="00AB22F5">
          <w:rPr>
            <w:rStyle w:val="Hyperlink"/>
            <w:noProof/>
            <w:sz w:val="16"/>
            <w:szCs w:val="16"/>
          </w:rPr>
          <w:t>Table 15: Proportion of linked NHCDC records to NHCDC records,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_Toc151370041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31</w:t>
        </w:r>
        <w:r w:rsidR="00AB22F5" w:rsidRPr="00AB22F5">
          <w:rPr>
            <w:noProof/>
            <w:webHidden/>
            <w:sz w:val="16"/>
            <w:szCs w:val="16"/>
          </w:rPr>
          <w:fldChar w:fldCharType="end"/>
        </w:r>
      </w:hyperlink>
    </w:p>
    <w:p w14:paraId="0C613DEF" w14:textId="0767B7CB"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42" w:history="1">
        <w:r w:rsidR="00AB22F5" w:rsidRPr="00AB22F5">
          <w:rPr>
            <w:rStyle w:val="Hyperlink"/>
            <w:noProof/>
            <w:sz w:val="16"/>
            <w:szCs w:val="16"/>
          </w:rPr>
          <w:t>Table 16: Non-admitted service events change, 2020-21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_Toc151370042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33</w:t>
        </w:r>
        <w:r w:rsidR="00AB22F5" w:rsidRPr="00AB22F5">
          <w:rPr>
            <w:noProof/>
            <w:webHidden/>
            <w:sz w:val="16"/>
            <w:szCs w:val="16"/>
          </w:rPr>
          <w:fldChar w:fldCharType="end"/>
        </w:r>
      </w:hyperlink>
    </w:p>
    <w:p w14:paraId="0991A5E3" w14:textId="16AD09DF"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43" w:history="1">
        <w:r w:rsidR="00AB22F5" w:rsidRPr="00AB22F5">
          <w:rPr>
            <w:rStyle w:val="Hyperlink"/>
            <w:noProof/>
            <w:sz w:val="16"/>
            <w:szCs w:val="16"/>
          </w:rPr>
          <w:t>Table 17: Proportion of linked NHCDC records to phases (AMHCC) activity,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_Toc151370043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37</w:t>
        </w:r>
        <w:r w:rsidR="00AB22F5" w:rsidRPr="00AB22F5">
          <w:rPr>
            <w:noProof/>
            <w:webHidden/>
            <w:sz w:val="16"/>
            <w:szCs w:val="16"/>
          </w:rPr>
          <w:fldChar w:fldCharType="end"/>
        </w:r>
      </w:hyperlink>
    </w:p>
    <w:p w14:paraId="3395A173" w14:textId="07607C11"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44" w:history="1">
        <w:r w:rsidR="00AB22F5" w:rsidRPr="00AB22F5">
          <w:rPr>
            <w:rStyle w:val="Hyperlink"/>
            <w:noProof/>
            <w:sz w:val="16"/>
            <w:szCs w:val="16"/>
          </w:rPr>
          <w:t>Table 18: Proportion of linked NHCDC records to episodes (AR-DRG) activity,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_Toc151370044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37</w:t>
        </w:r>
        <w:r w:rsidR="00AB22F5" w:rsidRPr="00AB22F5">
          <w:rPr>
            <w:noProof/>
            <w:webHidden/>
            <w:sz w:val="16"/>
            <w:szCs w:val="16"/>
          </w:rPr>
          <w:fldChar w:fldCharType="end"/>
        </w:r>
      </w:hyperlink>
    </w:p>
    <w:p w14:paraId="0E5F8429" w14:textId="4A6C85F8"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45" w:history="1">
        <w:r w:rsidR="00AB22F5" w:rsidRPr="00AB22F5">
          <w:rPr>
            <w:rStyle w:val="Hyperlink"/>
            <w:noProof/>
            <w:sz w:val="16"/>
            <w:szCs w:val="16"/>
          </w:rPr>
          <w:t>Table 19: Admitted mental health phases change, 2020-21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_Toc151370045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39</w:t>
        </w:r>
        <w:r w:rsidR="00AB22F5" w:rsidRPr="00AB22F5">
          <w:rPr>
            <w:noProof/>
            <w:webHidden/>
            <w:sz w:val="16"/>
            <w:szCs w:val="16"/>
          </w:rPr>
          <w:fldChar w:fldCharType="end"/>
        </w:r>
      </w:hyperlink>
    </w:p>
    <w:p w14:paraId="015DC209" w14:textId="45BDAAE6"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46" w:history="1">
        <w:r w:rsidR="00AB22F5" w:rsidRPr="00AB22F5">
          <w:rPr>
            <w:rStyle w:val="Hyperlink"/>
            <w:noProof/>
            <w:sz w:val="16"/>
            <w:szCs w:val="16"/>
          </w:rPr>
          <w:t>Table 20: Admitted mental health episodes change, 2020-21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_Toc151370046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39</w:t>
        </w:r>
        <w:r w:rsidR="00AB22F5" w:rsidRPr="00AB22F5">
          <w:rPr>
            <w:noProof/>
            <w:webHidden/>
            <w:sz w:val="16"/>
            <w:szCs w:val="16"/>
          </w:rPr>
          <w:fldChar w:fldCharType="end"/>
        </w:r>
      </w:hyperlink>
    </w:p>
    <w:p w14:paraId="04E97C09" w14:textId="411CEBFF"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47" w:history="1">
        <w:r w:rsidR="00AB22F5" w:rsidRPr="00AB22F5">
          <w:rPr>
            <w:rStyle w:val="Hyperlink"/>
            <w:noProof/>
            <w:sz w:val="16"/>
            <w:szCs w:val="16"/>
          </w:rPr>
          <w:t>Table 21: Admitted mental health episodes cost change, 2020-21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_Toc151370047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41</w:t>
        </w:r>
        <w:r w:rsidR="00AB22F5" w:rsidRPr="00AB22F5">
          <w:rPr>
            <w:noProof/>
            <w:webHidden/>
            <w:sz w:val="16"/>
            <w:szCs w:val="16"/>
          </w:rPr>
          <w:fldChar w:fldCharType="end"/>
        </w:r>
      </w:hyperlink>
    </w:p>
    <w:p w14:paraId="0C48118F" w14:textId="1B8459AA"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48" w:history="1">
        <w:r w:rsidR="00AB22F5" w:rsidRPr="00AB22F5">
          <w:rPr>
            <w:rStyle w:val="Hyperlink"/>
            <w:noProof/>
            <w:sz w:val="16"/>
            <w:szCs w:val="16"/>
          </w:rPr>
          <w:t>Table 22: Proportion of linked NHCDC records to phase (AMHCC) activity,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_Toc151370048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46</w:t>
        </w:r>
        <w:r w:rsidR="00AB22F5" w:rsidRPr="00AB22F5">
          <w:rPr>
            <w:noProof/>
            <w:webHidden/>
            <w:sz w:val="16"/>
            <w:szCs w:val="16"/>
          </w:rPr>
          <w:fldChar w:fldCharType="end"/>
        </w:r>
      </w:hyperlink>
    </w:p>
    <w:p w14:paraId="43D640F9" w14:textId="3F709F28"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49" w:history="1">
        <w:r w:rsidR="00AB22F5" w:rsidRPr="00AB22F5">
          <w:rPr>
            <w:rStyle w:val="Hyperlink"/>
            <w:noProof/>
            <w:sz w:val="16"/>
            <w:szCs w:val="16"/>
          </w:rPr>
          <w:t>Table 23: Proportion of linked NHCDC records to episode (AMHCC) activity,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_Toc151370049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46</w:t>
        </w:r>
        <w:r w:rsidR="00AB22F5" w:rsidRPr="00AB22F5">
          <w:rPr>
            <w:noProof/>
            <w:webHidden/>
            <w:sz w:val="16"/>
            <w:szCs w:val="16"/>
          </w:rPr>
          <w:fldChar w:fldCharType="end"/>
        </w:r>
      </w:hyperlink>
    </w:p>
    <w:p w14:paraId="65C59C56" w14:textId="0D875680" w:rsidR="00BB2DE2" w:rsidRPr="00CE058E" w:rsidRDefault="00B42434" w:rsidP="00AB22F5">
      <w:pPr>
        <w:pStyle w:val="TableofFigures"/>
        <w:tabs>
          <w:tab w:val="right" w:leader="dot" w:pos="9736"/>
        </w:tabs>
        <w:spacing w:before="120" w:after="60"/>
        <w:rPr>
          <w:rFonts w:eastAsiaTheme="majorEastAsia" w:cs="Arial"/>
          <w:b/>
          <w:color w:val="104F99" w:themeColor="accent2"/>
          <w:sz w:val="28"/>
          <w:szCs w:val="28"/>
        </w:rPr>
      </w:pPr>
      <w:r w:rsidRPr="00AB22F5">
        <w:rPr>
          <w:sz w:val="16"/>
          <w:szCs w:val="16"/>
        </w:rPr>
        <w:fldChar w:fldCharType="end"/>
      </w:r>
      <w:r w:rsidR="002F162B" w:rsidRPr="00CE058E">
        <w:rPr>
          <w:rFonts w:cs="Arial"/>
          <w:sz w:val="18"/>
          <w:szCs w:val="18"/>
        </w:rPr>
        <w:fldChar w:fldCharType="begin"/>
      </w:r>
      <w:r w:rsidR="002F162B" w:rsidRPr="00CE058E">
        <w:rPr>
          <w:rFonts w:cs="Arial"/>
          <w:sz w:val="18"/>
          <w:szCs w:val="18"/>
        </w:rPr>
        <w:instrText xml:space="preserve"> TOC \h \z \c "Table" </w:instrText>
      </w:r>
      <w:r w:rsidR="00000000">
        <w:rPr>
          <w:rFonts w:cs="Arial"/>
          <w:sz w:val="18"/>
          <w:szCs w:val="18"/>
        </w:rPr>
        <w:fldChar w:fldCharType="separate"/>
      </w:r>
      <w:r w:rsidR="002F162B" w:rsidRPr="00CE058E">
        <w:rPr>
          <w:rFonts w:cs="Arial"/>
          <w:sz w:val="18"/>
          <w:szCs w:val="18"/>
        </w:rPr>
        <w:fldChar w:fldCharType="end"/>
      </w:r>
      <w:r w:rsidR="00BB2DE2" w:rsidRPr="00CE058E">
        <w:rPr>
          <w:rFonts w:eastAsiaTheme="majorEastAsia" w:cs="Arial"/>
          <w:b/>
          <w:color w:val="104F99" w:themeColor="accent2"/>
          <w:sz w:val="28"/>
          <w:szCs w:val="28"/>
        </w:rPr>
        <w:t>Figures</w:t>
      </w:r>
    </w:p>
    <w:p w14:paraId="402BA948" w14:textId="01B5B151" w:rsidR="00AB22F5" w:rsidRPr="00AB22F5" w:rsidRDefault="003B16B9">
      <w:pPr>
        <w:pStyle w:val="TableofFigures"/>
        <w:tabs>
          <w:tab w:val="right" w:leader="dot" w:pos="9736"/>
        </w:tabs>
        <w:rPr>
          <w:rFonts w:asciiTheme="minorHAnsi" w:eastAsiaTheme="minorEastAsia" w:hAnsiTheme="minorHAnsi"/>
          <w:noProof/>
          <w:color w:val="auto"/>
          <w:sz w:val="16"/>
          <w:szCs w:val="16"/>
          <w:lang w:eastAsia="en-AU"/>
        </w:rPr>
      </w:pPr>
      <w:r w:rsidRPr="00142711">
        <w:rPr>
          <w:rFonts w:cs="Arial"/>
          <w:sz w:val="16"/>
          <w:szCs w:val="16"/>
        </w:rPr>
        <w:fldChar w:fldCharType="begin"/>
      </w:r>
      <w:r w:rsidRPr="00142711">
        <w:rPr>
          <w:rFonts w:cs="Arial"/>
          <w:sz w:val="16"/>
          <w:szCs w:val="16"/>
        </w:rPr>
        <w:instrText xml:space="preserve"> TOC \h \z \c "Figure" </w:instrText>
      </w:r>
      <w:r w:rsidRPr="00142711">
        <w:rPr>
          <w:rFonts w:cs="Arial"/>
          <w:sz w:val="16"/>
          <w:szCs w:val="16"/>
        </w:rPr>
        <w:fldChar w:fldCharType="separate"/>
      </w:r>
      <w:hyperlink w:anchor="_Toc151370050" w:history="1">
        <w:r w:rsidR="00AB22F5" w:rsidRPr="00AB22F5">
          <w:rPr>
            <w:rStyle w:val="Hyperlink"/>
            <w:noProof/>
            <w:sz w:val="16"/>
            <w:szCs w:val="16"/>
          </w:rPr>
          <w:t>Figure 1: Proportion of hospitals in NHCDC compared to ABF,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_Toc151370050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9</w:t>
        </w:r>
        <w:r w:rsidR="00AB22F5" w:rsidRPr="00AB22F5">
          <w:rPr>
            <w:noProof/>
            <w:webHidden/>
            <w:sz w:val="16"/>
            <w:szCs w:val="16"/>
          </w:rPr>
          <w:fldChar w:fldCharType="end"/>
        </w:r>
      </w:hyperlink>
    </w:p>
    <w:p w14:paraId="660A0120" w14:textId="617D3FDA"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51" w:history="1">
        <w:r w:rsidR="00AB22F5" w:rsidRPr="00AB22F5">
          <w:rPr>
            <w:rStyle w:val="Hyperlink"/>
            <w:noProof/>
            <w:sz w:val="16"/>
            <w:szCs w:val="16"/>
          </w:rPr>
          <w:t>Figure 2: Admitted acute separations,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_Toc151370051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12</w:t>
        </w:r>
        <w:r w:rsidR="00AB22F5" w:rsidRPr="00AB22F5">
          <w:rPr>
            <w:noProof/>
            <w:webHidden/>
            <w:sz w:val="16"/>
            <w:szCs w:val="16"/>
          </w:rPr>
          <w:fldChar w:fldCharType="end"/>
        </w:r>
      </w:hyperlink>
    </w:p>
    <w:p w14:paraId="28DA1DE4" w14:textId="2E81AA30"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52" w:history="1">
        <w:r w:rsidR="00AB22F5" w:rsidRPr="00AB22F5">
          <w:rPr>
            <w:rStyle w:val="Hyperlink"/>
            <w:noProof/>
            <w:sz w:val="16"/>
            <w:szCs w:val="16"/>
          </w:rPr>
          <w:t>Figure 3: Admitted acute care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_Toc151370052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13</w:t>
        </w:r>
        <w:r w:rsidR="00AB22F5" w:rsidRPr="00AB22F5">
          <w:rPr>
            <w:noProof/>
            <w:webHidden/>
            <w:sz w:val="16"/>
            <w:szCs w:val="16"/>
          </w:rPr>
          <w:fldChar w:fldCharType="end"/>
        </w:r>
      </w:hyperlink>
    </w:p>
    <w:p w14:paraId="52B97191" w14:textId="0DCA9DBC"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53" w:history="1">
        <w:r w:rsidR="00AB22F5" w:rsidRPr="00AB22F5">
          <w:rPr>
            <w:rStyle w:val="Hyperlink"/>
            <w:noProof/>
            <w:sz w:val="16"/>
            <w:szCs w:val="16"/>
          </w:rPr>
          <w:t>Figure 4: Admitted acute care average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_Toc151370053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14</w:t>
        </w:r>
        <w:r w:rsidR="00AB22F5" w:rsidRPr="00AB22F5">
          <w:rPr>
            <w:noProof/>
            <w:webHidden/>
            <w:sz w:val="16"/>
            <w:szCs w:val="16"/>
          </w:rPr>
          <w:fldChar w:fldCharType="end"/>
        </w:r>
      </w:hyperlink>
    </w:p>
    <w:p w14:paraId="2F46BB4B" w14:textId="275248CE"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54" w:history="1">
        <w:r w:rsidR="00AB22F5" w:rsidRPr="00AB22F5">
          <w:rPr>
            <w:rStyle w:val="Hyperlink"/>
            <w:noProof/>
            <w:sz w:val="16"/>
            <w:szCs w:val="16"/>
          </w:rPr>
          <w:t>Figure 5: Admitted acute care weighted average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_Toc151370054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15</w:t>
        </w:r>
        <w:r w:rsidR="00AB22F5" w:rsidRPr="00AB22F5">
          <w:rPr>
            <w:noProof/>
            <w:webHidden/>
            <w:sz w:val="16"/>
            <w:szCs w:val="16"/>
          </w:rPr>
          <w:fldChar w:fldCharType="end"/>
        </w:r>
      </w:hyperlink>
    </w:p>
    <w:p w14:paraId="478BEA23" w14:textId="640D84FF"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55" w:history="1">
        <w:r w:rsidR="00AB22F5" w:rsidRPr="00AB22F5">
          <w:rPr>
            <w:rStyle w:val="Hyperlink"/>
            <w:noProof/>
            <w:sz w:val="16"/>
            <w:szCs w:val="16"/>
          </w:rPr>
          <w:t>Figure 6: Admitted acute cost buckets national,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_Toc151370055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16</w:t>
        </w:r>
        <w:r w:rsidR="00AB22F5" w:rsidRPr="00AB22F5">
          <w:rPr>
            <w:noProof/>
            <w:webHidden/>
            <w:sz w:val="16"/>
            <w:szCs w:val="16"/>
          </w:rPr>
          <w:fldChar w:fldCharType="end"/>
        </w:r>
      </w:hyperlink>
    </w:p>
    <w:p w14:paraId="5DA21BE7" w14:textId="229FCA45"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56" w:history="1">
        <w:r w:rsidR="00AB22F5" w:rsidRPr="00AB22F5">
          <w:rPr>
            <w:rStyle w:val="Hyperlink"/>
            <w:noProof/>
            <w:sz w:val="16"/>
            <w:szCs w:val="16"/>
          </w:rPr>
          <w:t>Figure 7: Admitted subacute and non-acute episodes,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_Toc151370056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19</w:t>
        </w:r>
        <w:r w:rsidR="00AB22F5" w:rsidRPr="00AB22F5">
          <w:rPr>
            <w:noProof/>
            <w:webHidden/>
            <w:sz w:val="16"/>
            <w:szCs w:val="16"/>
          </w:rPr>
          <w:fldChar w:fldCharType="end"/>
        </w:r>
      </w:hyperlink>
    </w:p>
    <w:p w14:paraId="2F1548EE" w14:textId="252E5CD1"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57" w:history="1">
        <w:r w:rsidR="00AB22F5" w:rsidRPr="00AB22F5">
          <w:rPr>
            <w:rStyle w:val="Hyperlink"/>
            <w:noProof/>
            <w:sz w:val="16"/>
            <w:szCs w:val="16"/>
          </w:rPr>
          <w:t>Figure 8: Admitted subacute phases,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_Toc151370057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19</w:t>
        </w:r>
        <w:r w:rsidR="00AB22F5" w:rsidRPr="00AB22F5">
          <w:rPr>
            <w:noProof/>
            <w:webHidden/>
            <w:sz w:val="16"/>
            <w:szCs w:val="16"/>
          </w:rPr>
          <w:fldChar w:fldCharType="end"/>
        </w:r>
      </w:hyperlink>
    </w:p>
    <w:p w14:paraId="5E9BAE65" w14:textId="63BA93D8"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58" w:history="1">
        <w:r w:rsidR="00AB22F5" w:rsidRPr="00AB22F5">
          <w:rPr>
            <w:rStyle w:val="Hyperlink"/>
            <w:noProof/>
            <w:sz w:val="16"/>
            <w:szCs w:val="16"/>
          </w:rPr>
          <w:t>Figure 9: Admitted subacute and non-acute episodes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_Toc151370058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20</w:t>
        </w:r>
        <w:r w:rsidR="00AB22F5" w:rsidRPr="00AB22F5">
          <w:rPr>
            <w:noProof/>
            <w:webHidden/>
            <w:sz w:val="16"/>
            <w:szCs w:val="16"/>
          </w:rPr>
          <w:fldChar w:fldCharType="end"/>
        </w:r>
      </w:hyperlink>
    </w:p>
    <w:p w14:paraId="157E5407" w14:textId="35F92935"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59" w:history="1">
        <w:r w:rsidR="00AB22F5" w:rsidRPr="00AB22F5">
          <w:rPr>
            <w:rStyle w:val="Hyperlink"/>
            <w:noProof/>
            <w:sz w:val="16"/>
            <w:szCs w:val="16"/>
          </w:rPr>
          <w:t>Figure 10: Admitted subacute phases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_Toc151370059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21</w:t>
        </w:r>
        <w:r w:rsidR="00AB22F5" w:rsidRPr="00AB22F5">
          <w:rPr>
            <w:noProof/>
            <w:webHidden/>
            <w:sz w:val="16"/>
            <w:szCs w:val="16"/>
          </w:rPr>
          <w:fldChar w:fldCharType="end"/>
        </w:r>
      </w:hyperlink>
    </w:p>
    <w:p w14:paraId="2A6A4345" w14:textId="39CCE028"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60" w:history="1">
        <w:r w:rsidR="00AB22F5" w:rsidRPr="00AB22F5">
          <w:rPr>
            <w:rStyle w:val="Hyperlink"/>
            <w:noProof/>
            <w:sz w:val="16"/>
            <w:szCs w:val="16"/>
          </w:rPr>
          <w:t>Figure 11: Admitted subacute and non-acute episodes average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_Toc151370060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21</w:t>
        </w:r>
        <w:r w:rsidR="00AB22F5" w:rsidRPr="00AB22F5">
          <w:rPr>
            <w:noProof/>
            <w:webHidden/>
            <w:sz w:val="16"/>
            <w:szCs w:val="16"/>
          </w:rPr>
          <w:fldChar w:fldCharType="end"/>
        </w:r>
      </w:hyperlink>
    </w:p>
    <w:p w14:paraId="49A386C8" w14:textId="2763F97D"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61" w:history="1">
        <w:r w:rsidR="00AB22F5" w:rsidRPr="00AB22F5">
          <w:rPr>
            <w:rStyle w:val="Hyperlink"/>
            <w:noProof/>
            <w:sz w:val="16"/>
            <w:szCs w:val="16"/>
          </w:rPr>
          <w:t>Figure 12: Admitted subacute phases average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_Toc151370061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22</w:t>
        </w:r>
        <w:r w:rsidR="00AB22F5" w:rsidRPr="00AB22F5">
          <w:rPr>
            <w:noProof/>
            <w:webHidden/>
            <w:sz w:val="16"/>
            <w:szCs w:val="16"/>
          </w:rPr>
          <w:fldChar w:fldCharType="end"/>
        </w:r>
      </w:hyperlink>
    </w:p>
    <w:p w14:paraId="217682E5" w14:textId="280CD920"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62" w:history="1">
        <w:r w:rsidR="00AB22F5" w:rsidRPr="00AB22F5">
          <w:rPr>
            <w:rStyle w:val="Hyperlink"/>
            <w:noProof/>
            <w:sz w:val="16"/>
            <w:szCs w:val="16"/>
          </w:rPr>
          <w:t>Figure 13: Admitted subacute and non-acute episodes cost buckets national,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_Toc151370062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23</w:t>
        </w:r>
        <w:r w:rsidR="00AB22F5" w:rsidRPr="00AB22F5">
          <w:rPr>
            <w:noProof/>
            <w:webHidden/>
            <w:sz w:val="16"/>
            <w:szCs w:val="16"/>
          </w:rPr>
          <w:fldChar w:fldCharType="end"/>
        </w:r>
      </w:hyperlink>
    </w:p>
    <w:p w14:paraId="5A8855AB" w14:textId="4CC77241"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63" w:history="1">
        <w:r w:rsidR="00AB22F5" w:rsidRPr="00AB22F5">
          <w:rPr>
            <w:rStyle w:val="Hyperlink"/>
            <w:noProof/>
            <w:sz w:val="16"/>
            <w:szCs w:val="16"/>
          </w:rPr>
          <w:t>Figure 14: Admitted subacute phases cost buckets national,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_Toc151370063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24</w:t>
        </w:r>
        <w:r w:rsidR="00AB22F5" w:rsidRPr="00AB22F5">
          <w:rPr>
            <w:noProof/>
            <w:webHidden/>
            <w:sz w:val="16"/>
            <w:szCs w:val="16"/>
          </w:rPr>
          <w:fldChar w:fldCharType="end"/>
        </w:r>
      </w:hyperlink>
    </w:p>
    <w:p w14:paraId="3B4B7017" w14:textId="50BE36AC"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64" w:history="1">
        <w:r w:rsidR="00AB22F5" w:rsidRPr="00AB22F5">
          <w:rPr>
            <w:rStyle w:val="Hyperlink"/>
            <w:noProof/>
            <w:sz w:val="16"/>
            <w:szCs w:val="16"/>
          </w:rPr>
          <w:t>Figure 15: Emergency department presentations,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_Toc151370064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27</w:t>
        </w:r>
        <w:r w:rsidR="00AB22F5" w:rsidRPr="00AB22F5">
          <w:rPr>
            <w:noProof/>
            <w:webHidden/>
            <w:sz w:val="16"/>
            <w:szCs w:val="16"/>
          </w:rPr>
          <w:fldChar w:fldCharType="end"/>
        </w:r>
      </w:hyperlink>
    </w:p>
    <w:p w14:paraId="5817FC91" w14:textId="48FE0E9A"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65" w:history="1">
        <w:r w:rsidR="00AB22F5" w:rsidRPr="00AB22F5">
          <w:rPr>
            <w:rStyle w:val="Hyperlink"/>
            <w:noProof/>
            <w:sz w:val="16"/>
            <w:szCs w:val="16"/>
          </w:rPr>
          <w:t>Figure 16: Emergency department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_Toc151370065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28</w:t>
        </w:r>
        <w:r w:rsidR="00AB22F5" w:rsidRPr="00AB22F5">
          <w:rPr>
            <w:noProof/>
            <w:webHidden/>
            <w:sz w:val="16"/>
            <w:szCs w:val="16"/>
          </w:rPr>
          <w:fldChar w:fldCharType="end"/>
        </w:r>
      </w:hyperlink>
    </w:p>
    <w:p w14:paraId="2B413B31" w14:textId="7B8CEF5F"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66" w:history="1">
        <w:r w:rsidR="00AB22F5" w:rsidRPr="00AB22F5">
          <w:rPr>
            <w:rStyle w:val="Hyperlink"/>
            <w:noProof/>
            <w:sz w:val="16"/>
            <w:szCs w:val="16"/>
          </w:rPr>
          <w:t>Figure 17: Emergency department presentation average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_Toc151370066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29</w:t>
        </w:r>
        <w:r w:rsidR="00AB22F5" w:rsidRPr="00AB22F5">
          <w:rPr>
            <w:noProof/>
            <w:webHidden/>
            <w:sz w:val="16"/>
            <w:szCs w:val="16"/>
          </w:rPr>
          <w:fldChar w:fldCharType="end"/>
        </w:r>
      </w:hyperlink>
    </w:p>
    <w:p w14:paraId="00888B97" w14:textId="0BB5C0F1"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67" w:history="1">
        <w:r w:rsidR="00AB22F5" w:rsidRPr="00AB22F5">
          <w:rPr>
            <w:rStyle w:val="Hyperlink"/>
            <w:noProof/>
            <w:sz w:val="16"/>
            <w:szCs w:val="16"/>
          </w:rPr>
          <w:t>Figure 18: Non-admitted service events,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_Toc151370067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32</w:t>
        </w:r>
        <w:r w:rsidR="00AB22F5" w:rsidRPr="00AB22F5">
          <w:rPr>
            <w:noProof/>
            <w:webHidden/>
            <w:sz w:val="16"/>
            <w:szCs w:val="16"/>
          </w:rPr>
          <w:fldChar w:fldCharType="end"/>
        </w:r>
      </w:hyperlink>
    </w:p>
    <w:p w14:paraId="115FC998" w14:textId="5E6A9D49"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68" w:history="1">
        <w:r w:rsidR="00AB22F5" w:rsidRPr="00AB22F5">
          <w:rPr>
            <w:rStyle w:val="Hyperlink"/>
            <w:noProof/>
            <w:sz w:val="16"/>
            <w:szCs w:val="16"/>
          </w:rPr>
          <w:t>Figure 19: Non-admitted service events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_Toc151370068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33</w:t>
        </w:r>
        <w:r w:rsidR="00AB22F5" w:rsidRPr="00AB22F5">
          <w:rPr>
            <w:noProof/>
            <w:webHidden/>
            <w:sz w:val="16"/>
            <w:szCs w:val="16"/>
          </w:rPr>
          <w:fldChar w:fldCharType="end"/>
        </w:r>
      </w:hyperlink>
    </w:p>
    <w:p w14:paraId="22C5865E" w14:textId="07D1E19A"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69" w:history="1">
        <w:r w:rsidR="00AB22F5" w:rsidRPr="00AB22F5">
          <w:rPr>
            <w:rStyle w:val="Hyperlink"/>
            <w:noProof/>
            <w:sz w:val="16"/>
            <w:szCs w:val="16"/>
          </w:rPr>
          <w:t>Figure 20: Non-admitted service events average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_Toc151370069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34</w:t>
        </w:r>
        <w:r w:rsidR="00AB22F5" w:rsidRPr="00AB22F5">
          <w:rPr>
            <w:noProof/>
            <w:webHidden/>
            <w:sz w:val="16"/>
            <w:szCs w:val="16"/>
          </w:rPr>
          <w:fldChar w:fldCharType="end"/>
        </w:r>
      </w:hyperlink>
    </w:p>
    <w:p w14:paraId="0EC08155" w14:textId="6ED0A80C"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70" w:history="1">
        <w:r w:rsidR="00AB22F5" w:rsidRPr="00AB22F5">
          <w:rPr>
            <w:rStyle w:val="Hyperlink"/>
            <w:noProof/>
            <w:sz w:val="16"/>
            <w:szCs w:val="16"/>
          </w:rPr>
          <w:t>Figure 21: Non admitted service events cost buckets national,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_Toc151370070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35</w:t>
        </w:r>
        <w:r w:rsidR="00AB22F5" w:rsidRPr="00AB22F5">
          <w:rPr>
            <w:noProof/>
            <w:webHidden/>
            <w:sz w:val="16"/>
            <w:szCs w:val="16"/>
          </w:rPr>
          <w:fldChar w:fldCharType="end"/>
        </w:r>
      </w:hyperlink>
    </w:p>
    <w:p w14:paraId="0A2E460E" w14:textId="4DCCDCC1"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71" w:history="1">
        <w:r w:rsidR="00AB22F5" w:rsidRPr="00AB22F5">
          <w:rPr>
            <w:rStyle w:val="Hyperlink"/>
            <w:noProof/>
            <w:sz w:val="16"/>
            <w:szCs w:val="16"/>
          </w:rPr>
          <w:t>Figure 22: Admitted mental health phases,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_Toc151370071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38</w:t>
        </w:r>
        <w:r w:rsidR="00AB22F5" w:rsidRPr="00AB22F5">
          <w:rPr>
            <w:noProof/>
            <w:webHidden/>
            <w:sz w:val="16"/>
            <w:szCs w:val="16"/>
          </w:rPr>
          <w:fldChar w:fldCharType="end"/>
        </w:r>
      </w:hyperlink>
    </w:p>
    <w:p w14:paraId="2C422A57" w14:textId="525C2A8E"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72" w:history="1">
        <w:r w:rsidR="00AB22F5" w:rsidRPr="00AB22F5">
          <w:rPr>
            <w:rStyle w:val="Hyperlink"/>
            <w:noProof/>
            <w:sz w:val="16"/>
            <w:szCs w:val="16"/>
          </w:rPr>
          <w:t>Figure 23: Admitted mental health episodes,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_Toc151370072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38</w:t>
        </w:r>
        <w:r w:rsidR="00AB22F5" w:rsidRPr="00AB22F5">
          <w:rPr>
            <w:noProof/>
            <w:webHidden/>
            <w:sz w:val="16"/>
            <w:szCs w:val="16"/>
          </w:rPr>
          <w:fldChar w:fldCharType="end"/>
        </w:r>
      </w:hyperlink>
    </w:p>
    <w:p w14:paraId="015F23FD" w14:textId="1A452EE2"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73" w:history="1">
        <w:r w:rsidR="00AB22F5" w:rsidRPr="00AB22F5">
          <w:rPr>
            <w:rStyle w:val="Hyperlink"/>
            <w:noProof/>
            <w:sz w:val="16"/>
            <w:szCs w:val="16"/>
          </w:rPr>
          <w:t>Figure 24: Admitted mental health phases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_Toc151370073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40</w:t>
        </w:r>
        <w:r w:rsidR="00AB22F5" w:rsidRPr="00AB22F5">
          <w:rPr>
            <w:noProof/>
            <w:webHidden/>
            <w:sz w:val="16"/>
            <w:szCs w:val="16"/>
          </w:rPr>
          <w:fldChar w:fldCharType="end"/>
        </w:r>
      </w:hyperlink>
    </w:p>
    <w:p w14:paraId="39F44A9C" w14:textId="1D16614C"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74" w:history="1">
        <w:r w:rsidR="00AB22F5" w:rsidRPr="00AB22F5">
          <w:rPr>
            <w:rStyle w:val="Hyperlink"/>
            <w:noProof/>
            <w:sz w:val="16"/>
            <w:szCs w:val="16"/>
          </w:rPr>
          <w:t>Figure 25: Admitted mental health episodes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_Toc151370074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40</w:t>
        </w:r>
        <w:r w:rsidR="00AB22F5" w:rsidRPr="00AB22F5">
          <w:rPr>
            <w:noProof/>
            <w:webHidden/>
            <w:sz w:val="16"/>
            <w:szCs w:val="16"/>
          </w:rPr>
          <w:fldChar w:fldCharType="end"/>
        </w:r>
      </w:hyperlink>
    </w:p>
    <w:p w14:paraId="6BDF0C83" w14:textId="29EC161D"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75" w:history="1">
        <w:r w:rsidR="00AB22F5" w:rsidRPr="00AB22F5">
          <w:rPr>
            <w:rStyle w:val="Hyperlink"/>
            <w:noProof/>
            <w:sz w:val="16"/>
            <w:szCs w:val="16"/>
          </w:rPr>
          <w:t>Figure 26: Admitted mental health phases average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_Toc151370075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41</w:t>
        </w:r>
        <w:r w:rsidR="00AB22F5" w:rsidRPr="00AB22F5">
          <w:rPr>
            <w:noProof/>
            <w:webHidden/>
            <w:sz w:val="16"/>
            <w:szCs w:val="16"/>
          </w:rPr>
          <w:fldChar w:fldCharType="end"/>
        </w:r>
      </w:hyperlink>
    </w:p>
    <w:p w14:paraId="66EFF65F" w14:textId="0426CFE9"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76" w:history="1">
        <w:r w:rsidR="00AB22F5" w:rsidRPr="00AB22F5">
          <w:rPr>
            <w:rStyle w:val="Hyperlink"/>
            <w:noProof/>
            <w:sz w:val="16"/>
            <w:szCs w:val="16"/>
          </w:rPr>
          <w:t>Figure 27: Admitted mental health episodes average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_Toc151370076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42</w:t>
        </w:r>
        <w:r w:rsidR="00AB22F5" w:rsidRPr="00AB22F5">
          <w:rPr>
            <w:noProof/>
            <w:webHidden/>
            <w:sz w:val="16"/>
            <w:szCs w:val="16"/>
          </w:rPr>
          <w:fldChar w:fldCharType="end"/>
        </w:r>
      </w:hyperlink>
    </w:p>
    <w:p w14:paraId="1ECB9339" w14:textId="4242AA87"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77" w:history="1">
        <w:r w:rsidR="00AB22F5" w:rsidRPr="00AB22F5">
          <w:rPr>
            <w:rStyle w:val="Hyperlink"/>
            <w:noProof/>
            <w:sz w:val="16"/>
            <w:szCs w:val="16"/>
          </w:rPr>
          <w:t>Figure 28: Admitted mental health phases cost buckets national,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_Toc151370077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43</w:t>
        </w:r>
        <w:r w:rsidR="00AB22F5" w:rsidRPr="00AB22F5">
          <w:rPr>
            <w:noProof/>
            <w:webHidden/>
            <w:sz w:val="16"/>
            <w:szCs w:val="16"/>
          </w:rPr>
          <w:fldChar w:fldCharType="end"/>
        </w:r>
      </w:hyperlink>
    </w:p>
    <w:p w14:paraId="02DBBD17" w14:textId="6ED12FD3"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78" w:history="1">
        <w:r w:rsidR="00AB22F5" w:rsidRPr="00AB22F5">
          <w:rPr>
            <w:rStyle w:val="Hyperlink"/>
            <w:noProof/>
            <w:sz w:val="16"/>
            <w:szCs w:val="16"/>
          </w:rPr>
          <w:t>Figure 29: Admitted mental health episodes cost buckets national,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_Toc151370078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44</w:t>
        </w:r>
        <w:r w:rsidR="00AB22F5" w:rsidRPr="00AB22F5">
          <w:rPr>
            <w:noProof/>
            <w:webHidden/>
            <w:sz w:val="16"/>
            <w:szCs w:val="16"/>
          </w:rPr>
          <w:fldChar w:fldCharType="end"/>
        </w:r>
      </w:hyperlink>
    </w:p>
    <w:p w14:paraId="42F1C47E" w14:textId="5D3E5EFF"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79" w:history="1">
        <w:r w:rsidR="00AB22F5" w:rsidRPr="00AB22F5">
          <w:rPr>
            <w:rStyle w:val="Hyperlink"/>
            <w:noProof/>
            <w:sz w:val="16"/>
            <w:szCs w:val="16"/>
          </w:rPr>
          <w:t>Figure 30: Community mental health phases,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_Toc151370079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47</w:t>
        </w:r>
        <w:r w:rsidR="00AB22F5" w:rsidRPr="00AB22F5">
          <w:rPr>
            <w:noProof/>
            <w:webHidden/>
            <w:sz w:val="16"/>
            <w:szCs w:val="16"/>
          </w:rPr>
          <w:fldChar w:fldCharType="end"/>
        </w:r>
      </w:hyperlink>
    </w:p>
    <w:p w14:paraId="500BE4E6" w14:textId="66EEF734"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80" w:history="1">
        <w:r w:rsidR="00AB22F5" w:rsidRPr="00AB22F5">
          <w:rPr>
            <w:rStyle w:val="Hyperlink"/>
            <w:noProof/>
            <w:sz w:val="16"/>
            <w:szCs w:val="16"/>
          </w:rPr>
          <w:t>Figure 31: Community mental health episodes,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_Toc151370080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47</w:t>
        </w:r>
        <w:r w:rsidR="00AB22F5" w:rsidRPr="00AB22F5">
          <w:rPr>
            <w:noProof/>
            <w:webHidden/>
            <w:sz w:val="16"/>
            <w:szCs w:val="16"/>
          </w:rPr>
          <w:fldChar w:fldCharType="end"/>
        </w:r>
      </w:hyperlink>
    </w:p>
    <w:p w14:paraId="73593533" w14:textId="4EA15F5C"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81" w:history="1">
        <w:r w:rsidR="00AB22F5" w:rsidRPr="00AB22F5">
          <w:rPr>
            <w:rStyle w:val="Hyperlink"/>
            <w:noProof/>
            <w:sz w:val="16"/>
            <w:szCs w:val="16"/>
          </w:rPr>
          <w:t>Figure 32: Community mental health phases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_Toc151370081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48</w:t>
        </w:r>
        <w:r w:rsidR="00AB22F5" w:rsidRPr="00AB22F5">
          <w:rPr>
            <w:noProof/>
            <w:webHidden/>
            <w:sz w:val="16"/>
            <w:szCs w:val="16"/>
          </w:rPr>
          <w:fldChar w:fldCharType="end"/>
        </w:r>
      </w:hyperlink>
    </w:p>
    <w:p w14:paraId="405AEA13" w14:textId="26C6889A"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82" w:history="1">
        <w:r w:rsidR="00AB22F5" w:rsidRPr="00AB22F5">
          <w:rPr>
            <w:rStyle w:val="Hyperlink"/>
            <w:noProof/>
            <w:sz w:val="16"/>
            <w:szCs w:val="16"/>
          </w:rPr>
          <w:t>Figure 33: Community mental health episodes cost,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_Toc151370082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48</w:t>
        </w:r>
        <w:r w:rsidR="00AB22F5" w:rsidRPr="00AB22F5">
          <w:rPr>
            <w:noProof/>
            <w:webHidden/>
            <w:sz w:val="16"/>
            <w:szCs w:val="16"/>
          </w:rPr>
          <w:fldChar w:fldCharType="end"/>
        </w:r>
      </w:hyperlink>
    </w:p>
    <w:p w14:paraId="7AD2C12D" w14:textId="43433A2D"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83" w:history="1">
        <w:r w:rsidR="00AB22F5" w:rsidRPr="00AB22F5">
          <w:rPr>
            <w:rStyle w:val="Hyperlink"/>
            <w:noProof/>
            <w:sz w:val="16"/>
            <w:szCs w:val="16"/>
          </w:rPr>
          <w:t>Figure 34: Community mental health average cost per phase,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_Toc151370083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49</w:t>
        </w:r>
        <w:r w:rsidR="00AB22F5" w:rsidRPr="00AB22F5">
          <w:rPr>
            <w:noProof/>
            <w:webHidden/>
            <w:sz w:val="16"/>
            <w:szCs w:val="16"/>
          </w:rPr>
          <w:fldChar w:fldCharType="end"/>
        </w:r>
      </w:hyperlink>
    </w:p>
    <w:p w14:paraId="0249D93B" w14:textId="21934302"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84" w:history="1">
        <w:r w:rsidR="00AB22F5" w:rsidRPr="00AB22F5">
          <w:rPr>
            <w:rStyle w:val="Hyperlink"/>
            <w:noProof/>
            <w:sz w:val="16"/>
            <w:szCs w:val="16"/>
          </w:rPr>
          <w:t>Figure 35: Community mental health average cost per episode,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_Toc151370084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49</w:t>
        </w:r>
        <w:r w:rsidR="00AB22F5" w:rsidRPr="00AB22F5">
          <w:rPr>
            <w:noProof/>
            <w:webHidden/>
            <w:sz w:val="16"/>
            <w:szCs w:val="16"/>
          </w:rPr>
          <w:fldChar w:fldCharType="end"/>
        </w:r>
      </w:hyperlink>
    </w:p>
    <w:p w14:paraId="661F65E7" w14:textId="62E0E3F0" w:rsidR="00AB22F5" w:rsidRPr="00AB22F5" w:rsidRDefault="00000000">
      <w:pPr>
        <w:pStyle w:val="TableofFigures"/>
        <w:tabs>
          <w:tab w:val="right" w:leader="dot" w:pos="9736"/>
        </w:tabs>
        <w:rPr>
          <w:rFonts w:asciiTheme="minorHAnsi" w:eastAsiaTheme="minorEastAsia" w:hAnsiTheme="minorHAnsi"/>
          <w:noProof/>
          <w:color w:val="auto"/>
          <w:sz w:val="16"/>
          <w:szCs w:val="16"/>
          <w:lang w:eastAsia="en-AU"/>
        </w:rPr>
      </w:pPr>
      <w:hyperlink w:anchor="_Toc151370085" w:history="1">
        <w:r w:rsidR="00AB22F5" w:rsidRPr="00AB22F5">
          <w:rPr>
            <w:rStyle w:val="Hyperlink"/>
            <w:noProof/>
            <w:sz w:val="16"/>
            <w:szCs w:val="16"/>
          </w:rPr>
          <w:t>Figure 36: Community mental health phases cost buckets national,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_Toc151370085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50</w:t>
        </w:r>
        <w:r w:rsidR="00AB22F5" w:rsidRPr="00AB22F5">
          <w:rPr>
            <w:noProof/>
            <w:webHidden/>
            <w:sz w:val="16"/>
            <w:szCs w:val="16"/>
          </w:rPr>
          <w:fldChar w:fldCharType="end"/>
        </w:r>
      </w:hyperlink>
    </w:p>
    <w:p w14:paraId="7A7EBF11" w14:textId="5F5B4178" w:rsidR="00372628" w:rsidRPr="00CE058E" w:rsidRDefault="00000000" w:rsidP="005D6595">
      <w:pPr>
        <w:pStyle w:val="TableofFigures"/>
        <w:tabs>
          <w:tab w:val="right" w:leader="dot" w:pos="9736"/>
        </w:tabs>
        <w:rPr>
          <w:rFonts w:cs="Arial"/>
          <w:sz w:val="18"/>
          <w:szCs w:val="18"/>
        </w:rPr>
      </w:pPr>
      <w:hyperlink w:anchor="_Toc151370086" w:history="1">
        <w:r w:rsidR="00AB22F5" w:rsidRPr="00AB22F5">
          <w:rPr>
            <w:rStyle w:val="Hyperlink"/>
            <w:noProof/>
            <w:sz w:val="16"/>
            <w:szCs w:val="16"/>
          </w:rPr>
          <w:t>Figure 37: Community mental health episodes cost buckets national, 2019-20 to 2021-22</w:t>
        </w:r>
        <w:r w:rsidR="00AB22F5" w:rsidRPr="00AB22F5">
          <w:rPr>
            <w:noProof/>
            <w:webHidden/>
            <w:sz w:val="16"/>
            <w:szCs w:val="16"/>
          </w:rPr>
          <w:tab/>
        </w:r>
        <w:r w:rsidR="00AB22F5" w:rsidRPr="00AB22F5">
          <w:rPr>
            <w:noProof/>
            <w:webHidden/>
            <w:sz w:val="16"/>
            <w:szCs w:val="16"/>
          </w:rPr>
          <w:fldChar w:fldCharType="begin"/>
        </w:r>
        <w:r w:rsidR="00AB22F5" w:rsidRPr="00AB22F5">
          <w:rPr>
            <w:noProof/>
            <w:webHidden/>
            <w:sz w:val="16"/>
            <w:szCs w:val="16"/>
          </w:rPr>
          <w:instrText xml:space="preserve"> PAGEREF _Toc151370086 \h </w:instrText>
        </w:r>
        <w:r w:rsidR="00AB22F5" w:rsidRPr="00AB22F5">
          <w:rPr>
            <w:noProof/>
            <w:webHidden/>
            <w:sz w:val="16"/>
            <w:szCs w:val="16"/>
          </w:rPr>
        </w:r>
        <w:r w:rsidR="00AB22F5" w:rsidRPr="00AB22F5">
          <w:rPr>
            <w:noProof/>
            <w:webHidden/>
            <w:sz w:val="16"/>
            <w:szCs w:val="16"/>
          </w:rPr>
          <w:fldChar w:fldCharType="separate"/>
        </w:r>
        <w:r w:rsidR="00AB22F5" w:rsidRPr="00AB22F5">
          <w:rPr>
            <w:noProof/>
            <w:webHidden/>
            <w:sz w:val="16"/>
            <w:szCs w:val="16"/>
          </w:rPr>
          <w:t>51</w:t>
        </w:r>
        <w:r w:rsidR="00AB22F5" w:rsidRPr="00AB22F5">
          <w:rPr>
            <w:noProof/>
            <w:webHidden/>
            <w:sz w:val="16"/>
            <w:szCs w:val="16"/>
          </w:rPr>
          <w:fldChar w:fldCharType="end"/>
        </w:r>
      </w:hyperlink>
      <w:r w:rsidR="003B16B9" w:rsidRPr="00142711">
        <w:rPr>
          <w:rFonts w:cs="Arial"/>
          <w:sz w:val="16"/>
          <w:szCs w:val="16"/>
        </w:rPr>
        <w:fldChar w:fldCharType="end"/>
      </w:r>
      <w:r w:rsidR="00372628" w:rsidRPr="00CE058E">
        <w:rPr>
          <w:rFonts w:cs="Arial"/>
          <w:sz w:val="18"/>
          <w:szCs w:val="18"/>
        </w:rPr>
        <w:br w:type="page"/>
      </w:r>
    </w:p>
    <w:p w14:paraId="21731766" w14:textId="3399821E" w:rsidR="009C4684" w:rsidRPr="00CE058E" w:rsidRDefault="009C4684" w:rsidP="005C6AE6">
      <w:pPr>
        <w:pStyle w:val="Heading1"/>
        <w:numPr>
          <w:ilvl w:val="0"/>
          <w:numId w:val="34"/>
        </w:numPr>
        <w:spacing w:after="120"/>
        <w:rPr>
          <w:rFonts w:cs="Arial"/>
        </w:rPr>
      </w:pPr>
      <w:bookmarkStart w:id="6" w:name="_Toc147920342"/>
      <w:bookmarkStart w:id="7" w:name="_Toc147923701"/>
      <w:bookmarkStart w:id="8" w:name="_Toc147996296"/>
      <w:bookmarkStart w:id="9" w:name="_Toc147996983"/>
      <w:bookmarkStart w:id="10" w:name="_Toc147997963"/>
      <w:bookmarkStart w:id="11" w:name="_Toc148348821"/>
      <w:bookmarkStart w:id="12" w:name="_Toc148367121"/>
      <w:bookmarkStart w:id="13" w:name="_Toc148367321"/>
      <w:bookmarkStart w:id="14" w:name="_Toc148367444"/>
      <w:bookmarkStart w:id="15" w:name="_Toc148425078"/>
      <w:bookmarkStart w:id="16" w:name="_Toc158882588"/>
      <w:bookmarkEnd w:id="6"/>
      <w:bookmarkEnd w:id="7"/>
      <w:bookmarkEnd w:id="8"/>
      <w:bookmarkEnd w:id="9"/>
      <w:bookmarkEnd w:id="10"/>
      <w:bookmarkEnd w:id="11"/>
      <w:bookmarkEnd w:id="12"/>
      <w:bookmarkEnd w:id="13"/>
      <w:bookmarkEnd w:id="14"/>
      <w:bookmarkEnd w:id="15"/>
      <w:r w:rsidRPr="00CE058E">
        <w:rPr>
          <w:rFonts w:cs="Arial"/>
        </w:rPr>
        <w:lastRenderedPageBreak/>
        <w:t xml:space="preserve">Executive </w:t>
      </w:r>
      <w:r w:rsidR="00077E22">
        <w:rPr>
          <w:rFonts w:cs="Arial"/>
        </w:rPr>
        <w:t>s</w:t>
      </w:r>
      <w:r w:rsidRPr="00CE058E">
        <w:rPr>
          <w:rFonts w:cs="Arial"/>
        </w:rPr>
        <w:t>ummary</w:t>
      </w:r>
      <w:bookmarkEnd w:id="0"/>
      <w:bookmarkEnd w:id="1"/>
      <w:bookmarkEnd w:id="16"/>
    </w:p>
    <w:p w14:paraId="5BB54328" w14:textId="77777777" w:rsidR="007261EA" w:rsidRPr="00CE058E" w:rsidRDefault="007261EA" w:rsidP="007261EA">
      <w:pPr>
        <w:pStyle w:val="Heading2"/>
      </w:pPr>
      <w:bookmarkStart w:id="17" w:name="_Toc151129677"/>
      <w:bookmarkStart w:id="18" w:name="_Toc158882528"/>
      <w:bookmarkStart w:id="19" w:name="_Toc158882589"/>
      <w:r w:rsidRPr="00CE058E">
        <w:t>Purpose</w:t>
      </w:r>
      <w:bookmarkEnd w:id="17"/>
      <w:bookmarkEnd w:id="18"/>
      <w:bookmarkEnd w:id="19"/>
    </w:p>
    <w:p w14:paraId="610C339C" w14:textId="089DCA20" w:rsidR="00190655" w:rsidRPr="00CE058E" w:rsidRDefault="000C1990" w:rsidP="00190655">
      <w:pPr>
        <w:spacing w:after="240" w:line="276" w:lineRule="auto"/>
        <w:rPr>
          <w:rFonts w:cs="Arial"/>
        </w:rPr>
      </w:pPr>
      <w:r w:rsidRPr="00CE058E">
        <w:rPr>
          <w:rFonts w:cs="Arial"/>
          <w:color w:val="auto"/>
        </w:rPr>
        <w:t>T</w:t>
      </w:r>
      <w:r w:rsidR="007261EA" w:rsidRPr="00CE058E">
        <w:rPr>
          <w:rFonts w:cs="Arial"/>
          <w:color w:val="auto"/>
        </w:rPr>
        <w:t>his report present</w:t>
      </w:r>
      <w:r w:rsidRPr="00CE058E">
        <w:rPr>
          <w:rFonts w:cs="Arial"/>
          <w:color w:val="auto"/>
        </w:rPr>
        <w:t>s</w:t>
      </w:r>
      <w:r w:rsidR="007261EA" w:rsidRPr="00CE058E">
        <w:rPr>
          <w:rFonts w:cs="Arial"/>
          <w:color w:val="auto"/>
        </w:rPr>
        <w:t xml:space="preserve"> a summary of the </w:t>
      </w:r>
      <w:r w:rsidR="00C45BF9" w:rsidRPr="00CE058E">
        <w:rPr>
          <w:rFonts w:cs="Arial"/>
          <w:color w:val="auto"/>
        </w:rPr>
        <w:t>National Hospital Cost Data Collection (</w:t>
      </w:r>
      <w:r w:rsidR="007261EA" w:rsidRPr="00CE058E">
        <w:rPr>
          <w:rFonts w:cs="Arial"/>
          <w:color w:val="auto"/>
        </w:rPr>
        <w:t>NHCDC</w:t>
      </w:r>
      <w:r w:rsidR="00C45BF9" w:rsidRPr="00CE058E">
        <w:rPr>
          <w:rFonts w:cs="Arial"/>
          <w:color w:val="auto"/>
        </w:rPr>
        <w:t>)</w:t>
      </w:r>
      <w:r w:rsidR="007261EA" w:rsidRPr="00CE058E">
        <w:rPr>
          <w:rFonts w:cs="Arial"/>
          <w:color w:val="auto"/>
        </w:rPr>
        <w:t xml:space="preserve"> Public Sector 2021-22 results that will be used to develop</w:t>
      </w:r>
      <w:bookmarkStart w:id="20" w:name="_Toc144967617"/>
      <w:r w:rsidR="007261EA" w:rsidRPr="00CE058E">
        <w:rPr>
          <w:rFonts w:cs="Arial"/>
          <w:color w:val="auto"/>
        </w:rPr>
        <w:t xml:space="preserve"> the national efficient price determination for the funding </w:t>
      </w:r>
      <w:r w:rsidR="00967298">
        <w:rPr>
          <w:rFonts w:cs="Arial"/>
          <w:color w:val="auto"/>
        </w:rPr>
        <w:t>of</w:t>
      </w:r>
      <w:r w:rsidR="007261EA" w:rsidRPr="00CE058E">
        <w:rPr>
          <w:rFonts w:cs="Arial"/>
          <w:color w:val="auto"/>
        </w:rPr>
        <w:t xml:space="preserve"> public hospital</w:t>
      </w:r>
      <w:r w:rsidR="00C45BF9" w:rsidRPr="00CE058E">
        <w:rPr>
          <w:rFonts w:cs="Arial"/>
          <w:color w:val="auto"/>
        </w:rPr>
        <w:t>s (including health services)</w:t>
      </w:r>
      <w:r w:rsidR="007261EA" w:rsidRPr="00CE058E">
        <w:rPr>
          <w:rFonts w:cs="Arial"/>
          <w:color w:val="auto"/>
        </w:rPr>
        <w:t>.</w:t>
      </w:r>
      <w:r w:rsidR="00190655" w:rsidRPr="00CE058E">
        <w:rPr>
          <w:rFonts w:cs="Arial"/>
          <w:color w:val="auto"/>
        </w:rPr>
        <w:t xml:space="preserve"> </w:t>
      </w:r>
      <w:r w:rsidR="00190655" w:rsidRPr="00CE058E">
        <w:rPr>
          <w:rFonts w:cs="Arial"/>
        </w:rPr>
        <w:t xml:space="preserve">There are </w:t>
      </w:r>
      <w:r w:rsidR="00EE76DB">
        <w:rPr>
          <w:rFonts w:cs="Arial"/>
        </w:rPr>
        <w:t>6</w:t>
      </w:r>
      <w:r w:rsidR="00EE76DB" w:rsidRPr="00CE058E">
        <w:rPr>
          <w:rFonts w:cs="Arial"/>
        </w:rPr>
        <w:t xml:space="preserve"> </w:t>
      </w:r>
      <w:r w:rsidR="00190655" w:rsidRPr="00CE058E">
        <w:rPr>
          <w:rFonts w:cs="Arial"/>
        </w:rPr>
        <w:t>activity streams in this report:</w:t>
      </w:r>
    </w:p>
    <w:p w14:paraId="2C24E182" w14:textId="086F8518" w:rsidR="00190655" w:rsidRPr="00CE058E" w:rsidRDefault="00190655" w:rsidP="003D0B49">
      <w:pPr>
        <w:pStyle w:val="ListParagraph"/>
        <w:numPr>
          <w:ilvl w:val="0"/>
          <w:numId w:val="37"/>
        </w:numPr>
        <w:spacing w:after="240" w:line="276" w:lineRule="auto"/>
        <w:rPr>
          <w:rFonts w:cs="Arial"/>
        </w:rPr>
      </w:pPr>
      <w:r w:rsidRPr="00CE058E">
        <w:rPr>
          <w:rFonts w:cs="Arial"/>
        </w:rPr>
        <w:t>Admitted acute</w:t>
      </w:r>
      <w:r w:rsidR="006C715D" w:rsidRPr="00CE058E">
        <w:rPr>
          <w:rFonts w:cs="Arial"/>
        </w:rPr>
        <w:t xml:space="preserve"> (AR-DRG v11.0)</w:t>
      </w:r>
    </w:p>
    <w:p w14:paraId="1DEBF90B" w14:textId="298D2382" w:rsidR="00190655" w:rsidRPr="00CE058E" w:rsidRDefault="00190655" w:rsidP="003D0B49">
      <w:pPr>
        <w:pStyle w:val="ListParagraph"/>
        <w:numPr>
          <w:ilvl w:val="0"/>
          <w:numId w:val="37"/>
        </w:numPr>
        <w:spacing w:after="240" w:line="276" w:lineRule="auto"/>
        <w:rPr>
          <w:rFonts w:cs="Arial"/>
        </w:rPr>
      </w:pPr>
      <w:r w:rsidRPr="00CE058E">
        <w:rPr>
          <w:rFonts w:cs="Arial"/>
        </w:rPr>
        <w:t>Subacute and non-acute</w:t>
      </w:r>
      <w:r w:rsidR="006C715D" w:rsidRPr="00CE058E">
        <w:rPr>
          <w:rFonts w:cs="Arial"/>
        </w:rPr>
        <w:t xml:space="preserve"> (AN-SNAP v5.0)</w:t>
      </w:r>
    </w:p>
    <w:p w14:paraId="00BDD30C" w14:textId="03B69D8C" w:rsidR="00190655" w:rsidRPr="00CE058E" w:rsidRDefault="00190655" w:rsidP="003D0B49">
      <w:pPr>
        <w:pStyle w:val="ListParagraph"/>
        <w:numPr>
          <w:ilvl w:val="0"/>
          <w:numId w:val="37"/>
        </w:numPr>
        <w:spacing w:after="240" w:line="276" w:lineRule="auto"/>
        <w:rPr>
          <w:rFonts w:cs="Arial"/>
        </w:rPr>
      </w:pPr>
      <w:r w:rsidRPr="00CE058E">
        <w:rPr>
          <w:rFonts w:cs="Arial"/>
        </w:rPr>
        <w:t>Non-admitted</w:t>
      </w:r>
      <w:r w:rsidR="006C715D" w:rsidRPr="00CE058E">
        <w:rPr>
          <w:rFonts w:cs="Arial"/>
        </w:rPr>
        <w:t xml:space="preserve"> (Tier 2 v7.0)</w:t>
      </w:r>
    </w:p>
    <w:p w14:paraId="0D5621BE" w14:textId="018C8502" w:rsidR="00190655" w:rsidRPr="00CE058E" w:rsidRDefault="00190655" w:rsidP="003D0B49">
      <w:pPr>
        <w:pStyle w:val="ListParagraph"/>
        <w:numPr>
          <w:ilvl w:val="0"/>
          <w:numId w:val="37"/>
        </w:numPr>
        <w:spacing w:after="240" w:line="276" w:lineRule="auto"/>
        <w:rPr>
          <w:rFonts w:cs="Arial"/>
        </w:rPr>
      </w:pPr>
      <w:r w:rsidRPr="00CE058E">
        <w:rPr>
          <w:rFonts w:cs="Arial"/>
        </w:rPr>
        <w:t>Emergency</w:t>
      </w:r>
      <w:r w:rsidR="006C715D" w:rsidRPr="00CE058E">
        <w:rPr>
          <w:rFonts w:cs="Arial"/>
        </w:rPr>
        <w:t xml:space="preserve"> (AECC v1.2)</w:t>
      </w:r>
    </w:p>
    <w:p w14:paraId="3C593A36" w14:textId="72923843" w:rsidR="00190655" w:rsidRPr="00CE058E" w:rsidRDefault="00190655" w:rsidP="003D0B49">
      <w:pPr>
        <w:pStyle w:val="ListParagraph"/>
        <w:numPr>
          <w:ilvl w:val="0"/>
          <w:numId w:val="37"/>
        </w:numPr>
        <w:spacing w:after="240" w:line="276" w:lineRule="auto"/>
        <w:rPr>
          <w:rFonts w:cs="Arial"/>
        </w:rPr>
      </w:pPr>
      <w:r w:rsidRPr="00CE058E">
        <w:rPr>
          <w:rFonts w:cs="Arial"/>
        </w:rPr>
        <w:t>Admitted mental health</w:t>
      </w:r>
      <w:r w:rsidR="006C715D" w:rsidRPr="00CE058E">
        <w:rPr>
          <w:rFonts w:cs="Arial"/>
        </w:rPr>
        <w:t xml:space="preserve"> (AR-DRG v11.0 for episodes &amp; AMHCC v1.0.1 for phases)</w:t>
      </w:r>
    </w:p>
    <w:p w14:paraId="53DE4B8B" w14:textId="4E551C22" w:rsidR="007261EA" w:rsidRPr="00CE058E" w:rsidRDefault="00190655" w:rsidP="003D0B49">
      <w:pPr>
        <w:pStyle w:val="ListParagraph"/>
        <w:numPr>
          <w:ilvl w:val="0"/>
          <w:numId w:val="37"/>
        </w:numPr>
        <w:spacing w:after="240" w:line="276" w:lineRule="auto"/>
        <w:rPr>
          <w:rFonts w:cs="Arial"/>
        </w:rPr>
      </w:pPr>
      <w:r w:rsidRPr="00CE058E">
        <w:rPr>
          <w:rFonts w:cs="Arial"/>
        </w:rPr>
        <w:t>Community mental health</w:t>
      </w:r>
      <w:r w:rsidR="006C715D" w:rsidRPr="00CE058E">
        <w:rPr>
          <w:rFonts w:cs="Arial"/>
        </w:rPr>
        <w:t xml:space="preserve"> (AMHCC v1.0.1</w:t>
      </w:r>
      <w:r w:rsidR="00FA7AFE">
        <w:rPr>
          <w:rFonts w:cs="Arial"/>
        </w:rPr>
        <w:t xml:space="preserve"> for episodes and phases</w:t>
      </w:r>
      <w:r w:rsidR="006C715D" w:rsidRPr="00CE058E">
        <w:rPr>
          <w:rFonts w:cs="Arial"/>
        </w:rPr>
        <w:t>)</w:t>
      </w:r>
      <w:r w:rsidRPr="00CE058E">
        <w:rPr>
          <w:rFonts w:cs="Arial"/>
        </w:rPr>
        <w:t>.</w:t>
      </w:r>
    </w:p>
    <w:p w14:paraId="1C63CDA5" w14:textId="77777777" w:rsidR="00F64DB0" w:rsidRPr="00CE058E" w:rsidRDefault="00F64DB0" w:rsidP="00F64DB0">
      <w:pPr>
        <w:pStyle w:val="Heading2"/>
      </w:pPr>
      <w:bookmarkStart w:id="21" w:name="_Toc151129678"/>
      <w:bookmarkStart w:id="22" w:name="_Toc158882529"/>
      <w:bookmarkStart w:id="23" w:name="_Toc158882590"/>
      <w:r w:rsidRPr="00CE058E">
        <w:t>Key findings</w:t>
      </w:r>
      <w:bookmarkEnd w:id="21"/>
      <w:bookmarkEnd w:id="22"/>
      <w:bookmarkEnd w:id="23"/>
    </w:p>
    <w:p w14:paraId="13E4404B" w14:textId="50FB71E7" w:rsidR="00923930" w:rsidRPr="00CE058E" w:rsidRDefault="00923930" w:rsidP="00F41F01">
      <w:pPr>
        <w:rPr>
          <w:rFonts w:cs="Arial"/>
          <w:color w:val="auto"/>
        </w:rPr>
      </w:pPr>
      <w:r w:rsidRPr="00CE058E">
        <w:rPr>
          <w:rFonts w:cs="Arial"/>
          <w:color w:val="auto"/>
        </w:rPr>
        <w:t>In 2021-22, the Independent Health and Aged Care Pricing Authority (IHACPA) received national hospital cost data</w:t>
      </w:r>
      <w:r w:rsidR="00301F51" w:rsidRPr="00CE058E">
        <w:rPr>
          <w:rFonts w:cs="Arial"/>
          <w:color w:val="auto"/>
        </w:rPr>
        <w:t xml:space="preserve"> that </w:t>
      </w:r>
      <w:r w:rsidR="00C45BF9" w:rsidRPr="00CE058E">
        <w:rPr>
          <w:rFonts w:cs="Arial"/>
          <w:color w:val="auto"/>
        </w:rPr>
        <w:t xml:space="preserve">included </w:t>
      </w:r>
      <w:r w:rsidR="00EE31DC" w:rsidRPr="00CE058E">
        <w:rPr>
          <w:rFonts w:cs="Arial"/>
          <w:color w:val="auto"/>
        </w:rPr>
        <w:t>48.0</w:t>
      </w:r>
      <w:r w:rsidRPr="00CE058E">
        <w:rPr>
          <w:rFonts w:cs="Arial"/>
          <w:color w:val="auto"/>
        </w:rPr>
        <w:t xml:space="preserve"> million </w:t>
      </w:r>
      <w:r w:rsidR="00620EEC" w:rsidRPr="00CE058E">
        <w:rPr>
          <w:rFonts w:cs="Arial"/>
          <w:color w:val="auto"/>
        </w:rPr>
        <w:t xml:space="preserve">linked </w:t>
      </w:r>
      <w:r w:rsidRPr="00CE058E">
        <w:rPr>
          <w:rFonts w:cs="Arial"/>
          <w:color w:val="auto"/>
        </w:rPr>
        <w:t>encounters across Australia, a 9</w:t>
      </w:r>
      <w:r w:rsidR="00897090">
        <w:rPr>
          <w:rFonts w:cs="Arial"/>
          <w:color w:val="auto"/>
        </w:rPr>
        <w:t>%</w:t>
      </w:r>
      <w:r w:rsidRPr="00CE058E">
        <w:rPr>
          <w:rFonts w:cs="Arial"/>
          <w:color w:val="auto"/>
        </w:rPr>
        <w:t xml:space="preserve"> increase compared to 2020-21. The </w:t>
      </w:r>
      <w:r w:rsidR="00620EEC" w:rsidRPr="00CE058E">
        <w:rPr>
          <w:rFonts w:cs="Arial"/>
          <w:color w:val="auto"/>
        </w:rPr>
        <w:t xml:space="preserve">linked </w:t>
      </w:r>
      <w:r w:rsidRPr="00CE058E">
        <w:rPr>
          <w:rFonts w:cs="Arial"/>
          <w:color w:val="auto"/>
        </w:rPr>
        <w:t>expenditure submitted in the NHCDC this year is $61.</w:t>
      </w:r>
      <w:r w:rsidR="00EE31DC" w:rsidRPr="00CE058E">
        <w:rPr>
          <w:rFonts w:cs="Arial"/>
          <w:color w:val="auto"/>
        </w:rPr>
        <w:t>9</w:t>
      </w:r>
      <w:r w:rsidRPr="00CE058E">
        <w:rPr>
          <w:rFonts w:cs="Arial"/>
          <w:color w:val="auto"/>
        </w:rPr>
        <w:t xml:space="preserve"> billion, a</w:t>
      </w:r>
      <w:r w:rsidR="00EE31DC" w:rsidRPr="00CE058E">
        <w:rPr>
          <w:rFonts w:cs="Arial"/>
          <w:color w:val="auto"/>
        </w:rPr>
        <w:t xml:space="preserve"> 9</w:t>
      </w:r>
      <w:r w:rsidR="00897090">
        <w:rPr>
          <w:rFonts w:cs="Arial"/>
          <w:color w:val="auto"/>
        </w:rPr>
        <w:t>%</w:t>
      </w:r>
      <w:r w:rsidRPr="00CE058E">
        <w:rPr>
          <w:rFonts w:cs="Arial"/>
          <w:color w:val="auto"/>
        </w:rPr>
        <w:t xml:space="preserve"> increase from the previous year of $57.0 billion.</w:t>
      </w:r>
      <w:r w:rsidR="00C45BF9" w:rsidRPr="00CE058E">
        <w:rPr>
          <w:rFonts w:cs="Arial"/>
          <w:color w:val="auto"/>
        </w:rPr>
        <w:t xml:space="preserve"> </w:t>
      </w:r>
      <w:r w:rsidRPr="00CE058E">
        <w:rPr>
          <w:rFonts w:cs="Arial"/>
          <w:color w:val="auto"/>
        </w:rPr>
        <w:t>Table 1 shows the number of hospitals, records, and expenditure by activity stream.</w:t>
      </w:r>
      <w:r w:rsidR="00C45BF9" w:rsidRPr="00CE058E">
        <w:rPr>
          <w:rFonts w:cs="Arial"/>
          <w:color w:val="auto"/>
        </w:rPr>
        <w:t xml:space="preserve"> </w:t>
      </w:r>
      <w:r w:rsidRPr="00CE058E">
        <w:rPr>
          <w:rFonts w:cs="Arial"/>
          <w:color w:val="auto"/>
        </w:rPr>
        <w:t>Note that the other activity stream includes research, teaching, other admitted patient care, and organ procurement.</w:t>
      </w:r>
    </w:p>
    <w:p w14:paraId="36833F69" w14:textId="54A3057F" w:rsidR="00923930" w:rsidRPr="00CE058E" w:rsidRDefault="00923930" w:rsidP="00B42434">
      <w:pPr>
        <w:pStyle w:val="TableFigureheading"/>
      </w:pPr>
      <w:bookmarkStart w:id="24" w:name="_Toc149650902"/>
      <w:bookmarkStart w:id="25" w:name="_Toc151370027"/>
      <w:r w:rsidRPr="00CE058E">
        <w:t xml:space="preserve">Table </w:t>
      </w:r>
      <w:r>
        <w:fldChar w:fldCharType="begin"/>
      </w:r>
      <w:r>
        <w:instrText xml:space="preserve"> SEQ Table \* ARABIC </w:instrText>
      </w:r>
      <w:r>
        <w:fldChar w:fldCharType="separate"/>
      </w:r>
      <w:r w:rsidR="00B42434">
        <w:rPr>
          <w:noProof/>
        </w:rPr>
        <w:t>1</w:t>
      </w:r>
      <w:r>
        <w:rPr>
          <w:noProof/>
        </w:rPr>
        <w:fldChar w:fldCharType="end"/>
      </w:r>
      <w:r w:rsidRPr="00CE058E">
        <w:t>: NHCDC summary by activity stream, 2021-22</w:t>
      </w:r>
      <w:bookmarkEnd w:id="24"/>
      <w:bookmarkEnd w:id="25"/>
    </w:p>
    <w:tbl>
      <w:tblPr>
        <w:tblStyle w:val="GridTable4-Accent2"/>
        <w:tblW w:w="9583" w:type="dxa"/>
        <w:jc w:val="center"/>
        <w:tblLayout w:type="fixed"/>
        <w:tblLook w:val="04A0" w:firstRow="1" w:lastRow="0" w:firstColumn="1" w:lastColumn="0" w:noHBand="0" w:noVBand="1"/>
      </w:tblPr>
      <w:tblGrid>
        <w:gridCol w:w="1271"/>
        <w:gridCol w:w="1276"/>
        <w:gridCol w:w="1214"/>
        <w:gridCol w:w="10"/>
        <w:gridCol w:w="982"/>
        <w:gridCol w:w="10"/>
        <w:gridCol w:w="1266"/>
        <w:gridCol w:w="10"/>
        <w:gridCol w:w="1124"/>
        <w:gridCol w:w="10"/>
        <w:gridCol w:w="982"/>
        <w:gridCol w:w="10"/>
        <w:gridCol w:w="1408"/>
        <w:gridCol w:w="10"/>
      </w:tblGrid>
      <w:tr w:rsidR="00513082" w:rsidRPr="00CE058E" w14:paraId="66197125" w14:textId="77777777" w:rsidTr="000A63CC">
        <w:trPr>
          <w:gridAfter w:val="1"/>
          <w:cnfStyle w:val="100000000000" w:firstRow="1" w:lastRow="0" w:firstColumn="0" w:lastColumn="0" w:oddVBand="0" w:evenVBand="0" w:oddHBand="0" w:evenHBand="0" w:firstRowFirstColumn="0" w:firstRowLastColumn="0" w:lastRowFirstColumn="0" w:lastRowLastColumn="0"/>
          <w:wAfter w:w="10" w:type="dxa"/>
          <w:trHeight w:val="316"/>
          <w:jc w:val="center"/>
        </w:trPr>
        <w:tc>
          <w:tcPr>
            <w:cnfStyle w:val="001000000000" w:firstRow="0" w:lastRow="0" w:firstColumn="1" w:lastColumn="0" w:oddVBand="0" w:evenVBand="0" w:oddHBand="0" w:evenHBand="0" w:firstRowFirstColumn="0" w:firstRowLastColumn="0" w:lastRowFirstColumn="0" w:lastRowLastColumn="0"/>
            <w:tcW w:w="2547"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64246187" w14:textId="77777777" w:rsidR="00923930" w:rsidRPr="00CE058E" w:rsidRDefault="00923930" w:rsidP="00CF6CAA">
            <w:pPr>
              <w:spacing w:line="240" w:lineRule="auto"/>
              <w:jc w:val="center"/>
              <w:rPr>
                <w:rFonts w:eastAsia="Times New Roman" w:cs="Arial"/>
                <w:b w:val="0"/>
                <w:bCs w:val="0"/>
                <w:color w:val="FFFFFF"/>
                <w:sz w:val="18"/>
                <w:szCs w:val="18"/>
                <w:lang w:eastAsia="en-AU"/>
              </w:rPr>
            </w:pPr>
            <w:r w:rsidRPr="00CE058E">
              <w:rPr>
                <w:rFonts w:eastAsia="Times New Roman" w:cs="Arial"/>
                <w:color w:val="FFFFFF"/>
                <w:sz w:val="18"/>
                <w:szCs w:val="18"/>
                <w:lang w:eastAsia="en-AU"/>
              </w:rPr>
              <w:t>Activity stream</w:t>
            </w:r>
          </w:p>
        </w:tc>
        <w:tc>
          <w:tcPr>
            <w:tcW w:w="1214"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62BE75B2" w14:textId="594D7DDD" w:rsidR="00923930" w:rsidRPr="00CE058E" w:rsidRDefault="00923930" w:rsidP="00CF6CA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NHCDC records</w:t>
            </w:r>
          </w:p>
        </w:tc>
        <w:tc>
          <w:tcPr>
            <w:tcW w:w="9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3FB61EF5" w14:textId="6424F540" w:rsidR="00923930" w:rsidRPr="00CE058E" w:rsidRDefault="00B45F10" w:rsidP="00CF6CA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Pr>
                <w:rFonts w:eastAsia="Times New Roman" w:cs="Arial"/>
                <w:color w:val="FFFFFF"/>
                <w:sz w:val="18"/>
                <w:szCs w:val="18"/>
                <w:lang w:eastAsia="en-AU"/>
              </w:rPr>
              <w:t>C</w:t>
            </w:r>
            <w:r w:rsidRPr="00CE058E">
              <w:rPr>
                <w:rFonts w:eastAsia="Times New Roman" w:cs="Arial"/>
                <w:color w:val="FFFFFF"/>
                <w:sz w:val="18"/>
                <w:szCs w:val="18"/>
                <w:lang w:eastAsia="en-AU"/>
              </w:rPr>
              <w:t xml:space="preserve">ost </w:t>
            </w:r>
            <w:r w:rsidR="00923930" w:rsidRPr="00CE058E">
              <w:rPr>
                <w:rFonts w:eastAsia="Times New Roman" w:cs="Arial"/>
                <w:color w:val="FFFFFF"/>
                <w:sz w:val="18"/>
                <w:szCs w:val="18"/>
                <w:lang w:eastAsia="en-AU"/>
              </w:rPr>
              <w:t>($m)</w:t>
            </w:r>
          </w:p>
        </w:tc>
        <w:tc>
          <w:tcPr>
            <w:tcW w:w="1276"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48CE690E" w14:textId="77777777" w:rsidR="00923930" w:rsidRPr="00CE058E" w:rsidRDefault="00923930" w:rsidP="00CF6CA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Linked NHCDC records</w:t>
            </w:r>
          </w:p>
        </w:tc>
        <w:tc>
          <w:tcPr>
            <w:tcW w:w="113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31A125F0" w14:textId="77895FB6" w:rsidR="00923930" w:rsidRPr="00CE058E" w:rsidRDefault="00923930" w:rsidP="00CF6CA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Linked cost ($m)</w:t>
            </w:r>
          </w:p>
        </w:tc>
        <w:tc>
          <w:tcPr>
            <w:tcW w:w="99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0E393897" w14:textId="5D776AF6" w:rsidR="00923930" w:rsidRPr="00CE058E" w:rsidRDefault="00923930" w:rsidP="00CF6CA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Average cost ($)</w:t>
            </w:r>
          </w:p>
        </w:tc>
        <w:tc>
          <w:tcPr>
            <w:tcW w:w="1418"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443CA883" w14:textId="77777777" w:rsidR="00923930" w:rsidRPr="00CE058E" w:rsidRDefault="00923930" w:rsidP="00CF6CA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Change in average cost from 2020-21 (%)</w:t>
            </w:r>
          </w:p>
        </w:tc>
      </w:tr>
      <w:tr w:rsidR="005F5A2E" w:rsidRPr="00CE058E" w14:paraId="7AD8B043" w14:textId="77777777" w:rsidTr="000A63C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FFFFF" w:themeColor="background2"/>
            </w:tcBorders>
            <w:noWrap/>
            <w:vAlign w:val="center"/>
            <w:hideMark/>
          </w:tcPr>
          <w:p w14:paraId="7916842F" w14:textId="77777777" w:rsidR="002F46B1" w:rsidRPr="00CE058E" w:rsidRDefault="002F46B1" w:rsidP="002F46B1">
            <w:pPr>
              <w:spacing w:line="240" w:lineRule="auto"/>
              <w:jc w:val="center"/>
              <w:rPr>
                <w:rFonts w:eastAsia="Times New Roman" w:cs="Arial"/>
                <w:b w:val="0"/>
                <w:bCs w:val="0"/>
                <w:color w:val="000000"/>
                <w:sz w:val="18"/>
                <w:szCs w:val="18"/>
                <w:lang w:eastAsia="en-AU"/>
              </w:rPr>
            </w:pPr>
            <w:r w:rsidRPr="00CE058E">
              <w:rPr>
                <w:rFonts w:eastAsia="Times New Roman" w:cs="Arial"/>
                <w:color w:val="000000"/>
                <w:sz w:val="18"/>
                <w:szCs w:val="18"/>
                <w:lang w:eastAsia="en-AU"/>
              </w:rPr>
              <w:t>Admitted acute</w:t>
            </w:r>
          </w:p>
        </w:tc>
        <w:tc>
          <w:tcPr>
            <w:tcW w:w="1276" w:type="dxa"/>
            <w:tcBorders>
              <w:top w:val="single" w:sz="4" w:space="0" w:color="FFFFFF" w:themeColor="background2"/>
            </w:tcBorders>
            <w:noWrap/>
            <w:vAlign w:val="center"/>
            <w:hideMark/>
          </w:tcPr>
          <w:p w14:paraId="6FDA06EB" w14:textId="494F5049" w:rsidR="002F46B1" w:rsidRPr="00CE058E" w:rsidRDefault="002F46B1" w:rsidP="0052415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Episode</w:t>
            </w:r>
          </w:p>
        </w:tc>
        <w:tc>
          <w:tcPr>
            <w:tcW w:w="1224" w:type="dxa"/>
            <w:gridSpan w:val="2"/>
            <w:tcBorders>
              <w:top w:val="single" w:sz="4" w:space="0" w:color="FFFFFF" w:themeColor="background2"/>
            </w:tcBorders>
            <w:noWrap/>
            <w:vAlign w:val="center"/>
            <w:hideMark/>
          </w:tcPr>
          <w:p w14:paraId="1A484B5A"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6,224,642</w:t>
            </w:r>
          </w:p>
        </w:tc>
        <w:tc>
          <w:tcPr>
            <w:tcW w:w="992" w:type="dxa"/>
            <w:gridSpan w:val="2"/>
            <w:tcBorders>
              <w:top w:val="single" w:sz="4" w:space="0" w:color="FFFFFF" w:themeColor="background2"/>
            </w:tcBorders>
            <w:noWrap/>
            <w:vAlign w:val="center"/>
            <w:hideMark/>
          </w:tcPr>
          <w:p w14:paraId="627F7769" w14:textId="232B0813"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36,156</w:t>
            </w:r>
          </w:p>
        </w:tc>
        <w:tc>
          <w:tcPr>
            <w:tcW w:w="1276" w:type="dxa"/>
            <w:gridSpan w:val="2"/>
            <w:tcBorders>
              <w:top w:val="single" w:sz="4" w:space="0" w:color="FFFFFF" w:themeColor="background2"/>
            </w:tcBorders>
            <w:noWrap/>
            <w:vAlign w:val="center"/>
            <w:hideMark/>
          </w:tcPr>
          <w:p w14:paraId="4F14EE6E"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6,224,642</w:t>
            </w:r>
          </w:p>
        </w:tc>
        <w:tc>
          <w:tcPr>
            <w:tcW w:w="1134" w:type="dxa"/>
            <w:gridSpan w:val="2"/>
            <w:tcBorders>
              <w:top w:val="single" w:sz="4" w:space="0" w:color="FFFFFF" w:themeColor="background2"/>
            </w:tcBorders>
            <w:noWrap/>
            <w:vAlign w:val="center"/>
            <w:hideMark/>
          </w:tcPr>
          <w:p w14:paraId="710BD264" w14:textId="44E17B92"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36,156 </w:t>
            </w:r>
          </w:p>
        </w:tc>
        <w:tc>
          <w:tcPr>
            <w:tcW w:w="992" w:type="dxa"/>
            <w:gridSpan w:val="2"/>
            <w:tcBorders>
              <w:top w:val="single" w:sz="4" w:space="0" w:color="FFFFFF" w:themeColor="background2"/>
            </w:tcBorders>
            <w:noWrap/>
            <w:vAlign w:val="center"/>
            <w:hideMark/>
          </w:tcPr>
          <w:p w14:paraId="6D933DC3"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5,809</w:t>
            </w:r>
          </w:p>
        </w:tc>
        <w:tc>
          <w:tcPr>
            <w:tcW w:w="1418" w:type="dxa"/>
            <w:gridSpan w:val="2"/>
            <w:tcBorders>
              <w:top w:val="single" w:sz="4" w:space="0" w:color="FFFFFF" w:themeColor="background2"/>
            </w:tcBorders>
            <w:noWrap/>
            <w:vAlign w:val="center"/>
            <w:hideMark/>
          </w:tcPr>
          <w:p w14:paraId="44B5505C"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w:t>
            </w:r>
          </w:p>
        </w:tc>
      </w:tr>
      <w:tr w:rsidR="002F46B1" w:rsidRPr="00CE058E" w14:paraId="61460B4B" w14:textId="77777777" w:rsidTr="000A63CC">
        <w:trPr>
          <w:trHeight w:val="255"/>
          <w:jc w:val="center"/>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14:paraId="65EEE82F" w14:textId="02C7D019" w:rsidR="002F46B1" w:rsidRPr="00CE058E" w:rsidRDefault="00C72EAB" w:rsidP="002F46B1">
            <w:pPr>
              <w:spacing w:line="240" w:lineRule="auto"/>
              <w:jc w:val="center"/>
              <w:rPr>
                <w:rFonts w:eastAsia="Times New Roman" w:cs="Arial"/>
                <w:b w:val="0"/>
                <w:bCs w:val="0"/>
                <w:color w:val="000000"/>
                <w:sz w:val="18"/>
                <w:szCs w:val="18"/>
                <w:lang w:eastAsia="en-AU"/>
              </w:rPr>
            </w:pPr>
            <w:r w:rsidRPr="00CE058E">
              <w:rPr>
                <w:rFonts w:eastAsia="Times New Roman" w:cs="Arial"/>
                <w:color w:val="000000"/>
                <w:sz w:val="18"/>
                <w:szCs w:val="18"/>
                <w:lang w:eastAsia="en-AU"/>
              </w:rPr>
              <w:t>Admitted s</w:t>
            </w:r>
            <w:r w:rsidR="002F46B1" w:rsidRPr="00CE058E">
              <w:rPr>
                <w:rFonts w:eastAsia="Times New Roman" w:cs="Arial"/>
                <w:color w:val="000000"/>
                <w:sz w:val="18"/>
                <w:szCs w:val="18"/>
                <w:lang w:eastAsia="en-AU"/>
              </w:rPr>
              <w:t>ubacute and non-acute</w:t>
            </w:r>
          </w:p>
        </w:tc>
        <w:tc>
          <w:tcPr>
            <w:tcW w:w="1276" w:type="dxa"/>
            <w:noWrap/>
            <w:vAlign w:val="center"/>
            <w:hideMark/>
          </w:tcPr>
          <w:p w14:paraId="194E3801" w14:textId="4686FED0" w:rsidR="002F46B1" w:rsidRPr="00CE058E" w:rsidRDefault="002F46B1" w:rsidP="0052415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Episode</w:t>
            </w:r>
          </w:p>
        </w:tc>
        <w:tc>
          <w:tcPr>
            <w:tcW w:w="1224" w:type="dxa"/>
            <w:gridSpan w:val="2"/>
            <w:noWrap/>
            <w:vAlign w:val="center"/>
            <w:hideMark/>
          </w:tcPr>
          <w:p w14:paraId="68C74B8A"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151,706</w:t>
            </w:r>
          </w:p>
        </w:tc>
        <w:tc>
          <w:tcPr>
            <w:tcW w:w="992" w:type="dxa"/>
            <w:gridSpan w:val="2"/>
            <w:noWrap/>
            <w:vAlign w:val="center"/>
            <w:hideMark/>
          </w:tcPr>
          <w:p w14:paraId="40A9CA6B" w14:textId="194E727F"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3,247</w:t>
            </w:r>
          </w:p>
        </w:tc>
        <w:tc>
          <w:tcPr>
            <w:tcW w:w="1276" w:type="dxa"/>
            <w:gridSpan w:val="2"/>
            <w:noWrap/>
            <w:vAlign w:val="center"/>
            <w:hideMark/>
          </w:tcPr>
          <w:p w14:paraId="4CC74A2E"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151,706</w:t>
            </w:r>
          </w:p>
        </w:tc>
        <w:tc>
          <w:tcPr>
            <w:tcW w:w="1134" w:type="dxa"/>
            <w:gridSpan w:val="2"/>
            <w:noWrap/>
            <w:vAlign w:val="center"/>
            <w:hideMark/>
          </w:tcPr>
          <w:p w14:paraId="1475A25A" w14:textId="718B3F89"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3,247 </w:t>
            </w:r>
          </w:p>
        </w:tc>
        <w:tc>
          <w:tcPr>
            <w:tcW w:w="992" w:type="dxa"/>
            <w:gridSpan w:val="2"/>
            <w:noWrap/>
            <w:vAlign w:val="center"/>
            <w:hideMark/>
          </w:tcPr>
          <w:p w14:paraId="7FE20FC9"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21,402</w:t>
            </w:r>
          </w:p>
        </w:tc>
        <w:tc>
          <w:tcPr>
            <w:tcW w:w="1418" w:type="dxa"/>
            <w:gridSpan w:val="2"/>
            <w:noWrap/>
            <w:vAlign w:val="center"/>
            <w:hideMark/>
          </w:tcPr>
          <w:p w14:paraId="1E84A1F6"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10</w:t>
            </w:r>
          </w:p>
        </w:tc>
      </w:tr>
      <w:tr w:rsidR="005F5A2E" w:rsidRPr="00CE058E" w14:paraId="165B6B3F" w14:textId="77777777" w:rsidTr="000A63C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14:paraId="572C2D89" w14:textId="77777777" w:rsidR="002F46B1" w:rsidRPr="00CE058E" w:rsidRDefault="002F46B1" w:rsidP="002F46B1">
            <w:pPr>
              <w:spacing w:line="240" w:lineRule="auto"/>
              <w:jc w:val="center"/>
              <w:rPr>
                <w:rFonts w:eastAsia="Times New Roman" w:cs="Arial"/>
                <w:b w:val="0"/>
                <w:bCs w:val="0"/>
                <w:color w:val="000000"/>
                <w:sz w:val="18"/>
                <w:szCs w:val="18"/>
                <w:lang w:eastAsia="en-AU"/>
              </w:rPr>
            </w:pPr>
          </w:p>
        </w:tc>
        <w:tc>
          <w:tcPr>
            <w:tcW w:w="1276" w:type="dxa"/>
            <w:shd w:val="clear" w:color="auto" w:fill="auto"/>
            <w:noWrap/>
            <w:vAlign w:val="center"/>
            <w:hideMark/>
          </w:tcPr>
          <w:p w14:paraId="54DBD32F" w14:textId="43EA4017" w:rsidR="002F46B1" w:rsidRPr="00CE058E" w:rsidRDefault="002F46B1" w:rsidP="0052415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Phase</w:t>
            </w:r>
          </w:p>
        </w:tc>
        <w:tc>
          <w:tcPr>
            <w:tcW w:w="1224" w:type="dxa"/>
            <w:gridSpan w:val="2"/>
            <w:shd w:val="clear" w:color="auto" w:fill="auto"/>
            <w:noWrap/>
            <w:vAlign w:val="center"/>
            <w:hideMark/>
          </w:tcPr>
          <w:p w14:paraId="104199EE"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64,477</w:t>
            </w:r>
          </w:p>
        </w:tc>
        <w:tc>
          <w:tcPr>
            <w:tcW w:w="992" w:type="dxa"/>
            <w:gridSpan w:val="2"/>
            <w:shd w:val="clear" w:color="auto" w:fill="auto"/>
            <w:noWrap/>
            <w:vAlign w:val="center"/>
            <w:hideMark/>
          </w:tcPr>
          <w:p w14:paraId="3FBAE97F" w14:textId="63281C50"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468</w:t>
            </w:r>
          </w:p>
        </w:tc>
        <w:tc>
          <w:tcPr>
            <w:tcW w:w="1276" w:type="dxa"/>
            <w:gridSpan w:val="2"/>
            <w:shd w:val="clear" w:color="auto" w:fill="auto"/>
            <w:noWrap/>
            <w:vAlign w:val="center"/>
            <w:hideMark/>
          </w:tcPr>
          <w:p w14:paraId="009C8329"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64,477</w:t>
            </w:r>
          </w:p>
        </w:tc>
        <w:tc>
          <w:tcPr>
            <w:tcW w:w="1134" w:type="dxa"/>
            <w:gridSpan w:val="2"/>
            <w:shd w:val="clear" w:color="auto" w:fill="auto"/>
            <w:noWrap/>
            <w:vAlign w:val="center"/>
            <w:hideMark/>
          </w:tcPr>
          <w:p w14:paraId="0F605D17" w14:textId="14D305D4"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468 </w:t>
            </w:r>
          </w:p>
        </w:tc>
        <w:tc>
          <w:tcPr>
            <w:tcW w:w="992" w:type="dxa"/>
            <w:gridSpan w:val="2"/>
            <w:shd w:val="clear" w:color="auto" w:fill="auto"/>
            <w:noWrap/>
            <w:vAlign w:val="center"/>
            <w:hideMark/>
          </w:tcPr>
          <w:p w14:paraId="7EE000BD"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7,258</w:t>
            </w:r>
          </w:p>
        </w:tc>
        <w:tc>
          <w:tcPr>
            <w:tcW w:w="1418" w:type="dxa"/>
            <w:gridSpan w:val="2"/>
            <w:shd w:val="clear" w:color="auto" w:fill="auto"/>
            <w:noWrap/>
            <w:vAlign w:val="center"/>
            <w:hideMark/>
          </w:tcPr>
          <w:p w14:paraId="72893FA4"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w:t>
            </w:r>
          </w:p>
        </w:tc>
      </w:tr>
      <w:tr w:rsidR="005F5A2E" w:rsidRPr="00CE058E" w14:paraId="334E8787" w14:textId="77777777" w:rsidTr="000A63CC">
        <w:trPr>
          <w:trHeight w:val="64"/>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C1DAF8" w:themeFill="accent2" w:themeFillTint="33"/>
            <w:noWrap/>
            <w:vAlign w:val="center"/>
            <w:hideMark/>
          </w:tcPr>
          <w:p w14:paraId="4C2DFC52" w14:textId="77777777" w:rsidR="002F46B1" w:rsidRPr="00CE058E" w:rsidRDefault="002F46B1" w:rsidP="002F46B1">
            <w:pPr>
              <w:spacing w:line="240" w:lineRule="auto"/>
              <w:jc w:val="center"/>
              <w:rPr>
                <w:rFonts w:eastAsia="Times New Roman" w:cs="Arial"/>
                <w:b w:val="0"/>
                <w:bCs w:val="0"/>
                <w:color w:val="000000"/>
                <w:sz w:val="18"/>
                <w:szCs w:val="18"/>
                <w:lang w:eastAsia="en-AU"/>
              </w:rPr>
            </w:pPr>
            <w:r w:rsidRPr="00CE058E">
              <w:rPr>
                <w:rFonts w:eastAsia="Times New Roman" w:cs="Arial"/>
                <w:color w:val="000000"/>
                <w:sz w:val="18"/>
                <w:szCs w:val="18"/>
                <w:lang w:eastAsia="en-AU"/>
              </w:rPr>
              <w:t>Emergency department</w:t>
            </w:r>
          </w:p>
        </w:tc>
        <w:tc>
          <w:tcPr>
            <w:tcW w:w="1276" w:type="dxa"/>
            <w:shd w:val="clear" w:color="auto" w:fill="C1DAF8" w:themeFill="accent2" w:themeFillTint="33"/>
            <w:vAlign w:val="center"/>
            <w:hideMark/>
          </w:tcPr>
          <w:p w14:paraId="1B35A49E" w14:textId="0CA98AA0" w:rsidR="002F46B1" w:rsidRPr="00CE058E" w:rsidRDefault="002F46B1" w:rsidP="0052415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Presentation</w:t>
            </w:r>
          </w:p>
        </w:tc>
        <w:tc>
          <w:tcPr>
            <w:tcW w:w="1224" w:type="dxa"/>
            <w:gridSpan w:val="2"/>
            <w:shd w:val="clear" w:color="auto" w:fill="C1DAF8" w:themeFill="accent2" w:themeFillTint="33"/>
            <w:vAlign w:val="center"/>
            <w:hideMark/>
          </w:tcPr>
          <w:p w14:paraId="73F8F82B"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8,339,142</w:t>
            </w:r>
          </w:p>
        </w:tc>
        <w:tc>
          <w:tcPr>
            <w:tcW w:w="992" w:type="dxa"/>
            <w:gridSpan w:val="2"/>
            <w:shd w:val="clear" w:color="auto" w:fill="C1DAF8" w:themeFill="accent2" w:themeFillTint="33"/>
            <w:vAlign w:val="center"/>
            <w:hideMark/>
          </w:tcPr>
          <w:p w14:paraId="3155815C" w14:textId="7E93448B"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7,420</w:t>
            </w:r>
          </w:p>
        </w:tc>
        <w:tc>
          <w:tcPr>
            <w:tcW w:w="1276" w:type="dxa"/>
            <w:gridSpan w:val="2"/>
            <w:shd w:val="clear" w:color="auto" w:fill="C1DAF8" w:themeFill="accent2" w:themeFillTint="33"/>
            <w:noWrap/>
            <w:vAlign w:val="center"/>
            <w:hideMark/>
          </w:tcPr>
          <w:p w14:paraId="38506417"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8,270,175</w:t>
            </w:r>
          </w:p>
        </w:tc>
        <w:tc>
          <w:tcPr>
            <w:tcW w:w="1134" w:type="dxa"/>
            <w:gridSpan w:val="2"/>
            <w:shd w:val="clear" w:color="auto" w:fill="C1DAF8" w:themeFill="accent2" w:themeFillTint="33"/>
            <w:noWrap/>
            <w:vAlign w:val="center"/>
            <w:hideMark/>
          </w:tcPr>
          <w:p w14:paraId="7F1C8CA2" w14:textId="72B980FA"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7,367 </w:t>
            </w:r>
          </w:p>
        </w:tc>
        <w:tc>
          <w:tcPr>
            <w:tcW w:w="992" w:type="dxa"/>
            <w:gridSpan w:val="2"/>
            <w:shd w:val="clear" w:color="auto" w:fill="C1DAF8" w:themeFill="accent2" w:themeFillTint="33"/>
            <w:noWrap/>
            <w:vAlign w:val="center"/>
            <w:hideMark/>
          </w:tcPr>
          <w:p w14:paraId="054C3198"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891</w:t>
            </w:r>
          </w:p>
        </w:tc>
        <w:tc>
          <w:tcPr>
            <w:tcW w:w="1418" w:type="dxa"/>
            <w:gridSpan w:val="2"/>
            <w:shd w:val="clear" w:color="auto" w:fill="C1DAF8" w:themeFill="accent2" w:themeFillTint="33"/>
            <w:noWrap/>
            <w:vAlign w:val="center"/>
            <w:hideMark/>
          </w:tcPr>
          <w:p w14:paraId="571748BE"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13</w:t>
            </w:r>
          </w:p>
        </w:tc>
      </w:tr>
      <w:tr w:rsidR="005F5A2E" w:rsidRPr="00CE058E" w14:paraId="2608D723" w14:textId="77777777" w:rsidTr="000A63C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vAlign w:val="center"/>
            <w:hideMark/>
          </w:tcPr>
          <w:p w14:paraId="66B20C19" w14:textId="77777777" w:rsidR="002F46B1" w:rsidRPr="00CE058E" w:rsidRDefault="002F46B1" w:rsidP="002F46B1">
            <w:pPr>
              <w:spacing w:line="240" w:lineRule="auto"/>
              <w:jc w:val="center"/>
              <w:rPr>
                <w:rFonts w:eastAsia="Times New Roman" w:cs="Arial"/>
                <w:b w:val="0"/>
                <w:bCs w:val="0"/>
                <w:color w:val="000000"/>
                <w:sz w:val="18"/>
                <w:szCs w:val="18"/>
                <w:lang w:eastAsia="en-AU"/>
              </w:rPr>
            </w:pPr>
            <w:r w:rsidRPr="00CE058E">
              <w:rPr>
                <w:rFonts w:eastAsia="Times New Roman" w:cs="Arial"/>
                <w:color w:val="000000"/>
                <w:sz w:val="18"/>
                <w:szCs w:val="18"/>
                <w:lang w:eastAsia="en-AU"/>
              </w:rPr>
              <w:t>Non-admitted</w:t>
            </w:r>
          </w:p>
        </w:tc>
        <w:tc>
          <w:tcPr>
            <w:tcW w:w="1276" w:type="dxa"/>
            <w:shd w:val="clear" w:color="auto" w:fill="auto"/>
            <w:noWrap/>
            <w:vAlign w:val="center"/>
            <w:hideMark/>
          </w:tcPr>
          <w:p w14:paraId="578714EA" w14:textId="5F37CE8D" w:rsidR="002F46B1" w:rsidRPr="00CE058E" w:rsidRDefault="002F46B1" w:rsidP="0052415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Service </w:t>
            </w:r>
            <w:r w:rsidR="00A46ABF" w:rsidRPr="00CE058E">
              <w:rPr>
                <w:rFonts w:eastAsia="Times New Roman" w:cs="Arial"/>
                <w:color w:val="000000"/>
                <w:sz w:val="18"/>
                <w:szCs w:val="18"/>
                <w:lang w:eastAsia="en-AU"/>
              </w:rPr>
              <w:t>e</w:t>
            </w:r>
            <w:r w:rsidRPr="00CE058E">
              <w:rPr>
                <w:rFonts w:eastAsia="Times New Roman" w:cs="Arial"/>
                <w:color w:val="000000"/>
                <w:sz w:val="18"/>
                <w:szCs w:val="18"/>
                <w:lang w:eastAsia="en-AU"/>
              </w:rPr>
              <w:t>vent</w:t>
            </w:r>
          </w:p>
        </w:tc>
        <w:tc>
          <w:tcPr>
            <w:tcW w:w="1224" w:type="dxa"/>
            <w:gridSpan w:val="2"/>
            <w:shd w:val="clear" w:color="auto" w:fill="auto"/>
            <w:noWrap/>
            <w:vAlign w:val="center"/>
            <w:hideMark/>
          </w:tcPr>
          <w:p w14:paraId="743A3C2E"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33,641,738</w:t>
            </w:r>
          </w:p>
        </w:tc>
        <w:tc>
          <w:tcPr>
            <w:tcW w:w="992" w:type="dxa"/>
            <w:gridSpan w:val="2"/>
            <w:shd w:val="clear" w:color="auto" w:fill="auto"/>
            <w:noWrap/>
            <w:vAlign w:val="center"/>
            <w:hideMark/>
          </w:tcPr>
          <w:p w14:paraId="7923B57B" w14:textId="5195FA05"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10,882 </w:t>
            </w:r>
          </w:p>
        </w:tc>
        <w:tc>
          <w:tcPr>
            <w:tcW w:w="1276" w:type="dxa"/>
            <w:gridSpan w:val="2"/>
            <w:shd w:val="clear" w:color="auto" w:fill="auto"/>
            <w:noWrap/>
            <w:vAlign w:val="center"/>
            <w:hideMark/>
          </w:tcPr>
          <w:p w14:paraId="69F62ACA"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32,394,791</w:t>
            </w:r>
          </w:p>
        </w:tc>
        <w:tc>
          <w:tcPr>
            <w:tcW w:w="1134" w:type="dxa"/>
            <w:gridSpan w:val="2"/>
            <w:shd w:val="clear" w:color="auto" w:fill="auto"/>
            <w:noWrap/>
            <w:vAlign w:val="center"/>
            <w:hideMark/>
          </w:tcPr>
          <w:p w14:paraId="23D47202" w14:textId="01A56DC2"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10,504 </w:t>
            </w:r>
          </w:p>
        </w:tc>
        <w:tc>
          <w:tcPr>
            <w:tcW w:w="992" w:type="dxa"/>
            <w:gridSpan w:val="2"/>
            <w:shd w:val="clear" w:color="auto" w:fill="auto"/>
            <w:noWrap/>
            <w:vAlign w:val="center"/>
            <w:hideMark/>
          </w:tcPr>
          <w:p w14:paraId="28267C69"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324</w:t>
            </w:r>
          </w:p>
        </w:tc>
        <w:tc>
          <w:tcPr>
            <w:tcW w:w="1418" w:type="dxa"/>
            <w:gridSpan w:val="2"/>
            <w:shd w:val="clear" w:color="auto" w:fill="auto"/>
            <w:noWrap/>
            <w:vAlign w:val="center"/>
            <w:hideMark/>
          </w:tcPr>
          <w:p w14:paraId="677F9F22"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-5</w:t>
            </w:r>
          </w:p>
        </w:tc>
      </w:tr>
      <w:tr w:rsidR="005F5A2E" w:rsidRPr="00CE058E" w14:paraId="76C298E8" w14:textId="77777777" w:rsidTr="000A63CC">
        <w:trPr>
          <w:trHeight w:val="64"/>
          <w:jc w:val="center"/>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C1DAF8" w:themeFill="accent2" w:themeFillTint="33"/>
            <w:vAlign w:val="center"/>
            <w:hideMark/>
          </w:tcPr>
          <w:p w14:paraId="3C320FE3" w14:textId="77777777" w:rsidR="002F46B1" w:rsidRPr="00CE058E" w:rsidRDefault="002F46B1" w:rsidP="002F46B1">
            <w:pPr>
              <w:spacing w:line="240" w:lineRule="auto"/>
              <w:jc w:val="center"/>
              <w:rPr>
                <w:rFonts w:eastAsia="Times New Roman" w:cs="Arial"/>
                <w:b w:val="0"/>
                <w:bCs w:val="0"/>
                <w:color w:val="000000"/>
                <w:sz w:val="18"/>
                <w:szCs w:val="18"/>
                <w:lang w:eastAsia="en-AU"/>
              </w:rPr>
            </w:pPr>
            <w:r w:rsidRPr="00CE058E">
              <w:rPr>
                <w:rFonts w:eastAsia="Times New Roman" w:cs="Arial"/>
                <w:color w:val="000000"/>
                <w:sz w:val="18"/>
                <w:szCs w:val="18"/>
                <w:lang w:eastAsia="en-AU"/>
              </w:rPr>
              <w:t>Admitted mental health</w:t>
            </w:r>
          </w:p>
        </w:tc>
        <w:tc>
          <w:tcPr>
            <w:tcW w:w="1276" w:type="dxa"/>
            <w:shd w:val="clear" w:color="auto" w:fill="C1DAF8" w:themeFill="accent2" w:themeFillTint="33"/>
            <w:noWrap/>
            <w:vAlign w:val="center"/>
            <w:hideMark/>
          </w:tcPr>
          <w:p w14:paraId="67985DD1" w14:textId="7AFBDA6D" w:rsidR="002F46B1" w:rsidRPr="00CE058E" w:rsidRDefault="002F46B1" w:rsidP="0052415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Episode</w:t>
            </w:r>
          </w:p>
        </w:tc>
        <w:tc>
          <w:tcPr>
            <w:tcW w:w="1224" w:type="dxa"/>
            <w:gridSpan w:val="2"/>
            <w:shd w:val="clear" w:color="auto" w:fill="C1DAF8" w:themeFill="accent2" w:themeFillTint="33"/>
            <w:noWrap/>
            <w:vAlign w:val="center"/>
            <w:hideMark/>
          </w:tcPr>
          <w:p w14:paraId="5B53F969"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27,918</w:t>
            </w:r>
          </w:p>
        </w:tc>
        <w:tc>
          <w:tcPr>
            <w:tcW w:w="992" w:type="dxa"/>
            <w:gridSpan w:val="2"/>
            <w:shd w:val="clear" w:color="auto" w:fill="C1DAF8" w:themeFill="accent2" w:themeFillTint="33"/>
            <w:noWrap/>
            <w:vAlign w:val="center"/>
            <w:hideMark/>
          </w:tcPr>
          <w:p w14:paraId="3F940CDB" w14:textId="42705A15"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668 </w:t>
            </w:r>
          </w:p>
        </w:tc>
        <w:tc>
          <w:tcPr>
            <w:tcW w:w="1276" w:type="dxa"/>
            <w:gridSpan w:val="2"/>
            <w:shd w:val="clear" w:color="auto" w:fill="C1DAF8" w:themeFill="accent2" w:themeFillTint="33"/>
            <w:noWrap/>
            <w:vAlign w:val="center"/>
            <w:hideMark/>
          </w:tcPr>
          <w:p w14:paraId="2DBE13FD"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27,918</w:t>
            </w:r>
          </w:p>
        </w:tc>
        <w:tc>
          <w:tcPr>
            <w:tcW w:w="1134" w:type="dxa"/>
            <w:gridSpan w:val="2"/>
            <w:shd w:val="clear" w:color="auto" w:fill="C1DAF8" w:themeFill="accent2" w:themeFillTint="33"/>
            <w:noWrap/>
            <w:vAlign w:val="center"/>
            <w:hideMark/>
          </w:tcPr>
          <w:p w14:paraId="70118FFF" w14:textId="6B3CB0B8"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668 </w:t>
            </w:r>
          </w:p>
        </w:tc>
        <w:tc>
          <w:tcPr>
            <w:tcW w:w="992" w:type="dxa"/>
            <w:gridSpan w:val="2"/>
            <w:shd w:val="clear" w:color="auto" w:fill="C1DAF8" w:themeFill="accent2" w:themeFillTint="33"/>
            <w:noWrap/>
            <w:vAlign w:val="center"/>
            <w:hideMark/>
          </w:tcPr>
          <w:p w14:paraId="6CCE2797"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23,910</w:t>
            </w:r>
          </w:p>
        </w:tc>
        <w:tc>
          <w:tcPr>
            <w:tcW w:w="1418" w:type="dxa"/>
            <w:gridSpan w:val="2"/>
            <w:shd w:val="clear" w:color="auto" w:fill="C1DAF8" w:themeFill="accent2" w:themeFillTint="33"/>
            <w:noWrap/>
            <w:vAlign w:val="center"/>
            <w:hideMark/>
          </w:tcPr>
          <w:p w14:paraId="3BD1B2BC"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28</w:t>
            </w:r>
          </w:p>
        </w:tc>
      </w:tr>
      <w:tr w:rsidR="00A47745" w:rsidRPr="00CE058E" w14:paraId="4E5A8276" w14:textId="77777777" w:rsidTr="000A63C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14:paraId="2270E87B" w14:textId="77777777" w:rsidR="002F46B1" w:rsidRPr="00CE058E" w:rsidRDefault="002F46B1" w:rsidP="002F46B1">
            <w:pPr>
              <w:spacing w:line="240" w:lineRule="auto"/>
              <w:jc w:val="center"/>
              <w:rPr>
                <w:rFonts w:eastAsia="Times New Roman" w:cs="Arial"/>
                <w:b w:val="0"/>
                <w:bCs w:val="0"/>
                <w:color w:val="000000"/>
                <w:sz w:val="18"/>
                <w:szCs w:val="18"/>
                <w:lang w:eastAsia="en-AU"/>
              </w:rPr>
            </w:pPr>
          </w:p>
        </w:tc>
        <w:tc>
          <w:tcPr>
            <w:tcW w:w="1276" w:type="dxa"/>
            <w:noWrap/>
            <w:vAlign w:val="center"/>
            <w:hideMark/>
          </w:tcPr>
          <w:p w14:paraId="6093753F" w14:textId="2AF77452" w:rsidR="002F46B1" w:rsidRPr="00CE058E" w:rsidRDefault="002F46B1" w:rsidP="0052415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Phase</w:t>
            </w:r>
          </w:p>
        </w:tc>
        <w:tc>
          <w:tcPr>
            <w:tcW w:w="1224" w:type="dxa"/>
            <w:gridSpan w:val="2"/>
            <w:noWrap/>
            <w:vAlign w:val="center"/>
            <w:hideMark/>
          </w:tcPr>
          <w:p w14:paraId="1405E56E"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79,935</w:t>
            </w:r>
          </w:p>
        </w:tc>
        <w:tc>
          <w:tcPr>
            <w:tcW w:w="992" w:type="dxa"/>
            <w:gridSpan w:val="2"/>
            <w:noWrap/>
            <w:vAlign w:val="center"/>
            <w:hideMark/>
          </w:tcPr>
          <w:p w14:paraId="413F63E2" w14:textId="1254670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1,910 </w:t>
            </w:r>
          </w:p>
        </w:tc>
        <w:tc>
          <w:tcPr>
            <w:tcW w:w="1276" w:type="dxa"/>
            <w:gridSpan w:val="2"/>
            <w:noWrap/>
            <w:vAlign w:val="center"/>
            <w:hideMark/>
          </w:tcPr>
          <w:p w14:paraId="37E7B469"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79,935</w:t>
            </w:r>
          </w:p>
        </w:tc>
        <w:tc>
          <w:tcPr>
            <w:tcW w:w="1134" w:type="dxa"/>
            <w:gridSpan w:val="2"/>
            <w:noWrap/>
            <w:vAlign w:val="center"/>
            <w:hideMark/>
          </w:tcPr>
          <w:p w14:paraId="4F00FBC8" w14:textId="4B012579"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1,910 </w:t>
            </w:r>
          </w:p>
        </w:tc>
        <w:tc>
          <w:tcPr>
            <w:tcW w:w="992" w:type="dxa"/>
            <w:gridSpan w:val="2"/>
            <w:noWrap/>
            <w:vAlign w:val="center"/>
            <w:hideMark/>
          </w:tcPr>
          <w:p w14:paraId="73C8071D"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23,888</w:t>
            </w:r>
          </w:p>
        </w:tc>
        <w:tc>
          <w:tcPr>
            <w:tcW w:w="1418" w:type="dxa"/>
            <w:gridSpan w:val="2"/>
            <w:noWrap/>
            <w:vAlign w:val="center"/>
            <w:hideMark/>
          </w:tcPr>
          <w:p w14:paraId="5BC5CD1C" w14:textId="77777777"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15</w:t>
            </w:r>
          </w:p>
        </w:tc>
      </w:tr>
      <w:tr w:rsidR="005F5A2E" w:rsidRPr="00CE058E" w14:paraId="3F6A460D" w14:textId="77777777" w:rsidTr="000A63CC">
        <w:trPr>
          <w:trHeight w:val="64"/>
          <w:jc w:val="center"/>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vAlign w:val="center"/>
            <w:hideMark/>
          </w:tcPr>
          <w:p w14:paraId="014BDA2A" w14:textId="77777777" w:rsidR="002F46B1" w:rsidRPr="00CE058E" w:rsidRDefault="002F46B1" w:rsidP="002F46B1">
            <w:pPr>
              <w:spacing w:line="240" w:lineRule="auto"/>
              <w:jc w:val="center"/>
              <w:rPr>
                <w:rFonts w:eastAsia="Times New Roman" w:cs="Arial"/>
                <w:b w:val="0"/>
                <w:bCs w:val="0"/>
                <w:color w:val="000000"/>
                <w:sz w:val="18"/>
                <w:szCs w:val="18"/>
                <w:lang w:eastAsia="en-AU"/>
              </w:rPr>
            </w:pPr>
            <w:r w:rsidRPr="00CE058E">
              <w:rPr>
                <w:rFonts w:eastAsia="Times New Roman" w:cs="Arial"/>
                <w:color w:val="000000"/>
                <w:sz w:val="18"/>
                <w:szCs w:val="18"/>
                <w:lang w:eastAsia="en-AU"/>
              </w:rPr>
              <w:t>Community mental health</w:t>
            </w:r>
          </w:p>
        </w:tc>
        <w:tc>
          <w:tcPr>
            <w:tcW w:w="1276" w:type="dxa"/>
            <w:shd w:val="clear" w:color="auto" w:fill="auto"/>
            <w:noWrap/>
            <w:vAlign w:val="center"/>
            <w:hideMark/>
          </w:tcPr>
          <w:p w14:paraId="55FD22F2" w14:textId="723636D7" w:rsidR="002F46B1" w:rsidRPr="00CE058E" w:rsidRDefault="002F46B1" w:rsidP="0052415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Episode</w:t>
            </w:r>
          </w:p>
        </w:tc>
        <w:tc>
          <w:tcPr>
            <w:tcW w:w="1224" w:type="dxa"/>
            <w:gridSpan w:val="2"/>
            <w:shd w:val="clear" w:color="auto" w:fill="auto"/>
            <w:noWrap/>
            <w:vAlign w:val="center"/>
            <w:hideMark/>
          </w:tcPr>
          <w:p w14:paraId="6B3285C3"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219,032</w:t>
            </w:r>
          </w:p>
        </w:tc>
        <w:tc>
          <w:tcPr>
            <w:tcW w:w="992" w:type="dxa"/>
            <w:gridSpan w:val="2"/>
            <w:shd w:val="clear" w:color="auto" w:fill="auto"/>
            <w:noWrap/>
            <w:vAlign w:val="center"/>
            <w:hideMark/>
          </w:tcPr>
          <w:p w14:paraId="0C428C12" w14:textId="06077A10"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84 </w:t>
            </w:r>
          </w:p>
        </w:tc>
        <w:tc>
          <w:tcPr>
            <w:tcW w:w="1276" w:type="dxa"/>
            <w:gridSpan w:val="2"/>
            <w:shd w:val="clear" w:color="auto" w:fill="auto"/>
            <w:noWrap/>
            <w:vAlign w:val="center"/>
            <w:hideMark/>
          </w:tcPr>
          <w:p w14:paraId="70043653"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219,032</w:t>
            </w:r>
          </w:p>
        </w:tc>
        <w:tc>
          <w:tcPr>
            <w:tcW w:w="1134" w:type="dxa"/>
            <w:gridSpan w:val="2"/>
            <w:shd w:val="clear" w:color="auto" w:fill="auto"/>
            <w:noWrap/>
            <w:vAlign w:val="center"/>
            <w:hideMark/>
          </w:tcPr>
          <w:p w14:paraId="6CA4F94C" w14:textId="67E268E3"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84 </w:t>
            </w:r>
          </w:p>
        </w:tc>
        <w:tc>
          <w:tcPr>
            <w:tcW w:w="992" w:type="dxa"/>
            <w:gridSpan w:val="2"/>
            <w:shd w:val="clear" w:color="auto" w:fill="auto"/>
            <w:noWrap/>
            <w:vAlign w:val="center"/>
            <w:hideMark/>
          </w:tcPr>
          <w:p w14:paraId="0FFCCF39"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384</w:t>
            </w:r>
          </w:p>
        </w:tc>
        <w:tc>
          <w:tcPr>
            <w:tcW w:w="1418" w:type="dxa"/>
            <w:gridSpan w:val="2"/>
            <w:shd w:val="clear" w:color="auto" w:fill="auto"/>
            <w:noWrap/>
            <w:vAlign w:val="center"/>
            <w:hideMark/>
          </w:tcPr>
          <w:p w14:paraId="70A685DC" w14:textId="77777777" w:rsidR="002F46B1" w:rsidRPr="00CE058E" w:rsidRDefault="002F46B1" w:rsidP="002F4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-18</w:t>
            </w:r>
          </w:p>
        </w:tc>
      </w:tr>
      <w:tr w:rsidR="005F5A2E" w:rsidRPr="00CE058E" w14:paraId="457E95B7" w14:textId="77777777" w:rsidTr="000A63C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auto"/>
            <w:vAlign w:val="center"/>
            <w:hideMark/>
          </w:tcPr>
          <w:p w14:paraId="6B0E47BF" w14:textId="77777777" w:rsidR="002F46B1" w:rsidRPr="00CE058E" w:rsidRDefault="002F46B1" w:rsidP="002F46B1">
            <w:pPr>
              <w:spacing w:line="240" w:lineRule="auto"/>
              <w:jc w:val="center"/>
              <w:rPr>
                <w:rFonts w:eastAsia="Times New Roman" w:cs="Arial"/>
                <w:b w:val="0"/>
                <w:bCs w:val="0"/>
                <w:color w:val="000000"/>
                <w:sz w:val="18"/>
                <w:szCs w:val="18"/>
                <w:lang w:eastAsia="en-AU"/>
              </w:rPr>
            </w:pPr>
          </w:p>
        </w:tc>
        <w:tc>
          <w:tcPr>
            <w:tcW w:w="1276" w:type="dxa"/>
            <w:shd w:val="clear" w:color="auto" w:fill="auto"/>
            <w:noWrap/>
            <w:vAlign w:val="center"/>
            <w:hideMark/>
          </w:tcPr>
          <w:p w14:paraId="1DE3613A" w14:textId="24E2DA22" w:rsidR="002F46B1" w:rsidRPr="00CE058E" w:rsidRDefault="002F46B1" w:rsidP="0052415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Phase</w:t>
            </w:r>
          </w:p>
        </w:tc>
        <w:tc>
          <w:tcPr>
            <w:tcW w:w="1224" w:type="dxa"/>
            <w:gridSpan w:val="2"/>
            <w:shd w:val="clear" w:color="auto" w:fill="auto"/>
            <w:noWrap/>
            <w:vAlign w:val="center"/>
            <w:hideMark/>
          </w:tcPr>
          <w:p w14:paraId="3715A4D8" w14:textId="2417C33A" w:rsidR="002F46B1" w:rsidRPr="00CE058E" w:rsidRDefault="00EE31DC"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555,828</w:t>
            </w:r>
          </w:p>
        </w:tc>
        <w:tc>
          <w:tcPr>
            <w:tcW w:w="992" w:type="dxa"/>
            <w:gridSpan w:val="2"/>
            <w:shd w:val="clear" w:color="auto" w:fill="auto"/>
            <w:noWrap/>
            <w:vAlign w:val="center"/>
            <w:hideMark/>
          </w:tcPr>
          <w:p w14:paraId="5461C3D7" w14:textId="5327BA4E"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1,</w:t>
            </w:r>
            <w:r w:rsidR="00EE31DC" w:rsidRPr="00CE058E">
              <w:rPr>
                <w:rFonts w:eastAsia="Times New Roman" w:cs="Arial"/>
                <w:color w:val="000000"/>
                <w:sz w:val="18"/>
                <w:szCs w:val="18"/>
                <w:lang w:eastAsia="en-AU"/>
              </w:rPr>
              <w:t xml:space="preserve">511 </w:t>
            </w:r>
          </w:p>
        </w:tc>
        <w:tc>
          <w:tcPr>
            <w:tcW w:w="1276" w:type="dxa"/>
            <w:gridSpan w:val="2"/>
            <w:shd w:val="clear" w:color="auto" w:fill="auto"/>
            <w:noWrap/>
            <w:vAlign w:val="center"/>
            <w:hideMark/>
          </w:tcPr>
          <w:p w14:paraId="45A2F2FC" w14:textId="59368485" w:rsidR="002F46B1" w:rsidRPr="00CE058E" w:rsidRDefault="00794FAA"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555,828</w:t>
            </w:r>
          </w:p>
        </w:tc>
        <w:tc>
          <w:tcPr>
            <w:tcW w:w="1134" w:type="dxa"/>
            <w:gridSpan w:val="2"/>
            <w:shd w:val="clear" w:color="auto" w:fill="auto"/>
            <w:noWrap/>
            <w:vAlign w:val="center"/>
            <w:hideMark/>
          </w:tcPr>
          <w:p w14:paraId="17508C42" w14:textId="59D86B22"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1,</w:t>
            </w:r>
            <w:r w:rsidR="00794FAA" w:rsidRPr="00CE058E">
              <w:rPr>
                <w:rFonts w:eastAsia="Times New Roman" w:cs="Arial"/>
                <w:color w:val="000000"/>
                <w:sz w:val="18"/>
                <w:szCs w:val="18"/>
                <w:lang w:eastAsia="en-AU"/>
              </w:rPr>
              <w:t xml:space="preserve">511 </w:t>
            </w:r>
          </w:p>
        </w:tc>
        <w:tc>
          <w:tcPr>
            <w:tcW w:w="992" w:type="dxa"/>
            <w:gridSpan w:val="2"/>
            <w:shd w:val="clear" w:color="auto" w:fill="auto"/>
            <w:noWrap/>
            <w:vAlign w:val="center"/>
            <w:hideMark/>
          </w:tcPr>
          <w:p w14:paraId="08218A3C" w14:textId="2741B360"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w:t>
            </w:r>
            <w:r w:rsidR="00794FAA" w:rsidRPr="00CE058E">
              <w:rPr>
                <w:rFonts w:eastAsia="Times New Roman" w:cs="Arial"/>
                <w:color w:val="15272F"/>
                <w:sz w:val="18"/>
                <w:szCs w:val="18"/>
                <w:lang w:eastAsia="en-AU"/>
              </w:rPr>
              <w:t>718</w:t>
            </w:r>
          </w:p>
        </w:tc>
        <w:tc>
          <w:tcPr>
            <w:tcW w:w="1418" w:type="dxa"/>
            <w:gridSpan w:val="2"/>
            <w:shd w:val="clear" w:color="auto" w:fill="auto"/>
            <w:noWrap/>
            <w:vAlign w:val="center"/>
            <w:hideMark/>
          </w:tcPr>
          <w:p w14:paraId="09C0D380" w14:textId="7D04C625" w:rsidR="002F46B1" w:rsidRPr="00CE058E" w:rsidRDefault="002F46B1" w:rsidP="002F46B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w:t>
            </w:r>
            <w:r w:rsidR="00794FAA" w:rsidRPr="00CE058E">
              <w:rPr>
                <w:rFonts w:eastAsia="Times New Roman" w:cs="Arial"/>
                <w:color w:val="15272F"/>
                <w:sz w:val="18"/>
                <w:szCs w:val="18"/>
                <w:lang w:eastAsia="en-AU"/>
              </w:rPr>
              <w:t>6</w:t>
            </w:r>
          </w:p>
        </w:tc>
      </w:tr>
      <w:tr w:rsidR="005F5A2E" w:rsidRPr="00CE058E" w14:paraId="566F6FA4" w14:textId="77777777" w:rsidTr="000A63CC">
        <w:trPr>
          <w:trHeight w:val="64"/>
          <w:jc w:val="center"/>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C1DAF8" w:themeFill="accent2" w:themeFillTint="33"/>
            <w:vAlign w:val="center"/>
          </w:tcPr>
          <w:p w14:paraId="24425A82" w14:textId="23271541" w:rsidR="006C7D86" w:rsidRPr="00CE058E" w:rsidRDefault="006C7D86" w:rsidP="006C7D86">
            <w:pPr>
              <w:spacing w:line="240" w:lineRule="auto"/>
              <w:jc w:val="center"/>
              <w:rPr>
                <w:rFonts w:eastAsia="Times New Roman" w:cs="Arial"/>
                <w:color w:val="0563C1"/>
                <w:sz w:val="18"/>
                <w:szCs w:val="18"/>
                <w:u w:val="single"/>
                <w:lang w:eastAsia="en-AU"/>
              </w:rPr>
            </w:pPr>
            <w:r w:rsidRPr="00CE058E">
              <w:rPr>
                <w:rFonts w:eastAsia="Times New Roman" w:cs="Arial"/>
                <w:color w:val="000000"/>
                <w:sz w:val="18"/>
                <w:szCs w:val="18"/>
                <w:lang w:eastAsia="en-AU"/>
              </w:rPr>
              <w:t>Other</w:t>
            </w:r>
          </w:p>
        </w:tc>
        <w:tc>
          <w:tcPr>
            <w:tcW w:w="1276" w:type="dxa"/>
            <w:shd w:val="clear" w:color="auto" w:fill="C1DAF8" w:themeFill="accent2" w:themeFillTint="33"/>
            <w:noWrap/>
            <w:vAlign w:val="center"/>
          </w:tcPr>
          <w:p w14:paraId="2096FC94" w14:textId="2DD6FFED" w:rsidR="006C7D86" w:rsidRPr="00CE058E" w:rsidRDefault="006C7D86" w:rsidP="00524152">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Episode</w:t>
            </w:r>
          </w:p>
        </w:tc>
        <w:tc>
          <w:tcPr>
            <w:tcW w:w="1224" w:type="dxa"/>
            <w:gridSpan w:val="2"/>
            <w:shd w:val="clear" w:color="auto" w:fill="C1DAF8" w:themeFill="accent2" w:themeFillTint="33"/>
            <w:noWrap/>
            <w:vAlign w:val="center"/>
          </w:tcPr>
          <w:p w14:paraId="5B647AF4" w14:textId="7C9AB1AB" w:rsidR="006C7D86" w:rsidRPr="00CE058E" w:rsidRDefault="006C7D86" w:rsidP="006C7D86">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17,327</w:t>
            </w:r>
          </w:p>
        </w:tc>
        <w:tc>
          <w:tcPr>
            <w:tcW w:w="992" w:type="dxa"/>
            <w:gridSpan w:val="2"/>
            <w:shd w:val="clear" w:color="auto" w:fill="C1DAF8" w:themeFill="accent2" w:themeFillTint="33"/>
            <w:noWrap/>
            <w:vAlign w:val="center"/>
          </w:tcPr>
          <w:p w14:paraId="38CDBD88" w14:textId="134C6686" w:rsidR="006C7D86" w:rsidRPr="00CE058E" w:rsidRDefault="006C7D86" w:rsidP="006C7D86">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108 </w:t>
            </w:r>
          </w:p>
        </w:tc>
        <w:tc>
          <w:tcPr>
            <w:tcW w:w="1276" w:type="dxa"/>
            <w:gridSpan w:val="2"/>
            <w:shd w:val="clear" w:color="auto" w:fill="C1DAF8" w:themeFill="accent2" w:themeFillTint="33"/>
            <w:noWrap/>
            <w:vAlign w:val="center"/>
          </w:tcPr>
          <w:p w14:paraId="47ECCA8B" w14:textId="049E644D" w:rsidR="006C7D86" w:rsidRPr="00CE058E" w:rsidRDefault="006C7D86" w:rsidP="006C7D86">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13,350</w:t>
            </w:r>
          </w:p>
        </w:tc>
        <w:tc>
          <w:tcPr>
            <w:tcW w:w="1134" w:type="dxa"/>
            <w:gridSpan w:val="2"/>
            <w:shd w:val="clear" w:color="auto" w:fill="C1DAF8" w:themeFill="accent2" w:themeFillTint="33"/>
            <w:noWrap/>
            <w:vAlign w:val="center"/>
          </w:tcPr>
          <w:p w14:paraId="622322EA" w14:textId="22438041" w:rsidR="006C7D86" w:rsidRPr="00CE058E" w:rsidRDefault="006C7D86" w:rsidP="006C7D86">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15 </w:t>
            </w:r>
          </w:p>
        </w:tc>
        <w:tc>
          <w:tcPr>
            <w:tcW w:w="992" w:type="dxa"/>
            <w:gridSpan w:val="2"/>
            <w:shd w:val="clear" w:color="auto" w:fill="C1DAF8" w:themeFill="accent2" w:themeFillTint="33"/>
            <w:noWrap/>
            <w:vAlign w:val="center"/>
          </w:tcPr>
          <w:p w14:paraId="78FF64D7" w14:textId="36EC5BCA" w:rsidR="006C7D86" w:rsidRPr="00CE058E" w:rsidRDefault="006C7D86" w:rsidP="006C7D86">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1,087</w:t>
            </w:r>
          </w:p>
        </w:tc>
        <w:tc>
          <w:tcPr>
            <w:tcW w:w="1418" w:type="dxa"/>
            <w:gridSpan w:val="2"/>
            <w:shd w:val="clear" w:color="auto" w:fill="C1DAF8" w:themeFill="accent2" w:themeFillTint="33"/>
            <w:noWrap/>
            <w:vAlign w:val="center"/>
          </w:tcPr>
          <w:p w14:paraId="78CC7347" w14:textId="7202C419" w:rsidR="006C7D86" w:rsidRPr="00CE058E" w:rsidRDefault="006C7D86" w:rsidP="006C7D86">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w:t>
            </w:r>
          </w:p>
        </w:tc>
      </w:tr>
      <w:tr w:rsidR="00FA3332" w:rsidRPr="00CE058E" w14:paraId="433390AE" w14:textId="77777777" w:rsidTr="000A63C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0C1AC25E" w14:textId="77777777" w:rsidR="006C7D86" w:rsidRPr="00CE058E" w:rsidRDefault="006C7D86" w:rsidP="006C7D86">
            <w:pPr>
              <w:spacing w:line="240" w:lineRule="auto"/>
              <w:jc w:val="center"/>
              <w:rPr>
                <w:rFonts w:eastAsia="Times New Roman" w:cs="Arial"/>
                <w:color w:val="0563C1"/>
                <w:sz w:val="18"/>
                <w:szCs w:val="18"/>
                <w:u w:val="single"/>
                <w:lang w:eastAsia="en-AU"/>
              </w:rPr>
            </w:pPr>
          </w:p>
        </w:tc>
        <w:tc>
          <w:tcPr>
            <w:tcW w:w="1276" w:type="dxa"/>
            <w:noWrap/>
            <w:vAlign w:val="center"/>
          </w:tcPr>
          <w:p w14:paraId="799F572D" w14:textId="7513F3A6" w:rsidR="006C7D86" w:rsidRPr="00CE058E" w:rsidRDefault="006C7D86" w:rsidP="00524152">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Phase</w:t>
            </w:r>
          </w:p>
        </w:tc>
        <w:tc>
          <w:tcPr>
            <w:tcW w:w="1224" w:type="dxa"/>
            <w:gridSpan w:val="2"/>
            <w:noWrap/>
            <w:vAlign w:val="center"/>
          </w:tcPr>
          <w:p w14:paraId="70E0610A" w14:textId="265A5822" w:rsidR="006C7D86" w:rsidRPr="00CE058E" w:rsidRDefault="006C7D86" w:rsidP="006C7D86">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704</w:t>
            </w:r>
          </w:p>
        </w:tc>
        <w:tc>
          <w:tcPr>
            <w:tcW w:w="992" w:type="dxa"/>
            <w:gridSpan w:val="2"/>
            <w:noWrap/>
            <w:vAlign w:val="center"/>
          </w:tcPr>
          <w:p w14:paraId="6AF7BB09" w14:textId="59BE4F63" w:rsidR="006C7D86" w:rsidRPr="00CE058E" w:rsidRDefault="006C7D86" w:rsidP="006C7D86">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CE058E">
              <w:rPr>
                <w:rFonts w:eastAsia="Times New Roman" w:cs="Arial"/>
                <w:color w:val="000000"/>
                <w:sz w:val="18"/>
                <w:szCs w:val="18"/>
                <w:lang w:eastAsia="en-AU"/>
              </w:rPr>
              <w:t xml:space="preserve"> 14 </w:t>
            </w:r>
          </w:p>
        </w:tc>
        <w:tc>
          <w:tcPr>
            <w:tcW w:w="1276" w:type="dxa"/>
            <w:gridSpan w:val="2"/>
            <w:noWrap/>
            <w:vAlign w:val="center"/>
          </w:tcPr>
          <w:p w14:paraId="3CCF3298" w14:textId="358283AE" w:rsidR="006C7D86" w:rsidRPr="00CE058E" w:rsidRDefault="006C7D86" w:rsidP="006C7D86">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w:t>
            </w:r>
          </w:p>
        </w:tc>
        <w:tc>
          <w:tcPr>
            <w:tcW w:w="1134" w:type="dxa"/>
            <w:gridSpan w:val="2"/>
            <w:noWrap/>
            <w:vAlign w:val="center"/>
          </w:tcPr>
          <w:p w14:paraId="73D4C177" w14:textId="1D95F33F" w:rsidR="006C7D86" w:rsidRPr="00CE058E" w:rsidRDefault="006C7D86" w:rsidP="006C7D86">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w:t>
            </w:r>
          </w:p>
        </w:tc>
        <w:tc>
          <w:tcPr>
            <w:tcW w:w="992" w:type="dxa"/>
            <w:gridSpan w:val="2"/>
            <w:noWrap/>
            <w:vAlign w:val="center"/>
          </w:tcPr>
          <w:p w14:paraId="440EE0AD" w14:textId="7A60C572" w:rsidR="006C7D86" w:rsidRPr="00CE058E" w:rsidRDefault="006C7D86" w:rsidP="006C7D86">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w:t>
            </w:r>
          </w:p>
        </w:tc>
        <w:tc>
          <w:tcPr>
            <w:tcW w:w="1418" w:type="dxa"/>
            <w:gridSpan w:val="2"/>
            <w:noWrap/>
            <w:vAlign w:val="center"/>
          </w:tcPr>
          <w:p w14:paraId="09CE1CCD" w14:textId="48276F28" w:rsidR="006C7D86" w:rsidRPr="00CE058E" w:rsidRDefault="006C7D86" w:rsidP="006C7D86">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w:t>
            </w:r>
          </w:p>
        </w:tc>
      </w:tr>
    </w:tbl>
    <w:p w14:paraId="21BAD588" w14:textId="5170E681" w:rsidR="007261EA" w:rsidRPr="00CE058E" w:rsidRDefault="007261EA" w:rsidP="00A47745">
      <w:pPr>
        <w:pStyle w:val="Heading3"/>
      </w:pPr>
      <w:bookmarkStart w:id="26" w:name="_Toc144215418"/>
      <w:bookmarkStart w:id="27" w:name="_Toc144967619"/>
      <w:bookmarkStart w:id="28" w:name="_Toc151129679"/>
      <w:bookmarkStart w:id="29" w:name="_Toc158882530"/>
      <w:bookmarkStart w:id="30" w:name="_Toc158882591"/>
      <w:bookmarkEnd w:id="20"/>
      <w:r w:rsidRPr="00CE058E">
        <w:lastRenderedPageBreak/>
        <w:t>Activity stream summary</w:t>
      </w:r>
      <w:bookmarkEnd w:id="26"/>
      <w:bookmarkEnd w:id="27"/>
      <w:bookmarkEnd w:id="28"/>
      <w:bookmarkEnd w:id="29"/>
      <w:bookmarkEnd w:id="30"/>
    </w:p>
    <w:p w14:paraId="1AA1DEE8" w14:textId="68E55951" w:rsidR="00923930" w:rsidRPr="00CE058E" w:rsidRDefault="00923930" w:rsidP="00A47745">
      <w:pPr>
        <w:spacing w:before="160" w:line="276" w:lineRule="auto"/>
        <w:rPr>
          <w:rFonts w:cs="Arial"/>
          <w:color w:val="auto"/>
        </w:rPr>
      </w:pPr>
      <w:r w:rsidRPr="00CE058E">
        <w:rPr>
          <w:rFonts w:cs="Arial"/>
          <w:color w:val="auto"/>
        </w:rPr>
        <w:t>The admitted acute stream had 6</w:t>
      </w:r>
      <w:r w:rsidR="00AB625F" w:rsidRPr="00CE058E">
        <w:rPr>
          <w:rFonts w:cs="Arial"/>
          <w:color w:val="auto"/>
        </w:rPr>
        <w:t>.2 million</w:t>
      </w:r>
      <w:r w:rsidRPr="00CE058E">
        <w:rPr>
          <w:rFonts w:cs="Arial"/>
          <w:color w:val="auto"/>
        </w:rPr>
        <w:t xml:space="preserve"> separations</w:t>
      </w:r>
      <w:r w:rsidR="00AB625F" w:rsidRPr="00CE058E">
        <w:rPr>
          <w:rFonts w:cs="Arial"/>
          <w:color w:val="auto"/>
        </w:rPr>
        <w:t xml:space="preserve"> with a cost of $36.2 billion </w:t>
      </w:r>
      <w:r w:rsidRPr="00CE058E">
        <w:rPr>
          <w:rFonts w:cs="Arial"/>
          <w:color w:val="auto"/>
        </w:rPr>
        <w:t>nationally</w:t>
      </w:r>
      <w:r w:rsidR="00AB625F" w:rsidRPr="00CE058E">
        <w:rPr>
          <w:rFonts w:cs="Arial"/>
          <w:color w:val="auto"/>
        </w:rPr>
        <w:t xml:space="preserve"> in 2021-22</w:t>
      </w:r>
      <w:r w:rsidRPr="00CE058E">
        <w:rPr>
          <w:rFonts w:cs="Arial"/>
          <w:color w:val="auto"/>
        </w:rPr>
        <w:t xml:space="preserve">, </w:t>
      </w:r>
      <w:r w:rsidR="009A42AD" w:rsidRPr="00CE058E">
        <w:rPr>
          <w:rFonts w:cs="Arial"/>
          <w:color w:val="auto"/>
        </w:rPr>
        <w:t xml:space="preserve">a </w:t>
      </w:r>
      <w:r w:rsidR="00AB625F" w:rsidRPr="00CE058E">
        <w:rPr>
          <w:rFonts w:cs="Arial"/>
          <w:color w:val="auto"/>
        </w:rPr>
        <w:t>2</w:t>
      </w:r>
      <w:r w:rsidR="00897090">
        <w:rPr>
          <w:rFonts w:cs="Arial"/>
          <w:color w:val="auto"/>
        </w:rPr>
        <w:t>%</w:t>
      </w:r>
      <w:r w:rsidR="00AB625F" w:rsidRPr="00CE058E">
        <w:rPr>
          <w:rFonts w:cs="Arial"/>
          <w:color w:val="auto"/>
        </w:rPr>
        <w:t xml:space="preserve"> decrease and </w:t>
      </w:r>
      <w:r w:rsidR="009A42AD" w:rsidRPr="00CE058E">
        <w:rPr>
          <w:rFonts w:cs="Arial"/>
          <w:color w:val="auto"/>
        </w:rPr>
        <w:t xml:space="preserve">a </w:t>
      </w:r>
      <w:r w:rsidR="00AB625F" w:rsidRPr="00CE058E">
        <w:rPr>
          <w:rFonts w:cs="Arial"/>
          <w:color w:val="auto"/>
        </w:rPr>
        <w:t>7</w:t>
      </w:r>
      <w:r w:rsidR="00897090">
        <w:rPr>
          <w:rFonts w:cs="Arial"/>
          <w:color w:val="auto"/>
        </w:rPr>
        <w:t>%</w:t>
      </w:r>
      <w:r w:rsidR="00AB625F" w:rsidRPr="00CE058E">
        <w:rPr>
          <w:rFonts w:cs="Arial"/>
          <w:color w:val="auto"/>
        </w:rPr>
        <w:t xml:space="preserve"> increase </w:t>
      </w:r>
      <w:r w:rsidRPr="00CE058E">
        <w:rPr>
          <w:rFonts w:cs="Arial"/>
          <w:color w:val="auto"/>
        </w:rPr>
        <w:t>from 2020-21</w:t>
      </w:r>
      <w:r w:rsidR="00AB625F" w:rsidRPr="00CE058E">
        <w:rPr>
          <w:rFonts w:cs="Arial"/>
          <w:color w:val="auto"/>
        </w:rPr>
        <w:t xml:space="preserve"> respectively</w:t>
      </w:r>
      <w:r w:rsidRPr="00CE058E">
        <w:rPr>
          <w:rFonts w:cs="Arial"/>
          <w:color w:val="auto"/>
        </w:rPr>
        <w:t xml:space="preserve">. </w:t>
      </w:r>
      <w:r w:rsidR="000B34D1" w:rsidRPr="00CE058E">
        <w:rPr>
          <w:rFonts w:cs="Arial"/>
          <w:color w:val="auto"/>
        </w:rPr>
        <w:t>T</w:t>
      </w:r>
      <w:r w:rsidR="00AF3468" w:rsidRPr="00CE058E">
        <w:rPr>
          <w:rFonts w:cs="Arial"/>
          <w:color w:val="auto"/>
        </w:rPr>
        <w:t>he</w:t>
      </w:r>
      <w:r w:rsidRPr="00CE058E">
        <w:rPr>
          <w:rFonts w:cs="Arial"/>
          <w:color w:val="auto"/>
        </w:rPr>
        <w:t xml:space="preserve"> national average cost was $5,809</w:t>
      </w:r>
      <w:r w:rsidR="00AB625F" w:rsidRPr="00CE058E">
        <w:rPr>
          <w:rFonts w:cs="Arial"/>
          <w:color w:val="auto"/>
        </w:rPr>
        <w:t xml:space="preserve"> in 2021-22</w:t>
      </w:r>
      <w:r w:rsidRPr="00CE058E">
        <w:rPr>
          <w:rFonts w:cs="Arial"/>
          <w:color w:val="auto"/>
        </w:rPr>
        <w:t>, a 9</w:t>
      </w:r>
      <w:r w:rsidR="00897090">
        <w:rPr>
          <w:rFonts w:cs="Arial"/>
          <w:color w:val="auto"/>
        </w:rPr>
        <w:t>%</w:t>
      </w:r>
      <w:r w:rsidRPr="00CE058E">
        <w:rPr>
          <w:rFonts w:cs="Arial"/>
          <w:color w:val="auto"/>
        </w:rPr>
        <w:t xml:space="preserve"> increase</w:t>
      </w:r>
      <w:r w:rsidR="00F16C30" w:rsidRPr="00CE058E">
        <w:rPr>
          <w:rFonts w:cs="Arial"/>
          <w:color w:val="auto"/>
        </w:rPr>
        <w:t xml:space="preserve"> nationally</w:t>
      </w:r>
      <w:r w:rsidRPr="00CE058E">
        <w:rPr>
          <w:rFonts w:cs="Arial"/>
          <w:color w:val="auto"/>
        </w:rPr>
        <w:t xml:space="preserve"> from 2020-21.</w:t>
      </w:r>
    </w:p>
    <w:p w14:paraId="096331D6" w14:textId="417D7570" w:rsidR="00AB625F" w:rsidRPr="00CE058E" w:rsidRDefault="00923930" w:rsidP="00923930">
      <w:pPr>
        <w:spacing w:line="276" w:lineRule="auto"/>
        <w:rPr>
          <w:rFonts w:eastAsia="Arial" w:cs="Arial"/>
          <w:color w:val="auto"/>
        </w:rPr>
      </w:pPr>
      <w:r w:rsidRPr="00CE058E">
        <w:rPr>
          <w:rFonts w:cs="Arial"/>
          <w:color w:val="auto"/>
        </w:rPr>
        <w:t>The admitted subacute and non-acute stream had 151,706 episodes and 64,477 phases</w:t>
      </w:r>
      <w:r w:rsidR="00AB625F" w:rsidRPr="00CE058E">
        <w:rPr>
          <w:rFonts w:cs="Arial"/>
          <w:color w:val="auto"/>
        </w:rPr>
        <w:t xml:space="preserve"> with a</w:t>
      </w:r>
      <w:r w:rsidR="00620EEC" w:rsidRPr="00CE058E">
        <w:rPr>
          <w:rFonts w:cs="Arial"/>
          <w:color w:val="auto"/>
        </w:rPr>
        <w:t xml:space="preserve"> </w:t>
      </w:r>
      <w:r w:rsidRPr="00CE058E">
        <w:rPr>
          <w:rFonts w:cs="Arial"/>
          <w:color w:val="auto"/>
        </w:rPr>
        <w:t xml:space="preserve">cost </w:t>
      </w:r>
      <w:r w:rsidR="00AB625F" w:rsidRPr="00CE058E">
        <w:rPr>
          <w:rFonts w:cs="Arial"/>
          <w:color w:val="auto"/>
        </w:rPr>
        <w:t xml:space="preserve">of </w:t>
      </w:r>
      <w:r w:rsidRPr="00CE058E">
        <w:rPr>
          <w:rFonts w:cs="Arial"/>
          <w:color w:val="auto"/>
        </w:rPr>
        <w:t xml:space="preserve">$3.2 billion and $467.9 million </w:t>
      </w:r>
      <w:r w:rsidR="00AB625F" w:rsidRPr="00CE058E">
        <w:rPr>
          <w:rFonts w:cs="Arial"/>
          <w:color w:val="auto"/>
        </w:rPr>
        <w:t xml:space="preserve">in 2021-22 respectively. </w:t>
      </w:r>
      <w:r w:rsidRPr="00CE058E">
        <w:rPr>
          <w:rFonts w:eastAsia="Arial" w:cs="Arial"/>
          <w:color w:val="auto"/>
        </w:rPr>
        <w:t>The national average cost per episode was $21,402</w:t>
      </w:r>
      <w:r w:rsidR="00AB625F" w:rsidRPr="00CE058E">
        <w:rPr>
          <w:rFonts w:eastAsia="Arial" w:cs="Arial"/>
          <w:color w:val="auto"/>
        </w:rPr>
        <w:t xml:space="preserve"> and $7,258 per phase</w:t>
      </w:r>
      <w:r w:rsidRPr="00CE058E">
        <w:rPr>
          <w:rFonts w:eastAsia="Arial" w:cs="Arial"/>
          <w:color w:val="auto"/>
        </w:rPr>
        <w:t>, a 10</w:t>
      </w:r>
      <w:r w:rsidR="00897090">
        <w:rPr>
          <w:rFonts w:eastAsia="Arial" w:cs="Arial"/>
          <w:color w:val="auto"/>
        </w:rPr>
        <w:t>%</w:t>
      </w:r>
      <w:r w:rsidRPr="00CE058E">
        <w:rPr>
          <w:rFonts w:eastAsia="Arial" w:cs="Arial"/>
          <w:color w:val="auto"/>
        </w:rPr>
        <w:t xml:space="preserve"> increase and a 2</w:t>
      </w:r>
      <w:r w:rsidR="00897090">
        <w:rPr>
          <w:rFonts w:eastAsia="Arial" w:cs="Arial"/>
          <w:color w:val="auto"/>
        </w:rPr>
        <w:t>%</w:t>
      </w:r>
      <w:r w:rsidRPr="00CE058E">
        <w:rPr>
          <w:rFonts w:eastAsia="Arial" w:cs="Arial"/>
          <w:color w:val="auto"/>
        </w:rPr>
        <w:t xml:space="preserve"> decrease</w:t>
      </w:r>
      <w:r w:rsidR="00AB625F" w:rsidRPr="00CE058E">
        <w:rPr>
          <w:rFonts w:eastAsia="Arial" w:cs="Arial"/>
          <w:color w:val="auto"/>
        </w:rPr>
        <w:t xml:space="preserve"> nationally from 2020-21</w:t>
      </w:r>
      <w:r w:rsidR="00AA0504" w:rsidRPr="00CE058E">
        <w:rPr>
          <w:rFonts w:eastAsia="Arial" w:cs="Arial"/>
          <w:color w:val="auto"/>
        </w:rPr>
        <w:t xml:space="preserve"> respectively</w:t>
      </w:r>
      <w:r w:rsidR="00AB625F" w:rsidRPr="00CE058E">
        <w:rPr>
          <w:rFonts w:eastAsia="Arial" w:cs="Arial"/>
          <w:color w:val="auto"/>
        </w:rPr>
        <w:t>.</w:t>
      </w:r>
    </w:p>
    <w:p w14:paraId="1237D6DA" w14:textId="5B8C8B63" w:rsidR="00923930" w:rsidRPr="00CE058E" w:rsidRDefault="00923930" w:rsidP="00923930">
      <w:pPr>
        <w:spacing w:line="276" w:lineRule="auto"/>
        <w:rPr>
          <w:rFonts w:cs="Arial"/>
          <w:color w:val="auto"/>
        </w:rPr>
      </w:pPr>
      <w:r w:rsidRPr="00CE058E">
        <w:rPr>
          <w:rFonts w:cs="Arial"/>
          <w:color w:val="auto"/>
        </w:rPr>
        <w:t>The emergency department st</w:t>
      </w:r>
      <w:r w:rsidR="00AB625F" w:rsidRPr="00CE058E">
        <w:rPr>
          <w:rFonts w:cs="Arial"/>
          <w:color w:val="auto"/>
        </w:rPr>
        <w:t>r</w:t>
      </w:r>
      <w:r w:rsidRPr="00CE058E">
        <w:rPr>
          <w:rFonts w:cs="Arial"/>
          <w:color w:val="auto"/>
        </w:rPr>
        <w:t xml:space="preserve">eam had 8.3 million presentations </w:t>
      </w:r>
      <w:r w:rsidR="00AB625F" w:rsidRPr="00CE058E">
        <w:rPr>
          <w:rFonts w:cs="Arial"/>
          <w:color w:val="auto"/>
        </w:rPr>
        <w:t xml:space="preserve">with a cost of $7.4 billion </w:t>
      </w:r>
      <w:r w:rsidRPr="00CE058E">
        <w:rPr>
          <w:rFonts w:cs="Arial"/>
          <w:color w:val="auto"/>
        </w:rPr>
        <w:t>nationally</w:t>
      </w:r>
      <w:r w:rsidR="00AB625F" w:rsidRPr="00CE058E">
        <w:rPr>
          <w:rFonts w:cs="Arial"/>
          <w:color w:val="auto"/>
        </w:rPr>
        <w:t xml:space="preserve"> in 2021-22</w:t>
      </w:r>
      <w:r w:rsidRPr="00CE058E">
        <w:rPr>
          <w:rFonts w:cs="Arial"/>
          <w:color w:val="auto"/>
        </w:rPr>
        <w:t>, a 1</w:t>
      </w:r>
      <w:r w:rsidR="00897090">
        <w:rPr>
          <w:rFonts w:cs="Arial"/>
          <w:color w:val="auto"/>
        </w:rPr>
        <w:t>%</w:t>
      </w:r>
      <w:r w:rsidRPr="00CE058E">
        <w:rPr>
          <w:rFonts w:cs="Arial"/>
          <w:color w:val="auto"/>
        </w:rPr>
        <w:t xml:space="preserve"> decrease </w:t>
      </w:r>
      <w:r w:rsidR="00AB625F" w:rsidRPr="00CE058E">
        <w:rPr>
          <w:rFonts w:cs="Arial"/>
          <w:color w:val="auto"/>
        </w:rPr>
        <w:t xml:space="preserve">and </w:t>
      </w:r>
      <w:r w:rsidRPr="00CE058E">
        <w:rPr>
          <w:rFonts w:cs="Arial"/>
          <w:color w:val="auto"/>
        </w:rPr>
        <w:t>a 1</w:t>
      </w:r>
      <w:r w:rsidR="00620EEC" w:rsidRPr="00CE058E">
        <w:rPr>
          <w:rFonts w:cs="Arial"/>
          <w:color w:val="auto"/>
        </w:rPr>
        <w:t>1</w:t>
      </w:r>
      <w:r w:rsidR="00897090">
        <w:rPr>
          <w:rFonts w:cs="Arial"/>
          <w:color w:val="auto"/>
        </w:rPr>
        <w:t>%</w:t>
      </w:r>
      <w:r w:rsidRPr="00CE058E">
        <w:rPr>
          <w:rFonts w:cs="Arial"/>
          <w:color w:val="auto"/>
        </w:rPr>
        <w:t xml:space="preserve"> increase</w:t>
      </w:r>
      <w:r w:rsidR="00AB625F" w:rsidRPr="00CE058E">
        <w:rPr>
          <w:rFonts w:cs="Arial"/>
          <w:color w:val="auto"/>
        </w:rPr>
        <w:t xml:space="preserve"> from 2020-21</w:t>
      </w:r>
      <w:r w:rsidRPr="00CE058E">
        <w:rPr>
          <w:rFonts w:cs="Arial"/>
          <w:color w:val="auto"/>
        </w:rPr>
        <w:t>. The national average cost per presentation was $891, a 13</w:t>
      </w:r>
      <w:r w:rsidR="00897090">
        <w:rPr>
          <w:rFonts w:cs="Arial"/>
          <w:color w:val="auto"/>
        </w:rPr>
        <w:t>%</w:t>
      </w:r>
      <w:r w:rsidRPr="00CE058E">
        <w:rPr>
          <w:rFonts w:cs="Arial"/>
          <w:color w:val="auto"/>
        </w:rPr>
        <w:t xml:space="preserve"> increase</w:t>
      </w:r>
      <w:r w:rsidR="00F16C30" w:rsidRPr="00CE058E">
        <w:rPr>
          <w:rFonts w:cs="Arial"/>
          <w:color w:val="auto"/>
        </w:rPr>
        <w:t xml:space="preserve"> nationally</w:t>
      </w:r>
      <w:r w:rsidRPr="00CE058E">
        <w:rPr>
          <w:rFonts w:cs="Arial"/>
          <w:color w:val="auto"/>
        </w:rPr>
        <w:t xml:space="preserve"> from 2020-21.</w:t>
      </w:r>
    </w:p>
    <w:p w14:paraId="033A1E66" w14:textId="492A6E29" w:rsidR="00923930" w:rsidRDefault="00923930" w:rsidP="00AB625F">
      <w:pPr>
        <w:spacing w:line="276" w:lineRule="auto"/>
        <w:rPr>
          <w:rFonts w:cs="Arial"/>
          <w:color w:val="auto"/>
        </w:rPr>
      </w:pPr>
      <w:r w:rsidRPr="00CE058E">
        <w:rPr>
          <w:rFonts w:cs="Arial"/>
          <w:color w:val="auto"/>
        </w:rPr>
        <w:t xml:space="preserve">The non-admitted stream had </w:t>
      </w:r>
      <w:r w:rsidR="00C428DD" w:rsidRPr="00CE058E">
        <w:rPr>
          <w:rFonts w:cs="Arial"/>
          <w:color w:val="auto"/>
        </w:rPr>
        <w:t>32.4</w:t>
      </w:r>
      <w:r w:rsidRPr="00CE058E">
        <w:rPr>
          <w:rFonts w:cs="Arial"/>
          <w:color w:val="auto"/>
        </w:rPr>
        <w:t xml:space="preserve"> million service events</w:t>
      </w:r>
      <w:r w:rsidR="00AB625F" w:rsidRPr="00CE058E">
        <w:rPr>
          <w:rFonts w:cs="Arial"/>
          <w:color w:val="auto"/>
        </w:rPr>
        <w:t xml:space="preserve"> with a cost of $10.5 billion nationally in 2021-22, a 15</w:t>
      </w:r>
      <w:r w:rsidR="00897090">
        <w:rPr>
          <w:rFonts w:cs="Arial"/>
          <w:color w:val="auto"/>
        </w:rPr>
        <w:t>%</w:t>
      </w:r>
      <w:r w:rsidR="00AB625F" w:rsidRPr="00CE058E">
        <w:rPr>
          <w:rFonts w:cs="Arial"/>
          <w:color w:val="auto"/>
        </w:rPr>
        <w:t xml:space="preserve"> and 9</w:t>
      </w:r>
      <w:r w:rsidR="00897090">
        <w:rPr>
          <w:rFonts w:cs="Arial"/>
          <w:color w:val="auto"/>
        </w:rPr>
        <w:t>%</w:t>
      </w:r>
      <w:r w:rsidR="00AB625F" w:rsidRPr="00CE058E">
        <w:rPr>
          <w:rFonts w:cs="Arial"/>
          <w:color w:val="auto"/>
        </w:rPr>
        <w:t xml:space="preserve"> increase respectively from 2020-21.</w:t>
      </w:r>
      <w:r w:rsidRPr="00CE058E">
        <w:rPr>
          <w:rFonts w:cs="Arial"/>
          <w:color w:val="auto"/>
        </w:rPr>
        <w:t xml:space="preserve"> The national average cost per service event was $324, a 5</w:t>
      </w:r>
      <w:r w:rsidR="00897090">
        <w:rPr>
          <w:rFonts w:cs="Arial"/>
          <w:color w:val="auto"/>
        </w:rPr>
        <w:t>%</w:t>
      </w:r>
      <w:r w:rsidRPr="00CE058E">
        <w:rPr>
          <w:rFonts w:cs="Arial"/>
          <w:color w:val="auto"/>
        </w:rPr>
        <w:t xml:space="preserve"> decrease</w:t>
      </w:r>
      <w:r w:rsidR="00F16C30" w:rsidRPr="00CE058E">
        <w:rPr>
          <w:rFonts w:cs="Arial"/>
          <w:color w:val="auto"/>
        </w:rPr>
        <w:t xml:space="preserve"> nationally</w:t>
      </w:r>
      <w:r w:rsidRPr="00CE058E">
        <w:rPr>
          <w:rFonts w:cs="Arial"/>
          <w:color w:val="auto"/>
        </w:rPr>
        <w:t xml:space="preserve"> from 2020-21.</w:t>
      </w:r>
    </w:p>
    <w:p w14:paraId="7D0E97B0" w14:textId="5289D192" w:rsidR="00F46C13" w:rsidRDefault="002A633A" w:rsidP="00F46C13">
      <w:pPr>
        <w:rPr>
          <w:rFonts w:cs="Arial"/>
          <w:color w:val="auto"/>
        </w:rPr>
      </w:pPr>
      <w:r>
        <w:rPr>
          <w:rFonts w:cs="Arial"/>
          <w:color w:val="auto"/>
        </w:rPr>
        <w:t xml:space="preserve">The </w:t>
      </w:r>
      <w:r w:rsidRPr="00CE058E">
        <w:rPr>
          <w:rFonts w:cs="Arial"/>
          <w:color w:val="auto"/>
        </w:rPr>
        <w:t>Australian Mental Health Care Classification (AMHCC)</w:t>
      </w:r>
      <w:r>
        <w:rPr>
          <w:rFonts w:cs="Arial"/>
          <w:color w:val="auto"/>
        </w:rPr>
        <w:t xml:space="preserve"> is the preferred method for reporting admitted mental health data</w:t>
      </w:r>
      <w:r w:rsidRPr="00CE058E">
        <w:rPr>
          <w:rFonts w:cs="Arial"/>
          <w:color w:val="auto"/>
        </w:rPr>
        <w:t>.</w:t>
      </w:r>
      <w:r>
        <w:rPr>
          <w:rFonts w:cs="Arial"/>
          <w:color w:val="auto"/>
        </w:rPr>
        <w:t xml:space="preserve"> In the absence of </w:t>
      </w:r>
      <w:r w:rsidR="00CB65C0">
        <w:rPr>
          <w:rFonts w:cs="Arial"/>
          <w:color w:val="auto"/>
        </w:rPr>
        <w:t xml:space="preserve">admitted mental health </w:t>
      </w:r>
      <w:r>
        <w:rPr>
          <w:rFonts w:cs="Arial"/>
          <w:color w:val="auto"/>
        </w:rPr>
        <w:t xml:space="preserve">phase level data, </w:t>
      </w:r>
      <w:r w:rsidR="00CB65C0">
        <w:rPr>
          <w:rFonts w:cs="Arial"/>
          <w:color w:val="auto"/>
        </w:rPr>
        <w:t xml:space="preserve">admitted mental health </w:t>
      </w:r>
      <w:r>
        <w:rPr>
          <w:rFonts w:cs="Arial"/>
          <w:color w:val="auto"/>
        </w:rPr>
        <w:t xml:space="preserve">episodes are classified under </w:t>
      </w:r>
      <w:r w:rsidR="008949ED" w:rsidRPr="00CE058E">
        <w:rPr>
          <w:rFonts w:cs="Arial"/>
          <w:color w:val="auto"/>
        </w:rPr>
        <w:t>the</w:t>
      </w:r>
      <w:r w:rsidR="008949ED" w:rsidRPr="00CE058E">
        <w:rPr>
          <w:rFonts w:cs="Arial"/>
        </w:rPr>
        <w:t xml:space="preserve"> </w:t>
      </w:r>
      <w:r w:rsidR="008949ED" w:rsidRPr="00CE058E">
        <w:rPr>
          <w:rFonts w:cs="Arial"/>
          <w:color w:val="auto"/>
        </w:rPr>
        <w:t>Australian Refined Diagnosis Related Groups (AR-DRGs)</w:t>
      </w:r>
      <w:r>
        <w:rPr>
          <w:rFonts w:cs="Arial"/>
          <w:color w:val="auto"/>
        </w:rPr>
        <w:t>.</w:t>
      </w:r>
      <w:r w:rsidR="008949ED" w:rsidRPr="00CE058E">
        <w:rPr>
          <w:rFonts w:cs="Arial"/>
        </w:rPr>
        <w:t xml:space="preserve"> </w:t>
      </w:r>
      <w:r w:rsidR="00F46C13">
        <w:rPr>
          <w:rFonts w:cs="Arial"/>
          <w:color w:val="auto"/>
        </w:rPr>
        <w:t>T</w:t>
      </w:r>
      <w:r w:rsidR="00F46C13" w:rsidRPr="00CE058E">
        <w:rPr>
          <w:rFonts w:cs="Arial"/>
          <w:color w:val="auto"/>
        </w:rPr>
        <w:t xml:space="preserve">he AMHCC v1.0.1 was used to prepare the phase level results and the </w:t>
      </w:r>
      <w:r w:rsidR="00F46C13">
        <w:rPr>
          <w:rFonts w:cs="Arial"/>
          <w:color w:val="auto"/>
        </w:rPr>
        <w:t>A</w:t>
      </w:r>
      <w:r w:rsidR="00F46C13" w:rsidRPr="00CE058E">
        <w:rPr>
          <w:rFonts w:cs="Arial"/>
          <w:color w:val="auto"/>
        </w:rPr>
        <w:t>R-DRG v11.0 was used to prepare the episode level results.</w:t>
      </w:r>
    </w:p>
    <w:p w14:paraId="67ACE12E" w14:textId="1C158D47" w:rsidR="00923930" w:rsidRPr="00CB65C0" w:rsidRDefault="00923930" w:rsidP="00923930">
      <w:pPr>
        <w:spacing w:line="276" w:lineRule="auto"/>
        <w:rPr>
          <w:rFonts w:cs="Arial"/>
        </w:rPr>
      </w:pPr>
      <w:r w:rsidRPr="00CE058E">
        <w:rPr>
          <w:rFonts w:cs="Arial"/>
          <w:color w:val="auto"/>
        </w:rPr>
        <w:t>The admitted mental health stream had 79,935 phases</w:t>
      </w:r>
      <w:r w:rsidR="00F16C30" w:rsidRPr="00CE058E">
        <w:rPr>
          <w:rFonts w:cs="Arial"/>
          <w:color w:val="auto"/>
        </w:rPr>
        <w:t xml:space="preserve"> </w:t>
      </w:r>
      <w:r w:rsidR="005F5A2E" w:rsidRPr="00CE058E">
        <w:rPr>
          <w:rFonts w:cs="Arial"/>
          <w:color w:val="auto"/>
        </w:rPr>
        <w:t xml:space="preserve">and 27,918 episodes </w:t>
      </w:r>
      <w:r w:rsidR="00F16C30" w:rsidRPr="00CE058E">
        <w:rPr>
          <w:rFonts w:cs="Arial"/>
          <w:color w:val="auto"/>
        </w:rPr>
        <w:t xml:space="preserve">with a cost of </w:t>
      </w:r>
      <w:r w:rsidRPr="00CE058E">
        <w:rPr>
          <w:rFonts w:cs="Arial"/>
          <w:color w:val="auto"/>
        </w:rPr>
        <w:t>$1</w:t>
      </w:r>
      <w:r w:rsidR="00C361E9" w:rsidRPr="00CE058E">
        <w:rPr>
          <w:rFonts w:cs="Arial"/>
          <w:color w:val="auto"/>
        </w:rPr>
        <w:t>.</w:t>
      </w:r>
      <w:r w:rsidRPr="00CE058E">
        <w:rPr>
          <w:rFonts w:cs="Arial"/>
          <w:color w:val="auto"/>
        </w:rPr>
        <w:t>9</w:t>
      </w:r>
      <w:r w:rsidR="00C361E9" w:rsidRPr="00CE058E">
        <w:rPr>
          <w:rFonts w:cs="Arial"/>
          <w:color w:val="auto"/>
        </w:rPr>
        <w:t xml:space="preserve"> billion</w:t>
      </w:r>
      <w:r w:rsidR="005F5A2E" w:rsidRPr="00CE058E">
        <w:rPr>
          <w:rFonts w:cs="Arial"/>
          <w:color w:val="auto"/>
        </w:rPr>
        <w:t xml:space="preserve"> and $667.5 million</w:t>
      </w:r>
      <w:r w:rsidRPr="00CE058E">
        <w:rPr>
          <w:rFonts w:cs="Arial"/>
          <w:color w:val="auto"/>
        </w:rPr>
        <w:t xml:space="preserve"> </w:t>
      </w:r>
      <w:r w:rsidR="00F16C30" w:rsidRPr="00CE058E">
        <w:rPr>
          <w:rFonts w:cs="Arial"/>
          <w:color w:val="auto"/>
        </w:rPr>
        <w:t>in 2021-22 respectively</w:t>
      </w:r>
      <w:r w:rsidRPr="00CE058E">
        <w:rPr>
          <w:rFonts w:cs="Arial"/>
          <w:color w:val="auto"/>
        </w:rPr>
        <w:t xml:space="preserve">. The national average cost per admitted mental health </w:t>
      </w:r>
      <w:r w:rsidR="005F5A2E" w:rsidRPr="00CE058E">
        <w:rPr>
          <w:rFonts w:cs="Arial"/>
          <w:color w:val="auto"/>
        </w:rPr>
        <w:t>phase</w:t>
      </w:r>
      <w:r w:rsidR="00F16C30" w:rsidRPr="00CE058E">
        <w:rPr>
          <w:rFonts w:cs="Arial"/>
          <w:color w:val="auto"/>
        </w:rPr>
        <w:t xml:space="preserve"> </w:t>
      </w:r>
      <w:r w:rsidR="005F5A2E" w:rsidRPr="00CE058E">
        <w:rPr>
          <w:rFonts w:cs="Arial"/>
          <w:color w:val="auto"/>
        </w:rPr>
        <w:t xml:space="preserve">was </w:t>
      </w:r>
      <w:r w:rsidR="00F16C30" w:rsidRPr="00CE058E">
        <w:rPr>
          <w:rFonts w:cs="Arial"/>
          <w:color w:val="auto"/>
        </w:rPr>
        <w:t>$23,888</w:t>
      </w:r>
      <w:r w:rsidR="005F5A2E" w:rsidRPr="00CE058E">
        <w:rPr>
          <w:rFonts w:cs="Arial"/>
          <w:color w:val="auto"/>
        </w:rPr>
        <w:t xml:space="preserve"> and $23,910 per episode</w:t>
      </w:r>
      <w:r w:rsidRPr="00CE058E">
        <w:rPr>
          <w:rFonts w:cs="Arial"/>
          <w:color w:val="auto"/>
        </w:rPr>
        <w:t>, a</w:t>
      </w:r>
      <w:r w:rsidR="00F16C30" w:rsidRPr="00CE058E">
        <w:rPr>
          <w:rFonts w:cs="Arial"/>
          <w:color w:val="auto"/>
        </w:rPr>
        <w:t xml:space="preserve"> </w:t>
      </w:r>
      <w:r w:rsidRPr="00CE058E">
        <w:rPr>
          <w:rFonts w:cs="Arial"/>
          <w:color w:val="auto"/>
        </w:rPr>
        <w:t>15</w:t>
      </w:r>
      <w:r w:rsidR="00897090">
        <w:rPr>
          <w:rFonts w:cs="Arial"/>
          <w:color w:val="auto"/>
        </w:rPr>
        <w:t>%</w:t>
      </w:r>
      <w:r w:rsidR="005F5A2E" w:rsidRPr="00CE058E">
        <w:rPr>
          <w:rFonts w:cs="Arial"/>
          <w:color w:val="auto"/>
        </w:rPr>
        <w:t xml:space="preserve"> and 28</w:t>
      </w:r>
      <w:r w:rsidR="00897090">
        <w:rPr>
          <w:rFonts w:cs="Arial"/>
          <w:color w:val="auto"/>
        </w:rPr>
        <w:t>%</w:t>
      </w:r>
      <w:r w:rsidR="00F16C30" w:rsidRPr="00CE058E">
        <w:rPr>
          <w:rFonts w:cs="Arial"/>
          <w:color w:val="auto"/>
        </w:rPr>
        <w:t xml:space="preserve"> increase nationally from 2020-21 respectively</w:t>
      </w:r>
      <w:r w:rsidR="00620EEC" w:rsidRPr="00CE058E">
        <w:rPr>
          <w:rFonts w:cs="Arial"/>
          <w:color w:val="auto"/>
        </w:rPr>
        <w:t>.</w:t>
      </w:r>
    </w:p>
    <w:p w14:paraId="7BBFE965" w14:textId="4BD31F7D" w:rsidR="00F46C13" w:rsidRDefault="00923930" w:rsidP="00AE4E40">
      <w:pPr>
        <w:rPr>
          <w:rFonts w:cs="Arial"/>
          <w:color w:val="auto"/>
        </w:rPr>
      </w:pPr>
      <w:r w:rsidRPr="00CE058E">
        <w:rPr>
          <w:rFonts w:cs="Arial"/>
          <w:color w:val="auto"/>
        </w:rPr>
        <w:t xml:space="preserve">The community mental health stream had </w:t>
      </w:r>
      <w:r w:rsidR="00EE31DC" w:rsidRPr="00CE058E">
        <w:rPr>
          <w:rFonts w:cs="Arial"/>
          <w:color w:val="auto"/>
        </w:rPr>
        <w:t xml:space="preserve">555,828 </w:t>
      </w:r>
      <w:r w:rsidRPr="00CE058E">
        <w:rPr>
          <w:rFonts w:cs="Arial"/>
          <w:color w:val="auto"/>
        </w:rPr>
        <w:t xml:space="preserve">phases </w:t>
      </w:r>
      <w:r w:rsidR="005F5A2E" w:rsidRPr="00CE058E">
        <w:rPr>
          <w:rFonts w:cs="Arial"/>
          <w:color w:val="auto"/>
        </w:rPr>
        <w:t xml:space="preserve">and 219,032 episodes </w:t>
      </w:r>
      <w:r w:rsidR="00F16C30" w:rsidRPr="00CE058E">
        <w:rPr>
          <w:rFonts w:cs="Arial"/>
          <w:color w:val="auto"/>
        </w:rPr>
        <w:t xml:space="preserve">with a cost of </w:t>
      </w:r>
      <w:r w:rsidR="00EE31DC" w:rsidRPr="00CE058E">
        <w:rPr>
          <w:rFonts w:cs="Arial"/>
          <w:color w:val="auto"/>
        </w:rPr>
        <w:t xml:space="preserve">$1.5 </w:t>
      </w:r>
      <w:r w:rsidR="00C361E9" w:rsidRPr="00CE058E">
        <w:rPr>
          <w:rFonts w:cs="Arial"/>
          <w:color w:val="auto"/>
        </w:rPr>
        <w:t>b</w:t>
      </w:r>
      <w:r w:rsidRPr="00CE058E">
        <w:rPr>
          <w:rFonts w:cs="Arial"/>
          <w:color w:val="auto"/>
        </w:rPr>
        <w:t xml:space="preserve">illion </w:t>
      </w:r>
      <w:r w:rsidR="005F5A2E" w:rsidRPr="00CE058E">
        <w:rPr>
          <w:rFonts w:cs="Arial"/>
          <w:color w:val="auto"/>
        </w:rPr>
        <w:t xml:space="preserve">and $84.1 million </w:t>
      </w:r>
      <w:r w:rsidR="00F16C30" w:rsidRPr="00CE058E">
        <w:rPr>
          <w:rFonts w:cs="Arial"/>
          <w:color w:val="auto"/>
        </w:rPr>
        <w:t>in 2021-22 respectively</w:t>
      </w:r>
      <w:r w:rsidRPr="00CE058E">
        <w:rPr>
          <w:rFonts w:cs="Arial"/>
          <w:color w:val="auto"/>
        </w:rPr>
        <w:t xml:space="preserve">. The national average cost </w:t>
      </w:r>
      <w:r w:rsidR="00BD5DEA">
        <w:rPr>
          <w:rFonts w:cs="Arial"/>
          <w:color w:val="auto"/>
        </w:rPr>
        <w:t>for</w:t>
      </w:r>
      <w:r w:rsidRPr="00CE058E">
        <w:rPr>
          <w:rFonts w:cs="Arial"/>
          <w:color w:val="auto"/>
        </w:rPr>
        <w:t xml:space="preserve"> community mental health </w:t>
      </w:r>
      <w:r w:rsidR="005F5A2E" w:rsidRPr="00CE058E">
        <w:rPr>
          <w:rFonts w:cs="Arial"/>
          <w:color w:val="auto"/>
        </w:rPr>
        <w:t xml:space="preserve">is </w:t>
      </w:r>
      <w:r w:rsidR="00EE31DC" w:rsidRPr="00CE058E">
        <w:rPr>
          <w:rFonts w:cs="Arial"/>
          <w:color w:val="auto"/>
        </w:rPr>
        <w:t xml:space="preserve">$2,718 </w:t>
      </w:r>
      <w:r w:rsidR="00F16C30" w:rsidRPr="00CE058E">
        <w:rPr>
          <w:rFonts w:cs="Arial"/>
          <w:color w:val="auto"/>
        </w:rPr>
        <w:t>per phase</w:t>
      </w:r>
      <w:r w:rsidR="005F5A2E" w:rsidRPr="00CE058E">
        <w:rPr>
          <w:rFonts w:cs="Arial"/>
          <w:color w:val="auto"/>
        </w:rPr>
        <w:t xml:space="preserve"> and $384 per episode</w:t>
      </w:r>
      <w:r w:rsidR="00F16C30" w:rsidRPr="00CE058E">
        <w:rPr>
          <w:rFonts w:cs="Arial"/>
          <w:color w:val="auto"/>
        </w:rPr>
        <w:t>, a</w:t>
      </w:r>
      <w:r w:rsidR="005F5A2E" w:rsidRPr="00CE058E">
        <w:rPr>
          <w:rFonts w:cs="Arial"/>
          <w:color w:val="auto"/>
        </w:rPr>
        <w:t xml:space="preserve"> 6</w:t>
      </w:r>
      <w:r w:rsidR="00897090">
        <w:rPr>
          <w:rFonts w:cs="Arial"/>
          <w:color w:val="auto"/>
        </w:rPr>
        <w:t>%</w:t>
      </w:r>
      <w:r w:rsidR="00F16C30" w:rsidRPr="00CE058E">
        <w:rPr>
          <w:rFonts w:cs="Arial"/>
          <w:color w:val="auto"/>
        </w:rPr>
        <w:t xml:space="preserve"> and </w:t>
      </w:r>
      <w:r w:rsidR="005F5A2E" w:rsidRPr="00CE058E">
        <w:rPr>
          <w:rFonts w:cs="Arial"/>
          <w:color w:val="auto"/>
        </w:rPr>
        <w:t>18</w:t>
      </w:r>
      <w:r w:rsidR="00897090">
        <w:rPr>
          <w:rFonts w:cs="Arial"/>
          <w:color w:val="auto"/>
        </w:rPr>
        <w:t>%</w:t>
      </w:r>
      <w:r w:rsidR="00F16C30" w:rsidRPr="00CE058E">
        <w:rPr>
          <w:rFonts w:cs="Arial"/>
          <w:color w:val="auto"/>
        </w:rPr>
        <w:t xml:space="preserve"> decrease nationally from 2020-21 respectively.</w:t>
      </w:r>
    </w:p>
    <w:p w14:paraId="004AFA35" w14:textId="27ABF9D0" w:rsidR="00997696" w:rsidRPr="00CE058E" w:rsidRDefault="00997696" w:rsidP="00EE31DC">
      <w:pPr>
        <w:spacing w:line="276" w:lineRule="auto"/>
        <w:rPr>
          <w:rFonts w:cs="Arial"/>
          <w:color w:val="auto"/>
        </w:rPr>
      </w:pPr>
      <w:r w:rsidRPr="00F46C13">
        <w:rPr>
          <w:rFonts w:cs="Arial"/>
          <w:color w:val="auto"/>
        </w:rPr>
        <w:t>I</w:t>
      </w:r>
      <w:r>
        <w:rPr>
          <w:rFonts w:cs="Arial"/>
          <w:color w:val="auto"/>
        </w:rPr>
        <w:t>t should be noted that</w:t>
      </w:r>
      <w:r w:rsidRPr="00F46C13">
        <w:rPr>
          <w:rFonts w:cs="Arial"/>
          <w:color w:val="auto"/>
        </w:rPr>
        <w:t xml:space="preserve"> COVID-19 has continued to impact </w:t>
      </w:r>
      <w:r w:rsidR="00CB65C0">
        <w:rPr>
          <w:rFonts w:cs="Arial"/>
          <w:color w:val="auto"/>
        </w:rPr>
        <w:t xml:space="preserve">hospital </w:t>
      </w:r>
      <w:r w:rsidRPr="00F46C13">
        <w:rPr>
          <w:rFonts w:cs="Arial"/>
          <w:color w:val="auto"/>
        </w:rPr>
        <w:t xml:space="preserve">activity and </w:t>
      </w:r>
      <w:r w:rsidR="002A5A18">
        <w:rPr>
          <w:rFonts w:cs="Arial"/>
          <w:color w:val="auto"/>
        </w:rPr>
        <w:t xml:space="preserve">reported </w:t>
      </w:r>
      <w:r w:rsidRPr="00F46C13">
        <w:rPr>
          <w:rFonts w:cs="Arial"/>
          <w:color w:val="auto"/>
        </w:rPr>
        <w:t>cost</w:t>
      </w:r>
      <w:r w:rsidR="002A5A18">
        <w:rPr>
          <w:rFonts w:cs="Arial"/>
          <w:color w:val="auto"/>
        </w:rPr>
        <w:t>s</w:t>
      </w:r>
      <w:r w:rsidRPr="00F46C13">
        <w:rPr>
          <w:rFonts w:cs="Arial"/>
          <w:color w:val="auto"/>
        </w:rPr>
        <w:t xml:space="preserve"> </w:t>
      </w:r>
      <w:r>
        <w:rPr>
          <w:rFonts w:cs="Arial"/>
          <w:color w:val="auto"/>
        </w:rPr>
        <w:t>in 2021-22</w:t>
      </w:r>
      <w:r w:rsidRPr="00F46C13">
        <w:rPr>
          <w:rFonts w:cs="Arial"/>
          <w:color w:val="auto"/>
        </w:rPr>
        <w:t xml:space="preserve">. </w:t>
      </w:r>
    </w:p>
    <w:p w14:paraId="1AD65F4C" w14:textId="77777777" w:rsidR="00EE31DC" w:rsidRPr="00CE058E" w:rsidRDefault="00EE31DC">
      <w:pPr>
        <w:spacing w:line="259" w:lineRule="auto"/>
        <w:rPr>
          <w:rFonts w:cs="Arial"/>
          <w:color w:val="auto"/>
        </w:rPr>
      </w:pPr>
      <w:r w:rsidRPr="00CE058E">
        <w:rPr>
          <w:rFonts w:cs="Arial"/>
          <w:color w:val="auto"/>
        </w:rPr>
        <w:br w:type="page"/>
      </w:r>
    </w:p>
    <w:p w14:paraId="762A3579" w14:textId="61D4256E" w:rsidR="001118E1" w:rsidRPr="00CE058E" w:rsidRDefault="001118E1" w:rsidP="005C6AE6">
      <w:pPr>
        <w:pStyle w:val="Heading1"/>
        <w:numPr>
          <w:ilvl w:val="0"/>
          <w:numId w:val="34"/>
        </w:numPr>
        <w:rPr>
          <w:rFonts w:cs="Arial"/>
        </w:rPr>
      </w:pPr>
      <w:bookmarkStart w:id="31" w:name="_Toc158882592"/>
      <w:r w:rsidRPr="00CE058E">
        <w:rPr>
          <w:rFonts w:cs="Arial"/>
        </w:rPr>
        <w:lastRenderedPageBreak/>
        <w:t>Introduction</w:t>
      </w:r>
      <w:bookmarkEnd w:id="2"/>
      <w:bookmarkEnd w:id="3"/>
      <w:bookmarkEnd w:id="31"/>
    </w:p>
    <w:p w14:paraId="65D3FC38" w14:textId="77777777" w:rsidR="000C1990" w:rsidRPr="00CE058E" w:rsidRDefault="000C1990" w:rsidP="000C1990">
      <w:pPr>
        <w:pStyle w:val="Heading2"/>
      </w:pPr>
      <w:bookmarkStart w:id="32" w:name="_Toc151129681"/>
      <w:bookmarkStart w:id="33" w:name="_Toc158882532"/>
      <w:bookmarkStart w:id="34" w:name="_Toc158882593"/>
      <w:bookmarkStart w:id="35" w:name="_Toc144215421"/>
      <w:bookmarkStart w:id="36" w:name="_Toc144967621"/>
      <w:r w:rsidRPr="00CE058E">
        <w:t>National Hospital Cost Data Collection (NHCDC)</w:t>
      </w:r>
      <w:bookmarkEnd w:id="32"/>
      <w:bookmarkEnd w:id="33"/>
      <w:bookmarkEnd w:id="34"/>
    </w:p>
    <w:p w14:paraId="107FD0B4" w14:textId="6B2E9505" w:rsidR="000C1990" w:rsidRPr="00CE058E" w:rsidRDefault="000C1990" w:rsidP="000C1990">
      <w:pPr>
        <w:spacing w:after="120" w:line="276" w:lineRule="auto"/>
        <w:rPr>
          <w:rFonts w:cs="Arial"/>
          <w:color w:val="auto"/>
        </w:rPr>
      </w:pPr>
      <w:r w:rsidRPr="00CE058E">
        <w:rPr>
          <w:rFonts w:cs="Arial"/>
          <w:color w:val="auto"/>
        </w:rPr>
        <w:t>The NHCDC Public Sector is an annual collection of Australian public hospital cost data that is the primary source of information about the cost of treating patients in Australian public hospitals. The NHCDC is a unique collection and valuable evidence base that is used across the Australian health system, links patient level activity with the cost incurred by hospitals for this activity. IHACPA relies on the NHCDC to calculate the national efficient price used for the funding of public hospital services. The NHCDC Public Sector Report 2021-22 (this report) presents public sector hospital (including health services) cost submitted by the s</w:t>
      </w:r>
      <w:r w:rsidRPr="00CE058E" w:rsidDel="6066AD2C">
        <w:rPr>
          <w:rFonts w:cs="Arial"/>
          <w:color w:val="auto"/>
        </w:rPr>
        <w:t xml:space="preserve">tates </w:t>
      </w:r>
      <w:r w:rsidRPr="00CE058E">
        <w:rPr>
          <w:rFonts w:cs="Arial"/>
          <w:color w:val="auto"/>
        </w:rPr>
        <w:t>and t</w:t>
      </w:r>
      <w:r w:rsidRPr="00CE058E" w:rsidDel="6066AD2C">
        <w:rPr>
          <w:rFonts w:cs="Arial"/>
          <w:color w:val="auto"/>
        </w:rPr>
        <w:t>erritories</w:t>
      </w:r>
      <w:r w:rsidRPr="00CE058E">
        <w:rPr>
          <w:rFonts w:cs="Arial"/>
          <w:color w:val="auto"/>
        </w:rPr>
        <w:t xml:space="preserve"> (jurisdictions) for the following activity streams: admitted acute, admitted subacute and non-acute, non-admitted, emergency department, admitted mental health, and community mental health.</w:t>
      </w:r>
    </w:p>
    <w:p w14:paraId="1276537F" w14:textId="77777777" w:rsidR="000C1990" w:rsidRPr="00CE058E" w:rsidRDefault="000C1990" w:rsidP="000C1990">
      <w:pPr>
        <w:spacing w:after="120" w:line="276" w:lineRule="auto"/>
        <w:rPr>
          <w:rFonts w:cs="Arial"/>
        </w:rPr>
      </w:pPr>
      <w:r w:rsidRPr="00CE058E">
        <w:rPr>
          <w:rFonts w:cs="Arial"/>
          <w:color w:val="auto"/>
        </w:rPr>
        <w:t xml:space="preserve">The data in scope for the NHCDC 2021-22 includes all patient level activity for all publicly funded services, provided in public or private hospitals. For all in-scope admitted activity, the episode of care must have finished before the end of the 2021-22 financial year. Admitted subacute and non-acute, admitted mental health, and community mental health activity and cost are presented as episodes and phases in this report. To ensure national consistency, the NHCDC 2021-22 data is costed in accordance with the </w:t>
      </w:r>
      <w:hyperlink r:id="rId16" w:history="1">
        <w:r w:rsidRPr="00CE058E">
          <w:rPr>
            <w:rStyle w:val="Hyperlink"/>
            <w:rFonts w:cs="Arial"/>
          </w:rPr>
          <w:t>Australian Hospital Patient Costing Standards Version 4.1</w:t>
        </w:r>
      </w:hyperlink>
      <w:r w:rsidRPr="00CE058E">
        <w:rPr>
          <w:rFonts w:cs="Arial"/>
        </w:rPr>
        <w:t>.</w:t>
      </w:r>
    </w:p>
    <w:p w14:paraId="6DFE0445" w14:textId="77777777" w:rsidR="006C63FF" w:rsidRPr="00CE058E" w:rsidRDefault="006C63FF" w:rsidP="006C63FF">
      <w:pPr>
        <w:pStyle w:val="Heading2"/>
      </w:pPr>
      <w:bookmarkStart w:id="37" w:name="_Toc151129682"/>
      <w:bookmarkStart w:id="38" w:name="_Toc158882533"/>
      <w:bookmarkStart w:id="39" w:name="_Toc158882594"/>
      <w:r w:rsidRPr="00CE058E">
        <w:t>Reporting requirements</w:t>
      </w:r>
      <w:bookmarkEnd w:id="37"/>
      <w:bookmarkEnd w:id="38"/>
      <w:bookmarkEnd w:id="39"/>
    </w:p>
    <w:p w14:paraId="44F6B983" w14:textId="13EDC08A" w:rsidR="006C63FF" w:rsidRPr="00CE058E" w:rsidRDefault="006C63FF" w:rsidP="006C63FF">
      <w:pPr>
        <w:spacing w:line="276" w:lineRule="auto"/>
        <w:rPr>
          <w:rFonts w:cs="Arial"/>
          <w:color w:val="auto"/>
        </w:rPr>
      </w:pPr>
      <w:r w:rsidRPr="00CE058E">
        <w:rPr>
          <w:rFonts w:cs="Arial"/>
          <w:color w:val="auto"/>
        </w:rPr>
        <w:t xml:space="preserve">The NHCDC 2021-22 data is costed in accordance with the Australian Patient Costing Standards Version 4.1 (the Standards) available on IHACPA’s website. The Standards identify the </w:t>
      </w:r>
      <w:r w:rsidR="00EE76DB">
        <w:rPr>
          <w:rFonts w:cs="Arial"/>
          <w:color w:val="auto"/>
        </w:rPr>
        <w:t>6</w:t>
      </w:r>
      <w:r w:rsidR="00EE76DB" w:rsidRPr="00CE058E">
        <w:rPr>
          <w:rFonts w:cs="Arial"/>
          <w:color w:val="auto"/>
        </w:rPr>
        <w:t xml:space="preserve"> </w:t>
      </w:r>
      <w:r w:rsidRPr="00CE058E">
        <w:rPr>
          <w:rFonts w:cs="Arial"/>
          <w:color w:val="auto"/>
        </w:rPr>
        <w:t>steps to be undertaken during the costing process, to ensure that there is a consistent allocation of cost to activity.</w:t>
      </w:r>
    </w:p>
    <w:p w14:paraId="4837A68A" w14:textId="027F8390" w:rsidR="006C63FF" w:rsidRPr="00CE058E" w:rsidRDefault="006C63FF" w:rsidP="006C63FF">
      <w:pPr>
        <w:spacing w:line="276" w:lineRule="auto"/>
        <w:rPr>
          <w:rFonts w:cs="Arial"/>
          <w:color w:val="auto"/>
        </w:rPr>
      </w:pPr>
      <w:r w:rsidRPr="00CE058E">
        <w:rPr>
          <w:rFonts w:cs="Arial"/>
          <w:color w:val="auto"/>
        </w:rPr>
        <w:t>Refer to the individual chapter methods for admitted acute, admitted subacute and non-acute care, non-admitted, emergency department, admitted mental health, and community mental health for information on the classification</w:t>
      </w:r>
      <w:r w:rsidR="007C6927" w:rsidRPr="00CE058E">
        <w:rPr>
          <w:rFonts w:cs="Arial"/>
          <w:color w:val="auto"/>
        </w:rPr>
        <w:t>s</w:t>
      </w:r>
      <w:r w:rsidRPr="00CE058E">
        <w:rPr>
          <w:rFonts w:cs="Arial"/>
          <w:color w:val="auto"/>
        </w:rPr>
        <w:t xml:space="preserve"> used </w:t>
      </w:r>
      <w:r w:rsidR="007C6927" w:rsidRPr="00CE058E">
        <w:rPr>
          <w:rFonts w:cs="Arial"/>
          <w:color w:val="auto"/>
        </w:rPr>
        <w:t>in</w:t>
      </w:r>
      <w:r w:rsidRPr="00CE058E">
        <w:rPr>
          <w:rFonts w:cs="Arial"/>
          <w:color w:val="auto"/>
        </w:rPr>
        <w:t xml:space="preserve"> this report. Note that admitted episodes that have an episode start date two years before 2021-22 ha</w:t>
      </w:r>
      <w:r w:rsidR="007C6927" w:rsidRPr="00CE058E">
        <w:rPr>
          <w:rFonts w:cs="Arial"/>
          <w:color w:val="auto"/>
        </w:rPr>
        <w:t xml:space="preserve">ve </w:t>
      </w:r>
      <w:r w:rsidRPr="00CE058E">
        <w:rPr>
          <w:rFonts w:cs="Arial"/>
          <w:color w:val="auto"/>
        </w:rPr>
        <w:t>been removed from this report.</w:t>
      </w:r>
    </w:p>
    <w:p w14:paraId="26CD787A" w14:textId="7B792B52" w:rsidR="001118E1" w:rsidRPr="00CE058E" w:rsidRDefault="001118E1" w:rsidP="00A47745">
      <w:pPr>
        <w:pStyle w:val="Heading2"/>
      </w:pPr>
      <w:bookmarkStart w:id="40" w:name="_Toc144215427"/>
      <w:bookmarkStart w:id="41" w:name="_Toc144967627"/>
      <w:bookmarkStart w:id="42" w:name="_Toc151129683"/>
      <w:bookmarkStart w:id="43" w:name="_Toc158882534"/>
      <w:bookmarkStart w:id="44" w:name="_Toc158882595"/>
      <w:bookmarkEnd w:id="35"/>
      <w:bookmarkEnd w:id="36"/>
      <w:r w:rsidRPr="00CE058E">
        <w:t>NHCDC</w:t>
      </w:r>
      <w:r w:rsidR="00B815A1" w:rsidRPr="00CE058E">
        <w:t xml:space="preserve"> and activity-based funding</w:t>
      </w:r>
      <w:r w:rsidR="0010487E" w:rsidRPr="00CE058E">
        <w:t xml:space="preserve"> (ABF)</w:t>
      </w:r>
      <w:r w:rsidR="00B815A1" w:rsidRPr="00CE058E">
        <w:t xml:space="preserve"> data</w:t>
      </w:r>
      <w:bookmarkEnd w:id="40"/>
      <w:bookmarkEnd w:id="41"/>
      <w:bookmarkEnd w:id="42"/>
      <w:bookmarkEnd w:id="43"/>
      <w:bookmarkEnd w:id="44"/>
    </w:p>
    <w:p w14:paraId="3393A40E" w14:textId="727FE29F" w:rsidR="001118E1" w:rsidRPr="00CE058E" w:rsidRDefault="001118E1" w:rsidP="00BC4620">
      <w:pPr>
        <w:spacing w:line="276" w:lineRule="auto"/>
        <w:rPr>
          <w:rFonts w:cs="Arial"/>
          <w:color w:val="auto"/>
        </w:rPr>
      </w:pPr>
      <w:r w:rsidRPr="00CE058E">
        <w:rPr>
          <w:rFonts w:cs="Arial"/>
          <w:color w:val="auto"/>
        </w:rPr>
        <w:t xml:space="preserve">IHACPA receives the following types of episode and phase </w:t>
      </w:r>
      <w:r w:rsidR="00301519" w:rsidRPr="00CE058E">
        <w:rPr>
          <w:rFonts w:cs="Arial"/>
          <w:color w:val="auto"/>
        </w:rPr>
        <w:t xml:space="preserve">level </w:t>
      </w:r>
      <w:r w:rsidRPr="00CE058E">
        <w:rPr>
          <w:rFonts w:cs="Arial"/>
          <w:color w:val="auto"/>
        </w:rPr>
        <w:t>data:</w:t>
      </w:r>
    </w:p>
    <w:p w14:paraId="42098EB8" w14:textId="3EBFD600" w:rsidR="001118E1" w:rsidRPr="00CE058E" w:rsidRDefault="001118E1" w:rsidP="00BC3A93">
      <w:pPr>
        <w:pStyle w:val="ListParagraph"/>
        <w:numPr>
          <w:ilvl w:val="0"/>
          <w:numId w:val="12"/>
        </w:numPr>
        <w:spacing w:line="276" w:lineRule="auto"/>
        <w:rPr>
          <w:rFonts w:cs="Arial"/>
          <w:color w:val="auto"/>
        </w:rPr>
      </w:pPr>
      <w:r w:rsidRPr="00CE058E">
        <w:rPr>
          <w:rFonts w:cs="Arial"/>
          <w:color w:val="auto"/>
        </w:rPr>
        <w:t>Cost data</w:t>
      </w:r>
      <w:r w:rsidR="003B5CE6" w:rsidRPr="00CE058E">
        <w:rPr>
          <w:rFonts w:cs="Arial"/>
          <w:color w:val="auto"/>
        </w:rPr>
        <w:t xml:space="preserve">: </w:t>
      </w:r>
      <w:r w:rsidRPr="00CE058E">
        <w:rPr>
          <w:rFonts w:cs="Arial"/>
          <w:color w:val="auto"/>
        </w:rPr>
        <w:t>contains detailed information about the cost associated with a patient’s episode</w:t>
      </w:r>
      <w:r w:rsidR="00301F51" w:rsidRPr="00CE058E">
        <w:rPr>
          <w:rFonts w:cs="Arial"/>
          <w:color w:val="auto"/>
        </w:rPr>
        <w:t>, which</w:t>
      </w:r>
      <w:r w:rsidR="00301519" w:rsidRPr="00CE058E">
        <w:rPr>
          <w:rFonts w:cs="Arial"/>
          <w:color w:val="auto"/>
        </w:rPr>
        <w:t xml:space="preserve"> is submitted annually.</w:t>
      </w:r>
    </w:p>
    <w:p w14:paraId="03B4F653" w14:textId="58DAE4E9" w:rsidR="001118E1" w:rsidRPr="00CE058E" w:rsidRDefault="001118E1" w:rsidP="00BC4620">
      <w:pPr>
        <w:pStyle w:val="ListParagraph"/>
        <w:numPr>
          <w:ilvl w:val="0"/>
          <w:numId w:val="12"/>
        </w:numPr>
        <w:spacing w:line="276" w:lineRule="auto"/>
        <w:rPr>
          <w:rFonts w:cs="Arial"/>
          <w:color w:val="auto"/>
        </w:rPr>
      </w:pPr>
      <w:r w:rsidRPr="00CE058E">
        <w:rPr>
          <w:rFonts w:cs="Arial"/>
          <w:color w:val="auto"/>
        </w:rPr>
        <w:t>Activity</w:t>
      </w:r>
      <w:r w:rsidR="009816AC" w:rsidRPr="00CE058E">
        <w:rPr>
          <w:rFonts w:cs="Arial"/>
          <w:color w:val="auto"/>
        </w:rPr>
        <w:t>-based funding</w:t>
      </w:r>
      <w:r w:rsidR="0010487E" w:rsidRPr="00CE058E">
        <w:rPr>
          <w:rFonts w:cs="Arial"/>
          <w:color w:val="auto"/>
        </w:rPr>
        <w:t xml:space="preserve"> (ABF)</w:t>
      </w:r>
      <w:r w:rsidRPr="00CE058E">
        <w:rPr>
          <w:rFonts w:cs="Arial"/>
          <w:color w:val="auto"/>
        </w:rPr>
        <w:t xml:space="preserve"> data</w:t>
      </w:r>
      <w:r w:rsidR="003B5CE6" w:rsidRPr="00CE058E">
        <w:rPr>
          <w:rFonts w:cs="Arial"/>
          <w:color w:val="auto"/>
        </w:rPr>
        <w:t>:</w:t>
      </w:r>
      <w:r w:rsidRPr="00CE058E">
        <w:rPr>
          <w:rFonts w:cs="Arial"/>
          <w:color w:val="auto"/>
        </w:rPr>
        <w:t xml:space="preserve"> submitted quarterly in line with data set specifications unique to each activity stream. From these data items, patient episodes are categorised according to </w:t>
      </w:r>
      <w:r w:rsidR="007D3DC4" w:rsidRPr="00CE058E">
        <w:rPr>
          <w:rFonts w:cs="Arial"/>
          <w:color w:val="auto"/>
        </w:rPr>
        <w:t>clinical</w:t>
      </w:r>
      <w:r w:rsidRPr="00CE058E">
        <w:rPr>
          <w:rFonts w:cs="Arial"/>
          <w:color w:val="auto"/>
        </w:rPr>
        <w:t xml:space="preserve"> classifications.</w:t>
      </w:r>
    </w:p>
    <w:p w14:paraId="6F61D79A" w14:textId="12FB31E1" w:rsidR="00037328" w:rsidRPr="00CE058E" w:rsidRDefault="00711FB2" w:rsidP="00C479FD">
      <w:pPr>
        <w:spacing w:line="276" w:lineRule="auto"/>
        <w:rPr>
          <w:rFonts w:cs="Arial"/>
          <w:color w:val="auto"/>
        </w:rPr>
      </w:pPr>
      <w:r w:rsidRPr="00CE058E">
        <w:rPr>
          <w:rFonts w:cs="Arial"/>
          <w:color w:val="auto"/>
        </w:rPr>
        <w:t>IHACPA links cost and activity data to minimise duplication</w:t>
      </w:r>
      <w:r w:rsidR="00301519" w:rsidRPr="00CE058E">
        <w:rPr>
          <w:rFonts w:cs="Arial"/>
          <w:color w:val="auto"/>
        </w:rPr>
        <w:t xml:space="preserve"> of records</w:t>
      </w:r>
      <w:r w:rsidR="002A10B3" w:rsidRPr="00CE058E">
        <w:rPr>
          <w:rFonts w:cs="Arial"/>
          <w:color w:val="auto"/>
        </w:rPr>
        <w:t xml:space="preserve">. </w:t>
      </w:r>
      <w:r w:rsidR="44AD6815" w:rsidRPr="00CE058E">
        <w:rPr>
          <w:rFonts w:cs="Arial"/>
          <w:color w:val="auto"/>
        </w:rPr>
        <w:t>Table 2 shows the linked</w:t>
      </w:r>
      <w:r w:rsidR="001118E1" w:rsidRPr="00CE058E">
        <w:rPr>
          <w:rFonts w:cs="Arial"/>
          <w:color w:val="auto"/>
        </w:rPr>
        <w:t xml:space="preserve"> NHCDC record</w:t>
      </w:r>
      <w:r w:rsidR="001F4434" w:rsidRPr="00CE058E">
        <w:rPr>
          <w:rFonts w:cs="Arial"/>
          <w:color w:val="auto"/>
        </w:rPr>
        <w:t xml:space="preserve">s as a proportion of </w:t>
      </w:r>
      <w:r w:rsidR="00C33282">
        <w:rPr>
          <w:rFonts w:cs="Arial"/>
          <w:color w:val="auto"/>
        </w:rPr>
        <w:t>the</w:t>
      </w:r>
      <w:r w:rsidR="001F4434" w:rsidRPr="00CE058E">
        <w:rPr>
          <w:rFonts w:cs="Arial"/>
          <w:color w:val="auto"/>
        </w:rPr>
        <w:t xml:space="preserve"> submitted</w:t>
      </w:r>
      <w:r w:rsidR="00F62986" w:rsidRPr="00CE058E">
        <w:rPr>
          <w:rFonts w:cs="Arial"/>
          <w:color w:val="auto"/>
        </w:rPr>
        <w:t xml:space="preserve"> NHCDC</w:t>
      </w:r>
      <w:r w:rsidR="001F4434" w:rsidRPr="00CE058E">
        <w:rPr>
          <w:rFonts w:cs="Arial"/>
          <w:color w:val="auto"/>
        </w:rPr>
        <w:t xml:space="preserve"> records and the linked NHCDC records </w:t>
      </w:r>
      <w:r w:rsidR="001F4434" w:rsidRPr="00CE058E">
        <w:rPr>
          <w:rFonts w:cs="Arial"/>
          <w:color w:val="auto"/>
        </w:rPr>
        <w:lastRenderedPageBreak/>
        <w:t xml:space="preserve">as a proportion of </w:t>
      </w:r>
      <w:r w:rsidR="001118E1" w:rsidRPr="00CE058E">
        <w:rPr>
          <w:rFonts w:cs="Arial"/>
          <w:color w:val="auto"/>
        </w:rPr>
        <w:t>activity</w:t>
      </w:r>
      <w:r w:rsidR="00F62986" w:rsidRPr="00CE058E">
        <w:rPr>
          <w:rFonts w:cs="Arial"/>
          <w:color w:val="auto"/>
        </w:rPr>
        <w:t xml:space="preserve"> data</w:t>
      </w:r>
      <w:r w:rsidR="001118E1" w:rsidRPr="00CE058E">
        <w:rPr>
          <w:rFonts w:cs="Arial"/>
          <w:color w:val="auto"/>
        </w:rPr>
        <w:t xml:space="preserve"> </w:t>
      </w:r>
      <w:r w:rsidR="001F4434" w:rsidRPr="00CE058E">
        <w:rPr>
          <w:rFonts w:cs="Arial"/>
          <w:color w:val="auto"/>
        </w:rPr>
        <w:t>by</w:t>
      </w:r>
      <w:r w:rsidR="001118E1" w:rsidRPr="00CE058E">
        <w:rPr>
          <w:rFonts w:cs="Arial"/>
          <w:color w:val="auto"/>
        </w:rPr>
        <w:t xml:space="preserve"> </w:t>
      </w:r>
      <w:bookmarkStart w:id="45" w:name="_Int_tNV21ToE"/>
      <w:r w:rsidR="001118E1" w:rsidRPr="00CE058E">
        <w:rPr>
          <w:rFonts w:cs="Arial"/>
          <w:color w:val="auto"/>
        </w:rPr>
        <w:t>jurisdiction</w:t>
      </w:r>
      <w:bookmarkEnd w:id="45"/>
      <w:r w:rsidR="001118E1" w:rsidRPr="00CE058E">
        <w:rPr>
          <w:rFonts w:cs="Arial"/>
          <w:color w:val="auto"/>
        </w:rPr>
        <w:t xml:space="preserve">. The key findings presented </w:t>
      </w:r>
      <w:r w:rsidR="00F62986" w:rsidRPr="00CE058E">
        <w:rPr>
          <w:rFonts w:cs="Arial"/>
          <w:color w:val="auto"/>
        </w:rPr>
        <w:t xml:space="preserve">in </w:t>
      </w:r>
      <w:r w:rsidR="001118E1" w:rsidRPr="00CE058E">
        <w:rPr>
          <w:rFonts w:cs="Arial"/>
          <w:color w:val="auto"/>
        </w:rPr>
        <w:t xml:space="preserve">this report </w:t>
      </w:r>
      <w:r w:rsidR="00F62986" w:rsidRPr="00CE058E">
        <w:rPr>
          <w:rFonts w:cs="Arial"/>
          <w:color w:val="auto"/>
        </w:rPr>
        <w:t xml:space="preserve">utilise the </w:t>
      </w:r>
      <w:r w:rsidR="001118E1" w:rsidRPr="00CE058E">
        <w:rPr>
          <w:rFonts w:cs="Arial"/>
          <w:color w:val="auto"/>
        </w:rPr>
        <w:t>linked records only.</w:t>
      </w:r>
    </w:p>
    <w:p w14:paraId="1CDC4F90" w14:textId="70DA8F6C" w:rsidR="001118E1" w:rsidRPr="00CE058E" w:rsidRDefault="00524BC6" w:rsidP="00B42434">
      <w:pPr>
        <w:pStyle w:val="TableFigureheading"/>
      </w:pPr>
      <w:bookmarkStart w:id="46" w:name="_Toc149650903"/>
      <w:bookmarkStart w:id="47" w:name="_Toc151370028"/>
      <w:r w:rsidRPr="00CE058E">
        <w:t xml:space="preserve">Table </w:t>
      </w:r>
      <w:r>
        <w:fldChar w:fldCharType="begin"/>
      </w:r>
      <w:r>
        <w:instrText xml:space="preserve"> SEQ Table \* ARABIC </w:instrText>
      </w:r>
      <w:r>
        <w:fldChar w:fldCharType="separate"/>
      </w:r>
      <w:r w:rsidR="00B42434">
        <w:rPr>
          <w:noProof/>
        </w:rPr>
        <w:t>2</w:t>
      </w:r>
      <w:r>
        <w:rPr>
          <w:noProof/>
        </w:rPr>
        <w:fldChar w:fldCharType="end"/>
      </w:r>
      <w:r w:rsidRPr="00CE058E">
        <w:t>: NHCDC linked records to activity, 2021-22</w:t>
      </w:r>
      <w:bookmarkEnd w:id="46"/>
      <w:bookmarkEnd w:id="47"/>
    </w:p>
    <w:tbl>
      <w:tblPr>
        <w:tblStyle w:val="GridTable4-Accent2"/>
        <w:tblW w:w="10627" w:type="dxa"/>
        <w:jc w:val="center"/>
        <w:tblLayout w:type="fixed"/>
        <w:tblLook w:val="04A0" w:firstRow="1" w:lastRow="0" w:firstColumn="1" w:lastColumn="0" w:noHBand="0" w:noVBand="1"/>
      </w:tblPr>
      <w:tblGrid>
        <w:gridCol w:w="1271"/>
        <w:gridCol w:w="1134"/>
        <w:gridCol w:w="1134"/>
        <w:gridCol w:w="1560"/>
        <w:gridCol w:w="1134"/>
        <w:gridCol w:w="1701"/>
        <w:gridCol w:w="1417"/>
        <w:gridCol w:w="1276"/>
      </w:tblGrid>
      <w:tr w:rsidR="00AF1C3F" w:rsidRPr="00CE058E" w14:paraId="63CC4A53" w14:textId="77777777" w:rsidTr="006D07BF">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595C528" w14:textId="4C3900DC" w:rsidR="00EA4F31" w:rsidRPr="00CE058E" w:rsidRDefault="00AF1C3F" w:rsidP="00FD1801">
            <w:pPr>
              <w:jc w:val="center"/>
              <w:rPr>
                <w:rFonts w:cs="Arial"/>
                <w:b w:val="0"/>
                <w:bCs w:val="0"/>
                <w:sz w:val="18"/>
                <w:szCs w:val="18"/>
                <w:lang w:eastAsia="en-AU"/>
              </w:rPr>
            </w:pPr>
            <w:bookmarkStart w:id="48" w:name="_Hlk146798773"/>
            <w:r w:rsidRPr="00CE058E">
              <w:rPr>
                <w:rFonts w:cs="Arial"/>
                <w:color w:val="FFFFFF" w:themeColor="background2"/>
                <w:sz w:val="18"/>
                <w:szCs w:val="18"/>
                <w:lang w:eastAsia="en-AU"/>
              </w:rPr>
              <w:t>Jurisdiction</w:t>
            </w:r>
          </w:p>
        </w:tc>
        <w:tc>
          <w:tcPr>
            <w:tcW w:w="1134" w:type="dxa"/>
            <w:vAlign w:val="center"/>
            <w:hideMark/>
          </w:tcPr>
          <w:p w14:paraId="7DB94780" w14:textId="49B55330" w:rsidR="00EA4F31" w:rsidRPr="00CE058E" w:rsidRDefault="00EA4F31" w:rsidP="00FD1801">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 w:val="18"/>
                <w:szCs w:val="18"/>
                <w:lang w:eastAsia="en-AU"/>
              </w:rPr>
            </w:pPr>
            <w:r w:rsidRPr="00CE058E">
              <w:rPr>
                <w:rFonts w:cs="Arial"/>
                <w:color w:val="FFFFFF"/>
                <w:sz w:val="18"/>
                <w:szCs w:val="18"/>
                <w:lang w:eastAsia="en-AU"/>
              </w:rPr>
              <w:t>NHCDC records</w:t>
            </w:r>
          </w:p>
        </w:tc>
        <w:tc>
          <w:tcPr>
            <w:tcW w:w="1134" w:type="dxa"/>
            <w:vAlign w:val="center"/>
            <w:hideMark/>
          </w:tcPr>
          <w:p w14:paraId="47F8EDA4" w14:textId="4C453918" w:rsidR="00EA4F31" w:rsidRPr="00CE058E" w:rsidRDefault="00C33282" w:rsidP="00FD1801">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 w:val="18"/>
                <w:szCs w:val="18"/>
                <w:lang w:eastAsia="en-AU"/>
              </w:rPr>
            </w:pPr>
            <w:r>
              <w:rPr>
                <w:rFonts w:cs="Arial"/>
                <w:color w:val="FFFFFF"/>
                <w:sz w:val="18"/>
                <w:szCs w:val="18"/>
                <w:lang w:eastAsia="en-AU"/>
              </w:rPr>
              <w:t>C</w:t>
            </w:r>
            <w:r w:rsidR="00EA4F31" w:rsidRPr="00CE058E">
              <w:rPr>
                <w:rFonts w:cs="Arial"/>
                <w:color w:val="FFFFFF"/>
                <w:sz w:val="18"/>
                <w:szCs w:val="18"/>
                <w:lang w:eastAsia="en-AU"/>
              </w:rPr>
              <w:t>ost ($</w:t>
            </w:r>
            <w:r w:rsidR="002F46B1" w:rsidRPr="00CE058E">
              <w:rPr>
                <w:rFonts w:cs="Arial"/>
                <w:color w:val="FFFFFF"/>
                <w:sz w:val="18"/>
                <w:szCs w:val="18"/>
                <w:lang w:eastAsia="en-AU"/>
              </w:rPr>
              <w:t>m</w:t>
            </w:r>
            <w:r w:rsidR="00EA4F31" w:rsidRPr="00CE058E">
              <w:rPr>
                <w:rFonts w:cs="Arial"/>
                <w:color w:val="FFFFFF"/>
                <w:sz w:val="18"/>
                <w:szCs w:val="18"/>
                <w:lang w:eastAsia="en-AU"/>
              </w:rPr>
              <w:t>)</w:t>
            </w:r>
          </w:p>
        </w:tc>
        <w:tc>
          <w:tcPr>
            <w:tcW w:w="1560" w:type="dxa"/>
            <w:vAlign w:val="center"/>
            <w:hideMark/>
          </w:tcPr>
          <w:p w14:paraId="33C17509" w14:textId="4AA5AA93" w:rsidR="00EA4F31" w:rsidRPr="00CE058E" w:rsidRDefault="00930984" w:rsidP="00FD1801">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 w:val="18"/>
                <w:szCs w:val="18"/>
                <w:lang w:eastAsia="en-AU"/>
              </w:rPr>
            </w:pPr>
            <w:r w:rsidRPr="00CE058E">
              <w:rPr>
                <w:rFonts w:cs="Arial"/>
                <w:color w:val="FFFFFF"/>
                <w:sz w:val="18"/>
                <w:szCs w:val="18"/>
                <w:lang w:eastAsia="en-AU"/>
              </w:rPr>
              <w:t>Linked NHCDC records</w:t>
            </w:r>
          </w:p>
        </w:tc>
        <w:tc>
          <w:tcPr>
            <w:tcW w:w="1134" w:type="dxa"/>
            <w:vAlign w:val="center"/>
            <w:hideMark/>
          </w:tcPr>
          <w:p w14:paraId="1FB3A68D" w14:textId="77203D61" w:rsidR="00EA4F31" w:rsidRPr="00CE058E" w:rsidRDefault="00930984" w:rsidP="00FD1801">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 w:val="18"/>
                <w:szCs w:val="18"/>
                <w:lang w:eastAsia="en-AU"/>
              </w:rPr>
            </w:pPr>
            <w:r w:rsidRPr="00CE058E">
              <w:rPr>
                <w:rFonts w:cs="Arial"/>
                <w:color w:val="FFFFFF"/>
                <w:sz w:val="18"/>
                <w:szCs w:val="18"/>
                <w:lang w:eastAsia="en-AU"/>
              </w:rPr>
              <w:t>Linked</w:t>
            </w:r>
            <w:r w:rsidR="00EA4F31" w:rsidRPr="00CE058E">
              <w:rPr>
                <w:rFonts w:cs="Arial"/>
                <w:color w:val="FFFFFF"/>
                <w:sz w:val="18"/>
                <w:szCs w:val="18"/>
                <w:lang w:eastAsia="en-AU"/>
              </w:rPr>
              <w:t xml:space="preserve"> cost ($</w:t>
            </w:r>
            <w:r w:rsidR="002F46B1" w:rsidRPr="00CE058E">
              <w:rPr>
                <w:rFonts w:cs="Arial"/>
                <w:color w:val="FFFFFF"/>
                <w:sz w:val="18"/>
                <w:szCs w:val="18"/>
                <w:lang w:eastAsia="en-AU"/>
              </w:rPr>
              <w:t>m</w:t>
            </w:r>
            <w:r w:rsidR="00EA4F31" w:rsidRPr="00CE058E">
              <w:rPr>
                <w:rFonts w:cs="Arial"/>
                <w:color w:val="FFFFFF"/>
                <w:sz w:val="18"/>
                <w:szCs w:val="18"/>
                <w:lang w:eastAsia="en-AU"/>
              </w:rPr>
              <w:t>)</w:t>
            </w:r>
          </w:p>
        </w:tc>
        <w:tc>
          <w:tcPr>
            <w:tcW w:w="1701" w:type="dxa"/>
            <w:vAlign w:val="center"/>
            <w:hideMark/>
          </w:tcPr>
          <w:p w14:paraId="4A091F40" w14:textId="17DFC477" w:rsidR="00EA4F31" w:rsidRPr="00CE058E" w:rsidRDefault="00F3237C" w:rsidP="00FD1801">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 w:val="18"/>
                <w:szCs w:val="18"/>
                <w:lang w:eastAsia="en-AU"/>
              </w:rPr>
            </w:pPr>
            <w:r w:rsidRPr="00CE058E">
              <w:rPr>
                <w:rFonts w:cs="Arial"/>
                <w:color w:val="FFFFFF"/>
                <w:sz w:val="18"/>
                <w:szCs w:val="18"/>
                <w:lang w:eastAsia="en-AU"/>
              </w:rPr>
              <w:t>Linked records p</w:t>
            </w:r>
            <w:r w:rsidR="00930984" w:rsidRPr="00CE058E">
              <w:rPr>
                <w:rFonts w:cs="Arial"/>
                <w:color w:val="FFFFFF"/>
                <w:sz w:val="18"/>
                <w:szCs w:val="18"/>
                <w:lang w:eastAsia="en-AU"/>
              </w:rPr>
              <w:t>roportion</w:t>
            </w:r>
            <w:r w:rsidR="009E27CC" w:rsidRPr="00CE058E">
              <w:rPr>
                <w:rFonts w:cs="Arial"/>
                <w:color w:val="FFFFFF"/>
                <w:sz w:val="18"/>
                <w:szCs w:val="18"/>
                <w:lang w:eastAsia="en-AU"/>
              </w:rPr>
              <w:t xml:space="preserve"> (%)</w:t>
            </w:r>
          </w:p>
        </w:tc>
        <w:tc>
          <w:tcPr>
            <w:tcW w:w="1417" w:type="dxa"/>
            <w:vAlign w:val="center"/>
            <w:hideMark/>
          </w:tcPr>
          <w:p w14:paraId="5B00C4A6" w14:textId="16AC33B3" w:rsidR="00EA4F31" w:rsidRPr="00CE058E" w:rsidRDefault="00C33282" w:rsidP="00FD1801">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 w:val="18"/>
                <w:szCs w:val="18"/>
                <w:lang w:eastAsia="en-AU"/>
              </w:rPr>
            </w:pPr>
            <w:r>
              <w:rPr>
                <w:rFonts w:cs="Arial"/>
                <w:color w:val="FFFFFF"/>
                <w:sz w:val="18"/>
                <w:szCs w:val="18"/>
                <w:lang w:eastAsia="en-AU"/>
              </w:rPr>
              <w:t>A</w:t>
            </w:r>
            <w:r w:rsidR="00EA4F31" w:rsidRPr="00CE058E">
              <w:rPr>
                <w:rFonts w:cs="Arial"/>
                <w:color w:val="FFFFFF"/>
                <w:sz w:val="18"/>
                <w:szCs w:val="18"/>
                <w:lang w:eastAsia="en-AU"/>
              </w:rPr>
              <w:t>ctivity</w:t>
            </w:r>
          </w:p>
        </w:tc>
        <w:tc>
          <w:tcPr>
            <w:tcW w:w="1276" w:type="dxa"/>
            <w:vAlign w:val="center"/>
            <w:hideMark/>
          </w:tcPr>
          <w:p w14:paraId="4784EB72" w14:textId="529B81D5" w:rsidR="00EA4F31" w:rsidRPr="00CE058E" w:rsidRDefault="00930984" w:rsidP="00FD1801">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 w:val="18"/>
                <w:szCs w:val="18"/>
                <w:lang w:eastAsia="en-AU"/>
              </w:rPr>
            </w:pPr>
            <w:r w:rsidRPr="00CE058E">
              <w:rPr>
                <w:rFonts w:cs="Arial"/>
                <w:color w:val="FFFFFF"/>
                <w:sz w:val="18"/>
                <w:szCs w:val="18"/>
                <w:lang w:eastAsia="en-AU"/>
              </w:rPr>
              <w:t xml:space="preserve">Proportion of </w:t>
            </w:r>
            <w:r w:rsidR="002F46B1" w:rsidRPr="00CE058E">
              <w:rPr>
                <w:rFonts w:cs="Arial"/>
                <w:color w:val="FFFFFF"/>
                <w:sz w:val="18"/>
                <w:szCs w:val="18"/>
                <w:lang w:eastAsia="en-AU"/>
              </w:rPr>
              <w:t xml:space="preserve">linked </w:t>
            </w:r>
            <w:r w:rsidR="009E27CC" w:rsidRPr="00CE058E">
              <w:rPr>
                <w:rFonts w:cs="Arial"/>
                <w:color w:val="FFFFFF"/>
                <w:sz w:val="18"/>
                <w:szCs w:val="18"/>
                <w:lang w:eastAsia="en-AU"/>
              </w:rPr>
              <w:t>activity</w:t>
            </w:r>
            <w:r w:rsidR="00EA4F31" w:rsidRPr="00CE058E">
              <w:rPr>
                <w:rFonts w:cs="Arial"/>
                <w:color w:val="FFFFFF"/>
                <w:sz w:val="18"/>
                <w:szCs w:val="18"/>
                <w:lang w:eastAsia="en-AU"/>
              </w:rPr>
              <w:t xml:space="preserve"> (%)</w:t>
            </w:r>
          </w:p>
        </w:tc>
      </w:tr>
      <w:tr w:rsidR="002F46B1" w:rsidRPr="00CE058E" w14:paraId="31591C95" w14:textId="77777777" w:rsidTr="006D07B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05B8F4DD" w14:textId="3E7CC32D" w:rsidR="002F46B1" w:rsidRPr="00CE058E" w:rsidRDefault="002F46B1" w:rsidP="002F46B1">
            <w:pPr>
              <w:jc w:val="center"/>
              <w:rPr>
                <w:rFonts w:cs="Arial"/>
                <w:b w:val="0"/>
                <w:bCs w:val="0"/>
                <w:color w:val="auto"/>
                <w:sz w:val="18"/>
                <w:szCs w:val="18"/>
                <w:lang w:eastAsia="en-AU"/>
              </w:rPr>
            </w:pPr>
            <w:bookmarkStart w:id="49" w:name="_Toc146808673"/>
            <w:r w:rsidRPr="00CE058E">
              <w:rPr>
                <w:rFonts w:cs="Arial"/>
                <w:color w:val="auto"/>
                <w:sz w:val="18"/>
                <w:szCs w:val="18"/>
                <w:lang w:eastAsia="en-AU"/>
              </w:rPr>
              <w:t>NSW</w:t>
            </w:r>
            <w:bookmarkEnd w:id="49"/>
          </w:p>
        </w:tc>
        <w:tc>
          <w:tcPr>
            <w:tcW w:w="1134" w:type="dxa"/>
            <w:vAlign w:val="center"/>
            <w:hideMark/>
          </w:tcPr>
          <w:p w14:paraId="23968306" w14:textId="59FD2316"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50" w:name="_Toc146808674"/>
            <w:r w:rsidRPr="00CE058E">
              <w:rPr>
                <w:rFonts w:cs="Arial"/>
                <w:bCs/>
                <w:color w:val="auto"/>
                <w:sz w:val="18"/>
                <w:szCs w:val="18"/>
                <w:lang w:eastAsia="en-AU"/>
              </w:rPr>
              <w:t>14,</w:t>
            </w:r>
            <w:bookmarkEnd w:id="50"/>
            <w:r w:rsidR="0055304F" w:rsidRPr="00CE058E">
              <w:rPr>
                <w:rFonts w:cs="Arial"/>
                <w:bCs/>
                <w:color w:val="auto"/>
                <w:sz w:val="18"/>
                <w:szCs w:val="18"/>
                <w:lang w:eastAsia="en-AU"/>
              </w:rPr>
              <w:t>164,904</w:t>
            </w:r>
          </w:p>
        </w:tc>
        <w:tc>
          <w:tcPr>
            <w:tcW w:w="1134" w:type="dxa"/>
          </w:tcPr>
          <w:p w14:paraId="602D549F" w14:textId="10F76BA5"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Cs/>
                <w:color w:val="auto"/>
                <w:sz w:val="18"/>
                <w:szCs w:val="18"/>
                <w:lang w:eastAsia="en-AU"/>
              </w:rPr>
            </w:pPr>
            <w:bookmarkStart w:id="51" w:name="_Toc146808675"/>
            <w:r w:rsidRPr="00CE058E">
              <w:rPr>
                <w:rFonts w:cs="Arial"/>
                <w:bCs/>
                <w:color w:val="auto"/>
                <w:sz w:val="18"/>
                <w:szCs w:val="18"/>
                <w:lang w:eastAsia="en-AU"/>
              </w:rPr>
              <w:t xml:space="preserve"> 17,</w:t>
            </w:r>
            <w:bookmarkEnd w:id="51"/>
            <w:r w:rsidR="0055304F" w:rsidRPr="00CE058E">
              <w:rPr>
                <w:rFonts w:cs="Arial"/>
                <w:bCs/>
                <w:color w:val="auto"/>
                <w:sz w:val="18"/>
                <w:szCs w:val="18"/>
                <w:lang w:eastAsia="en-AU"/>
              </w:rPr>
              <w:t xml:space="preserve">740 </w:t>
            </w:r>
          </w:p>
        </w:tc>
        <w:tc>
          <w:tcPr>
            <w:tcW w:w="1560" w:type="dxa"/>
            <w:vAlign w:val="center"/>
            <w:hideMark/>
          </w:tcPr>
          <w:p w14:paraId="461430A0" w14:textId="6D2DABF4"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52" w:name="_Toc146808676"/>
            <w:r w:rsidRPr="00CE058E">
              <w:rPr>
                <w:rFonts w:cs="Arial"/>
                <w:bCs/>
                <w:color w:val="auto"/>
                <w:sz w:val="18"/>
                <w:szCs w:val="18"/>
                <w:lang w:eastAsia="en-AU"/>
              </w:rPr>
              <w:t>14,</w:t>
            </w:r>
            <w:bookmarkEnd w:id="52"/>
            <w:r w:rsidR="0055304F" w:rsidRPr="00CE058E">
              <w:rPr>
                <w:rFonts w:cs="Arial"/>
                <w:bCs/>
                <w:color w:val="auto"/>
                <w:sz w:val="18"/>
                <w:szCs w:val="18"/>
                <w:lang w:eastAsia="en-AU"/>
              </w:rPr>
              <w:t>164,606</w:t>
            </w:r>
          </w:p>
        </w:tc>
        <w:tc>
          <w:tcPr>
            <w:tcW w:w="1134" w:type="dxa"/>
          </w:tcPr>
          <w:p w14:paraId="0F9A544D" w14:textId="5AE88A56"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Cs/>
                <w:color w:val="auto"/>
                <w:sz w:val="18"/>
                <w:szCs w:val="18"/>
                <w:lang w:eastAsia="en-AU"/>
              </w:rPr>
            </w:pPr>
            <w:bookmarkStart w:id="53" w:name="_Toc146808677"/>
            <w:r w:rsidRPr="00CE058E">
              <w:rPr>
                <w:rFonts w:cs="Arial"/>
                <w:bCs/>
                <w:color w:val="auto"/>
                <w:sz w:val="18"/>
                <w:szCs w:val="18"/>
                <w:lang w:eastAsia="en-AU"/>
              </w:rPr>
              <w:t xml:space="preserve"> 17,</w:t>
            </w:r>
            <w:bookmarkEnd w:id="53"/>
            <w:r w:rsidR="0055304F" w:rsidRPr="00CE058E">
              <w:rPr>
                <w:rFonts w:cs="Arial"/>
                <w:bCs/>
                <w:color w:val="auto"/>
                <w:sz w:val="18"/>
                <w:szCs w:val="18"/>
                <w:lang w:eastAsia="en-AU"/>
              </w:rPr>
              <w:t xml:space="preserve">740 </w:t>
            </w:r>
          </w:p>
        </w:tc>
        <w:tc>
          <w:tcPr>
            <w:tcW w:w="1701" w:type="dxa"/>
            <w:vAlign w:val="center"/>
            <w:hideMark/>
          </w:tcPr>
          <w:p w14:paraId="2EA0D036" w14:textId="32228C6F"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54" w:name="_Toc146808678"/>
            <w:r w:rsidRPr="00CE058E">
              <w:rPr>
                <w:rFonts w:cs="Arial"/>
                <w:bCs/>
                <w:color w:val="auto"/>
                <w:sz w:val="18"/>
                <w:szCs w:val="18"/>
                <w:lang w:eastAsia="en-AU"/>
              </w:rPr>
              <w:t>100</w:t>
            </w:r>
            <w:bookmarkEnd w:id="54"/>
          </w:p>
        </w:tc>
        <w:tc>
          <w:tcPr>
            <w:tcW w:w="1417" w:type="dxa"/>
            <w:vAlign w:val="center"/>
            <w:hideMark/>
          </w:tcPr>
          <w:p w14:paraId="6A6070F8" w14:textId="77777777"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55" w:name="_Toc146808679"/>
            <w:r w:rsidRPr="00CE058E">
              <w:rPr>
                <w:rFonts w:cs="Arial"/>
                <w:bCs/>
                <w:color w:val="auto"/>
                <w:sz w:val="18"/>
                <w:szCs w:val="18"/>
                <w:lang w:eastAsia="en-AU"/>
              </w:rPr>
              <w:t>20,946,136</w:t>
            </w:r>
            <w:bookmarkEnd w:id="55"/>
          </w:p>
        </w:tc>
        <w:tc>
          <w:tcPr>
            <w:tcW w:w="1276" w:type="dxa"/>
            <w:vAlign w:val="center"/>
            <w:hideMark/>
          </w:tcPr>
          <w:p w14:paraId="10DAD3A1" w14:textId="6D1808F0"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56" w:name="_Toc146808680"/>
            <w:r w:rsidRPr="00CE058E">
              <w:rPr>
                <w:rFonts w:cs="Arial"/>
                <w:bCs/>
                <w:color w:val="auto"/>
                <w:sz w:val="18"/>
                <w:szCs w:val="18"/>
                <w:lang w:eastAsia="en-AU"/>
              </w:rPr>
              <w:t>6</w:t>
            </w:r>
            <w:r w:rsidR="002546F4" w:rsidRPr="00CE058E">
              <w:rPr>
                <w:rFonts w:cs="Arial"/>
                <w:bCs/>
                <w:color w:val="auto"/>
                <w:sz w:val="18"/>
                <w:szCs w:val="18"/>
                <w:lang w:eastAsia="en-AU"/>
              </w:rPr>
              <w:t>8</w:t>
            </w:r>
            <w:bookmarkEnd w:id="56"/>
          </w:p>
        </w:tc>
      </w:tr>
      <w:tr w:rsidR="002F46B1" w:rsidRPr="00CE058E" w14:paraId="0897F7EF" w14:textId="77777777" w:rsidTr="006D07BF">
        <w:trPr>
          <w:trHeight w:val="60"/>
          <w:jc w:val="center"/>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90D3E47" w14:textId="279EB594" w:rsidR="002F46B1" w:rsidRPr="00CE058E" w:rsidRDefault="002F46B1" w:rsidP="002F46B1">
            <w:pPr>
              <w:jc w:val="center"/>
              <w:rPr>
                <w:rFonts w:cs="Arial"/>
                <w:b w:val="0"/>
                <w:bCs w:val="0"/>
                <w:color w:val="auto"/>
                <w:sz w:val="18"/>
                <w:szCs w:val="18"/>
                <w:lang w:eastAsia="en-AU"/>
              </w:rPr>
            </w:pPr>
            <w:bookmarkStart w:id="57" w:name="_Toc146808681"/>
            <w:r w:rsidRPr="00CE058E">
              <w:rPr>
                <w:rFonts w:cs="Arial"/>
                <w:color w:val="auto"/>
                <w:sz w:val="18"/>
                <w:szCs w:val="18"/>
                <w:lang w:eastAsia="en-AU"/>
              </w:rPr>
              <w:t>Vic</w:t>
            </w:r>
            <w:bookmarkEnd w:id="57"/>
          </w:p>
        </w:tc>
        <w:tc>
          <w:tcPr>
            <w:tcW w:w="1134" w:type="dxa"/>
            <w:vAlign w:val="center"/>
            <w:hideMark/>
          </w:tcPr>
          <w:p w14:paraId="7C1AFD09" w14:textId="77777777"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58" w:name="_Toc146808682"/>
            <w:r w:rsidRPr="00CE058E">
              <w:rPr>
                <w:rFonts w:cs="Arial"/>
                <w:bCs/>
                <w:color w:val="auto"/>
                <w:sz w:val="18"/>
                <w:szCs w:val="18"/>
                <w:lang w:eastAsia="en-AU"/>
              </w:rPr>
              <w:t>9,425,187</w:t>
            </w:r>
            <w:bookmarkEnd w:id="58"/>
          </w:p>
        </w:tc>
        <w:tc>
          <w:tcPr>
            <w:tcW w:w="1134" w:type="dxa"/>
          </w:tcPr>
          <w:p w14:paraId="326A3AE8" w14:textId="5EA6B632"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Cs/>
                <w:color w:val="auto"/>
                <w:sz w:val="18"/>
                <w:szCs w:val="18"/>
                <w:lang w:eastAsia="en-AU"/>
              </w:rPr>
            </w:pPr>
            <w:bookmarkStart w:id="59" w:name="_Toc146808683"/>
            <w:r w:rsidRPr="00CE058E">
              <w:rPr>
                <w:rFonts w:cs="Arial"/>
                <w:bCs/>
                <w:color w:val="auto"/>
                <w:sz w:val="18"/>
                <w:szCs w:val="18"/>
                <w:lang w:eastAsia="en-AU"/>
              </w:rPr>
              <w:t xml:space="preserve"> 15,226 </w:t>
            </w:r>
            <w:bookmarkEnd w:id="59"/>
          </w:p>
        </w:tc>
        <w:tc>
          <w:tcPr>
            <w:tcW w:w="1560" w:type="dxa"/>
            <w:vAlign w:val="center"/>
            <w:hideMark/>
          </w:tcPr>
          <w:p w14:paraId="30629AD8" w14:textId="77777777"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60" w:name="_Toc146808684"/>
            <w:r w:rsidRPr="00CE058E">
              <w:rPr>
                <w:rFonts w:cs="Arial"/>
                <w:bCs/>
                <w:color w:val="auto"/>
                <w:sz w:val="18"/>
                <w:szCs w:val="18"/>
                <w:lang w:eastAsia="en-AU"/>
              </w:rPr>
              <w:t>8,727,944</w:t>
            </w:r>
            <w:bookmarkEnd w:id="60"/>
          </w:p>
        </w:tc>
        <w:tc>
          <w:tcPr>
            <w:tcW w:w="1134" w:type="dxa"/>
          </w:tcPr>
          <w:p w14:paraId="51DB0BA9" w14:textId="4FB46550"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Cs/>
                <w:color w:val="auto"/>
                <w:sz w:val="18"/>
                <w:szCs w:val="18"/>
                <w:lang w:eastAsia="en-AU"/>
              </w:rPr>
            </w:pPr>
            <w:bookmarkStart w:id="61" w:name="_Toc146808685"/>
            <w:r w:rsidRPr="00CE058E">
              <w:rPr>
                <w:rFonts w:cs="Arial"/>
                <w:bCs/>
                <w:color w:val="auto"/>
                <w:sz w:val="18"/>
                <w:szCs w:val="18"/>
                <w:lang w:eastAsia="en-AU"/>
              </w:rPr>
              <w:t xml:space="preserve"> 14,961 </w:t>
            </w:r>
            <w:bookmarkEnd w:id="61"/>
          </w:p>
        </w:tc>
        <w:tc>
          <w:tcPr>
            <w:tcW w:w="1701" w:type="dxa"/>
            <w:vAlign w:val="center"/>
            <w:hideMark/>
          </w:tcPr>
          <w:p w14:paraId="5B5B3F44" w14:textId="0EA8B67A"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62" w:name="_Toc146808686"/>
            <w:r w:rsidRPr="00CE058E">
              <w:rPr>
                <w:rFonts w:cs="Arial"/>
                <w:bCs/>
                <w:color w:val="auto"/>
                <w:sz w:val="18"/>
                <w:szCs w:val="18"/>
                <w:lang w:eastAsia="en-AU"/>
              </w:rPr>
              <w:t>93</w:t>
            </w:r>
            <w:bookmarkEnd w:id="62"/>
          </w:p>
        </w:tc>
        <w:tc>
          <w:tcPr>
            <w:tcW w:w="1417" w:type="dxa"/>
            <w:vAlign w:val="center"/>
            <w:hideMark/>
          </w:tcPr>
          <w:p w14:paraId="5696EA9E" w14:textId="77777777"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63" w:name="_Toc146808687"/>
            <w:r w:rsidRPr="00CE058E">
              <w:rPr>
                <w:rFonts w:cs="Arial"/>
                <w:bCs/>
                <w:color w:val="auto"/>
                <w:sz w:val="18"/>
                <w:szCs w:val="18"/>
                <w:lang w:eastAsia="en-AU"/>
              </w:rPr>
              <w:t>10,670,652</w:t>
            </w:r>
            <w:bookmarkEnd w:id="63"/>
          </w:p>
        </w:tc>
        <w:tc>
          <w:tcPr>
            <w:tcW w:w="1276" w:type="dxa"/>
            <w:vAlign w:val="center"/>
            <w:hideMark/>
          </w:tcPr>
          <w:p w14:paraId="76B3A435" w14:textId="796D1346"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64" w:name="_Toc146808688"/>
            <w:r w:rsidRPr="00CE058E">
              <w:rPr>
                <w:rFonts w:cs="Arial"/>
                <w:bCs/>
                <w:color w:val="auto"/>
                <w:sz w:val="18"/>
                <w:szCs w:val="18"/>
                <w:lang w:eastAsia="en-AU"/>
              </w:rPr>
              <w:t>82</w:t>
            </w:r>
            <w:bookmarkEnd w:id="64"/>
          </w:p>
        </w:tc>
      </w:tr>
      <w:tr w:rsidR="002F46B1" w:rsidRPr="00CE058E" w14:paraId="7CDD3E58" w14:textId="77777777" w:rsidTr="006D07B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3DA53F8F" w14:textId="2CC67DAB" w:rsidR="002F46B1" w:rsidRPr="00CE058E" w:rsidRDefault="002F46B1" w:rsidP="002F46B1">
            <w:pPr>
              <w:jc w:val="center"/>
              <w:rPr>
                <w:rFonts w:cs="Arial"/>
                <w:b w:val="0"/>
                <w:bCs w:val="0"/>
                <w:color w:val="auto"/>
                <w:sz w:val="18"/>
                <w:szCs w:val="18"/>
                <w:lang w:eastAsia="en-AU"/>
              </w:rPr>
            </w:pPr>
            <w:bookmarkStart w:id="65" w:name="_Toc146808689"/>
            <w:r w:rsidRPr="00CE058E">
              <w:rPr>
                <w:rFonts w:cs="Arial"/>
                <w:color w:val="auto"/>
                <w:sz w:val="18"/>
                <w:szCs w:val="18"/>
                <w:lang w:eastAsia="en-AU"/>
              </w:rPr>
              <w:t>Qld</w:t>
            </w:r>
            <w:bookmarkEnd w:id="65"/>
          </w:p>
        </w:tc>
        <w:tc>
          <w:tcPr>
            <w:tcW w:w="1134" w:type="dxa"/>
            <w:vAlign w:val="center"/>
            <w:hideMark/>
          </w:tcPr>
          <w:p w14:paraId="07841A88" w14:textId="77777777"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66" w:name="_Toc146808690"/>
            <w:r w:rsidRPr="00CE058E">
              <w:rPr>
                <w:rFonts w:cs="Arial"/>
                <w:bCs/>
                <w:color w:val="auto"/>
                <w:sz w:val="18"/>
                <w:szCs w:val="18"/>
                <w:lang w:eastAsia="en-AU"/>
              </w:rPr>
              <w:t>12,590,900</w:t>
            </w:r>
            <w:bookmarkEnd w:id="66"/>
          </w:p>
        </w:tc>
        <w:tc>
          <w:tcPr>
            <w:tcW w:w="1134" w:type="dxa"/>
          </w:tcPr>
          <w:p w14:paraId="71FA951E" w14:textId="5CEEBF79"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Cs/>
                <w:color w:val="auto"/>
                <w:sz w:val="18"/>
                <w:szCs w:val="18"/>
                <w:lang w:eastAsia="en-AU"/>
              </w:rPr>
            </w:pPr>
            <w:bookmarkStart w:id="67" w:name="_Toc146808691"/>
            <w:r w:rsidRPr="00CE058E">
              <w:rPr>
                <w:rFonts w:cs="Arial"/>
                <w:bCs/>
                <w:color w:val="auto"/>
                <w:sz w:val="18"/>
                <w:szCs w:val="18"/>
                <w:lang w:eastAsia="en-AU"/>
              </w:rPr>
              <w:t xml:space="preserve"> 13,964 </w:t>
            </w:r>
            <w:bookmarkEnd w:id="67"/>
          </w:p>
        </w:tc>
        <w:tc>
          <w:tcPr>
            <w:tcW w:w="1560" w:type="dxa"/>
            <w:vAlign w:val="center"/>
            <w:hideMark/>
          </w:tcPr>
          <w:p w14:paraId="35378534" w14:textId="77777777"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68" w:name="_Toc146808692"/>
            <w:r w:rsidRPr="00CE058E">
              <w:rPr>
                <w:rFonts w:cs="Arial"/>
                <w:bCs/>
                <w:color w:val="auto"/>
                <w:sz w:val="18"/>
                <w:szCs w:val="18"/>
                <w:lang w:eastAsia="en-AU"/>
              </w:rPr>
              <w:t>12,585,401</w:t>
            </w:r>
            <w:bookmarkEnd w:id="68"/>
          </w:p>
        </w:tc>
        <w:tc>
          <w:tcPr>
            <w:tcW w:w="1134" w:type="dxa"/>
          </w:tcPr>
          <w:p w14:paraId="2DFDE58C" w14:textId="51A4DC3A"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Cs/>
                <w:color w:val="auto"/>
                <w:sz w:val="18"/>
                <w:szCs w:val="18"/>
                <w:lang w:eastAsia="en-AU"/>
              </w:rPr>
            </w:pPr>
            <w:bookmarkStart w:id="69" w:name="_Toc146808693"/>
            <w:r w:rsidRPr="00CE058E">
              <w:rPr>
                <w:rFonts w:cs="Arial"/>
                <w:bCs/>
                <w:color w:val="auto"/>
                <w:sz w:val="18"/>
                <w:szCs w:val="18"/>
                <w:lang w:eastAsia="en-AU"/>
              </w:rPr>
              <w:t xml:space="preserve"> 13,955 </w:t>
            </w:r>
            <w:bookmarkEnd w:id="69"/>
          </w:p>
        </w:tc>
        <w:tc>
          <w:tcPr>
            <w:tcW w:w="1701" w:type="dxa"/>
            <w:vAlign w:val="center"/>
            <w:hideMark/>
          </w:tcPr>
          <w:p w14:paraId="005BF48B" w14:textId="68896408"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70" w:name="_Toc146808694"/>
            <w:r w:rsidRPr="00CE058E">
              <w:rPr>
                <w:rFonts w:cs="Arial"/>
                <w:bCs/>
                <w:color w:val="auto"/>
                <w:sz w:val="18"/>
                <w:szCs w:val="18"/>
                <w:lang w:eastAsia="en-AU"/>
              </w:rPr>
              <w:t>100</w:t>
            </w:r>
            <w:bookmarkEnd w:id="70"/>
          </w:p>
        </w:tc>
        <w:tc>
          <w:tcPr>
            <w:tcW w:w="1417" w:type="dxa"/>
            <w:vAlign w:val="center"/>
            <w:hideMark/>
          </w:tcPr>
          <w:p w14:paraId="62C13350" w14:textId="77777777"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71" w:name="_Toc146808695"/>
            <w:r w:rsidRPr="00CE058E">
              <w:rPr>
                <w:rFonts w:cs="Arial"/>
                <w:bCs/>
                <w:color w:val="auto"/>
                <w:sz w:val="18"/>
                <w:szCs w:val="18"/>
                <w:lang w:eastAsia="en-AU"/>
              </w:rPr>
              <w:t>16,011,423</w:t>
            </w:r>
            <w:bookmarkEnd w:id="71"/>
          </w:p>
        </w:tc>
        <w:tc>
          <w:tcPr>
            <w:tcW w:w="1276" w:type="dxa"/>
            <w:vAlign w:val="center"/>
            <w:hideMark/>
          </w:tcPr>
          <w:p w14:paraId="28DA7475" w14:textId="79CF6DA1"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72" w:name="_Toc146808696"/>
            <w:r w:rsidRPr="00CE058E">
              <w:rPr>
                <w:rFonts w:cs="Arial"/>
                <w:bCs/>
                <w:color w:val="auto"/>
                <w:sz w:val="18"/>
                <w:szCs w:val="18"/>
                <w:lang w:eastAsia="en-AU"/>
              </w:rPr>
              <w:t>79</w:t>
            </w:r>
            <w:bookmarkEnd w:id="72"/>
          </w:p>
        </w:tc>
      </w:tr>
      <w:tr w:rsidR="002F46B1" w:rsidRPr="00CE058E" w14:paraId="46332F5D" w14:textId="77777777" w:rsidTr="006D07BF">
        <w:trPr>
          <w:trHeight w:val="60"/>
          <w:jc w:val="center"/>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DE73A81" w14:textId="54765F45" w:rsidR="002F46B1" w:rsidRPr="00CE058E" w:rsidRDefault="002F46B1" w:rsidP="002F46B1">
            <w:pPr>
              <w:jc w:val="center"/>
              <w:rPr>
                <w:rFonts w:cs="Arial"/>
                <w:b w:val="0"/>
                <w:bCs w:val="0"/>
                <w:color w:val="auto"/>
                <w:sz w:val="18"/>
                <w:szCs w:val="18"/>
                <w:lang w:eastAsia="en-AU"/>
              </w:rPr>
            </w:pPr>
            <w:bookmarkStart w:id="73" w:name="_Toc146808697"/>
            <w:r w:rsidRPr="00CE058E">
              <w:rPr>
                <w:rFonts w:cs="Arial"/>
                <w:color w:val="auto"/>
                <w:sz w:val="18"/>
                <w:szCs w:val="18"/>
                <w:lang w:eastAsia="en-AU"/>
              </w:rPr>
              <w:t>SA</w:t>
            </w:r>
            <w:bookmarkEnd w:id="73"/>
          </w:p>
        </w:tc>
        <w:tc>
          <w:tcPr>
            <w:tcW w:w="1134" w:type="dxa"/>
            <w:vAlign w:val="center"/>
            <w:hideMark/>
          </w:tcPr>
          <w:p w14:paraId="0ABC4128" w14:textId="77777777"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74" w:name="_Toc146808698"/>
            <w:r w:rsidRPr="00CE058E">
              <w:rPr>
                <w:rFonts w:cs="Arial"/>
                <w:bCs/>
                <w:color w:val="auto"/>
                <w:sz w:val="18"/>
                <w:szCs w:val="18"/>
                <w:lang w:eastAsia="en-AU"/>
              </w:rPr>
              <w:t>4,641,692</w:t>
            </w:r>
            <w:bookmarkEnd w:id="74"/>
          </w:p>
        </w:tc>
        <w:tc>
          <w:tcPr>
            <w:tcW w:w="1134" w:type="dxa"/>
          </w:tcPr>
          <w:p w14:paraId="731C4A49" w14:textId="0618259D"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Cs/>
                <w:color w:val="auto"/>
                <w:sz w:val="18"/>
                <w:szCs w:val="18"/>
                <w:lang w:eastAsia="en-AU"/>
              </w:rPr>
            </w:pPr>
            <w:bookmarkStart w:id="75" w:name="_Toc146808699"/>
            <w:r w:rsidRPr="00CE058E">
              <w:rPr>
                <w:rFonts w:cs="Arial"/>
                <w:bCs/>
                <w:color w:val="auto"/>
                <w:sz w:val="18"/>
                <w:szCs w:val="18"/>
                <w:lang w:eastAsia="en-AU"/>
              </w:rPr>
              <w:t xml:space="preserve"> 4,810 </w:t>
            </w:r>
            <w:bookmarkEnd w:id="75"/>
          </w:p>
        </w:tc>
        <w:tc>
          <w:tcPr>
            <w:tcW w:w="1560" w:type="dxa"/>
            <w:vAlign w:val="center"/>
            <w:hideMark/>
          </w:tcPr>
          <w:p w14:paraId="1F5AB98C" w14:textId="77777777"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76" w:name="_Toc146808700"/>
            <w:r w:rsidRPr="00CE058E">
              <w:rPr>
                <w:rFonts w:cs="Arial"/>
                <w:bCs/>
                <w:color w:val="auto"/>
                <w:sz w:val="18"/>
                <w:szCs w:val="18"/>
                <w:lang w:eastAsia="en-AU"/>
              </w:rPr>
              <w:t>4,539,453</w:t>
            </w:r>
            <w:bookmarkEnd w:id="76"/>
          </w:p>
        </w:tc>
        <w:tc>
          <w:tcPr>
            <w:tcW w:w="1134" w:type="dxa"/>
          </w:tcPr>
          <w:p w14:paraId="768D0067" w14:textId="3F2FB66D"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Cs/>
                <w:color w:val="auto"/>
                <w:sz w:val="18"/>
                <w:szCs w:val="18"/>
                <w:lang w:eastAsia="en-AU"/>
              </w:rPr>
            </w:pPr>
            <w:bookmarkStart w:id="77" w:name="_Toc146808701"/>
            <w:r w:rsidRPr="00CE058E">
              <w:rPr>
                <w:rFonts w:cs="Arial"/>
                <w:bCs/>
                <w:color w:val="auto"/>
                <w:sz w:val="18"/>
                <w:szCs w:val="18"/>
                <w:lang w:eastAsia="en-AU"/>
              </w:rPr>
              <w:t xml:space="preserve"> 4,706 </w:t>
            </w:r>
            <w:bookmarkEnd w:id="77"/>
          </w:p>
        </w:tc>
        <w:tc>
          <w:tcPr>
            <w:tcW w:w="1701" w:type="dxa"/>
            <w:vAlign w:val="center"/>
            <w:hideMark/>
          </w:tcPr>
          <w:p w14:paraId="1A5579BD" w14:textId="25ADBAD1"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78" w:name="_Toc146808702"/>
            <w:r w:rsidRPr="00CE058E">
              <w:rPr>
                <w:rFonts w:cs="Arial"/>
                <w:bCs/>
                <w:color w:val="auto"/>
                <w:sz w:val="18"/>
                <w:szCs w:val="18"/>
                <w:lang w:eastAsia="en-AU"/>
              </w:rPr>
              <w:t>98</w:t>
            </w:r>
            <w:bookmarkEnd w:id="78"/>
          </w:p>
        </w:tc>
        <w:tc>
          <w:tcPr>
            <w:tcW w:w="1417" w:type="dxa"/>
            <w:vAlign w:val="center"/>
            <w:hideMark/>
          </w:tcPr>
          <w:p w14:paraId="5C2C071F" w14:textId="77777777"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79" w:name="_Toc146808703"/>
            <w:r w:rsidRPr="00CE058E">
              <w:rPr>
                <w:rFonts w:cs="Arial"/>
                <w:bCs/>
                <w:color w:val="auto"/>
                <w:sz w:val="18"/>
                <w:szCs w:val="18"/>
                <w:lang w:eastAsia="en-AU"/>
              </w:rPr>
              <w:t>4,955,825</w:t>
            </w:r>
            <w:bookmarkEnd w:id="79"/>
          </w:p>
        </w:tc>
        <w:tc>
          <w:tcPr>
            <w:tcW w:w="1276" w:type="dxa"/>
            <w:vAlign w:val="center"/>
            <w:hideMark/>
          </w:tcPr>
          <w:p w14:paraId="201A2AB2" w14:textId="14E4AB2F"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80" w:name="_Toc146808704"/>
            <w:r w:rsidRPr="00CE058E">
              <w:rPr>
                <w:rFonts w:cs="Arial"/>
                <w:bCs/>
                <w:color w:val="auto"/>
                <w:sz w:val="18"/>
                <w:szCs w:val="18"/>
                <w:lang w:eastAsia="en-AU"/>
              </w:rPr>
              <w:t>92</w:t>
            </w:r>
            <w:bookmarkEnd w:id="80"/>
          </w:p>
        </w:tc>
      </w:tr>
      <w:tr w:rsidR="002F46B1" w:rsidRPr="00CE058E" w14:paraId="72706480" w14:textId="77777777" w:rsidTr="006D07B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30C79BBA" w14:textId="757FEBD0" w:rsidR="002F46B1" w:rsidRPr="00CE058E" w:rsidRDefault="002F46B1" w:rsidP="002F46B1">
            <w:pPr>
              <w:jc w:val="center"/>
              <w:rPr>
                <w:rFonts w:cs="Arial"/>
                <w:b w:val="0"/>
                <w:bCs w:val="0"/>
                <w:color w:val="auto"/>
                <w:sz w:val="18"/>
                <w:szCs w:val="18"/>
                <w:lang w:eastAsia="en-AU"/>
              </w:rPr>
            </w:pPr>
            <w:bookmarkStart w:id="81" w:name="_Toc146808705"/>
            <w:r w:rsidRPr="00CE058E">
              <w:rPr>
                <w:rFonts w:cs="Arial"/>
                <w:color w:val="auto"/>
                <w:sz w:val="18"/>
                <w:szCs w:val="18"/>
                <w:lang w:eastAsia="en-AU"/>
              </w:rPr>
              <w:t>WA</w:t>
            </w:r>
            <w:bookmarkEnd w:id="81"/>
          </w:p>
        </w:tc>
        <w:tc>
          <w:tcPr>
            <w:tcW w:w="1134" w:type="dxa"/>
            <w:vAlign w:val="center"/>
            <w:hideMark/>
          </w:tcPr>
          <w:p w14:paraId="74AE064F" w14:textId="77777777"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82" w:name="_Toc146808706"/>
            <w:r w:rsidRPr="00CE058E">
              <w:rPr>
                <w:rFonts w:cs="Arial"/>
                <w:bCs/>
                <w:color w:val="auto"/>
                <w:sz w:val="18"/>
                <w:szCs w:val="18"/>
                <w:lang w:eastAsia="en-AU"/>
              </w:rPr>
              <w:t>4,690,163</w:t>
            </w:r>
            <w:bookmarkEnd w:id="82"/>
          </w:p>
        </w:tc>
        <w:tc>
          <w:tcPr>
            <w:tcW w:w="1134" w:type="dxa"/>
          </w:tcPr>
          <w:p w14:paraId="5334F970" w14:textId="6A1D19C1"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Cs/>
                <w:color w:val="auto"/>
                <w:sz w:val="18"/>
                <w:szCs w:val="18"/>
                <w:lang w:eastAsia="en-AU"/>
              </w:rPr>
            </w:pPr>
            <w:bookmarkStart w:id="83" w:name="_Toc146808707"/>
            <w:r w:rsidRPr="00CE058E">
              <w:rPr>
                <w:rFonts w:cs="Arial"/>
                <w:bCs/>
                <w:color w:val="auto"/>
                <w:sz w:val="18"/>
                <w:szCs w:val="18"/>
                <w:lang w:eastAsia="en-AU"/>
              </w:rPr>
              <w:t xml:space="preserve"> 6,399 </w:t>
            </w:r>
            <w:bookmarkEnd w:id="83"/>
          </w:p>
        </w:tc>
        <w:tc>
          <w:tcPr>
            <w:tcW w:w="1560" w:type="dxa"/>
            <w:vAlign w:val="center"/>
            <w:hideMark/>
          </w:tcPr>
          <w:p w14:paraId="32521787" w14:textId="77777777"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84" w:name="_Toc146808708"/>
            <w:r w:rsidRPr="00CE058E">
              <w:rPr>
                <w:rFonts w:cs="Arial"/>
                <w:bCs/>
                <w:color w:val="auto"/>
                <w:sz w:val="18"/>
                <w:szCs w:val="18"/>
                <w:lang w:eastAsia="en-AU"/>
              </w:rPr>
              <w:t>4,207,282</w:t>
            </w:r>
            <w:bookmarkEnd w:id="84"/>
          </w:p>
        </w:tc>
        <w:tc>
          <w:tcPr>
            <w:tcW w:w="1134" w:type="dxa"/>
          </w:tcPr>
          <w:p w14:paraId="125D67B8" w14:textId="2901B033"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Cs/>
                <w:color w:val="auto"/>
                <w:sz w:val="18"/>
                <w:szCs w:val="18"/>
                <w:lang w:eastAsia="en-AU"/>
              </w:rPr>
            </w:pPr>
            <w:bookmarkStart w:id="85" w:name="_Toc146808709"/>
            <w:r w:rsidRPr="00CE058E">
              <w:rPr>
                <w:rFonts w:cs="Arial"/>
                <w:bCs/>
                <w:color w:val="auto"/>
                <w:sz w:val="18"/>
                <w:szCs w:val="18"/>
                <w:lang w:eastAsia="en-AU"/>
              </w:rPr>
              <w:t xml:space="preserve"> 6,275 </w:t>
            </w:r>
            <w:bookmarkEnd w:id="85"/>
          </w:p>
        </w:tc>
        <w:tc>
          <w:tcPr>
            <w:tcW w:w="1701" w:type="dxa"/>
            <w:vAlign w:val="center"/>
            <w:hideMark/>
          </w:tcPr>
          <w:p w14:paraId="2460B0DF" w14:textId="2387F9F3"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86" w:name="_Toc146808710"/>
            <w:r w:rsidRPr="00CE058E">
              <w:rPr>
                <w:rFonts w:cs="Arial"/>
                <w:bCs/>
                <w:color w:val="auto"/>
                <w:sz w:val="18"/>
                <w:szCs w:val="18"/>
                <w:lang w:eastAsia="en-AU"/>
              </w:rPr>
              <w:t>90</w:t>
            </w:r>
            <w:bookmarkEnd w:id="86"/>
          </w:p>
        </w:tc>
        <w:tc>
          <w:tcPr>
            <w:tcW w:w="1417" w:type="dxa"/>
            <w:vAlign w:val="center"/>
            <w:hideMark/>
          </w:tcPr>
          <w:p w14:paraId="2C6E293D" w14:textId="77777777"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87" w:name="_Toc146808711"/>
            <w:r w:rsidRPr="00CE058E">
              <w:rPr>
                <w:rFonts w:cs="Arial"/>
                <w:bCs/>
                <w:color w:val="auto"/>
                <w:sz w:val="18"/>
                <w:szCs w:val="18"/>
                <w:lang w:eastAsia="en-AU"/>
              </w:rPr>
              <w:t>5,068,646</w:t>
            </w:r>
            <w:bookmarkEnd w:id="87"/>
          </w:p>
        </w:tc>
        <w:tc>
          <w:tcPr>
            <w:tcW w:w="1276" w:type="dxa"/>
            <w:vAlign w:val="center"/>
            <w:hideMark/>
          </w:tcPr>
          <w:p w14:paraId="1930D4EA" w14:textId="328CAAE2"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88" w:name="_Toc146808712"/>
            <w:r w:rsidRPr="00CE058E">
              <w:rPr>
                <w:rFonts w:cs="Arial"/>
                <w:bCs/>
                <w:color w:val="auto"/>
                <w:sz w:val="18"/>
                <w:szCs w:val="18"/>
                <w:lang w:eastAsia="en-AU"/>
              </w:rPr>
              <w:t>83</w:t>
            </w:r>
            <w:bookmarkEnd w:id="88"/>
          </w:p>
        </w:tc>
      </w:tr>
      <w:tr w:rsidR="002F46B1" w:rsidRPr="00CE058E" w14:paraId="0C37C760" w14:textId="77777777" w:rsidTr="006D07BF">
        <w:trPr>
          <w:trHeight w:val="60"/>
          <w:jc w:val="center"/>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618046F" w14:textId="59845E24" w:rsidR="002F46B1" w:rsidRPr="00CE058E" w:rsidRDefault="002F46B1" w:rsidP="002F46B1">
            <w:pPr>
              <w:jc w:val="center"/>
              <w:rPr>
                <w:rFonts w:cs="Arial"/>
                <w:b w:val="0"/>
                <w:bCs w:val="0"/>
                <w:color w:val="auto"/>
                <w:sz w:val="18"/>
                <w:szCs w:val="18"/>
                <w:lang w:eastAsia="en-AU"/>
              </w:rPr>
            </w:pPr>
            <w:bookmarkStart w:id="89" w:name="_Toc146808713"/>
            <w:r w:rsidRPr="00CE058E">
              <w:rPr>
                <w:rFonts w:cs="Arial"/>
                <w:color w:val="auto"/>
                <w:sz w:val="18"/>
                <w:szCs w:val="18"/>
                <w:lang w:eastAsia="en-AU"/>
              </w:rPr>
              <w:t>Tas</w:t>
            </w:r>
            <w:bookmarkEnd w:id="89"/>
          </w:p>
        </w:tc>
        <w:tc>
          <w:tcPr>
            <w:tcW w:w="1134" w:type="dxa"/>
            <w:vAlign w:val="center"/>
            <w:hideMark/>
          </w:tcPr>
          <w:p w14:paraId="326EC47B" w14:textId="77777777"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90" w:name="_Toc146808714"/>
            <w:r w:rsidRPr="00CE058E">
              <w:rPr>
                <w:rFonts w:cs="Arial"/>
                <w:bCs/>
                <w:color w:val="auto"/>
                <w:sz w:val="18"/>
                <w:szCs w:val="18"/>
                <w:lang w:eastAsia="en-AU"/>
              </w:rPr>
              <w:t>1,211,056</w:t>
            </w:r>
            <w:bookmarkEnd w:id="90"/>
          </w:p>
        </w:tc>
        <w:tc>
          <w:tcPr>
            <w:tcW w:w="1134" w:type="dxa"/>
          </w:tcPr>
          <w:p w14:paraId="5E7483D4" w14:textId="41B4037C"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Cs/>
                <w:color w:val="auto"/>
                <w:sz w:val="18"/>
                <w:szCs w:val="18"/>
                <w:lang w:eastAsia="en-AU"/>
              </w:rPr>
            </w:pPr>
            <w:bookmarkStart w:id="91" w:name="_Toc146808715"/>
            <w:r w:rsidRPr="00CE058E">
              <w:rPr>
                <w:rFonts w:cs="Arial"/>
                <w:bCs/>
                <w:color w:val="auto"/>
                <w:sz w:val="18"/>
                <w:szCs w:val="18"/>
                <w:lang w:eastAsia="en-AU"/>
              </w:rPr>
              <w:t xml:space="preserve"> 1,668 </w:t>
            </w:r>
            <w:bookmarkEnd w:id="91"/>
          </w:p>
        </w:tc>
        <w:tc>
          <w:tcPr>
            <w:tcW w:w="1560" w:type="dxa"/>
            <w:vAlign w:val="center"/>
            <w:hideMark/>
          </w:tcPr>
          <w:p w14:paraId="36F235BE" w14:textId="77777777"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92" w:name="_Toc146808716"/>
            <w:r w:rsidRPr="00CE058E">
              <w:rPr>
                <w:rFonts w:cs="Arial"/>
                <w:bCs/>
                <w:color w:val="auto"/>
                <w:sz w:val="18"/>
                <w:szCs w:val="18"/>
                <w:lang w:eastAsia="en-AU"/>
              </w:rPr>
              <w:t>1,177,628</w:t>
            </w:r>
            <w:bookmarkEnd w:id="92"/>
          </w:p>
        </w:tc>
        <w:tc>
          <w:tcPr>
            <w:tcW w:w="1134" w:type="dxa"/>
          </w:tcPr>
          <w:p w14:paraId="05049464" w14:textId="10E5CD54"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Cs/>
                <w:color w:val="auto"/>
                <w:sz w:val="18"/>
                <w:szCs w:val="18"/>
                <w:lang w:eastAsia="en-AU"/>
              </w:rPr>
            </w:pPr>
            <w:bookmarkStart w:id="93" w:name="_Toc146808717"/>
            <w:r w:rsidRPr="00CE058E">
              <w:rPr>
                <w:rFonts w:cs="Arial"/>
                <w:bCs/>
                <w:color w:val="auto"/>
                <w:sz w:val="18"/>
                <w:szCs w:val="18"/>
                <w:lang w:eastAsia="en-AU"/>
              </w:rPr>
              <w:t xml:space="preserve"> 1,618 </w:t>
            </w:r>
            <w:bookmarkEnd w:id="93"/>
          </w:p>
        </w:tc>
        <w:tc>
          <w:tcPr>
            <w:tcW w:w="1701" w:type="dxa"/>
            <w:vAlign w:val="center"/>
            <w:hideMark/>
          </w:tcPr>
          <w:p w14:paraId="1BBD760E" w14:textId="461C7434"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94" w:name="_Toc146808718"/>
            <w:r w:rsidRPr="00CE058E">
              <w:rPr>
                <w:rFonts w:cs="Arial"/>
                <w:bCs/>
                <w:color w:val="auto"/>
                <w:sz w:val="18"/>
                <w:szCs w:val="18"/>
                <w:lang w:eastAsia="en-AU"/>
              </w:rPr>
              <w:t>97</w:t>
            </w:r>
            <w:bookmarkEnd w:id="94"/>
          </w:p>
        </w:tc>
        <w:tc>
          <w:tcPr>
            <w:tcW w:w="1417" w:type="dxa"/>
            <w:vAlign w:val="center"/>
            <w:hideMark/>
          </w:tcPr>
          <w:p w14:paraId="4E66B3A1" w14:textId="77777777"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95" w:name="_Toc146808719"/>
            <w:r w:rsidRPr="00CE058E">
              <w:rPr>
                <w:rFonts w:cs="Arial"/>
                <w:bCs/>
                <w:color w:val="auto"/>
                <w:sz w:val="18"/>
                <w:szCs w:val="18"/>
                <w:lang w:eastAsia="en-AU"/>
              </w:rPr>
              <w:t>1,749,706</w:t>
            </w:r>
            <w:bookmarkEnd w:id="95"/>
          </w:p>
        </w:tc>
        <w:tc>
          <w:tcPr>
            <w:tcW w:w="1276" w:type="dxa"/>
            <w:vAlign w:val="center"/>
            <w:hideMark/>
          </w:tcPr>
          <w:p w14:paraId="5505F856" w14:textId="4CA2C2A9"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96" w:name="_Toc146808720"/>
            <w:r w:rsidRPr="00CE058E">
              <w:rPr>
                <w:rFonts w:cs="Arial"/>
                <w:bCs/>
                <w:color w:val="auto"/>
                <w:sz w:val="18"/>
                <w:szCs w:val="18"/>
                <w:lang w:eastAsia="en-AU"/>
              </w:rPr>
              <w:t>67</w:t>
            </w:r>
            <w:bookmarkEnd w:id="96"/>
          </w:p>
        </w:tc>
      </w:tr>
      <w:tr w:rsidR="002F46B1" w:rsidRPr="00CE058E" w14:paraId="772F555D" w14:textId="77777777" w:rsidTr="006D07B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7730F8F2" w14:textId="1BFFC08F" w:rsidR="002F46B1" w:rsidRPr="00CE058E" w:rsidRDefault="002F46B1" w:rsidP="002F46B1">
            <w:pPr>
              <w:jc w:val="center"/>
              <w:rPr>
                <w:rFonts w:cs="Arial"/>
                <w:b w:val="0"/>
                <w:bCs w:val="0"/>
                <w:color w:val="auto"/>
                <w:sz w:val="18"/>
                <w:szCs w:val="18"/>
                <w:lang w:eastAsia="en-AU"/>
              </w:rPr>
            </w:pPr>
            <w:bookmarkStart w:id="97" w:name="_Toc146808721"/>
            <w:r w:rsidRPr="00CE058E">
              <w:rPr>
                <w:rFonts w:cs="Arial"/>
                <w:color w:val="auto"/>
                <w:sz w:val="18"/>
                <w:szCs w:val="18"/>
                <w:lang w:eastAsia="en-AU"/>
              </w:rPr>
              <w:t>NT</w:t>
            </w:r>
            <w:bookmarkEnd w:id="97"/>
          </w:p>
        </w:tc>
        <w:tc>
          <w:tcPr>
            <w:tcW w:w="1134" w:type="dxa"/>
            <w:vAlign w:val="center"/>
            <w:hideMark/>
          </w:tcPr>
          <w:p w14:paraId="2CCB49E9" w14:textId="77777777"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98" w:name="_Toc146808722"/>
            <w:r w:rsidRPr="00CE058E">
              <w:rPr>
                <w:rFonts w:cs="Arial"/>
                <w:bCs/>
                <w:color w:val="auto"/>
                <w:sz w:val="18"/>
                <w:szCs w:val="18"/>
                <w:lang w:eastAsia="en-AU"/>
              </w:rPr>
              <w:t>650,842</w:t>
            </w:r>
            <w:bookmarkEnd w:id="98"/>
          </w:p>
        </w:tc>
        <w:tc>
          <w:tcPr>
            <w:tcW w:w="1134" w:type="dxa"/>
          </w:tcPr>
          <w:p w14:paraId="0DDF3C00" w14:textId="514AEF38"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Cs/>
                <w:color w:val="auto"/>
                <w:sz w:val="18"/>
                <w:szCs w:val="18"/>
                <w:lang w:eastAsia="en-AU"/>
              </w:rPr>
            </w:pPr>
            <w:bookmarkStart w:id="99" w:name="_Toc146808723"/>
            <w:r w:rsidRPr="00CE058E">
              <w:rPr>
                <w:rFonts w:cs="Arial"/>
                <w:bCs/>
                <w:color w:val="auto"/>
                <w:sz w:val="18"/>
                <w:szCs w:val="18"/>
                <w:lang w:eastAsia="en-AU"/>
              </w:rPr>
              <w:t xml:space="preserve"> 1,240 </w:t>
            </w:r>
            <w:bookmarkEnd w:id="99"/>
          </w:p>
        </w:tc>
        <w:tc>
          <w:tcPr>
            <w:tcW w:w="1560" w:type="dxa"/>
            <w:vAlign w:val="center"/>
            <w:hideMark/>
          </w:tcPr>
          <w:p w14:paraId="480D82FF" w14:textId="77777777"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100" w:name="_Toc146808724"/>
            <w:r w:rsidRPr="00CE058E">
              <w:rPr>
                <w:rFonts w:cs="Arial"/>
                <w:bCs/>
                <w:color w:val="auto"/>
                <w:sz w:val="18"/>
                <w:szCs w:val="18"/>
                <w:lang w:eastAsia="en-AU"/>
              </w:rPr>
              <w:t>650,746</w:t>
            </w:r>
            <w:bookmarkEnd w:id="100"/>
          </w:p>
        </w:tc>
        <w:tc>
          <w:tcPr>
            <w:tcW w:w="1134" w:type="dxa"/>
          </w:tcPr>
          <w:p w14:paraId="496756EA" w14:textId="0DD42B5C"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Cs/>
                <w:color w:val="auto"/>
                <w:sz w:val="18"/>
                <w:szCs w:val="18"/>
                <w:lang w:eastAsia="en-AU"/>
              </w:rPr>
            </w:pPr>
            <w:bookmarkStart w:id="101" w:name="_Toc146808725"/>
            <w:r w:rsidRPr="00CE058E">
              <w:rPr>
                <w:rFonts w:cs="Arial"/>
                <w:bCs/>
                <w:color w:val="auto"/>
                <w:sz w:val="18"/>
                <w:szCs w:val="18"/>
                <w:lang w:eastAsia="en-AU"/>
              </w:rPr>
              <w:t xml:space="preserve"> 1,196 </w:t>
            </w:r>
            <w:bookmarkEnd w:id="101"/>
          </w:p>
        </w:tc>
        <w:tc>
          <w:tcPr>
            <w:tcW w:w="1701" w:type="dxa"/>
            <w:vAlign w:val="center"/>
            <w:hideMark/>
          </w:tcPr>
          <w:p w14:paraId="1C7E2687" w14:textId="1B12AA15"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102" w:name="_Toc146808726"/>
            <w:r w:rsidRPr="00CE058E">
              <w:rPr>
                <w:rFonts w:cs="Arial"/>
                <w:bCs/>
                <w:color w:val="auto"/>
                <w:sz w:val="18"/>
                <w:szCs w:val="18"/>
                <w:lang w:eastAsia="en-AU"/>
              </w:rPr>
              <w:t>100</w:t>
            </w:r>
            <w:bookmarkEnd w:id="102"/>
          </w:p>
        </w:tc>
        <w:tc>
          <w:tcPr>
            <w:tcW w:w="1417" w:type="dxa"/>
            <w:vAlign w:val="center"/>
            <w:hideMark/>
          </w:tcPr>
          <w:p w14:paraId="2E98C284" w14:textId="77777777"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103" w:name="_Toc146808727"/>
            <w:r w:rsidRPr="00CE058E">
              <w:rPr>
                <w:rFonts w:cs="Arial"/>
                <w:bCs/>
                <w:color w:val="auto"/>
                <w:sz w:val="18"/>
                <w:szCs w:val="18"/>
                <w:lang w:eastAsia="en-AU"/>
              </w:rPr>
              <w:t>942,067</w:t>
            </w:r>
            <w:bookmarkEnd w:id="103"/>
          </w:p>
        </w:tc>
        <w:tc>
          <w:tcPr>
            <w:tcW w:w="1276" w:type="dxa"/>
            <w:vAlign w:val="center"/>
            <w:hideMark/>
          </w:tcPr>
          <w:p w14:paraId="356B01A5" w14:textId="3613B58E"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8"/>
                <w:szCs w:val="18"/>
                <w:lang w:eastAsia="en-AU"/>
              </w:rPr>
            </w:pPr>
            <w:bookmarkStart w:id="104" w:name="_Toc146808728"/>
            <w:r w:rsidRPr="00CE058E">
              <w:rPr>
                <w:rFonts w:cs="Arial"/>
                <w:bCs/>
                <w:color w:val="auto"/>
                <w:sz w:val="18"/>
                <w:szCs w:val="18"/>
                <w:lang w:eastAsia="en-AU"/>
              </w:rPr>
              <w:t>69</w:t>
            </w:r>
            <w:bookmarkEnd w:id="104"/>
          </w:p>
        </w:tc>
      </w:tr>
      <w:tr w:rsidR="002F46B1" w:rsidRPr="00CE058E" w14:paraId="081A5747" w14:textId="77777777" w:rsidTr="006D07BF">
        <w:trPr>
          <w:trHeight w:val="60"/>
          <w:jc w:val="center"/>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37E8E26C" w14:textId="45206723" w:rsidR="002F46B1" w:rsidRPr="00CE058E" w:rsidRDefault="002F46B1" w:rsidP="002F46B1">
            <w:pPr>
              <w:jc w:val="center"/>
              <w:rPr>
                <w:rFonts w:cs="Arial"/>
                <w:b w:val="0"/>
                <w:bCs w:val="0"/>
                <w:color w:val="auto"/>
                <w:sz w:val="18"/>
                <w:szCs w:val="18"/>
                <w:lang w:eastAsia="en-AU"/>
              </w:rPr>
            </w:pPr>
            <w:bookmarkStart w:id="105" w:name="_Toc146808729"/>
            <w:r w:rsidRPr="00CE058E">
              <w:rPr>
                <w:rFonts w:cs="Arial"/>
                <w:color w:val="auto"/>
                <w:sz w:val="18"/>
                <w:szCs w:val="18"/>
                <w:lang w:eastAsia="en-AU"/>
              </w:rPr>
              <w:t>ACT</w:t>
            </w:r>
            <w:bookmarkEnd w:id="105"/>
          </w:p>
        </w:tc>
        <w:tc>
          <w:tcPr>
            <w:tcW w:w="1134" w:type="dxa"/>
            <w:vAlign w:val="center"/>
            <w:hideMark/>
          </w:tcPr>
          <w:p w14:paraId="7C4307CC" w14:textId="77777777"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106" w:name="_Toc146808730"/>
            <w:r w:rsidRPr="00CE058E">
              <w:rPr>
                <w:rFonts w:cs="Arial"/>
                <w:bCs/>
                <w:color w:val="auto"/>
                <w:sz w:val="18"/>
                <w:szCs w:val="18"/>
                <w:lang w:eastAsia="en-AU"/>
              </w:rPr>
              <w:t>1,950,250</w:t>
            </w:r>
            <w:bookmarkEnd w:id="106"/>
          </w:p>
        </w:tc>
        <w:tc>
          <w:tcPr>
            <w:tcW w:w="1134" w:type="dxa"/>
          </w:tcPr>
          <w:p w14:paraId="328F10A6" w14:textId="2AE6E9C1"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Cs/>
                <w:color w:val="auto"/>
                <w:sz w:val="18"/>
                <w:szCs w:val="18"/>
                <w:lang w:eastAsia="en-AU"/>
              </w:rPr>
            </w:pPr>
            <w:bookmarkStart w:id="107" w:name="_Toc146808731"/>
            <w:r w:rsidRPr="00CE058E">
              <w:rPr>
                <w:rFonts w:cs="Arial"/>
                <w:bCs/>
                <w:color w:val="auto"/>
                <w:sz w:val="18"/>
                <w:szCs w:val="18"/>
                <w:lang w:eastAsia="en-AU"/>
              </w:rPr>
              <w:t xml:space="preserve"> 1,480 </w:t>
            </w:r>
            <w:bookmarkEnd w:id="107"/>
          </w:p>
        </w:tc>
        <w:tc>
          <w:tcPr>
            <w:tcW w:w="1560" w:type="dxa"/>
            <w:vAlign w:val="center"/>
            <w:hideMark/>
          </w:tcPr>
          <w:p w14:paraId="357E8DBE" w14:textId="77777777"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108" w:name="_Toc146808732"/>
            <w:r w:rsidRPr="00CE058E">
              <w:rPr>
                <w:rFonts w:cs="Arial"/>
                <w:bCs/>
                <w:color w:val="auto"/>
                <w:sz w:val="18"/>
                <w:szCs w:val="18"/>
                <w:lang w:eastAsia="en-AU"/>
              </w:rPr>
              <w:t>1,948,810</w:t>
            </w:r>
            <w:bookmarkEnd w:id="108"/>
          </w:p>
        </w:tc>
        <w:tc>
          <w:tcPr>
            <w:tcW w:w="1134" w:type="dxa"/>
          </w:tcPr>
          <w:p w14:paraId="531078E8" w14:textId="4A4D7E33"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Cs/>
                <w:color w:val="auto"/>
                <w:sz w:val="18"/>
                <w:szCs w:val="18"/>
                <w:lang w:eastAsia="en-AU"/>
              </w:rPr>
            </w:pPr>
            <w:bookmarkStart w:id="109" w:name="_Toc146808733"/>
            <w:r w:rsidRPr="00CE058E">
              <w:rPr>
                <w:rFonts w:cs="Arial"/>
                <w:bCs/>
                <w:color w:val="auto"/>
                <w:sz w:val="18"/>
                <w:szCs w:val="18"/>
                <w:lang w:eastAsia="en-AU"/>
              </w:rPr>
              <w:t xml:space="preserve"> 1,479 </w:t>
            </w:r>
            <w:bookmarkEnd w:id="109"/>
          </w:p>
        </w:tc>
        <w:tc>
          <w:tcPr>
            <w:tcW w:w="1701" w:type="dxa"/>
            <w:vAlign w:val="center"/>
            <w:hideMark/>
          </w:tcPr>
          <w:p w14:paraId="39FB2FAD" w14:textId="2D28DED4"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110" w:name="_Toc146808734"/>
            <w:r w:rsidRPr="00CE058E">
              <w:rPr>
                <w:rFonts w:cs="Arial"/>
                <w:bCs/>
                <w:color w:val="auto"/>
                <w:sz w:val="18"/>
                <w:szCs w:val="18"/>
                <w:lang w:eastAsia="en-AU"/>
              </w:rPr>
              <w:t>100</w:t>
            </w:r>
            <w:bookmarkEnd w:id="110"/>
          </w:p>
        </w:tc>
        <w:tc>
          <w:tcPr>
            <w:tcW w:w="1417" w:type="dxa"/>
            <w:vAlign w:val="center"/>
            <w:hideMark/>
          </w:tcPr>
          <w:p w14:paraId="7460E00D" w14:textId="77777777"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111" w:name="_Toc146808735"/>
            <w:r w:rsidRPr="00CE058E">
              <w:rPr>
                <w:rFonts w:cs="Arial"/>
                <w:bCs/>
                <w:color w:val="auto"/>
                <w:sz w:val="18"/>
                <w:szCs w:val="18"/>
                <w:lang w:eastAsia="en-AU"/>
              </w:rPr>
              <w:t>2,007,572</w:t>
            </w:r>
            <w:bookmarkEnd w:id="111"/>
          </w:p>
        </w:tc>
        <w:tc>
          <w:tcPr>
            <w:tcW w:w="1276" w:type="dxa"/>
            <w:vAlign w:val="center"/>
            <w:hideMark/>
          </w:tcPr>
          <w:p w14:paraId="43805B9E" w14:textId="13F9477B" w:rsidR="002F46B1" w:rsidRPr="00CE058E" w:rsidRDefault="002F46B1" w:rsidP="002F46B1">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lang w:eastAsia="en-AU"/>
              </w:rPr>
            </w:pPr>
            <w:bookmarkStart w:id="112" w:name="_Toc146808736"/>
            <w:r w:rsidRPr="00CE058E">
              <w:rPr>
                <w:rFonts w:cs="Arial"/>
                <w:bCs/>
                <w:color w:val="auto"/>
                <w:sz w:val="18"/>
                <w:szCs w:val="18"/>
                <w:lang w:eastAsia="en-AU"/>
              </w:rPr>
              <w:t>97</w:t>
            </w:r>
            <w:bookmarkEnd w:id="112"/>
          </w:p>
        </w:tc>
      </w:tr>
      <w:tr w:rsidR="002F46B1" w:rsidRPr="00CE058E" w14:paraId="4A116331" w14:textId="77777777" w:rsidTr="006D07BF">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0A8C7D26" w14:textId="23CE3C82" w:rsidR="002F46B1" w:rsidRPr="00CE058E" w:rsidRDefault="002F46B1" w:rsidP="002F46B1">
            <w:pPr>
              <w:jc w:val="center"/>
              <w:rPr>
                <w:rFonts w:cs="Arial"/>
                <w:b w:val="0"/>
                <w:color w:val="auto"/>
                <w:sz w:val="18"/>
                <w:szCs w:val="18"/>
                <w:lang w:eastAsia="en-AU"/>
              </w:rPr>
            </w:pPr>
            <w:bookmarkStart w:id="113" w:name="_Toc146808737"/>
            <w:r w:rsidRPr="00CE058E">
              <w:rPr>
                <w:rFonts w:cs="Arial"/>
                <w:color w:val="auto"/>
                <w:sz w:val="18"/>
                <w:szCs w:val="18"/>
                <w:lang w:eastAsia="en-AU"/>
              </w:rPr>
              <w:t>National</w:t>
            </w:r>
            <w:bookmarkEnd w:id="113"/>
          </w:p>
        </w:tc>
        <w:tc>
          <w:tcPr>
            <w:tcW w:w="1134" w:type="dxa"/>
            <w:vAlign w:val="center"/>
            <w:hideMark/>
          </w:tcPr>
          <w:p w14:paraId="4AA9C3A4" w14:textId="245DF17D"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color w:val="auto"/>
                <w:sz w:val="18"/>
                <w:szCs w:val="18"/>
                <w:lang w:eastAsia="en-AU"/>
              </w:rPr>
            </w:pPr>
            <w:bookmarkStart w:id="114" w:name="_Toc146808738"/>
            <w:r w:rsidRPr="00CE058E">
              <w:rPr>
                <w:rFonts w:cs="Arial"/>
                <w:b/>
                <w:color w:val="auto"/>
                <w:sz w:val="18"/>
                <w:szCs w:val="18"/>
                <w:lang w:eastAsia="en-AU"/>
              </w:rPr>
              <w:t>49,</w:t>
            </w:r>
            <w:bookmarkEnd w:id="114"/>
            <w:r w:rsidR="002546F4" w:rsidRPr="00CE058E">
              <w:rPr>
                <w:rFonts w:cs="Arial"/>
                <w:b/>
                <w:color w:val="auto"/>
                <w:sz w:val="18"/>
                <w:szCs w:val="18"/>
                <w:lang w:eastAsia="en-AU"/>
              </w:rPr>
              <w:t>324,994</w:t>
            </w:r>
          </w:p>
        </w:tc>
        <w:tc>
          <w:tcPr>
            <w:tcW w:w="1134" w:type="dxa"/>
          </w:tcPr>
          <w:p w14:paraId="6DC34431" w14:textId="1169689D"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color w:val="auto"/>
                <w:sz w:val="18"/>
                <w:szCs w:val="18"/>
                <w:lang w:eastAsia="en-AU"/>
              </w:rPr>
            </w:pPr>
            <w:bookmarkStart w:id="115" w:name="_Toc146808739"/>
            <w:r w:rsidRPr="00CE058E">
              <w:rPr>
                <w:rFonts w:cs="Arial"/>
                <w:b/>
                <w:color w:val="auto"/>
                <w:sz w:val="18"/>
                <w:szCs w:val="18"/>
                <w:lang w:eastAsia="en-AU"/>
              </w:rPr>
              <w:t xml:space="preserve"> 62,</w:t>
            </w:r>
            <w:bookmarkEnd w:id="115"/>
            <w:r w:rsidR="002546F4" w:rsidRPr="00CE058E">
              <w:rPr>
                <w:rFonts w:cs="Arial"/>
                <w:b/>
                <w:color w:val="auto"/>
                <w:sz w:val="18"/>
                <w:szCs w:val="18"/>
                <w:lang w:eastAsia="en-AU"/>
              </w:rPr>
              <w:t xml:space="preserve">527 </w:t>
            </w:r>
          </w:p>
        </w:tc>
        <w:tc>
          <w:tcPr>
            <w:tcW w:w="1560" w:type="dxa"/>
            <w:vAlign w:val="center"/>
            <w:hideMark/>
          </w:tcPr>
          <w:p w14:paraId="771BEEEE" w14:textId="50B5DEB9"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color w:val="auto"/>
                <w:sz w:val="18"/>
                <w:szCs w:val="18"/>
                <w:lang w:eastAsia="en-AU"/>
              </w:rPr>
            </w:pPr>
            <w:bookmarkStart w:id="116" w:name="_Toc146808740"/>
            <w:r w:rsidRPr="00CE058E">
              <w:rPr>
                <w:rFonts w:cs="Arial"/>
                <w:b/>
                <w:color w:val="auto"/>
                <w:sz w:val="18"/>
                <w:szCs w:val="18"/>
                <w:lang w:eastAsia="en-AU"/>
              </w:rPr>
              <w:t>4</w:t>
            </w:r>
            <w:bookmarkEnd w:id="116"/>
            <w:r w:rsidR="002546F4" w:rsidRPr="00CE058E">
              <w:rPr>
                <w:rFonts w:cs="Arial"/>
                <w:b/>
                <w:color w:val="auto"/>
                <w:sz w:val="18"/>
                <w:szCs w:val="18"/>
                <w:lang w:eastAsia="en-AU"/>
              </w:rPr>
              <w:t>8,001,870</w:t>
            </w:r>
          </w:p>
        </w:tc>
        <w:tc>
          <w:tcPr>
            <w:tcW w:w="1134" w:type="dxa"/>
          </w:tcPr>
          <w:p w14:paraId="05AA064B" w14:textId="70310B85"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color w:val="auto"/>
                <w:sz w:val="18"/>
                <w:szCs w:val="18"/>
                <w:lang w:eastAsia="en-AU"/>
              </w:rPr>
            </w:pPr>
            <w:bookmarkStart w:id="117" w:name="_Toc146808741"/>
            <w:r w:rsidRPr="00CE058E">
              <w:rPr>
                <w:rFonts w:cs="Arial"/>
                <w:b/>
                <w:color w:val="auto"/>
                <w:sz w:val="18"/>
                <w:szCs w:val="18"/>
                <w:lang w:eastAsia="en-AU"/>
              </w:rPr>
              <w:t xml:space="preserve"> 61,</w:t>
            </w:r>
            <w:r w:rsidR="002546F4" w:rsidRPr="00CE058E">
              <w:rPr>
                <w:rFonts w:cs="Arial"/>
                <w:b/>
                <w:color w:val="auto"/>
                <w:sz w:val="18"/>
                <w:szCs w:val="18"/>
                <w:lang w:eastAsia="en-AU"/>
              </w:rPr>
              <w:t>928</w:t>
            </w:r>
            <w:r w:rsidRPr="00CE058E">
              <w:rPr>
                <w:rFonts w:cs="Arial"/>
                <w:b/>
                <w:color w:val="auto"/>
                <w:sz w:val="18"/>
                <w:szCs w:val="18"/>
                <w:lang w:eastAsia="en-AU"/>
              </w:rPr>
              <w:t xml:space="preserve"> </w:t>
            </w:r>
            <w:bookmarkEnd w:id="117"/>
          </w:p>
        </w:tc>
        <w:tc>
          <w:tcPr>
            <w:tcW w:w="1701" w:type="dxa"/>
            <w:vAlign w:val="center"/>
            <w:hideMark/>
          </w:tcPr>
          <w:p w14:paraId="66C01906" w14:textId="5D37F2B4"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color w:val="auto"/>
                <w:sz w:val="18"/>
                <w:szCs w:val="18"/>
                <w:lang w:eastAsia="en-AU"/>
              </w:rPr>
            </w:pPr>
            <w:bookmarkStart w:id="118" w:name="_Toc146808742"/>
            <w:r w:rsidRPr="00CE058E">
              <w:rPr>
                <w:rFonts w:cs="Arial"/>
                <w:b/>
                <w:color w:val="auto"/>
                <w:sz w:val="18"/>
                <w:szCs w:val="18"/>
                <w:lang w:eastAsia="en-AU"/>
              </w:rPr>
              <w:t>97</w:t>
            </w:r>
            <w:bookmarkEnd w:id="118"/>
          </w:p>
        </w:tc>
        <w:tc>
          <w:tcPr>
            <w:tcW w:w="1417" w:type="dxa"/>
            <w:vAlign w:val="center"/>
            <w:hideMark/>
          </w:tcPr>
          <w:p w14:paraId="728CFAB4" w14:textId="77777777"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color w:val="auto"/>
                <w:sz w:val="18"/>
                <w:szCs w:val="18"/>
                <w:lang w:eastAsia="en-AU"/>
              </w:rPr>
            </w:pPr>
            <w:bookmarkStart w:id="119" w:name="_Toc146808743"/>
            <w:r w:rsidRPr="00CE058E">
              <w:rPr>
                <w:rFonts w:cs="Arial"/>
                <w:b/>
                <w:color w:val="auto"/>
                <w:sz w:val="18"/>
                <w:szCs w:val="18"/>
                <w:lang w:eastAsia="en-AU"/>
              </w:rPr>
              <w:t>62,352,027</w:t>
            </w:r>
            <w:bookmarkEnd w:id="119"/>
          </w:p>
        </w:tc>
        <w:tc>
          <w:tcPr>
            <w:tcW w:w="1276" w:type="dxa"/>
            <w:vAlign w:val="center"/>
            <w:hideMark/>
          </w:tcPr>
          <w:p w14:paraId="257AD170" w14:textId="4666C5FF" w:rsidR="002F46B1" w:rsidRPr="00CE058E" w:rsidRDefault="002F46B1" w:rsidP="002F46B1">
            <w:pPr>
              <w:jc w:val="right"/>
              <w:cnfStyle w:val="000000100000" w:firstRow="0" w:lastRow="0" w:firstColumn="0" w:lastColumn="0" w:oddVBand="0" w:evenVBand="0" w:oddHBand="1" w:evenHBand="0" w:firstRowFirstColumn="0" w:firstRowLastColumn="0" w:lastRowFirstColumn="0" w:lastRowLastColumn="0"/>
              <w:rPr>
                <w:rFonts w:cs="Arial"/>
                <w:b/>
                <w:color w:val="auto"/>
                <w:sz w:val="18"/>
                <w:szCs w:val="18"/>
                <w:lang w:eastAsia="en-AU"/>
              </w:rPr>
            </w:pPr>
            <w:bookmarkStart w:id="120" w:name="_Toc146808744"/>
            <w:r w:rsidRPr="00CE058E">
              <w:rPr>
                <w:rFonts w:cs="Arial"/>
                <w:b/>
                <w:color w:val="auto"/>
                <w:sz w:val="18"/>
                <w:szCs w:val="18"/>
                <w:lang w:eastAsia="en-AU"/>
              </w:rPr>
              <w:t>77</w:t>
            </w:r>
            <w:bookmarkEnd w:id="120"/>
          </w:p>
        </w:tc>
      </w:tr>
    </w:tbl>
    <w:p w14:paraId="38647D1D" w14:textId="77777777" w:rsidR="005B4919" w:rsidRPr="00CE058E" w:rsidRDefault="005B4919" w:rsidP="005B4919">
      <w:pPr>
        <w:pStyle w:val="Heading2"/>
      </w:pPr>
      <w:bookmarkStart w:id="121" w:name="_Toc151129684"/>
      <w:bookmarkStart w:id="122" w:name="_Toc158882535"/>
      <w:bookmarkStart w:id="123" w:name="_Toc158882596"/>
      <w:bookmarkStart w:id="124" w:name="_Toc144215428"/>
      <w:bookmarkStart w:id="125" w:name="_Toc144967628"/>
      <w:bookmarkEnd w:id="48"/>
      <w:r w:rsidRPr="00CE058E">
        <w:t>Participation</w:t>
      </w:r>
      <w:bookmarkEnd w:id="121"/>
      <w:bookmarkEnd w:id="122"/>
      <w:bookmarkEnd w:id="123"/>
    </w:p>
    <w:p w14:paraId="02209E13" w14:textId="7F535E70" w:rsidR="005B4919" w:rsidRPr="00CE058E" w:rsidRDefault="00301519" w:rsidP="005B4919">
      <w:pPr>
        <w:spacing w:line="276" w:lineRule="auto"/>
        <w:rPr>
          <w:rFonts w:cs="Arial"/>
          <w:color w:val="auto"/>
        </w:rPr>
      </w:pPr>
      <w:r w:rsidRPr="00CE058E">
        <w:rPr>
          <w:rFonts w:cs="Arial"/>
          <w:color w:val="auto"/>
        </w:rPr>
        <w:t>The p</w:t>
      </w:r>
      <w:r w:rsidR="005B4919" w:rsidRPr="00CE058E">
        <w:rPr>
          <w:rFonts w:cs="Arial"/>
          <w:color w:val="auto"/>
        </w:rPr>
        <w:t>articipation of public hospitals (including health services) i</w:t>
      </w:r>
      <w:r w:rsidRPr="00CE058E">
        <w:rPr>
          <w:rFonts w:cs="Arial"/>
          <w:color w:val="auto"/>
        </w:rPr>
        <w:t>s</w:t>
      </w:r>
      <w:r w:rsidR="005B4919" w:rsidRPr="00CE058E">
        <w:rPr>
          <w:rFonts w:cs="Arial"/>
          <w:color w:val="auto"/>
        </w:rPr>
        <w:t xml:space="preserve"> calculated using the establishment identifier. Each establishment has a unique identifier at the national level</w:t>
      </w:r>
      <w:r w:rsidR="00301F51" w:rsidRPr="00CE058E">
        <w:rPr>
          <w:rFonts w:cs="Arial"/>
          <w:color w:val="auto"/>
        </w:rPr>
        <w:t xml:space="preserve"> that</w:t>
      </w:r>
      <w:r w:rsidR="005B4919" w:rsidRPr="00CE058E">
        <w:rPr>
          <w:rFonts w:cs="Arial"/>
          <w:color w:val="auto"/>
        </w:rPr>
        <w:t xml:space="preserve"> utilises the METEOR: 269973. In 2021-22, IHACPA received cost data for 66</w:t>
      </w:r>
      <w:r w:rsidR="000B137D" w:rsidRPr="00CE058E">
        <w:rPr>
          <w:rFonts w:cs="Arial"/>
          <w:color w:val="auto"/>
        </w:rPr>
        <w:t>7</w:t>
      </w:r>
      <w:r w:rsidR="005B4919" w:rsidRPr="00CE058E">
        <w:rPr>
          <w:rFonts w:cs="Arial"/>
          <w:color w:val="auto"/>
        </w:rPr>
        <w:t xml:space="preserve"> hospitals, an increase of </w:t>
      </w:r>
      <w:r w:rsidR="00F30B63" w:rsidRPr="00CE058E">
        <w:rPr>
          <w:rFonts w:cs="Arial"/>
          <w:color w:val="auto"/>
        </w:rPr>
        <w:t xml:space="preserve">18 </w:t>
      </w:r>
      <w:r w:rsidR="005B4919" w:rsidRPr="00CE058E">
        <w:rPr>
          <w:rFonts w:cs="Arial"/>
          <w:color w:val="auto"/>
        </w:rPr>
        <w:t>linked hospitals compared to 20</w:t>
      </w:r>
      <w:r w:rsidR="00967298">
        <w:rPr>
          <w:rFonts w:cs="Arial"/>
          <w:color w:val="auto"/>
        </w:rPr>
        <w:t>20-21</w:t>
      </w:r>
      <w:r w:rsidR="005B4919" w:rsidRPr="00CE058E">
        <w:rPr>
          <w:rFonts w:cs="Arial"/>
          <w:color w:val="auto"/>
        </w:rPr>
        <w:t xml:space="preserve">. Note New South Wales (NSW) did not report cost data for the Illawarra Shoalhaven Local Health Network (LHN) in 2021-22. Figure 1 shows the proportion of public hospitals reported in the NHCDC compared to the </w:t>
      </w:r>
      <w:r w:rsidR="0041593C" w:rsidRPr="00CE058E">
        <w:rPr>
          <w:rFonts w:cs="Arial"/>
          <w:color w:val="auto"/>
        </w:rPr>
        <w:t>activity-based</w:t>
      </w:r>
      <w:r w:rsidR="005B4919" w:rsidRPr="00CE058E">
        <w:rPr>
          <w:rFonts w:cs="Arial"/>
          <w:color w:val="auto"/>
        </w:rPr>
        <w:t xml:space="preserve"> funding data from 2019-20 to 2021-22 by jurisdiction.</w:t>
      </w:r>
    </w:p>
    <w:p w14:paraId="385CFEE4" w14:textId="11D4FA0D" w:rsidR="005B4919" w:rsidRPr="00CE058E" w:rsidRDefault="00BB2DE2" w:rsidP="00B42434">
      <w:pPr>
        <w:pStyle w:val="TableFigureheading"/>
      </w:pPr>
      <w:bookmarkStart w:id="126" w:name="_Toc151116337"/>
      <w:bookmarkStart w:id="127" w:name="_Toc151370050"/>
      <w:r w:rsidRPr="00CE058E">
        <w:t xml:space="preserve">Figure </w:t>
      </w:r>
      <w:r>
        <w:fldChar w:fldCharType="begin"/>
      </w:r>
      <w:r>
        <w:instrText xml:space="preserve"> SEQ Figure \* ARABIC </w:instrText>
      </w:r>
      <w:r>
        <w:fldChar w:fldCharType="separate"/>
      </w:r>
      <w:r w:rsidR="00DD29C5">
        <w:rPr>
          <w:noProof/>
        </w:rPr>
        <w:t>1</w:t>
      </w:r>
      <w:r>
        <w:rPr>
          <w:noProof/>
        </w:rPr>
        <w:fldChar w:fldCharType="end"/>
      </w:r>
      <w:r w:rsidR="005B4919" w:rsidRPr="00CE058E">
        <w:t>: Proportion of hospitals in NHCDC compared to ABF, 2019-20 to 2021-22</w:t>
      </w:r>
      <w:bookmarkEnd w:id="126"/>
      <w:bookmarkEnd w:id="127"/>
    </w:p>
    <w:p w14:paraId="62AB4F50" w14:textId="1F91802C" w:rsidR="005B4919" w:rsidRPr="00CE058E" w:rsidRDefault="0055304F" w:rsidP="005B4919">
      <w:pPr>
        <w:jc w:val="center"/>
        <w:rPr>
          <w:rFonts w:cs="Arial"/>
        </w:rPr>
      </w:pPr>
      <w:r w:rsidRPr="00CE058E">
        <w:rPr>
          <w:rFonts w:cs="Arial"/>
          <w:noProof/>
        </w:rPr>
        <w:drawing>
          <wp:inline distT="0" distB="0" distL="0" distR="0" wp14:anchorId="33392181" wp14:editId="745F1481">
            <wp:extent cx="6188710" cy="3492000"/>
            <wp:effectExtent l="0" t="0" r="0" b="0"/>
            <wp:docPr id="1987605772" name="Chart 1987605772">
              <a:extLst xmlns:a="http://schemas.openxmlformats.org/drawingml/2006/main">
                <a:ext uri="{FF2B5EF4-FFF2-40B4-BE49-F238E27FC236}">
                  <a16:creationId xmlns:a16="http://schemas.microsoft.com/office/drawing/2014/main" id="{B008B324-A1D8-23AD-E737-56E2EB2DA8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DAB3FF" w14:textId="77777777" w:rsidR="000B137D" w:rsidRPr="00CE058E" w:rsidRDefault="000B137D" w:rsidP="009A42AD">
      <w:pPr>
        <w:rPr>
          <w:rFonts w:cs="Arial"/>
        </w:rPr>
      </w:pPr>
      <w:r w:rsidRPr="00CE058E">
        <w:rPr>
          <w:rFonts w:cs="Arial"/>
        </w:rPr>
        <w:br w:type="page"/>
      </w:r>
    </w:p>
    <w:p w14:paraId="0B3789FB" w14:textId="1F149667" w:rsidR="001118E1" w:rsidRPr="00CE058E" w:rsidRDefault="001118E1" w:rsidP="00A47745">
      <w:pPr>
        <w:pStyle w:val="Heading2"/>
      </w:pPr>
      <w:bookmarkStart w:id="128" w:name="_Toc151129685"/>
      <w:bookmarkStart w:id="129" w:name="_Toc158882536"/>
      <w:bookmarkStart w:id="130" w:name="_Toc158882597"/>
      <w:r w:rsidRPr="00CE058E">
        <w:lastRenderedPageBreak/>
        <w:t>Contracted care</w:t>
      </w:r>
      <w:bookmarkEnd w:id="124"/>
      <w:bookmarkEnd w:id="125"/>
      <w:bookmarkEnd w:id="128"/>
      <w:bookmarkEnd w:id="129"/>
      <w:bookmarkEnd w:id="130"/>
    </w:p>
    <w:p w14:paraId="6CB50C5E" w14:textId="1DAC4237" w:rsidR="001118E1" w:rsidRPr="00CE058E" w:rsidRDefault="001118E1" w:rsidP="00070481">
      <w:pPr>
        <w:spacing w:line="276" w:lineRule="auto"/>
        <w:rPr>
          <w:rFonts w:cs="Arial"/>
          <w:color w:val="auto"/>
        </w:rPr>
      </w:pPr>
      <w:r w:rsidRPr="00CE058E">
        <w:rPr>
          <w:rFonts w:cs="Arial"/>
          <w:color w:val="auto"/>
        </w:rPr>
        <w:t xml:space="preserve">IHACPA uses specified data fields submitted in the activity dataset to link the activity records </w:t>
      </w:r>
      <w:r w:rsidR="00301519" w:rsidRPr="00CE058E">
        <w:rPr>
          <w:rFonts w:cs="Arial"/>
          <w:color w:val="auto"/>
        </w:rPr>
        <w:t xml:space="preserve">to </w:t>
      </w:r>
      <w:r w:rsidRPr="00CE058E">
        <w:rPr>
          <w:rFonts w:cs="Arial"/>
          <w:color w:val="auto"/>
        </w:rPr>
        <w:t xml:space="preserve">the cost associated with contracted care. The </w:t>
      </w:r>
      <w:r w:rsidR="00884906" w:rsidRPr="00CE058E">
        <w:rPr>
          <w:rFonts w:cs="Arial"/>
          <w:color w:val="auto"/>
        </w:rPr>
        <w:t xml:space="preserve">ABF </w:t>
      </w:r>
      <w:r w:rsidRPr="00CE058E">
        <w:rPr>
          <w:rFonts w:cs="Arial"/>
          <w:color w:val="auto"/>
        </w:rPr>
        <w:t xml:space="preserve">data fields </w:t>
      </w:r>
      <w:r w:rsidR="00301519" w:rsidRPr="00CE058E">
        <w:rPr>
          <w:rFonts w:cs="Arial"/>
          <w:color w:val="auto"/>
        </w:rPr>
        <w:t xml:space="preserve">below </w:t>
      </w:r>
      <w:r w:rsidRPr="00CE058E">
        <w:rPr>
          <w:rFonts w:cs="Arial"/>
          <w:color w:val="auto"/>
        </w:rPr>
        <w:t xml:space="preserve">are used </w:t>
      </w:r>
      <w:r w:rsidR="00967298">
        <w:rPr>
          <w:rFonts w:cs="Arial"/>
          <w:color w:val="auto"/>
        </w:rPr>
        <w:t xml:space="preserve">to </w:t>
      </w:r>
      <w:r w:rsidRPr="00CE058E">
        <w:rPr>
          <w:rFonts w:cs="Arial"/>
          <w:color w:val="auto"/>
        </w:rPr>
        <w:t>identify contracted care records and determine the contracting arrangement:</w:t>
      </w:r>
    </w:p>
    <w:p w14:paraId="78A8561A" w14:textId="2568FE23" w:rsidR="001118E1" w:rsidRPr="00CE058E" w:rsidRDefault="001118E1" w:rsidP="00A47745">
      <w:pPr>
        <w:numPr>
          <w:ilvl w:val="0"/>
          <w:numId w:val="19"/>
        </w:numPr>
        <w:spacing w:after="0" w:line="276" w:lineRule="auto"/>
        <w:ind w:left="567" w:hanging="283"/>
        <w:rPr>
          <w:rFonts w:cs="Arial"/>
          <w:color w:val="auto"/>
        </w:rPr>
      </w:pPr>
      <w:r w:rsidRPr="00CE058E">
        <w:rPr>
          <w:rFonts w:cs="Arial"/>
          <w:color w:val="auto"/>
        </w:rPr>
        <w:t xml:space="preserve">The ‘Other hospital or public authority (contracted care)’ field identifies any instances </w:t>
      </w:r>
      <w:r w:rsidR="00301F51" w:rsidRPr="00CE058E">
        <w:rPr>
          <w:rFonts w:cs="Arial"/>
          <w:color w:val="auto"/>
        </w:rPr>
        <w:t xml:space="preserve">where </w:t>
      </w:r>
      <w:r w:rsidRPr="00CE058E">
        <w:rPr>
          <w:rFonts w:cs="Arial"/>
          <w:color w:val="auto"/>
        </w:rPr>
        <w:t>a patient’s care is funded from a public source through a contract.</w:t>
      </w:r>
    </w:p>
    <w:p w14:paraId="6CFC0945" w14:textId="0F36F056" w:rsidR="001118E1" w:rsidRPr="00CE058E" w:rsidRDefault="001118E1" w:rsidP="00A47745">
      <w:pPr>
        <w:numPr>
          <w:ilvl w:val="0"/>
          <w:numId w:val="19"/>
        </w:numPr>
        <w:spacing w:line="276" w:lineRule="auto"/>
        <w:ind w:left="567" w:hanging="283"/>
        <w:rPr>
          <w:rFonts w:cs="Arial"/>
          <w:color w:val="auto"/>
        </w:rPr>
      </w:pPr>
      <w:r w:rsidRPr="00CE058E">
        <w:rPr>
          <w:rFonts w:cs="Arial"/>
          <w:color w:val="auto"/>
        </w:rPr>
        <w:t>The ‘inter-hospital contracted patient status’ field allows IHACPA to identify contract</w:t>
      </w:r>
      <w:r w:rsidR="000459C8" w:rsidRPr="00CE058E">
        <w:rPr>
          <w:rFonts w:cs="Arial"/>
          <w:color w:val="auto"/>
        </w:rPr>
        <w:t>ed</w:t>
      </w:r>
      <w:r w:rsidRPr="00CE058E">
        <w:rPr>
          <w:rFonts w:cs="Arial"/>
          <w:color w:val="auto"/>
        </w:rPr>
        <w:t xml:space="preserve"> </w:t>
      </w:r>
      <w:r w:rsidR="00CD52B6" w:rsidRPr="00CE058E">
        <w:rPr>
          <w:rFonts w:cs="Arial"/>
          <w:color w:val="auto"/>
        </w:rPr>
        <w:t>care records</w:t>
      </w:r>
      <w:r w:rsidRPr="00CE058E">
        <w:rPr>
          <w:rFonts w:cs="Arial"/>
          <w:color w:val="auto"/>
        </w:rPr>
        <w:t>.</w:t>
      </w:r>
    </w:p>
    <w:p w14:paraId="7DA23F36" w14:textId="4AB1EF3C" w:rsidR="007261EA" w:rsidRPr="00CE058E" w:rsidRDefault="00E04E12" w:rsidP="00A2111C">
      <w:pPr>
        <w:spacing w:line="276" w:lineRule="auto"/>
        <w:rPr>
          <w:rFonts w:cs="Arial"/>
          <w:color w:val="auto"/>
        </w:rPr>
      </w:pPr>
      <w:r w:rsidRPr="00CE058E">
        <w:rPr>
          <w:rFonts w:cs="Arial"/>
          <w:color w:val="auto"/>
        </w:rPr>
        <w:t>Table 3 shows the contracted care records and cost</w:t>
      </w:r>
      <w:r w:rsidR="00BB0E81" w:rsidRPr="00CE058E">
        <w:rPr>
          <w:rFonts w:cs="Arial"/>
          <w:color w:val="auto"/>
        </w:rPr>
        <w:t xml:space="preserve"> by jurisdiction from 2019-20 to 2021-22.</w:t>
      </w:r>
      <w:r w:rsidR="005218E1" w:rsidRPr="00CE058E">
        <w:rPr>
          <w:rFonts w:cs="Arial"/>
          <w:color w:val="auto"/>
        </w:rPr>
        <w:t xml:space="preserve"> Nationally, contracted care records have increased by 101,683 </w:t>
      </w:r>
      <w:r w:rsidR="00D93836" w:rsidRPr="00CE058E">
        <w:rPr>
          <w:rFonts w:cs="Arial"/>
          <w:color w:val="auto"/>
        </w:rPr>
        <w:t>(</w:t>
      </w:r>
      <w:r w:rsidR="005218E1" w:rsidRPr="00CE058E">
        <w:rPr>
          <w:rFonts w:cs="Arial"/>
          <w:color w:val="auto"/>
        </w:rPr>
        <w:t>or 64</w:t>
      </w:r>
      <w:r w:rsidR="00897090">
        <w:rPr>
          <w:rFonts w:cs="Arial"/>
          <w:color w:val="auto"/>
        </w:rPr>
        <w:t>%</w:t>
      </w:r>
      <w:r w:rsidR="00D93836" w:rsidRPr="00CE058E">
        <w:rPr>
          <w:rFonts w:cs="Arial"/>
          <w:color w:val="auto"/>
        </w:rPr>
        <w:t>)</w:t>
      </w:r>
      <w:r w:rsidR="005218E1" w:rsidRPr="00CE058E">
        <w:rPr>
          <w:rFonts w:cs="Arial"/>
          <w:color w:val="auto"/>
        </w:rPr>
        <w:t xml:space="preserve"> and associated cost has increased $658.6 million </w:t>
      </w:r>
      <w:r w:rsidR="00D93836" w:rsidRPr="00CE058E">
        <w:rPr>
          <w:rFonts w:cs="Arial"/>
          <w:color w:val="auto"/>
        </w:rPr>
        <w:t>(</w:t>
      </w:r>
      <w:r w:rsidR="005218E1" w:rsidRPr="00CE058E">
        <w:rPr>
          <w:rFonts w:cs="Arial"/>
          <w:color w:val="auto"/>
        </w:rPr>
        <w:t>or 221</w:t>
      </w:r>
      <w:r w:rsidR="00897090">
        <w:rPr>
          <w:rFonts w:cs="Arial"/>
          <w:color w:val="auto"/>
        </w:rPr>
        <w:t>%</w:t>
      </w:r>
      <w:r w:rsidR="00D93836" w:rsidRPr="00CE058E">
        <w:rPr>
          <w:rFonts w:cs="Arial"/>
          <w:color w:val="auto"/>
        </w:rPr>
        <w:t>)</w:t>
      </w:r>
      <w:r w:rsidR="005218E1" w:rsidRPr="00CE058E">
        <w:rPr>
          <w:rFonts w:cs="Arial"/>
          <w:color w:val="auto"/>
        </w:rPr>
        <w:t xml:space="preserve"> from 2019-20 to 2021-22.</w:t>
      </w:r>
    </w:p>
    <w:p w14:paraId="0220A03C" w14:textId="142015D0" w:rsidR="001118E1" w:rsidRPr="00CE058E" w:rsidRDefault="00524BC6" w:rsidP="00B42434">
      <w:pPr>
        <w:pStyle w:val="TableFigureheading"/>
      </w:pPr>
      <w:bookmarkStart w:id="131" w:name="_Toc149650904"/>
      <w:bookmarkStart w:id="132" w:name="_Toc151370029"/>
      <w:r w:rsidRPr="00CE058E">
        <w:t xml:space="preserve">Table </w:t>
      </w:r>
      <w:r>
        <w:fldChar w:fldCharType="begin"/>
      </w:r>
      <w:r>
        <w:instrText xml:space="preserve"> SEQ Table \* ARABIC </w:instrText>
      </w:r>
      <w:r>
        <w:fldChar w:fldCharType="separate"/>
      </w:r>
      <w:r w:rsidR="00B42434">
        <w:rPr>
          <w:noProof/>
        </w:rPr>
        <w:t>3</w:t>
      </w:r>
      <w:r>
        <w:rPr>
          <w:noProof/>
        </w:rPr>
        <w:fldChar w:fldCharType="end"/>
      </w:r>
      <w:r w:rsidRPr="00CE058E">
        <w:t>: Contracted care records and cost, 2019-20 to 2021-22</w:t>
      </w:r>
      <w:bookmarkEnd w:id="131"/>
      <w:bookmarkEnd w:id="132"/>
    </w:p>
    <w:tbl>
      <w:tblPr>
        <w:tblStyle w:val="GridTable4-Accent2"/>
        <w:tblW w:w="9644" w:type="dxa"/>
        <w:jc w:val="center"/>
        <w:tblLayout w:type="fixed"/>
        <w:tblLook w:val="04A0" w:firstRow="1" w:lastRow="0" w:firstColumn="1" w:lastColumn="0" w:noHBand="0" w:noVBand="1"/>
      </w:tblPr>
      <w:tblGrid>
        <w:gridCol w:w="1413"/>
        <w:gridCol w:w="1130"/>
        <w:gridCol w:w="1613"/>
        <w:gridCol w:w="1131"/>
        <w:gridCol w:w="1613"/>
        <w:gridCol w:w="1131"/>
        <w:gridCol w:w="1613"/>
      </w:tblGrid>
      <w:tr w:rsidR="00520D7A" w:rsidRPr="00CE058E" w14:paraId="5E5C5E95" w14:textId="77777777">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FFFFFF" w:themeColor="background2"/>
              <w:left w:val="single" w:sz="4" w:space="0" w:color="FFFFFF" w:themeColor="background2"/>
              <w:right w:val="single" w:sz="4" w:space="0" w:color="FFFFFF" w:themeColor="background2"/>
            </w:tcBorders>
            <w:vAlign w:val="center"/>
            <w:hideMark/>
          </w:tcPr>
          <w:p w14:paraId="7F0D97E4" w14:textId="77777777" w:rsidR="00520D7A" w:rsidRPr="00CE058E" w:rsidRDefault="00520D7A" w:rsidP="00272852">
            <w:pPr>
              <w:spacing w:before="40" w:after="40" w:line="240" w:lineRule="auto"/>
              <w:jc w:val="center"/>
              <w:rPr>
                <w:rFonts w:eastAsia="Times New Roman" w:cs="Arial"/>
                <w:b w:val="0"/>
                <w:color w:val="FFFFFF" w:themeColor="background2"/>
                <w:sz w:val="18"/>
                <w:szCs w:val="18"/>
                <w:lang w:eastAsia="en-AU"/>
              </w:rPr>
            </w:pPr>
            <w:r w:rsidRPr="00CE058E">
              <w:rPr>
                <w:rFonts w:eastAsia="Times New Roman" w:cs="Arial"/>
                <w:color w:val="FFFFFF" w:themeColor="background2"/>
                <w:sz w:val="18"/>
                <w:szCs w:val="18"/>
                <w:lang w:eastAsia="en-AU"/>
              </w:rPr>
              <w:t>Jurisdiction</w:t>
            </w:r>
          </w:p>
        </w:tc>
        <w:tc>
          <w:tcPr>
            <w:tcW w:w="274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47890308" w14:textId="77777777" w:rsidR="00520D7A" w:rsidRPr="00CE058E" w:rsidRDefault="00520D7A" w:rsidP="00272852">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2"/>
                <w:sz w:val="18"/>
                <w:szCs w:val="18"/>
                <w:lang w:eastAsia="en-AU"/>
              </w:rPr>
            </w:pPr>
            <w:r w:rsidRPr="00CE058E">
              <w:rPr>
                <w:rFonts w:eastAsia="Times New Roman" w:cs="Arial"/>
                <w:color w:val="FFFFFF" w:themeColor="background2"/>
                <w:sz w:val="18"/>
                <w:szCs w:val="18"/>
                <w:lang w:eastAsia="en-AU"/>
              </w:rPr>
              <w:t>2019-20</w:t>
            </w:r>
          </w:p>
        </w:tc>
        <w:tc>
          <w:tcPr>
            <w:tcW w:w="274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6E4637D3" w14:textId="77777777" w:rsidR="00520D7A" w:rsidRPr="00CE058E" w:rsidRDefault="00520D7A" w:rsidP="00272852">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2"/>
                <w:sz w:val="18"/>
                <w:szCs w:val="18"/>
                <w:lang w:eastAsia="en-AU"/>
              </w:rPr>
            </w:pPr>
            <w:r w:rsidRPr="00CE058E">
              <w:rPr>
                <w:rFonts w:eastAsia="Times New Roman" w:cs="Arial"/>
                <w:color w:val="FFFFFF" w:themeColor="background2"/>
                <w:sz w:val="18"/>
                <w:szCs w:val="18"/>
                <w:lang w:eastAsia="en-AU"/>
              </w:rPr>
              <w:t>2020-21</w:t>
            </w:r>
          </w:p>
        </w:tc>
        <w:tc>
          <w:tcPr>
            <w:tcW w:w="2744"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16D88567" w14:textId="7CE6A3A5" w:rsidR="00520D7A" w:rsidRPr="00CE058E" w:rsidRDefault="00520D7A" w:rsidP="00272852">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2"/>
                <w:sz w:val="18"/>
                <w:szCs w:val="18"/>
                <w:lang w:eastAsia="en-AU"/>
              </w:rPr>
            </w:pPr>
            <w:r w:rsidRPr="00CE058E">
              <w:rPr>
                <w:rFonts w:eastAsia="Times New Roman" w:cs="Arial"/>
                <w:color w:val="FFFFFF" w:themeColor="background2"/>
                <w:sz w:val="18"/>
                <w:szCs w:val="18"/>
                <w:lang w:eastAsia="en-AU"/>
              </w:rPr>
              <w:t>2021-22</w:t>
            </w:r>
          </w:p>
        </w:tc>
      </w:tr>
      <w:tr w:rsidR="008E4100" w:rsidRPr="00CE058E" w14:paraId="04465A0E" w14:textId="7777777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413" w:type="dxa"/>
            <w:vMerge/>
            <w:tcBorders>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450895D" w14:textId="77777777" w:rsidR="00520D7A" w:rsidRPr="00CE058E" w:rsidRDefault="00520D7A" w:rsidP="00272852">
            <w:pPr>
              <w:spacing w:before="40" w:after="40" w:line="240" w:lineRule="auto"/>
              <w:jc w:val="center"/>
              <w:rPr>
                <w:rFonts w:eastAsia="Times New Roman" w:cs="Arial"/>
                <w:color w:val="FFFFFF" w:themeColor="background2"/>
                <w:sz w:val="18"/>
                <w:szCs w:val="18"/>
                <w:lang w:eastAsia="en-AU"/>
              </w:rPr>
            </w:pPr>
          </w:p>
        </w:tc>
        <w:tc>
          <w:tcPr>
            <w:tcW w:w="113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0C46F49A" w14:textId="6158558B" w:rsidR="00520D7A" w:rsidRPr="00CE058E" w:rsidRDefault="00520D7A" w:rsidP="00272852">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color w:val="FFFFFF" w:themeColor="background2"/>
                <w:sz w:val="18"/>
                <w:szCs w:val="18"/>
                <w:lang w:eastAsia="en-AU"/>
              </w:rPr>
              <w:t>Records</w:t>
            </w:r>
          </w:p>
        </w:tc>
        <w:tc>
          <w:tcPr>
            <w:tcW w:w="1613"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00B2A9E7" w14:textId="02E0A65F" w:rsidR="00520D7A" w:rsidRPr="00CE058E" w:rsidRDefault="00520D7A" w:rsidP="00272852">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color w:val="FFFFFF" w:themeColor="background2"/>
                <w:sz w:val="18"/>
                <w:szCs w:val="18"/>
                <w:lang w:eastAsia="en-AU"/>
              </w:rPr>
              <w:t>Cost</w:t>
            </w:r>
            <w:r w:rsidR="002358E9" w:rsidRPr="00CE058E">
              <w:rPr>
                <w:rFonts w:eastAsia="Times New Roman" w:cs="Arial"/>
                <w:b/>
                <w:bCs/>
                <w:color w:val="FFFFFF" w:themeColor="background2"/>
                <w:sz w:val="18"/>
                <w:szCs w:val="18"/>
                <w:lang w:eastAsia="en-AU"/>
              </w:rPr>
              <w:t xml:space="preserve"> ($)</w:t>
            </w:r>
          </w:p>
        </w:tc>
        <w:tc>
          <w:tcPr>
            <w:tcW w:w="1131"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1CE87A3E" w14:textId="03FDBBF1" w:rsidR="00520D7A" w:rsidRPr="00CE058E" w:rsidRDefault="00520D7A" w:rsidP="00272852">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color w:val="FFFFFF" w:themeColor="background2"/>
                <w:sz w:val="18"/>
                <w:szCs w:val="18"/>
                <w:lang w:eastAsia="en-AU"/>
              </w:rPr>
              <w:t>Records</w:t>
            </w:r>
          </w:p>
        </w:tc>
        <w:tc>
          <w:tcPr>
            <w:tcW w:w="1613"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12CB2B8" w14:textId="7F5B3897" w:rsidR="00520D7A" w:rsidRPr="00CE058E" w:rsidRDefault="00520D7A" w:rsidP="00272852">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color w:val="FFFFFF" w:themeColor="background2"/>
                <w:sz w:val="18"/>
                <w:szCs w:val="18"/>
                <w:lang w:eastAsia="en-AU"/>
              </w:rPr>
              <w:t>Cost</w:t>
            </w:r>
            <w:r w:rsidR="002358E9" w:rsidRPr="00CE058E">
              <w:rPr>
                <w:rFonts w:eastAsia="Times New Roman" w:cs="Arial"/>
                <w:b/>
                <w:bCs/>
                <w:color w:val="FFFFFF" w:themeColor="background2"/>
                <w:sz w:val="18"/>
                <w:szCs w:val="18"/>
                <w:lang w:eastAsia="en-AU"/>
              </w:rPr>
              <w:t xml:space="preserve"> ($)</w:t>
            </w:r>
          </w:p>
        </w:tc>
        <w:tc>
          <w:tcPr>
            <w:tcW w:w="1131"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263DC6A0" w14:textId="3721C6AE" w:rsidR="00520D7A" w:rsidRPr="00CE058E" w:rsidRDefault="00520D7A" w:rsidP="00272852">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color w:val="FFFFFF" w:themeColor="background2"/>
                <w:sz w:val="18"/>
                <w:szCs w:val="18"/>
                <w:lang w:eastAsia="en-AU"/>
              </w:rPr>
              <w:t>Records</w:t>
            </w:r>
          </w:p>
        </w:tc>
        <w:tc>
          <w:tcPr>
            <w:tcW w:w="1613"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0AD138B4" w14:textId="6996EDE5" w:rsidR="00520D7A" w:rsidRPr="00CE058E" w:rsidRDefault="00520D7A" w:rsidP="00272852">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color w:val="FFFFFF" w:themeColor="background2"/>
                <w:sz w:val="18"/>
                <w:szCs w:val="18"/>
                <w:lang w:eastAsia="en-AU"/>
              </w:rPr>
              <w:t>Cost</w:t>
            </w:r>
            <w:r w:rsidR="002358E9" w:rsidRPr="00CE058E">
              <w:rPr>
                <w:rFonts w:eastAsia="Times New Roman" w:cs="Arial"/>
                <w:b/>
                <w:bCs/>
                <w:color w:val="FFFFFF" w:themeColor="background2"/>
                <w:sz w:val="18"/>
                <w:szCs w:val="18"/>
                <w:lang w:eastAsia="en-AU"/>
              </w:rPr>
              <w:t xml:space="preserve"> ($)</w:t>
            </w:r>
          </w:p>
        </w:tc>
      </w:tr>
      <w:tr w:rsidR="00520D7A" w:rsidRPr="00CE058E" w14:paraId="27286350" w14:textId="77777777" w:rsidTr="00A2111C">
        <w:trPr>
          <w:trHeight w:val="7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FFFF" w:themeColor="background2"/>
            </w:tcBorders>
            <w:vAlign w:val="center"/>
          </w:tcPr>
          <w:p w14:paraId="244BCE5E" w14:textId="1F533E9E" w:rsidR="00520D7A" w:rsidRPr="00CE058E" w:rsidRDefault="00520D7A" w:rsidP="00272852">
            <w:pPr>
              <w:spacing w:before="40" w:after="40" w:line="240" w:lineRule="auto"/>
              <w:jc w:val="center"/>
              <w:rPr>
                <w:rFonts w:eastAsia="Times New Roman" w:cs="Arial"/>
                <w:color w:val="FFFFFF" w:themeColor="background2"/>
                <w:sz w:val="18"/>
                <w:szCs w:val="18"/>
                <w:lang w:eastAsia="en-AU"/>
              </w:rPr>
            </w:pPr>
            <w:r w:rsidRPr="00CE058E">
              <w:rPr>
                <w:rFonts w:eastAsia="Times New Roman" w:cs="Arial"/>
                <w:color w:val="1C1C1C"/>
                <w:sz w:val="18"/>
                <w:szCs w:val="18"/>
                <w:lang w:eastAsia="en-AU"/>
              </w:rPr>
              <w:t>NSW</w:t>
            </w:r>
          </w:p>
        </w:tc>
        <w:tc>
          <w:tcPr>
            <w:tcW w:w="1130" w:type="dxa"/>
            <w:tcBorders>
              <w:top w:val="single" w:sz="4" w:space="0" w:color="FFFFFF" w:themeColor="background2"/>
            </w:tcBorders>
            <w:vAlign w:val="center"/>
          </w:tcPr>
          <w:p w14:paraId="0B38BA3A" w14:textId="51149A41"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32,266</w:t>
            </w:r>
          </w:p>
        </w:tc>
        <w:tc>
          <w:tcPr>
            <w:tcW w:w="1613" w:type="dxa"/>
            <w:tcBorders>
              <w:top w:val="single" w:sz="4" w:space="0" w:color="FFFFFF" w:themeColor="background2"/>
            </w:tcBorders>
            <w:vAlign w:val="center"/>
          </w:tcPr>
          <w:p w14:paraId="1A4D00E4" w14:textId="3720F664"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106,245,289</w:t>
            </w:r>
          </w:p>
        </w:tc>
        <w:tc>
          <w:tcPr>
            <w:tcW w:w="1131" w:type="dxa"/>
            <w:tcBorders>
              <w:top w:val="single" w:sz="4" w:space="0" w:color="FFFFFF" w:themeColor="background2"/>
            </w:tcBorders>
            <w:vAlign w:val="center"/>
          </w:tcPr>
          <w:p w14:paraId="1727D8B0" w14:textId="5FF86A50"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62,785</w:t>
            </w:r>
          </w:p>
        </w:tc>
        <w:tc>
          <w:tcPr>
            <w:tcW w:w="1613" w:type="dxa"/>
            <w:tcBorders>
              <w:top w:val="single" w:sz="4" w:space="0" w:color="FFFFFF" w:themeColor="background2"/>
            </w:tcBorders>
            <w:vAlign w:val="center"/>
          </w:tcPr>
          <w:p w14:paraId="6EB091B4" w14:textId="06992124"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295,385,611</w:t>
            </w:r>
          </w:p>
        </w:tc>
        <w:tc>
          <w:tcPr>
            <w:tcW w:w="1131" w:type="dxa"/>
            <w:tcBorders>
              <w:top w:val="single" w:sz="4" w:space="0" w:color="FFFFFF" w:themeColor="background2"/>
            </w:tcBorders>
            <w:vAlign w:val="center"/>
          </w:tcPr>
          <w:p w14:paraId="06D2A852" w14:textId="7DD0C640"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68,587</w:t>
            </w:r>
          </w:p>
        </w:tc>
        <w:tc>
          <w:tcPr>
            <w:tcW w:w="1613" w:type="dxa"/>
            <w:tcBorders>
              <w:top w:val="single" w:sz="4" w:space="0" w:color="FFFFFF" w:themeColor="background2"/>
            </w:tcBorders>
            <w:vAlign w:val="center"/>
          </w:tcPr>
          <w:p w14:paraId="5A900411" w14:textId="3B990824"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480,422,831</w:t>
            </w:r>
          </w:p>
        </w:tc>
      </w:tr>
      <w:tr w:rsidR="00520D7A" w:rsidRPr="00CE058E" w14:paraId="164473E6" w14:textId="77777777" w:rsidTr="00A2111C">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3C359F9" w14:textId="78DA3167" w:rsidR="00520D7A" w:rsidRPr="00CE058E" w:rsidRDefault="00520D7A" w:rsidP="00272852">
            <w:pPr>
              <w:spacing w:before="40" w:after="40" w:line="240" w:lineRule="auto"/>
              <w:jc w:val="center"/>
              <w:rPr>
                <w:rFonts w:eastAsia="Times New Roman" w:cs="Arial"/>
                <w:color w:val="FFFFFF" w:themeColor="background2"/>
                <w:sz w:val="18"/>
                <w:szCs w:val="18"/>
                <w:lang w:eastAsia="en-AU"/>
              </w:rPr>
            </w:pPr>
            <w:r w:rsidRPr="00CE058E">
              <w:rPr>
                <w:rFonts w:eastAsia="Times New Roman" w:cs="Arial"/>
                <w:color w:val="1C1C1C"/>
                <w:sz w:val="18"/>
                <w:szCs w:val="18"/>
                <w:lang w:eastAsia="en-AU"/>
              </w:rPr>
              <w:t>V</w:t>
            </w:r>
            <w:r w:rsidR="001466BF" w:rsidRPr="00CE058E">
              <w:rPr>
                <w:rFonts w:eastAsia="Times New Roman" w:cs="Arial"/>
                <w:color w:val="1C1C1C"/>
                <w:sz w:val="18"/>
                <w:szCs w:val="18"/>
                <w:lang w:eastAsia="en-AU"/>
              </w:rPr>
              <w:t>ic</w:t>
            </w:r>
          </w:p>
        </w:tc>
        <w:tc>
          <w:tcPr>
            <w:tcW w:w="1130" w:type="dxa"/>
            <w:vAlign w:val="center"/>
          </w:tcPr>
          <w:p w14:paraId="085F885E" w14:textId="74060EA4"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2,506</w:t>
            </w:r>
          </w:p>
        </w:tc>
        <w:tc>
          <w:tcPr>
            <w:tcW w:w="1613" w:type="dxa"/>
            <w:vAlign w:val="center"/>
          </w:tcPr>
          <w:p w14:paraId="53FF28A2" w14:textId="65A644EF"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42,228,291</w:t>
            </w:r>
          </w:p>
        </w:tc>
        <w:tc>
          <w:tcPr>
            <w:tcW w:w="1131" w:type="dxa"/>
            <w:vAlign w:val="center"/>
          </w:tcPr>
          <w:p w14:paraId="7EC6A850" w14:textId="1F41CEAC"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13,974</w:t>
            </w:r>
          </w:p>
        </w:tc>
        <w:tc>
          <w:tcPr>
            <w:tcW w:w="1613" w:type="dxa"/>
            <w:vAlign w:val="center"/>
          </w:tcPr>
          <w:p w14:paraId="2634009F" w14:textId="36AF833B"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65,466,001</w:t>
            </w:r>
          </w:p>
        </w:tc>
        <w:tc>
          <w:tcPr>
            <w:tcW w:w="1131" w:type="dxa"/>
            <w:vAlign w:val="center"/>
          </w:tcPr>
          <w:p w14:paraId="34089B78" w14:textId="7067CACE"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21,293</w:t>
            </w:r>
          </w:p>
        </w:tc>
        <w:tc>
          <w:tcPr>
            <w:tcW w:w="1613" w:type="dxa"/>
            <w:vAlign w:val="center"/>
          </w:tcPr>
          <w:p w14:paraId="49411DEA" w14:textId="064A3253"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109,670,608</w:t>
            </w:r>
          </w:p>
        </w:tc>
      </w:tr>
      <w:tr w:rsidR="00520D7A" w:rsidRPr="00CE058E" w14:paraId="3C8650C2" w14:textId="77777777" w:rsidTr="00A2111C">
        <w:trPr>
          <w:trHeight w:val="7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241740E" w14:textId="67793CFE" w:rsidR="00520D7A" w:rsidRPr="00CE058E" w:rsidRDefault="00520D7A" w:rsidP="00272852">
            <w:pPr>
              <w:spacing w:before="40" w:after="40" w:line="240" w:lineRule="auto"/>
              <w:jc w:val="center"/>
              <w:rPr>
                <w:rFonts w:eastAsia="Times New Roman" w:cs="Arial"/>
                <w:color w:val="FFFFFF" w:themeColor="background2"/>
                <w:sz w:val="18"/>
                <w:szCs w:val="18"/>
                <w:lang w:eastAsia="en-AU"/>
              </w:rPr>
            </w:pPr>
            <w:r w:rsidRPr="00CE058E">
              <w:rPr>
                <w:rFonts w:eastAsia="Times New Roman" w:cs="Arial"/>
                <w:color w:val="000000"/>
                <w:sz w:val="18"/>
                <w:szCs w:val="18"/>
                <w:lang w:eastAsia="en-AU"/>
              </w:rPr>
              <w:t>Q</w:t>
            </w:r>
            <w:r w:rsidR="001466BF" w:rsidRPr="00CE058E">
              <w:rPr>
                <w:rFonts w:eastAsia="Times New Roman" w:cs="Arial"/>
                <w:color w:val="000000"/>
                <w:sz w:val="18"/>
                <w:szCs w:val="18"/>
                <w:lang w:eastAsia="en-AU"/>
              </w:rPr>
              <w:t>ld</w:t>
            </w:r>
          </w:p>
        </w:tc>
        <w:tc>
          <w:tcPr>
            <w:tcW w:w="1130" w:type="dxa"/>
            <w:vAlign w:val="center"/>
          </w:tcPr>
          <w:p w14:paraId="640E14AD" w14:textId="48520F62"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3,858</w:t>
            </w:r>
          </w:p>
        </w:tc>
        <w:tc>
          <w:tcPr>
            <w:tcW w:w="1613" w:type="dxa"/>
            <w:vAlign w:val="center"/>
          </w:tcPr>
          <w:p w14:paraId="0B3C17A7" w14:textId="3125C7DF"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5,822,407</w:t>
            </w:r>
          </w:p>
        </w:tc>
        <w:tc>
          <w:tcPr>
            <w:tcW w:w="1131" w:type="dxa"/>
            <w:vAlign w:val="center"/>
          </w:tcPr>
          <w:p w14:paraId="1B641D3D" w14:textId="67F4ABAA"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36,293</w:t>
            </w:r>
          </w:p>
        </w:tc>
        <w:tc>
          <w:tcPr>
            <w:tcW w:w="1613" w:type="dxa"/>
            <w:vAlign w:val="center"/>
          </w:tcPr>
          <w:p w14:paraId="6AC27025" w14:textId="1171898F"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107,897,456</w:t>
            </w:r>
          </w:p>
        </w:tc>
        <w:tc>
          <w:tcPr>
            <w:tcW w:w="1131" w:type="dxa"/>
            <w:vAlign w:val="center"/>
          </w:tcPr>
          <w:p w14:paraId="4055241E" w14:textId="255333FA"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34,886</w:t>
            </w:r>
          </w:p>
        </w:tc>
        <w:tc>
          <w:tcPr>
            <w:tcW w:w="1613" w:type="dxa"/>
            <w:vAlign w:val="center"/>
          </w:tcPr>
          <w:p w14:paraId="1D576339" w14:textId="4BB6FABB"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132,438,026</w:t>
            </w:r>
          </w:p>
        </w:tc>
      </w:tr>
      <w:tr w:rsidR="00520D7A" w:rsidRPr="00CE058E" w14:paraId="3DA7B201" w14:textId="77777777" w:rsidTr="00A2111C">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CB18D3E" w14:textId="2E008B30" w:rsidR="00520D7A" w:rsidRPr="00CE058E" w:rsidRDefault="00520D7A" w:rsidP="00272852">
            <w:pPr>
              <w:spacing w:before="40" w:after="40" w:line="240" w:lineRule="auto"/>
              <w:jc w:val="center"/>
              <w:rPr>
                <w:rFonts w:eastAsia="Times New Roman" w:cs="Arial"/>
                <w:color w:val="FFFFFF" w:themeColor="background2"/>
                <w:sz w:val="18"/>
                <w:szCs w:val="18"/>
                <w:lang w:eastAsia="en-AU"/>
              </w:rPr>
            </w:pPr>
            <w:r w:rsidRPr="00CE058E">
              <w:rPr>
                <w:rFonts w:eastAsia="Times New Roman" w:cs="Arial"/>
                <w:color w:val="000000"/>
                <w:sz w:val="18"/>
                <w:szCs w:val="18"/>
                <w:lang w:eastAsia="en-AU"/>
              </w:rPr>
              <w:t>SA</w:t>
            </w:r>
          </w:p>
        </w:tc>
        <w:tc>
          <w:tcPr>
            <w:tcW w:w="1130" w:type="dxa"/>
            <w:vAlign w:val="center"/>
          </w:tcPr>
          <w:p w14:paraId="22845B44" w14:textId="74E02A24"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13,041</w:t>
            </w:r>
          </w:p>
        </w:tc>
        <w:tc>
          <w:tcPr>
            <w:tcW w:w="1613" w:type="dxa"/>
            <w:vAlign w:val="center"/>
          </w:tcPr>
          <w:p w14:paraId="4AAE0E14" w14:textId="45BDB239"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33,854,548</w:t>
            </w:r>
          </w:p>
        </w:tc>
        <w:tc>
          <w:tcPr>
            <w:tcW w:w="1131" w:type="dxa"/>
            <w:vAlign w:val="center"/>
          </w:tcPr>
          <w:p w14:paraId="125EEEF5" w14:textId="4D8D3067"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14,713</w:t>
            </w:r>
          </w:p>
        </w:tc>
        <w:tc>
          <w:tcPr>
            <w:tcW w:w="1613" w:type="dxa"/>
            <w:vAlign w:val="center"/>
          </w:tcPr>
          <w:p w14:paraId="5F01F0BD" w14:textId="196B09D4"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33,437,984</w:t>
            </w:r>
          </w:p>
        </w:tc>
        <w:tc>
          <w:tcPr>
            <w:tcW w:w="1131" w:type="dxa"/>
            <w:vAlign w:val="center"/>
          </w:tcPr>
          <w:p w14:paraId="687D644A" w14:textId="10440787"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16,229</w:t>
            </w:r>
          </w:p>
        </w:tc>
        <w:tc>
          <w:tcPr>
            <w:tcW w:w="1613" w:type="dxa"/>
            <w:vAlign w:val="center"/>
          </w:tcPr>
          <w:p w14:paraId="2D7D5EB9" w14:textId="3A64CAAE"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46,663,399</w:t>
            </w:r>
          </w:p>
        </w:tc>
      </w:tr>
      <w:tr w:rsidR="00520D7A" w:rsidRPr="00CE058E" w14:paraId="719D27D9" w14:textId="77777777" w:rsidTr="00A2111C">
        <w:trPr>
          <w:trHeight w:val="7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61CF8FC" w14:textId="65E87D29" w:rsidR="00520D7A" w:rsidRPr="00CE058E" w:rsidRDefault="00520D7A" w:rsidP="00272852">
            <w:pPr>
              <w:spacing w:before="40" w:after="40" w:line="240" w:lineRule="auto"/>
              <w:jc w:val="center"/>
              <w:rPr>
                <w:rFonts w:eastAsia="Times New Roman" w:cs="Arial"/>
                <w:color w:val="FFFFFF" w:themeColor="background2"/>
                <w:sz w:val="18"/>
                <w:szCs w:val="18"/>
                <w:lang w:eastAsia="en-AU"/>
              </w:rPr>
            </w:pPr>
            <w:r w:rsidRPr="00CE058E">
              <w:rPr>
                <w:rFonts w:eastAsia="Times New Roman" w:cs="Arial"/>
                <w:color w:val="1C1C1C"/>
                <w:sz w:val="18"/>
                <w:szCs w:val="18"/>
                <w:lang w:eastAsia="en-AU"/>
              </w:rPr>
              <w:t>WA</w:t>
            </w:r>
          </w:p>
        </w:tc>
        <w:tc>
          <w:tcPr>
            <w:tcW w:w="1130" w:type="dxa"/>
            <w:vAlign w:val="center"/>
          </w:tcPr>
          <w:p w14:paraId="5088CE30" w14:textId="0E9434F8"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101,298</w:t>
            </w:r>
          </w:p>
        </w:tc>
        <w:tc>
          <w:tcPr>
            <w:tcW w:w="1613" w:type="dxa"/>
            <w:vAlign w:val="center"/>
          </w:tcPr>
          <w:p w14:paraId="2B5ADDFB" w14:textId="47C045AF"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69,905,451</w:t>
            </w:r>
          </w:p>
        </w:tc>
        <w:tc>
          <w:tcPr>
            <w:tcW w:w="1131" w:type="dxa"/>
            <w:vAlign w:val="center"/>
          </w:tcPr>
          <w:p w14:paraId="5802B827" w14:textId="6B378E67"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118,686</w:t>
            </w:r>
          </w:p>
        </w:tc>
        <w:tc>
          <w:tcPr>
            <w:tcW w:w="1613" w:type="dxa"/>
            <w:vAlign w:val="center"/>
          </w:tcPr>
          <w:p w14:paraId="7B5FA56D" w14:textId="363E2790"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88,572,624</w:t>
            </w:r>
          </w:p>
        </w:tc>
        <w:tc>
          <w:tcPr>
            <w:tcW w:w="1131" w:type="dxa"/>
            <w:vAlign w:val="center"/>
          </w:tcPr>
          <w:p w14:paraId="1F5A5111" w14:textId="38637CC5"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106,701</w:t>
            </w:r>
          </w:p>
        </w:tc>
        <w:tc>
          <w:tcPr>
            <w:tcW w:w="1613" w:type="dxa"/>
            <w:vAlign w:val="center"/>
          </w:tcPr>
          <w:p w14:paraId="66E4C66D" w14:textId="098082C0"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87,936,031</w:t>
            </w:r>
          </w:p>
        </w:tc>
      </w:tr>
      <w:tr w:rsidR="00520D7A" w:rsidRPr="00CE058E" w14:paraId="4AED095A" w14:textId="77777777" w:rsidTr="00A2111C">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4643F6E" w14:textId="2224C583" w:rsidR="00520D7A" w:rsidRPr="00CE058E" w:rsidRDefault="00520D7A" w:rsidP="00272852">
            <w:pPr>
              <w:spacing w:before="40" w:after="40" w:line="240" w:lineRule="auto"/>
              <w:jc w:val="center"/>
              <w:rPr>
                <w:rFonts w:eastAsia="Times New Roman" w:cs="Arial"/>
                <w:color w:val="FFFFFF" w:themeColor="background2"/>
                <w:sz w:val="18"/>
                <w:szCs w:val="18"/>
                <w:lang w:eastAsia="en-AU"/>
              </w:rPr>
            </w:pPr>
            <w:r w:rsidRPr="00CE058E">
              <w:rPr>
                <w:rFonts w:eastAsia="Times New Roman" w:cs="Arial"/>
                <w:color w:val="1C1C1C"/>
                <w:sz w:val="18"/>
                <w:szCs w:val="18"/>
                <w:lang w:eastAsia="en-AU"/>
              </w:rPr>
              <w:t>T</w:t>
            </w:r>
            <w:r w:rsidR="001466BF" w:rsidRPr="00CE058E">
              <w:rPr>
                <w:rFonts w:eastAsia="Times New Roman" w:cs="Arial"/>
                <w:color w:val="1C1C1C"/>
                <w:sz w:val="18"/>
                <w:szCs w:val="18"/>
                <w:lang w:eastAsia="en-AU"/>
              </w:rPr>
              <w:t>as</w:t>
            </w:r>
          </w:p>
        </w:tc>
        <w:tc>
          <w:tcPr>
            <w:tcW w:w="1130" w:type="dxa"/>
            <w:vAlign w:val="center"/>
          </w:tcPr>
          <w:p w14:paraId="04E240D2" w14:textId="03919BB8"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3,928</w:t>
            </w:r>
          </w:p>
        </w:tc>
        <w:tc>
          <w:tcPr>
            <w:tcW w:w="1613" w:type="dxa"/>
            <w:vAlign w:val="center"/>
          </w:tcPr>
          <w:p w14:paraId="76DD744E" w14:textId="77B9EA2F"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21,606,254</w:t>
            </w:r>
          </w:p>
        </w:tc>
        <w:tc>
          <w:tcPr>
            <w:tcW w:w="1131" w:type="dxa"/>
            <w:vAlign w:val="center"/>
          </w:tcPr>
          <w:p w14:paraId="28C3C122" w14:textId="6E0D758D"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6,666</w:t>
            </w:r>
          </w:p>
        </w:tc>
        <w:tc>
          <w:tcPr>
            <w:tcW w:w="1613" w:type="dxa"/>
            <w:vAlign w:val="center"/>
          </w:tcPr>
          <w:p w14:paraId="78D5054C" w14:textId="325A04BC"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35,664,947</w:t>
            </w:r>
          </w:p>
        </w:tc>
        <w:tc>
          <w:tcPr>
            <w:tcW w:w="1131" w:type="dxa"/>
            <w:vAlign w:val="center"/>
          </w:tcPr>
          <w:p w14:paraId="1F392D8C" w14:textId="34DE2729"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9,481</w:t>
            </w:r>
          </w:p>
        </w:tc>
        <w:tc>
          <w:tcPr>
            <w:tcW w:w="1613" w:type="dxa"/>
            <w:vAlign w:val="center"/>
          </w:tcPr>
          <w:p w14:paraId="6F950DED" w14:textId="42747D48"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59,071,756</w:t>
            </w:r>
          </w:p>
        </w:tc>
      </w:tr>
      <w:tr w:rsidR="00520D7A" w:rsidRPr="00CE058E" w14:paraId="2221F2F7" w14:textId="77777777" w:rsidTr="00A2111C">
        <w:trPr>
          <w:trHeight w:val="7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6FCBFD5" w14:textId="335626C1" w:rsidR="00520D7A" w:rsidRPr="00CE058E" w:rsidRDefault="00520D7A" w:rsidP="00272852">
            <w:pPr>
              <w:spacing w:before="40" w:after="40" w:line="240" w:lineRule="auto"/>
              <w:jc w:val="center"/>
              <w:rPr>
                <w:rFonts w:eastAsia="Times New Roman" w:cs="Arial"/>
                <w:color w:val="FFFFFF" w:themeColor="background2"/>
                <w:sz w:val="18"/>
                <w:szCs w:val="18"/>
                <w:lang w:eastAsia="en-AU"/>
              </w:rPr>
            </w:pPr>
            <w:r w:rsidRPr="00CE058E">
              <w:rPr>
                <w:rFonts w:eastAsia="Times New Roman" w:cs="Arial"/>
                <w:color w:val="000000"/>
                <w:sz w:val="18"/>
                <w:szCs w:val="18"/>
                <w:lang w:eastAsia="en-AU"/>
              </w:rPr>
              <w:t>NT</w:t>
            </w:r>
          </w:p>
        </w:tc>
        <w:tc>
          <w:tcPr>
            <w:tcW w:w="1130" w:type="dxa"/>
            <w:vAlign w:val="center"/>
          </w:tcPr>
          <w:p w14:paraId="195821B4" w14:textId="6E727CA8"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487</w:t>
            </w:r>
          </w:p>
        </w:tc>
        <w:tc>
          <w:tcPr>
            <w:tcW w:w="1613" w:type="dxa"/>
            <w:vAlign w:val="center"/>
          </w:tcPr>
          <w:p w14:paraId="6511A944" w14:textId="09F71CF5"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5,191,426</w:t>
            </w:r>
          </w:p>
        </w:tc>
        <w:tc>
          <w:tcPr>
            <w:tcW w:w="1131" w:type="dxa"/>
            <w:vAlign w:val="center"/>
          </w:tcPr>
          <w:p w14:paraId="71977C5A" w14:textId="1C06650D"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418</w:t>
            </w:r>
          </w:p>
        </w:tc>
        <w:tc>
          <w:tcPr>
            <w:tcW w:w="1613" w:type="dxa"/>
            <w:vAlign w:val="center"/>
          </w:tcPr>
          <w:p w14:paraId="5B8A830D" w14:textId="681EA8C3"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5,234,820</w:t>
            </w:r>
          </w:p>
        </w:tc>
        <w:tc>
          <w:tcPr>
            <w:tcW w:w="1131" w:type="dxa"/>
            <w:vAlign w:val="center"/>
          </w:tcPr>
          <w:p w14:paraId="6BD27B63" w14:textId="45FB246A"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1,412</w:t>
            </w:r>
          </w:p>
        </w:tc>
        <w:tc>
          <w:tcPr>
            <w:tcW w:w="1613" w:type="dxa"/>
            <w:vAlign w:val="center"/>
          </w:tcPr>
          <w:p w14:paraId="04D473DD" w14:textId="7B3D1ECC"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20,670,286</w:t>
            </w:r>
          </w:p>
        </w:tc>
      </w:tr>
      <w:tr w:rsidR="00520D7A" w:rsidRPr="00CE058E" w14:paraId="6119BF4C" w14:textId="77777777" w:rsidTr="00A2111C">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C54CEAE" w14:textId="0B199382" w:rsidR="00520D7A" w:rsidRPr="00CE058E" w:rsidRDefault="00520D7A" w:rsidP="00272852">
            <w:pPr>
              <w:spacing w:before="40" w:after="40" w:line="240" w:lineRule="auto"/>
              <w:jc w:val="center"/>
              <w:rPr>
                <w:rFonts w:eastAsia="Times New Roman" w:cs="Arial"/>
                <w:color w:val="FFFFFF" w:themeColor="background2"/>
                <w:sz w:val="18"/>
                <w:szCs w:val="18"/>
                <w:lang w:eastAsia="en-AU"/>
              </w:rPr>
            </w:pPr>
            <w:r w:rsidRPr="00CE058E">
              <w:rPr>
                <w:rFonts w:eastAsia="Times New Roman" w:cs="Arial"/>
                <w:color w:val="000000"/>
                <w:sz w:val="18"/>
                <w:szCs w:val="18"/>
                <w:lang w:eastAsia="en-AU"/>
              </w:rPr>
              <w:t>ACT</w:t>
            </w:r>
          </w:p>
        </w:tc>
        <w:tc>
          <w:tcPr>
            <w:tcW w:w="1130" w:type="dxa"/>
            <w:vAlign w:val="center"/>
          </w:tcPr>
          <w:p w14:paraId="0C89C992" w14:textId="24C73AD3"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1,558</w:t>
            </w:r>
          </w:p>
        </w:tc>
        <w:tc>
          <w:tcPr>
            <w:tcW w:w="1613" w:type="dxa"/>
            <w:vAlign w:val="center"/>
          </w:tcPr>
          <w:p w14:paraId="1D06B04C" w14:textId="72D36FC4"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C1C1C"/>
                <w:sz w:val="18"/>
                <w:szCs w:val="18"/>
                <w:lang w:eastAsia="en-AU"/>
              </w:rPr>
            </w:pPr>
            <w:r w:rsidRPr="00CE058E">
              <w:rPr>
                <w:rFonts w:cs="Arial"/>
                <w:color w:val="000000"/>
                <w:sz w:val="18"/>
                <w:szCs w:val="18"/>
              </w:rPr>
              <w:t>13,094,221</w:t>
            </w:r>
          </w:p>
        </w:tc>
        <w:tc>
          <w:tcPr>
            <w:tcW w:w="1131" w:type="dxa"/>
            <w:vAlign w:val="center"/>
          </w:tcPr>
          <w:p w14:paraId="24A60750" w14:textId="0C223F3A"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2,424</w:t>
            </w:r>
          </w:p>
        </w:tc>
        <w:tc>
          <w:tcPr>
            <w:tcW w:w="1613" w:type="dxa"/>
            <w:vAlign w:val="center"/>
          </w:tcPr>
          <w:p w14:paraId="10734847" w14:textId="3473B58E"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26,630,160</w:t>
            </w:r>
          </w:p>
        </w:tc>
        <w:tc>
          <w:tcPr>
            <w:tcW w:w="1131" w:type="dxa"/>
            <w:vAlign w:val="center"/>
          </w:tcPr>
          <w:p w14:paraId="31A898D2" w14:textId="6742FC39"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2,036</w:t>
            </w:r>
          </w:p>
        </w:tc>
        <w:tc>
          <w:tcPr>
            <w:tcW w:w="1613" w:type="dxa"/>
            <w:vAlign w:val="center"/>
          </w:tcPr>
          <w:p w14:paraId="2BFB7FA4" w14:textId="5608CC18" w:rsidR="00520D7A" w:rsidRPr="00CE058E" w:rsidRDefault="00520D7A" w:rsidP="00272852">
            <w:pPr>
              <w:spacing w:before="40" w:after="4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color w:val="000000"/>
                <w:sz w:val="18"/>
                <w:szCs w:val="18"/>
              </w:rPr>
              <w:t>19,702,952</w:t>
            </w:r>
          </w:p>
        </w:tc>
      </w:tr>
      <w:tr w:rsidR="00520D7A" w:rsidRPr="00CE058E" w14:paraId="0FFB879C" w14:textId="77777777" w:rsidTr="00A2111C">
        <w:trPr>
          <w:trHeight w:val="7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43DEAAC" w14:textId="6F3C8A16" w:rsidR="00520D7A" w:rsidRPr="00CE058E" w:rsidRDefault="00520D7A" w:rsidP="00272852">
            <w:pPr>
              <w:spacing w:before="40" w:after="40" w:line="240" w:lineRule="auto"/>
              <w:jc w:val="center"/>
              <w:rPr>
                <w:rFonts w:eastAsia="Times New Roman" w:cs="Arial"/>
                <w:color w:val="FFFFFF" w:themeColor="background2"/>
                <w:sz w:val="18"/>
                <w:szCs w:val="18"/>
                <w:lang w:eastAsia="en-AU"/>
              </w:rPr>
            </w:pPr>
            <w:r w:rsidRPr="00CE058E">
              <w:rPr>
                <w:rFonts w:eastAsia="Times New Roman" w:cs="Arial"/>
                <w:color w:val="auto"/>
                <w:sz w:val="18"/>
                <w:szCs w:val="18"/>
                <w:lang w:eastAsia="en-AU"/>
              </w:rPr>
              <w:t>National</w:t>
            </w:r>
          </w:p>
        </w:tc>
        <w:tc>
          <w:tcPr>
            <w:tcW w:w="1130" w:type="dxa"/>
            <w:vAlign w:val="center"/>
          </w:tcPr>
          <w:p w14:paraId="3660A2D9" w14:textId="7F472FA2"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C1C1C"/>
                <w:sz w:val="18"/>
                <w:szCs w:val="18"/>
                <w:lang w:eastAsia="en-AU"/>
              </w:rPr>
            </w:pPr>
            <w:r w:rsidRPr="00CE058E">
              <w:rPr>
                <w:rFonts w:cs="Arial"/>
                <w:b/>
                <w:bCs/>
                <w:color w:val="auto"/>
                <w:sz w:val="18"/>
                <w:szCs w:val="18"/>
              </w:rPr>
              <w:t>158,942</w:t>
            </w:r>
          </w:p>
        </w:tc>
        <w:tc>
          <w:tcPr>
            <w:tcW w:w="1613" w:type="dxa"/>
            <w:vAlign w:val="center"/>
          </w:tcPr>
          <w:p w14:paraId="34543AEC" w14:textId="2A8AA7CF"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C1C1C"/>
                <w:sz w:val="18"/>
                <w:szCs w:val="18"/>
                <w:lang w:eastAsia="en-AU"/>
              </w:rPr>
            </w:pPr>
            <w:r w:rsidRPr="00CE058E">
              <w:rPr>
                <w:rFonts w:cs="Arial"/>
                <w:b/>
                <w:bCs/>
                <w:color w:val="auto"/>
                <w:sz w:val="18"/>
                <w:szCs w:val="18"/>
              </w:rPr>
              <w:t>297,947,886</w:t>
            </w:r>
          </w:p>
        </w:tc>
        <w:tc>
          <w:tcPr>
            <w:tcW w:w="1131" w:type="dxa"/>
            <w:vAlign w:val="center"/>
          </w:tcPr>
          <w:p w14:paraId="1E652C47" w14:textId="05796ADF"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b/>
                <w:bCs/>
                <w:color w:val="auto"/>
                <w:sz w:val="18"/>
                <w:szCs w:val="18"/>
              </w:rPr>
              <w:t>255,959</w:t>
            </w:r>
          </w:p>
        </w:tc>
        <w:tc>
          <w:tcPr>
            <w:tcW w:w="1613" w:type="dxa"/>
            <w:vAlign w:val="center"/>
          </w:tcPr>
          <w:p w14:paraId="2A6070A4" w14:textId="24548A0A"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b/>
                <w:bCs/>
                <w:color w:val="auto"/>
                <w:sz w:val="18"/>
                <w:szCs w:val="18"/>
              </w:rPr>
              <w:t>658,289,603</w:t>
            </w:r>
          </w:p>
        </w:tc>
        <w:tc>
          <w:tcPr>
            <w:tcW w:w="1131" w:type="dxa"/>
            <w:vAlign w:val="center"/>
          </w:tcPr>
          <w:p w14:paraId="50CE1D0B" w14:textId="02F6D7EB"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b/>
                <w:bCs/>
                <w:color w:val="auto"/>
                <w:sz w:val="18"/>
                <w:szCs w:val="18"/>
              </w:rPr>
              <w:t>260,625</w:t>
            </w:r>
          </w:p>
        </w:tc>
        <w:tc>
          <w:tcPr>
            <w:tcW w:w="1613" w:type="dxa"/>
            <w:vAlign w:val="center"/>
          </w:tcPr>
          <w:p w14:paraId="0E3D0431" w14:textId="5A40734E" w:rsidR="00520D7A" w:rsidRPr="00CE058E" w:rsidRDefault="00520D7A" w:rsidP="00272852">
            <w:pPr>
              <w:spacing w:before="40" w:after="4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2"/>
                <w:sz w:val="18"/>
                <w:szCs w:val="18"/>
                <w:lang w:eastAsia="en-AU"/>
              </w:rPr>
            </w:pPr>
            <w:r w:rsidRPr="00CE058E">
              <w:rPr>
                <w:rFonts w:cs="Arial"/>
                <w:b/>
                <w:bCs/>
                <w:color w:val="auto"/>
                <w:sz w:val="18"/>
                <w:szCs w:val="18"/>
              </w:rPr>
              <w:t>956,575,889</w:t>
            </w:r>
          </w:p>
        </w:tc>
      </w:tr>
    </w:tbl>
    <w:p w14:paraId="2BA4A3FA" w14:textId="7725E9EF" w:rsidR="00FE7828" w:rsidRPr="00CE058E" w:rsidRDefault="002B4B61" w:rsidP="00A47745">
      <w:pPr>
        <w:pStyle w:val="Heading2"/>
      </w:pPr>
      <w:bookmarkStart w:id="133" w:name="_Toc151129686"/>
      <w:bookmarkStart w:id="134" w:name="_Toc158882537"/>
      <w:bookmarkStart w:id="135" w:name="_Toc158882598"/>
      <w:r w:rsidRPr="00CE058E">
        <w:t xml:space="preserve">National </w:t>
      </w:r>
      <w:r w:rsidR="003E0EB3" w:rsidRPr="00CE058E">
        <w:t>b</w:t>
      </w:r>
      <w:r w:rsidRPr="00CE058E">
        <w:t>enchmarking portal</w:t>
      </w:r>
      <w:bookmarkEnd w:id="133"/>
      <w:bookmarkEnd w:id="134"/>
      <w:bookmarkEnd w:id="135"/>
    </w:p>
    <w:p w14:paraId="15E923EE" w14:textId="7A0EFA83" w:rsidR="002955E7" w:rsidRPr="00CE058E" w:rsidRDefault="00FE7828" w:rsidP="0086213F">
      <w:pPr>
        <w:spacing w:line="276" w:lineRule="auto"/>
        <w:rPr>
          <w:rFonts w:eastAsiaTheme="majorEastAsia" w:cs="Arial"/>
          <w:b/>
          <w:color w:val="auto"/>
        </w:rPr>
      </w:pPr>
      <w:r w:rsidRPr="00CE058E">
        <w:rPr>
          <w:rFonts w:cs="Arial"/>
          <w:color w:val="auto"/>
        </w:rPr>
        <w:t xml:space="preserve">The </w:t>
      </w:r>
      <w:hyperlink r:id="rId18" w:history="1">
        <w:r w:rsidR="002B4B61" w:rsidRPr="00CE058E">
          <w:rPr>
            <w:rStyle w:val="Hyperlink"/>
            <w:rFonts w:cs="Arial"/>
          </w:rPr>
          <w:t xml:space="preserve">National Benchmarking </w:t>
        </w:r>
        <w:r w:rsidR="00414B5F" w:rsidRPr="00CE058E">
          <w:rPr>
            <w:rStyle w:val="Hyperlink"/>
            <w:rFonts w:cs="Arial"/>
          </w:rPr>
          <w:t>P</w:t>
        </w:r>
        <w:r w:rsidR="002B4B61" w:rsidRPr="00CE058E">
          <w:rPr>
            <w:rStyle w:val="Hyperlink"/>
            <w:rFonts w:cs="Arial"/>
          </w:rPr>
          <w:t>ortal (</w:t>
        </w:r>
        <w:r w:rsidRPr="00CE058E">
          <w:rPr>
            <w:rStyle w:val="Hyperlink"/>
            <w:rFonts w:cs="Arial"/>
          </w:rPr>
          <w:t>NBP</w:t>
        </w:r>
        <w:r w:rsidR="002B4B61" w:rsidRPr="00CE058E">
          <w:rPr>
            <w:rStyle w:val="Hyperlink"/>
            <w:rFonts w:cs="Arial"/>
          </w:rPr>
          <w:t>)</w:t>
        </w:r>
      </w:hyperlink>
      <w:r w:rsidRPr="00CE058E">
        <w:rPr>
          <w:rFonts w:cs="Arial"/>
          <w:color w:val="auto"/>
        </w:rPr>
        <w:t xml:space="preserve"> </w:t>
      </w:r>
      <w:r w:rsidR="00E360B3" w:rsidRPr="00CE058E">
        <w:rPr>
          <w:rFonts w:cs="Arial"/>
          <w:color w:val="auto"/>
        </w:rPr>
        <w:t xml:space="preserve">presents the </w:t>
      </w:r>
      <w:r w:rsidR="00301519" w:rsidRPr="00CE058E">
        <w:rPr>
          <w:rFonts w:cs="Arial"/>
          <w:color w:val="auto"/>
        </w:rPr>
        <w:t>c</w:t>
      </w:r>
      <w:r w:rsidR="00E360B3" w:rsidRPr="00CE058E">
        <w:rPr>
          <w:rFonts w:cs="Arial"/>
          <w:color w:val="auto"/>
        </w:rPr>
        <w:t xml:space="preserve">ost per </w:t>
      </w:r>
      <w:r w:rsidR="00301519" w:rsidRPr="00CE058E">
        <w:rPr>
          <w:rFonts w:cs="Arial"/>
          <w:color w:val="auto"/>
        </w:rPr>
        <w:t xml:space="preserve">national weighted average unit </w:t>
      </w:r>
      <w:r w:rsidR="00E360B3" w:rsidRPr="00CE058E">
        <w:rPr>
          <w:rFonts w:cs="Arial"/>
          <w:color w:val="auto"/>
        </w:rPr>
        <w:t xml:space="preserve">(NWAU), </w:t>
      </w:r>
      <w:r w:rsidR="00301519" w:rsidRPr="00CE058E">
        <w:rPr>
          <w:rFonts w:cs="Arial"/>
          <w:color w:val="auto"/>
        </w:rPr>
        <w:t xml:space="preserve">hospital acquired complications </w:t>
      </w:r>
      <w:r w:rsidR="00E360B3" w:rsidRPr="00CE058E">
        <w:rPr>
          <w:rFonts w:cs="Arial"/>
          <w:color w:val="auto"/>
        </w:rPr>
        <w:t>(HACs)</w:t>
      </w:r>
      <w:r w:rsidR="002F46B1" w:rsidRPr="00CE058E">
        <w:rPr>
          <w:rFonts w:cs="Arial"/>
          <w:color w:val="auto"/>
        </w:rPr>
        <w:t>,</w:t>
      </w:r>
      <w:r w:rsidR="00E360B3" w:rsidRPr="00CE058E">
        <w:rPr>
          <w:rFonts w:cs="Arial"/>
          <w:color w:val="auto"/>
        </w:rPr>
        <w:t xml:space="preserve"> and </w:t>
      </w:r>
      <w:r w:rsidR="00301519" w:rsidRPr="00CE058E">
        <w:rPr>
          <w:rFonts w:cs="Arial"/>
          <w:color w:val="auto"/>
        </w:rPr>
        <w:t xml:space="preserve">avoidable hospital readmissions </w:t>
      </w:r>
      <w:r w:rsidR="00E360B3" w:rsidRPr="00CE058E">
        <w:rPr>
          <w:rFonts w:cs="Arial"/>
          <w:color w:val="auto"/>
        </w:rPr>
        <w:t xml:space="preserve">(AHRs). </w:t>
      </w:r>
      <w:r w:rsidR="008F0C8E" w:rsidRPr="00CE058E">
        <w:rPr>
          <w:rFonts w:cs="Arial"/>
          <w:color w:val="auto"/>
        </w:rPr>
        <w:t>The</w:t>
      </w:r>
      <w:r w:rsidR="002F46B1" w:rsidRPr="00CE058E">
        <w:rPr>
          <w:rFonts w:cs="Arial"/>
          <w:color w:val="auto"/>
        </w:rPr>
        <w:t xml:space="preserve"> NBP </w:t>
      </w:r>
      <w:r w:rsidR="008F0C8E" w:rsidRPr="00CE058E">
        <w:rPr>
          <w:rFonts w:cs="Arial"/>
          <w:color w:val="auto"/>
        </w:rPr>
        <w:t>compare</w:t>
      </w:r>
      <w:r w:rsidR="002F46B1" w:rsidRPr="00CE058E">
        <w:rPr>
          <w:rFonts w:cs="Arial"/>
          <w:color w:val="auto"/>
        </w:rPr>
        <w:t xml:space="preserve">s </w:t>
      </w:r>
      <w:r w:rsidR="008F0C8E" w:rsidRPr="00CE058E">
        <w:rPr>
          <w:rFonts w:cs="Arial"/>
          <w:color w:val="auto"/>
        </w:rPr>
        <w:t xml:space="preserve">the results across </w:t>
      </w:r>
      <w:r w:rsidR="008D29C3" w:rsidRPr="00CE058E">
        <w:rPr>
          <w:rFonts w:cs="Arial"/>
          <w:color w:val="auto"/>
        </w:rPr>
        <w:t>jurisdictions</w:t>
      </w:r>
      <w:r w:rsidRPr="00CE058E">
        <w:rPr>
          <w:rFonts w:cs="Arial"/>
          <w:color w:val="auto"/>
        </w:rPr>
        <w:t>, local hospital networks, and hospital</w:t>
      </w:r>
      <w:r w:rsidR="008D29C3" w:rsidRPr="00CE058E">
        <w:rPr>
          <w:rFonts w:cs="Arial"/>
          <w:color w:val="auto"/>
        </w:rPr>
        <w:t>s</w:t>
      </w:r>
      <w:r w:rsidRPr="00CE058E">
        <w:rPr>
          <w:rFonts w:cs="Arial"/>
          <w:color w:val="auto"/>
        </w:rPr>
        <w:t xml:space="preserve">. NHCDC data is incorporated into the </w:t>
      </w:r>
      <w:r w:rsidR="00301519" w:rsidRPr="00CE058E">
        <w:rPr>
          <w:rFonts w:cs="Arial"/>
          <w:color w:val="auto"/>
        </w:rPr>
        <w:t xml:space="preserve">cost </w:t>
      </w:r>
      <w:r w:rsidRPr="00CE058E">
        <w:rPr>
          <w:rFonts w:cs="Arial"/>
          <w:color w:val="auto"/>
        </w:rPr>
        <w:t>per NWAU set of dashboards</w:t>
      </w:r>
      <w:r w:rsidR="00FF4707" w:rsidRPr="00CE058E">
        <w:rPr>
          <w:rFonts w:cs="Arial"/>
          <w:color w:val="auto"/>
        </w:rPr>
        <w:t>.</w:t>
      </w:r>
      <w:r w:rsidR="00F87F97" w:rsidRPr="00CE058E">
        <w:rPr>
          <w:rFonts w:cs="Arial"/>
          <w:color w:val="auto"/>
        </w:rPr>
        <w:t xml:space="preserve"> </w:t>
      </w:r>
      <w:r w:rsidR="00FF4707" w:rsidRPr="00CE058E">
        <w:rPr>
          <w:rFonts w:cs="Arial"/>
          <w:color w:val="auto"/>
        </w:rPr>
        <w:t>The</w:t>
      </w:r>
      <w:r w:rsidR="00CD604F" w:rsidRPr="00CE058E">
        <w:rPr>
          <w:rFonts w:cs="Arial"/>
          <w:color w:val="auto"/>
        </w:rPr>
        <w:t xml:space="preserve"> </w:t>
      </w:r>
      <w:r w:rsidR="00D000A2" w:rsidRPr="00CE058E">
        <w:rPr>
          <w:rFonts w:cs="Arial"/>
          <w:color w:val="auto"/>
        </w:rPr>
        <w:t>criteria for inclusion to the NBP is different to the NHCDC</w:t>
      </w:r>
      <w:r w:rsidR="001E08F4" w:rsidRPr="00CE058E">
        <w:rPr>
          <w:rFonts w:cs="Arial"/>
          <w:color w:val="auto"/>
        </w:rPr>
        <w:t xml:space="preserve"> </w:t>
      </w:r>
      <w:r w:rsidR="002F46B1" w:rsidRPr="00CE058E">
        <w:rPr>
          <w:rFonts w:cs="Arial"/>
          <w:color w:val="auto"/>
        </w:rPr>
        <w:t xml:space="preserve">as </w:t>
      </w:r>
      <w:r w:rsidR="001E08F4" w:rsidRPr="00CE058E">
        <w:rPr>
          <w:rFonts w:cs="Arial"/>
          <w:color w:val="auto"/>
        </w:rPr>
        <w:t xml:space="preserve">the focus of the NBP is </w:t>
      </w:r>
      <w:r w:rsidR="008802C8" w:rsidRPr="00CE058E">
        <w:rPr>
          <w:rFonts w:cs="Arial"/>
          <w:color w:val="auto"/>
        </w:rPr>
        <w:t xml:space="preserve">to enable </w:t>
      </w:r>
      <w:r w:rsidR="00F32A68" w:rsidRPr="00CE058E">
        <w:rPr>
          <w:rFonts w:cs="Arial"/>
          <w:color w:val="auto"/>
        </w:rPr>
        <w:t>benchmarking</w:t>
      </w:r>
      <w:r w:rsidR="00AB6808" w:rsidRPr="00CE058E">
        <w:rPr>
          <w:rFonts w:cs="Arial"/>
          <w:color w:val="auto"/>
        </w:rPr>
        <w:t>. Supporting documents are available on the IHACPA website to help NBP users navigate the portal and understand the differences between the NHCDC Public Sector Report and NBP data record inclusions and exclusions.</w:t>
      </w:r>
      <w:r w:rsidR="001118E1" w:rsidRPr="00CE058E">
        <w:rPr>
          <w:rFonts w:cs="Arial"/>
          <w:color w:val="auto"/>
        </w:rPr>
        <w:br w:type="page"/>
      </w:r>
    </w:p>
    <w:p w14:paraId="5C90AEC2" w14:textId="23FC3269" w:rsidR="00F72D16" w:rsidRPr="00CE058E" w:rsidRDefault="00F72D16" w:rsidP="005C6AE6">
      <w:pPr>
        <w:pStyle w:val="Heading1"/>
        <w:numPr>
          <w:ilvl w:val="0"/>
          <w:numId w:val="12"/>
        </w:numPr>
        <w:rPr>
          <w:rFonts w:cs="Arial"/>
        </w:rPr>
      </w:pPr>
      <w:bookmarkStart w:id="136" w:name="_Toc158882599"/>
      <w:r w:rsidRPr="00CE058E">
        <w:rPr>
          <w:rFonts w:cs="Arial"/>
        </w:rPr>
        <w:lastRenderedPageBreak/>
        <w:t>Admitted acute</w:t>
      </w:r>
      <w:bookmarkEnd w:id="4"/>
      <w:bookmarkEnd w:id="5"/>
      <w:bookmarkEnd w:id="136"/>
    </w:p>
    <w:p w14:paraId="2906FBF1" w14:textId="014D6CEA" w:rsidR="00BA6C2D" w:rsidRPr="00CE058E" w:rsidRDefault="00BA6C2D" w:rsidP="007B41F8">
      <w:pPr>
        <w:pStyle w:val="Heading2"/>
      </w:pPr>
      <w:bookmarkStart w:id="137" w:name="_Toc144215430"/>
      <w:bookmarkStart w:id="138" w:name="_Toc144967630"/>
      <w:bookmarkStart w:id="139" w:name="_Toc151129688"/>
      <w:bookmarkStart w:id="140" w:name="_Toc158882539"/>
      <w:bookmarkStart w:id="141" w:name="_Toc158882600"/>
      <w:r w:rsidRPr="00CE058E">
        <w:t>Summary</w:t>
      </w:r>
      <w:bookmarkEnd w:id="137"/>
      <w:bookmarkEnd w:id="138"/>
      <w:bookmarkEnd w:id="139"/>
      <w:bookmarkEnd w:id="140"/>
      <w:bookmarkEnd w:id="141"/>
    </w:p>
    <w:p w14:paraId="29BA8C87" w14:textId="5E26F284" w:rsidR="007157D9" w:rsidRPr="00CE058E" w:rsidRDefault="007026F7" w:rsidP="00BC4620">
      <w:pPr>
        <w:spacing w:line="276" w:lineRule="auto"/>
        <w:rPr>
          <w:rFonts w:cs="Arial"/>
          <w:color w:val="auto"/>
        </w:rPr>
      </w:pPr>
      <w:r w:rsidRPr="00CE058E">
        <w:rPr>
          <w:rFonts w:cs="Arial"/>
          <w:color w:val="auto"/>
        </w:rPr>
        <w:t xml:space="preserve">This </w:t>
      </w:r>
      <w:r w:rsidR="00DD18A3" w:rsidRPr="00CE058E">
        <w:rPr>
          <w:rFonts w:cs="Arial"/>
          <w:color w:val="auto"/>
        </w:rPr>
        <w:t xml:space="preserve">chapter </w:t>
      </w:r>
      <w:r w:rsidR="009F4D46" w:rsidRPr="00CE058E">
        <w:rPr>
          <w:rFonts w:cs="Arial"/>
          <w:color w:val="auto"/>
        </w:rPr>
        <w:t>outlines</w:t>
      </w:r>
      <w:r w:rsidRPr="00CE058E">
        <w:rPr>
          <w:rFonts w:cs="Arial"/>
          <w:color w:val="auto"/>
        </w:rPr>
        <w:t xml:space="preserve"> the admitted acute care separations, cost, average cost per separation, and weighted average cost per separation from 2019-20 to 202</w:t>
      </w:r>
      <w:r w:rsidR="00B07CA0" w:rsidRPr="00CE058E">
        <w:rPr>
          <w:rFonts w:cs="Arial"/>
          <w:color w:val="auto"/>
        </w:rPr>
        <w:t>1</w:t>
      </w:r>
      <w:r w:rsidRPr="00CE058E">
        <w:rPr>
          <w:rFonts w:cs="Arial"/>
          <w:color w:val="auto"/>
        </w:rPr>
        <w:t>-2</w:t>
      </w:r>
      <w:r w:rsidR="00B07CA0" w:rsidRPr="00CE058E">
        <w:rPr>
          <w:rFonts w:cs="Arial"/>
          <w:color w:val="auto"/>
        </w:rPr>
        <w:t>2</w:t>
      </w:r>
      <w:r w:rsidRPr="00CE058E">
        <w:rPr>
          <w:rFonts w:cs="Arial"/>
          <w:color w:val="auto"/>
        </w:rPr>
        <w:t>.</w:t>
      </w:r>
    </w:p>
    <w:p w14:paraId="7C10F693" w14:textId="70E133EF" w:rsidR="007157D9" w:rsidRPr="00CE058E" w:rsidRDefault="007157D9" w:rsidP="007157D9">
      <w:pPr>
        <w:spacing w:line="240" w:lineRule="auto"/>
        <w:rPr>
          <w:rFonts w:eastAsia="Fira Sans regular" w:cs="Arial"/>
          <w:color w:val="auto"/>
        </w:rPr>
      </w:pPr>
      <w:r w:rsidRPr="00CE058E">
        <w:rPr>
          <w:rFonts w:eastAsia="Fira Sans regular" w:cs="Arial"/>
          <w:color w:val="auto"/>
        </w:rPr>
        <w:t>An admitted acute care separation represents a formal admission to hospital to receive active, but short-term treatment with a goal to:</w:t>
      </w:r>
    </w:p>
    <w:p w14:paraId="31D058A5" w14:textId="51AB6DA1" w:rsidR="007157D9" w:rsidRPr="00CE058E" w:rsidRDefault="007157D9" w:rsidP="007157D9">
      <w:pPr>
        <w:numPr>
          <w:ilvl w:val="0"/>
          <w:numId w:val="14"/>
        </w:numPr>
        <w:spacing w:line="240" w:lineRule="auto"/>
        <w:contextualSpacing/>
        <w:rPr>
          <w:rFonts w:eastAsia="Fira Sans regular" w:cs="Arial"/>
          <w:color w:val="auto"/>
        </w:rPr>
      </w:pPr>
      <w:r w:rsidRPr="00CE058E">
        <w:rPr>
          <w:rFonts w:eastAsia="Fira Sans regular" w:cs="Arial"/>
          <w:color w:val="auto"/>
        </w:rPr>
        <w:t>manage labour (obstetrics)</w:t>
      </w:r>
    </w:p>
    <w:p w14:paraId="20E57382" w14:textId="0E378F2B" w:rsidR="007157D9" w:rsidRPr="00CE058E" w:rsidRDefault="007157D9" w:rsidP="007157D9">
      <w:pPr>
        <w:numPr>
          <w:ilvl w:val="0"/>
          <w:numId w:val="14"/>
        </w:numPr>
        <w:spacing w:line="240" w:lineRule="auto"/>
        <w:contextualSpacing/>
        <w:rPr>
          <w:rFonts w:eastAsia="Fira Sans regular" w:cs="Arial"/>
          <w:color w:val="auto"/>
        </w:rPr>
      </w:pPr>
      <w:r w:rsidRPr="00CE058E">
        <w:rPr>
          <w:rFonts w:eastAsia="Fira Sans regular" w:cs="Arial"/>
          <w:color w:val="auto"/>
        </w:rPr>
        <w:t>cure illness or provide definitive treatment of injury</w:t>
      </w:r>
    </w:p>
    <w:p w14:paraId="1D8CF33B" w14:textId="2AF3E5AC" w:rsidR="007157D9" w:rsidRPr="00CE058E" w:rsidRDefault="007157D9" w:rsidP="007157D9">
      <w:pPr>
        <w:numPr>
          <w:ilvl w:val="0"/>
          <w:numId w:val="14"/>
        </w:numPr>
        <w:spacing w:line="240" w:lineRule="auto"/>
        <w:contextualSpacing/>
        <w:rPr>
          <w:rFonts w:eastAsia="Fira Sans regular" w:cs="Arial"/>
          <w:color w:val="auto"/>
        </w:rPr>
      </w:pPr>
      <w:r w:rsidRPr="00CE058E">
        <w:rPr>
          <w:rFonts w:eastAsia="Fira Sans regular" w:cs="Arial"/>
          <w:color w:val="auto"/>
        </w:rPr>
        <w:t>perform surgery</w:t>
      </w:r>
    </w:p>
    <w:p w14:paraId="435BF055" w14:textId="75770DE5" w:rsidR="007157D9" w:rsidRPr="00CE058E" w:rsidRDefault="007157D9" w:rsidP="007157D9">
      <w:pPr>
        <w:numPr>
          <w:ilvl w:val="0"/>
          <w:numId w:val="14"/>
        </w:numPr>
        <w:spacing w:line="240" w:lineRule="auto"/>
        <w:contextualSpacing/>
        <w:rPr>
          <w:rFonts w:eastAsia="Fira Sans regular" w:cs="Arial"/>
          <w:color w:val="auto"/>
        </w:rPr>
      </w:pPr>
      <w:r w:rsidRPr="00CE058E">
        <w:rPr>
          <w:rFonts w:eastAsia="Fira Sans regular" w:cs="Arial"/>
          <w:color w:val="auto"/>
        </w:rPr>
        <w:t>relieve symptoms of illness or injury (excluding palliative care)</w:t>
      </w:r>
    </w:p>
    <w:p w14:paraId="391FB4D0" w14:textId="58122AC3" w:rsidR="007157D9" w:rsidRPr="00CE058E" w:rsidRDefault="007157D9" w:rsidP="007157D9">
      <w:pPr>
        <w:numPr>
          <w:ilvl w:val="0"/>
          <w:numId w:val="14"/>
        </w:numPr>
        <w:spacing w:line="240" w:lineRule="auto"/>
        <w:contextualSpacing/>
        <w:rPr>
          <w:rFonts w:eastAsia="Fira Sans regular" w:cs="Arial"/>
          <w:color w:val="auto"/>
        </w:rPr>
      </w:pPr>
      <w:r w:rsidRPr="00CE058E">
        <w:rPr>
          <w:rFonts w:eastAsia="Fira Sans regular" w:cs="Arial"/>
          <w:color w:val="auto"/>
        </w:rPr>
        <w:t>reduce severity of an illness or injury</w:t>
      </w:r>
    </w:p>
    <w:p w14:paraId="1068516D" w14:textId="291B16C2" w:rsidR="007157D9" w:rsidRPr="00CE058E" w:rsidRDefault="007157D9" w:rsidP="007157D9">
      <w:pPr>
        <w:numPr>
          <w:ilvl w:val="0"/>
          <w:numId w:val="14"/>
        </w:numPr>
        <w:spacing w:line="240" w:lineRule="auto"/>
        <w:contextualSpacing/>
        <w:rPr>
          <w:rFonts w:eastAsia="Fira Sans regular" w:cs="Arial"/>
          <w:color w:val="auto"/>
        </w:rPr>
      </w:pPr>
      <w:r w:rsidRPr="00CE058E">
        <w:rPr>
          <w:rFonts w:eastAsia="Fira Sans regular" w:cs="Arial"/>
          <w:color w:val="auto"/>
        </w:rPr>
        <w:t xml:space="preserve">protect against exacerbation of illness or injury </w:t>
      </w:r>
      <w:r w:rsidR="003639C0" w:rsidRPr="00CE058E">
        <w:rPr>
          <w:rFonts w:eastAsia="Fira Sans regular" w:cs="Arial"/>
          <w:color w:val="auto"/>
        </w:rPr>
        <w:t>that</w:t>
      </w:r>
      <w:r w:rsidRPr="00CE058E">
        <w:rPr>
          <w:rFonts w:eastAsia="Fira Sans regular" w:cs="Arial"/>
          <w:color w:val="auto"/>
        </w:rPr>
        <w:t xml:space="preserve"> could threaten life or normal function</w:t>
      </w:r>
      <w:r w:rsidR="00334858" w:rsidRPr="00CE058E">
        <w:rPr>
          <w:rFonts w:eastAsia="Fira Sans regular" w:cs="Arial"/>
          <w:color w:val="auto"/>
        </w:rPr>
        <w:t>, and</w:t>
      </w:r>
    </w:p>
    <w:p w14:paraId="0D088F7A" w14:textId="58ED0A83" w:rsidR="007157D9" w:rsidRPr="00CE058E" w:rsidRDefault="007157D9" w:rsidP="007157D9">
      <w:pPr>
        <w:numPr>
          <w:ilvl w:val="0"/>
          <w:numId w:val="14"/>
        </w:numPr>
        <w:spacing w:line="240" w:lineRule="auto"/>
        <w:ind w:left="714" w:hanging="357"/>
        <w:rPr>
          <w:rFonts w:eastAsia="Fira Sans regular" w:cs="Arial"/>
          <w:color w:val="auto"/>
        </w:rPr>
      </w:pPr>
      <w:r w:rsidRPr="00CE058E">
        <w:rPr>
          <w:rFonts w:eastAsia="Fira Sans regular" w:cs="Arial"/>
          <w:color w:val="auto"/>
        </w:rPr>
        <w:t>perform diagnostic or therapeutic procedures.</w:t>
      </w:r>
    </w:p>
    <w:p w14:paraId="2053D504" w14:textId="30BB9828" w:rsidR="007157D9" w:rsidRPr="00CE058E" w:rsidRDefault="007157D9" w:rsidP="00BC4620">
      <w:pPr>
        <w:spacing w:line="276" w:lineRule="auto"/>
        <w:rPr>
          <w:rFonts w:cs="Arial"/>
          <w:color w:val="auto"/>
        </w:rPr>
      </w:pPr>
      <w:r w:rsidRPr="00CE058E">
        <w:rPr>
          <w:rFonts w:cs="Arial"/>
          <w:color w:val="auto"/>
        </w:rPr>
        <w:t xml:space="preserve">For more information about admitted acute care visit </w:t>
      </w:r>
      <w:hyperlink r:id="rId19" w:history="1">
        <w:r w:rsidRPr="00CE058E">
          <w:rPr>
            <w:rStyle w:val="Hyperlink"/>
            <w:rFonts w:cs="Arial"/>
          </w:rPr>
          <w:t>IHACPA’s website</w:t>
        </w:r>
      </w:hyperlink>
      <w:r w:rsidRPr="00CE058E">
        <w:rPr>
          <w:rFonts w:cs="Arial"/>
          <w:color w:val="auto"/>
        </w:rPr>
        <w:t>.</w:t>
      </w:r>
    </w:p>
    <w:p w14:paraId="3D516D76" w14:textId="3281FCAB" w:rsidR="00E31918" w:rsidRPr="00CE058E" w:rsidRDefault="1B1C8A69" w:rsidP="00E31918">
      <w:pPr>
        <w:spacing w:line="276" w:lineRule="auto"/>
        <w:rPr>
          <w:rFonts w:cs="Arial"/>
          <w:color w:val="auto"/>
        </w:rPr>
      </w:pPr>
      <w:r w:rsidRPr="00CE058E">
        <w:rPr>
          <w:rFonts w:cs="Arial"/>
          <w:color w:val="auto"/>
        </w:rPr>
        <w:t>Separations are</w:t>
      </w:r>
      <w:r w:rsidR="00514C9F" w:rsidRPr="00CE058E">
        <w:rPr>
          <w:rFonts w:cs="Arial"/>
          <w:color w:val="auto"/>
        </w:rPr>
        <w:t xml:space="preserve"> the</w:t>
      </w:r>
      <w:r w:rsidR="00DB6A86" w:rsidRPr="00CE058E">
        <w:rPr>
          <w:rFonts w:cs="Arial"/>
          <w:color w:val="auto"/>
        </w:rPr>
        <w:t xml:space="preserve"> administrative process a hospital records the treatment</w:t>
      </w:r>
      <w:r w:rsidR="00623ED4" w:rsidRPr="00CE058E">
        <w:rPr>
          <w:rFonts w:cs="Arial"/>
          <w:color w:val="auto"/>
        </w:rPr>
        <w:t>,</w:t>
      </w:r>
      <w:r w:rsidR="00DB6A86" w:rsidRPr="00CE058E">
        <w:rPr>
          <w:rFonts w:cs="Arial"/>
          <w:color w:val="auto"/>
        </w:rPr>
        <w:t xml:space="preserve"> care</w:t>
      </w:r>
      <w:r w:rsidR="00623ED4" w:rsidRPr="00CE058E">
        <w:rPr>
          <w:rFonts w:cs="Arial"/>
          <w:color w:val="auto"/>
        </w:rPr>
        <w:t>,</w:t>
      </w:r>
      <w:r w:rsidR="00DB6A86" w:rsidRPr="00CE058E">
        <w:rPr>
          <w:rFonts w:cs="Arial"/>
          <w:color w:val="auto"/>
        </w:rPr>
        <w:t xml:space="preserve"> and/or accommodation of a patient.</w:t>
      </w:r>
    </w:p>
    <w:p w14:paraId="2ABBB19D" w14:textId="408F2F1F" w:rsidR="00E31918" w:rsidRPr="00CE058E" w:rsidRDefault="00E31918" w:rsidP="00E31918">
      <w:pPr>
        <w:spacing w:line="276" w:lineRule="auto"/>
        <w:rPr>
          <w:rFonts w:cs="Arial"/>
          <w:color w:val="auto"/>
        </w:rPr>
      </w:pPr>
      <w:r w:rsidRPr="00CE058E">
        <w:rPr>
          <w:rFonts w:cs="Arial"/>
          <w:color w:val="auto"/>
        </w:rPr>
        <w:t>The Australian Refined Diagnosis Related Groups (AR-DRG) version 11.0 was used to prepare this report. Hospital acute admission activity relates to the management</w:t>
      </w:r>
      <w:r w:rsidR="009A42AD" w:rsidRPr="00CE058E">
        <w:rPr>
          <w:rFonts w:cs="Arial"/>
          <w:color w:val="auto"/>
        </w:rPr>
        <w:t xml:space="preserve"> of,</w:t>
      </w:r>
      <w:r w:rsidRPr="00CE058E">
        <w:rPr>
          <w:rFonts w:cs="Arial"/>
          <w:color w:val="auto"/>
        </w:rPr>
        <w:t xml:space="preserve"> and the resources used by</w:t>
      </w:r>
      <w:r w:rsidR="009A42AD" w:rsidRPr="00CE058E">
        <w:rPr>
          <w:rFonts w:cs="Arial"/>
          <w:color w:val="auto"/>
        </w:rPr>
        <w:t>,</w:t>
      </w:r>
      <w:r w:rsidRPr="00CE058E">
        <w:rPr>
          <w:rFonts w:cs="Arial"/>
          <w:color w:val="auto"/>
        </w:rPr>
        <w:t xml:space="preserve"> the patient in relation to their treatment. A public hospital acute separation is allocated to an AR-DRG, allowing for the relative complexity of episodes to be calculated.</w:t>
      </w:r>
    </w:p>
    <w:p w14:paraId="1245D8F0" w14:textId="0245E617" w:rsidR="00C8702C" w:rsidRPr="00CE058E" w:rsidRDefault="007026F7" w:rsidP="00A47745">
      <w:pPr>
        <w:spacing w:line="276" w:lineRule="auto"/>
        <w:rPr>
          <w:rFonts w:cs="Arial"/>
          <w:color w:val="auto"/>
        </w:rPr>
      </w:pPr>
      <w:bookmarkStart w:id="142" w:name="_Hlk148425710"/>
      <w:r w:rsidRPr="00CE058E">
        <w:rPr>
          <w:rFonts w:cs="Arial"/>
          <w:color w:val="auto"/>
        </w:rPr>
        <w:t>In 202</w:t>
      </w:r>
      <w:r w:rsidR="00B07CA0" w:rsidRPr="00CE058E">
        <w:rPr>
          <w:rFonts w:cs="Arial"/>
          <w:color w:val="auto"/>
        </w:rPr>
        <w:t>1</w:t>
      </w:r>
      <w:r w:rsidRPr="00CE058E">
        <w:rPr>
          <w:rFonts w:cs="Arial"/>
          <w:color w:val="auto"/>
        </w:rPr>
        <w:t>-2</w:t>
      </w:r>
      <w:r w:rsidR="00B07CA0" w:rsidRPr="00CE058E">
        <w:rPr>
          <w:rFonts w:cs="Arial"/>
          <w:color w:val="auto"/>
        </w:rPr>
        <w:t>2</w:t>
      </w:r>
      <w:r w:rsidRPr="00CE058E">
        <w:rPr>
          <w:rFonts w:cs="Arial"/>
          <w:color w:val="auto"/>
        </w:rPr>
        <w:t xml:space="preserve">, there were </w:t>
      </w:r>
      <w:r w:rsidR="00CD53BA" w:rsidRPr="00CE058E">
        <w:rPr>
          <w:rFonts w:cs="Arial"/>
          <w:color w:val="auto"/>
        </w:rPr>
        <w:t>6</w:t>
      </w:r>
      <w:r w:rsidR="002855E3" w:rsidRPr="00CE058E">
        <w:rPr>
          <w:rFonts w:cs="Arial"/>
          <w:color w:val="auto"/>
        </w:rPr>
        <w:t>.</w:t>
      </w:r>
      <w:r w:rsidR="00CD53BA" w:rsidRPr="00CE058E">
        <w:rPr>
          <w:rFonts w:cs="Arial"/>
          <w:color w:val="auto"/>
        </w:rPr>
        <w:t>2</w:t>
      </w:r>
      <w:r w:rsidR="002855E3" w:rsidRPr="00CE058E">
        <w:rPr>
          <w:rFonts w:cs="Arial"/>
          <w:color w:val="auto"/>
        </w:rPr>
        <w:t xml:space="preserve"> million</w:t>
      </w:r>
      <w:r w:rsidR="00B07CA0" w:rsidRPr="00CE058E">
        <w:rPr>
          <w:rFonts w:cs="Arial"/>
          <w:color w:val="auto"/>
        </w:rPr>
        <w:t xml:space="preserve"> </w:t>
      </w:r>
      <w:r w:rsidRPr="00CE058E">
        <w:rPr>
          <w:rFonts w:cs="Arial"/>
          <w:color w:val="auto"/>
        </w:rPr>
        <w:t>admitted acute care separations nationally</w:t>
      </w:r>
      <w:r w:rsidR="00627983" w:rsidRPr="00CE058E">
        <w:rPr>
          <w:rFonts w:cs="Arial"/>
          <w:color w:val="auto"/>
        </w:rPr>
        <w:t>, a 2</w:t>
      </w:r>
      <w:r w:rsidR="00897090">
        <w:rPr>
          <w:rFonts w:cs="Arial"/>
          <w:color w:val="auto"/>
        </w:rPr>
        <w:t>%</w:t>
      </w:r>
      <w:r w:rsidR="00627983" w:rsidRPr="00CE058E">
        <w:rPr>
          <w:rFonts w:cs="Arial"/>
          <w:color w:val="auto"/>
        </w:rPr>
        <w:t xml:space="preserve"> decrease to the 2020-21 figure of 6</w:t>
      </w:r>
      <w:r w:rsidR="002855E3" w:rsidRPr="00CE058E">
        <w:rPr>
          <w:rFonts w:cs="Arial"/>
          <w:color w:val="auto"/>
        </w:rPr>
        <w:t>.4 million</w:t>
      </w:r>
      <w:r w:rsidR="00627983" w:rsidRPr="00CE058E">
        <w:rPr>
          <w:rFonts w:cs="Arial"/>
          <w:color w:val="auto"/>
        </w:rPr>
        <w:t xml:space="preserve">. </w:t>
      </w:r>
      <w:bookmarkStart w:id="143" w:name="_Hlk148536063"/>
      <w:r w:rsidR="00627983" w:rsidRPr="00CE058E">
        <w:rPr>
          <w:rFonts w:cs="Arial"/>
          <w:color w:val="auto"/>
        </w:rPr>
        <w:t xml:space="preserve">The associated cost in 2021-22 nationally </w:t>
      </w:r>
      <w:r w:rsidR="002855E3" w:rsidRPr="00CE058E">
        <w:rPr>
          <w:rFonts w:cs="Arial"/>
          <w:color w:val="auto"/>
        </w:rPr>
        <w:t>was</w:t>
      </w:r>
      <w:r w:rsidR="00627983" w:rsidRPr="00CE058E">
        <w:rPr>
          <w:rFonts w:cs="Arial"/>
          <w:color w:val="auto"/>
        </w:rPr>
        <w:t xml:space="preserve"> $36.2 billion, a 7</w:t>
      </w:r>
      <w:r w:rsidR="00897090">
        <w:rPr>
          <w:rFonts w:cs="Arial"/>
          <w:color w:val="auto"/>
        </w:rPr>
        <w:t>%</w:t>
      </w:r>
      <w:r w:rsidR="00627983" w:rsidRPr="00CE058E">
        <w:rPr>
          <w:rFonts w:cs="Arial"/>
          <w:color w:val="auto"/>
        </w:rPr>
        <w:t xml:space="preserve"> increase to the 2020-21 figure of $33.8 billion.</w:t>
      </w:r>
      <w:r w:rsidRPr="00CE058E">
        <w:rPr>
          <w:rFonts w:cs="Arial"/>
          <w:color w:val="auto"/>
        </w:rPr>
        <w:t xml:space="preserve"> </w:t>
      </w:r>
      <w:bookmarkEnd w:id="143"/>
      <w:r w:rsidRPr="00CE058E">
        <w:rPr>
          <w:rFonts w:cs="Arial"/>
          <w:color w:val="auto"/>
        </w:rPr>
        <w:t xml:space="preserve">The national average cost per acute care separation </w:t>
      </w:r>
      <w:r w:rsidR="001255A2" w:rsidRPr="00CE058E">
        <w:rPr>
          <w:rFonts w:cs="Arial"/>
          <w:color w:val="auto"/>
        </w:rPr>
        <w:t xml:space="preserve">was </w:t>
      </w:r>
      <w:r w:rsidR="00E806D9" w:rsidRPr="00CE058E">
        <w:rPr>
          <w:rFonts w:cs="Arial"/>
          <w:color w:val="auto"/>
        </w:rPr>
        <w:t>$5,809</w:t>
      </w:r>
      <w:r w:rsidR="001255A2" w:rsidRPr="00CE058E">
        <w:rPr>
          <w:rFonts w:cs="Arial"/>
          <w:color w:val="auto"/>
        </w:rPr>
        <w:t xml:space="preserve"> for 2021-22</w:t>
      </w:r>
      <w:r w:rsidR="00E806D9" w:rsidRPr="00CE058E">
        <w:rPr>
          <w:rFonts w:cs="Arial"/>
          <w:color w:val="auto"/>
        </w:rPr>
        <w:t xml:space="preserve">, </w:t>
      </w:r>
      <w:r w:rsidR="001255A2" w:rsidRPr="00CE058E">
        <w:rPr>
          <w:rFonts w:cs="Arial"/>
          <w:color w:val="auto"/>
        </w:rPr>
        <w:t xml:space="preserve">a </w:t>
      </w:r>
      <w:r w:rsidR="005038F1" w:rsidRPr="00CE058E">
        <w:rPr>
          <w:rFonts w:cs="Arial"/>
          <w:color w:val="auto"/>
        </w:rPr>
        <w:t>9</w:t>
      </w:r>
      <w:r w:rsidR="00897090">
        <w:rPr>
          <w:rFonts w:cs="Arial"/>
          <w:color w:val="auto"/>
        </w:rPr>
        <w:t>%</w:t>
      </w:r>
      <w:r w:rsidRPr="00CE058E">
        <w:rPr>
          <w:rFonts w:cs="Arial"/>
          <w:color w:val="auto"/>
        </w:rPr>
        <w:t xml:space="preserve"> </w:t>
      </w:r>
      <w:r w:rsidR="001255A2" w:rsidRPr="00CE058E">
        <w:rPr>
          <w:rFonts w:cs="Arial"/>
          <w:color w:val="auto"/>
        </w:rPr>
        <w:t xml:space="preserve">increase </w:t>
      </w:r>
      <w:r w:rsidR="00625BBD" w:rsidRPr="00CE058E">
        <w:rPr>
          <w:rFonts w:cs="Arial"/>
          <w:color w:val="auto"/>
        </w:rPr>
        <w:t xml:space="preserve">to </w:t>
      </w:r>
      <w:r w:rsidR="56F64249" w:rsidRPr="00CE058E">
        <w:rPr>
          <w:rFonts w:cs="Arial"/>
          <w:color w:val="auto"/>
        </w:rPr>
        <w:t>the</w:t>
      </w:r>
      <w:r w:rsidRPr="00CE058E">
        <w:rPr>
          <w:rFonts w:cs="Arial"/>
          <w:color w:val="auto"/>
        </w:rPr>
        <w:t xml:space="preserve"> </w:t>
      </w:r>
      <w:r w:rsidR="00625BBD" w:rsidRPr="00CE058E">
        <w:rPr>
          <w:rFonts w:cs="Arial"/>
          <w:color w:val="auto"/>
        </w:rPr>
        <w:t xml:space="preserve">2020-21 </w:t>
      </w:r>
      <w:r w:rsidRPr="00CE058E">
        <w:rPr>
          <w:rFonts w:cs="Arial"/>
          <w:color w:val="auto"/>
        </w:rPr>
        <w:t>national average of $</w:t>
      </w:r>
      <w:r w:rsidR="005038F1" w:rsidRPr="00CE058E">
        <w:rPr>
          <w:rFonts w:cs="Arial"/>
          <w:color w:val="auto"/>
        </w:rPr>
        <w:t>5,315</w:t>
      </w:r>
      <w:r w:rsidR="26F91166" w:rsidRPr="00CE058E">
        <w:rPr>
          <w:rFonts w:cs="Arial"/>
          <w:color w:val="auto"/>
        </w:rPr>
        <w:t>.</w:t>
      </w:r>
      <w:bookmarkEnd w:id="142"/>
      <w:r w:rsidR="00C8702C" w:rsidRPr="00CE058E">
        <w:rPr>
          <w:rFonts w:cs="Arial"/>
          <w:color w:val="auto"/>
        </w:rPr>
        <w:br w:type="page"/>
      </w:r>
    </w:p>
    <w:p w14:paraId="3918D122" w14:textId="3F008C14" w:rsidR="00FD5FB9" w:rsidRPr="00CE058E" w:rsidRDefault="00BA6C2D" w:rsidP="007B41F8">
      <w:pPr>
        <w:pStyle w:val="Heading2"/>
      </w:pPr>
      <w:bookmarkStart w:id="144" w:name="_Toc144215434"/>
      <w:bookmarkStart w:id="145" w:name="_Toc144967633"/>
      <w:bookmarkStart w:id="146" w:name="_Toc151129689"/>
      <w:bookmarkStart w:id="147" w:name="_Toc158882540"/>
      <w:bookmarkStart w:id="148" w:name="_Toc158882601"/>
      <w:r w:rsidRPr="00CE058E">
        <w:lastRenderedPageBreak/>
        <w:t xml:space="preserve">Admitted acute </w:t>
      </w:r>
      <w:r w:rsidR="00944A34" w:rsidRPr="00CE058E">
        <w:t>cost and activity</w:t>
      </w:r>
      <w:bookmarkStart w:id="149" w:name="_Toc144215435"/>
      <w:bookmarkEnd w:id="144"/>
      <w:bookmarkEnd w:id="145"/>
      <w:bookmarkEnd w:id="146"/>
      <w:bookmarkEnd w:id="147"/>
      <w:bookmarkEnd w:id="148"/>
    </w:p>
    <w:p w14:paraId="0DC778C4" w14:textId="7CF16B86" w:rsidR="2A84FBCB" w:rsidRPr="00CE058E" w:rsidRDefault="008E65D4" w:rsidP="5B273E27">
      <w:pPr>
        <w:spacing w:before="240" w:line="276" w:lineRule="auto"/>
        <w:rPr>
          <w:rFonts w:cs="Arial"/>
          <w:color w:val="auto"/>
        </w:rPr>
      </w:pPr>
      <w:bookmarkStart w:id="150" w:name="_Hlk146650210"/>
      <w:r w:rsidRPr="00CE058E">
        <w:rPr>
          <w:rFonts w:cs="Arial"/>
          <w:color w:val="auto"/>
        </w:rPr>
        <w:t>Nationally, 100</w:t>
      </w:r>
      <w:r w:rsidR="00897090">
        <w:rPr>
          <w:rFonts w:cs="Arial"/>
          <w:color w:val="auto"/>
        </w:rPr>
        <w:t>%</w:t>
      </w:r>
      <w:r w:rsidRPr="00CE058E">
        <w:rPr>
          <w:rFonts w:cs="Arial"/>
          <w:color w:val="auto"/>
        </w:rPr>
        <w:t xml:space="preserve"> of the submitted NHCDC records </w:t>
      </w:r>
      <w:r w:rsidR="007C0AEF" w:rsidRPr="00CE058E">
        <w:rPr>
          <w:rFonts w:cs="Arial"/>
          <w:color w:val="auto"/>
        </w:rPr>
        <w:t xml:space="preserve">were </w:t>
      </w:r>
      <w:r w:rsidRPr="00CE058E">
        <w:rPr>
          <w:rFonts w:cs="Arial"/>
          <w:color w:val="auto"/>
        </w:rPr>
        <w:t xml:space="preserve">linked to acute activity. </w:t>
      </w:r>
      <w:r w:rsidR="009A4937" w:rsidRPr="00CE058E">
        <w:rPr>
          <w:rFonts w:cs="Arial"/>
          <w:color w:val="auto"/>
        </w:rPr>
        <w:t xml:space="preserve">Table </w:t>
      </w:r>
      <w:r w:rsidR="00937B06" w:rsidRPr="00CE058E">
        <w:rPr>
          <w:rFonts w:cs="Arial"/>
          <w:color w:val="auto"/>
        </w:rPr>
        <w:t>4</w:t>
      </w:r>
      <w:r w:rsidR="009A4937" w:rsidRPr="00CE058E">
        <w:rPr>
          <w:rFonts w:cs="Arial"/>
          <w:color w:val="auto"/>
        </w:rPr>
        <w:t xml:space="preserve"> shows the </w:t>
      </w:r>
      <w:r w:rsidR="003A2F84" w:rsidRPr="00CE058E">
        <w:rPr>
          <w:rFonts w:cs="Arial"/>
          <w:color w:val="auto"/>
        </w:rPr>
        <w:t>number of linked</w:t>
      </w:r>
      <w:r w:rsidR="000E481C" w:rsidRPr="00CE058E">
        <w:rPr>
          <w:rFonts w:cs="Arial"/>
          <w:color w:val="auto"/>
        </w:rPr>
        <w:t xml:space="preserve"> NHCDC records </w:t>
      </w:r>
      <w:r w:rsidR="009A4937" w:rsidRPr="00CE058E">
        <w:rPr>
          <w:rFonts w:cs="Arial"/>
          <w:color w:val="auto"/>
        </w:rPr>
        <w:t xml:space="preserve">as a </w:t>
      </w:r>
      <w:r w:rsidR="003A2F84" w:rsidRPr="00CE058E">
        <w:rPr>
          <w:rFonts w:cs="Arial"/>
          <w:color w:val="auto"/>
        </w:rPr>
        <w:t xml:space="preserve">proportion </w:t>
      </w:r>
      <w:r w:rsidR="009A4937" w:rsidRPr="00CE058E">
        <w:rPr>
          <w:rFonts w:cs="Arial"/>
          <w:color w:val="auto"/>
        </w:rPr>
        <w:t>of the acute activity by jurisdiction from 2019-20 to 2021-22</w:t>
      </w:r>
      <w:r w:rsidR="000E481C" w:rsidRPr="00CE058E">
        <w:rPr>
          <w:rFonts w:cs="Arial"/>
          <w:color w:val="auto"/>
        </w:rPr>
        <w:t xml:space="preserve">. </w:t>
      </w:r>
      <w:r w:rsidR="34C0BF6F" w:rsidRPr="00CE058E">
        <w:rPr>
          <w:rFonts w:cs="Arial"/>
          <w:color w:val="auto"/>
        </w:rPr>
        <w:t>The</w:t>
      </w:r>
      <w:r w:rsidR="00901630" w:rsidRPr="00CE058E">
        <w:rPr>
          <w:rFonts w:cs="Arial"/>
          <w:color w:val="auto"/>
        </w:rPr>
        <w:t xml:space="preserve"> national</w:t>
      </w:r>
      <w:r w:rsidR="00993E2E" w:rsidRPr="00CE058E">
        <w:rPr>
          <w:rFonts w:cs="Arial"/>
          <w:color w:val="auto"/>
        </w:rPr>
        <w:t xml:space="preserve"> </w:t>
      </w:r>
      <w:r w:rsidR="003A2F84" w:rsidRPr="00CE058E">
        <w:rPr>
          <w:rFonts w:cs="Arial"/>
          <w:color w:val="auto"/>
        </w:rPr>
        <w:t>linked</w:t>
      </w:r>
      <w:r w:rsidR="00D262FA" w:rsidRPr="00CE058E">
        <w:rPr>
          <w:rFonts w:cs="Arial"/>
          <w:color w:val="auto"/>
        </w:rPr>
        <w:t xml:space="preserve"> NHCDC records increased </w:t>
      </w:r>
      <w:r w:rsidR="00B563C6" w:rsidRPr="00CE058E">
        <w:rPr>
          <w:rFonts w:cs="Arial"/>
          <w:color w:val="auto"/>
        </w:rPr>
        <w:t>by 82,794</w:t>
      </w:r>
      <w:r w:rsidR="00D262FA" w:rsidRPr="00CE058E">
        <w:rPr>
          <w:rFonts w:cs="Arial"/>
          <w:color w:val="auto"/>
        </w:rPr>
        <w:t xml:space="preserve"> </w:t>
      </w:r>
      <w:r w:rsidR="00DA6489" w:rsidRPr="00CE058E">
        <w:rPr>
          <w:rFonts w:cs="Arial"/>
          <w:color w:val="auto"/>
        </w:rPr>
        <w:t>(</w:t>
      </w:r>
      <w:r w:rsidR="00D262FA" w:rsidRPr="00CE058E">
        <w:rPr>
          <w:rFonts w:cs="Arial"/>
          <w:color w:val="auto"/>
        </w:rPr>
        <w:t xml:space="preserve">or </w:t>
      </w:r>
      <w:r w:rsidR="00B563C6" w:rsidRPr="00CE058E">
        <w:rPr>
          <w:rFonts w:cs="Arial"/>
          <w:color w:val="auto"/>
        </w:rPr>
        <w:t>1</w:t>
      </w:r>
      <w:r w:rsidR="00897090">
        <w:rPr>
          <w:rFonts w:cs="Arial"/>
          <w:color w:val="auto"/>
        </w:rPr>
        <w:t>%</w:t>
      </w:r>
      <w:r w:rsidR="00DA6489" w:rsidRPr="00CE058E">
        <w:rPr>
          <w:rFonts w:cs="Arial"/>
          <w:color w:val="auto"/>
        </w:rPr>
        <w:t>)</w:t>
      </w:r>
      <w:r w:rsidR="00B563C6" w:rsidRPr="00CE058E">
        <w:rPr>
          <w:rFonts w:cs="Arial"/>
          <w:color w:val="auto"/>
        </w:rPr>
        <w:t xml:space="preserve"> and activity increased by 181,838 </w:t>
      </w:r>
      <w:r w:rsidR="00DA6489" w:rsidRPr="00CE058E">
        <w:rPr>
          <w:rFonts w:cs="Arial"/>
          <w:color w:val="auto"/>
        </w:rPr>
        <w:t>(</w:t>
      </w:r>
      <w:r w:rsidR="00B563C6" w:rsidRPr="00CE058E">
        <w:rPr>
          <w:rFonts w:cs="Arial"/>
          <w:color w:val="auto"/>
        </w:rPr>
        <w:t>or 3</w:t>
      </w:r>
      <w:r w:rsidR="00897090">
        <w:rPr>
          <w:rFonts w:cs="Arial"/>
          <w:color w:val="auto"/>
        </w:rPr>
        <w:t>%</w:t>
      </w:r>
      <w:r w:rsidR="00DA6489" w:rsidRPr="00CE058E">
        <w:rPr>
          <w:rFonts w:cs="Arial"/>
          <w:color w:val="auto"/>
        </w:rPr>
        <w:t>)</w:t>
      </w:r>
      <w:r w:rsidR="00B563C6" w:rsidRPr="00CE058E">
        <w:rPr>
          <w:rFonts w:cs="Arial"/>
          <w:color w:val="auto"/>
        </w:rPr>
        <w:t xml:space="preserve"> from 2019-20 to 2021-22. </w:t>
      </w:r>
      <w:bookmarkStart w:id="151" w:name="_Hlk147398770"/>
      <w:r w:rsidR="00D4714F" w:rsidRPr="00CE058E">
        <w:rPr>
          <w:rFonts w:cs="Arial"/>
          <w:color w:val="auto"/>
        </w:rPr>
        <w:t>Nationally, t</w:t>
      </w:r>
      <w:r w:rsidR="006D3B16" w:rsidRPr="00CE058E">
        <w:rPr>
          <w:rFonts w:cs="Arial"/>
          <w:color w:val="auto"/>
        </w:rPr>
        <w:t xml:space="preserve">he </w:t>
      </w:r>
      <w:r w:rsidR="003A2F84" w:rsidRPr="00CE058E">
        <w:rPr>
          <w:rFonts w:cs="Arial"/>
          <w:color w:val="auto"/>
        </w:rPr>
        <w:t xml:space="preserve">linked </w:t>
      </w:r>
      <w:r w:rsidR="006D3B16" w:rsidRPr="00CE058E">
        <w:rPr>
          <w:rFonts w:cs="Arial"/>
          <w:color w:val="auto"/>
        </w:rPr>
        <w:t xml:space="preserve">NHCDC records as a proportion of </w:t>
      </w:r>
      <w:r w:rsidR="00F5159D" w:rsidRPr="00CE058E">
        <w:rPr>
          <w:rFonts w:cs="Arial"/>
          <w:color w:val="auto"/>
        </w:rPr>
        <w:t>activity</w:t>
      </w:r>
      <w:r w:rsidR="006D3B16" w:rsidRPr="00CE058E">
        <w:rPr>
          <w:rFonts w:cs="Arial"/>
          <w:color w:val="auto"/>
        </w:rPr>
        <w:t xml:space="preserve"> </w:t>
      </w:r>
      <w:r w:rsidR="006F00DB" w:rsidRPr="00CE058E">
        <w:rPr>
          <w:rFonts w:cs="Arial"/>
          <w:color w:val="auto"/>
        </w:rPr>
        <w:t>wa</w:t>
      </w:r>
      <w:r w:rsidR="00AE0D79" w:rsidRPr="00CE058E">
        <w:rPr>
          <w:rFonts w:cs="Arial"/>
          <w:color w:val="auto"/>
        </w:rPr>
        <w:t>s consistently around 95</w:t>
      </w:r>
      <w:r w:rsidR="00897090">
        <w:rPr>
          <w:rFonts w:cs="Arial"/>
          <w:color w:val="auto"/>
        </w:rPr>
        <w:t>%</w:t>
      </w:r>
      <w:r w:rsidR="00CA3C1E" w:rsidRPr="00CE058E">
        <w:rPr>
          <w:rFonts w:cs="Arial"/>
          <w:color w:val="auto"/>
        </w:rPr>
        <w:t xml:space="preserve"> </w:t>
      </w:r>
      <w:r w:rsidR="006D3B16" w:rsidRPr="00CE058E">
        <w:rPr>
          <w:rFonts w:cs="Arial"/>
          <w:color w:val="auto"/>
        </w:rPr>
        <w:t xml:space="preserve">from </w:t>
      </w:r>
      <w:r w:rsidR="00B563C6" w:rsidRPr="00CE058E">
        <w:rPr>
          <w:rFonts w:cs="Arial"/>
          <w:color w:val="auto"/>
        </w:rPr>
        <w:t>2019-20</w:t>
      </w:r>
      <w:r w:rsidR="009A4937" w:rsidRPr="00CE058E">
        <w:rPr>
          <w:rFonts w:cs="Arial"/>
          <w:color w:val="auto"/>
        </w:rPr>
        <w:t xml:space="preserve"> to 2021-22.</w:t>
      </w:r>
      <w:bookmarkEnd w:id="150"/>
      <w:bookmarkEnd w:id="151"/>
      <w:r w:rsidR="001236E5" w:rsidRPr="00CE058E">
        <w:rPr>
          <w:rFonts w:cs="Arial"/>
          <w:color w:val="auto"/>
        </w:rPr>
        <w:t xml:space="preserve"> </w:t>
      </w:r>
      <w:r w:rsidR="000F7C4C" w:rsidRPr="00CE058E">
        <w:rPr>
          <w:rFonts w:cs="Arial"/>
          <w:color w:val="auto"/>
        </w:rPr>
        <w:t xml:space="preserve">Note </w:t>
      </w:r>
      <w:r w:rsidR="00CA3C1E" w:rsidRPr="00CE058E">
        <w:rPr>
          <w:rFonts w:cs="Arial"/>
          <w:color w:val="auto"/>
        </w:rPr>
        <w:t>New</w:t>
      </w:r>
      <w:r w:rsidR="2A84FBCB" w:rsidRPr="00CE058E">
        <w:rPr>
          <w:rFonts w:cs="Arial"/>
          <w:color w:val="auto"/>
        </w:rPr>
        <w:t xml:space="preserve"> South Wales </w:t>
      </w:r>
      <w:r w:rsidR="000F7C4C" w:rsidRPr="00CE058E">
        <w:rPr>
          <w:rFonts w:cs="Arial"/>
          <w:color w:val="auto"/>
        </w:rPr>
        <w:t xml:space="preserve">did not submit </w:t>
      </w:r>
      <w:r w:rsidR="2A84FBCB" w:rsidRPr="00CE058E">
        <w:rPr>
          <w:rFonts w:cs="Arial"/>
          <w:color w:val="auto"/>
        </w:rPr>
        <w:t>cost data associated with</w:t>
      </w:r>
      <w:r w:rsidR="009917A8" w:rsidRPr="00CE058E">
        <w:rPr>
          <w:rFonts w:cs="Arial"/>
          <w:color w:val="auto"/>
        </w:rPr>
        <w:t xml:space="preserve"> the Nepean Blue Mountains Local Health District (LHD) in 2020-21 and the</w:t>
      </w:r>
      <w:r w:rsidR="2A84FBCB" w:rsidRPr="00CE058E">
        <w:rPr>
          <w:rFonts w:cs="Arial"/>
          <w:color w:val="auto"/>
        </w:rPr>
        <w:t xml:space="preserve"> </w:t>
      </w:r>
      <w:r w:rsidR="00A47E51" w:rsidRPr="00CE058E">
        <w:rPr>
          <w:rFonts w:cs="Arial"/>
          <w:color w:val="auto"/>
        </w:rPr>
        <w:t>Illawarra</w:t>
      </w:r>
      <w:r w:rsidR="00301519" w:rsidRPr="00CE058E">
        <w:rPr>
          <w:rFonts w:cs="Arial"/>
          <w:color w:val="auto"/>
        </w:rPr>
        <w:t xml:space="preserve"> Shoalhaven</w:t>
      </w:r>
      <w:r w:rsidR="00A47E51" w:rsidRPr="00CE058E">
        <w:rPr>
          <w:rFonts w:cs="Arial"/>
          <w:color w:val="auto"/>
        </w:rPr>
        <w:t xml:space="preserve"> </w:t>
      </w:r>
      <w:r w:rsidR="009917A8" w:rsidRPr="00CE058E">
        <w:rPr>
          <w:rFonts w:cs="Arial"/>
          <w:color w:val="auto"/>
        </w:rPr>
        <w:t>LHD</w:t>
      </w:r>
      <w:r w:rsidR="00A47E51" w:rsidRPr="00CE058E">
        <w:rPr>
          <w:rFonts w:cs="Arial"/>
          <w:color w:val="auto"/>
        </w:rPr>
        <w:t xml:space="preserve"> in </w:t>
      </w:r>
      <w:r w:rsidR="2A84FBCB" w:rsidRPr="00CE058E">
        <w:rPr>
          <w:rFonts w:cs="Arial"/>
          <w:color w:val="auto"/>
        </w:rPr>
        <w:t>2021-22 due to data quality issues.</w:t>
      </w:r>
      <w:r w:rsidR="006F00DB" w:rsidRPr="00CE058E">
        <w:rPr>
          <w:rFonts w:cs="Arial"/>
          <w:color w:val="auto"/>
        </w:rPr>
        <w:t xml:space="preserve"> However, New South Wales submitted admitted acute cost data for approximately </w:t>
      </w:r>
      <w:r w:rsidR="32DA73C0" w:rsidRPr="00CE058E">
        <w:rPr>
          <w:rFonts w:cs="Arial"/>
          <w:color w:val="auto"/>
        </w:rPr>
        <w:t>90</w:t>
      </w:r>
      <w:r w:rsidR="00897090">
        <w:rPr>
          <w:rFonts w:cs="Arial"/>
          <w:color w:val="auto"/>
        </w:rPr>
        <w:t>%</w:t>
      </w:r>
      <w:r w:rsidR="32DA73C0" w:rsidRPr="00CE058E">
        <w:rPr>
          <w:rFonts w:cs="Arial"/>
          <w:color w:val="auto"/>
        </w:rPr>
        <w:t xml:space="preserve"> of activity</w:t>
      </w:r>
      <w:r w:rsidR="00383FC7" w:rsidRPr="00CE058E">
        <w:rPr>
          <w:rFonts w:cs="Arial"/>
          <w:color w:val="auto"/>
        </w:rPr>
        <w:t xml:space="preserve"> data</w:t>
      </w:r>
      <w:r w:rsidR="006F00DB" w:rsidRPr="00CE058E">
        <w:rPr>
          <w:rFonts w:cs="Arial"/>
          <w:color w:val="auto"/>
        </w:rPr>
        <w:t xml:space="preserve"> from 2019-20 to 2021-22</w:t>
      </w:r>
      <w:r w:rsidR="32DA73C0" w:rsidRPr="00CE058E">
        <w:rPr>
          <w:rFonts w:cs="Arial"/>
          <w:color w:val="auto"/>
        </w:rPr>
        <w:t>.</w:t>
      </w:r>
    </w:p>
    <w:p w14:paraId="54F32CAB" w14:textId="54B6FD2C" w:rsidR="0019045F" w:rsidRPr="00CE058E" w:rsidRDefault="00C53B6A" w:rsidP="00B42434">
      <w:pPr>
        <w:pStyle w:val="TableFigureheading"/>
      </w:pPr>
      <w:bookmarkStart w:id="152" w:name="_Toc149650905"/>
      <w:bookmarkStart w:id="153" w:name="_Toc151370030"/>
      <w:r w:rsidRPr="00CE058E">
        <w:t xml:space="preserve">Table </w:t>
      </w:r>
      <w:r>
        <w:fldChar w:fldCharType="begin"/>
      </w:r>
      <w:r>
        <w:instrText xml:space="preserve"> SEQ Table \* ARABIC </w:instrText>
      </w:r>
      <w:r>
        <w:fldChar w:fldCharType="separate"/>
      </w:r>
      <w:r w:rsidR="00B42434">
        <w:rPr>
          <w:noProof/>
        </w:rPr>
        <w:t>4</w:t>
      </w:r>
      <w:r>
        <w:rPr>
          <w:noProof/>
        </w:rPr>
        <w:fldChar w:fldCharType="end"/>
      </w:r>
      <w:r w:rsidR="009A4937" w:rsidRPr="00CE058E">
        <w:t>:</w:t>
      </w:r>
      <w:r w:rsidR="00B67CE3" w:rsidRPr="00CE058E">
        <w:t xml:space="preserve"> Proportion of linked NHCDC records to activity, 2019-20 to 2021-22</w:t>
      </w:r>
      <w:bookmarkEnd w:id="152"/>
      <w:bookmarkEnd w:id="153"/>
    </w:p>
    <w:tbl>
      <w:tblPr>
        <w:tblStyle w:val="GridTable4-Accent2"/>
        <w:tblW w:w="11320" w:type="dxa"/>
        <w:jc w:val="center"/>
        <w:tblLook w:val="04A0" w:firstRow="1" w:lastRow="0" w:firstColumn="1" w:lastColumn="0" w:noHBand="0" w:noVBand="1"/>
      </w:tblPr>
      <w:tblGrid>
        <w:gridCol w:w="1259"/>
        <w:gridCol w:w="1155"/>
        <w:gridCol w:w="1117"/>
        <w:gridCol w:w="1157"/>
        <w:gridCol w:w="1033"/>
        <w:gridCol w:w="1137"/>
        <w:gridCol w:w="1156"/>
        <w:gridCol w:w="1109"/>
        <w:gridCol w:w="1033"/>
        <w:gridCol w:w="1155"/>
        <w:gridCol w:w="9"/>
      </w:tblGrid>
      <w:tr w:rsidR="007861EC" w:rsidRPr="00CE058E" w14:paraId="629001D5" w14:textId="77777777" w:rsidTr="00FD1801">
        <w:trPr>
          <w:cnfStyle w:val="100000000000" w:firstRow="1" w:lastRow="0" w:firstColumn="0" w:lastColumn="0" w:oddVBand="0" w:evenVBand="0" w:oddHBand="0"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1259"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2887D83F" w14:textId="7C527D4B" w:rsidR="007861EC" w:rsidRPr="00CE058E" w:rsidRDefault="00B963CF" w:rsidP="00FD1801">
            <w:pPr>
              <w:spacing w:line="240" w:lineRule="auto"/>
              <w:jc w:val="center"/>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Jurisdiction</w:t>
            </w:r>
          </w:p>
        </w:tc>
        <w:tc>
          <w:tcPr>
            <w:tcW w:w="3429"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0FFCED34" w14:textId="66D6C0DB" w:rsidR="007861EC" w:rsidRPr="00CE058E" w:rsidRDefault="007861EC" w:rsidP="00FD180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2019-20</w:t>
            </w:r>
          </w:p>
        </w:tc>
        <w:tc>
          <w:tcPr>
            <w:tcW w:w="3326"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0D197414" w14:textId="58363FE6" w:rsidR="007861EC" w:rsidRPr="00CE058E" w:rsidRDefault="007861EC" w:rsidP="00FD180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2020-21</w:t>
            </w:r>
          </w:p>
        </w:tc>
        <w:tc>
          <w:tcPr>
            <w:tcW w:w="3306" w:type="dxa"/>
            <w:gridSpan w:val="4"/>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109C986B" w14:textId="1518A9DB" w:rsidR="007861EC" w:rsidRPr="00CE058E" w:rsidRDefault="007861EC" w:rsidP="00FD180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2021-22</w:t>
            </w:r>
          </w:p>
        </w:tc>
      </w:tr>
      <w:tr w:rsidR="00F46C13" w:rsidRPr="00CE058E" w14:paraId="51D6D67C" w14:textId="77777777" w:rsidTr="009816AC">
        <w:trPr>
          <w:gridAfter w:val="1"/>
          <w:cnfStyle w:val="000000100000" w:firstRow="0" w:lastRow="0" w:firstColumn="0" w:lastColumn="0" w:oddVBand="0" w:evenVBand="0" w:oddHBand="1" w:evenHBand="0" w:firstRowFirstColumn="0" w:firstRowLastColumn="0" w:lastRowFirstColumn="0" w:lastRowLastColumn="0"/>
          <w:wAfter w:w="9" w:type="dxa"/>
          <w:trHeight w:val="432"/>
          <w:jc w:val="center"/>
        </w:trPr>
        <w:tc>
          <w:tcPr>
            <w:cnfStyle w:val="001000000000" w:firstRow="0" w:lastRow="0" w:firstColumn="1" w:lastColumn="0" w:oddVBand="0" w:evenVBand="0" w:oddHBand="0" w:evenHBand="0" w:firstRowFirstColumn="0" w:firstRowLastColumn="0" w:lastRowFirstColumn="0" w:lastRowLastColumn="0"/>
            <w:tcW w:w="1259"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tcPr>
          <w:p w14:paraId="7D181CFC" w14:textId="4C4597B6" w:rsidR="007861EC" w:rsidRPr="00CE058E" w:rsidRDefault="007861EC" w:rsidP="00FD1801">
            <w:pPr>
              <w:spacing w:line="240" w:lineRule="auto"/>
              <w:jc w:val="center"/>
              <w:rPr>
                <w:rFonts w:eastAsia="Times New Roman" w:cs="Arial"/>
                <w:b w:val="0"/>
                <w:bCs w:val="0"/>
                <w:color w:val="FFFFFF" w:themeColor="background2"/>
                <w:sz w:val="18"/>
                <w:szCs w:val="18"/>
                <w:lang w:eastAsia="en-AU"/>
              </w:rPr>
            </w:pPr>
          </w:p>
        </w:tc>
        <w:tc>
          <w:tcPr>
            <w:tcW w:w="115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211CF90B" w14:textId="1FBCA4E9" w:rsidR="007861EC" w:rsidRPr="00CE058E" w:rsidRDefault="003A2F84" w:rsidP="00FD18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 xml:space="preserve">Linked </w:t>
            </w:r>
            <w:r w:rsidR="007861EC" w:rsidRPr="00CE058E">
              <w:rPr>
                <w:rFonts w:eastAsia="Times New Roman" w:cs="Arial"/>
                <w:b/>
                <w:bCs/>
                <w:color w:val="FFFFFF" w:themeColor="background2"/>
                <w:sz w:val="18"/>
                <w:szCs w:val="18"/>
                <w:lang w:eastAsia="en-AU"/>
              </w:rPr>
              <w:t>NHCDC records</w:t>
            </w:r>
          </w:p>
        </w:tc>
        <w:tc>
          <w:tcPr>
            <w:tcW w:w="11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F8ADA75" w14:textId="0B1B66D1" w:rsidR="007861EC" w:rsidRPr="00CE058E" w:rsidRDefault="00C33282" w:rsidP="00FD18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Pr>
                <w:rFonts w:eastAsia="Times New Roman" w:cs="Arial"/>
                <w:b/>
                <w:bCs/>
                <w:color w:val="FFFFFF" w:themeColor="background2"/>
                <w:sz w:val="18"/>
                <w:szCs w:val="18"/>
                <w:lang w:eastAsia="en-AU"/>
              </w:rPr>
              <w:t>A</w:t>
            </w:r>
            <w:r w:rsidR="007861EC" w:rsidRPr="00CE058E">
              <w:rPr>
                <w:rFonts w:eastAsia="Times New Roman" w:cs="Arial"/>
                <w:b/>
                <w:bCs/>
                <w:color w:val="FFFFFF" w:themeColor="background2"/>
                <w:sz w:val="18"/>
                <w:szCs w:val="18"/>
                <w:lang w:eastAsia="en-AU"/>
              </w:rPr>
              <w:t>ctivity</w:t>
            </w:r>
          </w:p>
        </w:tc>
        <w:tc>
          <w:tcPr>
            <w:tcW w:w="115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3CEBB4F0" w14:textId="3AD2FE2F" w:rsidR="007861EC" w:rsidRPr="00CE058E" w:rsidRDefault="007861EC" w:rsidP="00FD18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w:t>
            </w:r>
            <w:r w:rsidR="001E2FEF" w:rsidRPr="00CE058E">
              <w:rPr>
                <w:rFonts w:eastAsia="Times New Roman" w:cs="Arial"/>
                <w:b/>
                <w:bCs/>
                <w:color w:val="FFFFFF" w:themeColor="background2"/>
                <w:sz w:val="18"/>
                <w:szCs w:val="18"/>
                <w:lang w:eastAsia="en-AU"/>
              </w:rPr>
              <w:t xml:space="preserve"> (%)</w:t>
            </w:r>
          </w:p>
        </w:tc>
        <w:tc>
          <w:tcPr>
            <w:tcW w:w="1033"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39892D89" w14:textId="230F5184" w:rsidR="007861EC" w:rsidRPr="00CE058E" w:rsidRDefault="003A2F84" w:rsidP="00FD18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 xml:space="preserve">Linked </w:t>
            </w:r>
            <w:r w:rsidR="007861EC" w:rsidRPr="00CE058E">
              <w:rPr>
                <w:rFonts w:eastAsia="Times New Roman" w:cs="Arial"/>
                <w:b/>
                <w:bCs/>
                <w:color w:val="FFFFFF" w:themeColor="background2"/>
                <w:sz w:val="18"/>
                <w:szCs w:val="18"/>
                <w:lang w:eastAsia="en-AU"/>
              </w:rPr>
              <w:t>NHCDC records</w:t>
            </w:r>
          </w:p>
        </w:tc>
        <w:tc>
          <w:tcPr>
            <w:tcW w:w="113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5EA4AC25" w14:textId="35440DA2" w:rsidR="007861EC" w:rsidRPr="00CE058E" w:rsidRDefault="00C33282" w:rsidP="00FD18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Pr>
                <w:rFonts w:eastAsia="Times New Roman" w:cs="Arial"/>
                <w:b/>
                <w:bCs/>
                <w:color w:val="FFFFFF" w:themeColor="background2"/>
                <w:sz w:val="18"/>
                <w:szCs w:val="18"/>
                <w:lang w:eastAsia="en-AU"/>
              </w:rPr>
              <w:t>A</w:t>
            </w:r>
            <w:r w:rsidR="007861EC" w:rsidRPr="00CE058E">
              <w:rPr>
                <w:rFonts w:eastAsia="Times New Roman" w:cs="Arial"/>
                <w:b/>
                <w:bCs/>
                <w:color w:val="FFFFFF" w:themeColor="background2"/>
                <w:sz w:val="18"/>
                <w:szCs w:val="18"/>
                <w:lang w:eastAsia="en-AU"/>
              </w:rPr>
              <w:t>ctivity</w:t>
            </w:r>
          </w:p>
        </w:tc>
        <w:tc>
          <w:tcPr>
            <w:tcW w:w="115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E6CFD4D" w14:textId="1B7E5467" w:rsidR="007861EC" w:rsidRPr="00CE058E" w:rsidRDefault="007861EC" w:rsidP="00FD18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w:t>
            </w:r>
            <w:r w:rsidR="001E2FEF" w:rsidRPr="00CE058E">
              <w:rPr>
                <w:rFonts w:eastAsia="Times New Roman" w:cs="Arial"/>
                <w:b/>
                <w:bCs/>
                <w:color w:val="FFFFFF" w:themeColor="background2"/>
                <w:sz w:val="18"/>
                <w:szCs w:val="18"/>
                <w:lang w:eastAsia="en-AU"/>
              </w:rPr>
              <w:t xml:space="preserve"> (%)</w:t>
            </w:r>
          </w:p>
        </w:tc>
        <w:tc>
          <w:tcPr>
            <w:tcW w:w="1109"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63E6875" w14:textId="1DB70AC0" w:rsidR="007861EC" w:rsidRPr="00CE058E" w:rsidRDefault="003A2F84" w:rsidP="00FD18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 xml:space="preserve">Linked </w:t>
            </w:r>
            <w:r w:rsidR="007861EC" w:rsidRPr="00CE058E">
              <w:rPr>
                <w:rFonts w:eastAsia="Times New Roman" w:cs="Arial"/>
                <w:b/>
                <w:bCs/>
                <w:color w:val="FFFFFF" w:themeColor="background2"/>
                <w:sz w:val="18"/>
                <w:szCs w:val="18"/>
                <w:lang w:eastAsia="en-AU"/>
              </w:rPr>
              <w:t>NHCDC records</w:t>
            </w:r>
          </w:p>
        </w:tc>
        <w:tc>
          <w:tcPr>
            <w:tcW w:w="1033"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033A4984" w14:textId="0ECBD20D" w:rsidR="007861EC" w:rsidRPr="00CE058E" w:rsidRDefault="00C33282" w:rsidP="00FD18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Pr>
                <w:rFonts w:eastAsia="Times New Roman" w:cs="Arial"/>
                <w:b/>
                <w:bCs/>
                <w:color w:val="FFFFFF" w:themeColor="background2"/>
                <w:sz w:val="18"/>
                <w:szCs w:val="18"/>
                <w:lang w:eastAsia="en-AU"/>
              </w:rPr>
              <w:t>A</w:t>
            </w:r>
            <w:r w:rsidR="007861EC" w:rsidRPr="00CE058E">
              <w:rPr>
                <w:rFonts w:eastAsia="Times New Roman" w:cs="Arial"/>
                <w:b/>
                <w:bCs/>
                <w:color w:val="FFFFFF" w:themeColor="background2"/>
                <w:sz w:val="18"/>
                <w:szCs w:val="18"/>
                <w:lang w:eastAsia="en-AU"/>
              </w:rPr>
              <w:t>ctivity</w:t>
            </w:r>
          </w:p>
        </w:tc>
        <w:tc>
          <w:tcPr>
            <w:tcW w:w="115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E230DD7" w14:textId="5FC53F47" w:rsidR="007861EC" w:rsidRPr="00CE058E" w:rsidRDefault="007861EC" w:rsidP="00FD18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w:t>
            </w:r>
            <w:r w:rsidR="001E2FEF" w:rsidRPr="00CE058E">
              <w:rPr>
                <w:rFonts w:eastAsia="Times New Roman" w:cs="Arial"/>
                <w:b/>
                <w:bCs/>
                <w:color w:val="FFFFFF" w:themeColor="background2"/>
                <w:sz w:val="18"/>
                <w:szCs w:val="18"/>
                <w:lang w:eastAsia="en-AU"/>
              </w:rPr>
              <w:t xml:space="preserve"> (%)</w:t>
            </w:r>
          </w:p>
        </w:tc>
      </w:tr>
      <w:tr w:rsidR="006434D9" w:rsidRPr="00CE058E" w14:paraId="22BD27E4" w14:textId="77777777" w:rsidTr="009816AC">
        <w:trPr>
          <w:gridAfter w:val="1"/>
          <w:wAfter w:w="9" w:type="dxa"/>
          <w:trHeight w:val="74"/>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themeColor="background2"/>
            </w:tcBorders>
            <w:noWrap/>
            <w:vAlign w:val="center"/>
            <w:hideMark/>
          </w:tcPr>
          <w:p w14:paraId="6BBCE0FD" w14:textId="77777777" w:rsidR="00B563C6" w:rsidRPr="00CE058E" w:rsidRDefault="00B563C6" w:rsidP="00FD1801">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NSW</w:t>
            </w:r>
          </w:p>
        </w:tc>
        <w:tc>
          <w:tcPr>
            <w:tcW w:w="0" w:type="dxa"/>
            <w:tcBorders>
              <w:top w:val="single" w:sz="4" w:space="0" w:color="FFFFFF" w:themeColor="background2"/>
            </w:tcBorders>
            <w:noWrap/>
            <w:vAlign w:val="center"/>
            <w:hideMark/>
          </w:tcPr>
          <w:p w14:paraId="481033B5" w14:textId="62765DC0"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1,598,193</w:t>
            </w:r>
          </w:p>
        </w:tc>
        <w:tc>
          <w:tcPr>
            <w:tcW w:w="0" w:type="dxa"/>
            <w:tcBorders>
              <w:top w:val="single" w:sz="4" w:space="0" w:color="FFFFFF" w:themeColor="background2"/>
            </w:tcBorders>
            <w:noWrap/>
            <w:vAlign w:val="center"/>
            <w:hideMark/>
          </w:tcPr>
          <w:p w14:paraId="01BB7957" w14:textId="6323432C"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1,685,318</w:t>
            </w:r>
          </w:p>
        </w:tc>
        <w:tc>
          <w:tcPr>
            <w:tcW w:w="0" w:type="dxa"/>
            <w:tcBorders>
              <w:top w:val="single" w:sz="4" w:space="0" w:color="FFFFFF" w:themeColor="background2"/>
            </w:tcBorders>
            <w:noWrap/>
            <w:vAlign w:val="center"/>
          </w:tcPr>
          <w:p w14:paraId="3823CFD5" w14:textId="5044943E"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95</w:t>
            </w:r>
          </w:p>
        </w:tc>
        <w:tc>
          <w:tcPr>
            <w:tcW w:w="0" w:type="dxa"/>
            <w:tcBorders>
              <w:top w:val="single" w:sz="4" w:space="0" w:color="FFFFFF" w:themeColor="background2"/>
            </w:tcBorders>
            <w:noWrap/>
            <w:vAlign w:val="center"/>
            <w:hideMark/>
          </w:tcPr>
          <w:p w14:paraId="10C73937" w14:textId="514F15E4"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1,627,515</w:t>
            </w:r>
          </w:p>
        </w:tc>
        <w:tc>
          <w:tcPr>
            <w:tcW w:w="0" w:type="dxa"/>
            <w:tcBorders>
              <w:top w:val="single" w:sz="4" w:space="0" w:color="FFFFFF" w:themeColor="background2"/>
            </w:tcBorders>
            <w:noWrap/>
            <w:vAlign w:val="center"/>
            <w:hideMark/>
          </w:tcPr>
          <w:p w14:paraId="553D30F8" w14:textId="624EB24F"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1,790,686</w:t>
            </w:r>
          </w:p>
        </w:tc>
        <w:tc>
          <w:tcPr>
            <w:tcW w:w="0" w:type="dxa"/>
            <w:tcBorders>
              <w:top w:val="single" w:sz="4" w:space="0" w:color="FFFFFF" w:themeColor="background2"/>
            </w:tcBorders>
            <w:noWrap/>
            <w:vAlign w:val="center"/>
          </w:tcPr>
          <w:p w14:paraId="5C461220" w14:textId="6A09F162"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91</w:t>
            </w:r>
          </w:p>
        </w:tc>
        <w:tc>
          <w:tcPr>
            <w:tcW w:w="0" w:type="dxa"/>
            <w:tcBorders>
              <w:top w:val="single" w:sz="4" w:space="0" w:color="FFFFFF" w:themeColor="background2"/>
            </w:tcBorders>
            <w:noWrap/>
            <w:vAlign w:val="center"/>
            <w:hideMark/>
          </w:tcPr>
          <w:p w14:paraId="2C424F2B" w14:textId="009FBF25"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1,489,598</w:t>
            </w:r>
          </w:p>
        </w:tc>
        <w:tc>
          <w:tcPr>
            <w:tcW w:w="0" w:type="dxa"/>
            <w:tcBorders>
              <w:top w:val="single" w:sz="4" w:space="0" w:color="FFFFFF" w:themeColor="background2"/>
            </w:tcBorders>
            <w:noWrap/>
            <w:vAlign w:val="center"/>
            <w:hideMark/>
          </w:tcPr>
          <w:p w14:paraId="741021C0" w14:textId="06C62E00"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1,679,231</w:t>
            </w:r>
          </w:p>
        </w:tc>
        <w:tc>
          <w:tcPr>
            <w:tcW w:w="0" w:type="dxa"/>
            <w:tcBorders>
              <w:top w:val="single" w:sz="4" w:space="0" w:color="FFFFFF" w:themeColor="background2"/>
            </w:tcBorders>
            <w:noWrap/>
            <w:vAlign w:val="center"/>
          </w:tcPr>
          <w:p w14:paraId="0ADD676E" w14:textId="4F6F16BD"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89</w:t>
            </w:r>
          </w:p>
        </w:tc>
      </w:tr>
      <w:tr w:rsidR="00FD1801" w:rsidRPr="00CE058E" w14:paraId="471F63AA" w14:textId="77777777" w:rsidTr="009816AC">
        <w:trPr>
          <w:gridAfter w:val="1"/>
          <w:cnfStyle w:val="000000100000" w:firstRow="0" w:lastRow="0" w:firstColumn="0" w:lastColumn="0" w:oddVBand="0" w:evenVBand="0" w:oddHBand="1" w:evenHBand="0" w:firstRowFirstColumn="0" w:firstRowLastColumn="0" w:lastRowFirstColumn="0" w:lastRowLastColumn="0"/>
          <w:wAfter w:w="9" w:type="dxa"/>
          <w:trHeight w:val="5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DB023FA" w14:textId="28978DF0" w:rsidR="00B563C6" w:rsidRPr="00CE058E" w:rsidRDefault="00B563C6" w:rsidP="00FD1801">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V</w:t>
            </w:r>
            <w:r w:rsidR="0028185A" w:rsidRPr="00CE058E">
              <w:rPr>
                <w:rFonts w:eastAsia="Times New Roman" w:cs="Arial"/>
                <w:color w:val="auto"/>
                <w:sz w:val="18"/>
                <w:szCs w:val="18"/>
                <w:lang w:eastAsia="en-AU"/>
              </w:rPr>
              <w:t>ic</w:t>
            </w:r>
          </w:p>
        </w:tc>
        <w:tc>
          <w:tcPr>
            <w:tcW w:w="0" w:type="dxa"/>
            <w:noWrap/>
            <w:vAlign w:val="center"/>
            <w:hideMark/>
          </w:tcPr>
          <w:p w14:paraId="796118F7" w14:textId="4467F079"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1,671,680</w:t>
            </w:r>
          </w:p>
        </w:tc>
        <w:tc>
          <w:tcPr>
            <w:tcW w:w="0" w:type="dxa"/>
            <w:noWrap/>
            <w:vAlign w:val="center"/>
            <w:hideMark/>
          </w:tcPr>
          <w:p w14:paraId="4B4BE262" w14:textId="32D8196B"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1,759,730</w:t>
            </w:r>
          </w:p>
        </w:tc>
        <w:tc>
          <w:tcPr>
            <w:tcW w:w="0" w:type="dxa"/>
            <w:noWrap/>
            <w:vAlign w:val="center"/>
          </w:tcPr>
          <w:p w14:paraId="7340D80D" w14:textId="6420F075"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95</w:t>
            </w:r>
          </w:p>
        </w:tc>
        <w:tc>
          <w:tcPr>
            <w:tcW w:w="0" w:type="dxa"/>
            <w:noWrap/>
            <w:vAlign w:val="center"/>
            <w:hideMark/>
          </w:tcPr>
          <w:p w14:paraId="294E417D" w14:textId="3D17999D"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1,659,307</w:t>
            </w:r>
          </w:p>
        </w:tc>
        <w:tc>
          <w:tcPr>
            <w:tcW w:w="0" w:type="dxa"/>
            <w:noWrap/>
            <w:vAlign w:val="center"/>
            <w:hideMark/>
          </w:tcPr>
          <w:p w14:paraId="57BA02D4" w14:textId="38C59FC2"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1,753,495</w:t>
            </w:r>
          </w:p>
        </w:tc>
        <w:tc>
          <w:tcPr>
            <w:tcW w:w="0" w:type="dxa"/>
            <w:noWrap/>
            <w:vAlign w:val="center"/>
          </w:tcPr>
          <w:p w14:paraId="76109A8F" w14:textId="4AAD4853"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95</w:t>
            </w:r>
          </w:p>
        </w:tc>
        <w:tc>
          <w:tcPr>
            <w:tcW w:w="0" w:type="dxa"/>
            <w:noWrap/>
            <w:vAlign w:val="center"/>
            <w:hideMark/>
          </w:tcPr>
          <w:p w14:paraId="6BEE9D92" w14:textId="531FC304"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1,682,451</w:t>
            </w:r>
          </w:p>
        </w:tc>
        <w:tc>
          <w:tcPr>
            <w:tcW w:w="0" w:type="dxa"/>
            <w:noWrap/>
            <w:vAlign w:val="center"/>
            <w:hideMark/>
          </w:tcPr>
          <w:p w14:paraId="2C8A3F61" w14:textId="45375AFC"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1,746,907</w:t>
            </w:r>
          </w:p>
        </w:tc>
        <w:tc>
          <w:tcPr>
            <w:tcW w:w="0" w:type="dxa"/>
            <w:noWrap/>
            <w:vAlign w:val="center"/>
          </w:tcPr>
          <w:p w14:paraId="26D66F0F" w14:textId="196FE13D"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96</w:t>
            </w:r>
          </w:p>
        </w:tc>
      </w:tr>
      <w:tr w:rsidR="006434D9" w:rsidRPr="00CE058E" w14:paraId="61CBBA04" w14:textId="77777777" w:rsidTr="009816AC">
        <w:trPr>
          <w:gridAfter w:val="1"/>
          <w:wAfter w:w="9" w:type="dxa"/>
          <w:trHeight w:val="5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A3F5A56" w14:textId="592D0049" w:rsidR="00B563C6" w:rsidRPr="00CE058E" w:rsidRDefault="00B563C6" w:rsidP="00FD1801">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Q</w:t>
            </w:r>
            <w:r w:rsidR="0028185A" w:rsidRPr="00CE058E">
              <w:rPr>
                <w:rFonts w:eastAsia="Times New Roman" w:cs="Arial"/>
                <w:color w:val="auto"/>
                <w:sz w:val="18"/>
                <w:szCs w:val="18"/>
                <w:lang w:eastAsia="en-AU"/>
              </w:rPr>
              <w:t>ld</w:t>
            </w:r>
          </w:p>
        </w:tc>
        <w:tc>
          <w:tcPr>
            <w:tcW w:w="0" w:type="dxa"/>
            <w:noWrap/>
            <w:vAlign w:val="center"/>
            <w:hideMark/>
          </w:tcPr>
          <w:p w14:paraId="0B794619" w14:textId="411AA956"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1,509,216</w:t>
            </w:r>
          </w:p>
        </w:tc>
        <w:tc>
          <w:tcPr>
            <w:tcW w:w="0" w:type="dxa"/>
            <w:noWrap/>
            <w:vAlign w:val="center"/>
            <w:hideMark/>
          </w:tcPr>
          <w:p w14:paraId="2866032C" w14:textId="5761E02E"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1,516,050</w:t>
            </w:r>
          </w:p>
        </w:tc>
        <w:tc>
          <w:tcPr>
            <w:tcW w:w="0" w:type="dxa"/>
            <w:noWrap/>
            <w:vAlign w:val="center"/>
          </w:tcPr>
          <w:p w14:paraId="4D20419F" w14:textId="116E44B8"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100</w:t>
            </w:r>
          </w:p>
        </w:tc>
        <w:tc>
          <w:tcPr>
            <w:tcW w:w="0" w:type="dxa"/>
            <w:noWrap/>
            <w:vAlign w:val="center"/>
            <w:hideMark/>
          </w:tcPr>
          <w:p w14:paraId="492F4831" w14:textId="4F9B0CB7"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1,626,382</w:t>
            </w:r>
          </w:p>
        </w:tc>
        <w:tc>
          <w:tcPr>
            <w:tcW w:w="0" w:type="dxa"/>
            <w:noWrap/>
            <w:vAlign w:val="center"/>
            <w:hideMark/>
          </w:tcPr>
          <w:p w14:paraId="065F21E2" w14:textId="498D1D27"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1,645,733</w:t>
            </w:r>
          </w:p>
        </w:tc>
        <w:tc>
          <w:tcPr>
            <w:tcW w:w="0" w:type="dxa"/>
            <w:noWrap/>
            <w:vAlign w:val="center"/>
          </w:tcPr>
          <w:p w14:paraId="24DDD6D2" w14:textId="6DB50197"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99</w:t>
            </w:r>
          </w:p>
        </w:tc>
        <w:tc>
          <w:tcPr>
            <w:tcW w:w="0" w:type="dxa"/>
            <w:noWrap/>
            <w:vAlign w:val="center"/>
            <w:hideMark/>
          </w:tcPr>
          <w:p w14:paraId="6DA5C025" w14:textId="385291C4"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1,622,556</w:t>
            </w:r>
          </w:p>
        </w:tc>
        <w:tc>
          <w:tcPr>
            <w:tcW w:w="0" w:type="dxa"/>
            <w:noWrap/>
            <w:vAlign w:val="center"/>
            <w:hideMark/>
          </w:tcPr>
          <w:p w14:paraId="67174E4F" w14:textId="59C03123"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1,654,508</w:t>
            </w:r>
          </w:p>
        </w:tc>
        <w:tc>
          <w:tcPr>
            <w:tcW w:w="0" w:type="dxa"/>
            <w:noWrap/>
            <w:vAlign w:val="center"/>
          </w:tcPr>
          <w:p w14:paraId="74EF3546" w14:textId="78278E6D"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98</w:t>
            </w:r>
          </w:p>
        </w:tc>
      </w:tr>
      <w:tr w:rsidR="00FD1801" w:rsidRPr="00CE058E" w14:paraId="3642CFBA" w14:textId="77777777" w:rsidTr="009816AC">
        <w:trPr>
          <w:gridAfter w:val="1"/>
          <w:cnfStyle w:val="000000100000" w:firstRow="0" w:lastRow="0" w:firstColumn="0" w:lastColumn="0" w:oddVBand="0" w:evenVBand="0" w:oddHBand="1" w:evenHBand="0" w:firstRowFirstColumn="0" w:firstRowLastColumn="0" w:lastRowFirstColumn="0" w:lastRowLastColumn="0"/>
          <w:wAfter w:w="9" w:type="dxa"/>
          <w:trHeight w:val="5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FAC031E" w14:textId="77777777" w:rsidR="00B563C6" w:rsidRPr="00CE058E" w:rsidRDefault="00B563C6" w:rsidP="00FD1801">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SA</w:t>
            </w:r>
          </w:p>
        </w:tc>
        <w:tc>
          <w:tcPr>
            <w:tcW w:w="0" w:type="dxa"/>
            <w:noWrap/>
            <w:vAlign w:val="center"/>
            <w:hideMark/>
          </w:tcPr>
          <w:p w14:paraId="650083AB" w14:textId="7502A713"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387,506</w:t>
            </w:r>
          </w:p>
        </w:tc>
        <w:tc>
          <w:tcPr>
            <w:tcW w:w="0" w:type="dxa"/>
            <w:noWrap/>
            <w:vAlign w:val="center"/>
            <w:hideMark/>
          </w:tcPr>
          <w:p w14:paraId="19D7D830" w14:textId="61B74AFB"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418,881</w:t>
            </w:r>
          </w:p>
        </w:tc>
        <w:tc>
          <w:tcPr>
            <w:tcW w:w="0" w:type="dxa"/>
            <w:noWrap/>
            <w:vAlign w:val="center"/>
          </w:tcPr>
          <w:p w14:paraId="5A89B817" w14:textId="0645CD67"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93</w:t>
            </w:r>
          </w:p>
        </w:tc>
        <w:tc>
          <w:tcPr>
            <w:tcW w:w="0" w:type="dxa"/>
            <w:noWrap/>
            <w:vAlign w:val="center"/>
            <w:hideMark/>
          </w:tcPr>
          <w:p w14:paraId="673E5874" w14:textId="1FB70EB9"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404,836</w:t>
            </w:r>
          </w:p>
        </w:tc>
        <w:tc>
          <w:tcPr>
            <w:tcW w:w="0" w:type="dxa"/>
            <w:noWrap/>
            <w:vAlign w:val="center"/>
            <w:hideMark/>
          </w:tcPr>
          <w:p w14:paraId="33F4522A" w14:textId="485EAE90"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437,520</w:t>
            </w:r>
          </w:p>
        </w:tc>
        <w:tc>
          <w:tcPr>
            <w:tcW w:w="0" w:type="dxa"/>
            <w:noWrap/>
            <w:vAlign w:val="center"/>
          </w:tcPr>
          <w:p w14:paraId="45C4ED75" w14:textId="306359BA"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93</w:t>
            </w:r>
          </w:p>
        </w:tc>
        <w:tc>
          <w:tcPr>
            <w:tcW w:w="0" w:type="dxa"/>
            <w:noWrap/>
            <w:vAlign w:val="center"/>
            <w:hideMark/>
          </w:tcPr>
          <w:p w14:paraId="778E3662" w14:textId="39B09470"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409,865</w:t>
            </w:r>
          </w:p>
        </w:tc>
        <w:tc>
          <w:tcPr>
            <w:tcW w:w="0" w:type="dxa"/>
            <w:noWrap/>
            <w:vAlign w:val="center"/>
            <w:hideMark/>
          </w:tcPr>
          <w:p w14:paraId="37C5FD7B" w14:textId="0F409D41"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437,405</w:t>
            </w:r>
          </w:p>
        </w:tc>
        <w:tc>
          <w:tcPr>
            <w:tcW w:w="0" w:type="dxa"/>
            <w:noWrap/>
            <w:vAlign w:val="center"/>
          </w:tcPr>
          <w:p w14:paraId="5128F332" w14:textId="04D39DF4"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94</w:t>
            </w:r>
          </w:p>
        </w:tc>
      </w:tr>
      <w:tr w:rsidR="006434D9" w:rsidRPr="00CE058E" w14:paraId="61BADFE9" w14:textId="77777777" w:rsidTr="009816AC">
        <w:trPr>
          <w:gridAfter w:val="1"/>
          <w:wAfter w:w="9" w:type="dxa"/>
          <w:trHeight w:val="71"/>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C27F327" w14:textId="77777777" w:rsidR="00B563C6" w:rsidRPr="00CE058E" w:rsidRDefault="00B563C6" w:rsidP="00FD1801">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WA</w:t>
            </w:r>
          </w:p>
        </w:tc>
        <w:tc>
          <w:tcPr>
            <w:tcW w:w="0" w:type="dxa"/>
            <w:noWrap/>
            <w:vAlign w:val="center"/>
            <w:hideMark/>
          </w:tcPr>
          <w:p w14:paraId="63A7FE2D" w14:textId="2A81ED4B"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564,900</w:t>
            </w:r>
          </w:p>
        </w:tc>
        <w:tc>
          <w:tcPr>
            <w:tcW w:w="0" w:type="dxa"/>
            <w:noWrap/>
            <w:vAlign w:val="center"/>
            <w:hideMark/>
          </w:tcPr>
          <w:p w14:paraId="230613E7" w14:textId="3F803456"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577,038</w:t>
            </w:r>
          </w:p>
        </w:tc>
        <w:tc>
          <w:tcPr>
            <w:tcW w:w="0" w:type="dxa"/>
            <w:noWrap/>
            <w:vAlign w:val="center"/>
          </w:tcPr>
          <w:p w14:paraId="3FA6FC67" w14:textId="393663E1"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98</w:t>
            </w:r>
          </w:p>
        </w:tc>
        <w:tc>
          <w:tcPr>
            <w:tcW w:w="0" w:type="dxa"/>
            <w:noWrap/>
            <w:vAlign w:val="center"/>
            <w:hideMark/>
          </w:tcPr>
          <w:p w14:paraId="6AC8D443" w14:textId="0C71B956"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609,839</w:t>
            </w:r>
          </w:p>
        </w:tc>
        <w:tc>
          <w:tcPr>
            <w:tcW w:w="0" w:type="dxa"/>
            <w:noWrap/>
            <w:vAlign w:val="center"/>
            <w:hideMark/>
          </w:tcPr>
          <w:p w14:paraId="23D03775" w14:textId="1D7320D1"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619,557</w:t>
            </w:r>
          </w:p>
        </w:tc>
        <w:tc>
          <w:tcPr>
            <w:tcW w:w="0" w:type="dxa"/>
            <w:noWrap/>
            <w:vAlign w:val="center"/>
          </w:tcPr>
          <w:p w14:paraId="1B4C9853" w14:textId="5A32BD1A"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98</w:t>
            </w:r>
          </w:p>
        </w:tc>
        <w:tc>
          <w:tcPr>
            <w:tcW w:w="0" w:type="dxa"/>
            <w:noWrap/>
            <w:vAlign w:val="center"/>
            <w:hideMark/>
          </w:tcPr>
          <w:p w14:paraId="11A6033C" w14:textId="0C9EDA60"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588,309</w:t>
            </w:r>
          </w:p>
        </w:tc>
        <w:tc>
          <w:tcPr>
            <w:tcW w:w="0" w:type="dxa"/>
            <w:noWrap/>
            <w:vAlign w:val="center"/>
            <w:hideMark/>
          </w:tcPr>
          <w:p w14:paraId="511ECA80" w14:textId="1B1CADF0"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600,836</w:t>
            </w:r>
          </w:p>
        </w:tc>
        <w:tc>
          <w:tcPr>
            <w:tcW w:w="0" w:type="dxa"/>
            <w:noWrap/>
            <w:vAlign w:val="center"/>
          </w:tcPr>
          <w:p w14:paraId="3BC3C87F" w14:textId="16B34B86"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98</w:t>
            </w:r>
          </w:p>
        </w:tc>
      </w:tr>
      <w:tr w:rsidR="00FD1801" w:rsidRPr="00CE058E" w14:paraId="59FBA6D1" w14:textId="77777777" w:rsidTr="009816AC">
        <w:trPr>
          <w:gridAfter w:val="1"/>
          <w:cnfStyle w:val="000000100000" w:firstRow="0" w:lastRow="0" w:firstColumn="0" w:lastColumn="0" w:oddVBand="0" w:evenVBand="0" w:oddHBand="1" w:evenHBand="0" w:firstRowFirstColumn="0" w:firstRowLastColumn="0" w:lastRowFirstColumn="0" w:lastRowLastColumn="0"/>
          <w:wAfter w:w="9" w:type="dxa"/>
          <w:trHeight w:val="5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92CE2AE" w14:textId="2E70D107" w:rsidR="00B563C6" w:rsidRPr="00CE058E" w:rsidRDefault="00B563C6" w:rsidP="00FD1801">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T</w:t>
            </w:r>
            <w:r w:rsidR="0028185A" w:rsidRPr="00CE058E">
              <w:rPr>
                <w:rFonts w:eastAsia="Times New Roman" w:cs="Arial"/>
                <w:color w:val="auto"/>
                <w:sz w:val="18"/>
                <w:szCs w:val="18"/>
                <w:lang w:eastAsia="en-AU"/>
              </w:rPr>
              <w:t>as</w:t>
            </w:r>
          </w:p>
        </w:tc>
        <w:tc>
          <w:tcPr>
            <w:tcW w:w="0" w:type="dxa"/>
            <w:noWrap/>
            <w:vAlign w:val="center"/>
            <w:hideMark/>
          </w:tcPr>
          <w:p w14:paraId="2A0122C6" w14:textId="765C5031"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123,544</w:t>
            </w:r>
          </w:p>
        </w:tc>
        <w:tc>
          <w:tcPr>
            <w:tcW w:w="0" w:type="dxa"/>
            <w:noWrap/>
            <w:vAlign w:val="center"/>
            <w:hideMark/>
          </w:tcPr>
          <w:p w14:paraId="784FBAA0" w14:textId="13C69154"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123,591</w:t>
            </w:r>
          </w:p>
        </w:tc>
        <w:tc>
          <w:tcPr>
            <w:tcW w:w="0" w:type="dxa"/>
            <w:noWrap/>
            <w:vAlign w:val="center"/>
          </w:tcPr>
          <w:p w14:paraId="3D257B2A" w14:textId="20A59C7B"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100</w:t>
            </w:r>
          </w:p>
        </w:tc>
        <w:tc>
          <w:tcPr>
            <w:tcW w:w="0" w:type="dxa"/>
            <w:noWrap/>
            <w:vAlign w:val="center"/>
            <w:hideMark/>
          </w:tcPr>
          <w:p w14:paraId="3BF3526D" w14:textId="491B1BB1"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132,792</w:t>
            </w:r>
          </w:p>
        </w:tc>
        <w:tc>
          <w:tcPr>
            <w:tcW w:w="0" w:type="dxa"/>
            <w:noWrap/>
            <w:vAlign w:val="center"/>
            <w:hideMark/>
          </w:tcPr>
          <w:p w14:paraId="2D978BBD" w14:textId="03829393"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132,841</w:t>
            </w:r>
          </w:p>
        </w:tc>
        <w:tc>
          <w:tcPr>
            <w:tcW w:w="0" w:type="dxa"/>
            <w:noWrap/>
            <w:vAlign w:val="center"/>
          </w:tcPr>
          <w:p w14:paraId="4F09CD9D" w14:textId="4DBF6EF7"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100</w:t>
            </w:r>
          </w:p>
        </w:tc>
        <w:tc>
          <w:tcPr>
            <w:tcW w:w="0" w:type="dxa"/>
            <w:noWrap/>
            <w:vAlign w:val="center"/>
            <w:hideMark/>
          </w:tcPr>
          <w:p w14:paraId="1F36CF71" w14:textId="6B90175F"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150,054</w:t>
            </w:r>
          </w:p>
        </w:tc>
        <w:tc>
          <w:tcPr>
            <w:tcW w:w="0" w:type="dxa"/>
            <w:noWrap/>
            <w:vAlign w:val="center"/>
            <w:hideMark/>
          </w:tcPr>
          <w:p w14:paraId="4647DCA5" w14:textId="4140B4E8"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150,146</w:t>
            </w:r>
          </w:p>
        </w:tc>
        <w:tc>
          <w:tcPr>
            <w:tcW w:w="0" w:type="dxa"/>
            <w:noWrap/>
            <w:vAlign w:val="center"/>
          </w:tcPr>
          <w:p w14:paraId="2EFAFF9F" w14:textId="3ACD4021"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100</w:t>
            </w:r>
          </w:p>
        </w:tc>
      </w:tr>
      <w:tr w:rsidR="006434D9" w:rsidRPr="00CE058E" w14:paraId="5DA5F1A5" w14:textId="77777777" w:rsidTr="009816AC">
        <w:trPr>
          <w:gridAfter w:val="1"/>
          <w:wAfter w:w="9" w:type="dxa"/>
          <w:trHeight w:val="5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63B8468" w14:textId="77777777" w:rsidR="00B563C6" w:rsidRPr="00CE058E" w:rsidRDefault="00B563C6" w:rsidP="00FD1801">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NT</w:t>
            </w:r>
          </w:p>
        </w:tc>
        <w:tc>
          <w:tcPr>
            <w:tcW w:w="0" w:type="dxa"/>
            <w:noWrap/>
            <w:vAlign w:val="center"/>
            <w:hideMark/>
          </w:tcPr>
          <w:p w14:paraId="54535383" w14:textId="0F3D4C60"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178,875</w:t>
            </w:r>
          </w:p>
        </w:tc>
        <w:tc>
          <w:tcPr>
            <w:tcW w:w="0" w:type="dxa"/>
            <w:noWrap/>
            <w:vAlign w:val="center"/>
            <w:hideMark/>
          </w:tcPr>
          <w:p w14:paraId="6D583938" w14:textId="0626FDAE"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178,882</w:t>
            </w:r>
          </w:p>
        </w:tc>
        <w:tc>
          <w:tcPr>
            <w:tcW w:w="0" w:type="dxa"/>
            <w:noWrap/>
            <w:vAlign w:val="center"/>
          </w:tcPr>
          <w:p w14:paraId="72EAA243" w14:textId="0733268D"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10</w:t>
            </w:r>
            <w:r w:rsidR="001E2FEF" w:rsidRPr="00CE058E">
              <w:rPr>
                <w:rFonts w:cs="Arial"/>
                <w:sz w:val="18"/>
                <w:szCs w:val="18"/>
              </w:rPr>
              <w:t>0</w:t>
            </w:r>
          </w:p>
        </w:tc>
        <w:tc>
          <w:tcPr>
            <w:tcW w:w="0" w:type="dxa"/>
            <w:noWrap/>
            <w:vAlign w:val="center"/>
            <w:hideMark/>
          </w:tcPr>
          <w:p w14:paraId="2E6DEA14" w14:textId="4D266A33"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179,773</w:t>
            </w:r>
          </w:p>
        </w:tc>
        <w:tc>
          <w:tcPr>
            <w:tcW w:w="0" w:type="dxa"/>
            <w:noWrap/>
            <w:vAlign w:val="center"/>
            <w:hideMark/>
          </w:tcPr>
          <w:p w14:paraId="757FC15F" w14:textId="715DDE76"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179,780</w:t>
            </w:r>
          </w:p>
        </w:tc>
        <w:tc>
          <w:tcPr>
            <w:tcW w:w="0" w:type="dxa"/>
            <w:noWrap/>
            <w:vAlign w:val="center"/>
          </w:tcPr>
          <w:p w14:paraId="7A1FF6D1" w14:textId="4AC5F2C9"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100</w:t>
            </w:r>
          </w:p>
        </w:tc>
        <w:tc>
          <w:tcPr>
            <w:tcW w:w="0" w:type="dxa"/>
            <w:noWrap/>
            <w:vAlign w:val="center"/>
            <w:hideMark/>
          </w:tcPr>
          <w:p w14:paraId="15DF5ECA" w14:textId="476374E2"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169,314</w:t>
            </w:r>
          </w:p>
        </w:tc>
        <w:tc>
          <w:tcPr>
            <w:tcW w:w="0" w:type="dxa"/>
            <w:noWrap/>
            <w:vAlign w:val="center"/>
            <w:hideMark/>
          </w:tcPr>
          <w:p w14:paraId="100A9EFD" w14:textId="5A85E54B"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169,533</w:t>
            </w:r>
          </w:p>
        </w:tc>
        <w:tc>
          <w:tcPr>
            <w:tcW w:w="0" w:type="dxa"/>
            <w:noWrap/>
            <w:vAlign w:val="center"/>
          </w:tcPr>
          <w:p w14:paraId="5A17E766" w14:textId="0FE0EC84"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100</w:t>
            </w:r>
          </w:p>
        </w:tc>
      </w:tr>
      <w:tr w:rsidR="00FD1801" w:rsidRPr="00CE058E" w14:paraId="3E853759" w14:textId="77777777" w:rsidTr="009816AC">
        <w:trPr>
          <w:gridAfter w:val="1"/>
          <w:cnfStyle w:val="000000100000" w:firstRow="0" w:lastRow="0" w:firstColumn="0" w:lastColumn="0" w:oddVBand="0" w:evenVBand="0" w:oddHBand="1" w:evenHBand="0" w:firstRowFirstColumn="0" w:firstRowLastColumn="0" w:lastRowFirstColumn="0" w:lastRowLastColumn="0"/>
          <w:wAfter w:w="9" w:type="dxa"/>
          <w:trHeight w:val="5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234340A" w14:textId="77777777" w:rsidR="00B563C6" w:rsidRPr="00CE058E" w:rsidRDefault="00B563C6" w:rsidP="00FD1801">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ACT</w:t>
            </w:r>
          </w:p>
        </w:tc>
        <w:tc>
          <w:tcPr>
            <w:tcW w:w="0" w:type="dxa"/>
            <w:noWrap/>
            <w:vAlign w:val="center"/>
            <w:hideMark/>
          </w:tcPr>
          <w:p w14:paraId="67BD2917" w14:textId="63E5C936"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107,934</w:t>
            </w:r>
          </w:p>
        </w:tc>
        <w:tc>
          <w:tcPr>
            <w:tcW w:w="0" w:type="dxa"/>
            <w:noWrap/>
            <w:vAlign w:val="center"/>
            <w:hideMark/>
          </w:tcPr>
          <w:p w14:paraId="0F42A39F" w14:textId="1746844C"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111,123</w:t>
            </w:r>
          </w:p>
        </w:tc>
        <w:tc>
          <w:tcPr>
            <w:tcW w:w="0" w:type="dxa"/>
            <w:noWrap/>
            <w:vAlign w:val="center"/>
          </w:tcPr>
          <w:p w14:paraId="7549A378" w14:textId="0C77D9D4"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97</w:t>
            </w:r>
          </w:p>
        </w:tc>
        <w:tc>
          <w:tcPr>
            <w:tcW w:w="0" w:type="dxa"/>
            <w:noWrap/>
            <w:vAlign w:val="center"/>
            <w:hideMark/>
          </w:tcPr>
          <w:p w14:paraId="1F46D453" w14:textId="38EE8DEA"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119,815</w:t>
            </w:r>
          </w:p>
        </w:tc>
        <w:tc>
          <w:tcPr>
            <w:tcW w:w="0" w:type="dxa"/>
            <w:noWrap/>
            <w:vAlign w:val="center"/>
            <w:hideMark/>
          </w:tcPr>
          <w:p w14:paraId="36B55956" w14:textId="749A675A"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121,672</w:t>
            </w:r>
          </w:p>
        </w:tc>
        <w:tc>
          <w:tcPr>
            <w:tcW w:w="0" w:type="dxa"/>
            <w:noWrap/>
            <w:vAlign w:val="center"/>
          </w:tcPr>
          <w:p w14:paraId="6461E33D" w14:textId="4ED48A7C"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98</w:t>
            </w:r>
          </w:p>
        </w:tc>
        <w:tc>
          <w:tcPr>
            <w:tcW w:w="0" w:type="dxa"/>
            <w:noWrap/>
            <w:vAlign w:val="center"/>
            <w:hideMark/>
          </w:tcPr>
          <w:p w14:paraId="2D2F7920" w14:textId="59E7C2BB"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112,495</w:t>
            </w:r>
          </w:p>
        </w:tc>
        <w:tc>
          <w:tcPr>
            <w:tcW w:w="0" w:type="dxa"/>
            <w:noWrap/>
            <w:vAlign w:val="center"/>
            <w:hideMark/>
          </w:tcPr>
          <w:p w14:paraId="57F1EED4" w14:textId="5043B074"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113,885</w:t>
            </w:r>
          </w:p>
        </w:tc>
        <w:tc>
          <w:tcPr>
            <w:tcW w:w="0" w:type="dxa"/>
            <w:noWrap/>
            <w:vAlign w:val="center"/>
          </w:tcPr>
          <w:p w14:paraId="097F7A0F" w14:textId="273A7CD6" w:rsidR="00B563C6" w:rsidRPr="00CE058E" w:rsidRDefault="00B563C6"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auto"/>
                <w:sz w:val="18"/>
                <w:szCs w:val="18"/>
              </w:rPr>
              <w:t>99</w:t>
            </w:r>
          </w:p>
        </w:tc>
      </w:tr>
      <w:tr w:rsidR="006434D9" w:rsidRPr="00CE058E" w14:paraId="7C1AB1E3" w14:textId="77777777" w:rsidTr="009816AC">
        <w:trPr>
          <w:gridAfter w:val="1"/>
          <w:wAfter w:w="9" w:type="dxa"/>
          <w:trHeight w:val="5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7A93584" w14:textId="77777777" w:rsidR="00B563C6" w:rsidRPr="00CE058E" w:rsidRDefault="00B563C6" w:rsidP="00FD1801">
            <w:pPr>
              <w:spacing w:line="240" w:lineRule="auto"/>
              <w:jc w:val="center"/>
              <w:rPr>
                <w:rFonts w:eastAsia="Times New Roman" w:cs="Arial"/>
                <w:b w:val="0"/>
                <w:bCs w:val="0"/>
                <w:color w:val="auto"/>
                <w:sz w:val="18"/>
                <w:szCs w:val="18"/>
                <w:lang w:eastAsia="en-AU"/>
              </w:rPr>
            </w:pPr>
            <w:r w:rsidRPr="00CE058E">
              <w:rPr>
                <w:rFonts w:eastAsia="Times New Roman" w:cs="Arial"/>
                <w:color w:val="auto"/>
                <w:sz w:val="18"/>
                <w:szCs w:val="18"/>
                <w:lang w:eastAsia="en-AU"/>
              </w:rPr>
              <w:t>National</w:t>
            </w:r>
          </w:p>
        </w:tc>
        <w:tc>
          <w:tcPr>
            <w:tcW w:w="0" w:type="dxa"/>
            <w:noWrap/>
            <w:vAlign w:val="center"/>
            <w:hideMark/>
          </w:tcPr>
          <w:p w14:paraId="5176B6CF" w14:textId="61825D4C"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6,141,848</w:t>
            </w:r>
          </w:p>
        </w:tc>
        <w:tc>
          <w:tcPr>
            <w:tcW w:w="0" w:type="dxa"/>
            <w:noWrap/>
            <w:vAlign w:val="center"/>
            <w:hideMark/>
          </w:tcPr>
          <w:p w14:paraId="629CAF71" w14:textId="59CF685C"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6,370,613</w:t>
            </w:r>
          </w:p>
        </w:tc>
        <w:tc>
          <w:tcPr>
            <w:tcW w:w="0" w:type="dxa"/>
            <w:noWrap/>
            <w:vAlign w:val="center"/>
          </w:tcPr>
          <w:p w14:paraId="457794DC" w14:textId="324AF7A4"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96</w:t>
            </w:r>
          </w:p>
        </w:tc>
        <w:tc>
          <w:tcPr>
            <w:tcW w:w="0" w:type="dxa"/>
            <w:noWrap/>
            <w:vAlign w:val="center"/>
            <w:hideMark/>
          </w:tcPr>
          <w:p w14:paraId="043BEB33" w14:textId="5F185BDA"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6,360,259</w:t>
            </w:r>
          </w:p>
        </w:tc>
        <w:tc>
          <w:tcPr>
            <w:tcW w:w="0" w:type="dxa"/>
            <w:noWrap/>
            <w:vAlign w:val="center"/>
            <w:hideMark/>
          </w:tcPr>
          <w:p w14:paraId="5CCEBEBB" w14:textId="45D85BBF"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6,681,284</w:t>
            </w:r>
          </w:p>
        </w:tc>
        <w:tc>
          <w:tcPr>
            <w:tcW w:w="0" w:type="dxa"/>
            <w:noWrap/>
            <w:vAlign w:val="center"/>
          </w:tcPr>
          <w:p w14:paraId="3AA93273" w14:textId="71790163"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95</w:t>
            </w:r>
          </w:p>
        </w:tc>
        <w:tc>
          <w:tcPr>
            <w:tcW w:w="0" w:type="dxa"/>
            <w:noWrap/>
            <w:vAlign w:val="center"/>
            <w:hideMark/>
          </w:tcPr>
          <w:p w14:paraId="327107E4" w14:textId="222194B8"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6,224,642</w:t>
            </w:r>
          </w:p>
        </w:tc>
        <w:tc>
          <w:tcPr>
            <w:tcW w:w="0" w:type="dxa"/>
            <w:noWrap/>
            <w:vAlign w:val="center"/>
            <w:hideMark/>
          </w:tcPr>
          <w:p w14:paraId="3AB6D090" w14:textId="42273549"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6,552,451</w:t>
            </w:r>
          </w:p>
        </w:tc>
        <w:tc>
          <w:tcPr>
            <w:tcW w:w="0" w:type="dxa"/>
            <w:noWrap/>
            <w:vAlign w:val="center"/>
          </w:tcPr>
          <w:p w14:paraId="4A12D7B9" w14:textId="1374C3F4" w:rsidR="00B563C6" w:rsidRPr="00CE058E" w:rsidRDefault="00B563C6"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95</w:t>
            </w:r>
          </w:p>
        </w:tc>
      </w:tr>
    </w:tbl>
    <w:p w14:paraId="69C04A2D" w14:textId="37FF3D61" w:rsidR="00BA6C2D" w:rsidRPr="00CE058E" w:rsidRDefault="002501B6" w:rsidP="007B41F8">
      <w:pPr>
        <w:pStyle w:val="Heading2"/>
      </w:pPr>
      <w:bookmarkStart w:id="154" w:name="_Toc144967635"/>
      <w:bookmarkStart w:id="155" w:name="_Toc151129690"/>
      <w:bookmarkStart w:id="156" w:name="_Toc158882541"/>
      <w:bookmarkStart w:id="157" w:name="_Toc158882602"/>
      <w:r w:rsidRPr="00CE058E">
        <w:t xml:space="preserve">Admitted acute </w:t>
      </w:r>
      <w:r w:rsidR="00BA6C2D" w:rsidRPr="00CE058E">
        <w:t>separations</w:t>
      </w:r>
      <w:bookmarkEnd w:id="149"/>
      <w:bookmarkEnd w:id="154"/>
      <w:bookmarkEnd w:id="155"/>
      <w:bookmarkEnd w:id="156"/>
      <w:bookmarkEnd w:id="157"/>
    </w:p>
    <w:p w14:paraId="69C82E28" w14:textId="5281D169" w:rsidR="00AB4337" w:rsidRPr="00CE058E" w:rsidRDefault="006D3B16" w:rsidP="00BC4620">
      <w:pPr>
        <w:spacing w:line="276" w:lineRule="auto"/>
        <w:rPr>
          <w:rFonts w:cs="Arial"/>
          <w:color w:val="auto"/>
        </w:rPr>
      </w:pPr>
      <w:bookmarkStart w:id="158" w:name="_Hlk148531742"/>
      <w:r w:rsidRPr="00CE058E">
        <w:rPr>
          <w:rFonts w:cs="Arial"/>
          <w:color w:val="auto"/>
        </w:rPr>
        <w:t xml:space="preserve">Figure </w:t>
      </w:r>
      <w:r w:rsidR="00BB0E81" w:rsidRPr="00CE058E">
        <w:rPr>
          <w:rFonts w:cs="Arial"/>
          <w:color w:val="auto"/>
        </w:rPr>
        <w:t>2</w:t>
      </w:r>
      <w:r w:rsidR="00EA2780" w:rsidRPr="00CE058E">
        <w:rPr>
          <w:rFonts w:cs="Arial"/>
          <w:color w:val="auto"/>
        </w:rPr>
        <w:t xml:space="preserve"> </w:t>
      </w:r>
      <w:r w:rsidRPr="00CE058E">
        <w:rPr>
          <w:rFonts w:cs="Arial"/>
          <w:color w:val="auto"/>
        </w:rPr>
        <w:t xml:space="preserve">shows the number of admitted acute care separations reported in the cost data from 2019-20 to 2021-22. </w:t>
      </w:r>
      <w:r w:rsidR="005038F1" w:rsidRPr="00CE058E">
        <w:rPr>
          <w:rFonts w:cs="Arial"/>
          <w:color w:val="auto"/>
        </w:rPr>
        <w:t>In 2021-22, there were 6</w:t>
      </w:r>
      <w:r w:rsidR="000F7C4C" w:rsidRPr="00CE058E">
        <w:rPr>
          <w:rFonts w:cs="Arial"/>
          <w:color w:val="auto"/>
        </w:rPr>
        <w:t>.</w:t>
      </w:r>
      <w:r w:rsidR="005038F1" w:rsidRPr="00CE058E">
        <w:rPr>
          <w:rFonts w:cs="Arial"/>
          <w:color w:val="auto"/>
        </w:rPr>
        <w:t>2</w:t>
      </w:r>
      <w:r w:rsidR="000F7C4C" w:rsidRPr="00CE058E">
        <w:rPr>
          <w:rFonts w:cs="Arial"/>
          <w:color w:val="auto"/>
        </w:rPr>
        <w:t xml:space="preserve"> million</w:t>
      </w:r>
      <w:r w:rsidR="005038F1" w:rsidRPr="00CE058E">
        <w:rPr>
          <w:rFonts w:cs="Arial"/>
          <w:color w:val="auto"/>
        </w:rPr>
        <w:t xml:space="preserve"> admitted acute care separations nationally</w:t>
      </w:r>
      <w:r w:rsidR="00C37D7B" w:rsidRPr="00CE058E">
        <w:rPr>
          <w:rFonts w:cs="Arial"/>
          <w:color w:val="auto"/>
        </w:rPr>
        <w:t>, a 2</w:t>
      </w:r>
      <w:r w:rsidR="00897090">
        <w:rPr>
          <w:rFonts w:cs="Arial"/>
          <w:color w:val="auto"/>
        </w:rPr>
        <w:t>%</w:t>
      </w:r>
      <w:r w:rsidR="00C37D7B" w:rsidRPr="00CE058E">
        <w:rPr>
          <w:rFonts w:cs="Arial"/>
          <w:color w:val="auto"/>
        </w:rPr>
        <w:t xml:space="preserve"> </w:t>
      </w:r>
      <w:r w:rsidR="00BD67E2" w:rsidRPr="00CE058E">
        <w:rPr>
          <w:rFonts w:cs="Arial"/>
          <w:color w:val="auto"/>
        </w:rPr>
        <w:t>decrease to the 2020-21 figure of 6.4 million</w:t>
      </w:r>
      <w:r w:rsidR="005038F1" w:rsidRPr="00CE058E">
        <w:rPr>
          <w:rFonts w:cs="Arial"/>
          <w:color w:val="auto"/>
        </w:rPr>
        <w:t xml:space="preserve">. </w:t>
      </w:r>
      <w:r w:rsidR="00D43AC7" w:rsidRPr="00CE058E">
        <w:rPr>
          <w:rFonts w:cs="Arial"/>
          <w:color w:val="auto"/>
        </w:rPr>
        <w:t>The national decrease in admitted acute care separations was driven by New South Wales,</w:t>
      </w:r>
      <w:r w:rsidR="00B83CBB" w:rsidRPr="00CE058E">
        <w:rPr>
          <w:rFonts w:cs="Arial"/>
          <w:color w:val="auto"/>
        </w:rPr>
        <w:t xml:space="preserve"> decreasing 137,917 records </w:t>
      </w:r>
      <w:r w:rsidR="007B09AA" w:rsidRPr="00CE058E">
        <w:rPr>
          <w:rFonts w:cs="Arial"/>
          <w:color w:val="auto"/>
        </w:rPr>
        <w:t>(</w:t>
      </w:r>
      <w:r w:rsidR="00B83CBB" w:rsidRPr="00CE058E">
        <w:rPr>
          <w:rFonts w:cs="Arial"/>
          <w:color w:val="auto"/>
        </w:rPr>
        <w:t>or 8</w:t>
      </w:r>
      <w:r w:rsidR="00897090">
        <w:rPr>
          <w:rFonts w:cs="Arial"/>
          <w:color w:val="auto"/>
        </w:rPr>
        <w:t>%</w:t>
      </w:r>
      <w:r w:rsidR="007B09AA" w:rsidRPr="00CE058E">
        <w:rPr>
          <w:rFonts w:cs="Arial"/>
          <w:color w:val="auto"/>
        </w:rPr>
        <w:t>)</w:t>
      </w:r>
      <w:r w:rsidR="00B83CBB" w:rsidRPr="00CE058E">
        <w:rPr>
          <w:rFonts w:cs="Arial"/>
          <w:color w:val="auto"/>
        </w:rPr>
        <w:t xml:space="preserve">, from 2020-21 to 2021-22. </w:t>
      </w:r>
      <w:r w:rsidR="00D43AC7" w:rsidRPr="00CE058E">
        <w:rPr>
          <w:rFonts w:cs="Arial"/>
          <w:color w:val="auto"/>
        </w:rPr>
        <w:t>In 2021-22, t</w:t>
      </w:r>
      <w:r w:rsidR="005038F1" w:rsidRPr="00CE058E">
        <w:rPr>
          <w:rFonts w:cs="Arial"/>
          <w:color w:val="auto"/>
        </w:rPr>
        <w:t>he number of separations at the jurisdictional level range</w:t>
      </w:r>
      <w:r w:rsidR="007B09AA" w:rsidRPr="00CE058E">
        <w:rPr>
          <w:rFonts w:cs="Arial"/>
          <w:color w:val="auto"/>
        </w:rPr>
        <w:t>d</w:t>
      </w:r>
      <w:r w:rsidR="005038F1" w:rsidRPr="00CE058E">
        <w:rPr>
          <w:rFonts w:cs="Arial"/>
          <w:color w:val="auto"/>
        </w:rPr>
        <w:t xml:space="preserve"> from </w:t>
      </w:r>
      <w:r w:rsidR="00733E54" w:rsidRPr="00CE058E">
        <w:rPr>
          <w:rFonts w:cs="Arial"/>
          <w:color w:val="auto"/>
        </w:rPr>
        <w:t>112,495</w:t>
      </w:r>
      <w:r w:rsidR="005038F1" w:rsidRPr="00CE058E">
        <w:rPr>
          <w:rFonts w:cs="Arial"/>
          <w:color w:val="auto"/>
        </w:rPr>
        <w:t xml:space="preserve"> (Australian Capital Territory) to </w:t>
      </w:r>
      <w:r w:rsidR="00733E54" w:rsidRPr="00CE058E">
        <w:rPr>
          <w:rFonts w:cs="Arial"/>
          <w:color w:val="auto"/>
        </w:rPr>
        <w:t>1</w:t>
      </w:r>
      <w:r w:rsidR="00301519" w:rsidRPr="00CE058E">
        <w:rPr>
          <w:rFonts w:cs="Arial"/>
          <w:color w:val="auto"/>
        </w:rPr>
        <w:t>.7 million</w:t>
      </w:r>
      <w:r w:rsidR="005038F1" w:rsidRPr="00CE058E">
        <w:rPr>
          <w:rFonts w:cs="Arial"/>
          <w:color w:val="auto"/>
        </w:rPr>
        <w:t xml:space="preserve"> (Victoria).</w:t>
      </w:r>
    </w:p>
    <w:p w14:paraId="0A3219BA" w14:textId="1A635379" w:rsidR="00954EF5" w:rsidRPr="00CE058E" w:rsidRDefault="006272A2" w:rsidP="00B42434">
      <w:pPr>
        <w:pStyle w:val="TableFigureheading"/>
      </w:pPr>
      <w:bookmarkStart w:id="159" w:name="_Toc151116338"/>
      <w:bookmarkStart w:id="160" w:name="_Toc151370051"/>
      <w:bookmarkEnd w:id="158"/>
      <w:r w:rsidRPr="00CE058E">
        <w:t xml:space="preserve">Figure </w:t>
      </w:r>
      <w:r>
        <w:fldChar w:fldCharType="begin"/>
      </w:r>
      <w:r>
        <w:instrText xml:space="preserve"> SEQ Figure \* ARABIC </w:instrText>
      </w:r>
      <w:r>
        <w:fldChar w:fldCharType="separate"/>
      </w:r>
      <w:r w:rsidR="00DD29C5">
        <w:rPr>
          <w:noProof/>
        </w:rPr>
        <w:t>2</w:t>
      </w:r>
      <w:r>
        <w:rPr>
          <w:noProof/>
        </w:rPr>
        <w:fldChar w:fldCharType="end"/>
      </w:r>
      <w:r w:rsidR="00954EF5" w:rsidRPr="00CE058E">
        <w:t>: Admitted acute separation</w:t>
      </w:r>
      <w:r w:rsidR="00E07B55" w:rsidRPr="00CE058E">
        <w:t>s</w:t>
      </w:r>
      <w:r w:rsidR="00954EF5" w:rsidRPr="00CE058E">
        <w:t>, 2019-20 to 2021-22</w:t>
      </w:r>
      <w:bookmarkEnd w:id="159"/>
      <w:bookmarkEnd w:id="160"/>
    </w:p>
    <w:p w14:paraId="4AD36C94" w14:textId="30E9EE43" w:rsidR="00E37444" w:rsidRPr="00CE058E" w:rsidRDefault="00BC44C7" w:rsidP="00AE17B7">
      <w:pPr>
        <w:jc w:val="center"/>
        <w:rPr>
          <w:rFonts w:cs="Arial"/>
          <w:color w:val="FF0000"/>
        </w:rPr>
      </w:pPr>
      <w:r w:rsidRPr="00CE058E">
        <w:rPr>
          <w:rFonts w:cs="Arial"/>
          <w:noProof/>
        </w:rPr>
        <w:drawing>
          <wp:inline distT="0" distB="0" distL="0" distR="0" wp14:anchorId="43FE7AD1" wp14:editId="110BE5A5">
            <wp:extent cx="6228000" cy="2664000"/>
            <wp:effectExtent l="0" t="0" r="0" b="0"/>
            <wp:docPr id="18" name="Chart 18">
              <a:extLst xmlns:a="http://schemas.openxmlformats.org/drawingml/2006/main">
                <a:ext uri="{FF2B5EF4-FFF2-40B4-BE49-F238E27FC236}">
                  <a16:creationId xmlns:a16="http://schemas.microsoft.com/office/drawing/2014/main" id="{E7721CF9-C3AB-5535-C8E1-3A5D71D5D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43A9C4" w14:textId="4F8586E8" w:rsidR="007E751F" w:rsidRPr="00CE058E" w:rsidRDefault="007E751F" w:rsidP="007861EC">
      <w:pPr>
        <w:pStyle w:val="Heading3"/>
      </w:pPr>
      <w:bookmarkStart w:id="161" w:name="_Toc151129691"/>
      <w:bookmarkStart w:id="162" w:name="_Toc158882542"/>
      <w:bookmarkStart w:id="163" w:name="_Toc158882603"/>
      <w:r w:rsidRPr="00CE058E">
        <w:lastRenderedPageBreak/>
        <w:t xml:space="preserve">Admitted acute </w:t>
      </w:r>
      <w:r w:rsidR="00CA7CFB" w:rsidRPr="00CE058E">
        <w:t>separation change</w:t>
      </w:r>
      <w:bookmarkEnd w:id="161"/>
      <w:bookmarkEnd w:id="162"/>
      <w:bookmarkEnd w:id="163"/>
    </w:p>
    <w:p w14:paraId="34EF442E" w14:textId="2FB03F9C" w:rsidR="00430263" w:rsidRPr="00CE058E" w:rsidRDefault="00430263" w:rsidP="00430263">
      <w:pPr>
        <w:rPr>
          <w:rFonts w:cs="Arial"/>
          <w:color w:val="auto"/>
        </w:rPr>
      </w:pPr>
      <w:r w:rsidRPr="00CE058E">
        <w:rPr>
          <w:rFonts w:cs="Arial"/>
          <w:color w:val="auto"/>
        </w:rPr>
        <w:t xml:space="preserve">Table 5 shows the admitted acute </w:t>
      </w:r>
      <w:r w:rsidR="00A22722" w:rsidRPr="00CE058E">
        <w:rPr>
          <w:rFonts w:cs="Arial"/>
          <w:color w:val="auto"/>
        </w:rPr>
        <w:t xml:space="preserve">end-classes </w:t>
      </w:r>
      <w:r w:rsidRPr="00CE058E">
        <w:rPr>
          <w:rFonts w:cs="Arial"/>
          <w:color w:val="auto"/>
        </w:rPr>
        <w:t>that had an impact on the change in the</w:t>
      </w:r>
      <w:r w:rsidR="00A22722" w:rsidRPr="00CE058E">
        <w:rPr>
          <w:rFonts w:cs="Arial"/>
          <w:color w:val="auto"/>
        </w:rPr>
        <w:t xml:space="preserve"> number</w:t>
      </w:r>
      <w:r w:rsidRPr="00CE058E">
        <w:rPr>
          <w:rFonts w:cs="Arial"/>
          <w:color w:val="auto"/>
        </w:rPr>
        <w:t xml:space="preserve"> </w:t>
      </w:r>
      <w:r w:rsidR="00FB0F05" w:rsidRPr="00CE058E">
        <w:rPr>
          <w:rFonts w:cs="Arial"/>
          <w:color w:val="auto"/>
        </w:rPr>
        <w:t xml:space="preserve">of </w:t>
      </w:r>
      <w:r w:rsidR="00A22722" w:rsidRPr="00CE058E">
        <w:rPr>
          <w:rFonts w:cs="Arial"/>
          <w:color w:val="auto"/>
        </w:rPr>
        <w:t xml:space="preserve">separations reported </w:t>
      </w:r>
      <w:r w:rsidRPr="00CE058E">
        <w:rPr>
          <w:rFonts w:cs="Arial"/>
          <w:color w:val="auto"/>
        </w:rPr>
        <w:t xml:space="preserve">nationally in 2021-22 compared to 2020-21. In 2021-22, the national number of separations was 6.2 million, </w:t>
      </w:r>
      <w:r w:rsidR="00301F51" w:rsidRPr="00CE058E">
        <w:rPr>
          <w:rFonts w:cs="Arial"/>
          <w:color w:val="auto"/>
        </w:rPr>
        <w:t>a</w:t>
      </w:r>
      <w:r w:rsidRPr="00CE058E">
        <w:rPr>
          <w:rFonts w:cs="Arial"/>
          <w:color w:val="auto"/>
        </w:rPr>
        <w:t xml:space="preserve"> decrease of 135,617 separations (or 2</w:t>
      </w:r>
      <w:r w:rsidR="00897090">
        <w:rPr>
          <w:rFonts w:cs="Arial"/>
          <w:color w:val="auto"/>
        </w:rPr>
        <w:t>%</w:t>
      </w:r>
      <w:r w:rsidRPr="00CE058E">
        <w:rPr>
          <w:rFonts w:cs="Arial"/>
          <w:color w:val="auto"/>
        </w:rPr>
        <w:t xml:space="preserve">) compared to 2020-21. The national admitted acute separation decrease was driven by G66B, G48B, </w:t>
      </w:r>
      <w:r w:rsidR="00A12F22" w:rsidRPr="00CE058E">
        <w:rPr>
          <w:rFonts w:cs="Arial"/>
          <w:color w:val="auto"/>
        </w:rPr>
        <w:t xml:space="preserve">and </w:t>
      </w:r>
      <w:r w:rsidRPr="00CE058E">
        <w:rPr>
          <w:rFonts w:cs="Arial"/>
          <w:color w:val="auto"/>
        </w:rPr>
        <w:t xml:space="preserve">C16Z (as defined in table 5). These </w:t>
      </w:r>
      <w:r w:rsidR="00A12F22" w:rsidRPr="00CE058E">
        <w:rPr>
          <w:rFonts w:cs="Arial"/>
          <w:color w:val="auto"/>
        </w:rPr>
        <w:t>end-classes</w:t>
      </w:r>
      <w:r w:rsidRPr="00CE058E">
        <w:rPr>
          <w:rFonts w:cs="Arial"/>
          <w:color w:val="auto"/>
        </w:rPr>
        <w:t xml:space="preserve"> decreased nationally 31,348 in 2021-22 compared to 2020-21. The </w:t>
      </w:r>
      <w:r w:rsidR="00A12F22" w:rsidRPr="00CE058E">
        <w:rPr>
          <w:rFonts w:cs="Arial"/>
          <w:color w:val="auto"/>
        </w:rPr>
        <w:t>end-classes</w:t>
      </w:r>
      <w:r w:rsidRPr="00CE058E">
        <w:rPr>
          <w:rFonts w:cs="Arial"/>
          <w:color w:val="auto"/>
        </w:rPr>
        <w:t xml:space="preserve"> that had the highest increase were L61Z, T63B, E67B (as defined in table 5),</w:t>
      </w:r>
      <w:r w:rsidR="00301F51" w:rsidRPr="00CE058E">
        <w:rPr>
          <w:rFonts w:cs="Arial"/>
          <w:color w:val="auto"/>
        </w:rPr>
        <w:t xml:space="preserve"> an</w:t>
      </w:r>
      <w:r w:rsidRPr="00CE058E">
        <w:rPr>
          <w:rFonts w:cs="Arial"/>
          <w:color w:val="auto"/>
        </w:rPr>
        <w:t xml:space="preserve"> increase</w:t>
      </w:r>
      <w:r w:rsidR="00301F51" w:rsidRPr="00CE058E">
        <w:rPr>
          <w:rFonts w:cs="Arial"/>
          <w:color w:val="auto"/>
        </w:rPr>
        <w:t xml:space="preserve"> of</w:t>
      </w:r>
      <w:r w:rsidRPr="00CE058E">
        <w:rPr>
          <w:rFonts w:cs="Arial"/>
          <w:color w:val="auto"/>
        </w:rPr>
        <w:t xml:space="preserve"> 85,098 from 2020-21.</w:t>
      </w:r>
    </w:p>
    <w:p w14:paraId="49788528" w14:textId="72D53C3A" w:rsidR="007E751F" w:rsidRPr="00CE058E" w:rsidRDefault="00C53B6A" w:rsidP="00B42434">
      <w:pPr>
        <w:pStyle w:val="TableFigureheading"/>
        <w:rPr>
          <w:bCs/>
        </w:rPr>
      </w:pPr>
      <w:bookmarkStart w:id="164" w:name="_Toc149650906"/>
      <w:bookmarkStart w:id="165" w:name="_Toc151370031"/>
      <w:r w:rsidRPr="00CE058E">
        <w:t xml:space="preserve">Table </w:t>
      </w:r>
      <w:r>
        <w:fldChar w:fldCharType="begin"/>
      </w:r>
      <w:r>
        <w:instrText xml:space="preserve"> SEQ Table \* ARABIC </w:instrText>
      </w:r>
      <w:r>
        <w:fldChar w:fldCharType="separate"/>
      </w:r>
      <w:r w:rsidR="00B42434">
        <w:rPr>
          <w:noProof/>
        </w:rPr>
        <w:t>5</w:t>
      </w:r>
      <w:r>
        <w:rPr>
          <w:noProof/>
        </w:rPr>
        <w:fldChar w:fldCharType="end"/>
      </w:r>
      <w:r w:rsidRPr="00CE058E">
        <w:t>: Admitted acute separation change, 2020-21 to 2021-22</w:t>
      </w:r>
      <w:bookmarkEnd w:id="164"/>
      <w:bookmarkEnd w:id="165"/>
    </w:p>
    <w:tbl>
      <w:tblPr>
        <w:tblStyle w:val="GridTable4-Accent2"/>
        <w:tblW w:w="7508" w:type="dxa"/>
        <w:jc w:val="center"/>
        <w:tblLook w:val="04A0" w:firstRow="1" w:lastRow="0" w:firstColumn="1" w:lastColumn="0" w:noHBand="0" w:noVBand="1"/>
      </w:tblPr>
      <w:tblGrid>
        <w:gridCol w:w="988"/>
        <w:gridCol w:w="3061"/>
        <w:gridCol w:w="1017"/>
        <w:gridCol w:w="1025"/>
        <w:gridCol w:w="877"/>
        <w:gridCol w:w="877"/>
      </w:tblGrid>
      <w:tr w:rsidR="009816AC" w:rsidRPr="00CE058E" w14:paraId="6DAED177" w14:textId="77777777" w:rsidTr="009816AC">
        <w:trPr>
          <w:cnfStyle w:val="100000000000" w:firstRow="1" w:lastRow="0" w:firstColumn="0" w:lastColumn="0" w:oddVBand="0" w:evenVBand="0" w:oddHBand="0"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0486EF0F" w14:textId="0AF7C499" w:rsidR="00037328" w:rsidRPr="00CE058E" w:rsidRDefault="00037328" w:rsidP="006D07BF">
            <w:pPr>
              <w:spacing w:line="240" w:lineRule="auto"/>
              <w:jc w:val="center"/>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AR-DRG</w:t>
            </w:r>
          </w:p>
        </w:tc>
        <w:tc>
          <w:tcPr>
            <w:tcW w:w="3061"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478DD057" w14:textId="77777777" w:rsidR="00037328" w:rsidRPr="00CE058E" w:rsidRDefault="00037328" w:rsidP="006D07B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Description</w:t>
            </w:r>
          </w:p>
        </w:tc>
        <w:tc>
          <w:tcPr>
            <w:tcW w:w="2042"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5C536BC2" w14:textId="6C011566" w:rsidR="00037328" w:rsidRPr="00CE058E" w:rsidRDefault="00037328" w:rsidP="006D07B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Separations</w:t>
            </w:r>
          </w:p>
        </w:tc>
        <w:tc>
          <w:tcPr>
            <w:tcW w:w="877"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0759CD6B" w14:textId="60549366" w:rsidR="00037328" w:rsidRPr="00CE058E" w:rsidRDefault="00037328" w:rsidP="006D07B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w:t>
            </w:r>
            <w:r w:rsidR="006D07BF" w:rsidRPr="00CE058E">
              <w:rPr>
                <w:rFonts w:eastAsia="Times New Roman" w:cs="Arial"/>
                <w:color w:val="FFFFFF" w:themeColor="background2"/>
                <w:sz w:val="18"/>
                <w:szCs w:val="18"/>
                <w:lang w:eastAsia="en-AU"/>
              </w:rPr>
              <w:t xml:space="preserve"> </w:t>
            </w:r>
            <w:r w:rsidR="008B5D3C" w:rsidRPr="00CE058E">
              <w:rPr>
                <w:rFonts w:eastAsia="Times New Roman" w:cs="Arial"/>
                <w:color w:val="FFFFFF" w:themeColor="background2"/>
                <w:sz w:val="18"/>
                <w:szCs w:val="18"/>
                <w:lang w:eastAsia="en-AU"/>
              </w:rPr>
              <w:t>(</w:t>
            </w:r>
            <w:r w:rsidRPr="00CE058E">
              <w:rPr>
                <w:rFonts w:eastAsia="Times New Roman" w:cs="Arial"/>
                <w:color w:val="FFFFFF" w:themeColor="background2"/>
                <w:sz w:val="18"/>
                <w:szCs w:val="18"/>
                <w:lang w:eastAsia="en-AU"/>
              </w:rPr>
              <w:t>Seps)</w:t>
            </w:r>
          </w:p>
        </w:tc>
        <w:tc>
          <w:tcPr>
            <w:tcW w:w="540"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1B2A307B" w14:textId="7138CA80" w:rsidR="00037328" w:rsidRPr="00CE058E" w:rsidRDefault="00037328" w:rsidP="006D07B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p>
        </w:tc>
      </w:tr>
      <w:tr w:rsidR="009816AC" w:rsidRPr="00CE058E" w14:paraId="62B3F68C" w14:textId="77777777" w:rsidTr="009816AC">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988"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tcPr>
          <w:p w14:paraId="28E9B4CD" w14:textId="77777777" w:rsidR="00037328" w:rsidRPr="00CE058E" w:rsidRDefault="00037328" w:rsidP="00FA4994">
            <w:pPr>
              <w:spacing w:line="240" w:lineRule="auto"/>
              <w:jc w:val="center"/>
              <w:rPr>
                <w:rFonts w:eastAsia="Times New Roman" w:cs="Arial"/>
                <w:b w:val="0"/>
                <w:bCs w:val="0"/>
                <w:color w:val="FFFFFF" w:themeColor="background2"/>
                <w:sz w:val="18"/>
                <w:szCs w:val="18"/>
                <w:lang w:eastAsia="en-AU"/>
              </w:rPr>
            </w:pPr>
          </w:p>
        </w:tc>
        <w:tc>
          <w:tcPr>
            <w:tcW w:w="3061"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tcPr>
          <w:p w14:paraId="28C9E707" w14:textId="77777777" w:rsidR="00037328" w:rsidRPr="00CE058E" w:rsidRDefault="00037328" w:rsidP="00FA4994">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p>
        </w:tc>
        <w:tc>
          <w:tcPr>
            <w:tcW w:w="10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tcPr>
          <w:p w14:paraId="64B0C71D" w14:textId="1A37CCA6" w:rsidR="00037328" w:rsidRPr="00CE058E" w:rsidRDefault="00037328" w:rsidP="00FA499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2021-22</w:t>
            </w:r>
          </w:p>
        </w:tc>
        <w:tc>
          <w:tcPr>
            <w:tcW w:w="102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tcPr>
          <w:p w14:paraId="6CD39FFD" w14:textId="69B2B1BA" w:rsidR="00037328" w:rsidRPr="00CE058E" w:rsidRDefault="00037328" w:rsidP="00FA499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2020-21</w:t>
            </w:r>
          </w:p>
        </w:tc>
        <w:tc>
          <w:tcPr>
            <w:tcW w:w="877"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tcPr>
          <w:p w14:paraId="0DADA1CD" w14:textId="77777777" w:rsidR="00037328" w:rsidRPr="00CE058E" w:rsidRDefault="00037328" w:rsidP="00FA499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p>
        </w:tc>
        <w:tc>
          <w:tcPr>
            <w:tcW w:w="540"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tcPr>
          <w:p w14:paraId="5924F6BC" w14:textId="77777777" w:rsidR="00037328" w:rsidRPr="00CE058E" w:rsidRDefault="00037328" w:rsidP="00FA499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p>
        </w:tc>
      </w:tr>
      <w:tr w:rsidR="009816AC" w:rsidRPr="00CE058E" w14:paraId="6B1FBA06" w14:textId="77777777" w:rsidTr="009816AC">
        <w:trPr>
          <w:trHeight w:val="94"/>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FFFFFF" w:themeColor="background2"/>
            </w:tcBorders>
            <w:noWrap/>
            <w:hideMark/>
          </w:tcPr>
          <w:p w14:paraId="25A87129" w14:textId="3BF76D6B" w:rsidR="00037328" w:rsidRPr="00CE058E" w:rsidRDefault="00037328" w:rsidP="00FA4994">
            <w:pPr>
              <w:spacing w:line="240" w:lineRule="auto"/>
              <w:jc w:val="center"/>
              <w:rPr>
                <w:rFonts w:eastAsia="Times New Roman" w:cs="Arial"/>
                <w:color w:val="15272F"/>
                <w:sz w:val="18"/>
                <w:szCs w:val="18"/>
                <w:lang w:eastAsia="en-AU"/>
              </w:rPr>
            </w:pPr>
            <w:r w:rsidRPr="00CE058E">
              <w:rPr>
                <w:rFonts w:cs="Arial"/>
                <w:color w:val="15272F"/>
                <w:sz w:val="18"/>
                <w:szCs w:val="18"/>
              </w:rPr>
              <w:t>L61Z</w:t>
            </w:r>
          </w:p>
        </w:tc>
        <w:tc>
          <w:tcPr>
            <w:tcW w:w="3061" w:type="dxa"/>
            <w:tcBorders>
              <w:top w:val="single" w:sz="4" w:space="0" w:color="FFFFFF" w:themeColor="background2"/>
            </w:tcBorders>
            <w:noWrap/>
            <w:hideMark/>
          </w:tcPr>
          <w:p w14:paraId="4A09FC5F" w14:textId="53994149" w:rsidR="00037328" w:rsidRPr="00CE058E" w:rsidRDefault="00037328" w:rsidP="00FA4994">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Haemodialysis</w:t>
            </w:r>
          </w:p>
        </w:tc>
        <w:tc>
          <w:tcPr>
            <w:tcW w:w="1017" w:type="dxa"/>
            <w:tcBorders>
              <w:top w:val="single" w:sz="4" w:space="0" w:color="FFFFFF" w:themeColor="background2"/>
            </w:tcBorders>
            <w:noWrap/>
            <w:vAlign w:val="center"/>
            <w:hideMark/>
          </w:tcPr>
          <w:p w14:paraId="7C23B77A" w14:textId="1119AD02"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1,368,880</w:t>
            </w:r>
          </w:p>
        </w:tc>
        <w:tc>
          <w:tcPr>
            <w:tcW w:w="1025" w:type="dxa"/>
            <w:tcBorders>
              <w:top w:val="single" w:sz="4" w:space="0" w:color="FFFFFF" w:themeColor="background2"/>
            </w:tcBorders>
            <w:noWrap/>
            <w:vAlign w:val="center"/>
            <w:hideMark/>
          </w:tcPr>
          <w:p w14:paraId="0142C3E7" w14:textId="5025A348"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1,332,653</w:t>
            </w:r>
          </w:p>
        </w:tc>
        <w:tc>
          <w:tcPr>
            <w:tcW w:w="877" w:type="dxa"/>
            <w:tcBorders>
              <w:top w:val="single" w:sz="4" w:space="0" w:color="FFFFFF" w:themeColor="background2"/>
            </w:tcBorders>
            <w:noWrap/>
            <w:vAlign w:val="center"/>
            <w:hideMark/>
          </w:tcPr>
          <w:p w14:paraId="79621CB4" w14:textId="472D2DD6"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36,227</w:t>
            </w:r>
          </w:p>
        </w:tc>
        <w:tc>
          <w:tcPr>
            <w:tcW w:w="540" w:type="dxa"/>
            <w:tcBorders>
              <w:top w:val="single" w:sz="4" w:space="0" w:color="FFFFFF" w:themeColor="background2"/>
            </w:tcBorders>
            <w:noWrap/>
            <w:vAlign w:val="center"/>
            <w:hideMark/>
          </w:tcPr>
          <w:p w14:paraId="43F4108A" w14:textId="2663320C"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3</w:t>
            </w:r>
          </w:p>
        </w:tc>
      </w:tr>
      <w:tr w:rsidR="009816AC" w:rsidRPr="00CE058E" w14:paraId="7BA70CD2" w14:textId="77777777" w:rsidTr="009816A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3B3061C1" w14:textId="18F1B338" w:rsidR="00037328" w:rsidRPr="00CE058E" w:rsidRDefault="00037328" w:rsidP="00FA4994">
            <w:pPr>
              <w:spacing w:line="240" w:lineRule="auto"/>
              <w:jc w:val="center"/>
              <w:rPr>
                <w:rFonts w:eastAsia="Times New Roman" w:cs="Arial"/>
                <w:color w:val="15272F"/>
                <w:sz w:val="18"/>
                <w:szCs w:val="18"/>
                <w:lang w:eastAsia="en-AU"/>
              </w:rPr>
            </w:pPr>
            <w:r w:rsidRPr="00CE058E">
              <w:rPr>
                <w:rFonts w:cs="Arial"/>
                <w:color w:val="15272F"/>
                <w:sz w:val="18"/>
                <w:szCs w:val="18"/>
              </w:rPr>
              <w:t>T63B</w:t>
            </w:r>
          </w:p>
        </w:tc>
        <w:tc>
          <w:tcPr>
            <w:tcW w:w="3061" w:type="dxa"/>
            <w:noWrap/>
            <w:hideMark/>
          </w:tcPr>
          <w:p w14:paraId="4A230068" w14:textId="294B7785" w:rsidR="00037328" w:rsidRPr="00CE058E" w:rsidRDefault="00037328" w:rsidP="00FA4994">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Viral Illnesses, Minor Complexity</w:t>
            </w:r>
          </w:p>
        </w:tc>
        <w:tc>
          <w:tcPr>
            <w:tcW w:w="1017" w:type="dxa"/>
            <w:noWrap/>
            <w:vAlign w:val="center"/>
            <w:hideMark/>
          </w:tcPr>
          <w:p w14:paraId="3BD360B6" w14:textId="763B6BF6"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41,510</w:t>
            </w:r>
          </w:p>
        </w:tc>
        <w:tc>
          <w:tcPr>
            <w:tcW w:w="1025" w:type="dxa"/>
            <w:noWrap/>
            <w:vAlign w:val="center"/>
            <w:hideMark/>
          </w:tcPr>
          <w:p w14:paraId="3731F22C" w14:textId="67CB8034"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14,862</w:t>
            </w:r>
          </w:p>
        </w:tc>
        <w:tc>
          <w:tcPr>
            <w:tcW w:w="877" w:type="dxa"/>
            <w:noWrap/>
            <w:vAlign w:val="center"/>
            <w:hideMark/>
          </w:tcPr>
          <w:p w14:paraId="1224437A" w14:textId="42F0D5EF"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26,648</w:t>
            </w:r>
          </w:p>
        </w:tc>
        <w:tc>
          <w:tcPr>
            <w:tcW w:w="540" w:type="dxa"/>
            <w:noWrap/>
            <w:vAlign w:val="center"/>
            <w:hideMark/>
          </w:tcPr>
          <w:p w14:paraId="143D495C" w14:textId="4683AE55"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179</w:t>
            </w:r>
          </w:p>
        </w:tc>
      </w:tr>
      <w:tr w:rsidR="009816AC" w:rsidRPr="00CE058E" w14:paraId="14A744C9" w14:textId="77777777" w:rsidTr="009816AC">
        <w:trPr>
          <w:trHeight w:val="64"/>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52A3C009" w14:textId="04FB7305" w:rsidR="00037328" w:rsidRPr="00CE058E" w:rsidRDefault="00037328" w:rsidP="00FA4994">
            <w:pPr>
              <w:spacing w:line="240" w:lineRule="auto"/>
              <w:jc w:val="center"/>
              <w:rPr>
                <w:rFonts w:eastAsia="Times New Roman" w:cs="Arial"/>
                <w:color w:val="15272F"/>
                <w:sz w:val="18"/>
                <w:szCs w:val="18"/>
                <w:lang w:eastAsia="en-AU"/>
              </w:rPr>
            </w:pPr>
            <w:r w:rsidRPr="00CE058E">
              <w:rPr>
                <w:rFonts w:cs="Arial"/>
                <w:color w:val="15272F"/>
                <w:sz w:val="18"/>
                <w:szCs w:val="18"/>
              </w:rPr>
              <w:t>E67B</w:t>
            </w:r>
          </w:p>
        </w:tc>
        <w:tc>
          <w:tcPr>
            <w:tcW w:w="3061" w:type="dxa"/>
            <w:noWrap/>
            <w:hideMark/>
          </w:tcPr>
          <w:p w14:paraId="6F0AFAE6" w14:textId="47F9A593" w:rsidR="00037328" w:rsidRPr="00CE058E" w:rsidRDefault="00037328" w:rsidP="00FA4994">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Respiratory Signs and Symptoms, Minor Complexity</w:t>
            </w:r>
          </w:p>
        </w:tc>
        <w:tc>
          <w:tcPr>
            <w:tcW w:w="1017" w:type="dxa"/>
            <w:noWrap/>
            <w:vAlign w:val="center"/>
            <w:hideMark/>
          </w:tcPr>
          <w:p w14:paraId="13483D66" w14:textId="7EC10F66"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45,589</w:t>
            </w:r>
          </w:p>
        </w:tc>
        <w:tc>
          <w:tcPr>
            <w:tcW w:w="1025" w:type="dxa"/>
            <w:noWrap/>
            <w:vAlign w:val="center"/>
            <w:hideMark/>
          </w:tcPr>
          <w:p w14:paraId="55681EA3" w14:textId="6331C072"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23,366</w:t>
            </w:r>
          </w:p>
        </w:tc>
        <w:tc>
          <w:tcPr>
            <w:tcW w:w="877" w:type="dxa"/>
            <w:noWrap/>
            <w:vAlign w:val="center"/>
            <w:hideMark/>
          </w:tcPr>
          <w:p w14:paraId="166C2FFB" w14:textId="47E90C9D"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22,223</w:t>
            </w:r>
          </w:p>
        </w:tc>
        <w:tc>
          <w:tcPr>
            <w:tcW w:w="540" w:type="dxa"/>
            <w:noWrap/>
            <w:vAlign w:val="center"/>
            <w:hideMark/>
          </w:tcPr>
          <w:p w14:paraId="4F795EB7" w14:textId="44C3C0A8"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95</w:t>
            </w:r>
          </w:p>
        </w:tc>
      </w:tr>
      <w:tr w:rsidR="009816AC" w:rsidRPr="00CE058E" w14:paraId="1EE4267C" w14:textId="77777777" w:rsidTr="009816A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988" w:type="dxa"/>
            <w:noWrap/>
          </w:tcPr>
          <w:p w14:paraId="61CAC00B" w14:textId="0600754B" w:rsidR="00B85EAD" w:rsidRPr="00CE058E" w:rsidRDefault="00B85EAD" w:rsidP="00B85EAD">
            <w:pPr>
              <w:spacing w:line="240" w:lineRule="auto"/>
              <w:jc w:val="center"/>
              <w:rPr>
                <w:rFonts w:cs="Arial"/>
                <w:color w:val="15272F"/>
                <w:sz w:val="18"/>
                <w:szCs w:val="18"/>
              </w:rPr>
            </w:pPr>
            <w:r w:rsidRPr="00CE058E">
              <w:rPr>
                <w:rFonts w:cs="Arial"/>
                <w:color w:val="15272F"/>
                <w:sz w:val="18"/>
                <w:szCs w:val="18"/>
              </w:rPr>
              <w:t>G66B</w:t>
            </w:r>
          </w:p>
        </w:tc>
        <w:tc>
          <w:tcPr>
            <w:tcW w:w="3061" w:type="dxa"/>
            <w:noWrap/>
          </w:tcPr>
          <w:p w14:paraId="3A365EC8" w14:textId="5AA06954" w:rsidR="00B85EAD" w:rsidRPr="00CE058E" w:rsidRDefault="00B85EAD" w:rsidP="00B85EAD">
            <w:pPr>
              <w:spacing w:line="240" w:lineRule="auto"/>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Abdominal Pain and Mesenteric Adenitis, Minor Complexity</w:t>
            </w:r>
          </w:p>
        </w:tc>
        <w:tc>
          <w:tcPr>
            <w:tcW w:w="1017" w:type="dxa"/>
            <w:noWrap/>
            <w:vAlign w:val="center"/>
          </w:tcPr>
          <w:p w14:paraId="52DEF100" w14:textId="56F5A65D" w:rsidR="00B85EAD" w:rsidRPr="00CE058E" w:rsidRDefault="00B85EAD"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52,509</w:t>
            </w:r>
          </w:p>
        </w:tc>
        <w:tc>
          <w:tcPr>
            <w:tcW w:w="1025" w:type="dxa"/>
            <w:noWrap/>
            <w:vAlign w:val="center"/>
          </w:tcPr>
          <w:p w14:paraId="4DD07EBE" w14:textId="28FC1860" w:rsidR="00B85EAD" w:rsidRPr="00CE058E" w:rsidRDefault="00B85EAD"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61,480</w:t>
            </w:r>
          </w:p>
        </w:tc>
        <w:tc>
          <w:tcPr>
            <w:tcW w:w="877" w:type="dxa"/>
            <w:noWrap/>
            <w:vAlign w:val="center"/>
          </w:tcPr>
          <w:p w14:paraId="529B0E86" w14:textId="6A3FE580" w:rsidR="00B85EAD" w:rsidRPr="00CE058E" w:rsidRDefault="00B85EAD"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-8,971</w:t>
            </w:r>
          </w:p>
        </w:tc>
        <w:tc>
          <w:tcPr>
            <w:tcW w:w="540" w:type="dxa"/>
            <w:noWrap/>
            <w:vAlign w:val="center"/>
          </w:tcPr>
          <w:p w14:paraId="2188F9CE" w14:textId="24C2B557" w:rsidR="00B85EAD" w:rsidRPr="00CE058E" w:rsidRDefault="00B85EAD"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-15</w:t>
            </w:r>
          </w:p>
        </w:tc>
      </w:tr>
      <w:tr w:rsidR="009816AC" w:rsidRPr="00CE058E" w14:paraId="6AC49D1B" w14:textId="77777777" w:rsidTr="009816AC">
        <w:trPr>
          <w:trHeight w:val="64"/>
          <w:jc w:val="center"/>
        </w:trPr>
        <w:tc>
          <w:tcPr>
            <w:cnfStyle w:val="001000000000" w:firstRow="0" w:lastRow="0" w:firstColumn="1" w:lastColumn="0" w:oddVBand="0" w:evenVBand="0" w:oddHBand="0" w:evenHBand="0" w:firstRowFirstColumn="0" w:firstRowLastColumn="0" w:lastRowFirstColumn="0" w:lastRowLastColumn="0"/>
            <w:tcW w:w="988" w:type="dxa"/>
            <w:noWrap/>
          </w:tcPr>
          <w:p w14:paraId="6465620A" w14:textId="2D4A7B89" w:rsidR="00B85EAD" w:rsidRPr="00CE058E" w:rsidRDefault="00B85EAD" w:rsidP="00B85EAD">
            <w:pPr>
              <w:spacing w:line="240" w:lineRule="auto"/>
              <w:jc w:val="center"/>
              <w:rPr>
                <w:rFonts w:cs="Arial"/>
                <w:color w:val="15272F"/>
                <w:sz w:val="18"/>
                <w:szCs w:val="18"/>
              </w:rPr>
            </w:pPr>
            <w:r w:rsidRPr="00CE058E">
              <w:rPr>
                <w:rFonts w:cs="Arial"/>
                <w:color w:val="15272F"/>
                <w:sz w:val="18"/>
                <w:szCs w:val="18"/>
              </w:rPr>
              <w:t>G48B</w:t>
            </w:r>
          </w:p>
        </w:tc>
        <w:tc>
          <w:tcPr>
            <w:tcW w:w="3061" w:type="dxa"/>
            <w:noWrap/>
          </w:tcPr>
          <w:p w14:paraId="206F083B" w14:textId="1D71F4E3" w:rsidR="00B85EAD" w:rsidRPr="00CE058E" w:rsidRDefault="00B85EAD" w:rsidP="00B85EAD">
            <w:pPr>
              <w:spacing w:line="240" w:lineRule="auto"/>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Colonoscopy, Minor Complexity</w:t>
            </w:r>
          </w:p>
        </w:tc>
        <w:tc>
          <w:tcPr>
            <w:tcW w:w="1017" w:type="dxa"/>
            <w:noWrap/>
            <w:vAlign w:val="center"/>
          </w:tcPr>
          <w:p w14:paraId="5E9B76CE" w14:textId="37CC7232" w:rsidR="00B85EAD" w:rsidRPr="00CE058E" w:rsidRDefault="00B85EAD"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91,034</w:t>
            </w:r>
          </w:p>
        </w:tc>
        <w:tc>
          <w:tcPr>
            <w:tcW w:w="1025" w:type="dxa"/>
            <w:noWrap/>
            <w:vAlign w:val="center"/>
          </w:tcPr>
          <w:p w14:paraId="0D299F98" w14:textId="3945B7D0" w:rsidR="00B85EAD" w:rsidRPr="00CE058E" w:rsidRDefault="00B85EAD"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100,352</w:t>
            </w:r>
          </w:p>
        </w:tc>
        <w:tc>
          <w:tcPr>
            <w:tcW w:w="877" w:type="dxa"/>
            <w:noWrap/>
            <w:vAlign w:val="center"/>
          </w:tcPr>
          <w:p w14:paraId="10DC4D22" w14:textId="42A983A0" w:rsidR="00B85EAD" w:rsidRPr="00CE058E" w:rsidRDefault="00B85EAD"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-9,318</w:t>
            </w:r>
          </w:p>
        </w:tc>
        <w:tc>
          <w:tcPr>
            <w:tcW w:w="540" w:type="dxa"/>
            <w:noWrap/>
            <w:vAlign w:val="center"/>
          </w:tcPr>
          <w:p w14:paraId="6E87CCB1" w14:textId="5CB388F2" w:rsidR="00B85EAD" w:rsidRPr="00CE058E" w:rsidRDefault="00B85EAD"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-9</w:t>
            </w:r>
          </w:p>
        </w:tc>
      </w:tr>
      <w:tr w:rsidR="009816AC" w:rsidRPr="00CE058E" w14:paraId="7857AB42" w14:textId="77777777" w:rsidTr="009816AC">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988" w:type="dxa"/>
            <w:noWrap/>
          </w:tcPr>
          <w:p w14:paraId="1ACA833A" w14:textId="3E4B5977" w:rsidR="00037328" w:rsidRPr="00CE058E" w:rsidRDefault="00037328" w:rsidP="00FA4994">
            <w:pPr>
              <w:spacing w:line="240" w:lineRule="auto"/>
              <w:jc w:val="center"/>
              <w:rPr>
                <w:rFonts w:eastAsia="Times New Roman" w:cs="Arial"/>
                <w:color w:val="15272F"/>
                <w:sz w:val="18"/>
                <w:szCs w:val="18"/>
                <w:lang w:eastAsia="en-AU"/>
              </w:rPr>
            </w:pPr>
            <w:r w:rsidRPr="00CE058E">
              <w:rPr>
                <w:rFonts w:cs="Arial"/>
                <w:color w:val="15272F"/>
                <w:sz w:val="18"/>
                <w:szCs w:val="18"/>
              </w:rPr>
              <w:t>C16Z</w:t>
            </w:r>
          </w:p>
        </w:tc>
        <w:tc>
          <w:tcPr>
            <w:tcW w:w="3061" w:type="dxa"/>
            <w:noWrap/>
          </w:tcPr>
          <w:p w14:paraId="661913E5" w14:textId="6BB3F921" w:rsidR="00037328" w:rsidRPr="00CE058E" w:rsidRDefault="00037328" w:rsidP="00FA4994">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Lens Interventions</w:t>
            </w:r>
          </w:p>
        </w:tc>
        <w:tc>
          <w:tcPr>
            <w:tcW w:w="1017" w:type="dxa"/>
            <w:noWrap/>
            <w:vAlign w:val="center"/>
          </w:tcPr>
          <w:p w14:paraId="6B1D317F" w14:textId="57D47404"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58,537</w:t>
            </w:r>
          </w:p>
        </w:tc>
        <w:tc>
          <w:tcPr>
            <w:tcW w:w="1025" w:type="dxa"/>
            <w:noWrap/>
            <w:vAlign w:val="center"/>
          </w:tcPr>
          <w:p w14:paraId="5A00D843" w14:textId="4C96665A"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71,596</w:t>
            </w:r>
          </w:p>
        </w:tc>
        <w:tc>
          <w:tcPr>
            <w:tcW w:w="877" w:type="dxa"/>
            <w:noWrap/>
            <w:vAlign w:val="center"/>
          </w:tcPr>
          <w:p w14:paraId="6D755762" w14:textId="60A06E6D"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-13,059</w:t>
            </w:r>
          </w:p>
        </w:tc>
        <w:tc>
          <w:tcPr>
            <w:tcW w:w="540" w:type="dxa"/>
            <w:noWrap/>
            <w:vAlign w:val="center"/>
          </w:tcPr>
          <w:p w14:paraId="49A62AA9" w14:textId="6E998A8C"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-18</w:t>
            </w:r>
          </w:p>
        </w:tc>
      </w:tr>
    </w:tbl>
    <w:p w14:paraId="616B323E" w14:textId="78AAB42B" w:rsidR="00BA6C2D" w:rsidRPr="00CE058E" w:rsidRDefault="00BA6C2D" w:rsidP="007B41F8">
      <w:pPr>
        <w:pStyle w:val="Heading2"/>
      </w:pPr>
      <w:bookmarkStart w:id="166" w:name="_Toc144215436"/>
      <w:bookmarkStart w:id="167" w:name="_Toc144967636"/>
      <w:bookmarkStart w:id="168" w:name="_Toc151129692"/>
      <w:bookmarkStart w:id="169" w:name="_Toc158882543"/>
      <w:bookmarkStart w:id="170" w:name="_Toc158882604"/>
      <w:r w:rsidRPr="00CE058E">
        <w:t>Admitted acute cost</w:t>
      </w:r>
      <w:bookmarkEnd w:id="166"/>
      <w:bookmarkEnd w:id="167"/>
      <w:bookmarkEnd w:id="168"/>
      <w:bookmarkEnd w:id="169"/>
      <w:bookmarkEnd w:id="170"/>
    </w:p>
    <w:p w14:paraId="061365F7" w14:textId="390DDC47" w:rsidR="00845FB8" w:rsidRPr="00CE058E" w:rsidRDefault="00944A34" w:rsidP="0037633A">
      <w:pPr>
        <w:spacing w:line="276" w:lineRule="auto"/>
        <w:rPr>
          <w:rFonts w:cs="Arial"/>
          <w:color w:val="auto"/>
        </w:rPr>
      </w:pPr>
      <w:bookmarkStart w:id="171" w:name="_Hlk148606192"/>
      <w:bookmarkStart w:id="172" w:name="_Hlk148605250"/>
      <w:r w:rsidRPr="00CE058E">
        <w:rPr>
          <w:rFonts w:cs="Arial"/>
          <w:color w:val="auto"/>
        </w:rPr>
        <w:t xml:space="preserve">In 2021-22, </w:t>
      </w:r>
      <w:r w:rsidR="00AF2519">
        <w:rPr>
          <w:rFonts w:cs="Arial"/>
          <w:color w:val="auto"/>
        </w:rPr>
        <w:t xml:space="preserve">the </w:t>
      </w:r>
      <w:r w:rsidRPr="00CE058E">
        <w:rPr>
          <w:rFonts w:cs="Arial"/>
          <w:color w:val="auto"/>
        </w:rPr>
        <w:t xml:space="preserve">admitted acute care </w:t>
      </w:r>
      <w:r w:rsidR="00AF2519">
        <w:rPr>
          <w:rFonts w:cs="Arial"/>
          <w:color w:val="auto"/>
        </w:rPr>
        <w:t xml:space="preserve">expenditure reported in the NHCDC was approximately </w:t>
      </w:r>
      <w:r w:rsidR="00AF2519" w:rsidRPr="00CE058E">
        <w:rPr>
          <w:rFonts w:cs="Arial"/>
          <w:color w:val="auto"/>
        </w:rPr>
        <w:t>$36.2 billion</w:t>
      </w:r>
      <w:r w:rsidR="00AF2519">
        <w:rPr>
          <w:rFonts w:cs="Arial"/>
          <w:color w:val="auto"/>
        </w:rPr>
        <w:t xml:space="preserve"> nationally</w:t>
      </w:r>
      <w:r w:rsidR="00301527" w:rsidRPr="00CE058E">
        <w:rPr>
          <w:rFonts w:cs="Arial"/>
          <w:color w:val="auto"/>
        </w:rPr>
        <w:t>. Figure 3 shows</w:t>
      </w:r>
      <w:r w:rsidR="009F0802" w:rsidRPr="00CE058E">
        <w:rPr>
          <w:rFonts w:cs="Arial"/>
          <w:color w:val="auto"/>
        </w:rPr>
        <w:t xml:space="preserve"> the</w:t>
      </w:r>
      <w:r w:rsidR="00301527" w:rsidRPr="00CE058E">
        <w:rPr>
          <w:rFonts w:cs="Arial"/>
          <w:color w:val="auto"/>
        </w:rPr>
        <w:t xml:space="preserve"> cost of admitted acute care by jurisdiction from 2019-20 to 2021-22. </w:t>
      </w:r>
      <w:r w:rsidR="0037633A" w:rsidRPr="00CE058E">
        <w:rPr>
          <w:rFonts w:cs="Arial"/>
          <w:color w:val="auto"/>
        </w:rPr>
        <w:t xml:space="preserve">From 2020-21 to 2021-22, the cost of admitted acute care increased </w:t>
      </w:r>
      <w:r w:rsidR="00301527" w:rsidRPr="00CE058E">
        <w:rPr>
          <w:rFonts w:cs="Arial"/>
          <w:color w:val="auto"/>
        </w:rPr>
        <w:t xml:space="preserve">$2.4 billion </w:t>
      </w:r>
      <w:r w:rsidR="00845FB8" w:rsidRPr="00CE058E">
        <w:rPr>
          <w:rFonts w:cs="Arial"/>
          <w:color w:val="auto"/>
        </w:rPr>
        <w:t>nationally, a</w:t>
      </w:r>
      <w:r w:rsidR="00301527" w:rsidRPr="00CE058E">
        <w:rPr>
          <w:rFonts w:cs="Arial"/>
          <w:color w:val="auto"/>
        </w:rPr>
        <w:t xml:space="preserve"> 7</w:t>
      </w:r>
      <w:r w:rsidR="00897090">
        <w:rPr>
          <w:rFonts w:cs="Arial"/>
          <w:color w:val="auto"/>
        </w:rPr>
        <w:t>%</w:t>
      </w:r>
      <w:r w:rsidR="00845FB8" w:rsidRPr="00CE058E">
        <w:rPr>
          <w:rFonts w:cs="Arial"/>
          <w:color w:val="auto"/>
        </w:rPr>
        <w:t xml:space="preserve"> increase to the 2020-21 figure of $33.8 billion.</w:t>
      </w:r>
      <w:r w:rsidR="00301527" w:rsidRPr="00CE058E">
        <w:rPr>
          <w:rFonts w:cs="Arial"/>
          <w:color w:val="auto"/>
        </w:rPr>
        <w:t xml:space="preserve"> The national increase in </w:t>
      </w:r>
      <w:r w:rsidR="0037633A" w:rsidRPr="00CE058E">
        <w:rPr>
          <w:rFonts w:cs="Arial"/>
          <w:color w:val="auto"/>
        </w:rPr>
        <w:t xml:space="preserve">the cost of </w:t>
      </w:r>
      <w:r w:rsidR="00301527" w:rsidRPr="00CE058E">
        <w:rPr>
          <w:rFonts w:cs="Arial"/>
          <w:color w:val="auto"/>
        </w:rPr>
        <w:t xml:space="preserve">admitted acute </w:t>
      </w:r>
      <w:r w:rsidR="0037633A" w:rsidRPr="00CE058E">
        <w:rPr>
          <w:rFonts w:cs="Arial"/>
          <w:color w:val="auto"/>
        </w:rPr>
        <w:t xml:space="preserve">care </w:t>
      </w:r>
      <w:r w:rsidR="00301527" w:rsidRPr="00CE058E">
        <w:rPr>
          <w:rFonts w:cs="Arial"/>
          <w:color w:val="auto"/>
        </w:rPr>
        <w:t>was driven by Victoria, increasing $</w:t>
      </w:r>
      <w:r w:rsidR="00112D9F" w:rsidRPr="00CE058E">
        <w:rPr>
          <w:rFonts w:cs="Arial"/>
          <w:color w:val="auto"/>
        </w:rPr>
        <w:t>725.3</w:t>
      </w:r>
      <w:r w:rsidR="00301527" w:rsidRPr="00CE058E">
        <w:rPr>
          <w:rFonts w:cs="Arial"/>
          <w:color w:val="auto"/>
        </w:rPr>
        <w:t xml:space="preserve"> </w:t>
      </w:r>
      <w:r w:rsidR="00112D9F" w:rsidRPr="00CE058E">
        <w:rPr>
          <w:rFonts w:cs="Arial"/>
          <w:color w:val="auto"/>
        </w:rPr>
        <w:t>m</w:t>
      </w:r>
      <w:r w:rsidR="00301527" w:rsidRPr="00CE058E">
        <w:rPr>
          <w:rFonts w:cs="Arial"/>
          <w:color w:val="auto"/>
        </w:rPr>
        <w:t xml:space="preserve">illion </w:t>
      </w:r>
      <w:r w:rsidR="009F0802" w:rsidRPr="00CE058E">
        <w:rPr>
          <w:rFonts w:cs="Arial"/>
          <w:color w:val="auto"/>
        </w:rPr>
        <w:t>(</w:t>
      </w:r>
      <w:r w:rsidR="00301527" w:rsidRPr="00CE058E">
        <w:rPr>
          <w:rFonts w:cs="Arial"/>
          <w:color w:val="auto"/>
        </w:rPr>
        <w:t>or 8</w:t>
      </w:r>
      <w:r w:rsidR="00897090">
        <w:rPr>
          <w:rFonts w:cs="Arial"/>
          <w:color w:val="auto"/>
        </w:rPr>
        <w:t>%</w:t>
      </w:r>
      <w:r w:rsidR="009F0802" w:rsidRPr="00CE058E">
        <w:rPr>
          <w:rFonts w:cs="Arial"/>
          <w:color w:val="auto"/>
        </w:rPr>
        <w:t>)</w:t>
      </w:r>
      <w:r w:rsidR="00301527" w:rsidRPr="00CE058E">
        <w:rPr>
          <w:rFonts w:cs="Arial"/>
          <w:color w:val="auto"/>
        </w:rPr>
        <w:t xml:space="preserve"> from 2020-21 to 2021-22.</w:t>
      </w:r>
      <w:r w:rsidR="00F835F4" w:rsidRPr="00CE058E">
        <w:rPr>
          <w:rFonts w:cs="Arial"/>
          <w:color w:val="auto"/>
        </w:rPr>
        <w:t xml:space="preserve"> </w:t>
      </w:r>
      <w:r w:rsidR="009F0802" w:rsidRPr="00CE058E">
        <w:rPr>
          <w:rFonts w:cs="Arial"/>
          <w:color w:val="auto"/>
        </w:rPr>
        <w:t>In 2021-22, t</w:t>
      </w:r>
      <w:r w:rsidR="00301527" w:rsidRPr="00CE058E">
        <w:rPr>
          <w:rFonts w:cs="Arial"/>
          <w:color w:val="auto"/>
        </w:rPr>
        <w:t>he</w:t>
      </w:r>
      <w:r w:rsidR="00CA3A4C" w:rsidRPr="00CE058E">
        <w:rPr>
          <w:rFonts w:cs="Arial"/>
          <w:color w:val="auto"/>
        </w:rPr>
        <w:t xml:space="preserve"> cost at the jurisdictional level range</w:t>
      </w:r>
      <w:r w:rsidR="009F0802" w:rsidRPr="00CE058E">
        <w:rPr>
          <w:rFonts w:cs="Arial"/>
          <w:color w:val="auto"/>
        </w:rPr>
        <w:t>d</w:t>
      </w:r>
      <w:r w:rsidR="00CA3A4C" w:rsidRPr="00CE058E">
        <w:rPr>
          <w:rFonts w:cs="Arial"/>
          <w:color w:val="auto"/>
        </w:rPr>
        <w:t xml:space="preserve"> from $</w:t>
      </w:r>
      <w:r w:rsidR="00845FB8" w:rsidRPr="00CE058E">
        <w:rPr>
          <w:rFonts w:cs="Arial"/>
          <w:color w:val="auto"/>
        </w:rPr>
        <w:t xml:space="preserve">754.3 million </w:t>
      </w:r>
      <w:r w:rsidR="00CA3A4C" w:rsidRPr="00CE058E">
        <w:rPr>
          <w:rFonts w:cs="Arial"/>
          <w:color w:val="auto"/>
        </w:rPr>
        <w:t>(</w:t>
      </w:r>
      <w:r w:rsidR="00F33B9C" w:rsidRPr="00CE058E">
        <w:rPr>
          <w:rFonts w:cs="Arial"/>
          <w:color w:val="auto"/>
        </w:rPr>
        <w:t>Northern Territory</w:t>
      </w:r>
      <w:r w:rsidR="00CA3A4C" w:rsidRPr="00CE058E">
        <w:rPr>
          <w:rFonts w:cs="Arial"/>
          <w:color w:val="auto"/>
        </w:rPr>
        <w:t>) to $9.9 billion (New South Wales)</w:t>
      </w:r>
      <w:r w:rsidR="00C37D7B" w:rsidRPr="00CE058E">
        <w:rPr>
          <w:rFonts w:cs="Arial"/>
          <w:color w:val="auto"/>
        </w:rPr>
        <w:t>.</w:t>
      </w:r>
      <w:bookmarkEnd w:id="171"/>
      <w:bookmarkEnd w:id="172"/>
    </w:p>
    <w:p w14:paraId="668F3F86" w14:textId="7E1040EB" w:rsidR="00CA3A4C" w:rsidRPr="00CE058E" w:rsidRDefault="006272A2" w:rsidP="00B42434">
      <w:pPr>
        <w:pStyle w:val="TableFigureheading"/>
      </w:pPr>
      <w:bookmarkStart w:id="173" w:name="_Toc151116339"/>
      <w:bookmarkStart w:id="174" w:name="_Toc151370052"/>
      <w:r w:rsidRPr="00CE058E">
        <w:t xml:space="preserve">Figure </w:t>
      </w:r>
      <w:r>
        <w:fldChar w:fldCharType="begin"/>
      </w:r>
      <w:r>
        <w:instrText xml:space="preserve"> SEQ Figure \* ARABIC </w:instrText>
      </w:r>
      <w:r>
        <w:fldChar w:fldCharType="separate"/>
      </w:r>
      <w:r w:rsidR="00DD29C5">
        <w:rPr>
          <w:noProof/>
        </w:rPr>
        <w:t>3</w:t>
      </w:r>
      <w:r>
        <w:rPr>
          <w:noProof/>
        </w:rPr>
        <w:fldChar w:fldCharType="end"/>
      </w:r>
      <w:r w:rsidR="00CA3A4C" w:rsidRPr="00CE058E">
        <w:t>: Admitted acute</w:t>
      </w:r>
      <w:r w:rsidR="00C5049D" w:rsidRPr="00CE058E">
        <w:t xml:space="preserve"> care</w:t>
      </w:r>
      <w:r w:rsidR="00CA3A4C" w:rsidRPr="00CE058E">
        <w:t xml:space="preserve"> cost, 2019-20 to 2021-22</w:t>
      </w:r>
      <w:bookmarkEnd w:id="173"/>
      <w:bookmarkEnd w:id="174"/>
    </w:p>
    <w:p w14:paraId="07B037D1" w14:textId="7A6AB5EA" w:rsidR="00C37D7B" w:rsidRPr="00CE058E" w:rsidRDefault="00BC44C7" w:rsidP="00C23F88">
      <w:pPr>
        <w:jc w:val="center"/>
        <w:rPr>
          <w:rFonts w:cs="Arial"/>
          <w:color w:val="auto"/>
        </w:rPr>
      </w:pPr>
      <w:r w:rsidRPr="00CE058E">
        <w:rPr>
          <w:rFonts w:cs="Arial"/>
          <w:noProof/>
        </w:rPr>
        <w:drawing>
          <wp:inline distT="0" distB="0" distL="0" distR="0" wp14:anchorId="590F7977" wp14:editId="6E0FD060">
            <wp:extent cx="6188710" cy="3312000"/>
            <wp:effectExtent l="0" t="0" r="0" b="0"/>
            <wp:docPr id="19" name="Chart 19">
              <a:extLst xmlns:a="http://schemas.openxmlformats.org/drawingml/2006/main">
                <a:ext uri="{FF2B5EF4-FFF2-40B4-BE49-F238E27FC236}">
                  <a16:creationId xmlns:a16="http://schemas.microsoft.com/office/drawing/2014/main" id="{62541B7D-8C7B-DAEB-DD05-1423A6C436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976C72" w14:textId="0CA5A85F" w:rsidR="007E751F" w:rsidRPr="00CE058E" w:rsidRDefault="00060E45" w:rsidP="007861EC">
      <w:pPr>
        <w:pStyle w:val="Heading3"/>
      </w:pPr>
      <w:bookmarkStart w:id="175" w:name="_Toc151129693"/>
      <w:bookmarkStart w:id="176" w:name="_Toc158882544"/>
      <w:bookmarkStart w:id="177" w:name="_Toc158882605"/>
      <w:r w:rsidRPr="00CE058E">
        <w:lastRenderedPageBreak/>
        <w:t>A</w:t>
      </w:r>
      <w:r w:rsidR="007E751F" w:rsidRPr="00CE058E">
        <w:t xml:space="preserve">dmitted acute </w:t>
      </w:r>
      <w:r w:rsidR="00CA7CFB" w:rsidRPr="00CE058E">
        <w:t xml:space="preserve">cost </w:t>
      </w:r>
      <w:r w:rsidR="00710A92" w:rsidRPr="00CE058E">
        <w:t>change</w:t>
      </w:r>
      <w:bookmarkEnd w:id="175"/>
      <w:bookmarkEnd w:id="176"/>
      <w:bookmarkEnd w:id="177"/>
    </w:p>
    <w:p w14:paraId="11041C7D" w14:textId="7471BB52" w:rsidR="00D92264" w:rsidRPr="00CE058E" w:rsidRDefault="00D92264" w:rsidP="00A47745">
      <w:pPr>
        <w:rPr>
          <w:rFonts w:cs="Arial"/>
          <w:color w:val="auto"/>
        </w:rPr>
      </w:pPr>
      <w:r w:rsidRPr="00CE058E">
        <w:rPr>
          <w:rFonts w:cs="Arial"/>
          <w:color w:val="auto"/>
        </w:rPr>
        <w:t xml:space="preserve">Table 6 shows the admitted acute </w:t>
      </w:r>
      <w:r w:rsidR="00116CD2" w:rsidRPr="00CE058E">
        <w:rPr>
          <w:rFonts w:cs="Arial"/>
          <w:color w:val="auto"/>
        </w:rPr>
        <w:t xml:space="preserve">end-classes that </w:t>
      </w:r>
      <w:r w:rsidRPr="00CE058E">
        <w:rPr>
          <w:rFonts w:cs="Arial"/>
          <w:color w:val="auto"/>
        </w:rPr>
        <w:t>had an impact on the change in the</w:t>
      </w:r>
      <w:r w:rsidR="00A22722" w:rsidRPr="00CE058E">
        <w:rPr>
          <w:rFonts w:cs="Arial"/>
          <w:color w:val="auto"/>
        </w:rPr>
        <w:t xml:space="preserve"> cost of </w:t>
      </w:r>
      <w:r w:rsidR="00A7569D" w:rsidRPr="00CE058E">
        <w:rPr>
          <w:rFonts w:cs="Arial"/>
          <w:color w:val="auto"/>
        </w:rPr>
        <w:t xml:space="preserve">separations reported </w:t>
      </w:r>
      <w:r w:rsidRPr="00CE058E">
        <w:rPr>
          <w:rFonts w:cs="Arial"/>
          <w:color w:val="auto"/>
        </w:rPr>
        <w:t>nationally in 2021-22 compared to 2020-21. In 2021-22, the national</w:t>
      </w:r>
      <w:r w:rsidR="00A7569D" w:rsidRPr="00CE058E">
        <w:rPr>
          <w:rFonts w:cs="Arial"/>
          <w:color w:val="auto"/>
        </w:rPr>
        <w:t xml:space="preserve"> cost </w:t>
      </w:r>
      <w:r w:rsidR="00133598" w:rsidRPr="00CE058E">
        <w:rPr>
          <w:rFonts w:cs="Arial"/>
          <w:color w:val="auto"/>
        </w:rPr>
        <w:t xml:space="preserve">of </w:t>
      </w:r>
      <w:r w:rsidR="00A7569D" w:rsidRPr="00CE058E">
        <w:rPr>
          <w:rFonts w:cs="Arial"/>
          <w:color w:val="auto"/>
        </w:rPr>
        <w:t>admitted acute care</w:t>
      </w:r>
      <w:r w:rsidRPr="00CE058E">
        <w:rPr>
          <w:rFonts w:cs="Arial"/>
          <w:color w:val="auto"/>
        </w:rPr>
        <w:t xml:space="preserve"> separations was</w:t>
      </w:r>
      <w:r w:rsidR="00A7569D" w:rsidRPr="00CE058E">
        <w:rPr>
          <w:rFonts w:cs="Arial"/>
          <w:color w:val="auto"/>
        </w:rPr>
        <w:t xml:space="preserve"> $36.2 billion</w:t>
      </w:r>
      <w:r w:rsidRPr="00CE058E">
        <w:rPr>
          <w:rFonts w:cs="Arial"/>
          <w:color w:val="auto"/>
        </w:rPr>
        <w:t>, a</w:t>
      </w:r>
      <w:r w:rsidR="00A7569D" w:rsidRPr="00CE058E">
        <w:rPr>
          <w:rFonts w:cs="Arial"/>
          <w:color w:val="auto"/>
        </w:rPr>
        <w:t xml:space="preserve">n increase of $2.4 billion </w:t>
      </w:r>
      <w:r w:rsidR="00A1089E" w:rsidRPr="00CE058E">
        <w:rPr>
          <w:rFonts w:cs="Arial"/>
          <w:color w:val="auto"/>
        </w:rPr>
        <w:t>(or</w:t>
      </w:r>
      <w:r w:rsidR="00A7569D" w:rsidRPr="00CE058E">
        <w:rPr>
          <w:rFonts w:cs="Arial"/>
          <w:color w:val="auto"/>
        </w:rPr>
        <w:t xml:space="preserve"> 7</w:t>
      </w:r>
      <w:r w:rsidR="00897090">
        <w:rPr>
          <w:rFonts w:cs="Arial"/>
          <w:color w:val="auto"/>
        </w:rPr>
        <w:t>%</w:t>
      </w:r>
      <w:r w:rsidR="00A1089E" w:rsidRPr="00CE058E">
        <w:rPr>
          <w:rFonts w:cs="Arial"/>
          <w:color w:val="auto"/>
        </w:rPr>
        <w:t>)</w:t>
      </w:r>
      <w:r w:rsidRPr="00CE058E">
        <w:rPr>
          <w:rFonts w:cs="Arial"/>
          <w:color w:val="auto"/>
        </w:rPr>
        <w:t xml:space="preserve"> compared to 2020-21. The national admitted acute </w:t>
      </w:r>
      <w:r w:rsidR="00A1089E" w:rsidRPr="00CE058E">
        <w:rPr>
          <w:rFonts w:cs="Arial"/>
          <w:color w:val="auto"/>
        </w:rPr>
        <w:t>cost</w:t>
      </w:r>
      <w:r w:rsidRPr="00CE058E">
        <w:rPr>
          <w:rFonts w:cs="Arial"/>
          <w:color w:val="auto"/>
        </w:rPr>
        <w:t xml:space="preserve"> </w:t>
      </w:r>
      <w:r w:rsidR="00A1089E" w:rsidRPr="00CE058E">
        <w:rPr>
          <w:rFonts w:cs="Arial"/>
          <w:color w:val="auto"/>
        </w:rPr>
        <w:t xml:space="preserve">increase </w:t>
      </w:r>
      <w:r w:rsidRPr="00CE058E">
        <w:rPr>
          <w:rFonts w:cs="Arial"/>
          <w:color w:val="auto"/>
        </w:rPr>
        <w:t xml:space="preserve">was driven by </w:t>
      </w:r>
      <w:r w:rsidR="00C243C3" w:rsidRPr="00CE058E">
        <w:rPr>
          <w:rFonts w:cs="Arial"/>
          <w:color w:val="auto"/>
        </w:rPr>
        <w:t>E62A, E41A, and E41B</w:t>
      </w:r>
      <w:r w:rsidRPr="00CE058E">
        <w:rPr>
          <w:rFonts w:cs="Arial"/>
          <w:color w:val="auto"/>
        </w:rPr>
        <w:t xml:space="preserve"> (as defined in table </w:t>
      </w:r>
      <w:r w:rsidR="00C243C3" w:rsidRPr="00CE058E">
        <w:rPr>
          <w:rFonts w:cs="Arial"/>
          <w:color w:val="auto"/>
        </w:rPr>
        <w:t>6</w:t>
      </w:r>
      <w:r w:rsidRPr="00CE058E">
        <w:rPr>
          <w:rFonts w:cs="Arial"/>
          <w:color w:val="auto"/>
        </w:rPr>
        <w:t xml:space="preserve">). These </w:t>
      </w:r>
      <w:r w:rsidR="00C243C3" w:rsidRPr="00CE058E">
        <w:rPr>
          <w:rFonts w:cs="Arial"/>
          <w:color w:val="auto"/>
        </w:rPr>
        <w:t>end-classes increased n</w:t>
      </w:r>
      <w:r w:rsidRPr="00CE058E">
        <w:rPr>
          <w:rFonts w:cs="Arial"/>
          <w:color w:val="auto"/>
        </w:rPr>
        <w:t xml:space="preserve">ationally </w:t>
      </w:r>
      <w:r w:rsidR="007A2AD0" w:rsidRPr="00CE058E">
        <w:rPr>
          <w:rFonts w:cs="Arial"/>
          <w:color w:val="auto"/>
        </w:rPr>
        <w:t>$388.4 million</w:t>
      </w:r>
      <w:r w:rsidRPr="00CE058E">
        <w:rPr>
          <w:rFonts w:cs="Arial"/>
          <w:color w:val="auto"/>
        </w:rPr>
        <w:t xml:space="preserve"> in 2021-22 compared to 2020-21. The </w:t>
      </w:r>
      <w:r w:rsidR="007A2AD0" w:rsidRPr="00CE058E">
        <w:rPr>
          <w:rFonts w:cs="Arial"/>
          <w:color w:val="auto"/>
        </w:rPr>
        <w:t xml:space="preserve">end-classes </w:t>
      </w:r>
      <w:r w:rsidRPr="00CE058E">
        <w:rPr>
          <w:rFonts w:cs="Arial"/>
          <w:color w:val="auto"/>
        </w:rPr>
        <w:t xml:space="preserve">that had the highest </w:t>
      </w:r>
      <w:r w:rsidR="007A2AD0" w:rsidRPr="00CE058E">
        <w:rPr>
          <w:rFonts w:cs="Arial"/>
          <w:color w:val="auto"/>
        </w:rPr>
        <w:t>decrease</w:t>
      </w:r>
      <w:r w:rsidRPr="00CE058E">
        <w:rPr>
          <w:rFonts w:cs="Arial"/>
          <w:color w:val="auto"/>
        </w:rPr>
        <w:t xml:space="preserve"> were </w:t>
      </w:r>
      <w:r w:rsidR="007A2AD0" w:rsidRPr="00CE058E">
        <w:rPr>
          <w:rFonts w:cs="Arial"/>
          <w:color w:val="auto"/>
        </w:rPr>
        <w:t xml:space="preserve">G10B, I33B, and I04B </w:t>
      </w:r>
      <w:r w:rsidRPr="00CE058E">
        <w:rPr>
          <w:rFonts w:cs="Arial"/>
          <w:color w:val="auto"/>
        </w:rPr>
        <w:t xml:space="preserve">(as defined in table </w:t>
      </w:r>
      <w:r w:rsidR="006F6D1B" w:rsidRPr="00CE058E">
        <w:rPr>
          <w:rFonts w:cs="Arial"/>
          <w:color w:val="auto"/>
        </w:rPr>
        <w:t>6</w:t>
      </w:r>
      <w:r w:rsidRPr="00CE058E">
        <w:rPr>
          <w:rFonts w:cs="Arial"/>
          <w:color w:val="auto"/>
        </w:rPr>
        <w:t xml:space="preserve">), </w:t>
      </w:r>
      <w:r w:rsidR="00301F51" w:rsidRPr="00CE058E">
        <w:rPr>
          <w:rFonts w:cs="Arial"/>
          <w:color w:val="auto"/>
        </w:rPr>
        <w:t>a</w:t>
      </w:r>
      <w:r w:rsidRPr="00CE058E">
        <w:rPr>
          <w:rFonts w:cs="Arial"/>
          <w:color w:val="auto"/>
        </w:rPr>
        <w:t xml:space="preserve"> </w:t>
      </w:r>
      <w:r w:rsidR="006F6D1B" w:rsidRPr="00CE058E">
        <w:rPr>
          <w:rFonts w:cs="Arial"/>
          <w:color w:val="auto"/>
        </w:rPr>
        <w:t>decrease</w:t>
      </w:r>
      <w:r w:rsidR="00301F51" w:rsidRPr="00CE058E">
        <w:rPr>
          <w:rFonts w:cs="Arial"/>
          <w:color w:val="auto"/>
        </w:rPr>
        <w:t xml:space="preserve"> of</w:t>
      </w:r>
      <w:r w:rsidR="006F6D1B" w:rsidRPr="00CE058E">
        <w:rPr>
          <w:rFonts w:cs="Arial"/>
          <w:color w:val="auto"/>
        </w:rPr>
        <w:t xml:space="preserve"> $107.1 million</w:t>
      </w:r>
      <w:r w:rsidRPr="00CE058E">
        <w:rPr>
          <w:rFonts w:cs="Arial"/>
          <w:color w:val="auto"/>
        </w:rPr>
        <w:t xml:space="preserve"> from 2020-21.</w:t>
      </w:r>
    </w:p>
    <w:p w14:paraId="1667A1E3" w14:textId="5A28CE52" w:rsidR="00676B6D" w:rsidRPr="00CE058E" w:rsidRDefault="00C53B6A" w:rsidP="00B42434">
      <w:pPr>
        <w:pStyle w:val="TableFigureheading"/>
      </w:pPr>
      <w:bookmarkStart w:id="178" w:name="_Toc149650907"/>
      <w:bookmarkStart w:id="179" w:name="_Toc151370032"/>
      <w:r w:rsidRPr="00CE058E">
        <w:t xml:space="preserve">Table </w:t>
      </w:r>
      <w:r>
        <w:fldChar w:fldCharType="begin"/>
      </w:r>
      <w:r>
        <w:instrText xml:space="preserve"> SEQ Table \* ARABIC </w:instrText>
      </w:r>
      <w:r>
        <w:fldChar w:fldCharType="separate"/>
      </w:r>
      <w:r w:rsidR="00B42434">
        <w:rPr>
          <w:noProof/>
        </w:rPr>
        <w:t>6</w:t>
      </w:r>
      <w:r>
        <w:rPr>
          <w:noProof/>
        </w:rPr>
        <w:fldChar w:fldCharType="end"/>
      </w:r>
      <w:r w:rsidR="00676B6D" w:rsidRPr="00CE058E">
        <w:t>: Admitted acute</w:t>
      </w:r>
      <w:r w:rsidR="00C5049D" w:rsidRPr="00CE058E">
        <w:t xml:space="preserve"> cost change</w:t>
      </w:r>
      <w:r w:rsidR="00676B6D" w:rsidRPr="00CE058E">
        <w:t>, 2020-21 to 2021-22</w:t>
      </w:r>
      <w:bookmarkEnd w:id="178"/>
      <w:bookmarkEnd w:id="179"/>
    </w:p>
    <w:tbl>
      <w:tblPr>
        <w:tblStyle w:val="GridTable4-Accent2"/>
        <w:tblW w:w="8642" w:type="dxa"/>
        <w:jc w:val="center"/>
        <w:tblLook w:val="04A0" w:firstRow="1" w:lastRow="0" w:firstColumn="1" w:lastColumn="0" w:noHBand="0" w:noVBand="1"/>
      </w:tblPr>
      <w:tblGrid>
        <w:gridCol w:w="993"/>
        <w:gridCol w:w="3404"/>
        <w:gridCol w:w="1318"/>
        <w:gridCol w:w="1318"/>
        <w:gridCol w:w="1217"/>
        <w:gridCol w:w="877"/>
      </w:tblGrid>
      <w:tr w:rsidR="00B963CF" w:rsidRPr="00CE058E" w14:paraId="3266755C" w14:textId="77777777" w:rsidTr="00A47745">
        <w:trPr>
          <w:cnfStyle w:val="100000000000" w:firstRow="1" w:lastRow="0"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478BA7FA" w14:textId="0FEA0822" w:rsidR="00037328" w:rsidRPr="00CE058E" w:rsidRDefault="00037328" w:rsidP="00150FC2">
            <w:pPr>
              <w:spacing w:line="240" w:lineRule="auto"/>
              <w:jc w:val="center"/>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AR-DRG</w:t>
            </w:r>
          </w:p>
        </w:tc>
        <w:tc>
          <w:tcPr>
            <w:tcW w:w="0"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53B7EC00" w14:textId="77777777" w:rsidR="00037328" w:rsidRPr="00CE058E" w:rsidRDefault="00037328" w:rsidP="00150FC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Description</w:t>
            </w:r>
          </w:p>
        </w:tc>
        <w:tc>
          <w:tcPr>
            <w:tcW w:w="0"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tcPr>
          <w:p w14:paraId="6EAF766A" w14:textId="4A2C1EEB" w:rsidR="00037328" w:rsidRPr="00CE058E" w:rsidRDefault="00037328" w:rsidP="00150FC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Cost</w:t>
            </w:r>
            <w:r w:rsidR="001E2FEF" w:rsidRPr="00CE058E">
              <w:rPr>
                <w:rFonts w:eastAsia="Times New Roman" w:cs="Arial"/>
                <w:color w:val="FFFFFF" w:themeColor="background2"/>
                <w:sz w:val="18"/>
                <w:szCs w:val="18"/>
                <w:lang w:eastAsia="en-AU"/>
              </w:rPr>
              <w:t xml:space="preserve"> ($)</w:t>
            </w:r>
          </w:p>
        </w:tc>
        <w:tc>
          <w:tcPr>
            <w:tcW w:w="1217"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5C5EB385" w14:textId="7881FF0A" w:rsidR="00037328" w:rsidRPr="00CE058E" w:rsidRDefault="00037328" w:rsidP="00150FC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p>
        </w:tc>
        <w:tc>
          <w:tcPr>
            <w:tcW w:w="392"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hideMark/>
          </w:tcPr>
          <w:p w14:paraId="3819EEA0" w14:textId="6B88C0FA" w:rsidR="00037328" w:rsidRPr="00CE058E" w:rsidRDefault="00037328" w:rsidP="00150FC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p>
        </w:tc>
      </w:tr>
      <w:tr w:rsidR="00B963CF" w:rsidRPr="00CE058E" w14:paraId="172F5E64" w14:textId="77777777" w:rsidTr="00A47745">
        <w:trPr>
          <w:cnfStyle w:val="000000100000" w:firstRow="0" w:lastRow="0" w:firstColumn="0" w:lastColumn="0" w:oddVBand="0" w:evenVBand="0" w:oddHBand="1"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tcPr>
          <w:p w14:paraId="4CE6DB7D" w14:textId="77777777" w:rsidR="00037328" w:rsidRPr="00CE058E" w:rsidRDefault="00037328" w:rsidP="0001049B">
            <w:pPr>
              <w:spacing w:line="240" w:lineRule="auto"/>
              <w:jc w:val="center"/>
              <w:rPr>
                <w:rFonts w:eastAsia="Times New Roman" w:cs="Arial"/>
                <w:b w:val="0"/>
                <w:bCs w:val="0"/>
                <w:color w:val="FFFFFF" w:themeColor="background2"/>
                <w:sz w:val="18"/>
                <w:szCs w:val="18"/>
                <w:lang w:eastAsia="en-AU"/>
              </w:rPr>
            </w:pPr>
          </w:p>
        </w:tc>
        <w:tc>
          <w:tcPr>
            <w:tcW w:w="0"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tcPr>
          <w:p w14:paraId="4F7F2A05" w14:textId="77777777" w:rsidR="00037328" w:rsidRPr="00CE058E" w:rsidRDefault="00037328" w:rsidP="0001049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p>
        </w:tc>
        <w:tc>
          <w:tcPr>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tcPr>
          <w:p w14:paraId="5C7BD2F6" w14:textId="3DD5B58E" w:rsidR="00037328" w:rsidRPr="00CE058E" w:rsidRDefault="00037328" w:rsidP="0001049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2021-22</w:t>
            </w:r>
          </w:p>
        </w:tc>
        <w:tc>
          <w:tcPr>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tcPr>
          <w:p w14:paraId="15591CB5" w14:textId="4AA2D7B6" w:rsidR="00037328" w:rsidRPr="00CE058E" w:rsidRDefault="00037328" w:rsidP="0001049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2020-21</w:t>
            </w:r>
          </w:p>
        </w:tc>
        <w:tc>
          <w:tcPr>
            <w:tcW w:w="1217"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tcPr>
          <w:p w14:paraId="16AF1077" w14:textId="77777777" w:rsidR="00037328" w:rsidRPr="00CE058E" w:rsidRDefault="00037328" w:rsidP="0001049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p>
        </w:tc>
        <w:tc>
          <w:tcPr>
            <w:tcW w:w="392"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tcPr>
          <w:p w14:paraId="55176E5C" w14:textId="77777777" w:rsidR="00037328" w:rsidRPr="00CE058E" w:rsidRDefault="00037328" w:rsidP="0001049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p>
        </w:tc>
      </w:tr>
      <w:tr w:rsidR="00037328" w:rsidRPr="00CE058E" w14:paraId="4A269106" w14:textId="77777777" w:rsidTr="00A47745">
        <w:trPr>
          <w:trHeight w:val="284"/>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FFFFFF" w:themeColor="background2"/>
            </w:tcBorders>
            <w:noWrap/>
            <w:hideMark/>
          </w:tcPr>
          <w:p w14:paraId="1FB11C8C" w14:textId="49DE84C2" w:rsidR="00037328" w:rsidRPr="00CE058E" w:rsidRDefault="00037328" w:rsidP="0001049B">
            <w:pPr>
              <w:spacing w:line="240" w:lineRule="auto"/>
              <w:jc w:val="center"/>
              <w:rPr>
                <w:rFonts w:eastAsia="Times New Roman" w:cs="Arial"/>
                <w:color w:val="15272F"/>
                <w:sz w:val="18"/>
                <w:szCs w:val="18"/>
                <w:lang w:eastAsia="en-AU"/>
              </w:rPr>
            </w:pPr>
            <w:r w:rsidRPr="00CE058E">
              <w:rPr>
                <w:rFonts w:cs="Arial"/>
                <w:color w:val="15272F"/>
                <w:sz w:val="18"/>
                <w:szCs w:val="18"/>
              </w:rPr>
              <w:t>E62A</w:t>
            </w:r>
          </w:p>
        </w:tc>
        <w:tc>
          <w:tcPr>
            <w:tcW w:w="3404" w:type="dxa"/>
            <w:tcBorders>
              <w:top w:val="single" w:sz="4" w:space="0" w:color="FFFFFF" w:themeColor="background2"/>
            </w:tcBorders>
            <w:noWrap/>
            <w:hideMark/>
          </w:tcPr>
          <w:p w14:paraId="68A0DD55" w14:textId="772BE215" w:rsidR="00037328" w:rsidRPr="00CE058E" w:rsidRDefault="00037328" w:rsidP="0001049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Respiratory Infections and Inflammations, Major Complexity</w:t>
            </w:r>
          </w:p>
        </w:tc>
        <w:tc>
          <w:tcPr>
            <w:tcW w:w="1318" w:type="dxa"/>
            <w:tcBorders>
              <w:top w:val="single" w:sz="4" w:space="0" w:color="FFFFFF" w:themeColor="background2"/>
            </w:tcBorders>
            <w:noWrap/>
            <w:vAlign w:val="center"/>
            <w:hideMark/>
          </w:tcPr>
          <w:p w14:paraId="7E57E1BD" w14:textId="5F15C43D"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502,325,585</w:t>
            </w:r>
          </w:p>
        </w:tc>
        <w:tc>
          <w:tcPr>
            <w:tcW w:w="1318" w:type="dxa"/>
            <w:tcBorders>
              <w:top w:val="single" w:sz="4" w:space="0" w:color="FFFFFF" w:themeColor="background2"/>
            </w:tcBorders>
            <w:noWrap/>
            <w:vAlign w:val="center"/>
            <w:hideMark/>
          </w:tcPr>
          <w:p w14:paraId="0C7C0407" w14:textId="344E9278"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339,140,990</w:t>
            </w:r>
          </w:p>
        </w:tc>
        <w:tc>
          <w:tcPr>
            <w:tcW w:w="1217" w:type="dxa"/>
            <w:tcBorders>
              <w:top w:val="single" w:sz="4" w:space="0" w:color="FFFFFF" w:themeColor="background2"/>
            </w:tcBorders>
            <w:noWrap/>
            <w:vAlign w:val="center"/>
            <w:hideMark/>
          </w:tcPr>
          <w:p w14:paraId="0CB33778" w14:textId="2EB383A2"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163,184,595</w:t>
            </w:r>
          </w:p>
        </w:tc>
        <w:tc>
          <w:tcPr>
            <w:tcW w:w="392" w:type="dxa"/>
            <w:tcBorders>
              <w:top w:val="single" w:sz="4" w:space="0" w:color="FFFFFF" w:themeColor="background2"/>
            </w:tcBorders>
            <w:noWrap/>
            <w:vAlign w:val="center"/>
            <w:hideMark/>
          </w:tcPr>
          <w:p w14:paraId="5263AF8A" w14:textId="1B8819C2"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48</w:t>
            </w:r>
          </w:p>
        </w:tc>
      </w:tr>
      <w:tr w:rsidR="00037328" w:rsidRPr="00CE058E" w14:paraId="368DED8F" w14:textId="77777777" w:rsidTr="00A47745">
        <w:trPr>
          <w:cnfStyle w:val="000000100000" w:firstRow="0" w:lastRow="0" w:firstColumn="0" w:lastColumn="0" w:oddVBand="0" w:evenVBand="0" w:oddHBand="1"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44967CC1" w14:textId="538BDB73" w:rsidR="00037328" w:rsidRPr="00CE058E" w:rsidRDefault="00037328" w:rsidP="0001049B">
            <w:pPr>
              <w:spacing w:line="240" w:lineRule="auto"/>
              <w:jc w:val="center"/>
              <w:rPr>
                <w:rFonts w:eastAsia="Times New Roman" w:cs="Arial"/>
                <w:color w:val="15272F"/>
                <w:sz w:val="18"/>
                <w:szCs w:val="18"/>
                <w:lang w:eastAsia="en-AU"/>
              </w:rPr>
            </w:pPr>
            <w:r w:rsidRPr="00CE058E">
              <w:rPr>
                <w:rFonts w:cs="Arial"/>
                <w:color w:val="15272F"/>
                <w:sz w:val="18"/>
                <w:szCs w:val="18"/>
              </w:rPr>
              <w:t>E41A</w:t>
            </w:r>
          </w:p>
        </w:tc>
        <w:tc>
          <w:tcPr>
            <w:tcW w:w="3404" w:type="dxa"/>
            <w:noWrap/>
            <w:hideMark/>
          </w:tcPr>
          <w:p w14:paraId="5C3CCF54" w14:textId="2B8B691D" w:rsidR="00037328" w:rsidRPr="00CE058E" w:rsidRDefault="00037328" w:rsidP="0001049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Respiratory System Disorders with Non-Invasive Ventilation, Major Complexity</w:t>
            </w:r>
          </w:p>
        </w:tc>
        <w:tc>
          <w:tcPr>
            <w:tcW w:w="1318" w:type="dxa"/>
            <w:noWrap/>
            <w:vAlign w:val="center"/>
            <w:hideMark/>
          </w:tcPr>
          <w:p w14:paraId="23EAB3D7" w14:textId="4E5BA456"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295,657,413</w:t>
            </w:r>
          </w:p>
        </w:tc>
        <w:tc>
          <w:tcPr>
            <w:tcW w:w="1318" w:type="dxa"/>
            <w:noWrap/>
            <w:vAlign w:val="center"/>
            <w:hideMark/>
          </w:tcPr>
          <w:p w14:paraId="7E020F46" w14:textId="303B555B"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165,010,982</w:t>
            </w:r>
          </w:p>
        </w:tc>
        <w:tc>
          <w:tcPr>
            <w:tcW w:w="1217" w:type="dxa"/>
            <w:noWrap/>
            <w:vAlign w:val="center"/>
            <w:hideMark/>
          </w:tcPr>
          <w:p w14:paraId="3010FE45" w14:textId="6744D57F"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130,646,430</w:t>
            </w:r>
          </w:p>
        </w:tc>
        <w:tc>
          <w:tcPr>
            <w:tcW w:w="392" w:type="dxa"/>
            <w:noWrap/>
            <w:vAlign w:val="center"/>
            <w:hideMark/>
          </w:tcPr>
          <w:p w14:paraId="16F77110" w14:textId="1A7C7E12"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79</w:t>
            </w:r>
          </w:p>
        </w:tc>
      </w:tr>
      <w:tr w:rsidR="00037328" w:rsidRPr="00CE058E" w14:paraId="7D2343C9" w14:textId="77777777" w:rsidTr="00A47745">
        <w:trPr>
          <w:trHeight w:val="130"/>
          <w:jc w:val="cent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7DDF5E50" w14:textId="6376F204" w:rsidR="00037328" w:rsidRPr="00CE058E" w:rsidRDefault="00037328" w:rsidP="0001049B">
            <w:pPr>
              <w:spacing w:line="240" w:lineRule="auto"/>
              <w:jc w:val="center"/>
              <w:rPr>
                <w:rFonts w:eastAsia="Times New Roman" w:cs="Arial"/>
                <w:color w:val="15272F"/>
                <w:sz w:val="18"/>
                <w:szCs w:val="18"/>
                <w:lang w:eastAsia="en-AU"/>
              </w:rPr>
            </w:pPr>
            <w:r w:rsidRPr="00CE058E">
              <w:rPr>
                <w:rFonts w:cs="Arial"/>
                <w:color w:val="15272F"/>
                <w:sz w:val="18"/>
                <w:szCs w:val="18"/>
              </w:rPr>
              <w:t>E41B</w:t>
            </w:r>
          </w:p>
        </w:tc>
        <w:tc>
          <w:tcPr>
            <w:tcW w:w="3404" w:type="dxa"/>
            <w:noWrap/>
            <w:hideMark/>
          </w:tcPr>
          <w:p w14:paraId="7D321B52" w14:textId="38664EDC" w:rsidR="00037328" w:rsidRPr="00CE058E" w:rsidRDefault="00037328" w:rsidP="0001049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Respiratory System Disorders with Non-Invasive Ventilation, Minor Complexity</w:t>
            </w:r>
          </w:p>
        </w:tc>
        <w:tc>
          <w:tcPr>
            <w:tcW w:w="1318" w:type="dxa"/>
            <w:noWrap/>
            <w:vAlign w:val="center"/>
            <w:hideMark/>
          </w:tcPr>
          <w:p w14:paraId="064F072A" w14:textId="09C5BA68"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239,127,211</w:t>
            </w:r>
          </w:p>
        </w:tc>
        <w:tc>
          <w:tcPr>
            <w:tcW w:w="1318" w:type="dxa"/>
            <w:noWrap/>
            <w:vAlign w:val="center"/>
            <w:hideMark/>
          </w:tcPr>
          <w:p w14:paraId="20D278CD" w14:textId="6B7CAD01"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144,559,086</w:t>
            </w:r>
          </w:p>
        </w:tc>
        <w:tc>
          <w:tcPr>
            <w:tcW w:w="1217" w:type="dxa"/>
            <w:noWrap/>
            <w:vAlign w:val="center"/>
            <w:hideMark/>
          </w:tcPr>
          <w:p w14:paraId="45712032" w14:textId="1F58DD2D"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94,568,125</w:t>
            </w:r>
          </w:p>
        </w:tc>
        <w:tc>
          <w:tcPr>
            <w:tcW w:w="392" w:type="dxa"/>
            <w:noWrap/>
            <w:vAlign w:val="center"/>
            <w:hideMark/>
          </w:tcPr>
          <w:p w14:paraId="1FED0232" w14:textId="72CE3FA8"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65</w:t>
            </w:r>
          </w:p>
        </w:tc>
      </w:tr>
      <w:tr w:rsidR="001E2FEF" w:rsidRPr="00CE058E" w14:paraId="554DF791" w14:textId="77777777" w:rsidTr="00A47745">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993" w:type="dxa"/>
            <w:noWrap/>
          </w:tcPr>
          <w:p w14:paraId="62EE65B3" w14:textId="4F968E13" w:rsidR="001E2FEF" w:rsidRPr="00CE058E" w:rsidRDefault="001E2FEF" w:rsidP="001E2FEF">
            <w:pPr>
              <w:spacing w:line="240" w:lineRule="auto"/>
              <w:jc w:val="center"/>
              <w:rPr>
                <w:rFonts w:cs="Arial"/>
                <w:color w:val="15272F"/>
                <w:sz w:val="18"/>
                <w:szCs w:val="18"/>
              </w:rPr>
            </w:pPr>
            <w:r w:rsidRPr="00CE058E">
              <w:rPr>
                <w:rFonts w:cs="Arial"/>
                <w:color w:val="15272F"/>
                <w:sz w:val="18"/>
                <w:szCs w:val="18"/>
              </w:rPr>
              <w:t>G10B</w:t>
            </w:r>
          </w:p>
        </w:tc>
        <w:tc>
          <w:tcPr>
            <w:tcW w:w="3404" w:type="dxa"/>
            <w:noWrap/>
          </w:tcPr>
          <w:p w14:paraId="6EC074A4" w14:textId="5DD54C09" w:rsidR="001E2FEF" w:rsidRPr="00CE058E" w:rsidRDefault="001E2FEF" w:rsidP="001E2FEF">
            <w:pPr>
              <w:spacing w:line="240" w:lineRule="auto"/>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Hernia Interventions, Minor Complexity</w:t>
            </w:r>
          </w:p>
        </w:tc>
        <w:tc>
          <w:tcPr>
            <w:tcW w:w="1318" w:type="dxa"/>
            <w:noWrap/>
            <w:vAlign w:val="center"/>
          </w:tcPr>
          <w:p w14:paraId="6847B801" w14:textId="5AD2ED01" w:rsidR="001E2FEF" w:rsidRPr="00CE058E" w:rsidRDefault="001E2FEF"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160,129,291</w:t>
            </w:r>
          </w:p>
        </w:tc>
        <w:tc>
          <w:tcPr>
            <w:tcW w:w="1318" w:type="dxa"/>
            <w:noWrap/>
            <w:vAlign w:val="center"/>
          </w:tcPr>
          <w:p w14:paraId="226AE518" w14:textId="68DB233E" w:rsidR="001E2FEF" w:rsidRPr="00CE058E" w:rsidRDefault="001E2FEF"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177,463,010</w:t>
            </w:r>
          </w:p>
        </w:tc>
        <w:tc>
          <w:tcPr>
            <w:tcW w:w="1217" w:type="dxa"/>
            <w:noWrap/>
            <w:vAlign w:val="center"/>
          </w:tcPr>
          <w:p w14:paraId="79E37E51" w14:textId="39E3E03C" w:rsidR="001E2FEF" w:rsidRPr="00CE058E" w:rsidRDefault="001E2FEF"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-17,333,719</w:t>
            </w:r>
          </w:p>
        </w:tc>
        <w:tc>
          <w:tcPr>
            <w:tcW w:w="392" w:type="dxa"/>
            <w:noWrap/>
            <w:vAlign w:val="center"/>
          </w:tcPr>
          <w:p w14:paraId="2771D6E6" w14:textId="761E280C" w:rsidR="001E2FEF" w:rsidRPr="00CE058E" w:rsidRDefault="001E2FEF"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-10</w:t>
            </w:r>
          </w:p>
        </w:tc>
      </w:tr>
      <w:tr w:rsidR="001E2FEF" w:rsidRPr="00CE058E" w14:paraId="214695F6" w14:textId="77777777" w:rsidTr="00A47745">
        <w:trPr>
          <w:trHeight w:val="127"/>
          <w:jc w:val="center"/>
        </w:trPr>
        <w:tc>
          <w:tcPr>
            <w:cnfStyle w:val="001000000000" w:firstRow="0" w:lastRow="0" w:firstColumn="1" w:lastColumn="0" w:oddVBand="0" w:evenVBand="0" w:oddHBand="0" w:evenHBand="0" w:firstRowFirstColumn="0" w:firstRowLastColumn="0" w:lastRowFirstColumn="0" w:lastRowLastColumn="0"/>
            <w:tcW w:w="993" w:type="dxa"/>
            <w:noWrap/>
          </w:tcPr>
          <w:p w14:paraId="64E87C78" w14:textId="4BC30EB0" w:rsidR="001E2FEF" w:rsidRPr="00CE058E" w:rsidRDefault="001E2FEF" w:rsidP="001E2FEF">
            <w:pPr>
              <w:spacing w:line="240" w:lineRule="auto"/>
              <w:jc w:val="center"/>
              <w:rPr>
                <w:rFonts w:cs="Arial"/>
                <w:color w:val="15272F"/>
                <w:sz w:val="18"/>
                <w:szCs w:val="18"/>
              </w:rPr>
            </w:pPr>
            <w:r w:rsidRPr="00CE058E">
              <w:rPr>
                <w:rFonts w:cs="Arial"/>
                <w:color w:val="15272F"/>
                <w:sz w:val="18"/>
                <w:szCs w:val="18"/>
              </w:rPr>
              <w:t>I33B</w:t>
            </w:r>
          </w:p>
        </w:tc>
        <w:tc>
          <w:tcPr>
            <w:tcW w:w="3404" w:type="dxa"/>
            <w:noWrap/>
          </w:tcPr>
          <w:p w14:paraId="45FBF537" w14:textId="1517430B" w:rsidR="001E2FEF" w:rsidRPr="00CE058E" w:rsidRDefault="001E2FEF" w:rsidP="001E2FEF">
            <w:pPr>
              <w:spacing w:line="240" w:lineRule="auto"/>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Hip Replacement for Non-Trauma, Minor Complexity</w:t>
            </w:r>
          </w:p>
        </w:tc>
        <w:tc>
          <w:tcPr>
            <w:tcW w:w="1318" w:type="dxa"/>
            <w:noWrap/>
            <w:vAlign w:val="center"/>
          </w:tcPr>
          <w:p w14:paraId="6DFB0EDA" w14:textId="3873ACF3" w:rsidR="001E2FEF" w:rsidRPr="00CE058E" w:rsidRDefault="001E2FEF"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147,666,057</w:t>
            </w:r>
          </w:p>
        </w:tc>
        <w:tc>
          <w:tcPr>
            <w:tcW w:w="1318" w:type="dxa"/>
            <w:noWrap/>
            <w:vAlign w:val="center"/>
          </w:tcPr>
          <w:p w14:paraId="5375B329" w14:textId="48BEC9B5" w:rsidR="001E2FEF" w:rsidRPr="00CE058E" w:rsidRDefault="001E2FEF"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180,968,546</w:t>
            </w:r>
          </w:p>
        </w:tc>
        <w:tc>
          <w:tcPr>
            <w:tcW w:w="1217" w:type="dxa"/>
            <w:noWrap/>
            <w:vAlign w:val="center"/>
          </w:tcPr>
          <w:p w14:paraId="6567105F" w14:textId="5A4D0004" w:rsidR="001E2FEF" w:rsidRPr="00CE058E" w:rsidRDefault="001E2FEF"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-33,302,490</w:t>
            </w:r>
          </w:p>
        </w:tc>
        <w:tc>
          <w:tcPr>
            <w:tcW w:w="392" w:type="dxa"/>
            <w:noWrap/>
            <w:vAlign w:val="center"/>
          </w:tcPr>
          <w:p w14:paraId="3DEBFC9B" w14:textId="57067C6F" w:rsidR="001E2FEF" w:rsidRPr="00CE058E" w:rsidRDefault="001E2FEF"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-18</w:t>
            </w:r>
          </w:p>
        </w:tc>
      </w:tr>
      <w:tr w:rsidR="00037328" w:rsidRPr="00CE058E" w14:paraId="4EBEDB48" w14:textId="77777777" w:rsidTr="00A47745">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993" w:type="dxa"/>
            <w:noWrap/>
          </w:tcPr>
          <w:p w14:paraId="31CAD532" w14:textId="2F549C0A" w:rsidR="00037328" w:rsidRPr="00CE058E" w:rsidRDefault="00037328" w:rsidP="0001049B">
            <w:pPr>
              <w:spacing w:line="240" w:lineRule="auto"/>
              <w:jc w:val="center"/>
              <w:rPr>
                <w:rFonts w:eastAsia="Times New Roman" w:cs="Arial"/>
                <w:color w:val="15272F"/>
                <w:sz w:val="18"/>
                <w:szCs w:val="18"/>
                <w:lang w:eastAsia="en-AU"/>
              </w:rPr>
            </w:pPr>
            <w:r w:rsidRPr="00CE058E">
              <w:rPr>
                <w:rFonts w:cs="Arial"/>
                <w:color w:val="15272F"/>
                <w:sz w:val="18"/>
                <w:szCs w:val="18"/>
              </w:rPr>
              <w:t>I04B</w:t>
            </w:r>
          </w:p>
        </w:tc>
        <w:tc>
          <w:tcPr>
            <w:tcW w:w="3404" w:type="dxa"/>
            <w:noWrap/>
          </w:tcPr>
          <w:p w14:paraId="4D61B21C" w14:textId="5BF309E4" w:rsidR="00037328" w:rsidRPr="00CE058E" w:rsidRDefault="00037328" w:rsidP="0001049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Knee Replacement, Minor Complexity</w:t>
            </w:r>
          </w:p>
        </w:tc>
        <w:tc>
          <w:tcPr>
            <w:tcW w:w="1318" w:type="dxa"/>
            <w:noWrap/>
            <w:vAlign w:val="center"/>
          </w:tcPr>
          <w:p w14:paraId="37FAB8EF" w14:textId="0D2A57DC"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192,322,813</w:t>
            </w:r>
          </w:p>
        </w:tc>
        <w:tc>
          <w:tcPr>
            <w:tcW w:w="1318" w:type="dxa"/>
            <w:noWrap/>
            <w:vAlign w:val="center"/>
          </w:tcPr>
          <w:p w14:paraId="28957DB8" w14:textId="6DD553A1"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248,795,594</w:t>
            </w:r>
          </w:p>
        </w:tc>
        <w:tc>
          <w:tcPr>
            <w:tcW w:w="1217" w:type="dxa"/>
            <w:noWrap/>
            <w:vAlign w:val="center"/>
          </w:tcPr>
          <w:p w14:paraId="0A04CDF8" w14:textId="13F04003"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-56,472,781</w:t>
            </w:r>
          </w:p>
        </w:tc>
        <w:tc>
          <w:tcPr>
            <w:tcW w:w="392" w:type="dxa"/>
            <w:noWrap/>
            <w:vAlign w:val="center"/>
          </w:tcPr>
          <w:p w14:paraId="755E5990" w14:textId="6495CD63"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-23</w:t>
            </w:r>
          </w:p>
        </w:tc>
      </w:tr>
    </w:tbl>
    <w:p w14:paraId="048F7212" w14:textId="5DE6560B" w:rsidR="00F030E3" w:rsidRPr="00CE058E" w:rsidRDefault="00F030E3" w:rsidP="007B41F8">
      <w:pPr>
        <w:pStyle w:val="Heading2"/>
      </w:pPr>
      <w:bookmarkStart w:id="180" w:name="_Toc144967639"/>
      <w:bookmarkStart w:id="181" w:name="_Toc151129694"/>
      <w:bookmarkStart w:id="182" w:name="_Toc158882545"/>
      <w:bookmarkStart w:id="183" w:name="_Toc158882606"/>
      <w:r w:rsidRPr="00CE058E">
        <w:t>Admitted acute average cost</w:t>
      </w:r>
      <w:bookmarkEnd w:id="180"/>
      <w:bookmarkEnd w:id="181"/>
      <w:bookmarkEnd w:id="182"/>
      <w:bookmarkEnd w:id="183"/>
    </w:p>
    <w:p w14:paraId="7E70B2A7" w14:textId="4C6DC039" w:rsidR="00203687" w:rsidRPr="00CE058E" w:rsidRDefault="00FD547D" w:rsidP="00203687">
      <w:pPr>
        <w:spacing w:line="276" w:lineRule="auto"/>
        <w:rPr>
          <w:rFonts w:cs="Arial"/>
          <w:color w:val="auto"/>
        </w:rPr>
      </w:pPr>
      <w:r w:rsidRPr="00CE058E">
        <w:rPr>
          <w:rFonts w:cs="Arial"/>
          <w:color w:val="auto"/>
        </w:rPr>
        <w:t>Figure 4 shows the average cost of admitted acute separations reported in the cost data from</w:t>
      </w:r>
      <w:r w:rsidR="005E72FD">
        <w:rPr>
          <w:rFonts w:cs="Arial"/>
          <w:color w:val="auto"/>
        </w:rPr>
        <w:t xml:space="preserve"> </w:t>
      </w:r>
      <w:r w:rsidRPr="00CE058E">
        <w:rPr>
          <w:rFonts w:cs="Arial"/>
          <w:color w:val="auto"/>
        </w:rPr>
        <w:t>2019-20 to 2021-22. In 2021-22, the national average cost per admitted acute separation was $5,809, a 9</w:t>
      </w:r>
      <w:r w:rsidR="00897090">
        <w:rPr>
          <w:rFonts w:cs="Arial"/>
          <w:color w:val="auto"/>
        </w:rPr>
        <w:t>%</w:t>
      </w:r>
      <w:r w:rsidRPr="00CE058E">
        <w:rPr>
          <w:rFonts w:cs="Arial"/>
          <w:color w:val="auto"/>
        </w:rPr>
        <w:t xml:space="preserve"> increase from the 2020-21 figure of $5,315. In 2021-22, </w:t>
      </w:r>
      <w:r w:rsidR="009C485C" w:rsidRPr="00CE058E">
        <w:rPr>
          <w:rFonts w:cs="Arial"/>
          <w:color w:val="auto"/>
        </w:rPr>
        <w:t xml:space="preserve">the average cost </w:t>
      </w:r>
      <w:r w:rsidR="00236A73" w:rsidRPr="00CE058E">
        <w:rPr>
          <w:rFonts w:cs="Arial"/>
          <w:color w:val="auto"/>
        </w:rPr>
        <w:t xml:space="preserve">per separation </w:t>
      </w:r>
      <w:r w:rsidR="009C485C" w:rsidRPr="00CE058E">
        <w:rPr>
          <w:rFonts w:cs="Arial"/>
          <w:color w:val="auto"/>
        </w:rPr>
        <w:t xml:space="preserve">at the jurisdictional level </w:t>
      </w:r>
      <w:r w:rsidR="00203687" w:rsidRPr="00CE058E">
        <w:rPr>
          <w:rFonts w:cs="Arial"/>
          <w:color w:val="auto"/>
        </w:rPr>
        <w:t xml:space="preserve">ranged </w:t>
      </w:r>
      <w:r w:rsidR="009C485C" w:rsidRPr="00CE058E">
        <w:rPr>
          <w:rFonts w:cs="Arial"/>
          <w:color w:val="auto"/>
        </w:rPr>
        <w:t>from $4,</w:t>
      </w:r>
      <w:r w:rsidR="00A57821" w:rsidRPr="00CE058E">
        <w:rPr>
          <w:rFonts w:cs="Arial"/>
          <w:color w:val="auto"/>
        </w:rPr>
        <w:t>455</w:t>
      </w:r>
      <w:r w:rsidR="009C485C" w:rsidRPr="00CE058E">
        <w:rPr>
          <w:rFonts w:cs="Arial"/>
          <w:color w:val="auto"/>
        </w:rPr>
        <w:t xml:space="preserve"> (Northern Territory) to $</w:t>
      </w:r>
      <w:r w:rsidR="00A57821" w:rsidRPr="00CE058E">
        <w:rPr>
          <w:rFonts w:cs="Arial"/>
          <w:color w:val="auto"/>
        </w:rPr>
        <w:t>7,128</w:t>
      </w:r>
      <w:r w:rsidR="009C485C" w:rsidRPr="00CE058E">
        <w:rPr>
          <w:rFonts w:cs="Arial"/>
          <w:color w:val="auto"/>
        </w:rPr>
        <w:t xml:space="preserve"> (</w:t>
      </w:r>
      <w:r w:rsidR="00A57821" w:rsidRPr="00CE058E">
        <w:rPr>
          <w:rFonts w:cs="Arial"/>
          <w:color w:val="auto"/>
        </w:rPr>
        <w:t>Australian Capital Territory</w:t>
      </w:r>
      <w:r w:rsidR="009C485C" w:rsidRPr="00CE058E">
        <w:rPr>
          <w:rFonts w:cs="Arial"/>
          <w:color w:val="auto"/>
        </w:rPr>
        <w:t xml:space="preserve">). </w:t>
      </w:r>
      <w:r w:rsidR="00203687" w:rsidRPr="00F46C13">
        <w:rPr>
          <w:rFonts w:cs="Arial"/>
          <w:color w:val="auto"/>
        </w:rPr>
        <w:t xml:space="preserve">Note the </w:t>
      </w:r>
      <w:r w:rsidR="009C485C" w:rsidRPr="00F46C13">
        <w:rPr>
          <w:rFonts w:cs="Arial"/>
          <w:color w:val="auto"/>
        </w:rPr>
        <w:t xml:space="preserve">variation in average cost may be </w:t>
      </w:r>
      <w:r w:rsidR="007F4005" w:rsidRPr="00F46C13">
        <w:rPr>
          <w:rFonts w:cs="Arial"/>
          <w:color w:val="auto"/>
        </w:rPr>
        <w:t xml:space="preserve">affected </w:t>
      </w:r>
      <w:r w:rsidR="009C485C" w:rsidRPr="00F46C13">
        <w:rPr>
          <w:rFonts w:cs="Arial"/>
          <w:color w:val="auto"/>
        </w:rPr>
        <w:t>by differences in admission policies, activity complexity and hospital location.</w:t>
      </w:r>
    </w:p>
    <w:p w14:paraId="1AE69C06" w14:textId="32F1ED3E" w:rsidR="009C485C" w:rsidRPr="00CE058E" w:rsidRDefault="006272A2" w:rsidP="00B42434">
      <w:pPr>
        <w:pStyle w:val="TableFigureheading"/>
      </w:pPr>
      <w:bookmarkStart w:id="184" w:name="_Toc151116340"/>
      <w:bookmarkStart w:id="185" w:name="_Toc151370053"/>
      <w:r w:rsidRPr="00CE058E">
        <w:t xml:space="preserve">Figure </w:t>
      </w:r>
      <w:r>
        <w:fldChar w:fldCharType="begin"/>
      </w:r>
      <w:r>
        <w:instrText xml:space="preserve"> SEQ Figure \* ARABIC </w:instrText>
      </w:r>
      <w:r>
        <w:fldChar w:fldCharType="separate"/>
      </w:r>
      <w:r w:rsidR="00DD29C5">
        <w:rPr>
          <w:noProof/>
        </w:rPr>
        <w:t>4</w:t>
      </w:r>
      <w:r>
        <w:rPr>
          <w:noProof/>
        </w:rPr>
        <w:fldChar w:fldCharType="end"/>
      </w:r>
      <w:r w:rsidR="00CA537A" w:rsidRPr="00CE058E">
        <w:t>: Admitted acute</w:t>
      </w:r>
      <w:r w:rsidR="002450ED" w:rsidRPr="00CE058E">
        <w:t xml:space="preserve"> care</w:t>
      </w:r>
      <w:r w:rsidR="00CA537A" w:rsidRPr="00CE058E">
        <w:t xml:space="preserve"> average cost, 2019-20 to 2021-22</w:t>
      </w:r>
      <w:bookmarkEnd w:id="184"/>
      <w:bookmarkEnd w:id="185"/>
    </w:p>
    <w:p w14:paraId="286043D9" w14:textId="5CDF779B" w:rsidR="00E340B7" w:rsidRPr="00CE058E" w:rsidRDefault="009C485C" w:rsidP="00944A34">
      <w:pPr>
        <w:jc w:val="center"/>
        <w:rPr>
          <w:rFonts w:cs="Arial"/>
          <w:color w:val="FF0000"/>
        </w:rPr>
      </w:pPr>
      <w:r w:rsidRPr="00CE058E">
        <w:rPr>
          <w:rFonts w:cs="Arial"/>
          <w:noProof/>
        </w:rPr>
        <w:drawing>
          <wp:inline distT="0" distB="0" distL="0" distR="0" wp14:anchorId="763C6F5C" wp14:editId="550DBF37">
            <wp:extent cx="6228000" cy="2952000"/>
            <wp:effectExtent l="0" t="0" r="0" b="0"/>
            <wp:docPr id="11" name="Chart 11">
              <a:extLst xmlns:a="http://schemas.openxmlformats.org/drawingml/2006/main">
                <a:ext uri="{FF2B5EF4-FFF2-40B4-BE49-F238E27FC236}">
                  <a16:creationId xmlns:a16="http://schemas.microsoft.com/office/drawing/2014/main" id="{1C1C08B5-DD4C-605F-87F0-CF35C4266C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6C8B45A" w14:textId="031F69E4" w:rsidR="00E8675C" w:rsidRPr="00CE058E" w:rsidRDefault="00E8675C" w:rsidP="00E8675C">
      <w:pPr>
        <w:spacing w:line="276" w:lineRule="auto"/>
        <w:rPr>
          <w:rFonts w:cs="Arial"/>
          <w:color w:val="auto"/>
        </w:rPr>
      </w:pPr>
      <w:r w:rsidRPr="00CE058E">
        <w:rPr>
          <w:rFonts w:cs="Arial"/>
          <w:color w:val="auto"/>
        </w:rPr>
        <w:lastRenderedPageBreak/>
        <w:t xml:space="preserve">To compare the average cost of admitted acute separations across the jurisdictions, it is necessary to control for the complexity of a jurisdiction’s acute activity profile to ensure like for like comparisons are made. </w:t>
      </w:r>
      <w:r w:rsidR="00301519" w:rsidRPr="00CE058E">
        <w:rPr>
          <w:rFonts w:cs="Arial"/>
          <w:color w:val="auto"/>
        </w:rPr>
        <w:t>Major</w:t>
      </w:r>
      <w:r w:rsidRPr="00CE058E">
        <w:rPr>
          <w:rFonts w:cs="Arial"/>
          <w:color w:val="auto"/>
        </w:rPr>
        <w:t xml:space="preserve"> complex</w:t>
      </w:r>
      <w:r w:rsidR="00301519" w:rsidRPr="00CE058E">
        <w:rPr>
          <w:rFonts w:cs="Arial"/>
          <w:color w:val="auto"/>
        </w:rPr>
        <w:t>ity</w:t>
      </w:r>
      <w:r w:rsidRPr="00CE058E">
        <w:rPr>
          <w:rFonts w:cs="Arial"/>
          <w:color w:val="auto"/>
        </w:rPr>
        <w:t xml:space="preserve"> activities are more expensive than </w:t>
      </w:r>
      <w:r w:rsidR="00301519" w:rsidRPr="00CE058E">
        <w:rPr>
          <w:rFonts w:cs="Arial"/>
          <w:color w:val="auto"/>
        </w:rPr>
        <w:t>minor complexity</w:t>
      </w:r>
      <w:r w:rsidRPr="00CE058E">
        <w:rPr>
          <w:rFonts w:cs="Arial"/>
          <w:color w:val="auto"/>
        </w:rPr>
        <w:t xml:space="preserve"> activities</w:t>
      </w:r>
      <w:r w:rsidR="00301F51" w:rsidRPr="00CE058E">
        <w:rPr>
          <w:rFonts w:cs="Arial"/>
          <w:color w:val="auto"/>
        </w:rPr>
        <w:t xml:space="preserve">. This </w:t>
      </w:r>
      <w:r w:rsidRPr="00CE058E">
        <w:rPr>
          <w:rFonts w:cs="Arial"/>
          <w:color w:val="auto"/>
        </w:rPr>
        <w:t>means the average cost tends to be influenced by the complexity of a jurisdiction’s activity profile. Comparisons across jurisdictions should be made using weighted averages.</w:t>
      </w:r>
    </w:p>
    <w:p w14:paraId="2F3FC4FD" w14:textId="6F35A7A8" w:rsidR="00EB0BC5" w:rsidRPr="00CE058E" w:rsidRDefault="006B7462" w:rsidP="007861EC">
      <w:pPr>
        <w:pStyle w:val="Heading3"/>
      </w:pPr>
      <w:bookmarkStart w:id="186" w:name="_Toc144967644"/>
      <w:bookmarkStart w:id="187" w:name="_Toc151129695"/>
      <w:bookmarkStart w:id="188" w:name="_Toc158882546"/>
      <w:bookmarkStart w:id="189" w:name="_Toc158882607"/>
      <w:r w:rsidRPr="00CE058E">
        <w:t>Admitted acute weighted average cost</w:t>
      </w:r>
      <w:bookmarkEnd w:id="186"/>
      <w:bookmarkEnd w:id="187"/>
      <w:bookmarkEnd w:id="188"/>
      <w:bookmarkEnd w:id="189"/>
    </w:p>
    <w:p w14:paraId="1F9C53EA" w14:textId="29742BE4" w:rsidR="00093445" w:rsidRPr="00CE058E" w:rsidRDefault="000956C9" w:rsidP="00093445">
      <w:pPr>
        <w:spacing w:line="276" w:lineRule="auto"/>
        <w:rPr>
          <w:rFonts w:cs="Arial"/>
          <w:color w:val="auto"/>
        </w:rPr>
      </w:pPr>
      <w:r w:rsidRPr="00CE058E">
        <w:rPr>
          <w:rFonts w:cs="Arial"/>
          <w:color w:val="auto"/>
        </w:rPr>
        <w:t xml:space="preserve">Figure </w:t>
      </w:r>
      <w:r w:rsidR="00093445" w:rsidRPr="00CE058E">
        <w:rPr>
          <w:rFonts w:cs="Arial"/>
          <w:color w:val="auto"/>
        </w:rPr>
        <w:t>5</w:t>
      </w:r>
      <w:r w:rsidRPr="00CE058E">
        <w:rPr>
          <w:rFonts w:cs="Arial"/>
          <w:color w:val="auto"/>
        </w:rPr>
        <w:t xml:space="preserve"> shows the</w:t>
      </w:r>
      <w:r w:rsidR="00861C26" w:rsidRPr="00CE058E">
        <w:rPr>
          <w:rFonts w:cs="Arial"/>
          <w:color w:val="auto"/>
        </w:rPr>
        <w:t xml:space="preserve"> weighted</w:t>
      </w:r>
      <w:r w:rsidRPr="00CE058E">
        <w:rPr>
          <w:rFonts w:cs="Arial"/>
          <w:color w:val="auto"/>
        </w:rPr>
        <w:t xml:space="preserve"> average cost of admitted acute separations reported in the cost data from 2019-20 to 2021-22. In 2021-22, the national</w:t>
      </w:r>
      <w:r w:rsidR="00861C26" w:rsidRPr="00CE058E">
        <w:rPr>
          <w:rFonts w:cs="Arial"/>
          <w:color w:val="auto"/>
        </w:rPr>
        <w:t xml:space="preserve"> weighted</w:t>
      </w:r>
      <w:r w:rsidRPr="00CE058E">
        <w:rPr>
          <w:rFonts w:cs="Arial"/>
          <w:color w:val="auto"/>
        </w:rPr>
        <w:t xml:space="preserve"> average cost per admitted acute separation was $5,809, a 9</w:t>
      </w:r>
      <w:r w:rsidR="00897090">
        <w:rPr>
          <w:rFonts w:cs="Arial"/>
          <w:color w:val="auto"/>
        </w:rPr>
        <w:t>%</w:t>
      </w:r>
      <w:r w:rsidRPr="00CE058E">
        <w:rPr>
          <w:rFonts w:cs="Arial"/>
          <w:color w:val="auto"/>
        </w:rPr>
        <w:t xml:space="preserve"> increase from the 2020-21 figure of $5,315. </w:t>
      </w:r>
      <w:r w:rsidR="00093445" w:rsidRPr="00CE058E">
        <w:rPr>
          <w:rFonts w:cs="Arial"/>
          <w:color w:val="auto"/>
        </w:rPr>
        <w:t>In 2021-22, the average weighted cost per separation at the jurisdictional level ranges from $5,134 (Queensland) to $7,692 (Northern Territory). The Northern Territory’s average cost per separation is lower than the weighted separation</w:t>
      </w:r>
      <w:r w:rsidR="00301F51" w:rsidRPr="00CE058E">
        <w:rPr>
          <w:rFonts w:cs="Arial"/>
          <w:color w:val="auto"/>
        </w:rPr>
        <w:t xml:space="preserve">, which </w:t>
      </w:r>
      <w:r w:rsidR="00093445" w:rsidRPr="00CE058E">
        <w:rPr>
          <w:rFonts w:cs="Arial"/>
          <w:color w:val="auto"/>
        </w:rPr>
        <w:t>indicat</w:t>
      </w:r>
      <w:r w:rsidR="00186D2F" w:rsidRPr="00CE058E">
        <w:rPr>
          <w:rFonts w:cs="Arial"/>
          <w:color w:val="auto"/>
        </w:rPr>
        <w:t xml:space="preserve">es </w:t>
      </w:r>
      <w:r w:rsidR="00093445" w:rsidRPr="00CE058E">
        <w:rPr>
          <w:rFonts w:cs="Arial"/>
          <w:color w:val="auto"/>
        </w:rPr>
        <w:t>a low proportion of complex admitted acute activity.</w:t>
      </w:r>
    </w:p>
    <w:p w14:paraId="519165F5" w14:textId="64551C13" w:rsidR="00D37929" w:rsidRPr="00CE058E" w:rsidRDefault="006272A2" w:rsidP="00B42434">
      <w:pPr>
        <w:pStyle w:val="TableFigureheading"/>
      </w:pPr>
      <w:bookmarkStart w:id="190" w:name="_Toc151116341"/>
      <w:bookmarkStart w:id="191" w:name="_Toc151370054"/>
      <w:r w:rsidRPr="00CE058E">
        <w:t xml:space="preserve">Figure </w:t>
      </w:r>
      <w:r>
        <w:fldChar w:fldCharType="begin"/>
      </w:r>
      <w:r>
        <w:instrText xml:space="preserve"> SEQ Figure \* ARABIC </w:instrText>
      </w:r>
      <w:r>
        <w:fldChar w:fldCharType="separate"/>
      </w:r>
      <w:r w:rsidR="00DD29C5">
        <w:rPr>
          <w:noProof/>
        </w:rPr>
        <w:t>5</w:t>
      </w:r>
      <w:r>
        <w:rPr>
          <w:noProof/>
        </w:rPr>
        <w:fldChar w:fldCharType="end"/>
      </w:r>
      <w:r w:rsidR="00D37929" w:rsidRPr="00CE058E">
        <w:t xml:space="preserve">: Admitted acute </w:t>
      </w:r>
      <w:r w:rsidR="002450ED" w:rsidRPr="00CE058E">
        <w:t xml:space="preserve">care </w:t>
      </w:r>
      <w:r w:rsidR="00D37929" w:rsidRPr="00CE058E">
        <w:t>weighted average cost, 2019-20 to 2021-22</w:t>
      </w:r>
      <w:bookmarkEnd w:id="190"/>
      <w:bookmarkEnd w:id="191"/>
    </w:p>
    <w:p w14:paraId="6CA8E267" w14:textId="1CC5DE19" w:rsidR="00F071FA" w:rsidRPr="00CE058E" w:rsidRDefault="00B21CB5">
      <w:pPr>
        <w:spacing w:line="259" w:lineRule="auto"/>
        <w:rPr>
          <w:rFonts w:eastAsiaTheme="majorEastAsia" w:cs="Arial"/>
          <w:b/>
          <w:color w:val="008F55" w:themeColor="accent4"/>
          <w:sz w:val="26"/>
          <w:szCs w:val="24"/>
        </w:rPr>
      </w:pPr>
      <w:r w:rsidRPr="00CE058E">
        <w:rPr>
          <w:rFonts w:cs="Arial"/>
          <w:noProof/>
        </w:rPr>
        <w:drawing>
          <wp:inline distT="0" distB="0" distL="0" distR="0" wp14:anchorId="13885D7C" wp14:editId="2EF11FC5">
            <wp:extent cx="6228000" cy="3024000"/>
            <wp:effectExtent l="0" t="0" r="0" b="0"/>
            <wp:docPr id="15" name="Chart 15">
              <a:extLst xmlns:a="http://schemas.openxmlformats.org/drawingml/2006/main">
                <a:ext uri="{FF2B5EF4-FFF2-40B4-BE49-F238E27FC236}">
                  <a16:creationId xmlns:a16="http://schemas.microsoft.com/office/drawing/2014/main" id="{E4544AED-2904-6FB5-7F18-D266B7B582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F071FA" w:rsidRPr="00CE058E">
        <w:rPr>
          <w:rFonts w:cs="Arial"/>
        </w:rPr>
        <w:br w:type="page"/>
      </w:r>
    </w:p>
    <w:p w14:paraId="228974E2" w14:textId="6D22D742" w:rsidR="006D3B16" w:rsidRPr="00CE058E" w:rsidRDefault="006D3B16" w:rsidP="007861EC">
      <w:pPr>
        <w:pStyle w:val="Heading3"/>
      </w:pPr>
      <w:bookmarkStart w:id="192" w:name="_Toc151129696"/>
      <w:bookmarkStart w:id="193" w:name="_Toc158882547"/>
      <w:bookmarkStart w:id="194" w:name="_Toc158882608"/>
      <w:r w:rsidRPr="00CE058E">
        <w:lastRenderedPageBreak/>
        <w:t>Admitted acute cost buckets</w:t>
      </w:r>
      <w:bookmarkEnd w:id="192"/>
      <w:bookmarkEnd w:id="193"/>
      <w:bookmarkEnd w:id="194"/>
    </w:p>
    <w:p w14:paraId="46C5EAF5" w14:textId="33ECEB28" w:rsidR="00007621" w:rsidRPr="00CE058E" w:rsidRDefault="004D3B51" w:rsidP="00BC4620">
      <w:pPr>
        <w:spacing w:line="276" w:lineRule="auto"/>
        <w:rPr>
          <w:rFonts w:cs="Arial"/>
          <w:color w:val="auto"/>
        </w:rPr>
      </w:pPr>
      <w:r w:rsidRPr="00CE058E">
        <w:rPr>
          <w:rFonts w:cs="Arial"/>
          <w:color w:val="auto"/>
        </w:rPr>
        <w:t xml:space="preserve">Figure </w:t>
      </w:r>
      <w:r w:rsidR="005904DD" w:rsidRPr="00CE058E">
        <w:rPr>
          <w:rFonts w:cs="Arial"/>
          <w:color w:val="auto"/>
        </w:rPr>
        <w:t>6</w:t>
      </w:r>
      <w:r w:rsidRPr="00CE058E">
        <w:rPr>
          <w:rFonts w:cs="Arial"/>
          <w:color w:val="auto"/>
        </w:rPr>
        <w:t xml:space="preserve"> shows the</w:t>
      </w:r>
      <w:r w:rsidR="005904DD" w:rsidRPr="00CE058E">
        <w:rPr>
          <w:rFonts w:cs="Arial"/>
          <w:color w:val="auto"/>
        </w:rPr>
        <w:t xml:space="preserve"> </w:t>
      </w:r>
      <w:r w:rsidR="00007621" w:rsidRPr="00CE058E">
        <w:rPr>
          <w:rFonts w:cs="Arial"/>
          <w:color w:val="auto"/>
        </w:rPr>
        <w:t xml:space="preserve">admitted acute </w:t>
      </w:r>
      <w:r w:rsidR="005904DD" w:rsidRPr="00CE058E">
        <w:rPr>
          <w:rFonts w:cs="Arial"/>
          <w:color w:val="auto"/>
        </w:rPr>
        <w:t xml:space="preserve">national average cost per cost bucket </w:t>
      </w:r>
      <w:r w:rsidRPr="00CE058E">
        <w:rPr>
          <w:rFonts w:cs="Arial"/>
          <w:color w:val="auto"/>
        </w:rPr>
        <w:t>reported in the cost data from 2019-20 to 2021-22. In 2021-22, the national average cost per admitted acute separation was $5,809, a 9</w:t>
      </w:r>
      <w:r w:rsidR="00897090">
        <w:rPr>
          <w:rFonts w:cs="Arial"/>
          <w:color w:val="auto"/>
        </w:rPr>
        <w:t>%</w:t>
      </w:r>
      <w:r w:rsidRPr="00CE058E">
        <w:rPr>
          <w:rFonts w:cs="Arial"/>
          <w:color w:val="auto"/>
        </w:rPr>
        <w:t xml:space="preserve"> increase from the 2020-21 figure of $5,315. </w:t>
      </w:r>
      <w:r w:rsidR="00955E8B" w:rsidRPr="00CE058E">
        <w:rPr>
          <w:rFonts w:cs="Arial"/>
          <w:color w:val="auto"/>
        </w:rPr>
        <w:t xml:space="preserve">The on-costs, ward </w:t>
      </w:r>
      <w:r w:rsidR="00F67B87" w:rsidRPr="00CE058E">
        <w:rPr>
          <w:rFonts w:cs="Arial"/>
          <w:color w:val="auto"/>
        </w:rPr>
        <w:t>nursing</w:t>
      </w:r>
      <w:r w:rsidR="00955E8B" w:rsidRPr="00CE058E">
        <w:rPr>
          <w:rFonts w:cs="Arial"/>
          <w:color w:val="auto"/>
        </w:rPr>
        <w:t>, and</w:t>
      </w:r>
      <w:r w:rsidR="00F67B87" w:rsidRPr="00CE058E">
        <w:rPr>
          <w:rFonts w:cs="Arial"/>
          <w:color w:val="auto"/>
        </w:rPr>
        <w:t xml:space="preserve"> ward medical cost buckets accounted for 39</w:t>
      </w:r>
      <w:r w:rsidR="00897090">
        <w:rPr>
          <w:rFonts w:cs="Arial"/>
          <w:color w:val="auto"/>
        </w:rPr>
        <w:t>%</w:t>
      </w:r>
      <w:r w:rsidR="00F67B87" w:rsidRPr="00CE058E">
        <w:rPr>
          <w:rFonts w:cs="Arial"/>
          <w:color w:val="auto"/>
        </w:rPr>
        <w:t xml:space="preserve"> of the increase in the average cost per admitted acute separation from </w:t>
      </w:r>
      <w:r w:rsidR="00955E8B" w:rsidRPr="00CE058E">
        <w:rPr>
          <w:rFonts w:cs="Arial"/>
          <w:color w:val="auto"/>
        </w:rPr>
        <w:t>2020-21 to 2021-22.</w:t>
      </w:r>
      <w:r w:rsidR="0071401F" w:rsidRPr="00CE058E">
        <w:rPr>
          <w:rFonts w:cs="Arial"/>
          <w:color w:val="auto"/>
        </w:rPr>
        <w:t xml:space="preserve"> The </w:t>
      </w:r>
      <w:r w:rsidR="00301519" w:rsidRPr="00CE058E">
        <w:rPr>
          <w:rFonts w:cs="Arial"/>
          <w:color w:val="auto"/>
        </w:rPr>
        <w:t xml:space="preserve">only cost bucket to decrease was </w:t>
      </w:r>
      <w:r w:rsidR="0071401F" w:rsidRPr="00CE058E">
        <w:rPr>
          <w:rFonts w:cs="Arial"/>
          <w:color w:val="auto"/>
        </w:rPr>
        <w:t>prosthesis</w:t>
      </w:r>
      <w:r w:rsidR="00301519" w:rsidRPr="00CE058E">
        <w:rPr>
          <w:rFonts w:cs="Arial"/>
          <w:color w:val="auto"/>
        </w:rPr>
        <w:t xml:space="preserve">, decreasing </w:t>
      </w:r>
      <w:r w:rsidR="0077238B" w:rsidRPr="00CE058E">
        <w:rPr>
          <w:rFonts w:cs="Arial"/>
          <w:color w:val="auto"/>
        </w:rPr>
        <w:t>10</w:t>
      </w:r>
      <w:r w:rsidR="00897090">
        <w:rPr>
          <w:rFonts w:cs="Arial"/>
          <w:color w:val="auto"/>
        </w:rPr>
        <w:t>%</w:t>
      </w:r>
      <w:r w:rsidR="0077238B" w:rsidRPr="00CE058E">
        <w:rPr>
          <w:rFonts w:cs="Arial"/>
          <w:color w:val="auto"/>
        </w:rPr>
        <w:t xml:space="preserve"> from 2020-21 to 2021-22.</w:t>
      </w:r>
    </w:p>
    <w:p w14:paraId="1A816C5B" w14:textId="167875F6" w:rsidR="00D807BF" w:rsidRPr="00CE058E" w:rsidRDefault="006272A2" w:rsidP="00B42434">
      <w:pPr>
        <w:pStyle w:val="TableFigureheading"/>
      </w:pPr>
      <w:bookmarkStart w:id="195" w:name="_Toc151116342"/>
      <w:bookmarkStart w:id="196" w:name="_Toc151370055"/>
      <w:r w:rsidRPr="00CE058E">
        <w:t xml:space="preserve">Figure </w:t>
      </w:r>
      <w:r>
        <w:fldChar w:fldCharType="begin"/>
      </w:r>
      <w:r>
        <w:instrText xml:space="preserve"> SEQ Figure \* ARABIC </w:instrText>
      </w:r>
      <w:r>
        <w:fldChar w:fldCharType="separate"/>
      </w:r>
      <w:r w:rsidR="00DD29C5">
        <w:rPr>
          <w:noProof/>
        </w:rPr>
        <w:t>6</w:t>
      </w:r>
      <w:r>
        <w:rPr>
          <w:noProof/>
        </w:rPr>
        <w:fldChar w:fldCharType="end"/>
      </w:r>
      <w:r w:rsidR="00D807BF" w:rsidRPr="00CE058E">
        <w:t>: Admitted acute cost bucket</w:t>
      </w:r>
      <w:r w:rsidR="00A73E6F" w:rsidRPr="00CE058E">
        <w:t>s</w:t>
      </w:r>
      <w:r w:rsidR="009B604F" w:rsidRPr="00CE058E">
        <w:t xml:space="preserve"> national</w:t>
      </w:r>
      <w:r w:rsidR="00D807BF" w:rsidRPr="00CE058E">
        <w:t>, 20</w:t>
      </w:r>
      <w:r w:rsidR="00442F53" w:rsidRPr="00CE058E">
        <w:t>19-20 to 202</w:t>
      </w:r>
      <w:r w:rsidR="00D807BF" w:rsidRPr="00CE058E">
        <w:t>1-22</w:t>
      </w:r>
      <w:bookmarkEnd w:id="195"/>
      <w:bookmarkEnd w:id="196"/>
    </w:p>
    <w:p w14:paraId="12AF07DD" w14:textId="1E7F71F1" w:rsidR="00A9426C" w:rsidRPr="00CE058E" w:rsidRDefault="00442F53" w:rsidP="00A47745">
      <w:pPr>
        <w:spacing w:line="259" w:lineRule="auto"/>
        <w:jc w:val="center"/>
        <w:rPr>
          <w:rFonts w:cs="Arial"/>
          <w:highlight w:val="yellow"/>
        </w:rPr>
      </w:pPr>
      <w:r w:rsidRPr="00CE058E">
        <w:rPr>
          <w:rFonts w:cs="Arial"/>
          <w:noProof/>
        </w:rPr>
        <w:drawing>
          <wp:inline distT="0" distB="0" distL="0" distR="0" wp14:anchorId="68CA5270" wp14:editId="63382787">
            <wp:extent cx="6228000" cy="7200000"/>
            <wp:effectExtent l="0" t="0" r="0" b="0"/>
            <wp:docPr id="55" name="Chart 55">
              <a:extLst xmlns:a="http://schemas.openxmlformats.org/drawingml/2006/main">
                <a:ext uri="{FF2B5EF4-FFF2-40B4-BE49-F238E27FC236}">
                  <a16:creationId xmlns:a16="http://schemas.microsoft.com/office/drawing/2014/main" id="{AFFC407C-5D8D-994C-B364-810EF938E6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9426C" w:rsidRPr="00CE058E">
        <w:rPr>
          <w:rFonts w:cs="Arial"/>
          <w:highlight w:val="yellow"/>
        </w:rPr>
        <w:br w:type="page"/>
      </w:r>
    </w:p>
    <w:p w14:paraId="7533AAF3" w14:textId="1735ECB9" w:rsidR="00E07B55" w:rsidRPr="00CE058E" w:rsidRDefault="00E07B55" w:rsidP="005C6AE6">
      <w:pPr>
        <w:pStyle w:val="Heading1"/>
        <w:numPr>
          <w:ilvl w:val="0"/>
          <w:numId w:val="12"/>
        </w:numPr>
        <w:spacing w:after="0"/>
        <w:rPr>
          <w:rFonts w:cs="Arial"/>
        </w:rPr>
      </w:pPr>
      <w:bookmarkStart w:id="197" w:name="_Toc158882609"/>
      <w:bookmarkStart w:id="198" w:name="_Toc144215449"/>
      <w:bookmarkStart w:id="199" w:name="_Toc144967656"/>
      <w:r w:rsidRPr="00CE058E">
        <w:rPr>
          <w:rFonts w:cs="Arial"/>
        </w:rPr>
        <w:lastRenderedPageBreak/>
        <w:t>Admitted subacute and non-acute</w:t>
      </w:r>
      <w:bookmarkEnd w:id="197"/>
    </w:p>
    <w:p w14:paraId="5A3224FC" w14:textId="77777777" w:rsidR="00E07B55" w:rsidRPr="00CE058E" w:rsidRDefault="00E07B55" w:rsidP="007B41F8">
      <w:pPr>
        <w:pStyle w:val="Heading2"/>
      </w:pPr>
      <w:bookmarkStart w:id="200" w:name="_Toc144215439"/>
      <w:bookmarkStart w:id="201" w:name="_Toc144967646"/>
      <w:bookmarkStart w:id="202" w:name="_Toc151129698"/>
      <w:bookmarkStart w:id="203" w:name="_Toc158882549"/>
      <w:bookmarkStart w:id="204" w:name="_Toc158882610"/>
      <w:r w:rsidRPr="00CE058E">
        <w:t>Summary</w:t>
      </w:r>
      <w:bookmarkEnd w:id="200"/>
      <w:bookmarkEnd w:id="201"/>
      <w:bookmarkEnd w:id="202"/>
      <w:bookmarkEnd w:id="203"/>
      <w:bookmarkEnd w:id="204"/>
    </w:p>
    <w:p w14:paraId="50C1C95D" w14:textId="23063773" w:rsidR="00E07B55" w:rsidRPr="00CE058E" w:rsidRDefault="00E07B55" w:rsidP="00BC4620">
      <w:pPr>
        <w:spacing w:line="276" w:lineRule="auto"/>
        <w:rPr>
          <w:rFonts w:cs="Arial"/>
          <w:color w:val="auto"/>
        </w:rPr>
      </w:pPr>
      <w:r w:rsidRPr="00CE058E">
        <w:rPr>
          <w:rFonts w:cs="Arial"/>
          <w:color w:val="auto"/>
        </w:rPr>
        <w:t>This</w:t>
      </w:r>
      <w:r w:rsidR="009A42AD" w:rsidRPr="00CE058E">
        <w:rPr>
          <w:rFonts w:cs="Arial"/>
          <w:color w:val="auto"/>
        </w:rPr>
        <w:t xml:space="preserve"> chapter</w:t>
      </w:r>
      <w:r w:rsidRPr="00CE058E">
        <w:rPr>
          <w:rFonts w:cs="Arial"/>
          <w:color w:val="auto"/>
        </w:rPr>
        <w:t xml:space="preserve"> </w:t>
      </w:r>
      <w:r w:rsidR="006C715D" w:rsidRPr="00CE058E">
        <w:rPr>
          <w:rFonts w:cs="Arial"/>
          <w:color w:val="auto"/>
        </w:rPr>
        <w:t>outlines</w:t>
      </w:r>
      <w:r w:rsidRPr="00CE058E">
        <w:rPr>
          <w:rFonts w:cs="Arial"/>
          <w:color w:val="auto"/>
        </w:rPr>
        <w:t xml:space="preserve"> the admitted </w:t>
      </w:r>
      <w:r w:rsidR="00D84CAB" w:rsidRPr="00CE058E">
        <w:rPr>
          <w:rFonts w:cs="Arial"/>
          <w:color w:val="auto"/>
        </w:rPr>
        <w:t xml:space="preserve">subacute and non-acute </w:t>
      </w:r>
      <w:r w:rsidRPr="00CE058E">
        <w:rPr>
          <w:rFonts w:cs="Arial"/>
          <w:color w:val="auto"/>
        </w:rPr>
        <w:t>activity, cost, and average cost per episode or phase</w:t>
      </w:r>
      <w:r w:rsidR="001255A2" w:rsidRPr="00CE058E">
        <w:rPr>
          <w:rFonts w:cs="Arial"/>
          <w:color w:val="auto"/>
        </w:rPr>
        <w:t>,</w:t>
      </w:r>
      <w:r w:rsidRPr="00CE058E">
        <w:rPr>
          <w:rFonts w:cs="Arial"/>
          <w:color w:val="auto"/>
        </w:rPr>
        <w:t xml:space="preserve"> from 2019-20 to 2021-22. Admitted subacute </w:t>
      </w:r>
      <w:r w:rsidR="001255A2" w:rsidRPr="00CE058E">
        <w:rPr>
          <w:rFonts w:cs="Arial"/>
          <w:color w:val="auto"/>
        </w:rPr>
        <w:t xml:space="preserve">and non-acute </w:t>
      </w:r>
      <w:r w:rsidRPr="00CE058E">
        <w:rPr>
          <w:rFonts w:cs="Arial"/>
          <w:color w:val="auto"/>
        </w:rPr>
        <w:t>care is defined as specialised, multidisciplinary care</w:t>
      </w:r>
      <w:r w:rsidR="00301F51" w:rsidRPr="00CE058E">
        <w:rPr>
          <w:rFonts w:cs="Arial"/>
          <w:color w:val="auto"/>
        </w:rPr>
        <w:t xml:space="preserve"> where </w:t>
      </w:r>
      <w:r w:rsidRPr="00CE058E">
        <w:rPr>
          <w:rFonts w:cs="Arial"/>
          <w:color w:val="auto"/>
        </w:rPr>
        <w:t xml:space="preserve">the primary need for care is to optimise a patient’s functioning and quality of life. A patient’s functioning may relate to their whole body or a body part, the whole person, or the whole person in a social context, and to impairment of a body function or structure, activity limitation and/or participation restriction. </w:t>
      </w:r>
    </w:p>
    <w:p w14:paraId="3556CB41" w14:textId="4089E90E" w:rsidR="00E07B55" w:rsidRPr="00CE058E" w:rsidRDefault="00E07B55" w:rsidP="00BC4620">
      <w:pPr>
        <w:spacing w:line="276" w:lineRule="auto"/>
        <w:rPr>
          <w:rFonts w:cs="Arial"/>
          <w:color w:val="auto"/>
        </w:rPr>
      </w:pPr>
      <w:r w:rsidRPr="00CE058E">
        <w:rPr>
          <w:rFonts w:cs="Arial"/>
          <w:color w:val="auto"/>
        </w:rPr>
        <w:t xml:space="preserve">There are </w:t>
      </w:r>
      <w:r w:rsidR="00EE76DB">
        <w:rPr>
          <w:rFonts w:cs="Arial"/>
          <w:color w:val="auto"/>
        </w:rPr>
        <w:t>4</w:t>
      </w:r>
      <w:r w:rsidR="00EE76DB" w:rsidRPr="00CE058E">
        <w:rPr>
          <w:rFonts w:cs="Arial"/>
          <w:color w:val="auto"/>
        </w:rPr>
        <w:t xml:space="preserve"> </w:t>
      </w:r>
      <w:r w:rsidRPr="00CE058E">
        <w:rPr>
          <w:rFonts w:cs="Arial"/>
          <w:color w:val="auto"/>
        </w:rPr>
        <w:t xml:space="preserve">admitted subacute care types, </w:t>
      </w:r>
      <w:r w:rsidR="2AC65B47" w:rsidRPr="00CE058E">
        <w:rPr>
          <w:rFonts w:cs="Arial"/>
          <w:color w:val="auto"/>
        </w:rPr>
        <w:t xml:space="preserve">including: rehabilitation, palliative care, geriatric </w:t>
      </w:r>
      <w:r w:rsidR="004004AC" w:rsidRPr="00CE058E">
        <w:rPr>
          <w:rFonts w:cs="Arial"/>
          <w:color w:val="auto"/>
        </w:rPr>
        <w:t>evaluation,</w:t>
      </w:r>
      <w:r w:rsidR="2AC65B47" w:rsidRPr="00CE058E">
        <w:rPr>
          <w:rFonts w:cs="Arial"/>
          <w:color w:val="auto"/>
        </w:rPr>
        <w:t xml:space="preserve"> and management (GEM) care and psychogeriatric care</w:t>
      </w:r>
      <w:r w:rsidRPr="00CE058E">
        <w:rPr>
          <w:rFonts w:cs="Arial"/>
          <w:color w:val="auto"/>
        </w:rPr>
        <w:t xml:space="preserve">. Palliative care is the only </w:t>
      </w:r>
      <w:r w:rsidR="003E6905" w:rsidRPr="00CE058E">
        <w:rPr>
          <w:rFonts w:cs="Arial"/>
          <w:color w:val="auto"/>
        </w:rPr>
        <w:t xml:space="preserve">admitted </w:t>
      </w:r>
      <w:r w:rsidRPr="00CE058E">
        <w:rPr>
          <w:rFonts w:cs="Arial"/>
          <w:color w:val="auto"/>
        </w:rPr>
        <w:t>subacute care type to be represented by phase</w:t>
      </w:r>
      <w:r w:rsidR="1CD60650" w:rsidRPr="00CE058E">
        <w:rPr>
          <w:rFonts w:cs="Arial"/>
          <w:color w:val="auto"/>
        </w:rPr>
        <w:t>s</w:t>
      </w:r>
      <w:r w:rsidRPr="00CE058E">
        <w:rPr>
          <w:rFonts w:cs="Arial"/>
          <w:color w:val="auto"/>
        </w:rPr>
        <w:t xml:space="preserve">. Non-acute care relates to maintenance care </w:t>
      </w:r>
      <w:r w:rsidR="00301F51" w:rsidRPr="00CE058E">
        <w:rPr>
          <w:rFonts w:cs="Arial"/>
          <w:color w:val="auto"/>
        </w:rPr>
        <w:t xml:space="preserve">where </w:t>
      </w:r>
      <w:r w:rsidRPr="00CE058E">
        <w:rPr>
          <w:rFonts w:cs="Arial"/>
          <w:color w:val="auto"/>
        </w:rPr>
        <w:t>the treatment goal is to support a patient with impairment, activity limitation or participation restriction due to a health condition.</w:t>
      </w:r>
    </w:p>
    <w:p w14:paraId="2F80A28E" w14:textId="05BE935C" w:rsidR="00301519" w:rsidRPr="00CE058E" w:rsidRDefault="00E31918" w:rsidP="00466F57">
      <w:pPr>
        <w:spacing w:line="276" w:lineRule="auto"/>
        <w:rPr>
          <w:rFonts w:cs="Arial"/>
          <w:color w:val="auto"/>
        </w:rPr>
      </w:pPr>
      <w:bookmarkStart w:id="205" w:name="_Hlk148518151"/>
      <w:r w:rsidRPr="00CE058E">
        <w:rPr>
          <w:rFonts w:cs="Arial"/>
          <w:color w:val="auto"/>
        </w:rPr>
        <w:t xml:space="preserve">The Australian National Subacute and Non-Acute Patient Classification </w:t>
      </w:r>
      <w:r w:rsidR="006C715D" w:rsidRPr="00CE058E">
        <w:rPr>
          <w:rFonts w:cs="Arial"/>
          <w:color w:val="auto"/>
        </w:rPr>
        <w:t>v</w:t>
      </w:r>
      <w:r w:rsidRPr="00CE058E">
        <w:rPr>
          <w:rFonts w:cs="Arial"/>
          <w:color w:val="auto"/>
        </w:rPr>
        <w:t xml:space="preserve">ersion 5.0 (AN-SNAP </w:t>
      </w:r>
      <w:r w:rsidR="005E72FD">
        <w:rPr>
          <w:rFonts w:cs="Arial"/>
          <w:color w:val="auto"/>
        </w:rPr>
        <w:t>v</w:t>
      </w:r>
      <w:r w:rsidRPr="00CE058E">
        <w:rPr>
          <w:rFonts w:cs="Arial"/>
          <w:color w:val="auto"/>
        </w:rPr>
        <w:t xml:space="preserve">5.0) was used to prepare this report. AN-SNAP </w:t>
      </w:r>
      <w:r w:rsidR="006C715D" w:rsidRPr="00CE058E">
        <w:rPr>
          <w:rFonts w:cs="Arial"/>
          <w:color w:val="auto"/>
        </w:rPr>
        <w:t>v</w:t>
      </w:r>
      <w:r w:rsidRPr="00CE058E">
        <w:rPr>
          <w:rFonts w:cs="Arial"/>
          <w:color w:val="auto"/>
        </w:rPr>
        <w:t xml:space="preserve">5.0 classifies episodes of admitted subacute and non-acute patient care based on setting, care type, phase of care, assessment of functional impairment, age, and other measures. AN-SNAP </w:t>
      </w:r>
      <w:r w:rsidR="006C715D" w:rsidRPr="00CE058E">
        <w:rPr>
          <w:rFonts w:cs="Arial"/>
          <w:color w:val="auto"/>
        </w:rPr>
        <w:t>v</w:t>
      </w:r>
      <w:r w:rsidRPr="00CE058E">
        <w:rPr>
          <w:rFonts w:cs="Arial"/>
          <w:color w:val="auto"/>
        </w:rPr>
        <w:t xml:space="preserve">5.0 is comprised of two main branches: </w:t>
      </w:r>
    </w:p>
    <w:p w14:paraId="2A5CB46B" w14:textId="340EEA44" w:rsidR="00301519" w:rsidRPr="00CE058E" w:rsidRDefault="00E31918" w:rsidP="003D0B49">
      <w:pPr>
        <w:pStyle w:val="ListParagraph"/>
        <w:numPr>
          <w:ilvl w:val="0"/>
          <w:numId w:val="35"/>
        </w:numPr>
        <w:spacing w:line="276" w:lineRule="auto"/>
        <w:rPr>
          <w:rFonts w:cs="Arial"/>
          <w:color w:val="auto"/>
        </w:rPr>
      </w:pPr>
      <w:r w:rsidRPr="00CE058E">
        <w:rPr>
          <w:rFonts w:cs="Arial"/>
          <w:color w:val="auto"/>
        </w:rPr>
        <w:t>admitted patient episodes (same-day and overnight)</w:t>
      </w:r>
      <w:r w:rsidR="00301519" w:rsidRPr="00CE058E">
        <w:rPr>
          <w:rFonts w:cs="Arial"/>
          <w:color w:val="auto"/>
        </w:rPr>
        <w:t>,</w:t>
      </w:r>
      <w:r w:rsidRPr="00CE058E">
        <w:rPr>
          <w:rFonts w:cs="Arial"/>
          <w:color w:val="auto"/>
        </w:rPr>
        <w:t xml:space="preserve"> and</w:t>
      </w:r>
    </w:p>
    <w:p w14:paraId="1DDD5D63" w14:textId="7F48E3EB" w:rsidR="00E31918" w:rsidRPr="00CE058E" w:rsidRDefault="00E31918" w:rsidP="003D0B49">
      <w:pPr>
        <w:pStyle w:val="ListParagraph"/>
        <w:numPr>
          <w:ilvl w:val="0"/>
          <w:numId w:val="35"/>
        </w:numPr>
        <w:spacing w:line="276" w:lineRule="auto"/>
        <w:rPr>
          <w:rFonts w:cs="Arial"/>
          <w:color w:val="auto"/>
        </w:rPr>
      </w:pPr>
      <w:r w:rsidRPr="00CE058E">
        <w:rPr>
          <w:rFonts w:cs="Arial"/>
          <w:color w:val="auto"/>
        </w:rPr>
        <w:t>non-admitted episodes (outpatients and community).</w:t>
      </w:r>
    </w:p>
    <w:p w14:paraId="797F1579" w14:textId="42AF93A0" w:rsidR="00301519" w:rsidRPr="00CE058E" w:rsidRDefault="00BF20DA" w:rsidP="00466F57">
      <w:pPr>
        <w:spacing w:line="276" w:lineRule="auto"/>
        <w:rPr>
          <w:rFonts w:cs="Arial"/>
          <w:color w:val="auto"/>
        </w:rPr>
      </w:pPr>
      <w:bookmarkStart w:id="206" w:name="_Hlk148531992"/>
      <w:r w:rsidRPr="00CE058E">
        <w:rPr>
          <w:rFonts w:cs="Arial"/>
          <w:color w:val="auto"/>
        </w:rPr>
        <w:t xml:space="preserve">In 2021-22, </w:t>
      </w:r>
      <w:r w:rsidR="001255A2" w:rsidRPr="00CE058E">
        <w:rPr>
          <w:rFonts w:cs="Arial"/>
          <w:color w:val="auto"/>
        </w:rPr>
        <w:t>there were 151,706</w:t>
      </w:r>
      <w:r w:rsidR="00D84CAB" w:rsidRPr="00CE058E">
        <w:rPr>
          <w:rFonts w:cs="Arial"/>
          <w:color w:val="auto"/>
        </w:rPr>
        <w:t xml:space="preserve"> subacute and non-acute</w:t>
      </w:r>
      <w:r w:rsidR="001255A2" w:rsidRPr="00CE058E">
        <w:rPr>
          <w:rFonts w:cs="Arial"/>
          <w:color w:val="auto"/>
        </w:rPr>
        <w:t xml:space="preserve"> episodes </w:t>
      </w:r>
      <w:r w:rsidR="00466F57" w:rsidRPr="00CE058E">
        <w:rPr>
          <w:rFonts w:cs="Arial"/>
          <w:color w:val="auto"/>
        </w:rPr>
        <w:t>nationally, a 2</w:t>
      </w:r>
      <w:r w:rsidR="00897090">
        <w:rPr>
          <w:rFonts w:cs="Arial"/>
          <w:color w:val="auto"/>
        </w:rPr>
        <w:t>%</w:t>
      </w:r>
      <w:r w:rsidR="00466F57" w:rsidRPr="00CE058E">
        <w:rPr>
          <w:rFonts w:cs="Arial"/>
          <w:color w:val="auto"/>
        </w:rPr>
        <w:t xml:space="preserve"> increase to the 2020-21 figure of 148,487. There were 64,477 </w:t>
      </w:r>
      <w:r w:rsidR="00D84CAB" w:rsidRPr="00CE058E">
        <w:rPr>
          <w:rFonts w:cs="Arial"/>
          <w:color w:val="auto"/>
        </w:rPr>
        <w:t>subacute</w:t>
      </w:r>
      <w:r w:rsidR="00466F57" w:rsidRPr="00CE058E">
        <w:rPr>
          <w:rFonts w:cs="Arial"/>
          <w:color w:val="auto"/>
        </w:rPr>
        <w:t xml:space="preserve"> phases reported nationally in 2021-22, a 12</w:t>
      </w:r>
      <w:r w:rsidR="00897090">
        <w:rPr>
          <w:rFonts w:cs="Arial"/>
          <w:color w:val="auto"/>
        </w:rPr>
        <w:t>%</w:t>
      </w:r>
      <w:r w:rsidR="00466F57" w:rsidRPr="00CE058E">
        <w:rPr>
          <w:rFonts w:cs="Arial"/>
          <w:color w:val="auto"/>
        </w:rPr>
        <w:t xml:space="preserve"> increase to the 2020-21 figure of 57,445. </w:t>
      </w:r>
    </w:p>
    <w:p w14:paraId="62063904" w14:textId="17DB60AE" w:rsidR="00301519" w:rsidRPr="00CE058E" w:rsidRDefault="00466F57" w:rsidP="00466F57">
      <w:pPr>
        <w:spacing w:line="276" w:lineRule="auto"/>
        <w:rPr>
          <w:rFonts w:eastAsia="Arial" w:cs="Arial"/>
          <w:color w:val="auto"/>
        </w:rPr>
      </w:pPr>
      <w:r w:rsidRPr="00CE058E">
        <w:rPr>
          <w:rFonts w:cs="Arial"/>
          <w:color w:val="auto"/>
        </w:rPr>
        <w:t>In 2021-22, the</w:t>
      </w:r>
      <w:r w:rsidR="005C67B3" w:rsidRPr="00CE058E">
        <w:rPr>
          <w:rFonts w:cs="Arial"/>
          <w:color w:val="auto"/>
        </w:rPr>
        <w:t xml:space="preserve"> cost reported for </w:t>
      </w:r>
      <w:r w:rsidR="00D84CAB" w:rsidRPr="00CE058E">
        <w:rPr>
          <w:rFonts w:cs="Arial"/>
          <w:color w:val="auto"/>
        </w:rPr>
        <w:t>subacute and non-acute</w:t>
      </w:r>
      <w:r w:rsidR="005C67B3" w:rsidRPr="00CE058E">
        <w:rPr>
          <w:rFonts w:cs="Arial"/>
          <w:color w:val="auto"/>
        </w:rPr>
        <w:t xml:space="preserve"> episodes was </w:t>
      </w:r>
      <w:r w:rsidR="00BF20DA" w:rsidRPr="00CE058E">
        <w:rPr>
          <w:rFonts w:cs="Arial"/>
          <w:color w:val="auto"/>
        </w:rPr>
        <w:t>$3.2 billion</w:t>
      </w:r>
      <w:r w:rsidR="005C67B3" w:rsidRPr="00CE058E">
        <w:rPr>
          <w:rFonts w:cs="Arial"/>
          <w:color w:val="auto"/>
        </w:rPr>
        <w:t xml:space="preserve"> nationally, a 12</w:t>
      </w:r>
      <w:r w:rsidR="00897090">
        <w:rPr>
          <w:rFonts w:cs="Arial"/>
          <w:color w:val="auto"/>
        </w:rPr>
        <w:t>%</w:t>
      </w:r>
      <w:r w:rsidR="005C67B3" w:rsidRPr="00CE058E">
        <w:rPr>
          <w:rFonts w:cs="Arial"/>
          <w:color w:val="auto"/>
        </w:rPr>
        <w:t xml:space="preserve"> increase to the 2020-21 figure of $2.9 billion.</w:t>
      </w:r>
      <w:r w:rsidR="00BF20DA" w:rsidRPr="00CE058E">
        <w:rPr>
          <w:rFonts w:cs="Arial"/>
          <w:color w:val="auto"/>
        </w:rPr>
        <w:t xml:space="preserve"> </w:t>
      </w:r>
      <w:r w:rsidR="002855E3" w:rsidRPr="00CE058E">
        <w:rPr>
          <w:rFonts w:cs="Arial"/>
          <w:color w:val="auto"/>
        </w:rPr>
        <w:t>The</w:t>
      </w:r>
      <w:r w:rsidR="00334858" w:rsidRPr="00CE058E">
        <w:rPr>
          <w:rFonts w:cs="Arial"/>
          <w:color w:val="auto"/>
        </w:rPr>
        <w:t xml:space="preserve"> cost reported for </w:t>
      </w:r>
      <w:r w:rsidR="00D84CAB" w:rsidRPr="00CE058E">
        <w:rPr>
          <w:rFonts w:cs="Arial"/>
          <w:color w:val="auto"/>
        </w:rPr>
        <w:t>subacute</w:t>
      </w:r>
      <w:r w:rsidR="00334858" w:rsidRPr="00CE058E">
        <w:rPr>
          <w:rFonts w:cs="Arial"/>
          <w:color w:val="auto"/>
        </w:rPr>
        <w:t xml:space="preserve"> phases nationally in 2021-22 was </w:t>
      </w:r>
      <w:r w:rsidR="002855E3" w:rsidRPr="00CE058E">
        <w:rPr>
          <w:rFonts w:cs="Arial"/>
          <w:color w:val="auto"/>
        </w:rPr>
        <w:t>$467.9 million</w:t>
      </w:r>
      <w:r w:rsidR="005C67B3" w:rsidRPr="00CE058E">
        <w:rPr>
          <w:rFonts w:cs="Arial"/>
          <w:color w:val="auto"/>
        </w:rPr>
        <w:t>, a 1</w:t>
      </w:r>
      <w:r w:rsidR="002855E3" w:rsidRPr="00CE058E">
        <w:rPr>
          <w:rFonts w:cs="Arial"/>
          <w:color w:val="auto"/>
        </w:rPr>
        <w:t>0</w:t>
      </w:r>
      <w:r w:rsidR="00897090">
        <w:rPr>
          <w:rFonts w:cs="Arial"/>
          <w:color w:val="auto"/>
        </w:rPr>
        <w:t>%</w:t>
      </w:r>
      <w:r w:rsidR="005C67B3" w:rsidRPr="00CE058E">
        <w:rPr>
          <w:rFonts w:cs="Arial"/>
          <w:color w:val="auto"/>
        </w:rPr>
        <w:t xml:space="preserve"> increase to the 2020-21 figure of </w:t>
      </w:r>
      <w:r w:rsidR="002855E3" w:rsidRPr="00CE058E">
        <w:rPr>
          <w:rFonts w:cs="Arial"/>
          <w:color w:val="auto"/>
        </w:rPr>
        <w:t>$426.2 million</w:t>
      </w:r>
      <w:r w:rsidR="005C67B3" w:rsidRPr="00CE058E">
        <w:rPr>
          <w:rFonts w:cs="Arial"/>
          <w:color w:val="auto"/>
        </w:rPr>
        <w:t>.</w:t>
      </w:r>
      <w:r w:rsidR="002855E3" w:rsidRPr="00CE058E">
        <w:rPr>
          <w:rFonts w:eastAsia="Arial" w:cs="Arial"/>
          <w:color w:val="auto"/>
        </w:rPr>
        <w:t xml:space="preserve"> </w:t>
      </w:r>
    </w:p>
    <w:p w14:paraId="1E914EF2" w14:textId="0D0FA4F9" w:rsidR="00BF20DA" w:rsidRPr="00CE058E" w:rsidRDefault="002855E3" w:rsidP="00466F57">
      <w:pPr>
        <w:spacing w:line="276" w:lineRule="auto"/>
        <w:rPr>
          <w:rFonts w:eastAsia="Arial" w:cs="Arial"/>
          <w:color w:val="auto"/>
        </w:rPr>
      </w:pPr>
      <w:r w:rsidRPr="00CE058E">
        <w:rPr>
          <w:rFonts w:eastAsia="Arial" w:cs="Arial"/>
          <w:color w:val="auto"/>
        </w:rPr>
        <w:t>T</w:t>
      </w:r>
      <w:r w:rsidR="00BF20DA" w:rsidRPr="00CE058E">
        <w:rPr>
          <w:rFonts w:eastAsia="Arial" w:cs="Arial"/>
          <w:color w:val="auto"/>
        </w:rPr>
        <w:t xml:space="preserve">he national average cost per </w:t>
      </w:r>
      <w:r w:rsidR="00D84CAB" w:rsidRPr="00CE058E">
        <w:rPr>
          <w:rFonts w:eastAsia="Arial" w:cs="Arial"/>
          <w:color w:val="auto"/>
        </w:rPr>
        <w:t>subacute and non-acute</w:t>
      </w:r>
      <w:r w:rsidR="00BF20DA" w:rsidRPr="00CE058E">
        <w:rPr>
          <w:rFonts w:eastAsia="Arial" w:cs="Arial"/>
          <w:color w:val="auto"/>
        </w:rPr>
        <w:t xml:space="preserve"> episode was $21,402 for 2021-22, a 10</w:t>
      </w:r>
      <w:r w:rsidR="00897090">
        <w:rPr>
          <w:rFonts w:eastAsia="Arial" w:cs="Arial"/>
          <w:color w:val="auto"/>
        </w:rPr>
        <w:t>%</w:t>
      </w:r>
      <w:r w:rsidR="00BF20DA" w:rsidRPr="00CE058E">
        <w:rPr>
          <w:rFonts w:eastAsia="Arial" w:cs="Arial"/>
          <w:color w:val="auto"/>
        </w:rPr>
        <w:t xml:space="preserve"> increase </w:t>
      </w:r>
      <w:r w:rsidR="007F0F18" w:rsidRPr="00CE058E">
        <w:rPr>
          <w:rFonts w:eastAsia="Arial" w:cs="Arial"/>
          <w:color w:val="auto"/>
        </w:rPr>
        <w:t xml:space="preserve">to the 2020-21 </w:t>
      </w:r>
      <w:r w:rsidR="001255A2" w:rsidRPr="00CE058E">
        <w:rPr>
          <w:rFonts w:eastAsia="Arial" w:cs="Arial"/>
          <w:color w:val="auto"/>
        </w:rPr>
        <w:t xml:space="preserve">national average </w:t>
      </w:r>
      <w:r w:rsidR="00BF20DA" w:rsidRPr="00CE058E">
        <w:rPr>
          <w:rFonts w:eastAsia="Arial" w:cs="Arial"/>
          <w:color w:val="auto"/>
        </w:rPr>
        <w:t xml:space="preserve">of $19,484. The national average cost per </w:t>
      </w:r>
      <w:r w:rsidR="00D84CAB" w:rsidRPr="00CE058E">
        <w:rPr>
          <w:rFonts w:eastAsia="Arial" w:cs="Arial"/>
          <w:color w:val="auto"/>
        </w:rPr>
        <w:t>subacute</w:t>
      </w:r>
      <w:r w:rsidR="00BF20DA" w:rsidRPr="00CE058E">
        <w:rPr>
          <w:rFonts w:eastAsia="Arial" w:cs="Arial"/>
          <w:color w:val="auto"/>
        </w:rPr>
        <w:t xml:space="preserve"> phase was $7,258 for 2021-22, a 2</w:t>
      </w:r>
      <w:r w:rsidR="00897090">
        <w:rPr>
          <w:rFonts w:eastAsia="Arial" w:cs="Arial"/>
          <w:color w:val="auto"/>
        </w:rPr>
        <w:t>%</w:t>
      </w:r>
      <w:r w:rsidR="00BF20DA" w:rsidRPr="00CE058E">
        <w:rPr>
          <w:rFonts w:eastAsia="Arial" w:cs="Arial"/>
          <w:color w:val="auto"/>
        </w:rPr>
        <w:t xml:space="preserve"> decrease </w:t>
      </w:r>
      <w:r w:rsidR="007F0F18" w:rsidRPr="00CE058E">
        <w:rPr>
          <w:rFonts w:eastAsia="Arial" w:cs="Arial"/>
          <w:color w:val="auto"/>
        </w:rPr>
        <w:t>to the</w:t>
      </w:r>
      <w:r w:rsidR="00174918" w:rsidRPr="00CE058E">
        <w:rPr>
          <w:rFonts w:eastAsia="Arial" w:cs="Arial"/>
          <w:color w:val="auto"/>
        </w:rPr>
        <w:t xml:space="preserve"> 2020-21</w:t>
      </w:r>
      <w:r w:rsidR="007F0F18" w:rsidRPr="00CE058E">
        <w:rPr>
          <w:rFonts w:eastAsia="Arial" w:cs="Arial"/>
          <w:color w:val="auto"/>
        </w:rPr>
        <w:t xml:space="preserve"> </w:t>
      </w:r>
      <w:r w:rsidR="00174918" w:rsidRPr="00CE058E">
        <w:rPr>
          <w:rFonts w:eastAsia="Arial" w:cs="Arial"/>
          <w:color w:val="auto"/>
        </w:rPr>
        <w:t xml:space="preserve">national average </w:t>
      </w:r>
      <w:r w:rsidR="00BF20DA" w:rsidRPr="00CE058E">
        <w:rPr>
          <w:rFonts w:eastAsia="Arial" w:cs="Arial"/>
          <w:color w:val="auto"/>
        </w:rPr>
        <w:t>of $7,419.</w:t>
      </w:r>
    </w:p>
    <w:p w14:paraId="54756179" w14:textId="6965F27E" w:rsidR="005E0D3F" w:rsidRPr="00CE058E" w:rsidRDefault="005E0D3F" w:rsidP="00466F57">
      <w:pPr>
        <w:spacing w:line="276" w:lineRule="auto"/>
        <w:rPr>
          <w:rFonts w:eastAsia="Arial" w:cs="Arial"/>
          <w:color w:val="auto"/>
        </w:rPr>
      </w:pPr>
      <w:r w:rsidRPr="00CE058E">
        <w:rPr>
          <w:rFonts w:eastAsia="Arial" w:cs="Arial"/>
          <w:color w:val="auto"/>
        </w:rPr>
        <w:t xml:space="preserve">Note that subacute and non-acute episodes are combined for reporting purposes. For further information on the breakdown of subacute and non-acute episode activity, please refer to the </w:t>
      </w:r>
      <w:hyperlink r:id="rId25" w:history="1">
        <w:r w:rsidRPr="00CB65C0">
          <w:rPr>
            <w:rStyle w:val="Hyperlink"/>
            <w:rFonts w:eastAsia="Arial" w:cs="Arial"/>
          </w:rPr>
          <w:t>Appendix Tables</w:t>
        </w:r>
      </w:hyperlink>
      <w:r w:rsidRPr="00CE058E">
        <w:rPr>
          <w:rFonts w:eastAsia="Arial" w:cs="Arial"/>
          <w:color w:val="auto"/>
        </w:rPr>
        <w:t>.</w:t>
      </w:r>
    </w:p>
    <w:bookmarkEnd w:id="205"/>
    <w:bookmarkEnd w:id="206"/>
    <w:p w14:paraId="1FAF2EAA" w14:textId="79110F53" w:rsidR="00E07B55" w:rsidRPr="00CE058E" w:rsidRDefault="00E07B55" w:rsidP="00BC4620">
      <w:pPr>
        <w:spacing w:line="276" w:lineRule="auto"/>
        <w:rPr>
          <w:rFonts w:cs="Arial"/>
        </w:rPr>
      </w:pPr>
      <w:r w:rsidRPr="00CE058E">
        <w:rPr>
          <w:rFonts w:cs="Arial"/>
        </w:rPr>
        <w:br w:type="page"/>
      </w:r>
    </w:p>
    <w:p w14:paraId="1E9DEEC6" w14:textId="27C7D0E3" w:rsidR="00E07B55" w:rsidRPr="00CE058E" w:rsidRDefault="00E07B55" w:rsidP="007B41F8">
      <w:pPr>
        <w:pStyle w:val="Heading2"/>
      </w:pPr>
      <w:bookmarkStart w:id="207" w:name="_Toc151129699"/>
      <w:bookmarkStart w:id="208" w:name="_Toc158882550"/>
      <w:bookmarkStart w:id="209" w:name="_Toc158882611"/>
      <w:r w:rsidRPr="00CE058E">
        <w:lastRenderedPageBreak/>
        <w:t xml:space="preserve">Admitted </w:t>
      </w:r>
      <w:bookmarkStart w:id="210" w:name="_Toc144215442"/>
      <w:bookmarkStart w:id="211" w:name="_Toc144967648"/>
      <w:r w:rsidRPr="00CE058E">
        <w:t>subacute and non-acute cost</w:t>
      </w:r>
      <w:r w:rsidR="00DD3CB5" w:rsidRPr="00CE058E">
        <w:t xml:space="preserve"> and activity</w:t>
      </w:r>
      <w:bookmarkEnd w:id="207"/>
      <w:bookmarkEnd w:id="208"/>
      <w:bookmarkEnd w:id="209"/>
    </w:p>
    <w:bookmarkEnd w:id="210"/>
    <w:bookmarkEnd w:id="211"/>
    <w:p w14:paraId="29AD1ADC" w14:textId="3E21039D" w:rsidR="002749E8" w:rsidRPr="00CE058E" w:rsidRDefault="002749E8" w:rsidP="002749E8">
      <w:pPr>
        <w:rPr>
          <w:rFonts w:cs="Arial"/>
          <w:color w:val="auto"/>
        </w:rPr>
      </w:pPr>
      <w:r w:rsidRPr="00CE058E">
        <w:rPr>
          <w:rFonts w:cs="Arial"/>
          <w:color w:val="auto"/>
        </w:rPr>
        <w:t>Nationally, 100</w:t>
      </w:r>
      <w:r w:rsidR="00897090">
        <w:rPr>
          <w:rFonts w:cs="Arial"/>
          <w:color w:val="auto"/>
        </w:rPr>
        <w:t>%</w:t>
      </w:r>
      <w:r w:rsidRPr="00CE058E">
        <w:rPr>
          <w:rFonts w:cs="Arial"/>
          <w:color w:val="auto"/>
        </w:rPr>
        <w:t xml:space="preserve"> of the submitted NHCDC records were linked to admitted subacute and non-acute activity for both episodes and phases. Table 7 shows the number of linked NHCDC</w:t>
      </w:r>
      <w:r w:rsidR="00DA6489" w:rsidRPr="00CE058E">
        <w:rPr>
          <w:rFonts w:cs="Arial"/>
          <w:color w:val="auto"/>
        </w:rPr>
        <w:t xml:space="preserve"> </w:t>
      </w:r>
      <w:r w:rsidRPr="00CE058E">
        <w:rPr>
          <w:rFonts w:cs="Arial"/>
          <w:color w:val="auto"/>
        </w:rPr>
        <w:t xml:space="preserve">records as a proportion of the </w:t>
      </w:r>
      <w:r w:rsidR="00E216AA" w:rsidRPr="00CE058E">
        <w:rPr>
          <w:rFonts w:cs="Arial"/>
          <w:color w:val="auto"/>
        </w:rPr>
        <w:t>admitted</w:t>
      </w:r>
      <w:r w:rsidRPr="00CE058E">
        <w:rPr>
          <w:rFonts w:cs="Arial"/>
          <w:color w:val="auto"/>
        </w:rPr>
        <w:t xml:space="preserve"> subacute and non-acute </w:t>
      </w:r>
      <w:r w:rsidR="00DA6489" w:rsidRPr="00CE058E">
        <w:rPr>
          <w:rFonts w:cs="Arial"/>
          <w:color w:val="auto"/>
        </w:rPr>
        <w:t xml:space="preserve">episode </w:t>
      </w:r>
      <w:r w:rsidRPr="00CE058E">
        <w:rPr>
          <w:rFonts w:cs="Arial"/>
          <w:color w:val="auto"/>
        </w:rPr>
        <w:t>activity by jurisdiction from 2019-20 to 2021-22. The</w:t>
      </w:r>
      <w:r w:rsidR="00901630" w:rsidRPr="00CE058E">
        <w:rPr>
          <w:rFonts w:cs="Arial"/>
          <w:color w:val="auto"/>
        </w:rPr>
        <w:t xml:space="preserve"> national</w:t>
      </w:r>
      <w:r w:rsidRPr="00CE058E">
        <w:rPr>
          <w:rFonts w:cs="Arial"/>
          <w:color w:val="auto"/>
        </w:rPr>
        <w:t xml:space="preserve"> linked NHCDC </w:t>
      </w:r>
      <w:r w:rsidR="0041260C" w:rsidRPr="00CE058E">
        <w:rPr>
          <w:rFonts w:cs="Arial"/>
          <w:color w:val="auto"/>
        </w:rPr>
        <w:t xml:space="preserve">episode </w:t>
      </w:r>
      <w:r w:rsidRPr="00CE058E">
        <w:rPr>
          <w:rFonts w:cs="Arial"/>
          <w:color w:val="auto"/>
        </w:rPr>
        <w:t xml:space="preserve">records </w:t>
      </w:r>
      <w:r w:rsidR="0041260C" w:rsidRPr="00CE058E">
        <w:rPr>
          <w:rFonts w:cs="Arial"/>
          <w:color w:val="auto"/>
        </w:rPr>
        <w:t>decreased by 680</w:t>
      </w:r>
      <w:r w:rsidR="00DA6489" w:rsidRPr="00CE058E">
        <w:rPr>
          <w:rFonts w:cs="Arial"/>
          <w:color w:val="auto"/>
        </w:rPr>
        <w:t xml:space="preserve"> (</w:t>
      </w:r>
      <w:r w:rsidR="0041260C" w:rsidRPr="00CE058E">
        <w:rPr>
          <w:rFonts w:cs="Arial"/>
          <w:color w:val="auto"/>
        </w:rPr>
        <w:t>or less than 1</w:t>
      </w:r>
      <w:r w:rsidR="00897090">
        <w:rPr>
          <w:rFonts w:cs="Arial"/>
          <w:color w:val="auto"/>
        </w:rPr>
        <w:t>%</w:t>
      </w:r>
      <w:r w:rsidR="00DA6489" w:rsidRPr="00CE058E">
        <w:rPr>
          <w:rFonts w:cs="Arial"/>
          <w:color w:val="auto"/>
        </w:rPr>
        <w:t>)</w:t>
      </w:r>
      <w:r w:rsidR="0041260C" w:rsidRPr="00CE058E">
        <w:rPr>
          <w:rFonts w:cs="Arial"/>
          <w:color w:val="auto"/>
        </w:rPr>
        <w:t xml:space="preserve"> </w:t>
      </w:r>
      <w:r w:rsidRPr="00CE058E">
        <w:rPr>
          <w:rFonts w:cs="Arial"/>
          <w:color w:val="auto"/>
        </w:rPr>
        <w:t xml:space="preserve">and activity increased by </w:t>
      </w:r>
      <w:r w:rsidR="00DA7581" w:rsidRPr="00CE058E">
        <w:rPr>
          <w:rFonts w:cs="Arial"/>
          <w:color w:val="auto"/>
        </w:rPr>
        <w:t>351</w:t>
      </w:r>
      <w:r w:rsidR="00DA6489" w:rsidRPr="00CE058E">
        <w:rPr>
          <w:rFonts w:cs="Arial"/>
          <w:color w:val="auto"/>
        </w:rPr>
        <w:t xml:space="preserve"> (</w:t>
      </w:r>
      <w:r w:rsidR="00DA7581" w:rsidRPr="00CE058E">
        <w:rPr>
          <w:rFonts w:cs="Arial"/>
          <w:color w:val="auto"/>
        </w:rPr>
        <w:t>or less than 1</w:t>
      </w:r>
      <w:r w:rsidR="00897090">
        <w:rPr>
          <w:rFonts w:cs="Arial"/>
          <w:color w:val="auto"/>
        </w:rPr>
        <w:t>%</w:t>
      </w:r>
      <w:r w:rsidR="00DA6489" w:rsidRPr="00CE058E">
        <w:rPr>
          <w:rFonts w:cs="Arial"/>
          <w:color w:val="auto"/>
        </w:rPr>
        <w:t>)</w:t>
      </w:r>
      <w:r w:rsidRPr="00CE058E">
        <w:rPr>
          <w:rFonts w:cs="Arial"/>
          <w:color w:val="auto"/>
        </w:rPr>
        <w:t xml:space="preserve"> from 2019-20 to 2021-22. Nationally, the linked NHCDC records as a proportion of activity was consistently around </w:t>
      </w:r>
      <w:r w:rsidR="00DA7581" w:rsidRPr="00CE058E">
        <w:rPr>
          <w:rFonts w:cs="Arial"/>
          <w:color w:val="auto"/>
        </w:rPr>
        <w:t>at 76</w:t>
      </w:r>
      <w:r w:rsidR="00897090">
        <w:rPr>
          <w:rFonts w:cs="Arial"/>
          <w:color w:val="auto"/>
        </w:rPr>
        <w:t>%</w:t>
      </w:r>
      <w:r w:rsidRPr="00CE058E">
        <w:rPr>
          <w:rFonts w:cs="Arial"/>
          <w:color w:val="auto"/>
        </w:rPr>
        <w:t xml:space="preserve"> from 2019-20 to 2021-22.</w:t>
      </w:r>
    </w:p>
    <w:p w14:paraId="5F25CAFF" w14:textId="1394825E" w:rsidR="00E07B55" w:rsidRPr="00CE058E" w:rsidRDefault="00C53B6A" w:rsidP="00B42434">
      <w:pPr>
        <w:pStyle w:val="TableFigureheading"/>
      </w:pPr>
      <w:bookmarkStart w:id="212" w:name="_Toc149650908"/>
      <w:bookmarkStart w:id="213" w:name="_Toc151370033"/>
      <w:bookmarkStart w:id="214" w:name="_Toc144215444"/>
      <w:r w:rsidRPr="00CE058E">
        <w:t xml:space="preserve">Table </w:t>
      </w:r>
      <w:r>
        <w:fldChar w:fldCharType="begin"/>
      </w:r>
      <w:r>
        <w:instrText xml:space="preserve"> SEQ Table \* ARABIC </w:instrText>
      </w:r>
      <w:r>
        <w:fldChar w:fldCharType="separate"/>
      </w:r>
      <w:r w:rsidR="00B42434">
        <w:rPr>
          <w:noProof/>
        </w:rPr>
        <w:t>7</w:t>
      </w:r>
      <w:r>
        <w:rPr>
          <w:noProof/>
        </w:rPr>
        <w:fldChar w:fldCharType="end"/>
      </w:r>
      <w:r w:rsidR="00E07B55" w:rsidRPr="00CE058E">
        <w:t xml:space="preserve">: </w:t>
      </w:r>
      <w:r w:rsidR="00B67CE3" w:rsidRPr="00CE058E">
        <w:t>Proportion of linked NHCDC records to episode activity, 2019-20 to 2021-22</w:t>
      </w:r>
      <w:bookmarkEnd w:id="212"/>
      <w:bookmarkEnd w:id="213"/>
    </w:p>
    <w:tbl>
      <w:tblPr>
        <w:tblStyle w:val="GridTable4-Accent2"/>
        <w:tblW w:w="9913" w:type="dxa"/>
        <w:jc w:val="center"/>
        <w:tblLook w:val="04A0" w:firstRow="1" w:lastRow="0" w:firstColumn="1" w:lastColumn="0" w:noHBand="0" w:noVBand="1"/>
      </w:tblPr>
      <w:tblGrid>
        <w:gridCol w:w="997"/>
        <w:gridCol w:w="877"/>
        <w:gridCol w:w="867"/>
        <w:gridCol w:w="1136"/>
        <w:gridCol w:w="877"/>
        <w:gridCol w:w="867"/>
        <w:gridCol w:w="1136"/>
        <w:gridCol w:w="877"/>
        <w:gridCol w:w="1103"/>
        <w:gridCol w:w="1176"/>
      </w:tblGrid>
      <w:tr w:rsidR="00422008" w:rsidRPr="00CE058E" w14:paraId="24C75D93" w14:textId="77777777" w:rsidTr="00A47745">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997" w:type="dxa"/>
            <w:vMerge w:val="restart"/>
            <w:tcBorders>
              <w:right w:val="single" w:sz="4" w:space="0" w:color="FFFFFF" w:themeColor="background2"/>
            </w:tcBorders>
            <w:noWrap/>
            <w:vAlign w:val="center"/>
            <w:hideMark/>
          </w:tcPr>
          <w:p w14:paraId="64B962E2" w14:textId="0A021DE8" w:rsidR="00793004" w:rsidRPr="00CE058E" w:rsidRDefault="00793004" w:rsidP="00B85EAD">
            <w:pPr>
              <w:spacing w:line="240" w:lineRule="auto"/>
              <w:jc w:val="center"/>
              <w:rPr>
                <w:rFonts w:eastAsia="Times New Roman" w:cs="Arial"/>
                <w:b w:val="0"/>
                <w:bCs w:val="0"/>
                <w:color w:val="000000"/>
                <w:sz w:val="18"/>
                <w:szCs w:val="18"/>
                <w:lang w:eastAsia="en-AU"/>
              </w:rPr>
            </w:pPr>
          </w:p>
        </w:tc>
        <w:tc>
          <w:tcPr>
            <w:tcW w:w="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371364AC" w14:textId="77777777" w:rsidR="00793004" w:rsidRPr="00CE058E" w:rsidRDefault="00793004" w:rsidP="00B85EA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2019-20</w:t>
            </w:r>
          </w:p>
        </w:tc>
        <w:tc>
          <w:tcPr>
            <w:tcW w:w="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601138C3" w14:textId="304D9F09" w:rsidR="00793004" w:rsidRPr="00CE058E" w:rsidRDefault="00793004" w:rsidP="00B85EA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2020-21</w:t>
            </w:r>
          </w:p>
        </w:tc>
        <w:tc>
          <w:tcPr>
            <w:tcW w:w="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0FBB7014" w14:textId="77777777" w:rsidR="00793004" w:rsidRPr="00CE058E" w:rsidRDefault="00793004" w:rsidP="00B85EA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2021-22</w:t>
            </w:r>
          </w:p>
        </w:tc>
      </w:tr>
      <w:tr w:rsidR="00F46C13" w:rsidRPr="00CE058E" w14:paraId="5764FBDA" w14:textId="77777777" w:rsidTr="00DA6489">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997" w:type="dxa"/>
            <w:vMerge/>
            <w:tcBorders>
              <w:right w:val="single" w:sz="4" w:space="0" w:color="FFFFFF" w:themeColor="background2"/>
            </w:tcBorders>
            <w:noWrap/>
            <w:vAlign w:val="center"/>
            <w:hideMark/>
          </w:tcPr>
          <w:p w14:paraId="0F5D8D9F" w14:textId="77777777" w:rsidR="00E07B55" w:rsidRPr="00CE058E" w:rsidRDefault="00E07B55" w:rsidP="00B85EAD">
            <w:pPr>
              <w:spacing w:line="240" w:lineRule="auto"/>
              <w:jc w:val="center"/>
              <w:rPr>
                <w:rFonts w:eastAsia="Times New Roman" w:cs="Arial"/>
                <w:color w:val="000000"/>
                <w:sz w:val="18"/>
                <w:szCs w:val="18"/>
                <w:lang w:eastAsia="en-AU"/>
              </w:rPr>
            </w:pPr>
          </w:p>
        </w:tc>
        <w:tc>
          <w:tcPr>
            <w:tcW w:w="87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130ECF9A" w14:textId="52FF2947" w:rsidR="00E07B55" w:rsidRPr="00CE058E" w:rsidRDefault="00416847"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 xml:space="preserve">Linked </w:t>
            </w:r>
            <w:r w:rsidR="00E07B55" w:rsidRPr="00CE058E">
              <w:rPr>
                <w:rFonts w:eastAsia="Times New Roman" w:cs="Arial"/>
                <w:b/>
                <w:bCs/>
                <w:color w:val="FFFFFF"/>
                <w:sz w:val="18"/>
                <w:szCs w:val="18"/>
                <w:lang w:eastAsia="en-AU"/>
              </w:rPr>
              <w:t>NHCDC records</w:t>
            </w:r>
          </w:p>
        </w:tc>
        <w:tc>
          <w:tcPr>
            <w:tcW w:w="86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3A3EFB52" w14:textId="435A0BF1" w:rsidR="00E07B55" w:rsidRPr="00CE058E" w:rsidRDefault="00C33282"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Pr>
                <w:rFonts w:eastAsia="Times New Roman" w:cs="Arial"/>
                <w:b/>
                <w:bCs/>
                <w:color w:val="FFFFFF"/>
                <w:sz w:val="18"/>
                <w:szCs w:val="18"/>
                <w:lang w:eastAsia="en-AU"/>
              </w:rPr>
              <w:t>A</w:t>
            </w:r>
            <w:r w:rsidR="00E07B55" w:rsidRPr="00CE058E">
              <w:rPr>
                <w:rFonts w:eastAsia="Times New Roman" w:cs="Arial"/>
                <w:b/>
                <w:bCs/>
                <w:color w:val="FFFFFF"/>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1D3C515B" w14:textId="6855B085" w:rsidR="00E07B55" w:rsidRPr="00CE058E" w:rsidRDefault="00037328"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Proportion</w:t>
            </w:r>
            <w:r w:rsidR="001E2FEF" w:rsidRPr="00CE058E">
              <w:rPr>
                <w:rFonts w:eastAsia="Times New Roman" w:cs="Arial"/>
                <w:b/>
                <w:bCs/>
                <w:color w:val="FFFFFF"/>
                <w:sz w:val="18"/>
                <w:szCs w:val="18"/>
                <w:lang w:eastAsia="en-AU"/>
              </w:rPr>
              <w:t xml:space="preserve"> (%)</w:t>
            </w:r>
          </w:p>
        </w:tc>
        <w:tc>
          <w:tcPr>
            <w:tcW w:w="87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2E09DE5C" w14:textId="21DF5E97" w:rsidR="00E07B55" w:rsidRPr="00CE058E" w:rsidRDefault="00416847"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 xml:space="preserve">Linked </w:t>
            </w:r>
            <w:r w:rsidR="00E07B55" w:rsidRPr="00CE058E">
              <w:rPr>
                <w:rFonts w:eastAsia="Times New Roman" w:cs="Arial"/>
                <w:b/>
                <w:bCs/>
                <w:color w:val="FFFFFF"/>
                <w:sz w:val="18"/>
                <w:szCs w:val="18"/>
                <w:lang w:eastAsia="en-AU"/>
              </w:rPr>
              <w:t>NHCDC records</w:t>
            </w:r>
          </w:p>
        </w:tc>
        <w:tc>
          <w:tcPr>
            <w:tcW w:w="86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4BA44224" w14:textId="7088F470" w:rsidR="00E07B55" w:rsidRPr="00CE058E" w:rsidRDefault="00C33282"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Pr>
                <w:rFonts w:eastAsia="Times New Roman" w:cs="Arial"/>
                <w:b/>
                <w:bCs/>
                <w:color w:val="FFFFFF"/>
                <w:sz w:val="18"/>
                <w:szCs w:val="18"/>
                <w:lang w:eastAsia="en-AU"/>
              </w:rPr>
              <w:t>A</w:t>
            </w:r>
            <w:r w:rsidR="00E07B55" w:rsidRPr="00CE058E">
              <w:rPr>
                <w:rFonts w:eastAsia="Times New Roman" w:cs="Arial"/>
                <w:b/>
                <w:bCs/>
                <w:color w:val="FFFFFF"/>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778A4D4B" w14:textId="4963F66B" w:rsidR="00E07B55" w:rsidRPr="00CE058E" w:rsidRDefault="00037328"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Proportion</w:t>
            </w:r>
            <w:r w:rsidR="001E2FEF" w:rsidRPr="00CE058E">
              <w:rPr>
                <w:rFonts w:eastAsia="Times New Roman" w:cs="Arial"/>
                <w:b/>
                <w:bCs/>
                <w:color w:val="FFFFFF"/>
                <w:sz w:val="18"/>
                <w:szCs w:val="18"/>
                <w:lang w:eastAsia="en-AU"/>
              </w:rPr>
              <w:t xml:space="preserve"> (%)</w:t>
            </w:r>
          </w:p>
        </w:tc>
        <w:tc>
          <w:tcPr>
            <w:tcW w:w="87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0FC43DDF" w14:textId="113C7983" w:rsidR="00E07B55" w:rsidRPr="00CE058E" w:rsidRDefault="00416847"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 xml:space="preserve">Linked </w:t>
            </w:r>
            <w:r w:rsidR="00E07B55" w:rsidRPr="00CE058E">
              <w:rPr>
                <w:rFonts w:eastAsia="Times New Roman" w:cs="Arial"/>
                <w:b/>
                <w:bCs/>
                <w:color w:val="FFFFFF"/>
                <w:sz w:val="18"/>
                <w:szCs w:val="18"/>
                <w:lang w:eastAsia="en-AU"/>
              </w:rPr>
              <w:t>NHCDC records</w:t>
            </w:r>
          </w:p>
        </w:tc>
        <w:tc>
          <w:tcPr>
            <w:tcW w:w="1103"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76863ECB" w14:textId="51166F5D" w:rsidR="00E07B55" w:rsidRPr="00CE058E" w:rsidRDefault="00C33282"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Pr>
                <w:rFonts w:eastAsia="Times New Roman" w:cs="Arial"/>
                <w:b/>
                <w:bCs/>
                <w:color w:val="FFFFFF"/>
                <w:sz w:val="18"/>
                <w:szCs w:val="18"/>
                <w:lang w:eastAsia="en-AU"/>
              </w:rPr>
              <w:t>A</w:t>
            </w:r>
            <w:r w:rsidR="00E07B55" w:rsidRPr="00CE058E">
              <w:rPr>
                <w:rFonts w:eastAsia="Times New Roman" w:cs="Arial"/>
                <w:b/>
                <w:bCs/>
                <w:color w:val="FFFFFF"/>
                <w:sz w:val="18"/>
                <w:szCs w:val="18"/>
                <w:lang w:eastAsia="en-AU"/>
              </w:rPr>
              <w:t>ctivity</w:t>
            </w:r>
          </w:p>
        </w:tc>
        <w:tc>
          <w:tcPr>
            <w:tcW w:w="117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1723E716" w14:textId="14843D38" w:rsidR="00E07B55" w:rsidRPr="00CE058E" w:rsidRDefault="00037328"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Proportion</w:t>
            </w:r>
            <w:r w:rsidR="001E2FEF" w:rsidRPr="00CE058E">
              <w:rPr>
                <w:rFonts w:eastAsia="Times New Roman" w:cs="Arial"/>
                <w:b/>
                <w:bCs/>
                <w:color w:val="FFFFFF"/>
                <w:sz w:val="18"/>
                <w:szCs w:val="18"/>
                <w:lang w:eastAsia="en-AU"/>
              </w:rPr>
              <w:t xml:space="preserve"> (%)</w:t>
            </w:r>
          </w:p>
        </w:tc>
      </w:tr>
      <w:tr w:rsidR="00422008" w:rsidRPr="00CE058E" w14:paraId="500BD04D" w14:textId="77777777" w:rsidTr="00A47745">
        <w:trPr>
          <w:trHeight w:val="290"/>
          <w:jc w:val="center"/>
        </w:trPr>
        <w:tc>
          <w:tcPr>
            <w:cnfStyle w:val="001000000000" w:firstRow="0" w:lastRow="0" w:firstColumn="1" w:lastColumn="0" w:oddVBand="0" w:evenVBand="0" w:oddHBand="0" w:evenHBand="0" w:firstRowFirstColumn="0" w:firstRowLastColumn="0" w:lastRowFirstColumn="0" w:lastRowLastColumn="0"/>
            <w:tcW w:w="997" w:type="dxa"/>
            <w:noWrap/>
            <w:vAlign w:val="center"/>
            <w:hideMark/>
          </w:tcPr>
          <w:p w14:paraId="581EB143" w14:textId="77777777"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NSW</w:t>
            </w:r>
          </w:p>
        </w:tc>
        <w:tc>
          <w:tcPr>
            <w:tcW w:w="0" w:type="dxa"/>
            <w:tcBorders>
              <w:top w:val="single" w:sz="4" w:space="0" w:color="FFFFFF" w:themeColor="background2"/>
            </w:tcBorders>
            <w:noWrap/>
            <w:vAlign w:val="center"/>
            <w:hideMark/>
          </w:tcPr>
          <w:p w14:paraId="2C8333BA"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46,946</w:t>
            </w:r>
          </w:p>
        </w:tc>
        <w:tc>
          <w:tcPr>
            <w:tcW w:w="0" w:type="dxa"/>
            <w:tcBorders>
              <w:top w:val="single" w:sz="4" w:space="0" w:color="FFFFFF" w:themeColor="background2"/>
            </w:tcBorders>
            <w:noWrap/>
            <w:vAlign w:val="center"/>
            <w:hideMark/>
          </w:tcPr>
          <w:p w14:paraId="40643EFC"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68,387</w:t>
            </w:r>
          </w:p>
        </w:tc>
        <w:tc>
          <w:tcPr>
            <w:tcW w:w="0" w:type="dxa"/>
            <w:tcBorders>
              <w:top w:val="single" w:sz="4" w:space="0" w:color="FFFFFF" w:themeColor="background2"/>
            </w:tcBorders>
            <w:noWrap/>
            <w:vAlign w:val="center"/>
            <w:hideMark/>
          </w:tcPr>
          <w:p w14:paraId="60D13046" w14:textId="1569EDB2"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69</w:t>
            </w:r>
          </w:p>
        </w:tc>
        <w:tc>
          <w:tcPr>
            <w:tcW w:w="877" w:type="dxa"/>
            <w:tcBorders>
              <w:top w:val="single" w:sz="4" w:space="0" w:color="FFFFFF" w:themeColor="background2"/>
            </w:tcBorders>
            <w:noWrap/>
            <w:vAlign w:val="center"/>
            <w:hideMark/>
          </w:tcPr>
          <w:p w14:paraId="5435C864"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45,016</w:t>
            </w:r>
          </w:p>
        </w:tc>
        <w:tc>
          <w:tcPr>
            <w:tcW w:w="867" w:type="dxa"/>
            <w:tcBorders>
              <w:top w:val="single" w:sz="4" w:space="0" w:color="FFFFFF" w:themeColor="background2"/>
            </w:tcBorders>
            <w:noWrap/>
            <w:vAlign w:val="center"/>
            <w:hideMark/>
          </w:tcPr>
          <w:p w14:paraId="2E5591CD"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67,343</w:t>
            </w:r>
          </w:p>
        </w:tc>
        <w:tc>
          <w:tcPr>
            <w:tcW w:w="0" w:type="dxa"/>
            <w:tcBorders>
              <w:top w:val="single" w:sz="4" w:space="0" w:color="FFFFFF" w:themeColor="background2"/>
            </w:tcBorders>
            <w:noWrap/>
            <w:vAlign w:val="center"/>
            <w:hideMark/>
          </w:tcPr>
          <w:p w14:paraId="23C72769" w14:textId="564652E0"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67</w:t>
            </w:r>
          </w:p>
        </w:tc>
        <w:tc>
          <w:tcPr>
            <w:tcW w:w="0" w:type="dxa"/>
            <w:tcBorders>
              <w:top w:val="single" w:sz="4" w:space="0" w:color="FFFFFF" w:themeColor="background2"/>
            </w:tcBorders>
            <w:noWrap/>
            <w:vAlign w:val="center"/>
            <w:hideMark/>
          </w:tcPr>
          <w:p w14:paraId="2A3FBAFE"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35,623</w:t>
            </w:r>
          </w:p>
        </w:tc>
        <w:tc>
          <w:tcPr>
            <w:tcW w:w="0" w:type="dxa"/>
            <w:tcBorders>
              <w:top w:val="single" w:sz="4" w:space="0" w:color="FFFFFF" w:themeColor="background2"/>
            </w:tcBorders>
            <w:noWrap/>
            <w:vAlign w:val="center"/>
            <w:hideMark/>
          </w:tcPr>
          <w:p w14:paraId="69F55F90"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58,449</w:t>
            </w:r>
          </w:p>
        </w:tc>
        <w:tc>
          <w:tcPr>
            <w:tcW w:w="0" w:type="dxa"/>
            <w:tcBorders>
              <w:top w:val="single" w:sz="4" w:space="0" w:color="FFFFFF" w:themeColor="background2"/>
            </w:tcBorders>
            <w:noWrap/>
            <w:vAlign w:val="center"/>
            <w:hideMark/>
          </w:tcPr>
          <w:p w14:paraId="0560077C" w14:textId="32194CCA"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61</w:t>
            </w:r>
          </w:p>
        </w:tc>
      </w:tr>
      <w:tr w:rsidR="00422008" w:rsidRPr="00CE058E" w14:paraId="435C3A8B" w14:textId="77777777" w:rsidTr="0042200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997" w:type="dxa"/>
            <w:noWrap/>
            <w:vAlign w:val="center"/>
            <w:hideMark/>
          </w:tcPr>
          <w:p w14:paraId="7042F2E9" w14:textId="4A8900BF"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V</w:t>
            </w:r>
            <w:r w:rsidR="00B85EAD" w:rsidRPr="00CE058E">
              <w:rPr>
                <w:rFonts w:eastAsia="Times New Roman" w:cs="Arial"/>
                <w:color w:val="auto"/>
                <w:sz w:val="18"/>
                <w:szCs w:val="18"/>
                <w:lang w:eastAsia="en-AU"/>
              </w:rPr>
              <w:t>ic</w:t>
            </w:r>
          </w:p>
        </w:tc>
        <w:tc>
          <w:tcPr>
            <w:tcW w:w="877" w:type="dxa"/>
            <w:noWrap/>
            <w:vAlign w:val="center"/>
            <w:hideMark/>
          </w:tcPr>
          <w:p w14:paraId="536DC5C9"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36,660</w:t>
            </w:r>
          </w:p>
        </w:tc>
        <w:tc>
          <w:tcPr>
            <w:tcW w:w="867" w:type="dxa"/>
            <w:noWrap/>
            <w:vAlign w:val="center"/>
            <w:hideMark/>
          </w:tcPr>
          <w:p w14:paraId="354994A6"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45,418</w:t>
            </w:r>
          </w:p>
        </w:tc>
        <w:tc>
          <w:tcPr>
            <w:tcW w:w="1136" w:type="dxa"/>
            <w:noWrap/>
            <w:vAlign w:val="center"/>
            <w:hideMark/>
          </w:tcPr>
          <w:p w14:paraId="62D87BF8" w14:textId="05A87546"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81</w:t>
            </w:r>
          </w:p>
        </w:tc>
        <w:tc>
          <w:tcPr>
            <w:tcW w:w="877" w:type="dxa"/>
            <w:noWrap/>
            <w:vAlign w:val="center"/>
            <w:hideMark/>
          </w:tcPr>
          <w:p w14:paraId="2618C6DE"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30,786</w:t>
            </w:r>
          </w:p>
        </w:tc>
        <w:tc>
          <w:tcPr>
            <w:tcW w:w="867" w:type="dxa"/>
            <w:noWrap/>
            <w:vAlign w:val="center"/>
            <w:hideMark/>
          </w:tcPr>
          <w:p w14:paraId="1F91EA19"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39,579</w:t>
            </w:r>
          </w:p>
        </w:tc>
        <w:tc>
          <w:tcPr>
            <w:tcW w:w="1136" w:type="dxa"/>
            <w:noWrap/>
            <w:vAlign w:val="center"/>
            <w:hideMark/>
          </w:tcPr>
          <w:p w14:paraId="3BCE8471" w14:textId="5CA2EE05"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78</w:t>
            </w:r>
          </w:p>
        </w:tc>
        <w:tc>
          <w:tcPr>
            <w:tcW w:w="877" w:type="dxa"/>
            <w:noWrap/>
            <w:vAlign w:val="center"/>
            <w:hideMark/>
          </w:tcPr>
          <w:p w14:paraId="7CBBC833"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30,342</w:t>
            </w:r>
          </w:p>
        </w:tc>
        <w:tc>
          <w:tcPr>
            <w:tcW w:w="1103" w:type="dxa"/>
            <w:noWrap/>
            <w:vAlign w:val="center"/>
            <w:hideMark/>
          </w:tcPr>
          <w:p w14:paraId="4AFC54F9"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39,147</w:t>
            </w:r>
          </w:p>
        </w:tc>
        <w:tc>
          <w:tcPr>
            <w:tcW w:w="1176" w:type="dxa"/>
            <w:noWrap/>
            <w:vAlign w:val="center"/>
            <w:hideMark/>
          </w:tcPr>
          <w:p w14:paraId="4D54A574" w14:textId="02B6D51B"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78</w:t>
            </w:r>
          </w:p>
        </w:tc>
      </w:tr>
      <w:tr w:rsidR="00422008" w:rsidRPr="00CE058E" w14:paraId="4182030E" w14:textId="77777777" w:rsidTr="00A47745">
        <w:trPr>
          <w:trHeight w:val="290"/>
          <w:jc w:val="center"/>
        </w:trPr>
        <w:tc>
          <w:tcPr>
            <w:cnfStyle w:val="001000000000" w:firstRow="0" w:lastRow="0" w:firstColumn="1" w:lastColumn="0" w:oddVBand="0" w:evenVBand="0" w:oddHBand="0" w:evenHBand="0" w:firstRowFirstColumn="0" w:firstRowLastColumn="0" w:lastRowFirstColumn="0" w:lastRowLastColumn="0"/>
            <w:tcW w:w="997" w:type="dxa"/>
            <w:noWrap/>
            <w:vAlign w:val="center"/>
            <w:hideMark/>
          </w:tcPr>
          <w:p w14:paraId="443EB373" w14:textId="1ED7A4ED"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Q</w:t>
            </w:r>
            <w:r w:rsidR="00B85EAD" w:rsidRPr="00CE058E">
              <w:rPr>
                <w:rFonts w:eastAsia="Times New Roman" w:cs="Arial"/>
                <w:color w:val="auto"/>
                <w:sz w:val="18"/>
                <w:szCs w:val="18"/>
                <w:lang w:eastAsia="en-AU"/>
              </w:rPr>
              <w:t>ld</w:t>
            </w:r>
          </w:p>
        </w:tc>
        <w:tc>
          <w:tcPr>
            <w:tcW w:w="0" w:type="dxa"/>
            <w:noWrap/>
            <w:vAlign w:val="center"/>
            <w:hideMark/>
          </w:tcPr>
          <w:p w14:paraId="34770B29"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37,240</w:t>
            </w:r>
          </w:p>
        </w:tc>
        <w:tc>
          <w:tcPr>
            <w:tcW w:w="0" w:type="dxa"/>
            <w:noWrap/>
            <w:vAlign w:val="center"/>
            <w:hideMark/>
          </w:tcPr>
          <w:p w14:paraId="55F3E934"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48,763</w:t>
            </w:r>
          </w:p>
        </w:tc>
        <w:tc>
          <w:tcPr>
            <w:tcW w:w="0" w:type="dxa"/>
            <w:noWrap/>
            <w:vAlign w:val="center"/>
            <w:hideMark/>
          </w:tcPr>
          <w:p w14:paraId="09464A68" w14:textId="04A0E01C"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76</w:t>
            </w:r>
          </w:p>
        </w:tc>
        <w:tc>
          <w:tcPr>
            <w:tcW w:w="877" w:type="dxa"/>
            <w:noWrap/>
            <w:vAlign w:val="center"/>
            <w:hideMark/>
          </w:tcPr>
          <w:p w14:paraId="68A13B70"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39,850</w:t>
            </w:r>
          </w:p>
        </w:tc>
        <w:tc>
          <w:tcPr>
            <w:tcW w:w="867" w:type="dxa"/>
            <w:noWrap/>
            <w:vAlign w:val="center"/>
            <w:hideMark/>
          </w:tcPr>
          <w:p w14:paraId="0C7238B8"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51,723</w:t>
            </w:r>
          </w:p>
        </w:tc>
        <w:tc>
          <w:tcPr>
            <w:tcW w:w="0" w:type="dxa"/>
            <w:noWrap/>
            <w:vAlign w:val="center"/>
            <w:hideMark/>
          </w:tcPr>
          <w:p w14:paraId="14F69615" w14:textId="16EF1CE6"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77</w:t>
            </w:r>
          </w:p>
        </w:tc>
        <w:tc>
          <w:tcPr>
            <w:tcW w:w="0" w:type="dxa"/>
            <w:noWrap/>
            <w:vAlign w:val="center"/>
            <w:hideMark/>
          </w:tcPr>
          <w:p w14:paraId="52E84FB0"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52,240</w:t>
            </w:r>
          </w:p>
        </w:tc>
        <w:tc>
          <w:tcPr>
            <w:tcW w:w="0" w:type="dxa"/>
            <w:noWrap/>
            <w:vAlign w:val="center"/>
            <w:hideMark/>
          </w:tcPr>
          <w:p w14:paraId="3545E549"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64,778</w:t>
            </w:r>
          </w:p>
        </w:tc>
        <w:tc>
          <w:tcPr>
            <w:tcW w:w="0" w:type="dxa"/>
            <w:noWrap/>
            <w:vAlign w:val="center"/>
            <w:hideMark/>
          </w:tcPr>
          <w:p w14:paraId="5579ECE5" w14:textId="63ACBB1E"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81</w:t>
            </w:r>
          </w:p>
        </w:tc>
      </w:tr>
      <w:tr w:rsidR="00422008" w:rsidRPr="00CE058E" w14:paraId="7C389C29" w14:textId="77777777" w:rsidTr="0042200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997" w:type="dxa"/>
            <w:noWrap/>
            <w:vAlign w:val="center"/>
            <w:hideMark/>
          </w:tcPr>
          <w:p w14:paraId="33BBFF36" w14:textId="77777777"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SA</w:t>
            </w:r>
          </w:p>
        </w:tc>
        <w:tc>
          <w:tcPr>
            <w:tcW w:w="877" w:type="dxa"/>
            <w:noWrap/>
            <w:vAlign w:val="center"/>
            <w:hideMark/>
          </w:tcPr>
          <w:p w14:paraId="4E3A8D43"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10,712</w:t>
            </w:r>
          </w:p>
        </w:tc>
        <w:tc>
          <w:tcPr>
            <w:tcW w:w="867" w:type="dxa"/>
            <w:noWrap/>
            <w:vAlign w:val="center"/>
            <w:hideMark/>
          </w:tcPr>
          <w:p w14:paraId="374A2A98"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14,213</w:t>
            </w:r>
          </w:p>
        </w:tc>
        <w:tc>
          <w:tcPr>
            <w:tcW w:w="1136" w:type="dxa"/>
            <w:noWrap/>
            <w:vAlign w:val="center"/>
            <w:hideMark/>
          </w:tcPr>
          <w:p w14:paraId="3350C83C" w14:textId="541F06F3"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75</w:t>
            </w:r>
          </w:p>
        </w:tc>
        <w:tc>
          <w:tcPr>
            <w:tcW w:w="877" w:type="dxa"/>
            <w:noWrap/>
            <w:vAlign w:val="center"/>
            <w:hideMark/>
          </w:tcPr>
          <w:p w14:paraId="3D1E766C"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11,840</w:t>
            </w:r>
          </w:p>
        </w:tc>
        <w:tc>
          <w:tcPr>
            <w:tcW w:w="867" w:type="dxa"/>
            <w:noWrap/>
            <w:vAlign w:val="center"/>
            <w:hideMark/>
          </w:tcPr>
          <w:p w14:paraId="54B1D1CB"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14,316</w:t>
            </w:r>
          </w:p>
        </w:tc>
        <w:tc>
          <w:tcPr>
            <w:tcW w:w="1136" w:type="dxa"/>
            <w:noWrap/>
            <w:vAlign w:val="center"/>
            <w:hideMark/>
          </w:tcPr>
          <w:p w14:paraId="44CA3A4E" w14:textId="2C89EB13"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83</w:t>
            </w:r>
          </w:p>
        </w:tc>
        <w:tc>
          <w:tcPr>
            <w:tcW w:w="877" w:type="dxa"/>
            <w:noWrap/>
            <w:vAlign w:val="center"/>
            <w:hideMark/>
          </w:tcPr>
          <w:p w14:paraId="1D2B88D9"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13,363</w:t>
            </w:r>
          </w:p>
        </w:tc>
        <w:tc>
          <w:tcPr>
            <w:tcW w:w="1103" w:type="dxa"/>
            <w:noWrap/>
            <w:vAlign w:val="center"/>
            <w:hideMark/>
          </w:tcPr>
          <w:p w14:paraId="2A2D9D63"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15,396</w:t>
            </w:r>
          </w:p>
        </w:tc>
        <w:tc>
          <w:tcPr>
            <w:tcW w:w="1176" w:type="dxa"/>
            <w:noWrap/>
            <w:vAlign w:val="center"/>
            <w:hideMark/>
          </w:tcPr>
          <w:p w14:paraId="32FBAD6A" w14:textId="2F9113C1"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87</w:t>
            </w:r>
          </w:p>
        </w:tc>
      </w:tr>
      <w:tr w:rsidR="00422008" w:rsidRPr="00CE058E" w14:paraId="2BCB57FB" w14:textId="77777777" w:rsidTr="00A47745">
        <w:trPr>
          <w:trHeight w:val="290"/>
          <w:jc w:val="center"/>
        </w:trPr>
        <w:tc>
          <w:tcPr>
            <w:cnfStyle w:val="001000000000" w:firstRow="0" w:lastRow="0" w:firstColumn="1" w:lastColumn="0" w:oddVBand="0" w:evenVBand="0" w:oddHBand="0" w:evenHBand="0" w:firstRowFirstColumn="0" w:firstRowLastColumn="0" w:lastRowFirstColumn="0" w:lastRowLastColumn="0"/>
            <w:tcW w:w="997" w:type="dxa"/>
            <w:noWrap/>
            <w:vAlign w:val="center"/>
            <w:hideMark/>
          </w:tcPr>
          <w:p w14:paraId="22CBDD3D" w14:textId="77777777"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WA</w:t>
            </w:r>
          </w:p>
        </w:tc>
        <w:tc>
          <w:tcPr>
            <w:tcW w:w="0" w:type="dxa"/>
            <w:noWrap/>
            <w:vAlign w:val="center"/>
            <w:hideMark/>
          </w:tcPr>
          <w:p w14:paraId="01F328E2"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12,151</w:t>
            </w:r>
          </w:p>
        </w:tc>
        <w:tc>
          <w:tcPr>
            <w:tcW w:w="0" w:type="dxa"/>
            <w:noWrap/>
            <w:vAlign w:val="center"/>
            <w:hideMark/>
          </w:tcPr>
          <w:p w14:paraId="687410A9"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12,664</w:t>
            </w:r>
          </w:p>
        </w:tc>
        <w:tc>
          <w:tcPr>
            <w:tcW w:w="0" w:type="dxa"/>
            <w:noWrap/>
            <w:vAlign w:val="center"/>
            <w:hideMark/>
          </w:tcPr>
          <w:p w14:paraId="47B003D4" w14:textId="07C244AE"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96</w:t>
            </w:r>
          </w:p>
        </w:tc>
        <w:tc>
          <w:tcPr>
            <w:tcW w:w="877" w:type="dxa"/>
            <w:noWrap/>
            <w:vAlign w:val="center"/>
            <w:hideMark/>
          </w:tcPr>
          <w:p w14:paraId="468FC417"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12,396</w:t>
            </w:r>
          </w:p>
        </w:tc>
        <w:tc>
          <w:tcPr>
            <w:tcW w:w="867" w:type="dxa"/>
            <w:noWrap/>
            <w:vAlign w:val="center"/>
            <w:hideMark/>
          </w:tcPr>
          <w:p w14:paraId="14628BA9"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12,857</w:t>
            </w:r>
          </w:p>
        </w:tc>
        <w:tc>
          <w:tcPr>
            <w:tcW w:w="0" w:type="dxa"/>
            <w:noWrap/>
            <w:vAlign w:val="center"/>
            <w:hideMark/>
          </w:tcPr>
          <w:p w14:paraId="23949C0D" w14:textId="13D8D54E"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96</w:t>
            </w:r>
          </w:p>
        </w:tc>
        <w:tc>
          <w:tcPr>
            <w:tcW w:w="0" w:type="dxa"/>
            <w:noWrap/>
            <w:vAlign w:val="center"/>
            <w:hideMark/>
          </w:tcPr>
          <w:p w14:paraId="17336768"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11,914</w:t>
            </w:r>
          </w:p>
        </w:tc>
        <w:tc>
          <w:tcPr>
            <w:tcW w:w="0" w:type="dxa"/>
            <w:noWrap/>
            <w:vAlign w:val="center"/>
            <w:hideMark/>
          </w:tcPr>
          <w:p w14:paraId="2A12BB9A"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12,365</w:t>
            </w:r>
          </w:p>
        </w:tc>
        <w:tc>
          <w:tcPr>
            <w:tcW w:w="0" w:type="dxa"/>
            <w:noWrap/>
            <w:vAlign w:val="center"/>
            <w:hideMark/>
          </w:tcPr>
          <w:p w14:paraId="2BB3CCFA" w14:textId="14F2E9CE"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96</w:t>
            </w:r>
          </w:p>
        </w:tc>
      </w:tr>
      <w:tr w:rsidR="00422008" w:rsidRPr="00CE058E" w14:paraId="6F4D0575" w14:textId="77777777" w:rsidTr="0042200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997" w:type="dxa"/>
            <w:noWrap/>
            <w:vAlign w:val="center"/>
            <w:hideMark/>
          </w:tcPr>
          <w:p w14:paraId="32FB04C3" w14:textId="6BF5EB0A"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T</w:t>
            </w:r>
            <w:r w:rsidR="00B85EAD" w:rsidRPr="00CE058E">
              <w:rPr>
                <w:rFonts w:eastAsia="Times New Roman" w:cs="Arial"/>
                <w:color w:val="auto"/>
                <w:sz w:val="18"/>
                <w:szCs w:val="18"/>
                <w:lang w:eastAsia="en-AU"/>
              </w:rPr>
              <w:t>as</w:t>
            </w:r>
          </w:p>
        </w:tc>
        <w:tc>
          <w:tcPr>
            <w:tcW w:w="877" w:type="dxa"/>
            <w:noWrap/>
            <w:vAlign w:val="center"/>
            <w:hideMark/>
          </w:tcPr>
          <w:p w14:paraId="62F278BE"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2,671</w:t>
            </w:r>
          </w:p>
        </w:tc>
        <w:tc>
          <w:tcPr>
            <w:tcW w:w="867" w:type="dxa"/>
            <w:noWrap/>
            <w:vAlign w:val="center"/>
            <w:hideMark/>
          </w:tcPr>
          <w:p w14:paraId="0B0EEAF1"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3,571</w:t>
            </w:r>
          </w:p>
        </w:tc>
        <w:tc>
          <w:tcPr>
            <w:tcW w:w="1136" w:type="dxa"/>
            <w:noWrap/>
            <w:vAlign w:val="center"/>
            <w:hideMark/>
          </w:tcPr>
          <w:p w14:paraId="5657D1D4" w14:textId="147DA72E"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75</w:t>
            </w:r>
          </w:p>
        </w:tc>
        <w:tc>
          <w:tcPr>
            <w:tcW w:w="877" w:type="dxa"/>
            <w:noWrap/>
            <w:vAlign w:val="center"/>
            <w:hideMark/>
          </w:tcPr>
          <w:p w14:paraId="0219874A"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2,587</w:t>
            </w:r>
          </w:p>
        </w:tc>
        <w:tc>
          <w:tcPr>
            <w:tcW w:w="867" w:type="dxa"/>
            <w:noWrap/>
            <w:vAlign w:val="center"/>
            <w:hideMark/>
          </w:tcPr>
          <w:p w14:paraId="2867CA1F"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3,528</w:t>
            </w:r>
          </w:p>
        </w:tc>
        <w:tc>
          <w:tcPr>
            <w:tcW w:w="1136" w:type="dxa"/>
            <w:noWrap/>
            <w:vAlign w:val="center"/>
            <w:hideMark/>
          </w:tcPr>
          <w:p w14:paraId="30C1CF7F" w14:textId="590B3041"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73</w:t>
            </w:r>
          </w:p>
        </w:tc>
        <w:tc>
          <w:tcPr>
            <w:tcW w:w="877" w:type="dxa"/>
            <w:noWrap/>
            <w:vAlign w:val="center"/>
            <w:hideMark/>
          </w:tcPr>
          <w:p w14:paraId="16420984"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2,593</w:t>
            </w:r>
          </w:p>
        </w:tc>
        <w:tc>
          <w:tcPr>
            <w:tcW w:w="1103" w:type="dxa"/>
            <w:noWrap/>
            <w:vAlign w:val="center"/>
            <w:hideMark/>
          </w:tcPr>
          <w:p w14:paraId="7E73C047"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3,605</w:t>
            </w:r>
          </w:p>
        </w:tc>
        <w:tc>
          <w:tcPr>
            <w:tcW w:w="1176" w:type="dxa"/>
            <w:noWrap/>
            <w:vAlign w:val="center"/>
            <w:hideMark/>
          </w:tcPr>
          <w:p w14:paraId="39A44DE4" w14:textId="51B9DF38"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72</w:t>
            </w:r>
          </w:p>
        </w:tc>
      </w:tr>
      <w:tr w:rsidR="00422008" w:rsidRPr="00CE058E" w14:paraId="64A77279" w14:textId="77777777" w:rsidTr="00A47745">
        <w:trPr>
          <w:trHeight w:val="290"/>
          <w:jc w:val="center"/>
        </w:trPr>
        <w:tc>
          <w:tcPr>
            <w:cnfStyle w:val="001000000000" w:firstRow="0" w:lastRow="0" w:firstColumn="1" w:lastColumn="0" w:oddVBand="0" w:evenVBand="0" w:oddHBand="0" w:evenHBand="0" w:firstRowFirstColumn="0" w:firstRowLastColumn="0" w:lastRowFirstColumn="0" w:lastRowLastColumn="0"/>
            <w:tcW w:w="997" w:type="dxa"/>
            <w:noWrap/>
            <w:vAlign w:val="center"/>
            <w:hideMark/>
          </w:tcPr>
          <w:p w14:paraId="78D74D57" w14:textId="77777777"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NT</w:t>
            </w:r>
          </w:p>
        </w:tc>
        <w:tc>
          <w:tcPr>
            <w:tcW w:w="0" w:type="dxa"/>
            <w:noWrap/>
            <w:vAlign w:val="center"/>
            <w:hideMark/>
          </w:tcPr>
          <w:p w14:paraId="76BEFBE9"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863</w:t>
            </w:r>
          </w:p>
        </w:tc>
        <w:tc>
          <w:tcPr>
            <w:tcW w:w="0" w:type="dxa"/>
            <w:noWrap/>
            <w:vAlign w:val="center"/>
            <w:hideMark/>
          </w:tcPr>
          <w:p w14:paraId="17D31CD9"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1,264</w:t>
            </w:r>
          </w:p>
        </w:tc>
        <w:tc>
          <w:tcPr>
            <w:tcW w:w="0" w:type="dxa"/>
            <w:noWrap/>
            <w:vAlign w:val="center"/>
            <w:hideMark/>
          </w:tcPr>
          <w:p w14:paraId="19066669" w14:textId="378A0A90"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68</w:t>
            </w:r>
          </w:p>
        </w:tc>
        <w:tc>
          <w:tcPr>
            <w:tcW w:w="877" w:type="dxa"/>
            <w:noWrap/>
            <w:vAlign w:val="center"/>
            <w:hideMark/>
          </w:tcPr>
          <w:p w14:paraId="259378C0"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765</w:t>
            </w:r>
          </w:p>
        </w:tc>
        <w:tc>
          <w:tcPr>
            <w:tcW w:w="867" w:type="dxa"/>
            <w:noWrap/>
            <w:vAlign w:val="center"/>
            <w:hideMark/>
          </w:tcPr>
          <w:p w14:paraId="258C36D7"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1,209</w:t>
            </w:r>
          </w:p>
        </w:tc>
        <w:tc>
          <w:tcPr>
            <w:tcW w:w="0" w:type="dxa"/>
            <w:noWrap/>
            <w:vAlign w:val="center"/>
            <w:hideMark/>
          </w:tcPr>
          <w:p w14:paraId="0F20AED3" w14:textId="55877413"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63</w:t>
            </w:r>
          </w:p>
        </w:tc>
        <w:tc>
          <w:tcPr>
            <w:tcW w:w="0" w:type="dxa"/>
            <w:noWrap/>
            <w:vAlign w:val="center"/>
            <w:hideMark/>
          </w:tcPr>
          <w:p w14:paraId="73DF8A86"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900</w:t>
            </w:r>
          </w:p>
        </w:tc>
        <w:tc>
          <w:tcPr>
            <w:tcW w:w="0" w:type="dxa"/>
            <w:noWrap/>
            <w:vAlign w:val="center"/>
            <w:hideMark/>
          </w:tcPr>
          <w:p w14:paraId="61D22785"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1,341</w:t>
            </w:r>
          </w:p>
        </w:tc>
        <w:tc>
          <w:tcPr>
            <w:tcW w:w="0" w:type="dxa"/>
            <w:noWrap/>
            <w:vAlign w:val="center"/>
            <w:hideMark/>
          </w:tcPr>
          <w:p w14:paraId="5643086F" w14:textId="29CD050A"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67</w:t>
            </w:r>
          </w:p>
        </w:tc>
      </w:tr>
      <w:tr w:rsidR="00422008" w:rsidRPr="00CE058E" w14:paraId="2C5C3705" w14:textId="77777777" w:rsidTr="0042200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997" w:type="dxa"/>
            <w:noWrap/>
            <w:vAlign w:val="center"/>
            <w:hideMark/>
          </w:tcPr>
          <w:p w14:paraId="06DF783B" w14:textId="77777777"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ACT</w:t>
            </w:r>
          </w:p>
        </w:tc>
        <w:tc>
          <w:tcPr>
            <w:tcW w:w="877" w:type="dxa"/>
            <w:noWrap/>
            <w:vAlign w:val="center"/>
            <w:hideMark/>
          </w:tcPr>
          <w:p w14:paraId="461434F8"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5,143</w:t>
            </w:r>
          </w:p>
        </w:tc>
        <w:tc>
          <w:tcPr>
            <w:tcW w:w="867" w:type="dxa"/>
            <w:noWrap/>
            <w:vAlign w:val="center"/>
            <w:hideMark/>
          </w:tcPr>
          <w:p w14:paraId="1040D727"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5,181</w:t>
            </w:r>
          </w:p>
        </w:tc>
        <w:tc>
          <w:tcPr>
            <w:tcW w:w="1136" w:type="dxa"/>
            <w:noWrap/>
            <w:vAlign w:val="center"/>
            <w:hideMark/>
          </w:tcPr>
          <w:p w14:paraId="228AAA78" w14:textId="622FDF6E"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99</w:t>
            </w:r>
          </w:p>
        </w:tc>
        <w:tc>
          <w:tcPr>
            <w:tcW w:w="877" w:type="dxa"/>
            <w:noWrap/>
            <w:vAlign w:val="center"/>
            <w:hideMark/>
          </w:tcPr>
          <w:p w14:paraId="3CBA7305"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5,247</w:t>
            </w:r>
          </w:p>
        </w:tc>
        <w:tc>
          <w:tcPr>
            <w:tcW w:w="867" w:type="dxa"/>
            <w:noWrap/>
            <w:vAlign w:val="center"/>
            <w:hideMark/>
          </w:tcPr>
          <w:p w14:paraId="57DB4DD9"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5,248</w:t>
            </w:r>
          </w:p>
        </w:tc>
        <w:tc>
          <w:tcPr>
            <w:tcW w:w="1136" w:type="dxa"/>
            <w:noWrap/>
            <w:vAlign w:val="center"/>
            <w:hideMark/>
          </w:tcPr>
          <w:p w14:paraId="13465F2B" w14:textId="0CE3A08E"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100</w:t>
            </w:r>
          </w:p>
        </w:tc>
        <w:tc>
          <w:tcPr>
            <w:tcW w:w="877" w:type="dxa"/>
            <w:noWrap/>
            <w:vAlign w:val="center"/>
            <w:hideMark/>
          </w:tcPr>
          <w:p w14:paraId="0DBDA63A"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4,731</w:t>
            </w:r>
          </w:p>
        </w:tc>
        <w:tc>
          <w:tcPr>
            <w:tcW w:w="1103" w:type="dxa"/>
            <w:noWrap/>
            <w:vAlign w:val="center"/>
            <w:hideMark/>
          </w:tcPr>
          <w:p w14:paraId="3F9EBBFD"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4,731</w:t>
            </w:r>
          </w:p>
        </w:tc>
        <w:tc>
          <w:tcPr>
            <w:tcW w:w="1176" w:type="dxa"/>
            <w:noWrap/>
            <w:vAlign w:val="center"/>
            <w:hideMark/>
          </w:tcPr>
          <w:p w14:paraId="479EA63C" w14:textId="7DBF781E"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100</w:t>
            </w:r>
          </w:p>
        </w:tc>
      </w:tr>
      <w:tr w:rsidR="00422008" w:rsidRPr="00CE058E" w14:paraId="43649E42" w14:textId="77777777" w:rsidTr="00A47745">
        <w:trPr>
          <w:trHeight w:val="290"/>
          <w:jc w:val="center"/>
        </w:trPr>
        <w:tc>
          <w:tcPr>
            <w:cnfStyle w:val="001000000000" w:firstRow="0" w:lastRow="0" w:firstColumn="1" w:lastColumn="0" w:oddVBand="0" w:evenVBand="0" w:oddHBand="0" w:evenHBand="0" w:firstRowFirstColumn="0" w:firstRowLastColumn="0" w:lastRowFirstColumn="0" w:lastRowLastColumn="0"/>
            <w:tcW w:w="997" w:type="dxa"/>
            <w:noWrap/>
            <w:vAlign w:val="center"/>
            <w:hideMark/>
          </w:tcPr>
          <w:p w14:paraId="68B791E2" w14:textId="77777777" w:rsidR="00E07B55" w:rsidRPr="00CE058E" w:rsidRDefault="00E07B55" w:rsidP="00B85EAD">
            <w:pPr>
              <w:spacing w:line="240" w:lineRule="auto"/>
              <w:jc w:val="center"/>
              <w:rPr>
                <w:rFonts w:eastAsia="Times New Roman" w:cs="Arial"/>
                <w:b w:val="0"/>
                <w:bCs w:val="0"/>
                <w:color w:val="auto"/>
                <w:sz w:val="18"/>
                <w:szCs w:val="18"/>
                <w:lang w:eastAsia="en-AU"/>
              </w:rPr>
            </w:pPr>
            <w:r w:rsidRPr="00CE058E">
              <w:rPr>
                <w:rFonts w:eastAsia="Times New Roman" w:cs="Arial"/>
                <w:color w:val="auto"/>
                <w:sz w:val="18"/>
                <w:szCs w:val="18"/>
                <w:lang w:eastAsia="en-AU"/>
              </w:rPr>
              <w:t>National</w:t>
            </w:r>
          </w:p>
        </w:tc>
        <w:tc>
          <w:tcPr>
            <w:tcW w:w="0" w:type="dxa"/>
            <w:noWrap/>
            <w:vAlign w:val="center"/>
            <w:hideMark/>
          </w:tcPr>
          <w:p w14:paraId="6564677C"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152,386</w:t>
            </w:r>
          </w:p>
        </w:tc>
        <w:tc>
          <w:tcPr>
            <w:tcW w:w="0" w:type="dxa"/>
            <w:noWrap/>
            <w:vAlign w:val="center"/>
            <w:hideMark/>
          </w:tcPr>
          <w:p w14:paraId="57E2FED3"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199,461</w:t>
            </w:r>
          </w:p>
        </w:tc>
        <w:tc>
          <w:tcPr>
            <w:tcW w:w="0" w:type="dxa"/>
            <w:noWrap/>
            <w:vAlign w:val="center"/>
            <w:hideMark/>
          </w:tcPr>
          <w:p w14:paraId="3A56CB61" w14:textId="515F7CB5"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76</w:t>
            </w:r>
          </w:p>
        </w:tc>
        <w:tc>
          <w:tcPr>
            <w:tcW w:w="877" w:type="dxa"/>
            <w:noWrap/>
            <w:vAlign w:val="center"/>
            <w:hideMark/>
          </w:tcPr>
          <w:p w14:paraId="2EC52334"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148,487</w:t>
            </w:r>
          </w:p>
        </w:tc>
        <w:tc>
          <w:tcPr>
            <w:tcW w:w="867" w:type="dxa"/>
            <w:noWrap/>
            <w:vAlign w:val="center"/>
            <w:hideMark/>
          </w:tcPr>
          <w:p w14:paraId="5BE448FF"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195,803</w:t>
            </w:r>
          </w:p>
        </w:tc>
        <w:tc>
          <w:tcPr>
            <w:tcW w:w="0" w:type="dxa"/>
            <w:noWrap/>
            <w:vAlign w:val="center"/>
            <w:hideMark/>
          </w:tcPr>
          <w:p w14:paraId="5FD146EF" w14:textId="68189B82"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76</w:t>
            </w:r>
          </w:p>
        </w:tc>
        <w:tc>
          <w:tcPr>
            <w:tcW w:w="0" w:type="dxa"/>
            <w:noWrap/>
            <w:vAlign w:val="center"/>
            <w:hideMark/>
          </w:tcPr>
          <w:p w14:paraId="7A9B3907" w14:textId="094AAA78" w:rsidR="00E07B55" w:rsidRPr="00CE058E" w:rsidRDefault="00EC446A"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151,706</w:t>
            </w:r>
          </w:p>
        </w:tc>
        <w:tc>
          <w:tcPr>
            <w:tcW w:w="0" w:type="dxa"/>
            <w:noWrap/>
            <w:vAlign w:val="center"/>
            <w:hideMark/>
          </w:tcPr>
          <w:p w14:paraId="2FE7CB90"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199,812</w:t>
            </w:r>
          </w:p>
        </w:tc>
        <w:tc>
          <w:tcPr>
            <w:tcW w:w="0" w:type="dxa"/>
            <w:noWrap/>
            <w:vAlign w:val="center"/>
            <w:hideMark/>
          </w:tcPr>
          <w:p w14:paraId="6A791D44" w14:textId="69A085EA"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76</w:t>
            </w:r>
          </w:p>
        </w:tc>
      </w:tr>
    </w:tbl>
    <w:p w14:paraId="6685B8C0" w14:textId="12B312C7" w:rsidR="00B200A6" w:rsidRPr="00CE058E" w:rsidRDefault="00DA6489" w:rsidP="00A47745">
      <w:pPr>
        <w:spacing w:before="160"/>
        <w:rPr>
          <w:rFonts w:cs="Arial"/>
          <w:color w:val="auto"/>
        </w:rPr>
      </w:pPr>
      <w:r w:rsidRPr="00CE058E">
        <w:rPr>
          <w:rFonts w:cs="Arial"/>
          <w:color w:val="auto"/>
        </w:rPr>
        <w:t xml:space="preserve">Table 8 shows the number of linked NHCDC records as a proportion of the </w:t>
      </w:r>
      <w:r w:rsidR="00E216AA" w:rsidRPr="00CE058E">
        <w:rPr>
          <w:rFonts w:cs="Arial"/>
          <w:color w:val="auto"/>
        </w:rPr>
        <w:t xml:space="preserve">admitted </w:t>
      </w:r>
      <w:r w:rsidRPr="00CE058E">
        <w:rPr>
          <w:rFonts w:cs="Arial"/>
          <w:color w:val="auto"/>
        </w:rPr>
        <w:t>subacute phase activity by jurisdiction from 2019-20 to 2021-22. The</w:t>
      </w:r>
      <w:r w:rsidR="00901630" w:rsidRPr="00CE058E">
        <w:rPr>
          <w:rFonts w:cs="Arial"/>
          <w:color w:val="auto"/>
        </w:rPr>
        <w:t xml:space="preserve"> national</w:t>
      </w:r>
      <w:r w:rsidRPr="00CE058E">
        <w:rPr>
          <w:rFonts w:cs="Arial"/>
          <w:color w:val="auto"/>
        </w:rPr>
        <w:t xml:space="preserve"> linked NHCDC phase records increased by 4,249 (or 7</w:t>
      </w:r>
      <w:r w:rsidR="00897090">
        <w:rPr>
          <w:rFonts w:cs="Arial"/>
          <w:color w:val="auto"/>
        </w:rPr>
        <w:t>%</w:t>
      </w:r>
      <w:r w:rsidRPr="00CE058E">
        <w:rPr>
          <w:rFonts w:cs="Arial"/>
          <w:color w:val="auto"/>
        </w:rPr>
        <w:t>) and activity decreased by 1,651 (or 2</w:t>
      </w:r>
      <w:r w:rsidR="00897090">
        <w:rPr>
          <w:rFonts w:cs="Arial"/>
          <w:color w:val="auto"/>
        </w:rPr>
        <w:t>%</w:t>
      </w:r>
      <w:r w:rsidRPr="00CE058E">
        <w:rPr>
          <w:rFonts w:cs="Arial"/>
          <w:color w:val="auto"/>
        </w:rPr>
        <w:t>) from 2019-20 to 2021-22. Nationally, the linked NHCDC records as a proportion of activity</w:t>
      </w:r>
      <w:r w:rsidR="002C1669" w:rsidRPr="00CE058E">
        <w:rPr>
          <w:rFonts w:cs="Arial"/>
          <w:color w:val="auto"/>
        </w:rPr>
        <w:t xml:space="preserve"> has increased 7</w:t>
      </w:r>
      <w:r w:rsidR="00897090">
        <w:rPr>
          <w:rFonts w:cs="Arial"/>
          <w:color w:val="auto"/>
        </w:rPr>
        <w:t>%</w:t>
      </w:r>
      <w:r w:rsidR="002C1669" w:rsidRPr="00CE058E">
        <w:rPr>
          <w:rFonts w:cs="Arial"/>
          <w:color w:val="auto"/>
        </w:rPr>
        <w:t xml:space="preserve"> from 75</w:t>
      </w:r>
      <w:r w:rsidR="00897090">
        <w:rPr>
          <w:rFonts w:cs="Arial"/>
          <w:color w:val="auto"/>
        </w:rPr>
        <w:t>%</w:t>
      </w:r>
      <w:r w:rsidR="002C1669" w:rsidRPr="00CE058E">
        <w:rPr>
          <w:rFonts w:cs="Arial"/>
          <w:color w:val="auto"/>
        </w:rPr>
        <w:t xml:space="preserve"> in 2019-20 to 82</w:t>
      </w:r>
      <w:r w:rsidR="00897090">
        <w:rPr>
          <w:rFonts w:cs="Arial"/>
          <w:color w:val="auto"/>
        </w:rPr>
        <w:t>%</w:t>
      </w:r>
      <w:r w:rsidR="002C1669" w:rsidRPr="00CE058E">
        <w:rPr>
          <w:rFonts w:cs="Arial"/>
          <w:color w:val="auto"/>
        </w:rPr>
        <w:t xml:space="preserve"> in 2021-22.</w:t>
      </w:r>
    </w:p>
    <w:p w14:paraId="06181AAE" w14:textId="7AE41682" w:rsidR="00E07B55" w:rsidRPr="00CE058E" w:rsidRDefault="00C53B6A" w:rsidP="00B42434">
      <w:pPr>
        <w:pStyle w:val="TableFigureheading"/>
      </w:pPr>
      <w:bookmarkStart w:id="215" w:name="_Toc149650909"/>
      <w:bookmarkStart w:id="216" w:name="_Toc151370034"/>
      <w:r w:rsidRPr="00CE058E">
        <w:t xml:space="preserve">Table </w:t>
      </w:r>
      <w:r>
        <w:fldChar w:fldCharType="begin"/>
      </w:r>
      <w:r>
        <w:instrText xml:space="preserve"> SEQ Table \* ARABIC </w:instrText>
      </w:r>
      <w:r>
        <w:fldChar w:fldCharType="separate"/>
      </w:r>
      <w:r w:rsidR="00B42434">
        <w:rPr>
          <w:noProof/>
        </w:rPr>
        <w:t>8</w:t>
      </w:r>
      <w:r>
        <w:rPr>
          <w:noProof/>
        </w:rPr>
        <w:fldChar w:fldCharType="end"/>
      </w:r>
      <w:r w:rsidR="00E07B55" w:rsidRPr="00CE058E">
        <w:t xml:space="preserve">: </w:t>
      </w:r>
      <w:r w:rsidR="00B67CE3" w:rsidRPr="00CE058E">
        <w:t>Proportion of linked NHCDC records to phase activity, 2019-20 to 2021-22</w:t>
      </w:r>
      <w:bookmarkEnd w:id="215"/>
      <w:bookmarkEnd w:id="216"/>
    </w:p>
    <w:tbl>
      <w:tblPr>
        <w:tblStyle w:val="GridTable4-Accent2"/>
        <w:tblW w:w="9940" w:type="dxa"/>
        <w:jc w:val="center"/>
        <w:tblLook w:val="04A0" w:firstRow="1" w:lastRow="0" w:firstColumn="1" w:lastColumn="0" w:noHBand="0" w:noVBand="1"/>
      </w:tblPr>
      <w:tblGrid>
        <w:gridCol w:w="927"/>
        <w:gridCol w:w="877"/>
        <w:gridCol w:w="867"/>
        <w:gridCol w:w="1136"/>
        <w:gridCol w:w="896"/>
        <w:gridCol w:w="1054"/>
        <w:gridCol w:w="1136"/>
        <w:gridCol w:w="954"/>
        <w:gridCol w:w="935"/>
        <w:gridCol w:w="1188"/>
      </w:tblGrid>
      <w:tr w:rsidR="00037328" w:rsidRPr="00CE058E" w14:paraId="2454B6E9" w14:textId="77777777" w:rsidTr="00A47745">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927" w:type="dxa"/>
            <w:vMerge w:val="restart"/>
            <w:tcBorders>
              <w:right w:val="single" w:sz="4" w:space="0" w:color="FFFFFF" w:themeColor="background2"/>
            </w:tcBorders>
            <w:vAlign w:val="center"/>
          </w:tcPr>
          <w:p w14:paraId="65C42A60" w14:textId="472D8E94" w:rsidR="00E07B55" w:rsidRPr="00CE058E" w:rsidRDefault="00E07B55" w:rsidP="00B85EAD">
            <w:pPr>
              <w:spacing w:line="240" w:lineRule="auto"/>
              <w:jc w:val="center"/>
              <w:rPr>
                <w:rFonts w:eastAsia="Times New Roman" w:cs="Arial"/>
                <w:b w:val="0"/>
                <w:bCs w:val="0"/>
                <w:color w:val="FFFFFF"/>
                <w:sz w:val="18"/>
                <w:szCs w:val="18"/>
                <w:lang w:eastAsia="en-AU"/>
              </w:rPr>
            </w:pPr>
          </w:p>
        </w:tc>
        <w:tc>
          <w:tcPr>
            <w:tcW w:w="285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319A8250" w14:textId="77777777" w:rsidR="00E07B55" w:rsidRPr="00CE058E" w:rsidRDefault="00E07B55" w:rsidP="00B85EA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2019-20</w:t>
            </w:r>
          </w:p>
        </w:tc>
        <w:tc>
          <w:tcPr>
            <w:tcW w:w="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0F85FDF3" w14:textId="77777777" w:rsidR="00E07B55" w:rsidRPr="00CE058E" w:rsidRDefault="00E07B55" w:rsidP="00B85EA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2020-21</w:t>
            </w:r>
          </w:p>
        </w:tc>
        <w:tc>
          <w:tcPr>
            <w:tcW w:w="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226C0050" w14:textId="77777777" w:rsidR="00E07B55" w:rsidRPr="00CE058E" w:rsidRDefault="00E07B55" w:rsidP="00B85EA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2021-22</w:t>
            </w:r>
          </w:p>
        </w:tc>
      </w:tr>
      <w:tr w:rsidR="00F46C13" w:rsidRPr="00CE058E" w14:paraId="4F4F3543" w14:textId="77777777" w:rsidTr="00745107">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927" w:type="dxa"/>
            <w:vMerge/>
            <w:tcBorders>
              <w:right w:val="single" w:sz="4" w:space="0" w:color="FFFFFF" w:themeColor="background2"/>
            </w:tcBorders>
            <w:vAlign w:val="center"/>
          </w:tcPr>
          <w:p w14:paraId="60F9C4CF" w14:textId="77777777" w:rsidR="00E07B55" w:rsidRPr="00CE058E" w:rsidRDefault="00E07B55" w:rsidP="00B85EAD">
            <w:pPr>
              <w:spacing w:line="240" w:lineRule="auto"/>
              <w:jc w:val="center"/>
              <w:rPr>
                <w:rFonts w:eastAsia="Times New Roman" w:cs="Arial"/>
                <w:b w:val="0"/>
                <w:bCs w:val="0"/>
                <w:color w:val="FFFFFF"/>
                <w:sz w:val="18"/>
                <w:szCs w:val="18"/>
                <w:lang w:eastAsia="en-AU"/>
              </w:rPr>
            </w:pPr>
          </w:p>
        </w:tc>
        <w:tc>
          <w:tcPr>
            <w:tcW w:w="87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690033EE" w14:textId="580E41F9" w:rsidR="00E07B55" w:rsidRPr="00CE058E" w:rsidRDefault="00416847"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 xml:space="preserve">Linked </w:t>
            </w:r>
            <w:r w:rsidR="00E07B55" w:rsidRPr="00CE058E">
              <w:rPr>
                <w:rFonts w:eastAsia="Times New Roman" w:cs="Arial"/>
                <w:b/>
                <w:bCs/>
                <w:color w:val="FFFFFF"/>
                <w:sz w:val="18"/>
                <w:szCs w:val="18"/>
                <w:lang w:eastAsia="en-AU"/>
              </w:rPr>
              <w:t>NHCDC records</w:t>
            </w:r>
          </w:p>
        </w:tc>
        <w:tc>
          <w:tcPr>
            <w:tcW w:w="83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47D51F88" w14:textId="1B407E9A" w:rsidR="00E07B55" w:rsidRPr="00CE058E" w:rsidRDefault="00C33282"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Pr>
                <w:rFonts w:eastAsia="Times New Roman" w:cs="Arial"/>
                <w:b/>
                <w:bCs/>
                <w:color w:val="FFFFFF"/>
                <w:sz w:val="18"/>
                <w:szCs w:val="18"/>
                <w:lang w:eastAsia="en-AU"/>
              </w:rPr>
              <w:t>A</w:t>
            </w:r>
            <w:r w:rsidR="00E07B55" w:rsidRPr="00CE058E">
              <w:rPr>
                <w:rFonts w:eastAsia="Times New Roman" w:cs="Arial"/>
                <w:b/>
                <w:bCs/>
                <w:color w:val="FFFFFF"/>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562777BA" w14:textId="657A72D4" w:rsidR="00E07B55" w:rsidRPr="00CE058E" w:rsidRDefault="00037328"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Proportion</w:t>
            </w:r>
            <w:r w:rsidR="001E2FEF" w:rsidRPr="00CE058E">
              <w:rPr>
                <w:rFonts w:eastAsia="Times New Roman" w:cs="Arial"/>
                <w:b/>
                <w:bCs/>
                <w:color w:val="FFFFFF"/>
                <w:sz w:val="18"/>
                <w:szCs w:val="18"/>
                <w:lang w:eastAsia="en-AU"/>
              </w:rPr>
              <w:t xml:space="preserve"> (%)</w:t>
            </w:r>
          </w:p>
        </w:tc>
        <w:tc>
          <w:tcPr>
            <w:tcW w:w="89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4328F3CF" w14:textId="3605CDD1" w:rsidR="00E07B55" w:rsidRPr="00CE058E" w:rsidRDefault="00416847"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 xml:space="preserve">Linked </w:t>
            </w:r>
            <w:r w:rsidR="00E07B55" w:rsidRPr="00CE058E">
              <w:rPr>
                <w:rFonts w:eastAsia="Times New Roman" w:cs="Arial"/>
                <w:b/>
                <w:bCs/>
                <w:color w:val="FFFFFF"/>
                <w:sz w:val="18"/>
                <w:szCs w:val="18"/>
                <w:lang w:eastAsia="en-AU"/>
              </w:rPr>
              <w:t>NHCDC records</w:t>
            </w:r>
          </w:p>
        </w:tc>
        <w:tc>
          <w:tcPr>
            <w:tcW w:w="1054"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151E32DB" w14:textId="144599B6" w:rsidR="00E07B55" w:rsidRPr="00CE058E" w:rsidRDefault="00C33282"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Pr>
                <w:rFonts w:eastAsia="Times New Roman" w:cs="Arial"/>
                <w:b/>
                <w:bCs/>
                <w:color w:val="FFFFFF"/>
                <w:sz w:val="18"/>
                <w:szCs w:val="18"/>
                <w:lang w:eastAsia="en-AU"/>
              </w:rPr>
              <w:t>A</w:t>
            </w:r>
            <w:r w:rsidR="00E07B55" w:rsidRPr="00CE058E">
              <w:rPr>
                <w:rFonts w:eastAsia="Times New Roman" w:cs="Arial"/>
                <w:b/>
                <w:bCs/>
                <w:color w:val="FFFFFF"/>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4291A931" w14:textId="2F48C0C4" w:rsidR="00E07B55" w:rsidRPr="00CE058E" w:rsidRDefault="00037328"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Proportion</w:t>
            </w:r>
            <w:r w:rsidR="001E2FEF" w:rsidRPr="00CE058E">
              <w:rPr>
                <w:rFonts w:eastAsia="Times New Roman" w:cs="Arial"/>
                <w:b/>
                <w:bCs/>
                <w:color w:val="FFFFFF"/>
                <w:sz w:val="18"/>
                <w:szCs w:val="18"/>
                <w:lang w:eastAsia="en-AU"/>
              </w:rPr>
              <w:t xml:space="preserve"> (%)</w:t>
            </w:r>
          </w:p>
        </w:tc>
        <w:tc>
          <w:tcPr>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69148807" w14:textId="17B59508" w:rsidR="00E07B55" w:rsidRPr="00CE058E" w:rsidRDefault="00416847"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 xml:space="preserve">Linked </w:t>
            </w:r>
            <w:r w:rsidR="00E07B55" w:rsidRPr="00CE058E">
              <w:rPr>
                <w:rFonts w:eastAsia="Times New Roman" w:cs="Arial"/>
                <w:b/>
                <w:bCs/>
                <w:color w:val="FFFFFF"/>
                <w:sz w:val="18"/>
                <w:szCs w:val="18"/>
                <w:lang w:eastAsia="en-AU"/>
              </w:rPr>
              <w:t>NHCDC records</w:t>
            </w:r>
          </w:p>
        </w:tc>
        <w:tc>
          <w:tcPr>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53B35C78" w14:textId="4D26A4B2" w:rsidR="00E07B55" w:rsidRPr="00CE058E" w:rsidRDefault="00C33282"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Pr>
                <w:rFonts w:eastAsia="Times New Roman" w:cs="Arial"/>
                <w:b/>
                <w:bCs/>
                <w:color w:val="FFFFFF"/>
                <w:sz w:val="18"/>
                <w:szCs w:val="18"/>
                <w:lang w:eastAsia="en-AU"/>
              </w:rPr>
              <w:t>A</w:t>
            </w:r>
            <w:r w:rsidR="00E07B55" w:rsidRPr="00CE058E">
              <w:rPr>
                <w:rFonts w:eastAsia="Times New Roman" w:cs="Arial"/>
                <w:b/>
                <w:bCs/>
                <w:color w:val="FFFFFF"/>
                <w:sz w:val="18"/>
                <w:szCs w:val="18"/>
                <w:lang w:eastAsia="en-AU"/>
              </w:rPr>
              <w:t>ctivity</w:t>
            </w:r>
          </w:p>
        </w:tc>
        <w:tc>
          <w:tcPr>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22EF3EF6" w14:textId="59606CF2" w:rsidR="00E07B55" w:rsidRPr="00CE058E" w:rsidRDefault="00037328"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Proportion</w:t>
            </w:r>
            <w:r w:rsidR="001E2FEF" w:rsidRPr="00CE058E">
              <w:rPr>
                <w:rFonts w:eastAsia="Times New Roman" w:cs="Arial"/>
                <w:b/>
                <w:bCs/>
                <w:color w:val="FFFFFF"/>
                <w:sz w:val="18"/>
                <w:szCs w:val="18"/>
                <w:lang w:eastAsia="en-AU"/>
              </w:rPr>
              <w:t xml:space="preserve"> (%)</w:t>
            </w:r>
          </w:p>
        </w:tc>
      </w:tr>
      <w:tr w:rsidR="00070481" w:rsidRPr="00CE058E" w14:paraId="1CC21F75" w14:textId="77777777" w:rsidTr="00A47745">
        <w:trPr>
          <w:trHeight w:val="319"/>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14:paraId="2CBB39A3" w14:textId="77777777"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NSW</w:t>
            </w:r>
          </w:p>
        </w:tc>
        <w:tc>
          <w:tcPr>
            <w:tcW w:w="877" w:type="dxa"/>
            <w:tcBorders>
              <w:top w:val="single" w:sz="4" w:space="0" w:color="FFFFFF" w:themeColor="background2"/>
            </w:tcBorders>
            <w:noWrap/>
            <w:vAlign w:val="center"/>
            <w:hideMark/>
          </w:tcPr>
          <w:p w14:paraId="259EE414"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32,574</w:t>
            </w:r>
          </w:p>
        </w:tc>
        <w:tc>
          <w:tcPr>
            <w:tcW w:w="837" w:type="dxa"/>
            <w:tcBorders>
              <w:top w:val="single" w:sz="4" w:space="0" w:color="FFFFFF" w:themeColor="background2"/>
            </w:tcBorders>
            <w:noWrap/>
            <w:vAlign w:val="center"/>
            <w:hideMark/>
          </w:tcPr>
          <w:p w14:paraId="5BA0A024"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35,766</w:t>
            </w:r>
          </w:p>
        </w:tc>
        <w:tc>
          <w:tcPr>
            <w:tcW w:w="1136" w:type="dxa"/>
            <w:tcBorders>
              <w:top w:val="single" w:sz="4" w:space="0" w:color="FFFFFF" w:themeColor="background2"/>
            </w:tcBorders>
            <w:noWrap/>
            <w:vAlign w:val="center"/>
            <w:hideMark/>
          </w:tcPr>
          <w:p w14:paraId="3C2C6CDB" w14:textId="432E72F2"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91</w:t>
            </w:r>
          </w:p>
        </w:tc>
        <w:tc>
          <w:tcPr>
            <w:tcW w:w="896" w:type="dxa"/>
            <w:tcBorders>
              <w:top w:val="single" w:sz="4" w:space="0" w:color="FFFFFF" w:themeColor="background2"/>
            </w:tcBorders>
            <w:noWrap/>
            <w:vAlign w:val="center"/>
            <w:hideMark/>
          </w:tcPr>
          <w:p w14:paraId="0F58D6FE"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30,691</w:t>
            </w:r>
          </w:p>
        </w:tc>
        <w:tc>
          <w:tcPr>
            <w:tcW w:w="1054" w:type="dxa"/>
            <w:tcBorders>
              <w:top w:val="single" w:sz="4" w:space="0" w:color="FFFFFF" w:themeColor="background2"/>
            </w:tcBorders>
            <w:noWrap/>
            <w:vAlign w:val="center"/>
            <w:hideMark/>
          </w:tcPr>
          <w:p w14:paraId="5E3C820C"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35,884</w:t>
            </w:r>
          </w:p>
        </w:tc>
        <w:tc>
          <w:tcPr>
            <w:tcW w:w="1136" w:type="dxa"/>
            <w:tcBorders>
              <w:top w:val="single" w:sz="4" w:space="0" w:color="FFFFFF" w:themeColor="background2"/>
            </w:tcBorders>
            <w:noWrap/>
            <w:vAlign w:val="center"/>
            <w:hideMark/>
          </w:tcPr>
          <w:p w14:paraId="5255F3E7" w14:textId="42FA55B0"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86</w:t>
            </w:r>
          </w:p>
        </w:tc>
        <w:tc>
          <w:tcPr>
            <w:tcW w:w="954" w:type="dxa"/>
            <w:tcBorders>
              <w:top w:val="single" w:sz="4" w:space="0" w:color="FFFFFF" w:themeColor="background2"/>
            </w:tcBorders>
            <w:noWrap/>
            <w:vAlign w:val="center"/>
            <w:hideMark/>
          </w:tcPr>
          <w:p w14:paraId="467AD430"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28,082</w:t>
            </w:r>
          </w:p>
        </w:tc>
        <w:tc>
          <w:tcPr>
            <w:tcW w:w="935" w:type="dxa"/>
            <w:tcBorders>
              <w:top w:val="single" w:sz="4" w:space="0" w:color="FFFFFF" w:themeColor="background2"/>
            </w:tcBorders>
            <w:noWrap/>
            <w:vAlign w:val="center"/>
            <w:hideMark/>
          </w:tcPr>
          <w:p w14:paraId="712B0529"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33,854</w:t>
            </w:r>
          </w:p>
        </w:tc>
        <w:tc>
          <w:tcPr>
            <w:tcW w:w="1188" w:type="dxa"/>
            <w:tcBorders>
              <w:top w:val="single" w:sz="4" w:space="0" w:color="FFFFFF" w:themeColor="background2"/>
            </w:tcBorders>
            <w:noWrap/>
            <w:vAlign w:val="center"/>
            <w:hideMark/>
          </w:tcPr>
          <w:p w14:paraId="1A71D9ED" w14:textId="3B0BBCF4"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83</w:t>
            </w:r>
          </w:p>
        </w:tc>
      </w:tr>
      <w:tr w:rsidR="00070481" w:rsidRPr="00CE058E" w14:paraId="27499AEE" w14:textId="77777777" w:rsidTr="00A47745">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14:paraId="5E3D947C" w14:textId="4DB54341"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V</w:t>
            </w:r>
            <w:r w:rsidR="00B85EAD" w:rsidRPr="00CE058E">
              <w:rPr>
                <w:rFonts w:eastAsia="Times New Roman" w:cs="Arial"/>
                <w:color w:val="auto"/>
                <w:sz w:val="18"/>
                <w:szCs w:val="18"/>
                <w:lang w:eastAsia="en-AU"/>
              </w:rPr>
              <w:t>ic</w:t>
            </w:r>
          </w:p>
        </w:tc>
        <w:tc>
          <w:tcPr>
            <w:tcW w:w="877" w:type="dxa"/>
            <w:noWrap/>
            <w:vAlign w:val="center"/>
            <w:hideMark/>
          </w:tcPr>
          <w:p w14:paraId="7B762FBC"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15,492</w:t>
            </w:r>
          </w:p>
        </w:tc>
        <w:tc>
          <w:tcPr>
            <w:tcW w:w="837" w:type="dxa"/>
            <w:noWrap/>
            <w:vAlign w:val="center"/>
            <w:hideMark/>
          </w:tcPr>
          <w:p w14:paraId="00124593"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16,937</w:t>
            </w:r>
          </w:p>
        </w:tc>
        <w:tc>
          <w:tcPr>
            <w:tcW w:w="1136" w:type="dxa"/>
            <w:noWrap/>
            <w:vAlign w:val="center"/>
            <w:hideMark/>
          </w:tcPr>
          <w:p w14:paraId="5803B8B2" w14:textId="1224983E"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91</w:t>
            </w:r>
          </w:p>
        </w:tc>
        <w:tc>
          <w:tcPr>
            <w:tcW w:w="896" w:type="dxa"/>
            <w:noWrap/>
            <w:vAlign w:val="center"/>
            <w:hideMark/>
          </w:tcPr>
          <w:p w14:paraId="21D16985"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14,969</w:t>
            </w:r>
          </w:p>
        </w:tc>
        <w:tc>
          <w:tcPr>
            <w:tcW w:w="1054" w:type="dxa"/>
            <w:noWrap/>
            <w:vAlign w:val="center"/>
            <w:hideMark/>
          </w:tcPr>
          <w:p w14:paraId="79C9E728"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16,470</w:t>
            </w:r>
          </w:p>
        </w:tc>
        <w:tc>
          <w:tcPr>
            <w:tcW w:w="1136" w:type="dxa"/>
            <w:noWrap/>
            <w:vAlign w:val="center"/>
            <w:hideMark/>
          </w:tcPr>
          <w:p w14:paraId="51B5F38C" w14:textId="1D703BAB"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91</w:t>
            </w:r>
          </w:p>
        </w:tc>
        <w:tc>
          <w:tcPr>
            <w:tcW w:w="954" w:type="dxa"/>
            <w:noWrap/>
            <w:vAlign w:val="center"/>
            <w:hideMark/>
          </w:tcPr>
          <w:p w14:paraId="4C4D322D"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15,741</w:t>
            </w:r>
          </w:p>
        </w:tc>
        <w:tc>
          <w:tcPr>
            <w:tcW w:w="935" w:type="dxa"/>
            <w:noWrap/>
            <w:vAlign w:val="center"/>
            <w:hideMark/>
          </w:tcPr>
          <w:p w14:paraId="488ACCE7"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16,472</w:t>
            </w:r>
          </w:p>
        </w:tc>
        <w:tc>
          <w:tcPr>
            <w:tcW w:w="1188" w:type="dxa"/>
            <w:noWrap/>
            <w:vAlign w:val="center"/>
            <w:hideMark/>
          </w:tcPr>
          <w:p w14:paraId="0FE38A9E" w14:textId="77E4B4DC"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96</w:t>
            </w:r>
          </w:p>
        </w:tc>
      </w:tr>
      <w:tr w:rsidR="00070481" w:rsidRPr="00CE058E" w14:paraId="3B369492" w14:textId="77777777" w:rsidTr="00A47745">
        <w:trPr>
          <w:trHeight w:val="319"/>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14:paraId="4DC95388" w14:textId="00E4E377"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Q</w:t>
            </w:r>
            <w:r w:rsidR="00B85EAD" w:rsidRPr="00CE058E">
              <w:rPr>
                <w:rFonts w:eastAsia="Times New Roman" w:cs="Arial"/>
                <w:color w:val="auto"/>
                <w:sz w:val="18"/>
                <w:szCs w:val="18"/>
                <w:lang w:eastAsia="en-AU"/>
              </w:rPr>
              <w:t>ld</w:t>
            </w:r>
          </w:p>
        </w:tc>
        <w:tc>
          <w:tcPr>
            <w:tcW w:w="877" w:type="dxa"/>
            <w:noWrap/>
            <w:vAlign w:val="center"/>
            <w:hideMark/>
          </w:tcPr>
          <w:p w14:paraId="3F9675A7"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6,787</w:t>
            </w:r>
          </w:p>
        </w:tc>
        <w:tc>
          <w:tcPr>
            <w:tcW w:w="837" w:type="dxa"/>
            <w:noWrap/>
            <w:vAlign w:val="center"/>
            <w:hideMark/>
          </w:tcPr>
          <w:p w14:paraId="0A2C5B11"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15,055</w:t>
            </w:r>
          </w:p>
        </w:tc>
        <w:tc>
          <w:tcPr>
            <w:tcW w:w="1136" w:type="dxa"/>
            <w:noWrap/>
            <w:vAlign w:val="center"/>
            <w:hideMark/>
          </w:tcPr>
          <w:p w14:paraId="62AE5505" w14:textId="63155323"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45</w:t>
            </w:r>
          </w:p>
        </w:tc>
        <w:tc>
          <w:tcPr>
            <w:tcW w:w="896" w:type="dxa"/>
            <w:noWrap/>
            <w:vAlign w:val="center"/>
            <w:hideMark/>
          </w:tcPr>
          <w:p w14:paraId="55008359"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9,902</w:t>
            </w:r>
          </w:p>
        </w:tc>
        <w:tc>
          <w:tcPr>
            <w:tcW w:w="1054" w:type="dxa"/>
            <w:noWrap/>
            <w:vAlign w:val="center"/>
            <w:hideMark/>
          </w:tcPr>
          <w:p w14:paraId="0FBBC1B4"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15,914</w:t>
            </w:r>
          </w:p>
        </w:tc>
        <w:tc>
          <w:tcPr>
            <w:tcW w:w="1136" w:type="dxa"/>
            <w:noWrap/>
            <w:vAlign w:val="center"/>
            <w:hideMark/>
          </w:tcPr>
          <w:p w14:paraId="3102DE19" w14:textId="41250959"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62</w:t>
            </w:r>
          </w:p>
        </w:tc>
        <w:tc>
          <w:tcPr>
            <w:tcW w:w="954" w:type="dxa"/>
            <w:noWrap/>
            <w:vAlign w:val="center"/>
            <w:hideMark/>
          </w:tcPr>
          <w:p w14:paraId="560F3867"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15,871</w:t>
            </w:r>
          </w:p>
        </w:tc>
        <w:tc>
          <w:tcPr>
            <w:tcW w:w="935" w:type="dxa"/>
            <w:noWrap/>
            <w:vAlign w:val="center"/>
            <w:hideMark/>
          </w:tcPr>
          <w:p w14:paraId="20F3A0A9"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16,126</w:t>
            </w:r>
          </w:p>
        </w:tc>
        <w:tc>
          <w:tcPr>
            <w:tcW w:w="1188" w:type="dxa"/>
            <w:noWrap/>
            <w:vAlign w:val="center"/>
            <w:hideMark/>
          </w:tcPr>
          <w:p w14:paraId="3D6733AF" w14:textId="318F1E3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98</w:t>
            </w:r>
          </w:p>
        </w:tc>
      </w:tr>
      <w:tr w:rsidR="001E4784" w:rsidRPr="00CE058E" w14:paraId="3ED1185C" w14:textId="77777777" w:rsidTr="00A47745">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14:paraId="37EE7045" w14:textId="77777777" w:rsidR="001E4784" w:rsidRPr="00CE058E" w:rsidRDefault="001E4784"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SA</w:t>
            </w:r>
          </w:p>
        </w:tc>
        <w:tc>
          <w:tcPr>
            <w:tcW w:w="877" w:type="dxa"/>
            <w:noWrap/>
            <w:vAlign w:val="center"/>
            <w:hideMark/>
          </w:tcPr>
          <w:p w14:paraId="5155C8A1" w14:textId="77777777"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3,597</w:t>
            </w:r>
          </w:p>
        </w:tc>
        <w:tc>
          <w:tcPr>
            <w:tcW w:w="837" w:type="dxa"/>
            <w:noWrap/>
            <w:vAlign w:val="center"/>
            <w:hideMark/>
          </w:tcPr>
          <w:p w14:paraId="62FE9FDA" w14:textId="77777777"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3,757</w:t>
            </w:r>
          </w:p>
        </w:tc>
        <w:tc>
          <w:tcPr>
            <w:tcW w:w="1136" w:type="dxa"/>
            <w:noWrap/>
            <w:vAlign w:val="center"/>
            <w:hideMark/>
          </w:tcPr>
          <w:p w14:paraId="5D476674" w14:textId="3B9AF024"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96</w:t>
            </w:r>
          </w:p>
        </w:tc>
        <w:tc>
          <w:tcPr>
            <w:tcW w:w="896" w:type="dxa"/>
            <w:noWrap/>
            <w:vAlign w:val="center"/>
            <w:hideMark/>
          </w:tcPr>
          <w:p w14:paraId="17325E70" w14:textId="77777777"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w:t>
            </w:r>
          </w:p>
        </w:tc>
        <w:tc>
          <w:tcPr>
            <w:tcW w:w="1054" w:type="dxa"/>
            <w:noWrap/>
            <w:vAlign w:val="center"/>
            <w:hideMark/>
          </w:tcPr>
          <w:p w14:paraId="025DB08E" w14:textId="77777777"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3,713</w:t>
            </w:r>
          </w:p>
        </w:tc>
        <w:tc>
          <w:tcPr>
            <w:tcW w:w="1136" w:type="dxa"/>
            <w:noWrap/>
            <w:vAlign w:val="center"/>
            <w:hideMark/>
          </w:tcPr>
          <w:p w14:paraId="5F4ADE19" w14:textId="54C700CA"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c>
          <w:tcPr>
            <w:tcW w:w="954" w:type="dxa"/>
            <w:noWrap/>
            <w:vAlign w:val="center"/>
            <w:hideMark/>
          </w:tcPr>
          <w:p w14:paraId="56374CDC" w14:textId="77777777"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2,918</w:t>
            </w:r>
          </w:p>
        </w:tc>
        <w:tc>
          <w:tcPr>
            <w:tcW w:w="935" w:type="dxa"/>
            <w:noWrap/>
            <w:vAlign w:val="center"/>
            <w:hideMark/>
          </w:tcPr>
          <w:p w14:paraId="228C745B" w14:textId="77777777"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3,223</w:t>
            </w:r>
          </w:p>
        </w:tc>
        <w:tc>
          <w:tcPr>
            <w:tcW w:w="1188" w:type="dxa"/>
            <w:noWrap/>
            <w:vAlign w:val="center"/>
            <w:hideMark/>
          </w:tcPr>
          <w:p w14:paraId="01589823" w14:textId="3246C8B3"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91</w:t>
            </w:r>
          </w:p>
        </w:tc>
      </w:tr>
      <w:tr w:rsidR="001E4784" w:rsidRPr="00CE058E" w14:paraId="41CDE79C" w14:textId="77777777" w:rsidTr="00A47745">
        <w:trPr>
          <w:trHeight w:val="319"/>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14:paraId="76A04A40" w14:textId="77777777" w:rsidR="001E4784" w:rsidRPr="00CE058E" w:rsidRDefault="001E4784"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WA</w:t>
            </w:r>
          </w:p>
        </w:tc>
        <w:tc>
          <w:tcPr>
            <w:tcW w:w="877" w:type="dxa"/>
            <w:noWrap/>
            <w:vAlign w:val="center"/>
            <w:hideMark/>
          </w:tcPr>
          <w:p w14:paraId="7E4D73D4" w14:textId="77777777"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w:t>
            </w:r>
          </w:p>
        </w:tc>
        <w:tc>
          <w:tcPr>
            <w:tcW w:w="837" w:type="dxa"/>
            <w:noWrap/>
            <w:vAlign w:val="center"/>
            <w:hideMark/>
          </w:tcPr>
          <w:p w14:paraId="7C619282" w14:textId="77777777"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4,884</w:t>
            </w:r>
          </w:p>
        </w:tc>
        <w:tc>
          <w:tcPr>
            <w:tcW w:w="1136" w:type="dxa"/>
            <w:noWrap/>
            <w:vAlign w:val="center"/>
            <w:hideMark/>
          </w:tcPr>
          <w:p w14:paraId="463E873A" w14:textId="71761D59"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c>
          <w:tcPr>
            <w:tcW w:w="896" w:type="dxa"/>
            <w:noWrap/>
            <w:vAlign w:val="center"/>
            <w:hideMark/>
          </w:tcPr>
          <w:p w14:paraId="67D69B9A" w14:textId="77777777"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w:t>
            </w:r>
          </w:p>
        </w:tc>
        <w:tc>
          <w:tcPr>
            <w:tcW w:w="1054" w:type="dxa"/>
            <w:noWrap/>
            <w:vAlign w:val="center"/>
            <w:hideMark/>
          </w:tcPr>
          <w:p w14:paraId="2F1C537D" w14:textId="77777777"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5,980</w:t>
            </w:r>
          </w:p>
        </w:tc>
        <w:tc>
          <w:tcPr>
            <w:tcW w:w="1136" w:type="dxa"/>
            <w:noWrap/>
            <w:vAlign w:val="center"/>
            <w:hideMark/>
          </w:tcPr>
          <w:p w14:paraId="6CBBB581" w14:textId="5B50CE13"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c>
          <w:tcPr>
            <w:tcW w:w="954" w:type="dxa"/>
            <w:noWrap/>
            <w:vAlign w:val="center"/>
            <w:hideMark/>
          </w:tcPr>
          <w:p w14:paraId="782F008F" w14:textId="77777777"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w:t>
            </w:r>
          </w:p>
        </w:tc>
        <w:tc>
          <w:tcPr>
            <w:tcW w:w="935" w:type="dxa"/>
            <w:noWrap/>
            <w:vAlign w:val="center"/>
            <w:hideMark/>
          </w:tcPr>
          <w:p w14:paraId="3E3560F7" w14:textId="77777777"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5,179</w:t>
            </w:r>
          </w:p>
        </w:tc>
        <w:tc>
          <w:tcPr>
            <w:tcW w:w="1188" w:type="dxa"/>
            <w:noWrap/>
            <w:vAlign w:val="center"/>
            <w:hideMark/>
          </w:tcPr>
          <w:p w14:paraId="20D5B6AE" w14:textId="45FE9AB9"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r>
      <w:tr w:rsidR="00070481" w:rsidRPr="00CE058E" w14:paraId="340C142A" w14:textId="77777777" w:rsidTr="00A47745">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14:paraId="133B2092" w14:textId="5FA6FB49"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T</w:t>
            </w:r>
            <w:r w:rsidR="00B85EAD" w:rsidRPr="00CE058E">
              <w:rPr>
                <w:rFonts w:eastAsia="Times New Roman" w:cs="Arial"/>
                <w:color w:val="auto"/>
                <w:sz w:val="18"/>
                <w:szCs w:val="18"/>
                <w:lang w:eastAsia="en-AU"/>
              </w:rPr>
              <w:t>as</w:t>
            </w:r>
          </w:p>
        </w:tc>
        <w:tc>
          <w:tcPr>
            <w:tcW w:w="877" w:type="dxa"/>
            <w:noWrap/>
            <w:vAlign w:val="center"/>
            <w:hideMark/>
          </w:tcPr>
          <w:p w14:paraId="5E5D2CCC"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730</w:t>
            </w:r>
          </w:p>
        </w:tc>
        <w:tc>
          <w:tcPr>
            <w:tcW w:w="837" w:type="dxa"/>
            <w:noWrap/>
            <w:vAlign w:val="center"/>
            <w:hideMark/>
          </w:tcPr>
          <w:p w14:paraId="378C6AF2"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755</w:t>
            </w:r>
          </w:p>
        </w:tc>
        <w:tc>
          <w:tcPr>
            <w:tcW w:w="1136" w:type="dxa"/>
            <w:noWrap/>
            <w:vAlign w:val="center"/>
            <w:hideMark/>
          </w:tcPr>
          <w:p w14:paraId="20EFA1C7" w14:textId="4076EC7C"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97</w:t>
            </w:r>
          </w:p>
        </w:tc>
        <w:tc>
          <w:tcPr>
            <w:tcW w:w="896" w:type="dxa"/>
            <w:noWrap/>
            <w:vAlign w:val="center"/>
            <w:hideMark/>
          </w:tcPr>
          <w:p w14:paraId="241E1D4C"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626</w:t>
            </w:r>
          </w:p>
        </w:tc>
        <w:tc>
          <w:tcPr>
            <w:tcW w:w="1054" w:type="dxa"/>
            <w:noWrap/>
            <w:vAlign w:val="center"/>
            <w:hideMark/>
          </w:tcPr>
          <w:p w14:paraId="3256A375"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649</w:t>
            </w:r>
          </w:p>
        </w:tc>
        <w:tc>
          <w:tcPr>
            <w:tcW w:w="1136" w:type="dxa"/>
            <w:noWrap/>
            <w:vAlign w:val="center"/>
            <w:hideMark/>
          </w:tcPr>
          <w:p w14:paraId="40C997D8" w14:textId="6C8F9DAB"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96</w:t>
            </w:r>
          </w:p>
        </w:tc>
        <w:tc>
          <w:tcPr>
            <w:tcW w:w="954" w:type="dxa"/>
            <w:noWrap/>
            <w:vAlign w:val="center"/>
            <w:hideMark/>
          </w:tcPr>
          <w:p w14:paraId="10D3193B"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713</w:t>
            </w:r>
          </w:p>
        </w:tc>
        <w:tc>
          <w:tcPr>
            <w:tcW w:w="935" w:type="dxa"/>
            <w:noWrap/>
            <w:vAlign w:val="center"/>
            <w:hideMark/>
          </w:tcPr>
          <w:p w14:paraId="0D7BA528"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736</w:t>
            </w:r>
          </w:p>
        </w:tc>
        <w:tc>
          <w:tcPr>
            <w:tcW w:w="1188" w:type="dxa"/>
            <w:noWrap/>
            <w:vAlign w:val="center"/>
            <w:hideMark/>
          </w:tcPr>
          <w:p w14:paraId="5B7BB643" w14:textId="46708579"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97</w:t>
            </w:r>
          </w:p>
        </w:tc>
      </w:tr>
      <w:tr w:rsidR="00070481" w:rsidRPr="00CE058E" w14:paraId="10F7A9E3" w14:textId="77777777" w:rsidTr="00A47745">
        <w:trPr>
          <w:trHeight w:val="319"/>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14:paraId="4E6E5158" w14:textId="77777777"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NT</w:t>
            </w:r>
          </w:p>
        </w:tc>
        <w:tc>
          <w:tcPr>
            <w:tcW w:w="877" w:type="dxa"/>
            <w:noWrap/>
            <w:vAlign w:val="center"/>
            <w:hideMark/>
          </w:tcPr>
          <w:p w14:paraId="79337EBF"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1,048</w:t>
            </w:r>
          </w:p>
        </w:tc>
        <w:tc>
          <w:tcPr>
            <w:tcW w:w="837" w:type="dxa"/>
            <w:noWrap/>
            <w:vAlign w:val="center"/>
            <w:hideMark/>
          </w:tcPr>
          <w:p w14:paraId="4792672A"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1,085</w:t>
            </w:r>
          </w:p>
        </w:tc>
        <w:tc>
          <w:tcPr>
            <w:tcW w:w="1136" w:type="dxa"/>
            <w:noWrap/>
            <w:vAlign w:val="center"/>
            <w:hideMark/>
          </w:tcPr>
          <w:p w14:paraId="568C80CF" w14:textId="1A045CB2"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97</w:t>
            </w:r>
          </w:p>
        </w:tc>
        <w:tc>
          <w:tcPr>
            <w:tcW w:w="896" w:type="dxa"/>
            <w:noWrap/>
            <w:vAlign w:val="center"/>
            <w:hideMark/>
          </w:tcPr>
          <w:p w14:paraId="67367B22"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1,257</w:t>
            </w:r>
          </w:p>
        </w:tc>
        <w:tc>
          <w:tcPr>
            <w:tcW w:w="1054" w:type="dxa"/>
            <w:noWrap/>
            <w:vAlign w:val="center"/>
            <w:hideMark/>
          </w:tcPr>
          <w:p w14:paraId="301EC3CF"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1,257</w:t>
            </w:r>
          </w:p>
        </w:tc>
        <w:tc>
          <w:tcPr>
            <w:tcW w:w="1136" w:type="dxa"/>
            <w:noWrap/>
            <w:vAlign w:val="center"/>
            <w:hideMark/>
          </w:tcPr>
          <w:p w14:paraId="274AAABA" w14:textId="619F9FBB"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10</w:t>
            </w:r>
            <w:r w:rsidR="001E2FEF" w:rsidRPr="00CE058E">
              <w:rPr>
                <w:rFonts w:eastAsia="Times New Roman" w:cs="Arial"/>
                <w:color w:val="15272F"/>
                <w:sz w:val="18"/>
                <w:szCs w:val="18"/>
                <w:lang w:eastAsia="en-AU"/>
              </w:rPr>
              <w:t>0</w:t>
            </w:r>
          </w:p>
        </w:tc>
        <w:tc>
          <w:tcPr>
            <w:tcW w:w="954" w:type="dxa"/>
            <w:noWrap/>
            <w:vAlign w:val="center"/>
            <w:hideMark/>
          </w:tcPr>
          <w:p w14:paraId="768462D4"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1,152</w:t>
            </w:r>
          </w:p>
        </w:tc>
        <w:tc>
          <w:tcPr>
            <w:tcW w:w="935" w:type="dxa"/>
            <w:noWrap/>
            <w:vAlign w:val="center"/>
            <w:hideMark/>
          </w:tcPr>
          <w:p w14:paraId="4FD0673C"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1,152</w:t>
            </w:r>
          </w:p>
        </w:tc>
        <w:tc>
          <w:tcPr>
            <w:tcW w:w="1188" w:type="dxa"/>
            <w:noWrap/>
            <w:vAlign w:val="center"/>
            <w:hideMark/>
          </w:tcPr>
          <w:p w14:paraId="09154B55" w14:textId="512FCB71"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100</w:t>
            </w:r>
          </w:p>
        </w:tc>
      </w:tr>
      <w:tr w:rsidR="00070481" w:rsidRPr="00CE058E" w14:paraId="0E6CCC59" w14:textId="77777777" w:rsidTr="00A47745">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14:paraId="083D312D" w14:textId="77777777" w:rsidR="00E07B55" w:rsidRPr="00CE058E" w:rsidRDefault="00E07B55" w:rsidP="00B85EAD">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ACT</w:t>
            </w:r>
          </w:p>
        </w:tc>
        <w:tc>
          <w:tcPr>
            <w:tcW w:w="877" w:type="dxa"/>
            <w:noWrap/>
            <w:vAlign w:val="center"/>
            <w:hideMark/>
          </w:tcPr>
          <w:p w14:paraId="2E94384E"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w:t>
            </w:r>
          </w:p>
        </w:tc>
        <w:tc>
          <w:tcPr>
            <w:tcW w:w="837" w:type="dxa"/>
            <w:noWrap/>
            <w:vAlign w:val="center"/>
            <w:hideMark/>
          </w:tcPr>
          <w:p w14:paraId="0740E194"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1,605</w:t>
            </w:r>
          </w:p>
        </w:tc>
        <w:tc>
          <w:tcPr>
            <w:tcW w:w="1136" w:type="dxa"/>
            <w:noWrap/>
            <w:vAlign w:val="center"/>
            <w:hideMark/>
          </w:tcPr>
          <w:p w14:paraId="5F1AAB0D" w14:textId="538293A8" w:rsidR="00E07B55"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c>
          <w:tcPr>
            <w:tcW w:w="896" w:type="dxa"/>
            <w:noWrap/>
            <w:vAlign w:val="center"/>
            <w:hideMark/>
          </w:tcPr>
          <w:p w14:paraId="1D210C15"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w:t>
            </w:r>
          </w:p>
        </w:tc>
        <w:tc>
          <w:tcPr>
            <w:tcW w:w="1054" w:type="dxa"/>
            <w:noWrap/>
            <w:vAlign w:val="center"/>
            <w:hideMark/>
          </w:tcPr>
          <w:p w14:paraId="17D94CDC"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1,301</w:t>
            </w:r>
          </w:p>
        </w:tc>
        <w:tc>
          <w:tcPr>
            <w:tcW w:w="1136" w:type="dxa"/>
            <w:noWrap/>
            <w:vAlign w:val="center"/>
            <w:hideMark/>
          </w:tcPr>
          <w:p w14:paraId="0666557D" w14:textId="6D56C1FF"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0</w:t>
            </w:r>
          </w:p>
        </w:tc>
        <w:tc>
          <w:tcPr>
            <w:tcW w:w="954" w:type="dxa"/>
            <w:noWrap/>
            <w:vAlign w:val="center"/>
            <w:hideMark/>
          </w:tcPr>
          <w:p w14:paraId="1EEA4D6A"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w:t>
            </w:r>
          </w:p>
        </w:tc>
        <w:tc>
          <w:tcPr>
            <w:tcW w:w="935" w:type="dxa"/>
            <w:noWrap/>
            <w:vAlign w:val="center"/>
            <w:hideMark/>
          </w:tcPr>
          <w:p w14:paraId="1DA8AD68" w14:textId="77777777" w:rsidR="00E07B55" w:rsidRPr="00CE058E" w:rsidRDefault="00E07B55"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1,451</w:t>
            </w:r>
          </w:p>
        </w:tc>
        <w:tc>
          <w:tcPr>
            <w:tcW w:w="1188" w:type="dxa"/>
            <w:noWrap/>
            <w:vAlign w:val="center"/>
            <w:hideMark/>
          </w:tcPr>
          <w:p w14:paraId="6B1136B6" w14:textId="536775D0" w:rsidR="00E07B55"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r>
      <w:tr w:rsidR="00037328" w:rsidRPr="00CE058E" w14:paraId="0F2C988F" w14:textId="77777777" w:rsidTr="00A47745">
        <w:trPr>
          <w:trHeight w:val="319"/>
          <w:jc w:val="center"/>
        </w:trPr>
        <w:tc>
          <w:tcPr>
            <w:cnfStyle w:val="001000000000" w:firstRow="0" w:lastRow="0" w:firstColumn="1" w:lastColumn="0" w:oddVBand="0" w:evenVBand="0" w:oddHBand="0" w:evenHBand="0" w:firstRowFirstColumn="0" w:firstRowLastColumn="0" w:lastRowFirstColumn="0" w:lastRowLastColumn="0"/>
            <w:tcW w:w="927" w:type="dxa"/>
            <w:vAlign w:val="center"/>
          </w:tcPr>
          <w:p w14:paraId="7EE818EB" w14:textId="77777777" w:rsidR="00E07B55" w:rsidRPr="00CE058E" w:rsidRDefault="00E07B55" w:rsidP="00B85EAD">
            <w:pPr>
              <w:spacing w:line="240" w:lineRule="auto"/>
              <w:jc w:val="center"/>
              <w:rPr>
                <w:rFonts w:eastAsia="Times New Roman" w:cs="Arial"/>
                <w:b w:val="0"/>
                <w:bCs w:val="0"/>
                <w:color w:val="auto"/>
                <w:sz w:val="18"/>
                <w:szCs w:val="18"/>
                <w:lang w:eastAsia="en-AU"/>
              </w:rPr>
            </w:pPr>
            <w:r w:rsidRPr="00CE058E">
              <w:rPr>
                <w:rFonts w:eastAsia="Times New Roman" w:cs="Arial"/>
                <w:color w:val="auto"/>
                <w:sz w:val="18"/>
                <w:szCs w:val="18"/>
                <w:lang w:eastAsia="en-AU"/>
              </w:rPr>
              <w:t>National</w:t>
            </w:r>
          </w:p>
        </w:tc>
        <w:tc>
          <w:tcPr>
            <w:tcW w:w="877" w:type="dxa"/>
            <w:noWrap/>
            <w:vAlign w:val="center"/>
            <w:hideMark/>
          </w:tcPr>
          <w:p w14:paraId="2910DE1E"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60,228</w:t>
            </w:r>
          </w:p>
        </w:tc>
        <w:tc>
          <w:tcPr>
            <w:tcW w:w="837" w:type="dxa"/>
            <w:noWrap/>
            <w:vAlign w:val="center"/>
            <w:hideMark/>
          </w:tcPr>
          <w:p w14:paraId="0725EA5C"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79,844</w:t>
            </w:r>
          </w:p>
        </w:tc>
        <w:tc>
          <w:tcPr>
            <w:tcW w:w="1136" w:type="dxa"/>
            <w:noWrap/>
            <w:vAlign w:val="center"/>
            <w:hideMark/>
          </w:tcPr>
          <w:p w14:paraId="549C8D82" w14:textId="17B9604A"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75</w:t>
            </w:r>
          </w:p>
        </w:tc>
        <w:tc>
          <w:tcPr>
            <w:tcW w:w="896" w:type="dxa"/>
            <w:noWrap/>
            <w:vAlign w:val="center"/>
            <w:hideMark/>
          </w:tcPr>
          <w:p w14:paraId="14ED9603"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57,445</w:t>
            </w:r>
          </w:p>
        </w:tc>
        <w:tc>
          <w:tcPr>
            <w:tcW w:w="1054" w:type="dxa"/>
            <w:noWrap/>
            <w:vAlign w:val="center"/>
            <w:hideMark/>
          </w:tcPr>
          <w:p w14:paraId="79A0A623"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81,168</w:t>
            </w:r>
          </w:p>
        </w:tc>
        <w:tc>
          <w:tcPr>
            <w:tcW w:w="1136" w:type="dxa"/>
            <w:noWrap/>
            <w:vAlign w:val="center"/>
            <w:hideMark/>
          </w:tcPr>
          <w:p w14:paraId="23127DA2" w14:textId="30B30E79"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71</w:t>
            </w:r>
          </w:p>
        </w:tc>
        <w:tc>
          <w:tcPr>
            <w:tcW w:w="954" w:type="dxa"/>
            <w:noWrap/>
            <w:vAlign w:val="center"/>
            <w:hideMark/>
          </w:tcPr>
          <w:p w14:paraId="176A7F81"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64,477</w:t>
            </w:r>
          </w:p>
        </w:tc>
        <w:tc>
          <w:tcPr>
            <w:tcW w:w="935" w:type="dxa"/>
            <w:noWrap/>
            <w:vAlign w:val="center"/>
            <w:hideMark/>
          </w:tcPr>
          <w:p w14:paraId="6BAA2E8F" w14:textId="77777777"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78,193</w:t>
            </w:r>
          </w:p>
        </w:tc>
        <w:tc>
          <w:tcPr>
            <w:tcW w:w="1188" w:type="dxa"/>
            <w:noWrap/>
            <w:vAlign w:val="center"/>
            <w:hideMark/>
          </w:tcPr>
          <w:p w14:paraId="7AC914B7" w14:textId="66DBDF6C" w:rsidR="00E07B55" w:rsidRPr="00CE058E" w:rsidRDefault="00E07B55"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82</w:t>
            </w:r>
          </w:p>
        </w:tc>
      </w:tr>
    </w:tbl>
    <w:p w14:paraId="2B636C82" w14:textId="77777777" w:rsidR="00C159CD" w:rsidRPr="00CE058E" w:rsidRDefault="00C159CD" w:rsidP="005E0D3F">
      <w:pPr>
        <w:rPr>
          <w:rFonts w:cs="Arial"/>
        </w:rPr>
      </w:pPr>
      <w:r w:rsidRPr="00CE058E">
        <w:rPr>
          <w:rFonts w:cs="Arial"/>
        </w:rPr>
        <w:br w:type="page"/>
      </w:r>
    </w:p>
    <w:p w14:paraId="3CE564F7" w14:textId="3ABAEA5A" w:rsidR="00E07B55" w:rsidRPr="00CE058E" w:rsidRDefault="00E07B55" w:rsidP="007B41F8">
      <w:pPr>
        <w:pStyle w:val="Heading2"/>
      </w:pPr>
      <w:bookmarkStart w:id="217" w:name="_Toc151129700"/>
      <w:bookmarkStart w:id="218" w:name="_Toc158882551"/>
      <w:bookmarkStart w:id="219" w:name="_Toc158882612"/>
      <w:r w:rsidRPr="00CE058E">
        <w:lastRenderedPageBreak/>
        <w:t xml:space="preserve">Admitted subacute and non-acute </w:t>
      </w:r>
      <w:r w:rsidR="00B200A6" w:rsidRPr="00CE058E">
        <w:t>episodes and phases</w:t>
      </w:r>
      <w:bookmarkEnd w:id="217"/>
      <w:bookmarkEnd w:id="218"/>
      <w:bookmarkEnd w:id="219"/>
    </w:p>
    <w:bookmarkEnd w:id="214"/>
    <w:p w14:paraId="289BEF9F" w14:textId="4EECBFF6" w:rsidR="00E07B55" w:rsidRPr="00CE058E" w:rsidRDefault="00E07B55" w:rsidP="00BC4620">
      <w:pPr>
        <w:spacing w:line="276" w:lineRule="auto"/>
        <w:rPr>
          <w:rFonts w:cs="Arial"/>
          <w:color w:val="auto"/>
        </w:rPr>
      </w:pPr>
      <w:r w:rsidRPr="00CE058E">
        <w:rPr>
          <w:rFonts w:cs="Arial"/>
          <w:color w:val="auto"/>
        </w:rPr>
        <w:t xml:space="preserve">Figure </w:t>
      </w:r>
      <w:r w:rsidR="00BB0E81" w:rsidRPr="00CE058E">
        <w:rPr>
          <w:rFonts w:cs="Arial"/>
          <w:color w:val="auto"/>
        </w:rPr>
        <w:t>7</w:t>
      </w:r>
      <w:r w:rsidR="00EA2780" w:rsidRPr="00CE058E">
        <w:rPr>
          <w:rFonts w:cs="Arial"/>
          <w:color w:val="auto"/>
        </w:rPr>
        <w:t xml:space="preserve"> </w:t>
      </w:r>
      <w:r w:rsidRPr="00CE058E">
        <w:rPr>
          <w:rFonts w:cs="Arial"/>
          <w:color w:val="auto"/>
        </w:rPr>
        <w:t xml:space="preserve">shows the number of </w:t>
      </w:r>
      <w:r w:rsidR="00D84CAB" w:rsidRPr="00CE058E">
        <w:rPr>
          <w:rFonts w:cs="Arial"/>
          <w:color w:val="auto"/>
        </w:rPr>
        <w:t xml:space="preserve">subacute and non-acute </w:t>
      </w:r>
      <w:r w:rsidRPr="00CE058E">
        <w:rPr>
          <w:rFonts w:cs="Arial"/>
          <w:color w:val="auto"/>
        </w:rPr>
        <w:t xml:space="preserve">episodes reported in the cost data from 2019-20 to 2021-22. </w:t>
      </w:r>
      <w:r w:rsidR="00EF3875" w:rsidRPr="00CE058E">
        <w:rPr>
          <w:rFonts w:cs="Arial"/>
          <w:color w:val="auto"/>
        </w:rPr>
        <w:t xml:space="preserve">In 2021-22, there were 151,706 </w:t>
      </w:r>
      <w:r w:rsidR="00D84CAB" w:rsidRPr="00CE058E">
        <w:rPr>
          <w:rFonts w:cs="Arial"/>
          <w:color w:val="auto"/>
        </w:rPr>
        <w:t xml:space="preserve">subacute and non-acute </w:t>
      </w:r>
      <w:r w:rsidR="00EF3875" w:rsidRPr="00CE058E">
        <w:rPr>
          <w:rFonts w:cs="Arial"/>
          <w:color w:val="auto"/>
        </w:rPr>
        <w:t>episodes nationally, a 2</w:t>
      </w:r>
      <w:r w:rsidR="00897090">
        <w:rPr>
          <w:rFonts w:cs="Arial"/>
          <w:color w:val="auto"/>
        </w:rPr>
        <w:t>%</w:t>
      </w:r>
      <w:r w:rsidR="00EF3875" w:rsidRPr="00CE058E">
        <w:rPr>
          <w:rFonts w:cs="Arial"/>
          <w:color w:val="auto"/>
        </w:rPr>
        <w:t xml:space="preserve"> increase to the 2020-21 figure of 148,487. </w:t>
      </w:r>
      <w:r w:rsidR="00B200A6" w:rsidRPr="00CE058E">
        <w:rPr>
          <w:rFonts w:cs="Arial"/>
          <w:color w:val="auto"/>
        </w:rPr>
        <w:t xml:space="preserve">The national increase in admitted subacute and non-acute episodes was driven by </w:t>
      </w:r>
      <w:r w:rsidR="000D4E7D" w:rsidRPr="00CE058E">
        <w:rPr>
          <w:rFonts w:cs="Arial"/>
          <w:color w:val="auto"/>
        </w:rPr>
        <w:t>Queensland</w:t>
      </w:r>
      <w:r w:rsidR="00B200A6" w:rsidRPr="00CE058E">
        <w:rPr>
          <w:rFonts w:cs="Arial"/>
          <w:color w:val="auto"/>
        </w:rPr>
        <w:t xml:space="preserve">, increasing </w:t>
      </w:r>
      <w:r w:rsidR="000D4E7D" w:rsidRPr="00CE058E">
        <w:rPr>
          <w:rFonts w:cs="Arial"/>
          <w:color w:val="auto"/>
        </w:rPr>
        <w:t>12,390</w:t>
      </w:r>
      <w:r w:rsidR="00B200A6" w:rsidRPr="00CE058E">
        <w:rPr>
          <w:rFonts w:cs="Arial"/>
          <w:color w:val="auto"/>
        </w:rPr>
        <w:t xml:space="preserve"> episodes </w:t>
      </w:r>
      <w:r w:rsidR="00EF3875" w:rsidRPr="00CE058E">
        <w:rPr>
          <w:rFonts w:cs="Arial"/>
          <w:color w:val="auto"/>
        </w:rPr>
        <w:t>(</w:t>
      </w:r>
      <w:r w:rsidR="00B200A6" w:rsidRPr="00CE058E">
        <w:rPr>
          <w:rFonts w:cs="Arial"/>
          <w:color w:val="auto"/>
        </w:rPr>
        <w:t xml:space="preserve">or </w:t>
      </w:r>
      <w:r w:rsidR="000D4E7D" w:rsidRPr="00CE058E">
        <w:rPr>
          <w:rFonts w:cs="Arial"/>
          <w:color w:val="auto"/>
        </w:rPr>
        <w:t>31</w:t>
      </w:r>
      <w:r w:rsidR="00897090">
        <w:rPr>
          <w:rFonts w:cs="Arial"/>
          <w:color w:val="auto"/>
        </w:rPr>
        <w:t>%</w:t>
      </w:r>
      <w:r w:rsidR="00EF3875" w:rsidRPr="00CE058E">
        <w:rPr>
          <w:rFonts w:cs="Arial"/>
          <w:color w:val="auto"/>
        </w:rPr>
        <w:t>)</w:t>
      </w:r>
      <w:r w:rsidR="00B200A6" w:rsidRPr="00CE058E">
        <w:rPr>
          <w:rFonts w:cs="Arial"/>
          <w:color w:val="auto"/>
        </w:rPr>
        <w:t xml:space="preserve"> from 2020-21</w:t>
      </w:r>
      <w:r w:rsidR="004A46B7" w:rsidRPr="00CE058E">
        <w:rPr>
          <w:rFonts w:cs="Arial"/>
          <w:color w:val="auto"/>
        </w:rPr>
        <w:t xml:space="preserve"> to 2021-22. </w:t>
      </w:r>
      <w:r w:rsidR="007B09AA" w:rsidRPr="00CE058E">
        <w:rPr>
          <w:rFonts w:cs="Arial"/>
          <w:color w:val="auto"/>
        </w:rPr>
        <w:t>In 2021-22, t</w:t>
      </w:r>
      <w:r w:rsidR="004A46B7" w:rsidRPr="00CE058E">
        <w:rPr>
          <w:rFonts w:cs="Arial"/>
          <w:color w:val="auto"/>
        </w:rPr>
        <w:t>he number of episodes at the jurisdictional level range</w:t>
      </w:r>
      <w:r w:rsidR="007B09AA" w:rsidRPr="00CE058E">
        <w:rPr>
          <w:rFonts w:cs="Arial"/>
          <w:color w:val="auto"/>
        </w:rPr>
        <w:t>d</w:t>
      </w:r>
      <w:r w:rsidR="004A46B7" w:rsidRPr="00CE058E">
        <w:rPr>
          <w:rFonts w:cs="Arial"/>
          <w:color w:val="auto"/>
        </w:rPr>
        <w:t xml:space="preserve"> from 900 (Northern Territory) to 52,240 (Queensland).</w:t>
      </w:r>
    </w:p>
    <w:p w14:paraId="014461F6" w14:textId="1164D59D" w:rsidR="00E07B55" w:rsidRPr="00CE058E" w:rsidRDefault="006272A2" w:rsidP="00B42434">
      <w:pPr>
        <w:pStyle w:val="TableFigureheading"/>
      </w:pPr>
      <w:bookmarkStart w:id="220" w:name="_Toc151116343"/>
      <w:bookmarkStart w:id="221" w:name="_Toc151370056"/>
      <w:r w:rsidRPr="00CE058E">
        <w:t xml:space="preserve">Figure </w:t>
      </w:r>
      <w:r>
        <w:fldChar w:fldCharType="begin"/>
      </w:r>
      <w:r>
        <w:instrText xml:space="preserve"> SEQ Figure \* ARABIC </w:instrText>
      </w:r>
      <w:r>
        <w:fldChar w:fldCharType="separate"/>
      </w:r>
      <w:r w:rsidR="00DD29C5">
        <w:rPr>
          <w:noProof/>
        </w:rPr>
        <w:t>7</w:t>
      </w:r>
      <w:r>
        <w:rPr>
          <w:noProof/>
        </w:rPr>
        <w:fldChar w:fldCharType="end"/>
      </w:r>
      <w:r w:rsidR="00E07B55" w:rsidRPr="00CE058E">
        <w:t xml:space="preserve">: </w:t>
      </w:r>
      <w:r w:rsidR="00FE50B6" w:rsidRPr="00CE058E">
        <w:t xml:space="preserve">Admitted subacute and non-acute </w:t>
      </w:r>
      <w:r w:rsidR="00E07B55" w:rsidRPr="00CE058E">
        <w:t>episode</w:t>
      </w:r>
      <w:r w:rsidR="003F7C8C" w:rsidRPr="00CE058E">
        <w:t>s</w:t>
      </w:r>
      <w:r w:rsidR="000D4E7D" w:rsidRPr="00CE058E">
        <w:t>, 2019-20 to 2021-22</w:t>
      </w:r>
      <w:bookmarkEnd w:id="220"/>
      <w:bookmarkEnd w:id="221"/>
    </w:p>
    <w:p w14:paraId="3F9F19AD" w14:textId="01431AB8" w:rsidR="0011632F" w:rsidRPr="00CE058E" w:rsidRDefault="0011632F" w:rsidP="003D0B49">
      <w:pPr>
        <w:rPr>
          <w:rFonts w:cs="Arial"/>
        </w:rPr>
      </w:pPr>
      <w:r w:rsidRPr="00CE058E">
        <w:rPr>
          <w:rFonts w:cs="Arial"/>
          <w:noProof/>
        </w:rPr>
        <w:drawing>
          <wp:inline distT="0" distB="0" distL="0" distR="0" wp14:anchorId="0664B806" wp14:editId="4FD220F6">
            <wp:extent cx="6228000" cy="2664000"/>
            <wp:effectExtent l="0" t="0" r="0" b="0"/>
            <wp:docPr id="16" name="Chart 16">
              <a:extLst xmlns:a="http://schemas.openxmlformats.org/drawingml/2006/main">
                <a:ext uri="{FF2B5EF4-FFF2-40B4-BE49-F238E27FC236}">
                  <a16:creationId xmlns:a16="http://schemas.microsoft.com/office/drawing/2014/main" id="{D0821699-7B0C-2B2B-CA49-F783584F75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2F52CA9" w14:textId="22860EA6" w:rsidR="00EF3875" w:rsidRPr="00CE058E" w:rsidRDefault="00EF3875" w:rsidP="00EF3875">
      <w:pPr>
        <w:spacing w:line="276" w:lineRule="auto"/>
        <w:rPr>
          <w:rFonts w:cs="Arial"/>
          <w:color w:val="auto"/>
        </w:rPr>
      </w:pPr>
      <w:r w:rsidRPr="00CE058E">
        <w:rPr>
          <w:rFonts w:cs="Arial"/>
          <w:color w:val="auto"/>
        </w:rPr>
        <w:t xml:space="preserve">Figure 8 shows the number of </w:t>
      </w:r>
      <w:r w:rsidR="00D84CAB" w:rsidRPr="00CE058E">
        <w:rPr>
          <w:rFonts w:cs="Arial"/>
          <w:color w:val="auto"/>
        </w:rPr>
        <w:t xml:space="preserve">subacute </w:t>
      </w:r>
      <w:r w:rsidRPr="00CE058E">
        <w:rPr>
          <w:rFonts w:cs="Arial"/>
          <w:color w:val="auto"/>
        </w:rPr>
        <w:t xml:space="preserve">phases reported in the cost data from 2019-20 to 2021-22. In 2021-22, there were 64,477 </w:t>
      </w:r>
      <w:r w:rsidR="00D84CAB" w:rsidRPr="00CE058E">
        <w:rPr>
          <w:rFonts w:cs="Arial"/>
          <w:color w:val="auto"/>
        </w:rPr>
        <w:t>subacute</w:t>
      </w:r>
      <w:r w:rsidRPr="00CE058E">
        <w:rPr>
          <w:rFonts w:cs="Arial"/>
          <w:color w:val="auto"/>
        </w:rPr>
        <w:t xml:space="preserve"> phases reported nationally, a 12</w:t>
      </w:r>
      <w:r w:rsidR="00897090">
        <w:rPr>
          <w:rFonts w:cs="Arial"/>
          <w:color w:val="auto"/>
        </w:rPr>
        <w:t>%</w:t>
      </w:r>
      <w:r w:rsidRPr="00CE058E">
        <w:rPr>
          <w:rFonts w:cs="Arial"/>
          <w:color w:val="auto"/>
        </w:rPr>
        <w:t xml:space="preserve"> increase to the 2020-21 figure of 57,445. The national increase in admitted subacute phases was driven by Queensland, increasing 5,969 phases </w:t>
      </w:r>
      <w:r w:rsidR="00811B27" w:rsidRPr="00CE058E">
        <w:rPr>
          <w:rFonts w:cs="Arial"/>
          <w:color w:val="auto"/>
        </w:rPr>
        <w:t>(</w:t>
      </w:r>
      <w:r w:rsidRPr="00CE058E">
        <w:rPr>
          <w:rFonts w:cs="Arial"/>
          <w:color w:val="auto"/>
        </w:rPr>
        <w:t>or 60</w:t>
      </w:r>
      <w:r w:rsidR="00897090">
        <w:rPr>
          <w:rFonts w:cs="Arial"/>
          <w:color w:val="auto"/>
        </w:rPr>
        <w:t>%</w:t>
      </w:r>
      <w:r w:rsidR="00811B27" w:rsidRPr="00CE058E">
        <w:rPr>
          <w:rFonts w:cs="Arial"/>
          <w:color w:val="auto"/>
        </w:rPr>
        <w:t>)</w:t>
      </w:r>
      <w:r w:rsidRPr="00CE058E">
        <w:rPr>
          <w:rFonts w:cs="Arial"/>
          <w:color w:val="auto"/>
        </w:rPr>
        <w:t xml:space="preserve"> from 2020-21 to 2021-22. </w:t>
      </w:r>
      <w:r w:rsidR="00811B27" w:rsidRPr="00CE058E">
        <w:rPr>
          <w:rFonts w:cs="Arial"/>
          <w:color w:val="auto"/>
        </w:rPr>
        <w:t>In 2021-22, t</w:t>
      </w:r>
      <w:r w:rsidRPr="00CE058E">
        <w:rPr>
          <w:rFonts w:cs="Arial"/>
          <w:color w:val="auto"/>
        </w:rPr>
        <w:t>he number of phases at the jurisdictional level range</w:t>
      </w:r>
      <w:r w:rsidR="00811B27" w:rsidRPr="00CE058E">
        <w:rPr>
          <w:rFonts w:cs="Arial"/>
          <w:color w:val="auto"/>
        </w:rPr>
        <w:t>d</w:t>
      </w:r>
      <w:r w:rsidRPr="00CE058E">
        <w:rPr>
          <w:rFonts w:cs="Arial"/>
          <w:color w:val="auto"/>
        </w:rPr>
        <w:t xml:space="preserve"> from 0 (Western Australia and Australian Capital Territory) to 28,082 (New South Wales). Note Western Australia and the Australian Capital Territory do not submit phase level cost data.</w:t>
      </w:r>
    </w:p>
    <w:p w14:paraId="040A5C43" w14:textId="5895A2E4" w:rsidR="003F7C8C" w:rsidRPr="00CE058E" w:rsidRDefault="006272A2" w:rsidP="00B42434">
      <w:pPr>
        <w:pStyle w:val="TableFigureheading"/>
      </w:pPr>
      <w:bookmarkStart w:id="222" w:name="_Toc151116344"/>
      <w:bookmarkStart w:id="223" w:name="_Toc151370057"/>
      <w:r w:rsidRPr="00CE058E">
        <w:t xml:space="preserve">Figure </w:t>
      </w:r>
      <w:r>
        <w:fldChar w:fldCharType="begin"/>
      </w:r>
      <w:r>
        <w:instrText xml:space="preserve"> SEQ Figure \* ARABIC </w:instrText>
      </w:r>
      <w:r>
        <w:fldChar w:fldCharType="separate"/>
      </w:r>
      <w:r w:rsidR="00DD29C5">
        <w:rPr>
          <w:noProof/>
        </w:rPr>
        <w:t>8</w:t>
      </w:r>
      <w:r>
        <w:rPr>
          <w:noProof/>
        </w:rPr>
        <w:fldChar w:fldCharType="end"/>
      </w:r>
      <w:r w:rsidR="003F7C8C" w:rsidRPr="00CE058E">
        <w:t xml:space="preserve">: </w:t>
      </w:r>
      <w:r w:rsidR="00FE50B6" w:rsidRPr="00CE058E">
        <w:t xml:space="preserve">Admitted subacute </w:t>
      </w:r>
      <w:r w:rsidR="003F7C8C" w:rsidRPr="00CE058E">
        <w:t>phases, 2019-20 to 2021-22</w:t>
      </w:r>
      <w:bookmarkEnd w:id="222"/>
      <w:bookmarkEnd w:id="223"/>
    </w:p>
    <w:p w14:paraId="7D295EDF" w14:textId="7182689F" w:rsidR="003F7C8C" w:rsidRPr="00CE058E" w:rsidRDefault="0011632F" w:rsidP="003D0B49">
      <w:pPr>
        <w:rPr>
          <w:rFonts w:cs="Arial"/>
        </w:rPr>
      </w:pPr>
      <w:r w:rsidRPr="00CE058E">
        <w:rPr>
          <w:rFonts w:cs="Arial"/>
          <w:noProof/>
        </w:rPr>
        <w:drawing>
          <wp:inline distT="0" distB="0" distL="0" distR="0" wp14:anchorId="231457D6" wp14:editId="0923D12B">
            <wp:extent cx="6228000" cy="2628000"/>
            <wp:effectExtent l="0" t="0" r="0" b="0"/>
            <wp:docPr id="17" name="Chart 17">
              <a:extLst xmlns:a="http://schemas.openxmlformats.org/drawingml/2006/main">
                <a:ext uri="{FF2B5EF4-FFF2-40B4-BE49-F238E27FC236}">
                  <a16:creationId xmlns:a16="http://schemas.microsoft.com/office/drawing/2014/main" id="{1DAD2FE3-AFB2-0418-D716-F1130CB6D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DF60A82" w14:textId="7666DF4E" w:rsidR="00E07B55" w:rsidRPr="00CE058E" w:rsidRDefault="00E07B55" w:rsidP="00E07B55">
      <w:pPr>
        <w:pStyle w:val="Heading3"/>
      </w:pPr>
      <w:bookmarkStart w:id="224" w:name="_Toc151129701"/>
      <w:bookmarkStart w:id="225" w:name="_Toc158882552"/>
      <w:bookmarkStart w:id="226" w:name="_Toc158882613"/>
      <w:r w:rsidRPr="00CE058E">
        <w:lastRenderedPageBreak/>
        <w:t xml:space="preserve">Admitted subacute and non-acute </w:t>
      </w:r>
      <w:r w:rsidR="00247249" w:rsidRPr="00CE058E">
        <w:t xml:space="preserve">episode </w:t>
      </w:r>
      <w:r w:rsidRPr="00CE058E">
        <w:t>change</w:t>
      </w:r>
      <w:bookmarkEnd w:id="224"/>
      <w:bookmarkEnd w:id="225"/>
      <w:bookmarkEnd w:id="226"/>
    </w:p>
    <w:p w14:paraId="318FC05D" w14:textId="0BECB147" w:rsidR="00430263" w:rsidRPr="00CE058E" w:rsidRDefault="00430263" w:rsidP="00430263">
      <w:pPr>
        <w:rPr>
          <w:rFonts w:cs="Arial"/>
          <w:color w:val="auto"/>
        </w:rPr>
      </w:pPr>
      <w:r w:rsidRPr="00CE058E">
        <w:rPr>
          <w:rFonts w:cs="Arial"/>
          <w:color w:val="auto"/>
        </w:rPr>
        <w:t xml:space="preserve">Table 9 shows the admitted subacute and non-acute </w:t>
      </w:r>
      <w:r w:rsidR="00616160" w:rsidRPr="00CE058E">
        <w:rPr>
          <w:rFonts w:cs="Arial"/>
          <w:color w:val="auto"/>
        </w:rPr>
        <w:t>end-classes</w:t>
      </w:r>
      <w:r w:rsidRPr="00CE058E">
        <w:rPr>
          <w:rFonts w:cs="Arial"/>
          <w:color w:val="auto"/>
        </w:rPr>
        <w:t xml:space="preserve"> that had an impact on the change </w:t>
      </w:r>
      <w:r w:rsidR="00616160" w:rsidRPr="00CE058E">
        <w:rPr>
          <w:rFonts w:cs="Arial"/>
          <w:color w:val="auto"/>
        </w:rPr>
        <w:t>in the number of episodes reported n</w:t>
      </w:r>
      <w:r w:rsidRPr="00CE058E">
        <w:rPr>
          <w:rFonts w:cs="Arial"/>
          <w:color w:val="auto"/>
        </w:rPr>
        <w:t>ationally in 2021-22 compared to 2020-21. In 2021-22, the national number of episodes was 151,706, an increase of 3,219 episodes (or 2</w:t>
      </w:r>
      <w:r w:rsidR="00897090">
        <w:rPr>
          <w:rFonts w:cs="Arial"/>
          <w:color w:val="auto"/>
        </w:rPr>
        <w:t>%</w:t>
      </w:r>
      <w:r w:rsidRPr="00CE058E">
        <w:rPr>
          <w:rFonts w:cs="Arial"/>
          <w:color w:val="auto"/>
        </w:rPr>
        <w:t xml:space="preserve">) compared to 2020-21. The national admitted subacute and non-acute episode change was driven by 5ES3, 5ES1, </w:t>
      </w:r>
      <w:r w:rsidR="00214107" w:rsidRPr="00CE058E">
        <w:rPr>
          <w:rFonts w:cs="Arial"/>
          <w:color w:val="auto"/>
        </w:rPr>
        <w:t xml:space="preserve">and </w:t>
      </w:r>
      <w:r w:rsidRPr="00CE058E">
        <w:rPr>
          <w:rFonts w:cs="Arial"/>
          <w:color w:val="auto"/>
        </w:rPr>
        <w:t xml:space="preserve">5ES4 (as defined in table 9). These </w:t>
      </w:r>
      <w:r w:rsidR="00214107" w:rsidRPr="00CE058E">
        <w:rPr>
          <w:rFonts w:cs="Arial"/>
          <w:color w:val="auto"/>
        </w:rPr>
        <w:t>end-classes</w:t>
      </w:r>
      <w:r w:rsidRPr="00CE058E">
        <w:rPr>
          <w:rFonts w:cs="Arial"/>
          <w:color w:val="auto"/>
        </w:rPr>
        <w:t xml:space="preserve"> increased nationally 13,661 in 2021-22 compared to 2020-21. The </w:t>
      </w:r>
      <w:r w:rsidR="00214107" w:rsidRPr="00CE058E">
        <w:rPr>
          <w:rFonts w:cs="Arial"/>
          <w:color w:val="auto"/>
        </w:rPr>
        <w:t>end-classes</w:t>
      </w:r>
      <w:r w:rsidRPr="00CE058E">
        <w:rPr>
          <w:rFonts w:cs="Arial"/>
          <w:color w:val="auto"/>
        </w:rPr>
        <w:t xml:space="preserve"> that had the highest decrease were 5CH1, 5ES2, </w:t>
      </w:r>
      <w:r w:rsidR="00214107" w:rsidRPr="00CE058E">
        <w:rPr>
          <w:rFonts w:cs="Arial"/>
          <w:color w:val="auto"/>
        </w:rPr>
        <w:t xml:space="preserve">and </w:t>
      </w:r>
      <w:r w:rsidRPr="00CE058E">
        <w:rPr>
          <w:rFonts w:cs="Arial"/>
          <w:color w:val="auto"/>
        </w:rPr>
        <w:t xml:space="preserve">5J01 (as defined in table </w:t>
      </w:r>
      <w:r w:rsidR="00214107" w:rsidRPr="00CE058E">
        <w:rPr>
          <w:rFonts w:cs="Arial"/>
          <w:color w:val="auto"/>
        </w:rPr>
        <w:t>9</w:t>
      </w:r>
      <w:r w:rsidRPr="00CE058E">
        <w:rPr>
          <w:rFonts w:cs="Arial"/>
          <w:color w:val="auto"/>
        </w:rPr>
        <w:t xml:space="preserve">), </w:t>
      </w:r>
      <w:r w:rsidR="00301F51" w:rsidRPr="00CE058E">
        <w:rPr>
          <w:rFonts w:cs="Arial"/>
          <w:color w:val="auto"/>
        </w:rPr>
        <w:t>a</w:t>
      </w:r>
      <w:r w:rsidRPr="00CE058E">
        <w:rPr>
          <w:rFonts w:cs="Arial"/>
          <w:color w:val="auto"/>
        </w:rPr>
        <w:t xml:space="preserve"> decrease</w:t>
      </w:r>
      <w:r w:rsidR="00301F51" w:rsidRPr="00CE058E">
        <w:rPr>
          <w:rFonts w:cs="Arial"/>
          <w:color w:val="auto"/>
        </w:rPr>
        <w:t xml:space="preserve"> of</w:t>
      </w:r>
      <w:r w:rsidRPr="00CE058E">
        <w:rPr>
          <w:rFonts w:cs="Arial"/>
          <w:color w:val="auto"/>
        </w:rPr>
        <w:t xml:space="preserve"> 8,729 episodes from 2020-21. Note that due to the volatility in the admitted subacute phases figures, th</w:t>
      </w:r>
      <w:r w:rsidR="00934E12" w:rsidRPr="00CE058E">
        <w:rPr>
          <w:rFonts w:cs="Arial"/>
          <w:color w:val="auto"/>
        </w:rPr>
        <w:t>e phase change</w:t>
      </w:r>
      <w:r w:rsidRPr="00CE058E">
        <w:rPr>
          <w:rFonts w:cs="Arial"/>
          <w:color w:val="auto"/>
        </w:rPr>
        <w:t xml:space="preserve"> analysis is not displayed in this report.</w:t>
      </w:r>
    </w:p>
    <w:p w14:paraId="73FEF8B7" w14:textId="211E200B" w:rsidR="00E07B55" w:rsidRPr="00CE058E" w:rsidRDefault="00C53B6A" w:rsidP="00B42434">
      <w:pPr>
        <w:pStyle w:val="TableFigureheading"/>
      </w:pPr>
      <w:bookmarkStart w:id="227" w:name="_Toc149650910"/>
      <w:bookmarkStart w:id="228" w:name="_Toc151370035"/>
      <w:r w:rsidRPr="00CE058E">
        <w:t xml:space="preserve">Table </w:t>
      </w:r>
      <w:r>
        <w:fldChar w:fldCharType="begin"/>
      </w:r>
      <w:r>
        <w:instrText xml:space="preserve"> SEQ Table \* ARABIC </w:instrText>
      </w:r>
      <w:r>
        <w:fldChar w:fldCharType="separate"/>
      </w:r>
      <w:r w:rsidR="00B42434">
        <w:rPr>
          <w:noProof/>
        </w:rPr>
        <w:t>9</w:t>
      </w:r>
      <w:r>
        <w:rPr>
          <w:noProof/>
        </w:rPr>
        <w:fldChar w:fldCharType="end"/>
      </w:r>
      <w:r w:rsidR="00E07B55" w:rsidRPr="00CE058E">
        <w:t xml:space="preserve">: </w:t>
      </w:r>
      <w:r w:rsidR="0011632F" w:rsidRPr="00CE058E">
        <w:t xml:space="preserve">Admitted subacute and non-acute </w:t>
      </w:r>
      <w:r w:rsidR="00430263" w:rsidRPr="00CE058E">
        <w:t>episode change</w:t>
      </w:r>
      <w:r w:rsidR="00E07B55" w:rsidRPr="00CE058E">
        <w:t>, 2020-21 to 2021-22</w:t>
      </w:r>
      <w:bookmarkEnd w:id="227"/>
      <w:bookmarkEnd w:id="228"/>
    </w:p>
    <w:tbl>
      <w:tblPr>
        <w:tblStyle w:val="GridTable4-Accent2"/>
        <w:tblW w:w="9924" w:type="dxa"/>
        <w:jc w:val="center"/>
        <w:tblLook w:val="04A0" w:firstRow="1" w:lastRow="0" w:firstColumn="1" w:lastColumn="0" w:noHBand="0" w:noVBand="1"/>
      </w:tblPr>
      <w:tblGrid>
        <w:gridCol w:w="1143"/>
        <w:gridCol w:w="3960"/>
        <w:gridCol w:w="993"/>
        <w:gridCol w:w="988"/>
        <w:gridCol w:w="1564"/>
        <w:gridCol w:w="1276"/>
      </w:tblGrid>
      <w:tr w:rsidR="00037328" w:rsidRPr="00CE058E" w14:paraId="054BE9BB" w14:textId="77777777" w:rsidTr="00B85EAD">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1143"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1798801D" w14:textId="77777777" w:rsidR="00037328" w:rsidRPr="00CE058E" w:rsidRDefault="00037328" w:rsidP="00B85EAD">
            <w:pPr>
              <w:spacing w:line="240" w:lineRule="auto"/>
              <w:jc w:val="center"/>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AN-SNAP</w:t>
            </w:r>
          </w:p>
        </w:tc>
        <w:tc>
          <w:tcPr>
            <w:tcW w:w="3960"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5077A749" w14:textId="77777777" w:rsidR="00037328" w:rsidRPr="00CE058E" w:rsidRDefault="00037328" w:rsidP="00B85EA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Description</w:t>
            </w:r>
          </w:p>
        </w:tc>
        <w:tc>
          <w:tcPr>
            <w:tcW w:w="1981"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195971B1" w14:textId="764D0B64" w:rsidR="00037328" w:rsidRPr="00CE058E" w:rsidRDefault="00D84CAB" w:rsidP="00B85EA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Episodes</w:t>
            </w:r>
          </w:p>
        </w:tc>
        <w:tc>
          <w:tcPr>
            <w:tcW w:w="1564"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176B426F" w14:textId="04BB01FA" w:rsidR="00037328" w:rsidRPr="00CE058E" w:rsidRDefault="00037328" w:rsidP="00B85EA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r w:rsidR="00430263" w:rsidRPr="00CE058E">
              <w:rPr>
                <w:rFonts w:eastAsia="Times New Roman" w:cs="Arial"/>
                <w:color w:val="FFFFFF" w:themeColor="background2"/>
                <w:sz w:val="18"/>
                <w:szCs w:val="18"/>
                <w:lang w:eastAsia="en-AU"/>
              </w:rPr>
              <w:t>episodes</w:t>
            </w:r>
            <w:r w:rsidRPr="00CE058E">
              <w:rPr>
                <w:rFonts w:eastAsia="Times New Roman" w:cs="Arial"/>
                <w:color w:val="FFFFFF" w:themeColor="background2"/>
                <w:sz w:val="18"/>
                <w:szCs w:val="18"/>
                <w:lang w:eastAsia="en-AU"/>
              </w:rPr>
              <w:t>)</w:t>
            </w:r>
          </w:p>
        </w:tc>
        <w:tc>
          <w:tcPr>
            <w:tcW w:w="1276"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08E05978" w14:textId="77777777" w:rsidR="00037328" w:rsidRPr="00CE058E" w:rsidRDefault="00037328" w:rsidP="00B85EA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p>
        </w:tc>
      </w:tr>
      <w:tr w:rsidR="00037328" w:rsidRPr="00CE058E" w14:paraId="19FB76B7" w14:textId="77777777" w:rsidTr="00B85EAD">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1143"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tcPr>
          <w:p w14:paraId="4C525CC3" w14:textId="77777777" w:rsidR="00037328" w:rsidRPr="00CE058E" w:rsidRDefault="00037328" w:rsidP="00B85EAD">
            <w:pPr>
              <w:spacing w:line="240" w:lineRule="auto"/>
              <w:jc w:val="center"/>
              <w:rPr>
                <w:rFonts w:eastAsia="Times New Roman" w:cs="Arial"/>
                <w:b w:val="0"/>
                <w:bCs w:val="0"/>
                <w:color w:val="FFFFFF" w:themeColor="background2"/>
                <w:sz w:val="18"/>
                <w:szCs w:val="18"/>
                <w:lang w:eastAsia="en-AU"/>
              </w:rPr>
            </w:pPr>
          </w:p>
        </w:tc>
        <w:tc>
          <w:tcPr>
            <w:tcW w:w="3960"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tcPr>
          <w:p w14:paraId="0EBD76AA" w14:textId="77777777" w:rsidR="00037328" w:rsidRPr="00CE058E" w:rsidRDefault="00037328"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p>
        </w:tc>
        <w:tc>
          <w:tcPr>
            <w:tcW w:w="993"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tcPr>
          <w:p w14:paraId="157E18B9" w14:textId="77777777" w:rsidR="00037328" w:rsidRPr="00CE058E" w:rsidRDefault="00037328"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2021-22</w:t>
            </w:r>
          </w:p>
        </w:tc>
        <w:tc>
          <w:tcPr>
            <w:tcW w:w="98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tcPr>
          <w:p w14:paraId="21873731" w14:textId="77777777" w:rsidR="00037328" w:rsidRPr="00CE058E" w:rsidRDefault="00037328"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2020-21</w:t>
            </w:r>
          </w:p>
        </w:tc>
        <w:tc>
          <w:tcPr>
            <w:tcW w:w="1564"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5B5D1F4D" w14:textId="77777777" w:rsidR="00037328" w:rsidRPr="00CE058E" w:rsidRDefault="00037328"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p>
        </w:tc>
        <w:tc>
          <w:tcPr>
            <w:tcW w:w="1276"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1E86B846" w14:textId="77777777" w:rsidR="00037328" w:rsidRPr="00CE058E" w:rsidRDefault="00037328" w:rsidP="00B85E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p>
        </w:tc>
      </w:tr>
      <w:tr w:rsidR="00037328" w:rsidRPr="00CE058E" w14:paraId="2503C639" w14:textId="77777777" w:rsidTr="0061419D">
        <w:trPr>
          <w:trHeight w:val="229"/>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8F808C5" w14:textId="77777777" w:rsidR="00037328" w:rsidRPr="00CE058E" w:rsidRDefault="00037328" w:rsidP="00B85EAD">
            <w:pPr>
              <w:spacing w:line="240" w:lineRule="auto"/>
              <w:jc w:val="center"/>
              <w:rPr>
                <w:rFonts w:eastAsia="Times New Roman" w:cs="Arial"/>
                <w:color w:val="15272F"/>
                <w:sz w:val="18"/>
                <w:szCs w:val="18"/>
                <w:lang w:eastAsia="en-AU"/>
              </w:rPr>
            </w:pPr>
            <w:r w:rsidRPr="00CE058E">
              <w:rPr>
                <w:rFonts w:cs="Arial"/>
                <w:color w:val="15272F"/>
                <w:sz w:val="18"/>
                <w:szCs w:val="18"/>
              </w:rPr>
              <w:t>5ES3</w:t>
            </w:r>
          </w:p>
        </w:tc>
        <w:tc>
          <w:tcPr>
            <w:tcW w:w="0" w:type="dxa"/>
            <w:noWrap/>
            <w:vAlign w:val="center"/>
            <w:hideMark/>
          </w:tcPr>
          <w:p w14:paraId="7E75368B" w14:textId="77777777" w:rsidR="00037328" w:rsidRPr="00CE058E" w:rsidRDefault="00037328" w:rsidP="00B85EA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Shorter term care (LOS =&lt; 91), Age = 18-64</w:t>
            </w:r>
          </w:p>
        </w:tc>
        <w:tc>
          <w:tcPr>
            <w:tcW w:w="0" w:type="dxa"/>
            <w:noWrap/>
            <w:vAlign w:val="center"/>
            <w:hideMark/>
          </w:tcPr>
          <w:p w14:paraId="71BA6F8C"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11,068</w:t>
            </w:r>
          </w:p>
        </w:tc>
        <w:tc>
          <w:tcPr>
            <w:tcW w:w="0" w:type="dxa"/>
            <w:noWrap/>
            <w:vAlign w:val="center"/>
            <w:hideMark/>
          </w:tcPr>
          <w:p w14:paraId="18565435"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3,993</w:t>
            </w:r>
          </w:p>
        </w:tc>
        <w:tc>
          <w:tcPr>
            <w:tcW w:w="0" w:type="dxa"/>
            <w:noWrap/>
            <w:vAlign w:val="center"/>
            <w:hideMark/>
          </w:tcPr>
          <w:p w14:paraId="42E942F4"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7,075</w:t>
            </w:r>
          </w:p>
        </w:tc>
        <w:tc>
          <w:tcPr>
            <w:tcW w:w="0" w:type="dxa"/>
            <w:noWrap/>
            <w:vAlign w:val="center"/>
            <w:hideMark/>
          </w:tcPr>
          <w:p w14:paraId="09BA7258"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177%</w:t>
            </w:r>
          </w:p>
        </w:tc>
      </w:tr>
      <w:tr w:rsidR="00037328" w:rsidRPr="00CE058E" w14:paraId="319A946C" w14:textId="77777777" w:rsidTr="0061419D">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CD83F84" w14:textId="77777777" w:rsidR="00037328" w:rsidRPr="00CE058E" w:rsidRDefault="00037328" w:rsidP="00B85EAD">
            <w:pPr>
              <w:spacing w:line="240" w:lineRule="auto"/>
              <w:jc w:val="center"/>
              <w:rPr>
                <w:rFonts w:eastAsia="Times New Roman" w:cs="Arial"/>
                <w:color w:val="15272F"/>
                <w:sz w:val="18"/>
                <w:szCs w:val="18"/>
                <w:lang w:eastAsia="en-AU"/>
              </w:rPr>
            </w:pPr>
            <w:r w:rsidRPr="00CE058E">
              <w:rPr>
                <w:rFonts w:cs="Arial"/>
                <w:color w:val="15272F"/>
                <w:sz w:val="18"/>
                <w:szCs w:val="18"/>
              </w:rPr>
              <w:t>5ES1</w:t>
            </w:r>
          </w:p>
        </w:tc>
        <w:tc>
          <w:tcPr>
            <w:tcW w:w="0" w:type="dxa"/>
            <w:noWrap/>
            <w:vAlign w:val="center"/>
            <w:hideMark/>
          </w:tcPr>
          <w:p w14:paraId="2F097762" w14:textId="77777777" w:rsidR="00037328" w:rsidRPr="00CE058E" w:rsidRDefault="00037328" w:rsidP="00B85EAD">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Shorter term care (LOS =&lt; 91), Age &gt;= 65, Frailty Related Index of Comorbidities (FRIC) Score 0 - 1.9</w:t>
            </w:r>
          </w:p>
        </w:tc>
        <w:tc>
          <w:tcPr>
            <w:tcW w:w="0" w:type="dxa"/>
            <w:noWrap/>
            <w:vAlign w:val="center"/>
            <w:hideMark/>
          </w:tcPr>
          <w:p w14:paraId="1935A892"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18,173</w:t>
            </w:r>
          </w:p>
        </w:tc>
        <w:tc>
          <w:tcPr>
            <w:tcW w:w="0" w:type="dxa"/>
            <w:noWrap/>
            <w:vAlign w:val="center"/>
            <w:hideMark/>
          </w:tcPr>
          <w:p w14:paraId="3A90A4D5"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12,402</w:t>
            </w:r>
          </w:p>
        </w:tc>
        <w:tc>
          <w:tcPr>
            <w:tcW w:w="0" w:type="dxa"/>
            <w:noWrap/>
            <w:vAlign w:val="center"/>
            <w:hideMark/>
          </w:tcPr>
          <w:p w14:paraId="5A105745"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5,771</w:t>
            </w:r>
          </w:p>
        </w:tc>
        <w:tc>
          <w:tcPr>
            <w:tcW w:w="0" w:type="dxa"/>
            <w:noWrap/>
            <w:vAlign w:val="center"/>
            <w:hideMark/>
          </w:tcPr>
          <w:p w14:paraId="3FF0CE61"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47%</w:t>
            </w:r>
          </w:p>
        </w:tc>
      </w:tr>
      <w:tr w:rsidR="00037328" w:rsidRPr="00CE058E" w14:paraId="1F529E46" w14:textId="77777777" w:rsidTr="0061419D">
        <w:trPr>
          <w:trHeight w:val="191"/>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23CCDD3" w14:textId="77777777" w:rsidR="00037328" w:rsidRPr="00CE058E" w:rsidRDefault="00037328" w:rsidP="00B85EAD">
            <w:pPr>
              <w:spacing w:line="240" w:lineRule="auto"/>
              <w:jc w:val="center"/>
              <w:rPr>
                <w:rFonts w:eastAsia="Times New Roman" w:cs="Arial"/>
                <w:color w:val="15272F"/>
                <w:sz w:val="18"/>
                <w:szCs w:val="18"/>
                <w:lang w:eastAsia="en-AU"/>
              </w:rPr>
            </w:pPr>
            <w:r w:rsidRPr="00CE058E">
              <w:rPr>
                <w:rFonts w:cs="Arial"/>
                <w:color w:val="15272F"/>
                <w:sz w:val="18"/>
                <w:szCs w:val="18"/>
              </w:rPr>
              <w:t>5ES4</w:t>
            </w:r>
          </w:p>
        </w:tc>
        <w:tc>
          <w:tcPr>
            <w:tcW w:w="0" w:type="dxa"/>
            <w:noWrap/>
            <w:vAlign w:val="center"/>
            <w:hideMark/>
          </w:tcPr>
          <w:p w14:paraId="41B0E248" w14:textId="77777777" w:rsidR="00037328" w:rsidRPr="00CE058E" w:rsidRDefault="00037328" w:rsidP="00B85EAD">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Shorter term care (LOS =&lt; 91), Age =&lt; 17</w:t>
            </w:r>
          </w:p>
        </w:tc>
        <w:tc>
          <w:tcPr>
            <w:tcW w:w="0" w:type="dxa"/>
            <w:noWrap/>
            <w:vAlign w:val="center"/>
            <w:hideMark/>
          </w:tcPr>
          <w:p w14:paraId="39E5BAB3"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904</w:t>
            </w:r>
          </w:p>
        </w:tc>
        <w:tc>
          <w:tcPr>
            <w:tcW w:w="0" w:type="dxa"/>
            <w:noWrap/>
            <w:vAlign w:val="center"/>
            <w:hideMark/>
          </w:tcPr>
          <w:p w14:paraId="3D383700"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89</w:t>
            </w:r>
          </w:p>
        </w:tc>
        <w:tc>
          <w:tcPr>
            <w:tcW w:w="0" w:type="dxa"/>
            <w:noWrap/>
            <w:vAlign w:val="center"/>
            <w:hideMark/>
          </w:tcPr>
          <w:p w14:paraId="30A2C9E7"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815</w:t>
            </w:r>
          </w:p>
        </w:tc>
        <w:tc>
          <w:tcPr>
            <w:tcW w:w="0" w:type="dxa"/>
            <w:noWrap/>
            <w:vAlign w:val="center"/>
            <w:hideMark/>
          </w:tcPr>
          <w:p w14:paraId="702860A8"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916%</w:t>
            </w:r>
          </w:p>
        </w:tc>
      </w:tr>
      <w:tr w:rsidR="00B85EAD" w:rsidRPr="00CE058E" w14:paraId="2D37DEA4" w14:textId="77777777" w:rsidTr="0061419D">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0BA4A1B9" w14:textId="414256D9" w:rsidR="00B85EAD" w:rsidRPr="00CE058E" w:rsidRDefault="00B85EAD" w:rsidP="00B85EAD">
            <w:pPr>
              <w:spacing w:line="240" w:lineRule="auto"/>
              <w:jc w:val="center"/>
              <w:rPr>
                <w:rFonts w:cs="Arial"/>
                <w:color w:val="15272F"/>
                <w:sz w:val="18"/>
                <w:szCs w:val="18"/>
              </w:rPr>
            </w:pPr>
            <w:r w:rsidRPr="00CE058E">
              <w:rPr>
                <w:rFonts w:cs="Arial"/>
                <w:color w:val="15272F"/>
                <w:sz w:val="18"/>
                <w:szCs w:val="18"/>
              </w:rPr>
              <w:t>5CH1</w:t>
            </w:r>
          </w:p>
        </w:tc>
        <w:tc>
          <w:tcPr>
            <w:tcW w:w="0" w:type="dxa"/>
            <w:noWrap/>
            <w:vAlign w:val="center"/>
          </w:tcPr>
          <w:p w14:paraId="45DCEBB5" w14:textId="290AA7E9" w:rsidR="00B85EAD" w:rsidRPr="00CE058E" w:rsidRDefault="00B85EAD" w:rsidP="00B85EAD">
            <w:pPr>
              <w:spacing w:line="240" w:lineRule="auto"/>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Frailty Related Index of Comorbidities (FRIC) Score &gt;= 7.4, FIM Motor 40 - 91</w:t>
            </w:r>
          </w:p>
        </w:tc>
        <w:tc>
          <w:tcPr>
            <w:tcW w:w="0" w:type="dxa"/>
            <w:noWrap/>
            <w:vAlign w:val="center"/>
          </w:tcPr>
          <w:p w14:paraId="474B4CC1" w14:textId="18D870C3" w:rsidR="00B85EAD" w:rsidRPr="00CE058E" w:rsidRDefault="00B85EAD"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1,376</w:t>
            </w:r>
          </w:p>
        </w:tc>
        <w:tc>
          <w:tcPr>
            <w:tcW w:w="0" w:type="dxa"/>
            <w:noWrap/>
            <w:vAlign w:val="center"/>
          </w:tcPr>
          <w:p w14:paraId="2ECC6553" w14:textId="426A9785" w:rsidR="00B85EAD" w:rsidRPr="00CE058E" w:rsidRDefault="00B85EAD"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2,776</w:t>
            </w:r>
          </w:p>
        </w:tc>
        <w:tc>
          <w:tcPr>
            <w:tcW w:w="0" w:type="dxa"/>
            <w:noWrap/>
            <w:vAlign w:val="center"/>
          </w:tcPr>
          <w:p w14:paraId="7257F97D" w14:textId="0E43A961" w:rsidR="00B85EAD" w:rsidRPr="00CE058E" w:rsidRDefault="00B85EAD"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-1,400</w:t>
            </w:r>
          </w:p>
        </w:tc>
        <w:tc>
          <w:tcPr>
            <w:tcW w:w="0" w:type="dxa"/>
            <w:noWrap/>
            <w:vAlign w:val="center"/>
          </w:tcPr>
          <w:p w14:paraId="340B3688" w14:textId="54C59C78" w:rsidR="00B85EAD" w:rsidRPr="00CE058E" w:rsidRDefault="00B85EAD"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-50%</w:t>
            </w:r>
          </w:p>
        </w:tc>
      </w:tr>
      <w:tr w:rsidR="00B85EAD" w:rsidRPr="00CE058E" w14:paraId="398EA00E" w14:textId="77777777" w:rsidTr="0061419D">
        <w:trPr>
          <w:trHeight w:val="191"/>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56CDA390" w14:textId="18018182" w:rsidR="00B85EAD" w:rsidRPr="00CE058E" w:rsidRDefault="00B85EAD" w:rsidP="00B85EAD">
            <w:pPr>
              <w:spacing w:line="240" w:lineRule="auto"/>
              <w:jc w:val="center"/>
              <w:rPr>
                <w:rFonts w:cs="Arial"/>
                <w:color w:val="15272F"/>
                <w:sz w:val="18"/>
                <w:szCs w:val="18"/>
              </w:rPr>
            </w:pPr>
            <w:r w:rsidRPr="00CE058E">
              <w:rPr>
                <w:rFonts w:cs="Arial"/>
                <w:color w:val="15272F"/>
                <w:sz w:val="18"/>
                <w:szCs w:val="18"/>
              </w:rPr>
              <w:t>5ES2</w:t>
            </w:r>
          </w:p>
        </w:tc>
        <w:tc>
          <w:tcPr>
            <w:tcW w:w="0" w:type="dxa"/>
            <w:noWrap/>
            <w:vAlign w:val="center"/>
          </w:tcPr>
          <w:p w14:paraId="2A08C06D" w14:textId="0CD204D0" w:rsidR="00B85EAD" w:rsidRPr="00CE058E" w:rsidRDefault="00B85EAD" w:rsidP="00B85EAD">
            <w:pPr>
              <w:spacing w:line="240" w:lineRule="auto"/>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Shorter term care (LOS =&lt; 91), Age &gt;= 65, Frailty Related Index of Comorbidities (FRIC) Score &gt;= 2</w:t>
            </w:r>
          </w:p>
        </w:tc>
        <w:tc>
          <w:tcPr>
            <w:tcW w:w="0" w:type="dxa"/>
            <w:noWrap/>
            <w:vAlign w:val="center"/>
          </w:tcPr>
          <w:p w14:paraId="2CCAEBC4" w14:textId="700F55F5" w:rsidR="00B85EAD" w:rsidRPr="00CE058E" w:rsidRDefault="00B85EAD"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11,055</w:t>
            </w:r>
          </w:p>
        </w:tc>
        <w:tc>
          <w:tcPr>
            <w:tcW w:w="0" w:type="dxa"/>
            <w:noWrap/>
            <w:vAlign w:val="center"/>
          </w:tcPr>
          <w:p w14:paraId="7FC393B1" w14:textId="17619344" w:rsidR="00B85EAD" w:rsidRPr="00CE058E" w:rsidRDefault="00B85EAD"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13,375</w:t>
            </w:r>
          </w:p>
        </w:tc>
        <w:tc>
          <w:tcPr>
            <w:tcW w:w="0" w:type="dxa"/>
            <w:noWrap/>
            <w:vAlign w:val="center"/>
          </w:tcPr>
          <w:p w14:paraId="0D05F72C" w14:textId="155B438A" w:rsidR="00B85EAD" w:rsidRPr="00CE058E" w:rsidRDefault="00B85EAD"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-2,320</w:t>
            </w:r>
          </w:p>
        </w:tc>
        <w:tc>
          <w:tcPr>
            <w:tcW w:w="0" w:type="dxa"/>
            <w:noWrap/>
            <w:vAlign w:val="center"/>
          </w:tcPr>
          <w:p w14:paraId="38E80EDA" w14:textId="693AC292" w:rsidR="00B85EAD" w:rsidRPr="00CE058E" w:rsidRDefault="00B85EAD"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-17%</w:t>
            </w:r>
          </w:p>
        </w:tc>
      </w:tr>
      <w:tr w:rsidR="00037328" w:rsidRPr="00CE058E" w14:paraId="0703AFA3" w14:textId="77777777" w:rsidTr="006141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71D23AE4" w14:textId="77777777" w:rsidR="00037328" w:rsidRPr="00CE058E" w:rsidRDefault="00037328" w:rsidP="00B85EAD">
            <w:pPr>
              <w:spacing w:line="240" w:lineRule="auto"/>
              <w:jc w:val="center"/>
              <w:rPr>
                <w:rFonts w:eastAsia="Times New Roman" w:cs="Arial"/>
                <w:color w:val="15272F"/>
                <w:sz w:val="18"/>
                <w:szCs w:val="18"/>
                <w:lang w:eastAsia="en-AU"/>
              </w:rPr>
            </w:pPr>
            <w:r w:rsidRPr="00CE058E">
              <w:rPr>
                <w:rFonts w:cs="Arial"/>
                <w:color w:val="15272F"/>
                <w:sz w:val="18"/>
                <w:szCs w:val="18"/>
              </w:rPr>
              <w:t>5J01</w:t>
            </w:r>
          </w:p>
        </w:tc>
        <w:tc>
          <w:tcPr>
            <w:tcW w:w="0" w:type="dxa"/>
            <w:noWrap/>
            <w:vAlign w:val="center"/>
          </w:tcPr>
          <w:p w14:paraId="292A34A4" w14:textId="77777777" w:rsidR="00037328" w:rsidRPr="00CE058E" w:rsidRDefault="00037328" w:rsidP="00B85EAD">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Adult Same-Day Rehabilitation</w:t>
            </w:r>
          </w:p>
        </w:tc>
        <w:tc>
          <w:tcPr>
            <w:tcW w:w="0" w:type="dxa"/>
            <w:noWrap/>
            <w:vAlign w:val="center"/>
          </w:tcPr>
          <w:p w14:paraId="53323C23"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11,007</w:t>
            </w:r>
          </w:p>
        </w:tc>
        <w:tc>
          <w:tcPr>
            <w:tcW w:w="0" w:type="dxa"/>
            <w:noWrap/>
            <w:vAlign w:val="center"/>
          </w:tcPr>
          <w:p w14:paraId="4939EC45"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16,016</w:t>
            </w:r>
          </w:p>
        </w:tc>
        <w:tc>
          <w:tcPr>
            <w:tcW w:w="0" w:type="dxa"/>
            <w:noWrap/>
            <w:vAlign w:val="center"/>
          </w:tcPr>
          <w:p w14:paraId="4E29FFF0"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-5,009</w:t>
            </w:r>
          </w:p>
        </w:tc>
        <w:tc>
          <w:tcPr>
            <w:tcW w:w="0" w:type="dxa"/>
            <w:noWrap/>
            <w:vAlign w:val="center"/>
          </w:tcPr>
          <w:p w14:paraId="3C4C711B"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-31%</w:t>
            </w:r>
          </w:p>
        </w:tc>
      </w:tr>
    </w:tbl>
    <w:p w14:paraId="72F86200" w14:textId="15479709" w:rsidR="00E07B55" w:rsidRPr="00CE058E" w:rsidRDefault="00E07B55" w:rsidP="007B41F8">
      <w:pPr>
        <w:pStyle w:val="Heading2"/>
      </w:pPr>
      <w:bookmarkStart w:id="229" w:name="_Toc144215446"/>
      <w:bookmarkStart w:id="230" w:name="_Toc144967652"/>
      <w:bookmarkStart w:id="231" w:name="_Toc151129702"/>
      <w:bookmarkStart w:id="232" w:name="_Toc158882553"/>
      <w:bookmarkStart w:id="233" w:name="_Toc158882614"/>
      <w:r w:rsidRPr="00CE058E">
        <w:t>Admitted subacute and non-acute cost</w:t>
      </w:r>
      <w:bookmarkEnd w:id="229"/>
      <w:bookmarkEnd w:id="230"/>
      <w:bookmarkEnd w:id="231"/>
      <w:bookmarkEnd w:id="232"/>
      <w:bookmarkEnd w:id="233"/>
    </w:p>
    <w:p w14:paraId="75D184AD" w14:textId="1ADE5F20" w:rsidR="00845FB8" w:rsidRPr="00CE058E" w:rsidRDefault="00845FB8" w:rsidP="0037633A">
      <w:pPr>
        <w:spacing w:line="276" w:lineRule="auto"/>
        <w:rPr>
          <w:rFonts w:cs="Arial"/>
          <w:color w:val="auto"/>
        </w:rPr>
      </w:pPr>
      <w:r w:rsidRPr="00CE058E">
        <w:rPr>
          <w:rFonts w:cs="Arial"/>
          <w:color w:val="auto"/>
        </w:rPr>
        <w:t xml:space="preserve">In 2021-22, </w:t>
      </w:r>
      <w:r w:rsidR="00AF2519">
        <w:rPr>
          <w:rFonts w:cs="Arial"/>
          <w:color w:val="auto"/>
        </w:rPr>
        <w:t xml:space="preserve">the </w:t>
      </w:r>
      <w:r w:rsidRPr="00CE058E">
        <w:rPr>
          <w:rFonts w:cs="Arial"/>
          <w:color w:val="auto"/>
        </w:rPr>
        <w:t>admitted subacute and non-acute episodes</w:t>
      </w:r>
      <w:r w:rsidR="00AF2519">
        <w:rPr>
          <w:rFonts w:cs="Arial"/>
          <w:color w:val="auto"/>
        </w:rPr>
        <w:t xml:space="preserve"> expenditure reported in the NHCDC was</w:t>
      </w:r>
      <w:r w:rsidRPr="00CE058E">
        <w:rPr>
          <w:rFonts w:cs="Arial"/>
          <w:color w:val="auto"/>
        </w:rPr>
        <w:t xml:space="preserve"> approximately $3.2 billion</w:t>
      </w:r>
      <w:r w:rsidR="00AF2519">
        <w:rPr>
          <w:rFonts w:cs="Arial"/>
          <w:color w:val="auto"/>
        </w:rPr>
        <w:t xml:space="preserve"> nationally</w:t>
      </w:r>
      <w:r w:rsidRPr="00CE058E">
        <w:rPr>
          <w:rFonts w:cs="Arial"/>
          <w:color w:val="auto"/>
        </w:rPr>
        <w:t xml:space="preserve">. Figure 9 shows the cost of admitted subacute and non-acute episodes by jurisdiction from 2019-20 to 2021-22. </w:t>
      </w:r>
      <w:r w:rsidR="0037633A" w:rsidRPr="00CE058E">
        <w:rPr>
          <w:rFonts w:cs="Arial"/>
          <w:color w:val="auto"/>
        </w:rPr>
        <w:t>From 2020-21 to 2021-22, the cost of admitted subacute and non-acute episodes increased</w:t>
      </w:r>
      <w:r w:rsidRPr="00CE058E">
        <w:rPr>
          <w:rFonts w:cs="Arial"/>
          <w:color w:val="auto"/>
        </w:rPr>
        <w:t xml:space="preserve"> $353.8 million nationally, a 12</w:t>
      </w:r>
      <w:r w:rsidR="00897090">
        <w:rPr>
          <w:rFonts w:cs="Arial"/>
          <w:color w:val="auto"/>
        </w:rPr>
        <w:t>%</w:t>
      </w:r>
      <w:r w:rsidRPr="00CE058E">
        <w:rPr>
          <w:rFonts w:cs="Arial"/>
          <w:color w:val="auto"/>
        </w:rPr>
        <w:t xml:space="preserve"> increase to the 2020-21 figure of $2.9 billion. The national increase</w:t>
      </w:r>
      <w:r w:rsidR="0037633A" w:rsidRPr="00CE058E">
        <w:rPr>
          <w:rFonts w:cs="Arial"/>
          <w:color w:val="auto"/>
        </w:rPr>
        <w:t xml:space="preserve"> in the cost of </w:t>
      </w:r>
      <w:r w:rsidRPr="00CE058E">
        <w:rPr>
          <w:rFonts w:cs="Arial"/>
          <w:color w:val="auto"/>
        </w:rPr>
        <w:t>admitted subacute and non-acute episodes was driven by Queensland, increasing $133.3 million (or 20</w:t>
      </w:r>
      <w:r w:rsidR="00897090">
        <w:rPr>
          <w:rFonts w:cs="Arial"/>
          <w:color w:val="auto"/>
        </w:rPr>
        <w:t>%</w:t>
      </w:r>
      <w:r w:rsidRPr="00CE058E">
        <w:rPr>
          <w:rFonts w:cs="Arial"/>
          <w:color w:val="auto"/>
        </w:rPr>
        <w:t xml:space="preserve">) from 2020-21 to 2021-22. In 2021-22, </w:t>
      </w:r>
      <w:r w:rsidR="00C33282">
        <w:rPr>
          <w:rFonts w:cs="Arial"/>
          <w:color w:val="auto"/>
        </w:rPr>
        <w:t>the</w:t>
      </w:r>
      <w:r w:rsidRPr="00CE058E">
        <w:rPr>
          <w:rFonts w:cs="Arial"/>
          <w:color w:val="auto"/>
        </w:rPr>
        <w:t xml:space="preserve"> cost for episodes at the jurisdictional level ranged from $56.9 million (Northern Territory) to $811.0 million (Queensland).</w:t>
      </w:r>
    </w:p>
    <w:p w14:paraId="1E8BC178" w14:textId="461FACFA" w:rsidR="00E07B55" w:rsidRPr="00CE058E" w:rsidRDefault="006272A2" w:rsidP="00B42434">
      <w:pPr>
        <w:pStyle w:val="TableFigureheading"/>
      </w:pPr>
      <w:bookmarkStart w:id="234" w:name="_Toc151116345"/>
      <w:bookmarkStart w:id="235" w:name="_Toc151370058"/>
      <w:r w:rsidRPr="00CE058E">
        <w:t xml:space="preserve">Figure </w:t>
      </w:r>
      <w:r>
        <w:fldChar w:fldCharType="begin"/>
      </w:r>
      <w:r>
        <w:instrText xml:space="preserve"> SEQ Figure \* ARABIC </w:instrText>
      </w:r>
      <w:r>
        <w:fldChar w:fldCharType="separate"/>
      </w:r>
      <w:r w:rsidR="00DD29C5">
        <w:rPr>
          <w:noProof/>
        </w:rPr>
        <w:t>9</w:t>
      </w:r>
      <w:r>
        <w:rPr>
          <w:noProof/>
        </w:rPr>
        <w:fldChar w:fldCharType="end"/>
      </w:r>
      <w:r w:rsidR="00E07B55" w:rsidRPr="00CE058E">
        <w:t xml:space="preserve">: Admitted subacute and non-acute </w:t>
      </w:r>
      <w:r w:rsidR="00E23327" w:rsidRPr="00CE058E">
        <w:t xml:space="preserve">episodes </w:t>
      </w:r>
      <w:r w:rsidR="00E07B55" w:rsidRPr="00CE058E">
        <w:t>cost, 2019-20 to 2021-22</w:t>
      </w:r>
      <w:bookmarkEnd w:id="234"/>
      <w:bookmarkEnd w:id="235"/>
    </w:p>
    <w:p w14:paraId="127FD302" w14:textId="0E5DE058" w:rsidR="00AF155F" w:rsidRPr="00CE058E" w:rsidRDefault="00BD44CB" w:rsidP="00A47745">
      <w:pPr>
        <w:ind w:left="-1080" w:right="-1027"/>
        <w:jc w:val="center"/>
        <w:rPr>
          <w:rFonts w:cs="Arial"/>
        </w:rPr>
      </w:pPr>
      <w:r w:rsidRPr="00CE058E">
        <w:rPr>
          <w:rFonts w:cs="Arial"/>
          <w:noProof/>
        </w:rPr>
        <w:drawing>
          <wp:inline distT="0" distB="0" distL="0" distR="0" wp14:anchorId="5A80E501" wp14:editId="29B85B2B">
            <wp:extent cx="6188710" cy="2340000"/>
            <wp:effectExtent l="0" t="0" r="0" b="0"/>
            <wp:docPr id="24" name="Chart 24">
              <a:extLst xmlns:a="http://schemas.openxmlformats.org/drawingml/2006/main">
                <a:ext uri="{FF2B5EF4-FFF2-40B4-BE49-F238E27FC236}">
                  <a16:creationId xmlns:a16="http://schemas.microsoft.com/office/drawing/2014/main" id="{09E0E963-7A8A-F19B-4E70-57C7A250C9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Start w:id="236" w:name="_Toc144967654"/>
    </w:p>
    <w:p w14:paraId="7B50BB6A" w14:textId="262B6870" w:rsidR="00845FB8" w:rsidRPr="00CE058E" w:rsidRDefault="00845FB8" w:rsidP="00845FB8">
      <w:pPr>
        <w:spacing w:line="276" w:lineRule="auto"/>
        <w:rPr>
          <w:rFonts w:cs="Arial"/>
          <w:color w:val="auto"/>
        </w:rPr>
      </w:pPr>
      <w:r w:rsidRPr="00CE058E">
        <w:rPr>
          <w:rFonts w:cs="Arial"/>
          <w:color w:val="auto"/>
        </w:rPr>
        <w:lastRenderedPageBreak/>
        <w:t>In 2021-22,</w:t>
      </w:r>
      <w:r w:rsidR="00AF2519">
        <w:rPr>
          <w:rFonts w:cs="Arial"/>
          <w:color w:val="auto"/>
        </w:rPr>
        <w:t xml:space="preserve"> the</w:t>
      </w:r>
      <w:r w:rsidRPr="00CE058E">
        <w:rPr>
          <w:rFonts w:cs="Arial"/>
          <w:color w:val="auto"/>
        </w:rPr>
        <w:t xml:space="preserve"> admitted subacute phases </w:t>
      </w:r>
      <w:r w:rsidR="00AF2519">
        <w:rPr>
          <w:rFonts w:cs="Arial"/>
          <w:color w:val="auto"/>
        </w:rPr>
        <w:t xml:space="preserve">expenditure reported in the NHCDC was </w:t>
      </w:r>
      <w:r w:rsidRPr="00CE058E">
        <w:rPr>
          <w:rFonts w:cs="Arial"/>
          <w:color w:val="auto"/>
        </w:rPr>
        <w:t>approximately $467.9 million</w:t>
      </w:r>
      <w:r w:rsidR="00AF2519">
        <w:rPr>
          <w:rFonts w:cs="Arial"/>
          <w:color w:val="auto"/>
        </w:rPr>
        <w:t xml:space="preserve"> nationally</w:t>
      </w:r>
      <w:r w:rsidRPr="00CE058E">
        <w:rPr>
          <w:rFonts w:cs="Arial"/>
          <w:color w:val="auto"/>
        </w:rPr>
        <w:t>.</w:t>
      </w:r>
      <w:r w:rsidR="00AF2519">
        <w:rPr>
          <w:rFonts w:cs="Arial"/>
          <w:color w:val="auto"/>
        </w:rPr>
        <w:t xml:space="preserve"> </w:t>
      </w:r>
      <w:r w:rsidRPr="00CE058E">
        <w:rPr>
          <w:rFonts w:cs="Arial"/>
          <w:color w:val="auto"/>
        </w:rPr>
        <w:t xml:space="preserve">Figure 10 shows the cost of admitted subacute phases by jurisdiction from 2019-20 to 2021-22. </w:t>
      </w:r>
      <w:r w:rsidR="0037633A" w:rsidRPr="00CE058E">
        <w:rPr>
          <w:rFonts w:cs="Arial"/>
          <w:color w:val="auto"/>
        </w:rPr>
        <w:t xml:space="preserve">From 2020-21 to 2021-22, the cost of admitted subacute increased </w:t>
      </w:r>
      <w:r w:rsidRPr="00CE058E">
        <w:rPr>
          <w:rFonts w:cs="Arial"/>
          <w:color w:val="auto"/>
        </w:rPr>
        <w:t>$41.8 million nationally, a 10</w:t>
      </w:r>
      <w:r w:rsidR="00897090">
        <w:rPr>
          <w:rFonts w:cs="Arial"/>
          <w:color w:val="auto"/>
        </w:rPr>
        <w:t>%</w:t>
      </w:r>
      <w:r w:rsidRPr="00CE058E">
        <w:rPr>
          <w:rFonts w:cs="Arial"/>
          <w:color w:val="auto"/>
        </w:rPr>
        <w:t xml:space="preserve"> increase to the 2020-21 figure of $</w:t>
      </w:r>
      <w:r w:rsidR="0037633A" w:rsidRPr="00CE058E">
        <w:rPr>
          <w:rFonts w:cs="Arial"/>
          <w:color w:val="auto"/>
        </w:rPr>
        <w:t>426.2 m</w:t>
      </w:r>
      <w:r w:rsidRPr="00CE058E">
        <w:rPr>
          <w:rFonts w:cs="Arial"/>
          <w:color w:val="auto"/>
        </w:rPr>
        <w:t xml:space="preserve">illion. The national increase in </w:t>
      </w:r>
      <w:r w:rsidR="0037633A" w:rsidRPr="00CE058E">
        <w:rPr>
          <w:rFonts w:cs="Arial"/>
          <w:color w:val="auto"/>
        </w:rPr>
        <w:t xml:space="preserve">the cost of </w:t>
      </w:r>
      <w:r w:rsidRPr="00CE058E">
        <w:rPr>
          <w:rFonts w:cs="Arial"/>
          <w:color w:val="auto"/>
        </w:rPr>
        <w:t xml:space="preserve">admitted subacute </w:t>
      </w:r>
      <w:r w:rsidR="0037633A" w:rsidRPr="00CE058E">
        <w:rPr>
          <w:rFonts w:cs="Arial"/>
          <w:color w:val="auto"/>
        </w:rPr>
        <w:t xml:space="preserve">phases </w:t>
      </w:r>
      <w:r w:rsidRPr="00CE058E">
        <w:rPr>
          <w:rFonts w:cs="Arial"/>
          <w:color w:val="auto"/>
        </w:rPr>
        <w:t xml:space="preserve">was driven by </w:t>
      </w:r>
      <w:r w:rsidR="0037633A" w:rsidRPr="00CE058E">
        <w:rPr>
          <w:rFonts w:cs="Arial"/>
          <w:color w:val="auto"/>
        </w:rPr>
        <w:t xml:space="preserve">South Australia as there was no cost data submitted in 2020-21, but </w:t>
      </w:r>
      <w:r w:rsidRPr="00CE058E">
        <w:rPr>
          <w:rFonts w:cs="Arial"/>
          <w:color w:val="auto"/>
        </w:rPr>
        <w:t>$</w:t>
      </w:r>
      <w:r w:rsidR="0037633A" w:rsidRPr="00CE058E">
        <w:rPr>
          <w:rFonts w:cs="Arial"/>
          <w:color w:val="auto"/>
        </w:rPr>
        <w:t>21.7</w:t>
      </w:r>
      <w:r w:rsidRPr="00CE058E">
        <w:rPr>
          <w:rFonts w:cs="Arial"/>
          <w:color w:val="auto"/>
        </w:rPr>
        <w:t xml:space="preserve"> million </w:t>
      </w:r>
      <w:r w:rsidR="0037633A" w:rsidRPr="00CE058E">
        <w:rPr>
          <w:rFonts w:cs="Arial"/>
          <w:color w:val="auto"/>
        </w:rPr>
        <w:t>submitted</w:t>
      </w:r>
      <w:r w:rsidR="008206C9" w:rsidRPr="00CE058E">
        <w:rPr>
          <w:rFonts w:cs="Arial"/>
          <w:color w:val="auto"/>
        </w:rPr>
        <w:t xml:space="preserve"> in</w:t>
      </w:r>
      <w:r w:rsidR="0037633A" w:rsidRPr="00CE058E">
        <w:rPr>
          <w:rFonts w:cs="Arial"/>
          <w:color w:val="auto"/>
        </w:rPr>
        <w:t xml:space="preserve"> </w:t>
      </w:r>
      <w:r w:rsidRPr="00CE058E">
        <w:rPr>
          <w:rFonts w:cs="Arial"/>
          <w:color w:val="auto"/>
        </w:rPr>
        <w:t xml:space="preserve">2021-22. In 2021-22, the cost for phases at the jurisdictional level ranged from $4.3 million (Northern Territory) to $178.5 million (New South Wales). It should be noted that Western Australia and the Australian Capital Territory have not reported phase level cost data for the last </w:t>
      </w:r>
      <w:r w:rsidR="00EE76DB">
        <w:rPr>
          <w:rFonts w:cs="Arial"/>
          <w:color w:val="auto"/>
        </w:rPr>
        <w:t>3</w:t>
      </w:r>
      <w:r w:rsidR="00EE76DB" w:rsidRPr="00CE058E">
        <w:rPr>
          <w:rFonts w:cs="Arial"/>
          <w:color w:val="auto"/>
        </w:rPr>
        <w:t xml:space="preserve"> </w:t>
      </w:r>
      <w:r w:rsidRPr="00CE058E">
        <w:rPr>
          <w:rFonts w:cs="Arial"/>
          <w:color w:val="auto"/>
        </w:rPr>
        <w:t>years.</w:t>
      </w:r>
    </w:p>
    <w:p w14:paraId="7A3A34C3" w14:textId="72CC90B0" w:rsidR="003F7C8C" w:rsidRPr="00CE058E" w:rsidRDefault="006272A2" w:rsidP="00B42434">
      <w:pPr>
        <w:pStyle w:val="TableFigureheading"/>
      </w:pPr>
      <w:bookmarkStart w:id="237" w:name="_Toc151116346"/>
      <w:bookmarkStart w:id="238" w:name="_Toc151370059"/>
      <w:r w:rsidRPr="00CE058E">
        <w:t xml:space="preserve">Figure </w:t>
      </w:r>
      <w:r>
        <w:fldChar w:fldCharType="begin"/>
      </w:r>
      <w:r>
        <w:instrText xml:space="preserve"> SEQ Figure \* ARABIC </w:instrText>
      </w:r>
      <w:r>
        <w:fldChar w:fldCharType="separate"/>
      </w:r>
      <w:r w:rsidR="00DD29C5">
        <w:rPr>
          <w:noProof/>
        </w:rPr>
        <w:t>10</w:t>
      </w:r>
      <w:r>
        <w:rPr>
          <w:noProof/>
        </w:rPr>
        <w:fldChar w:fldCharType="end"/>
      </w:r>
      <w:r w:rsidR="003F7C8C" w:rsidRPr="00CE058E">
        <w:t xml:space="preserve">: Admitted subacute </w:t>
      </w:r>
      <w:r w:rsidR="00E23327" w:rsidRPr="00CE058E">
        <w:t xml:space="preserve">phases </w:t>
      </w:r>
      <w:r w:rsidR="003F7C8C" w:rsidRPr="00CE058E">
        <w:t>cost, 2019-20 to 2021-22</w:t>
      </w:r>
      <w:bookmarkEnd w:id="237"/>
      <w:bookmarkEnd w:id="238"/>
    </w:p>
    <w:p w14:paraId="6026C4CB" w14:textId="4274580D" w:rsidR="003F7C8C" w:rsidRPr="00CE058E" w:rsidRDefault="00BD44CB" w:rsidP="00A47745">
      <w:pPr>
        <w:rPr>
          <w:rFonts w:cs="Arial"/>
        </w:rPr>
      </w:pPr>
      <w:r w:rsidRPr="00CE058E">
        <w:rPr>
          <w:rFonts w:cs="Arial"/>
          <w:noProof/>
        </w:rPr>
        <w:drawing>
          <wp:inline distT="0" distB="0" distL="0" distR="0" wp14:anchorId="553ECEA4" wp14:editId="46B46100">
            <wp:extent cx="6228000" cy="2412000"/>
            <wp:effectExtent l="0" t="0" r="0" b="0"/>
            <wp:docPr id="22" name="Chart 22">
              <a:extLst xmlns:a="http://schemas.openxmlformats.org/drawingml/2006/main">
                <a:ext uri="{FF2B5EF4-FFF2-40B4-BE49-F238E27FC236}">
                  <a16:creationId xmlns:a16="http://schemas.microsoft.com/office/drawing/2014/main" id="{CE32AA83-6C67-C187-4E47-D98DFB6EBF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A26C904" w14:textId="53E726D5" w:rsidR="00E07B55" w:rsidRPr="00CE058E" w:rsidRDefault="00E07B55" w:rsidP="007B41F8">
      <w:pPr>
        <w:pStyle w:val="Heading2"/>
      </w:pPr>
      <w:bookmarkStart w:id="239" w:name="_Toc151129703"/>
      <w:bookmarkStart w:id="240" w:name="_Toc158882554"/>
      <w:bookmarkStart w:id="241" w:name="_Toc158882615"/>
      <w:r w:rsidRPr="00CE058E">
        <w:t>Admitted subacute and non-acute average cost</w:t>
      </w:r>
      <w:bookmarkEnd w:id="236"/>
      <w:bookmarkEnd w:id="239"/>
      <w:bookmarkEnd w:id="240"/>
      <w:bookmarkEnd w:id="241"/>
    </w:p>
    <w:p w14:paraId="33356249" w14:textId="6A525B64" w:rsidR="00DD3CB5" w:rsidRPr="00CE058E" w:rsidRDefault="00483803" w:rsidP="00E23327">
      <w:pPr>
        <w:spacing w:line="276" w:lineRule="auto"/>
        <w:rPr>
          <w:rFonts w:cs="Arial"/>
          <w:color w:val="auto"/>
        </w:rPr>
      </w:pPr>
      <w:r w:rsidRPr="00CE058E">
        <w:rPr>
          <w:rFonts w:cs="Arial"/>
          <w:color w:val="auto"/>
        </w:rPr>
        <w:t xml:space="preserve">Figure 11 shows the average cost of admitted subacute and non-acute episodes reported in the cost data from 2019-20 to 2021-22. In 2021-22, the national average cost per admitted subacute and non-acute </w:t>
      </w:r>
      <w:r w:rsidR="00066198" w:rsidRPr="00CE058E">
        <w:rPr>
          <w:rFonts w:cs="Arial"/>
          <w:color w:val="auto"/>
        </w:rPr>
        <w:t xml:space="preserve">episodes </w:t>
      </w:r>
      <w:r w:rsidRPr="00CE058E">
        <w:rPr>
          <w:rFonts w:cs="Arial"/>
          <w:color w:val="auto"/>
        </w:rPr>
        <w:t xml:space="preserve">was </w:t>
      </w:r>
      <w:r w:rsidR="00066198" w:rsidRPr="00CE058E">
        <w:rPr>
          <w:rFonts w:cs="Arial"/>
          <w:color w:val="auto"/>
        </w:rPr>
        <w:t>$21,402</w:t>
      </w:r>
      <w:r w:rsidRPr="00CE058E">
        <w:rPr>
          <w:rFonts w:cs="Arial"/>
          <w:color w:val="auto"/>
        </w:rPr>
        <w:t xml:space="preserve">, a </w:t>
      </w:r>
      <w:r w:rsidR="00066198" w:rsidRPr="00CE058E">
        <w:rPr>
          <w:rFonts w:cs="Arial"/>
          <w:color w:val="auto"/>
        </w:rPr>
        <w:t>10</w:t>
      </w:r>
      <w:r w:rsidR="00897090">
        <w:rPr>
          <w:rFonts w:cs="Arial"/>
          <w:color w:val="auto"/>
        </w:rPr>
        <w:t>%</w:t>
      </w:r>
      <w:r w:rsidRPr="00CE058E">
        <w:rPr>
          <w:rFonts w:cs="Arial"/>
          <w:color w:val="auto"/>
        </w:rPr>
        <w:t xml:space="preserve"> increase from the 2020-21 figure of </w:t>
      </w:r>
      <w:r w:rsidR="00066198" w:rsidRPr="00CE058E">
        <w:rPr>
          <w:rFonts w:cs="Arial"/>
          <w:color w:val="auto"/>
        </w:rPr>
        <w:t>$19,484</w:t>
      </w:r>
      <w:r w:rsidRPr="00CE058E">
        <w:rPr>
          <w:rFonts w:cs="Arial"/>
          <w:color w:val="auto"/>
        </w:rPr>
        <w:t xml:space="preserve">. In 2021-22, the average cost per </w:t>
      </w:r>
      <w:r w:rsidR="00BB48EE" w:rsidRPr="00CE058E">
        <w:rPr>
          <w:rFonts w:cs="Arial"/>
          <w:color w:val="auto"/>
        </w:rPr>
        <w:t>episode</w:t>
      </w:r>
      <w:r w:rsidRPr="00CE058E">
        <w:rPr>
          <w:rFonts w:cs="Arial"/>
          <w:color w:val="auto"/>
        </w:rPr>
        <w:t xml:space="preserve"> at the jurisdictional level ranged from</w:t>
      </w:r>
      <w:r w:rsidR="00BB48EE" w:rsidRPr="00CE058E">
        <w:rPr>
          <w:rFonts w:cs="Arial"/>
          <w:color w:val="auto"/>
        </w:rPr>
        <w:t xml:space="preserve"> $15,525 (Queensland) to $63,268 (Northern Territory)</w:t>
      </w:r>
      <w:r w:rsidRPr="00CE058E">
        <w:rPr>
          <w:rFonts w:cs="Arial"/>
          <w:color w:val="auto"/>
        </w:rPr>
        <w:t xml:space="preserve">. </w:t>
      </w:r>
    </w:p>
    <w:p w14:paraId="7B1BDD9D" w14:textId="7EF076ED" w:rsidR="00E07B55" w:rsidRPr="00CE058E" w:rsidRDefault="006272A2" w:rsidP="00B42434">
      <w:pPr>
        <w:pStyle w:val="TableFigureheading"/>
      </w:pPr>
      <w:bookmarkStart w:id="242" w:name="_Toc151116347"/>
      <w:bookmarkStart w:id="243" w:name="_Toc151370060"/>
      <w:r w:rsidRPr="00CE058E">
        <w:t xml:space="preserve">Figure </w:t>
      </w:r>
      <w:r>
        <w:fldChar w:fldCharType="begin"/>
      </w:r>
      <w:r>
        <w:instrText xml:space="preserve"> SEQ Figure \* ARABIC </w:instrText>
      </w:r>
      <w:r>
        <w:fldChar w:fldCharType="separate"/>
      </w:r>
      <w:r w:rsidR="00DD29C5">
        <w:rPr>
          <w:noProof/>
        </w:rPr>
        <w:t>11</w:t>
      </w:r>
      <w:r>
        <w:rPr>
          <w:noProof/>
        </w:rPr>
        <w:fldChar w:fldCharType="end"/>
      </w:r>
      <w:r w:rsidR="00E07B55" w:rsidRPr="00CE058E">
        <w:t xml:space="preserve">: Admitted subacute and non-acute </w:t>
      </w:r>
      <w:r w:rsidR="0074536A" w:rsidRPr="00CE058E">
        <w:t xml:space="preserve">episodes </w:t>
      </w:r>
      <w:r w:rsidR="00E07B55" w:rsidRPr="00CE058E">
        <w:t>average</w:t>
      </w:r>
      <w:r w:rsidR="00F3019D" w:rsidRPr="00CE058E">
        <w:t xml:space="preserve"> </w:t>
      </w:r>
      <w:r w:rsidR="00E07B55" w:rsidRPr="00CE058E">
        <w:t>cost, 2019-20 to 2021-22</w:t>
      </w:r>
      <w:bookmarkEnd w:id="242"/>
      <w:bookmarkEnd w:id="243"/>
    </w:p>
    <w:p w14:paraId="7711D495" w14:textId="5A9A6B50" w:rsidR="00E07B55" w:rsidRPr="00CE058E" w:rsidRDefault="00262D84" w:rsidP="00BC4620">
      <w:pPr>
        <w:ind w:left="-1080" w:right="-1027"/>
        <w:jc w:val="center"/>
        <w:rPr>
          <w:rFonts w:cs="Arial"/>
        </w:rPr>
      </w:pPr>
      <w:r w:rsidRPr="00CE058E">
        <w:rPr>
          <w:rFonts w:cs="Arial"/>
          <w:noProof/>
        </w:rPr>
        <w:drawing>
          <wp:inline distT="0" distB="0" distL="0" distR="0" wp14:anchorId="144AE331" wp14:editId="604FE235">
            <wp:extent cx="6228000" cy="2412000"/>
            <wp:effectExtent l="0" t="0" r="0" b="0"/>
            <wp:docPr id="27" name="Chart 27">
              <a:extLst xmlns:a="http://schemas.openxmlformats.org/drawingml/2006/main">
                <a:ext uri="{FF2B5EF4-FFF2-40B4-BE49-F238E27FC236}">
                  <a16:creationId xmlns:a16="http://schemas.microsoft.com/office/drawing/2014/main" id="{ED74969C-22E3-0BE4-713D-F8DB616E62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6304F7B" w14:textId="43594DF5" w:rsidR="00E23327" w:rsidRPr="00CE058E" w:rsidRDefault="00E23327" w:rsidP="00A47745">
      <w:pPr>
        <w:spacing w:line="259" w:lineRule="auto"/>
        <w:rPr>
          <w:rFonts w:cs="Arial"/>
          <w:color w:val="auto"/>
        </w:rPr>
      </w:pPr>
      <w:r w:rsidRPr="00CE058E">
        <w:rPr>
          <w:rFonts w:cs="Arial"/>
          <w:color w:val="auto"/>
        </w:rPr>
        <w:lastRenderedPageBreak/>
        <w:t>Figure 12 shows the average cost of admitted subacute phases reported in the cost data from 201920 to 2021-22. In 2021-22, the national average cost per admitted subacute phase was $7,258, a 2</w:t>
      </w:r>
      <w:r w:rsidR="00897090">
        <w:rPr>
          <w:rFonts w:cs="Arial"/>
          <w:color w:val="auto"/>
        </w:rPr>
        <w:t>%</w:t>
      </w:r>
      <w:r w:rsidRPr="00CE058E">
        <w:rPr>
          <w:rFonts w:cs="Arial"/>
          <w:color w:val="auto"/>
        </w:rPr>
        <w:t xml:space="preserve"> decrease from the 2020-21 figure of $7,419. In 2021-22, the average cost per </w:t>
      </w:r>
      <w:r w:rsidR="00301519" w:rsidRPr="00CE058E">
        <w:rPr>
          <w:rFonts w:cs="Arial"/>
          <w:color w:val="auto"/>
        </w:rPr>
        <w:t>phase</w:t>
      </w:r>
      <w:r w:rsidRPr="00CE058E">
        <w:rPr>
          <w:rFonts w:cs="Arial"/>
          <w:color w:val="auto"/>
        </w:rPr>
        <w:t xml:space="preserve"> at the jurisdictional level ranged from $6,050 (Tasmania) to $9,855 (Northern Territory). The Australian Capital Territory and Western Australia did not submit phase level cost data in 2019-20 to 2021-22. </w:t>
      </w:r>
    </w:p>
    <w:p w14:paraId="2676030C" w14:textId="43526FAB" w:rsidR="003F7C8C" w:rsidRPr="00CE058E" w:rsidRDefault="006272A2" w:rsidP="00B42434">
      <w:pPr>
        <w:pStyle w:val="TableFigureheading"/>
      </w:pPr>
      <w:bookmarkStart w:id="244" w:name="_Toc151116348"/>
      <w:bookmarkStart w:id="245" w:name="_Toc151370061"/>
      <w:r w:rsidRPr="00CE058E">
        <w:t xml:space="preserve">Figure </w:t>
      </w:r>
      <w:r>
        <w:fldChar w:fldCharType="begin"/>
      </w:r>
      <w:r>
        <w:instrText xml:space="preserve"> SEQ Figure \* ARABIC </w:instrText>
      </w:r>
      <w:r>
        <w:fldChar w:fldCharType="separate"/>
      </w:r>
      <w:r w:rsidR="00DD29C5">
        <w:rPr>
          <w:noProof/>
        </w:rPr>
        <w:t>12</w:t>
      </w:r>
      <w:r>
        <w:rPr>
          <w:noProof/>
        </w:rPr>
        <w:fldChar w:fldCharType="end"/>
      </w:r>
      <w:r w:rsidR="003F7C8C" w:rsidRPr="00CE058E">
        <w:t xml:space="preserve">: Admitted subacute </w:t>
      </w:r>
      <w:r w:rsidR="00495D3E" w:rsidRPr="00CE058E">
        <w:t xml:space="preserve">phases </w:t>
      </w:r>
      <w:r w:rsidR="003F7C8C" w:rsidRPr="00CE058E">
        <w:t>average cost, 2019-20 to 2021-22</w:t>
      </w:r>
      <w:bookmarkEnd w:id="244"/>
      <w:bookmarkEnd w:id="245"/>
    </w:p>
    <w:p w14:paraId="77C3FAA6" w14:textId="7113C496" w:rsidR="00715CCB" w:rsidRPr="00CE058E" w:rsidRDefault="00262D84">
      <w:pPr>
        <w:spacing w:line="259" w:lineRule="auto"/>
        <w:rPr>
          <w:rFonts w:eastAsiaTheme="majorEastAsia" w:cs="Arial"/>
          <w:b/>
          <w:color w:val="008F55" w:themeColor="accent4"/>
          <w:sz w:val="26"/>
          <w:szCs w:val="24"/>
        </w:rPr>
      </w:pPr>
      <w:r w:rsidRPr="00CE058E">
        <w:rPr>
          <w:rFonts w:cs="Arial"/>
          <w:noProof/>
        </w:rPr>
        <w:drawing>
          <wp:inline distT="0" distB="0" distL="0" distR="0" wp14:anchorId="7167F0A9" wp14:editId="3D1C55D0">
            <wp:extent cx="6188710" cy="2412000"/>
            <wp:effectExtent l="0" t="0" r="0" b="0"/>
            <wp:docPr id="28" name="Chart 28">
              <a:extLst xmlns:a="http://schemas.openxmlformats.org/drawingml/2006/main">
                <a:ext uri="{FF2B5EF4-FFF2-40B4-BE49-F238E27FC236}">
                  <a16:creationId xmlns:a16="http://schemas.microsoft.com/office/drawing/2014/main" id="{2852B294-E018-E1A7-DA97-F17088B01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715CCB" w:rsidRPr="00CE058E">
        <w:rPr>
          <w:rFonts w:cs="Arial"/>
        </w:rPr>
        <w:br w:type="page"/>
      </w:r>
    </w:p>
    <w:p w14:paraId="35E0357B" w14:textId="04276E6D" w:rsidR="00E07B55" w:rsidRPr="00CE058E" w:rsidRDefault="00E07B55" w:rsidP="00E07B55">
      <w:pPr>
        <w:pStyle w:val="Heading3"/>
      </w:pPr>
      <w:bookmarkStart w:id="246" w:name="_Toc151129704"/>
      <w:bookmarkStart w:id="247" w:name="_Toc158882555"/>
      <w:bookmarkStart w:id="248" w:name="_Toc158882616"/>
      <w:r w:rsidRPr="00CE058E">
        <w:lastRenderedPageBreak/>
        <w:t>Admitted subacute and non-acute cost buckets</w:t>
      </w:r>
      <w:bookmarkEnd w:id="246"/>
      <w:bookmarkEnd w:id="247"/>
      <w:bookmarkEnd w:id="248"/>
    </w:p>
    <w:p w14:paraId="335029D2" w14:textId="4E3B56C6" w:rsidR="00365736" w:rsidRPr="00CE058E" w:rsidRDefault="00365736" w:rsidP="00BC4620">
      <w:pPr>
        <w:spacing w:line="276" w:lineRule="auto"/>
        <w:rPr>
          <w:rFonts w:cs="Arial"/>
          <w:color w:val="auto"/>
        </w:rPr>
      </w:pPr>
      <w:r w:rsidRPr="00CE058E">
        <w:rPr>
          <w:rFonts w:cs="Arial"/>
          <w:color w:val="auto"/>
        </w:rPr>
        <w:t>Figure 1</w:t>
      </w:r>
      <w:r w:rsidR="0021358A" w:rsidRPr="00CE058E">
        <w:rPr>
          <w:rFonts w:cs="Arial"/>
          <w:color w:val="auto"/>
        </w:rPr>
        <w:t>3</w:t>
      </w:r>
      <w:r w:rsidRPr="00CE058E">
        <w:rPr>
          <w:rFonts w:cs="Arial"/>
          <w:color w:val="auto"/>
        </w:rPr>
        <w:t xml:space="preserve"> shows the admitted </w:t>
      </w:r>
      <w:r w:rsidR="00896782" w:rsidRPr="00CE058E">
        <w:rPr>
          <w:rFonts w:cs="Arial"/>
          <w:color w:val="auto"/>
        </w:rPr>
        <w:t>subacute and non-acute</w:t>
      </w:r>
      <w:r w:rsidR="00301519" w:rsidRPr="00CE058E">
        <w:rPr>
          <w:rFonts w:cs="Arial"/>
          <w:color w:val="auto"/>
        </w:rPr>
        <w:t xml:space="preserve"> episode</w:t>
      </w:r>
      <w:r w:rsidR="007D1B90" w:rsidRPr="00CE058E">
        <w:rPr>
          <w:rFonts w:cs="Arial"/>
          <w:color w:val="auto"/>
        </w:rPr>
        <w:t xml:space="preserve"> national</w:t>
      </w:r>
      <w:r w:rsidR="00896782" w:rsidRPr="00CE058E">
        <w:rPr>
          <w:rFonts w:cs="Arial"/>
          <w:color w:val="auto"/>
        </w:rPr>
        <w:t xml:space="preserve"> </w:t>
      </w:r>
      <w:r w:rsidRPr="00CE058E">
        <w:rPr>
          <w:rFonts w:cs="Arial"/>
          <w:color w:val="auto"/>
        </w:rPr>
        <w:t xml:space="preserve">average cost per cost bucket reported in the cost data from 2019-20 to 2021-22. In 2021-22, the national average cost per admitted </w:t>
      </w:r>
      <w:r w:rsidR="00896782" w:rsidRPr="00CE058E">
        <w:rPr>
          <w:rFonts w:cs="Arial"/>
          <w:color w:val="auto"/>
        </w:rPr>
        <w:t>sub</w:t>
      </w:r>
      <w:r w:rsidRPr="00CE058E">
        <w:rPr>
          <w:rFonts w:cs="Arial"/>
          <w:color w:val="auto"/>
        </w:rPr>
        <w:t xml:space="preserve">acute </w:t>
      </w:r>
      <w:r w:rsidR="00896782" w:rsidRPr="00CE058E">
        <w:rPr>
          <w:rFonts w:cs="Arial"/>
          <w:color w:val="auto"/>
        </w:rPr>
        <w:t xml:space="preserve">and non-acute episode </w:t>
      </w:r>
      <w:r w:rsidRPr="00CE058E">
        <w:rPr>
          <w:rFonts w:cs="Arial"/>
          <w:color w:val="auto"/>
        </w:rPr>
        <w:t>was $</w:t>
      </w:r>
      <w:r w:rsidR="00896782" w:rsidRPr="00CE058E">
        <w:rPr>
          <w:rFonts w:cs="Arial"/>
          <w:color w:val="auto"/>
        </w:rPr>
        <w:t>21,402,</w:t>
      </w:r>
      <w:r w:rsidRPr="00CE058E">
        <w:rPr>
          <w:rFonts w:cs="Arial"/>
          <w:color w:val="auto"/>
        </w:rPr>
        <w:t xml:space="preserve"> a </w:t>
      </w:r>
      <w:r w:rsidR="001A4CBC" w:rsidRPr="00CE058E">
        <w:rPr>
          <w:rFonts w:cs="Arial"/>
          <w:color w:val="auto"/>
        </w:rPr>
        <w:t>10</w:t>
      </w:r>
      <w:r w:rsidR="00897090">
        <w:rPr>
          <w:rFonts w:cs="Arial"/>
          <w:color w:val="auto"/>
        </w:rPr>
        <w:t>%</w:t>
      </w:r>
      <w:r w:rsidRPr="00CE058E">
        <w:rPr>
          <w:rFonts w:cs="Arial"/>
          <w:color w:val="auto"/>
        </w:rPr>
        <w:t xml:space="preserve"> </w:t>
      </w:r>
      <w:r w:rsidR="0072138C" w:rsidRPr="00CE058E">
        <w:rPr>
          <w:rFonts w:cs="Arial"/>
          <w:color w:val="auto"/>
        </w:rPr>
        <w:t>increase</w:t>
      </w:r>
      <w:r w:rsidRPr="00CE058E">
        <w:rPr>
          <w:rFonts w:cs="Arial"/>
          <w:color w:val="auto"/>
        </w:rPr>
        <w:t xml:space="preserve"> from the 2020-21 figure of</w:t>
      </w:r>
      <w:r w:rsidR="001A4CBC" w:rsidRPr="00CE058E">
        <w:rPr>
          <w:rFonts w:cs="Arial"/>
          <w:color w:val="auto"/>
        </w:rPr>
        <w:t xml:space="preserve"> $19,484</w:t>
      </w:r>
      <w:r w:rsidRPr="00CE058E">
        <w:rPr>
          <w:rFonts w:cs="Arial"/>
          <w:color w:val="auto"/>
        </w:rPr>
        <w:t xml:space="preserve">. </w:t>
      </w:r>
      <w:r w:rsidR="0010284A" w:rsidRPr="00CE058E">
        <w:rPr>
          <w:rFonts w:cs="Arial"/>
          <w:color w:val="auto"/>
        </w:rPr>
        <w:t>The ward nursing</w:t>
      </w:r>
      <w:r w:rsidR="002E6AAB" w:rsidRPr="00CE058E">
        <w:rPr>
          <w:rFonts w:cs="Arial"/>
          <w:color w:val="auto"/>
        </w:rPr>
        <w:t xml:space="preserve">, </w:t>
      </w:r>
      <w:r w:rsidR="0010284A" w:rsidRPr="00CE058E">
        <w:rPr>
          <w:rFonts w:cs="Arial"/>
          <w:color w:val="auto"/>
        </w:rPr>
        <w:t>ward supplies</w:t>
      </w:r>
      <w:r w:rsidR="002E6AAB" w:rsidRPr="00CE058E">
        <w:rPr>
          <w:rFonts w:cs="Arial"/>
          <w:color w:val="auto"/>
        </w:rPr>
        <w:t>, and non-clinical</w:t>
      </w:r>
      <w:r w:rsidR="0010284A" w:rsidRPr="00CE058E">
        <w:rPr>
          <w:rFonts w:cs="Arial"/>
          <w:color w:val="auto"/>
        </w:rPr>
        <w:t xml:space="preserve"> cost buckets</w:t>
      </w:r>
      <w:r w:rsidR="002E6AAB" w:rsidRPr="00CE058E">
        <w:rPr>
          <w:rFonts w:cs="Arial"/>
          <w:color w:val="auto"/>
        </w:rPr>
        <w:t xml:space="preserve"> accounted for 62</w:t>
      </w:r>
      <w:r w:rsidR="00897090">
        <w:rPr>
          <w:rFonts w:cs="Arial"/>
          <w:color w:val="auto"/>
        </w:rPr>
        <w:t>%</w:t>
      </w:r>
      <w:r w:rsidR="002E6AAB" w:rsidRPr="00CE058E">
        <w:rPr>
          <w:rFonts w:cs="Arial"/>
          <w:color w:val="auto"/>
        </w:rPr>
        <w:t xml:space="preserve"> </w:t>
      </w:r>
      <w:r w:rsidR="0072138C" w:rsidRPr="00CE058E">
        <w:rPr>
          <w:rFonts w:cs="Arial"/>
          <w:color w:val="auto"/>
        </w:rPr>
        <w:t xml:space="preserve">of the </w:t>
      </w:r>
      <w:r w:rsidRPr="00CE058E">
        <w:rPr>
          <w:rFonts w:cs="Arial"/>
          <w:color w:val="auto"/>
        </w:rPr>
        <w:t xml:space="preserve">increase in the average cost per admitted </w:t>
      </w:r>
      <w:r w:rsidR="00301519" w:rsidRPr="00CE058E">
        <w:rPr>
          <w:rFonts w:cs="Arial"/>
          <w:color w:val="auto"/>
        </w:rPr>
        <w:t>sub</w:t>
      </w:r>
      <w:r w:rsidRPr="00CE058E">
        <w:rPr>
          <w:rFonts w:cs="Arial"/>
          <w:color w:val="auto"/>
        </w:rPr>
        <w:t>acute</w:t>
      </w:r>
      <w:r w:rsidR="00301519" w:rsidRPr="00CE058E">
        <w:rPr>
          <w:rFonts w:cs="Arial"/>
          <w:color w:val="auto"/>
        </w:rPr>
        <w:t xml:space="preserve"> and non-acute episode</w:t>
      </w:r>
      <w:r w:rsidRPr="00CE058E">
        <w:rPr>
          <w:rFonts w:cs="Arial"/>
          <w:color w:val="auto"/>
        </w:rPr>
        <w:t xml:space="preserve"> from 2020-21 to 2021-22.</w:t>
      </w:r>
    </w:p>
    <w:p w14:paraId="1FD0EAAB" w14:textId="56658A5C" w:rsidR="00E07B55" w:rsidRPr="00CE058E" w:rsidRDefault="006272A2" w:rsidP="00B42434">
      <w:pPr>
        <w:pStyle w:val="TableFigureheading"/>
      </w:pPr>
      <w:bookmarkStart w:id="249" w:name="_Toc151116349"/>
      <w:bookmarkStart w:id="250" w:name="_Toc151370062"/>
      <w:r w:rsidRPr="00CE058E">
        <w:t xml:space="preserve">Figure </w:t>
      </w:r>
      <w:r>
        <w:fldChar w:fldCharType="begin"/>
      </w:r>
      <w:r>
        <w:instrText xml:space="preserve"> SEQ Figure \* ARABIC </w:instrText>
      </w:r>
      <w:r>
        <w:fldChar w:fldCharType="separate"/>
      </w:r>
      <w:r w:rsidR="00DD29C5">
        <w:rPr>
          <w:noProof/>
        </w:rPr>
        <w:t>13</w:t>
      </w:r>
      <w:r>
        <w:rPr>
          <w:noProof/>
        </w:rPr>
        <w:fldChar w:fldCharType="end"/>
      </w:r>
      <w:r w:rsidR="00E07B55" w:rsidRPr="00CE058E">
        <w:t xml:space="preserve">: Admitted subacute and non-acute </w:t>
      </w:r>
      <w:r w:rsidR="00F3019D" w:rsidRPr="00CE058E">
        <w:t>episodes</w:t>
      </w:r>
      <w:r w:rsidR="00F3019D" w:rsidRPr="00CE058E" w:rsidDel="001B7746">
        <w:t xml:space="preserve"> </w:t>
      </w:r>
      <w:r w:rsidR="00E07B55" w:rsidRPr="00CE058E">
        <w:t>cost</w:t>
      </w:r>
      <w:r w:rsidR="00EA49A4" w:rsidRPr="00CE058E">
        <w:t xml:space="preserve"> </w:t>
      </w:r>
      <w:r w:rsidR="008F4D8F" w:rsidRPr="00CE058E">
        <w:t>bucket</w:t>
      </w:r>
      <w:r w:rsidR="009B604F" w:rsidRPr="00CE058E">
        <w:t>s</w:t>
      </w:r>
      <w:r w:rsidR="00495D3E" w:rsidRPr="00CE058E">
        <w:t xml:space="preserve"> national</w:t>
      </w:r>
      <w:r w:rsidR="00E07B55" w:rsidRPr="00CE058E">
        <w:t xml:space="preserve">, </w:t>
      </w:r>
      <w:r w:rsidR="00EA49A4" w:rsidRPr="00CE058E">
        <w:t xml:space="preserve">2019-20 to </w:t>
      </w:r>
      <w:r w:rsidR="00E07B55" w:rsidRPr="00CE058E">
        <w:t>2021-22</w:t>
      </w:r>
      <w:bookmarkEnd w:id="249"/>
      <w:bookmarkEnd w:id="250"/>
    </w:p>
    <w:p w14:paraId="10BCA767" w14:textId="66F780B2" w:rsidR="006D0DF9" w:rsidRPr="00CE058E" w:rsidRDefault="00EA49A4">
      <w:pPr>
        <w:spacing w:line="259" w:lineRule="auto"/>
        <w:rPr>
          <w:rFonts w:eastAsiaTheme="majorEastAsia" w:cs="Arial"/>
          <w:b/>
          <w:iCs/>
        </w:rPr>
      </w:pPr>
      <w:r w:rsidRPr="00CE058E">
        <w:rPr>
          <w:rFonts w:eastAsiaTheme="majorEastAsia" w:cs="Arial"/>
          <w:iCs/>
          <w:noProof/>
          <w:color w:val="008F55" w:themeColor="accent4"/>
        </w:rPr>
        <w:drawing>
          <wp:inline distT="0" distB="0" distL="0" distR="0" wp14:anchorId="4A3082FE" wp14:editId="1C9510CC">
            <wp:extent cx="6299835" cy="7200000"/>
            <wp:effectExtent l="0" t="0" r="0" b="0"/>
            <wp:docPr id="56" name="Chart 56">
              <a:extLst xmlns:a="http://schemas.openxmlformats.org/drawingml/2006/main">
                <a:ext uri="{FF2B5EF4-FFF2-40B4-BE49-F238E27FC236}">
                  <a16:creationId xmlns:a16="http://schemas.microsoft.com/office/drawing/2014/main" id="{6D234F74-476B-D59A-8627-D45771D194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6D0DF9" w:rsidRPr="00CE058E">
        <w:rPr>
          <w:rFonts w:cs="Arial"/>
        </w:rPr>
        <w:br w:type="page"/>
      </w:r>
    </w:p>
    <w:p w14:paraId="77348BD5" w14:textId="3F4EE8B7" w:rsidR="007D1B90" w:rsidRPr="00CE058E" w:rsidRDefault="007D1B90" w:rsidP="00BC4620">
      <w:pPr>
        <w:spacing w:line="276" w:lineRule="auto"/>
        <w:rPr>
          <w:rFonts w:cs="Arial"/>
          <w:color w:val="auto"/>
        </w:rPr>
      </w:pPr>
      <w:r w:rsidRPr="00CE058E">
        <w:rPr>
          <w:rFonts w:cs="Arial"/>
          <w:color w:val="auto"/>
        </w:rPr>
        <w:lastRenderedPageBreak/>
        <w:t xml:space="preserve">Figure 14 shows the admitted subacute </w:t>
      </w:r>
      <w:r w:rsidR="00301519" w:rsidRPr="00CE058E">
        <w:rPr>
          <w:rFonts w:cs="Arial"/>
          <w:color w:val="auto"/>
        </w:rPr>
        <w:t>phase</w:t>
      </w:r>
      <w:r w:rsidRPr="00CE058E">
        <w:rPr>
          <w:rFonts w:cs="Arial"/>
          <w:color w:val="auto"/>
        </w:rPr>
        <w:t xml:space="preserve"> average cost per cost bucket reported in the cost data from 2019-20 to 2021-22. In 2021-22, the national average cost per admitted subacute</w:t>
      </w:r>
      <w:r w:rsidR="00301519" w:rsidRPr="00CE058E">
        <w:rPr>
          <w:rFonts w:cs="Arial"/>
          <w:color w:val="auto"/>
        </w:rPr>
        <w:t xml:space="preserve"> </w:t>
      </w:r>
      <w:r w:rsidRPr="00CE058E">
        <w:rPr>
          <w:rFonts w:cs="Arial"/>
          <w:color w:val="auto"/>
        </w:rPr>
        <w:t>phase was</w:t>
      </w:r>
      <w:r w:rsidR="0016545D" w:rsidRPr="00CE058E">
        <w:rPr>
          <w:rFonts w:cs="Arial"/>
          <w:color w:val="auto"/>
        </w:rPr>
        <w:t xml:space="preserve"> $7,258</w:t>
      </w:r>
      <w:r w:rsidRPr="00CE058E">
        <w:rPr>
          <w:rFonts w:cs="Arial"/>
          <w:color w:val="auto"/>
        </w:rPr>
        <w:t xml:space="preserve">, a </w:t>
      </w:r>
      <w:r w:rsidR="0016545D" w:rsidRPr="00CE058E">
        <w:rPr>
          <w:rFonts w:cs="Arial"/>
          <w:color w:val="auto"/>
        </w:rPr>
        <w:t>2</w:t>
      </w:r>
      <w:r w:rsidR="00897090">
        <w:rPr>
          <w:rFonts w:cs="Arial"/>
          <w:color w:val="auto"/>
        </w:rPr>
        <w:t>%</w:t>
      </w:r>
      <w:r w:rsidRPr="00CE058E">
        <w:rPr>
          <w:rFonts w:cs="Arial"/>
          <w:color w:val="auto"/>
        </w:rPr>
        <w:t xml:space="preserve"> </w:t>
      </w:r>
      <w:r w:rsidR="0016545D" w:rsidRPr="00CE058E">
        <w:rPr>
          <w:rFonts w:cs="Arial"/>
          <w:color w:val="auto"/>
        </w:rPr>
        <w:t>decrease</w:t>
      </w:r>
      <w:r w:rsidRPr="00CE058E">
        <w:rPr>
          <w:rFonts w:cs="Arial"/>
          <w:color w:val="auto"/>
        </w:rPr>
        <w:t xml:space="preserve"> from the 2020-21 figure of </w:t>
      </w:r>
      <w:r w:rsidR="0016545D" w:rsidRPr="00CE058E">
        <w:rPr>
          <w:rFonts w:cs="Arial"/>
          <w:color w:val="auto"/>
        </w:rPr>
        <w:t>$7,419</w:t>
      </w:r>
      <w:r w:rsidRPr="00CE058E">
        <w:rPr>
          <w:rFonts w:cs="Arial"/>
          <w:color w:val="auto"/>
        </w:rPr>
        <w:t>. The ward nursing</w:t>
      </w:r>
      <w:r w:rsidR="00DB66D8" w:rsidRPr="00CE058E">
        <w:rPr>
          <w:rFonts w:cs="Arial"/>
          <w:color w:val="auto"/>
        </w:rPr>
        <w:t>,</w:t>
      </w:r>
      <w:r w:rsidRPr="00CE058E">
        <w:rPr>
          <w:rFonts w:cs="Arial"/>
          <w:color w:val="auto"/>
        </w:rPr>
        <w:t xml:space="preserve"> ward medical</w:t>
      </w:r>
      <w:r w:rsidR="00F466D2" w:rsidRPr="00CE058E">
        <w:rPr>
          <w:rFonts w:cs="Arial"/>
          <w:color w:val="auto"/>
        </w:rPr>
        <w:t>, and non-clinical cost</w:t>
      </w:r>
      <w:r w:rsidRPr="00CE058E">
        <w:rPr>
          <w:rFonts w:cs="Arial"/>
          <w:color w:val="auto"/>
        </w:rPr>
        <w:t xml:space="preserve"> buckets accounted for </w:t>
      </w:r>
      <w:r w:rsidR="00F466D2" w:rsidRPr="00CE058E">
        <w:rPr>
          <w:rFonts w:cs="Arial"/>
          <w:color w:val="auto"/>
        </w:rPr>
        <w:t>118</w:t>
      </w:r>
      <w:r w:rsidR="00897090">
        <w:rPr>
          <w:rFonts w:cs="Arial"/>
          <w:color w:val="auto"/>
        </w:rPr>
        <w:t>%</w:t>
      </w:r>
      <w:r w:rsidRPr="00CE058E">
        <w:rPr>
          <w:rFonts w:cs="Arial"/>
          <w:color w:val="auto"/>
        </w:rPr>
        <w:t xml:space="preserve"> of the </w:t>
      </w:r>
      <w:r w:rsidR="00F466D2" w:rsidRPr="00CE058E">
        <w:rPr>
          <w:rFonts w:cs="Arial"/>
          <w:color w:val="auto"/>
        </w:rPr>
        <w:t xml:space="preserve">decrease </w:t>
      </w:r>
      <w:r w:rsidRPr="00CE058E">
        <w:rPr>
          <w:rFonts w:cs="Arial"/>
          <w:color w:val="auto"/>
        </w:rPr>
        <w:t xml:space="preserve">in the average cost per admitted </w:t>
      </w:r>
      <w:r w:rsidR="00F466D2" w:rsidRPr="00CE058E">
        <w:rPr>
          <w:rFonts w:cs="Arial"/>
          <w:color w:val="auto"/>
        </w:rPr>
        <w:t>sub</w:t>
      </w:r>
      <w:r w:rsidRPr="00CE058E">
        <w:rPr>
          <w:rFonts w:cs="Arial"/>
          <w:color w:val="auto"/>
        </w:rPr>
        <w:t>acute</w:t>
      </w:r>
      <w:r w:rsidR="000D4C16" w:rsidRPr="00CE058E">
        <w:rPr>
          <w:rFonts w:cs="Arial"/>
          <w:color w:val="auto"/>
        </w:rPr>
        <w:t xml:space="preserve"> phases</w:t>
      </w:r>
      <w:r w:rsidRPr="00CE058E">
        <w:rPr>
          <w:rFonts w:cs="Arial"/>
          <w:color w:val="auto"/>
        </w:rPr>
        <w:t xml:space="preserve"> from 2020-21 to 2021-22. The </w:t>
      </w:r>
      <w:r w:rsidR="000B4DD6" w:rsidRPr="00CE058E">
        <w:rPr>
          <w:rFonts w:cs="Arial"/>
          <w:color w:val="auto"/>
        </w:rPr>
        <w:t>on-costs</w:t>
      </w:r>
      <w:r w:rsidRPr="00CE058E">
        <w:rPr>
          <w:rFonts w:cs="Arial"/>
          <w:color w:val="auto"/>
        </w:rPr>
        <w:t xml:space="preserve"> cost bucket </w:t>
      </w:r>
      <w:r w:rsidR="00E4366C" w:rsidRPr="00CE058E">
        <w:rPr>
          <w:rFonts w:cs="Arial"/>
          <w:color w:val="auto"/>
        </w:rPr>
        <w:t>increased</w:t>
      </w:r>
      <w:r w:rsidRPr="00CE058E">
        <w:rPr>
          <w:rFonts w:cs="Arial"/>
          <w:color w:val="auto"/>
        </w:rPr>
        <w:t xml:space="preserve"> </w:t>
      </w:r>
      <w:r w:rsidR="00E4366C" w:rsidRPr="00CE058E">
        <w:rPr>
          <w:rFonts w:cs="Arial"/>
          <w:color w:val="auto"/>
        </w:rPr>
        <w:t>6</w:t>
      </w:r>
      <w:r w:rsidR="00897090">
        <w:rPr>
          <w:rFonts w:cs="Arial"/>
          <w:color w:val="auto"/>
        </w:rPr>
        <w:t>%</w:t>
      </w:r>
      <w:r w:rsidRPr="00CE058E">
        <w:rPr>
          <w:rFonts w:cs="Arial"/>
          <w:color w:val="auto"/>
        </w:rPr>
        <w:t xml:space="preserve"> from 2020-21 to 2021-22.</w:t>
      </w:r>
    </w:p>
    <w:p w14:paraId="6B374312" w14:textId="37C7C96E" w:rsidR="00E07B55" w:rsidRPr="00CE058E" w:rsidRDefault="006272A2" w:rsidP="00B42434">
      <w:pPr>
        <w:pStyle w:val="TableFigureheading"/>
      </w:pPr>
      <w:bookmarkStart w:id="251" w:name="_Toc151116350"/>
      <w:bookmarkStart w:id="252" w:name="_Toc151370063"/>
      <w:r w:rsidRPr="00CE058E">
        <w:t xml:space="preserve">Figure </w:t>
      </w:r>
      <w:r>
        <w:fldChar w:fldCharType="begin"/>
      </w:r>
      <w:r>
        <w:instrText xml:space="preserve"> SEQ Figure \* ARABIC </w:instrText>
      </w:r>
      <w:r>
        <w:fldChar w:fldCharType="separate"/>
      </w:r>
      <w:r w:rsidR="00DD29C5">
        <w:rPr>
          <w:noProof/>
        </w:rPr>
        <w:t>14</w:t>
      </w:r>
      <w:r>
        <w:rPr>
          <w:noProof/>
        </w:rPr>
        <w:fldChar w:fldCharType="end"/>
      </w:r>
      <w:r w:rsidR="00E07B55" w:rsidRPr="00CE058E">
        <w:t xml:space="preserve">: Admitted subacute </w:t>
      </w:r>
      <w:r w:rsidR="00F3019D" w:rsidRPr="00CE058E">
        <w:t>phases</w:t>
      </w:r>
      <w:r w:rsidR="00F3019D" w:rsidRPr="00CE058E" w:rsidDel="001B7746">
        <w:t xml:space="preserve"> </w:t>
      </w:r>
      <w:r w:rsidR="00E07B55" w:rsidRPr="00CE058E">
        <w:t>cost</w:t>
      </w:r>
      <w:r w:rsidR="00941C4F" w:rsidRPr="00CE058E">
        <w:t xml:space="preserve"> </w:t>
      </w:r>
      <w:r w:rsidR="00F3019D" w:rsidRPr="00CE058E">
        <w:t>bucket</w:t>
      </w:r>
      <w:r w:rsidR="009B604F" w:rsidRPr="00CE058E">
        <w:t>s</w:t>
      </w:r>
      <w:r w:rsidR="00495D3E" w:rsidRPr="00CE058E">
        <w:t xml:space="preserve"> national</w:t>
      </w:r>
      <w:r w:rsidR="00E07B55" w:rsidRPr="00CE058E">
        <w:t xml:space="preserve">, </w:t>
      </w:r>
      <w:r w:rsidR="00941C4F" w:rsidRPr="00CE058E">
        <w:t xml:space="preserve">2019-20 to </w:t>
      </w:r>
      <w:r w:rsidR="00E07B55" w:rsidRPr="00CE058E">
        <w:t>2021-22</w:t>
      </w:r>
      <w:bookmarkEnd w:id="251"/>
      <w:bookmarkEnd w:id="252"/>
    </w:p>
    <w:p w14:paraId="39A84C6D" w14:textId="6DB560B7" w:rsidR="00E07B55" w:rsidRPr="00CE058E" w:rsidRDefault="008F2A6D" w:rsidP="00E07B55">
      <w:pPr>
        <w:spacing w:line="259" w:lineRule="auto"/>
        <w:rPr>
          <w:rFonts w:cs="Arial"/>
          <w:highlight w:val="yellow"/>
        </w:rPr>
      </w:pPr>
      <w:r w:rsidRPr="00CE058E">
        <w:rPr>
          <w:rFonts w:cs="Arial"/>
          <w:noProof/>
        </w:rPr>
        <w:drawing>
          <wp:inline distT="0" distB="0" distL="0" distR="0" wp14:anchorId="324B187A" wp14:editId="3CA7264E">
            <wp:extent cx="6300000" cy="7560000"/>
            <wp:effectExtent l="0" t="0" r="0" b="0"/>
            <wp:docPr id="26" name="Chart 26">
              <a:extLst xmlns:a="http://schemas.openxmlformats.org/drawingml/2006/main">
                <a:ext uri="{FF2B5EF4-FFF2-40B4-BE49-F238E27FC236}">
                  <a16:creationId xmlns:a16="http://schemas.microsoft.com/office/drawing/2014/main" id="{7E22D801-F841-B063-AEAE-4CC9A69FC8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E07B55" w:rsidRPr="00CE058E">
        <w:rPr>
          <w:rFonts w:cs="Arial"/>
          <w:highlight w:val="yellow"/>
        </w:rPr>
        <w:br w:type="page"/>
      </w:r>
    </w:p>
    <w:p w14:paraId="48845594" w14:textId="130E309C" w:rsidR="00BF2F93" w:rsidRPr="00CE058E" w:rsidRDefault="00BF2F93" w:rsidP="005C6AE6">
      <w:pPr>
        <w:pStyle w:val="Heading1"/>
        <w:numPr>
          <w:ilvl w:val="0"/>
          <w:numId w:val="12"/>
        </w:numPr>
        <w:rPr>
          <w:rFonts w:cs="Arial"/>
        </w:rPr>
      </w:pPr>
      <w:bookmarkStart w:id="253" w:name="_Toc158882617"/>
      <w:bookmarkStart w:id="254" w:name="_Hlk147397607"/>
      <w:r w:rsidRPr="00CE058E">
        <w:rPr>
          <w:rFonts w:cs="Arial"/>
        </w:rPr>
        <w:lastRenderedPageBreak/>
        <w:t>Emergency department</w:t>
      </w:r>
      <w:bookmarkEnd w:id="198"/>
      <w:bookmarkEnd w:id="199"/>
      <w:bookmarkEnd w:id="253"/>
    </w:p>
    <w:p w14:paraId="17D3FABD" w14:textId="52DB027E" w:rsidR="00BF2F93" w:rsidRPr="00CE058E" w:rsidRDefault="00BF2F93" w:rsidP="007B41F8">
      <w:pPr>
        <w:pStyle w:val="Heading2"/>
      </w:pPr>
      <w:bookmarkStart w:id="255" w:name="_Toc144215450"/>
      <w:bookmarkStart w:id="256" w:name="_Toc144967657"/>
      <w:bookmarkStart w:id="257" w:name="_Toc151129706"/>
      <w:bookmarkStart w:id="258" w:name="_Toc158882557"/>
      <w:bookmarkStart w:id="259" w:name="_Toc158882618"/>
      <w:r w:rsidRPr="00CE058E">
        <w:t>Summary</w:t>
      </w:r>
      <w:bookmarkEnd w:id="255"/>
      <w:bookmarkEnd w:id="256"/>
      <w:bookmarkEnd w:id="257"/>
      <w:bookmarkEnd w:id="258"/>
      <w:bookmarkEnd w:id="259"/>
    </w:p>
    <w:p w14:paraId="3A46F4AF" w14:textId="514292E4" w:rsidR="00BF2F93" w:rsidRPr="00CE058E" w:rsidRDefault="00BF2F93" w:rsidP="00BC4620">
      <w:pPr>
        <w:spacing w:line="276" w:lineRule="auto"/>
        <w:rPr>
          <w:rFonts w:cs="Arial"/>
          <w:color w:val="auto"/>
        </w:rPr>
      </w:pPr>
      <w:r w:rsidRPr="00CE058E">
        <w:rPr>
          <w:rFonts w:cs="Arial"/>
          <w:color w:val="auto"/>
        </w:rPr>
        <w:t xml:space="preserve">This </w:t>
      </w:r>
      <w:r w:rsidR="00DD18A3" w:rsidRPr="00CE058E">
        <w:rPr>
          <w:rFonts w:cs="Arial"/>
          <w:color w:val="auto"/>
        </w:rPr>
        <w:t xml:space="preserve">chapter </w:t>
      </w:r>
      <w:r w:rsidRPr="00CE058E">
        <w:rPr>
          <w:rFonts w:cs="Arial"/>
          <w:color w:val="auto"/>
        </w:rPr>
        <w:t>outline</w:t>
      </w:r>
      <w:r w:rsidR="00623ED4" w:rsidRPr="00CE058E">
        <w:rPr>
          <w:rFonts w:cs="Arial"/>
          <w:color w:val="auto"/>
        </w:rPr>
        <w:t>s</w:t>
      </w:r>
      <w:r w:rsidRPr="00CE058E">
        <w:rPr>
          <w:rFonts w:cs="Arial"/>
          <w:color w:val="auto"/>
        </w:rPr>
        <w:t xml:space="preserve"> the emergency department presentations, cost, and average cost per presentation from 2019-20 to 2021-22. Emergency departments (ED) are dedicated hospital-based facilities specifically designed and staffed to provide 24-hour emergency care. The role of the ED is to diagnose, triage</w:t>
      </w:r>
      <w:r w:rsidR="00623ED4" w:rsidRPr="00CE058E">
        <w:rPr>
          <w:rFonts w:cs="Arial"/>
          <w:color w:val="auto"/>
        </w:rPr>
        <w:t>,</w:t>
      </w:r>
      <w:r w:rsidRPr="00CE058E">
        <w:rPr>
          <w:rFonts w:cs="Arial"/>
          <w:color w:val="auto"/>
        </w:rPr>
        <w:t xml:space="preserve"> and treat acute and urgent illnesses and injuries.</w:t>
      </w:r>
    </w:p>
    <w:p w14:paraId="4F25B71D" w14:textId="451D1633" w:rsidR="00BF2F93" w:rsidRPr="00CE058E" w:rsidRDefault="00BF2F93" w:rsidP="00BC4620">
      <w:pPr>
        <w:spacing w:line="276" w:lineRule="auto"/>
        <w:rPr>
          <w:rFonts w:cs="Arial"/>
          <w:color w:val="auto"/>
        </w:rPr>
      </w:pPr>
      <w:r w:rsidRPr="00CE058E">
        <w:rPr>
          <w:rFonts w:cs="Arial"/>
          <w:color w:val="auto"/>
        </w:rPr>
        <w:t xml:space="preserve">On arrival in the ED, patients are assessed by a clinician and given a triage score based on the severity of their illness or injury, </w:t>
      </w:r>
      <w:r w:rsidR="00BD5A80" w:rsidRPr="00CE058E">
        <w:rPr>
          <w:rFonts w:cs="Arial"/>
          <w:color w:val="auto"/>
        </w:rPr>
        <w:t>including</w:t>
      </w:r>
      <w:r w:rsidR="1CED2B63" w:rsidRPr="00CE058E">
        <w:rPr>
          <w:rFonts w:cs="Arial"/>
          <w:color w:val="auto"/>
        </w:rPr>
        <w:t xml:space="preserve"> resuscitation, emergency, urgent, semi-urgent and non-urgent</w:t>
      </w:r>
      <w:r w:rsidRPr="00CE058E">
        <w:rPr>
          <w:rFonts w:cs="Arial"/>
          <w:color w:val="auto"/>
        </w:rPr>
        <w:t>. A triage score is a ranking from one to five (one being the most urgent and five being non-urgent) used to prioritise or classify patients based on illness or injury severity and need for medical and nursing care. During the treatment phase of their time in ED patients are assessed by a clinician and assigned a diagnosis with treatment provided, if required.</w:t>
      </w:r>
      <w:r w:rsidR="006D0DF9" w:rsidRPr="00CE058E">
        <w:rPr>
          <w:rFonts w:cs="Arial"/>
          <w:color w:val="auto"/>
        </w:rPr>
        <w:t xml:space="preserve"> For more information about emergency department activity visit </w:t>
      </w:r>
      <w:hyperlink r:id="rId34" w:history="1">
        <w:r w:rsidR="006D0DF9" w:rsidRPr="00CE058E">
          <w:rPr>
            <w:rStyle w:val="Hyperlink"/>
            <w:rFonts w:cs="Arial"/>
          </w:rPr>
          <w:t>IHACPA’s website</w:t>
        </w:r>
      </w:hyperlink>
      <w:r w:rsidR="006D0DF9" w:rsidRPr="00CE058E">
        <w:rPr>
          <w:rFonts w:cs="Arial"/>
          <w:color w:val="auto"/>
        </w:rPr>
        <w:t>.</w:t>
      </w:r>
    </w:p>
    <w:p w14:paraId="6765E7AB" w14:textId="020A0993" w:rsidR="00C361E9" w:rsidRPr="00CE058E" w:rsidRDefault="00C361E9" w:rsidP="00C361E9">
      <w:pPr>
        <w:spacing w:line="276" w:lineRule="auto"/>
        <w:rPr>
          <w:rFonts w:cs="Arial"/>
          <w:color w:val="auto"/>
        </w:rPr>
      </w:pPr>
      <w:r w:rsidRPr="00CE058E">
        <w:rPr>
          <w:rFonts w:cs="Arial"/>
          <w:color w:val="auto"/>
        </w:rPr>
        <w:t xml:space="preserve">The Australian Emergency Care Classification (AECC) Version 1.2 has been used to prepare this report. The AECC has </w:t>
      </w:r>
      <w:r w:rsidR="00EE76DB">
        <w:rPr>
          <w:rFonts w:cs="Arial"/>
          <w:color w:val="auto"/>
        </w:rPr>
        <w:t>3</w:t>
      </w:r>
      <w:r w:rsidR="00EE76DB" w:rsidRPr="00CE058E">
        <w:rPr>
          <w:rFonts w:cs="Arial"/>
          <w:color w:val="auto"/>
        </w:rPr>
        <w:t xml:space="preserve"> </w:t>
      </w:r>
      <w:r w:rsidRPr="00CE058E">
        <w:rPr>
          <w:rFonts w:cs="Arial"/>
          <w:color w:val="auto"/>
        </w:rPr>
        <w:t>hierarchical levels</w:t>
      </w:r>
      <w:r w:rsidR="00301F51" w:rsidRPr="00CE058E">
        <w:rPr>
          <w:rFonts w:cs="Arial"/>
          <w:color w:val="auto"/>
        </w:rPr>
        <w:t xml:space="preserve">, which </w:t>
      </w:r>
      <w:r w:rsidRPr="00CE058E">
        <w:rPr>
          <w:rFonts w:cs="Arial"/>
          <w:color w:val="auto"/>
        </w:rPr>
        <w:t>classify emergency department presentations into end-classes. The complexity levels are based on a score assigned to each presentation</w:t>
      </w:r>
      <w:r w:rsidR="00301F51" w:rsidRPr="00CE058E">
        <w:rPr>
          <w:rFonts w:cs="Arial"/>
          <w:color w:val="auto"/>
        </w:rPr>
        <w:t xml:space="preserve"> that i</w:t>
      </w:r>
      <w:r w:rsidRPr="00CE058E">
        <w:rPr>
          <w:rFonts w:cs="Arial"/>
          <w:color w:val="auto"/>
        </w:rPr>
        <w:t>s calculated using variables consisting of the patient’s type of visit, episode end status, triage category, principal diagnosis, transport mode, and age.</w:t>
      </w:r>
    </w:p>
    <w:p w14:paraId="5EEA769F" w14:textId="7680E627" w:rsidR="00DD3CB5" w:rsidRPr="00CE058E" w:rsidRDefault="003A2F84" w:rsidP="00A47745">
      <w:pPr>
        <w:spacing w:line="276" w:lineRule="auto"/>
        <w:rPr>
          <w:rFonts w:cs="Arial"/>
        </w:rPr>
      </w:pPr>
      <w:bookmarkStart w:id="260" w:name="_Hlk148532599"/>
      <w:r w:rsidRPr="00CE058E">
        <w:rPr>
          <w:rFonts w:cs="Arial"/>
          <w:color w:val="auto"/>
        </w:rPr>
        <w:t>In 2021-22, t</w:t>
      </w:r>
      <w:r w:rsidR="00BF2F93" w:rsidRPr="00CE058E">
        <w:rPr>
          <w:rFonts w:cs="Arial"/>
          <w:color w:val="auto"/>
        </w:rPr>
        <w:t xml:space="preserve">here were </w:t>
      </w:r>
      <w:r w:rsidR="00A81A07" w:rsidRPr="00CE058E">
        <w:rPr>
          <w:rFonts w:cs="Arial"/>
          <w:color w:val="auto"/>
        </w:rPr>
        <w:t>8</w:t>
      </w:r>
      <w:r w:rsidR="002855E3" w:rsidRPr="00CE058E">
        <w:rPr>
          <w:rFonts w:cs="Arial"/>
          <w:color w:val="auto"/>
        </w:rPr>
        <w:t xml:space="preserve">.3 million </w:t>
      </w:r>
      <w:r w:rsidR="00BF2F93" w:rsidRPr="00CE058E">
        <w:rPr>
          <w:rFonts w:cs="Arial"/>
          <w:color w:val="auto"/>
        </w:rPr>
        <w:t>emergency department presentations nationally</w:t>
      </w:r>
      <w:r w:rsidR="002855E3" w:rsidRPr="00CE058E">
        <w:rPr>
          <w:rFonts w:cs="Arial"/>
          <w:color w:val="auto"/>
        </w:rPr>
        <w:t>, a 1</w:t>
      </w:r>
      <w:r w:rsidR="00897090">
        <w:rPr>
          <w:rFonts w:cs="Arial"/>
          <w:color w:val="auto"/>
        </w:rPr>
        <w:t>%</w:t>
      </w:r>
      <w:r w:rsidR="002855E3" w:rsidRPr="00CE058E">
        <w:rPr>
          <w:rFonts w:cs="Arial"/>
          <w:color w:val="auto"/>
        </w:rPr>
        <w:t xml:space="preserve"> decrease to the 2020-21 figure of 8.4 million. The associated cost in 2021-22 nationally was $7.4 billion</w:t>
      </w:r>
      <w:r w:rsidR="00B2240C" w:rsidRPr="00CE058E">
        <w:rPr>
          <w:rFonts w:cs="Arial"/>
          <w:color w:val="auto"/>
        </w:rPr>
        <w:t>, a 11</w:t>
      </w:r>
      <w:r w:rsidR="00897090">
        <w:rPr>
          <w:rFonts w:cs="Arial"/>
          <w:color w:val="auto"/>
        </w:rPr>
        <w:t>%</w:t>
      </w:r>
      <w:r w:rsidR="00B2240C" w:rsidRPr="00CE058E">
        <w:rPr>
          <w:rFonts w:cs="Arial"/>
          <w:color w:val="auto"/>
        </w:rPr>
        <w:t xml:space="preserve"> increase to the 2020-21 figure of $6.6 billion.</w:t>
      </w:r>
      <w:r w:rsidR="00D67878" w:rsidRPr="00CE058E">
        <w:rPr>
          <w:rFonts w:cs="Arial"/>
          <w:color w:val="auto"/>
        </w:rPr>
        <w:t xml:space="preserve"> The </w:t>
      </w:r>
      <w:r w:rsidR="00BF2F93" w:rsidRPr="00CE058E">
        <w:rPr>
          <w:rFonts w:cs="Arial"/>
          <w:color w:val="auto"/>
        </w:rPr>
        <w:t xml:space="preserve">national average cost per </w:t>
      </w:r>
      <w:r w:rsidR="00D67878" w:rsidRPr="00CE058E">
        <w:rPr>
          <w:rFonts w:cs="Arial"/>
          <w:color w:val="auto"/>
        </w:rPr>
        <w:t xml:space="preserve">emergency department </w:t>
      </w:r>
      <w:r w:rsidR="00BF2F93" w:rsidRPr="00CE058E">
        <w:rPr>
          <w:rFonts w:cs="Arial"/>
          <w:color w:val="auto"/>
        </w:rPr>
        <w:t xml:space="preserve">presentation </w:t>
      </w:r>
      <w:r w:rsidR="00405A9D" w:rsidRPr="00CE058E">
        <w:rPr>
          <w:rFonts w:cs="Arial"/>
          <w:color w:val="auto"/>
        </w:rPr>
        <w:t xml:space="preserve">was </w:t>
      </w:r>
      <w:r w:rsidR="00BF2F93" w:rsidRPr="00CE058E">
        <w:rPr>
          <w:rFonts w:cs="Arial"/>
          <w:color w:val="auto"/>
        </w:rPr>
        <w:t>$891</w:t>
      </w:r>
      <w:r w:rsidR="00405A9D" w:rsidRPr="00CE058E">
        <w:rPr>
          <w:rFonts w:cs="Arial"/>
          <w:color w:val="auto"/>
        </w:rPr>
        <w:t xml:space="preserve"> for 2021-22</w:t>
      </w:r>
      <w:r w:rsidR="00BF2F93" w:rsidRPr="00CE058E">
        <w:rPr>
          <w:rFonts w:cs="Arial"/>
          <w:color w:val="auto"/>
        </w:rPr>
        <w:t xml:space="preserve">, </w:t>
      </w:r>
      <w:r w:rsidR="008C7596" w:rsidRPr="00CE058E">
        <w:rPr>
          <w:rFonts w:cs="Arial"/>
          <w:color w:val="auto"/>
        </w:rPr>
        <w:t xml:space="preserve">a </w:t>
      </w:r>
      <w:r w:rsidR="00BF2F93" w:rsidRPr="00CE058E">
        <w:rPr>
          <w:rFonts w:cs="Arial"/>
          <w:color w:val="auto"/>
        </w:rPr>
        <w:t>13</w:t>
      </w:r>
      <w:r w:rsidR="00897090">
        <w:rPr>
          <w:rFonts w:cs="Arial"/>
          <w:color w:val="auto"/>
        </w:rPr>
        <w:t>%</w:t>
      </w:r>
      <w:r w:rsidR="00BF2F93" w:rsidRPr="00CE058E">
        <w:rPr>
          <w:rFonts w:cs="Arial"/>
          <w:color w:val="auto"/>
        </w:rPr>
        <w:t xml:space="preserve"> </w:t>
      </w:r>
      <w:r w:rsidR="008C7596" w:rsidRPr="00CE058E">
        <w:rPr>
          <w:rFonts w:cs="Arial"/>
          <w:color w:val="auto"/>
        </w:rPr>
        <w:t xml:space="preserve">increase to the 2020-21 national average of </w:t>
      </w:r>
      <w:r w:rsidR="00BF2F93" w:rsidRPr="00CE058E">
        <w:rPr>
          <w:rFonts w:cs="Arial"/>
          <w:color w:val="auto"/>
        </w:rPr>
        <w:t>$790</w:t>
      </w:r>
      <w:r w:rsidRPr="00CE058E">
        <w:rPr>
          <w:rFonts w:cs="Arial"/>
          <w:color w:val="auto"/>
        </w:rPr>
        <w:t>.</w:t>
      </w:r>
      <w:bookmarkEnd w:id="260"/>
      <w:r w:rsidR="00DD3CB5" w:rsidRPr="00CE058E">
        <w:rPr>
          <w:rFonts w:cs="Arial"/>
        </w:rPr>
        <w:br w:type="page"/>
      </w:r>
    </w:p>
    <w:p w14:paraId="470DAAB4" w14:textId="4B2CDDC8" w:rsidR="00BF2F93" w:rsidRPr="00CE058E" w:rsidRDefault="00BF2F93" w:rsidP="007B41F8">
      <w:pPr>
        <w:pStyle w:val="Heading2"/>
      </w:pPr>
      <w:bookmarkStart w:id="261" w:name="_Toc144215455"/>
      <w:bookmarkStart w:id="262" w:name="_Toc144967660"/>
      <w:bookmarkStart w:id="263" w:name="_Toc151129707"/>
      <w:bookmarkStart w:id="264" w:name="_Toc158882558"/>
      <w:bookmarkStart w:id="265" w:name="_Toc158882619"/>
      <w:r w:rsidRPr="00CE058E">
        <w:lastRenderedPageBreak/>
        <w:t xml:space="preserve">Emergency department </w:t>
      </w:r>
      <w:bookmarkEnd w:id="261"/>
      <w:bookmarkEnd w:id="262"/>
      <w:r w:rsidR="003A2F84" w:rsidRPr="00CE058E">
        <w:t>cost and activity</w:t>
      </w:r>
      <w:bookmarkEnd w:id="263"/>
      <w:bookmarkEnd w:id="264"/>
      <w:bookmarkEnd w:id="265"/>
    </w:p>
    <w:p w14:paraId="014BCFA6" w14:textId="5C2CE0C3" w:rsidR="000E6EAE" w:rsidRPr="00CE058E" w:rsidRDefault="000E6EAE" w:rsidP="00BC4620">
      <w:pPr>
        <w:spacing w:line="276" w:lineRule="auto"/>
        <w:rPr>
          <w:rFonts w:cs="Arial"/>
          <w:color w:val="auto"/>
        </w:rPr>
      </w:pPr>
      <w:bookmarkStart w:id="266" w:name="_Hlk146653679"/>
      <w:bookmarkStart w:id="267" w:name="_Hlk146612577"/>
      <w:bookmarkStart w:id="268" w:name="_Toc144215456"/>
      <w:r w:rsidRPr="00CE058E">
        <w:rPr>
          <w:rFonts w:cs="Arial"/>
          <w:color w:val="auto"/>
        </w:rPr>
        <w:t>Table 10 shows the number of linked NHCDC records as a proportion of the emergency department activity by jurisdiction from 2019-20 to 2021-22. The</w:t>
      </w:r>
      <w:r w:rsidR="00B95BF0" w:rsidRPr="00CE058E">
        <w:rPr>
          <w:rFonts w:cs="Arial"/>
          <w:color w:val="auto"/>
        </w:rPr>
        <w:t xml:space="preserve"> national</w:t>
      </w:r>
      <w:r w:rsidRPr="00CE058E">
        <w:rPr>
          <w:rFonts w:cs="Arial"/>
          <w:color w:val="auto"/>
        </w:rPr>
        <w:t xml:space="preserve"> linked NHCDC records increased </w:t>
      </w:r>
      <w:r w:rsidR="00264647" w:rsidRPr="00CE058E">
        <w:rPr>
          <w:rFonts w:cs="Arial"/>
          <w:color w:val="auto"/>
        </w:rPr>
        <w:t>by 329,056 (or 4</w:t>
      </w:r>
      <w:r w:rsidR="00897090">
        <w:rPr>
          <w:rFonts w:cs="Arial"/>
          <w:color w:val="auto"/>
        </w:rPr>
        <w:t>%</w:t>
      </w:r>
      <w:r w:rsidR="00264647" w:rsidRPr="00CE058E">
        <w:rPr>
          <w:rFonts w:cs="Arial"/>
          <w:color w:val="auto"/>
        </w:rPr>
        <w:t>)</w:t>
      </w:r>
      <w:r w:rsidRPr="00CE058E">
        <w:rPr>
          <w:rFonts w:cs="Arial"/>
          <w:color w:val="auto"/>
        </w:rPr>
        <w:t xml:space="preserve"> and activity increased by </w:t>
      </w:r>
      <w:r w:rsidR="00264647" w:rsidRPr="00CE058E">
        <w:rPr>
          <w:rFonts w:cs="Arial"/>
          <w:color w:val="auto"/>
        </w:rPr>
        <w:t>470,933 (</w:t>
      </w:r>
      <w:r w:rsidRPr="00CE058E">
        <w:rPr>
          <w:rFonts w:cs="Arial"/>
          <w:color w:val="auto"/>
        </w:rPr>
        <w:t xml:space="preserve">or </w:t>
      </w:r>
      <w:r w:rsidR="00264647" w:rsidRPr="00CE058E">
        <w:rPr>
          <w:rFonts w:cs="Arial"/>
          <w:color w:val="auto"/>
        </w:rPr>
        <w:t>6</w:t>
      </w:r>
      <w:r w:rsidR="00897090">
        <w:rPr>
          <w:rFonts w:cs="Arial"/>
          <w:color w:val="auto"/>
        </w:rPr>
        <w:t>%</w:t>
      </w:r>
      <w:r w:rsidR="00264647" w:rsidRPr="00CE058E">
        <w:rPr>
          <w:rFonts w:cs="Arial"/>
          <w:color w:val="auto"/>
        </w:rPr>
        <w:t>)</w:t>
      </w:r>
      <w:r w:rsidRPr="00CE058E">
        <w:rPr>
          <w:rFonts w:cs="Arial"/>
          <w:color w:val="auto"/>
        </w:rPr>
        <w:t xml:space="preserve"> from 2019-20 to 2021-22. Nationally, the linked NHCDC records as a proportion of activity </w:t>
      </w:r>
      <w:r w:rsidR="00002016" w:rsidRPr="00CE058E">
        <w:rPr>
          <w:rFonts w:cs="Arial"/>
          <w:color w:val="auto"/>
        </w:rPr>
        <w:t>decreased by 1</w:t>
      </w:r>
      <w:r w:rsidR="00897090">
        <w:rPr>
          <w:rFonts w:cs="Arial"/>
          <w:color w:val="auto"/>
        </w:rPr>
        <w:t>%</w:t>
      </w:r>
      <w:r w:rsidR="00002016" w:rsidRPr="00CE058E">
        <w:rPr>
          <w:rFonts w:cs="Arial"/>
          <w:color w:val="auto"/>
        </w:rPr>
        <w:t xml:space="preserve"> </w:t>
      </w:r>
      <w:r w:rsidRPr="00CE058E">
        <w:rPr>
          <w:rFonts w:cs="Arial"/>
          <w:color w:val="auto"/>
        </w:rPr>
        <w:t>from</w:t>
      </w:r>
      <w:r w:rsidR="00B95BF0" w:rsidRPr="00CE058E">
        <w:rPr>
          <w:rFonts w:cs="Arial"/>
          <w:color w:val="auto"/>
        </w:rPr>
        <w:t xml:space="preserve"> 95</w:t>
      </w:r>
      <w:r w:rsidR="00897090">
        <w:rPr>
          <w:rFonts w:cs="Arial"/>
          <w:color w:val="auto"/>
        </w:rPr>
        <w:t>%</w:t>
      </w:r>
      <w:r w:rsidR="00B95BF0" w:rsidRPr="00CE058E">
        <w:rPr>
          <w:rFonts w:cs="Arial"/>
          <w:color w:val="auto"/>
        </w:rPr>
        <w:t xml:space="preserve"> in</w:t>
      </w:r>
      <w:r w:rsidRPr="00CE058E">
        <w:rPr>
          <w:rFonts w:cs="Arial"/>
          <w:color w:val="auto"/>
        </w:rPr>
        <w:t xml:space="preserve"> 2019-20 to </w:t>
      </w:r>
      <w:r w:rsidR="00B95BF0" w:rsidRPr="00CE058E">
        <w:rPr>
          <w:rFonts w:cs="Arial"/>
          <w:color w:val="auto"/>
        </w:rPr>
        <w:t>94</w:t>
      </w:r>
      <w:r w:rsidR="00897090">
        <w:rPr>
          <w:rFonts w:cs="Arial"/>
          <w:color w:val="auto"/>
        </w:rPr>
        <w:t>%</w:t>
      </w:r>
      <w:r w:rsidR="00B95BF0" w:rsidRPr="00CE058E">
        <w:rPr>
          <w:rFonts w:cs="Arial"/>
          <w:color w:val="auto"/>
        </w:rPr>
        <w:t xml:space="preserve"> in </w:t>
      </w:r>
      <w:r w:rsidRPr="00CE058E">
        <w:rPr>
          <w:rFonts w:cs="Arial"/>
          <w:color w:val="auto"/>
        </w:rPr>
        <w:t>2021-22.</w:t>
      </w:r>
    </w:p>
    <w:p w14:paraId="449A10E3" w14:textId="40B76DE2" w:rsidR="00BF2F93" w:rsidRPr="00CE058E" w:rsidRDefault="00C53B6A" w:rsidP="00B42434">
      <w:pPr>
        <w:pStyle w:val="TableFigureheading"/>
        <w:rPr>
          <w:bCs/>
        </w:rPr>
      </w:pPr>
      <w:bookmarkStart w:id="269" w:name="_Toc149650911"/>
      <w:bookmarkStart w:id="270" w:name="_Toc151370036"/>
      <w:r w:rsidRPr="00CE058E">
        <w:t xml:space="preserve">Table </w:t>
      </w:r>
      <w:r>
        <w:fldChar w:fldCharType="begin"/>
      </w:r>
      <w:r>
        <w:instrText xml:space="preserve"> SEQ Table \* ARABIC </w:instrText>
      </w:r>
      <w:r>
        <w:fldChar w:fldCharType="separate"/>
      </w:r>
      <w:r w:rsidR="00B42434">
        <w:rPr>
          <w:noProof/>
        </w:rPr>
        <w:t>10</w:t>
      </w:r>
      <w:r>
        <w:rPr>
          <w:noProof/>
        </w:rPr>
        <w:fldChar w:fldCharType="end"/>
      </w:r>
      <w:r w:rsidRPr="00CE058E">
        <w:t>: Proportion of linked NHCDC records to activity, 2019-20 to 2021-22</w:t>
      </w:r>
      <w:bookmarkEnd w:id="266"/>
      <w:bookmarkEnd w:id="269"/>
      <w:bookmarkEnd w:id="270"/>
    </w:p>
    <w:tbl>
      <w:tblPr>
        <w:tblStyle w:val="GridTable4-Accent2"/>
        <w:tblW w:w="11411" w:type="dxa"/>
        <w:jc w:val="center"/>
        <w:tblLayout w:type="fixed"/>
        <w:tblLook w:val="04A0" w:firstRow="1" w:lastRow="0" w:firstColumn="1" w:lastColumn="0" w:noHBand="0" w:noVBand="1"/>
      </w:tblPr>
      <w:tblGrid>
        <w:gridCol w:w="1251"/>
        <w:gridCol w:w="1159"/>
        <w:gridCol w:w="1107"/>
        <w:gridCol w:w="1144"/>
        <w:gridCol w:w="1177"/>
        <w:gridCol w:w="1127"/>
        <w:gridCol w:w="1145"/>
        <w:gridCol w:w="1130"/>
        <w:gridCol w:w="1025"/>
        <w:gridCol w:w="1146"/>
      </w:tblGrid>
      <w:tr w:rsidR="005F37E7" w:rsidRPr="00CE058E" w14:paraId="032A4C4A" w14:textId="77777777" w:rsidTr="00002016">
        <w:trPr>
          <w:cnfStyle w:val="100000000000" w:firstRow="1" w:lastRow="0" w:firstColumn="0" w:lastColumn="0" w:oddVBand="0" w:evenVBand="0" w:oddHBand="0"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1251" w:type="dxa"/>
            <w:vMerge w:val="restart"/>
            <w:tcBorders>
              <w:right w:val="single" w:sz="4" w:space="0" w:color="FFFFFF" w:themeColor="background2"/>
            </w:tcBorders>
            <w:noWrap/>
            <w:vAlign w:val="center"/>
          </w:tcPr>
          <w:p w14:paraId="7424D063" w14:textId="19161F65" w:rsidR="005F37E7" w:rsidRPr="00CE058E" w:rsidRDefault="00150FC2" w:rsidP="00F20004">
            <w:pPr>
              <w:spacing w:line="276" w:lineRule="auto"/>
              <w:jc w:val="center"/>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Jurisdiction</w:t>
            </w:r>
          </w:p>
        </w:tc>
        <w:tc>
          <w:tcPr>
            <w:tcW w:w="341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435B627F" w14:textId="77777777" w:rsidR="005F37E7" w:rsidRPr="00CE058E" w:rsidRDefault="005F37E7" w:rsidP="00F20004">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2019-20</w:t>
            </w:r>
          </w:p>
        </w:tc>
        <w:tc>
          <w:tcPr>
            <w:tcW w:w="3449"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23DE77C8" w14:textId="77777777" w:rsidR="005F37E7" w:rsidRPr="00CE058E" w:rsidRDefault="005F37E7" w:rsidP="00F20004">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2020-21</w:t>
            </w:r>
          </w:p>
        </w:tc>
        <w:tc>
          <w:tcPr>
            <w:tcW w:w="3301"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28A5FEBC" w14:textId="77777777" w:rsidR="005F37E7" w:rsidRPr="00CE058E" w:rsidRDefault="005F37E7" w:rsidP="00F20004">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2021-22</w:t>
            </w:r>
          </w:p>
        </w:tc>
      </w:tr>
      <w:tr w:rsidR="00F46C13" w:rsidRPr="00CE058E" w14:paraId="37C37668" w14:textId="77777777" w:rsidTr="00002016">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251" w:type="dxa"/>
            <w:vMerge/>
            <w:tcBorders>
              <w:right w:val="single" w:sz="4" w:space="0" w:color="FFFFFF" w:themeColor="background2"/>
            </w:tcBorders>
            <w:noWrap/>
            <w:vAlign w:val="center"/>
          </w:tcPr>
          <w:p w14:paraId="08BD6C22" w14:textId="77777777" w:rsidR="005F37E7" w:rsidRPr="00CE058E" w:rsidRDefault="005F37E7" w:rsidP="00F20004">
            <w:pPr>
              <w:spacing w:line="276" w:lineRule="auto"/>
              <w:jc w:val="center"/>
              <w:rPr>
                <w:rFonts w:eastAsia="Times New Roman" w:cs="Arial"/>
                <w:b w:val="0"/>
                <w:bCs w:val="0"/>
                <w:color w:val="FFFFFF" w:themeColor="background2"/>
                <w:sz w:val="18"/>
                <w:szCs w:val="18"/>
                <w:lang w:eastAsia="en-AU"/>
              </w:rPr>
            </w:pPr>
          </w:p>
        </w:tc>
        <w:tc>
          <w:tcPr>
            <w:tcW w:w="1159"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5E9FF23" w14:textId="28C7EE44" w:rsidR="005F37E7" w:rsidRPr="00CE058E" w:rsidRDefault="00F658CE"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Linked NHCDC Records</w:t>
            </w:r>
          </w:p>
        </w:tc>
        <w:tc>
          <w:tcPr>
            <w:tcW w:w="110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5CEDC7AE" w14:textId="57FF5729" w:rsidR="005F37E7" w:rsidRPr="00CE058E" w:rsidRDefault="00C33282"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Pr>
                <w:rFonts w:eastAsia="Times New Roman" w:cs="Arial"/>
                <w:b/>
                <w:bCs/>
                <w:color w:val="FFFFFF" w:themeColor="background2"/>
                <w:sz w:val="18"/>
                <w:szCs w:val="18"/>
                <w:lang w:eastAsia="en-AU"/>
              </w:rPr>
              <w:t>A</w:t>
            </w:r>
            <w:r w:rsidR="005F37E7" w:rsidRPr="00CE058E">
              <w:rPr>
                <w:rFonts w:eastAsia="Times New Roman" w:cs="Arial"/>
                <w:b/>
                <w:bCs/>
                <w:color w:val="FFFFFF" w:themeColor="background2"/>
                <w:sz w:val="18"/>
                <w:szCs w:val="18"/>
                <w:lang w:eastAsia="en-AU"/>
              </w:rPr>
              <w:t>ctivity</w:t>
            </w:r>
          </w:p>
        </w:tc>
        <w:tc>
          <w:tcPr>
            <w:tcW w:w="1144"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2912574C" w14:textId="7CF7E9C1" w:rsidR="005F37E7" w:rsidRPr="00CE058E" w:rsidRDefault="005F37E7"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w:t>
            </w:r>
            <w:r w:rsidR="00F20004" w:rsidRPr="00CE058E">
              <w:rPr>
                <w:rFonts w:eastAsia="Times New Roman" w:cs="Arial"/>
                <w:b/>
                <w:bCs/>
                <w:color w:val="FFFFFF" w:themeColor="background2"/>
                <w:sz w:val="18"/>
                <w:szCs w:val="18"/>
                <w:lang w:eastAsia="en-AU"/>
              </w:rPr>
              <w:t xml:space="preserve"> (%)</w:t>
            </w:r>
          </w:p>
        </w:tc>
        <w:tc>
          <w:tcPr>
            <w:tcW w:w="117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3FABC677" w14:textId="190C8018" w:rsidR="005F37E7" w:rsidRPr="00CE058E" w:rsidRDefault="00F658CE"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Linked NHCDC Records</w:t>
            </w:r>
          </w:p>
        </w:tc>
        <w:tc>
          <w:tcPr>
            <w:tcW w:w="112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3BE9A47D" w14:textId="79BF947C" w:rsidR="005F37E7" w:rsidRPr="00CE058E" w:rsidRDefault="00C33282"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Pr>
                <w:rFonts w:eastAsia="Times New Roman" w:cs="Arial"/>
                <w:b/>
                <w:bCs/>
                <w:color w:val="FFFFFF" w:themeColor="background2"/>
                <w:sz w:val="18"/>
                <w:szCs w:val="18"/>
                <w:lang w:eastAsia="en-AU"/>
              </w:rPr>
              <w:t>A</w:t>
            </w:r>
            <w:r w:rsidR="005F37E7" w:rsidRPr="00CE058E">
              <w:rPr>
                <w:rFonts w:eastAsia="Times New Roman" w:cs="Arial"/>
                <w:b/>
                <w:bCs/>
                <w:color w:val="FFFFFF" w:themeColor="background2"/>
                <w:sz w:val="18"/>
                <w:szCs w:val="18"/>
                <w:lang w:eastAsia="en-AU"/>
              </w:rPr>
              <w:t>ctivity</w:t>
            </w:r>
          </w:p>
        </w:tc>
        <w:tc>
          <w:tcPr>
            <w:tcW w:w="114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2CC1FC4C" w14:textId="77777777" w:rsidR="005F37E7" w:rsidRPr="00CE058E" w:rsidRDefault="005F37E7"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w:t>
            </w:r>
          </w:p>
          <w:p w14:paraId="0D582069" w14:textId="2045ACDD" w:rsidR="00F20004" w:rsidRPr="00CE058E" w:rsidRDefault="00F20004"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w:t>
            </w:r>
          </w:p>
        </w:tc>
        <w:tc>
          <w:tcPr>
            <w:tcW w:w="113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08E01D30" w14:textId="0F9AE6F2" w:rsidR="005F37E7" w:rsidRPr="00CE058E" w:rsidRDefault="00F658CE"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Linked NHCDC Records</w:t>
            </w:r>
          </w:p>
        </w:tc>
        <w:tc>
          <w:tcPr>
            <w:tcW w:w="102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18CC6107" w14:textId="45B05C06" w:rsidR="005F37E7" w:rsidRPr="00CE058E" w:rsidRDefault="00C33282"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Pr>
                <w:rFonts w:eastAsia="Times New Roman" w:cs="Arial"/>
                <w:b/>
                <w:bCs/>
                <w:color w:val="FFFFFF" w:themeColor="background2"/>
                <w:sz w:val="18"/>
                <w:szCs w:val="18"/>
                <w:lang w:eastAsia="en-AU"/>
              </w:rPr>
              <w:t>A</w:t>
            </w:r>
            <w:r w:rsidR="005F37E7" w:rsidRPr="00CE058E">
              <w:rPr>
                <w:rFonts w:eastAsia="Times New Roman" w:cs="Arial"/>
                <w:b/>
                <w:bCs/>
                <w:color w:val="FFFFFF" w:themeColor="background2"/>
                <w:sz w:val="18"/>
                <w:szCs w:val="18"/>
                <w:lang w:eastAsia="en-AU"/>
              </w:rPr>
              <w:t>ctivity</w:t>
            </w:r>
          </w:p>
        </w:tc>
        <w:tc>
          <w:tcPr>
            <w:tcW w:w="114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73B311EC" w14:textId="3F527F5F" w:rsidR="005F37E7" w:rsidRPr="00CE058E" w:rsidRDefault="00C661AB"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 (</w:t>
            </w:r>
            <w:r w:rsidR="00F20004" w:rsidRPr="00CE058E">
              <w:rPr>
                <w:rFonts w:eastAsia="Times New Roman" w:cs="Arial"/>
                <w:b/>
                <w:bCs/>
                <w:color w:val="FFFFFF" w:themeColor="background2"/>
                <w:sz w:val="18"/>
                <w:szCs w:val="18"/>
                <w:lang w:eastAsia="en-AU"/>
              </w:rPr>
              <w:t>%)</w:t>
            </w:r>
          </w:p>
        </w:tc>
      </w:tr>
      <w:tr w:rsidR="006C3039" w:rsidRPr="00CE058E" w14:paraId="5998D850" w14:textId="77777777" w:rsidTr="00F41F01">
        <w:trPr>
          <w:trHeight w:val="55"/>
          <w:jc w:val="center"/>
        </w:trPr>
        <w:tc>
          <w:tcPr>
            <w:cnfStyle w:val="001000000000" w:firstRow="0" w:lastRow="0" w:firstColumn="1" w:lastColumn="0" w:oddVBand="0" w:evenVBand="0" w:oddHBand="0" w:evenHBand="0" w:firstRowFirstColumn="0" w:firstRowLastColumn="0" w:lastRowFirstColumn="0" w:lastRowLastColumn="0"/>
            <w:tcW w:w="1251" w:type="dxa"/>
            <w:noWrap/>
            <w:vAlign w:val="center"/>
            <w:hideMark/>
          </w:tcPr>
          <w:p w14:paraId="60A24E5E" w14:textId="77777777" w:rsidR="005F37E7" w:rsidRPr="00CE058E" w:rsidRDefault="005F37E7"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NSW</w:t>
            </w:r>
          </w:p>
        </w:tc>
        <w:tc>
          <w:tcPr>
            <w:tcW w:w="1159" w:type="dxa"/>
            <w:tcBorders>
              <w:top w:val="single" w:sz="4" w:space="0" w:color="FFFFFF" w:themeColor="background2"/>
            </w:tcBorders>
            <w:noWrap/>
            <w:vAlign w:val="center"/>
          </w:tcPr>
          <w:p w14:paraId="4DA55D24" w14:textId="66418D02"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2,571,745</w:t>
            </w:r>
          </w:p>
        </w:tc>
        <w:tc>
          <w:tcPr>
            <w:tcW w:w="1107" w:type="dxa"/>
            <w:tcBorders>
              <w:top w:val="single" w:sz="4" w:space="0" w:color="FFFFFF" w:themeColor="background2"/>
            </w:tcBorders>
            <w:noWrap/>
            <w:vAlign w:val="center"/>
          </w:tcPr>
          <w:p w14:paraId="5BF3049E"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2,857,259</w:t>
            </w:r>
          </w:p>
        </w:tc>
        <w:tc>
          <w:tcPr>
            <w:tcW w:w="1144" w:type="dxa"/>
            <w:tcBorders>
              <w:top w:val="single" w:sz="4" w:space="0" w:color="FFFFFF" w:themeColor="background2"/>
            </w:tcBorders>
            <w:noWrap/>
            <w:vAlign w:val="center"/>
          </w:tcPr>
          <w:p w14:paraId="150519BC" w14:textId="245FE6EA"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90</w:t>
            </w:r>
          </w:p>
        </w:tc>
        <w:tc>
          <w:tcPr>
            <w:tcW w:w="1177" w:type="dxa"/>
            <w:tcBorders>
              <w:top w:val="single" w:sz="4" w:space="0" w:color="FFFFFF" w:themeColor="background2"/>
            </w:tcBorders>
            <w:noWrap/>
            <w:vAlign w:val="center"/>
          </w:tcPr>
          <w:p w14:paraId="7FB91031" w14:textId="7BCB6B7A"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2,520,197</w:t>
            </w:r>
          </w:p>
        </w:tc>
        <w:tc>
          <w:tcPr>
            <w:tcW w:w="1127" w:type="dxa"/>
            <w:tcBorders>
              <w:top w:val="single" w:sz="4" w:space="0" w:color="FFFFFF" w:themeColor="background2"/>
            </w:tcBorders>
            <w:noWrap/>
            <w:vAlign w:val="center"/>
          </w:tcPr>
          <w:p w14:paraId="79AF3244" w14:textId="45E71AC9"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2,958,710</w:t>
            </w:r>
          </w:p>
        </w:tc>
        <w:tc>
          <w:tcPr>
            <w:tcW w:w="1145" w:type="dxa"/>
            <w:tcBorders>
              <w:top w:val="single" w:sz="4" w:space="0" w:color="FFFFFF" w:themeColor="background2"/>
            </w:tcBorders>
            <w:noWrap/>
            <w:vAlign w:val="center"/>
          </w:tcPr>
          <w:p w14:paraId="51284E51" w14:textId="2BC0CD62"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85</w:t>
            </w:r>
          </w:p>
        </w:tc>
        <w:tc>
          <w:tcPr>
            <w:tcW w:w="1130" w:type="dxa"/>
            <w:tcBorders>
              <w:top w:val="single" w:sz="4" w:space="0" w:color="FFFFFF" w:themeColor="background2"/>
            </w:tcBorders>
            <w:noWrap/>
            <w:vAlign w:val="center"/>
          </w:tcPr>
          <w:p w14:paraId="12515DC2" w14:textId="4DFB6769"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2,463,075</w:t>
            </w:r>
          </w:p>
        </w:tc>
        <w:tc>
          <w:tcPr>
            <w:tcW w:w="1025" w:type="dxa"/>
            <w:tcBorders>
              <w:top w:val="single" w:sz="4" w:space="0" w:color="FFFFFF" w:themeColor="background2"/>
            </w:tcBorders>
            <w:noWrap/>
            <w:vAlign w:val="center"/>
          </w:tcPr>
          <w:p w14:paraId="56869745"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2,910,511</w:t>
            </w:r>
          </w:p>
        </w:tc>
        <w:tc>
          <w:tcPr>
            <w:tcW w:w="1146" w:type="dxa"/>
            <w:tcBorders>
              <w:top w:val="single" w:sz="4" w:space="0" w:color="FFFFFF" w:themeColor="background2"/>
            </w:tcBorders>
            <w:noWrap/>
            <w:vAlign w:val="center"/>
          </w:tcPr>
          <w:p w14:paraId="046609F6" w14:textId="4EF6FAAC"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85</w:t>
            </w:r>
          </w:p>
        </w:tc>
      </w:tr>
      <w:tr w:rsidR="006C3039" w:rsidRPr="00CE058E" w14:paraId="40E2ABF6" w14:textId="77777777" w:rsidTr="00F41F01">
        <w:trPr>
          <w:cnfStyle w:val="000000100000" w:firstRow="0" w:lastRow="0" w:firstColumn="0" w:lastColumn="0" w:oddVBand="0" w:evenVBand="0" w:oddHBand="1" w:evenHBand="0" w:firstRowFirstColumn="0" w:firstRowLastColumn="0" w:lastRowFirstColumn="0" w:lastRowLastColumn="0"/>
          <w:trHeight w:val="55"/>
          <w:jc w:val="center"/>
        </w:trPr>
        <w:tc>
          <w:tcPr>
            <w:cnfStyle w:val="001000000000" w:firstRow="0" w:lastRow="0" w:firstColumn="1" w:lastColumn="0" w:oddVBand="0" w:evenVBand="0" w:oddHBand="0" w:evenHBand="0" w:firstRowFirstColumn="0" w:firstRowLastColumn="0" w:lastRowFirstColumn="0" w:lastRowLastColumn="0"/>
            <w:tcW w:w="1251" w:type="dxa"/>
            <w:noWrap/>
            <w:vAlign w:val="center"/>
            <w:hideMark/>
          </w:tcPr>
          <w:p w14:paraId="57AF6CDF" w14:textId="449A9DAB" w:rsidR="005F37E7" w:rsidRPr="00CE058E" w:rsidRDefault="00B432C4"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Vic</w:t>
            </w:r>
          </w:p>
        </w:tc>
        <w:tc>
          <w:tcPr>
            <w:tcW w:w="1159" w:type="dxa"/>
            <w:noWrap/>
            <w:vAlign w:val="center"/>
          </w:tcPr>
          <w:p w14:paraId="7FF091DB" w14:textId="40BB118B"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1,724,209</w:t>
            </w:r>
          </w:p>
        </w:tc>
        <w:tc>
          <w:tcPr>
            <w:tcW w:w="1107" w:type="dxa"/>
            <w:noWrap/>
            <w:vAlign w:val="center"/>
          </w:tcPr>
          <w:p w14:paraId="4B187F83"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1,784,900</w:t>
            </w:r>
          </w:p>
        </w:tc>
        <w:tc>
          <w:tcPr>
            <w:tcW w:w="1144" w:type="dxa"/>
            <w:noWrap/>
            <w:vAlign w:val="center"/>
          </w:tcPr>
          <w:p w14:paraId="05E08F4C" w14:textId="0E2A6B4A"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97</w:t>
            </w:r>
          </w:p>
        </w:tc>
        <w:tc>
          <w:tcPr>
            <w:tcW w:w="1177" w:type="dxa"/>
            <w:noWrap/>
            <w:vAlign w:val="center"/>
          </w:tcPr>
          <w:p w14:paraId="12E60DC2" w14:textId="639CD8A3"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1,704,061</w:t>
            </w:r>
          </w:p>
        </w:tc>
        <w:tc>
          <w:tcPr>
            <w:tcW w:w="1127" w:type="dxa"/>
            <w:noWrap/>
            <w:vAlign w:val="center"/>
          </w:tcPr>
          <w:p w14:paraId="1EAA9954" w14:textId="132FC893"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1,772,271</w:t>
            </w:r>
          </w:p>
        </w:tc>
        <w:tc>
          <w:tcPr>
            <w:tcW w:w="1145" w:type="dxa"/>
            <w:noWrap/>
            <w:vAlign w:val="center"/>
          </w:tcPr>
          <w:p w14:paraId="11C8FACB" w14:textId="1E93ECCA"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96</w:t>
            </w:r>
          </w:p>
        </w:tc>
        <w:tc>
          <w:tcPr>
            <w:tcW w:w="1130" w:type="dxa"/>
            <w:noWrap/>
            <w:vAlign w:val="center"/>
          </w:tcPr>
          <w:p w14:paraId="6649F7F7" w14:textId="2B2E5D56"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1,817,818</w:t>
            </w:r>
          </w:p>
        </w:tc>
        <w:tc>
          <w:tcPr>
            <w:tcW w:w="1025" w:type="dxa"/>
            <w:noWrap/>
            <w:vAlign w:val="center"/>
          </w:tcPr>
          <w:p w14:paraId="3EBA9DBD"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1,856,242</w:t>
            </w:r>
          </w:p>
        </w:tc>
        <w:tc>
          <w:tcPr>
            <w:tcW w:w="1146" w:type="dxa"/>
            <w:noWrap/>
            <w:vAlign w:val="center"/>
          </w:tcPr>
          <w:p w14:paraId="184241CA" w14:textId="3B693A86"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98</w:t>
            </w:r>
          </w:p>
        </w:tc>
      </w:tr>
      <w:tr w:rsidR="006C3039" w:rsidRPr="00CE058E" w14:paraId="664684BD" w14:textId="77777777" w:rsidTr="00F41F01">
        <w:trPr>
          <w:trHeight w:val="55"/>
          <w:jc w:val="center"/>
        </w:trPr>
        <w:tc>
          <w:tcPr>
            <w:cnfStyle w:val="001000000000" w:firstRow="0" w:lastRow="0" w:firstColumn="1" w:lastColumn="0" w:oddVBand="0" w:evenVBand="0" w:oddHBand="0" w:evenHBand="0" w:firstRowFirstColumn="0" w:firstRowLastColumn="0" w:lastRowFirstColumn="0" w:lastRowLastColumn="0"/>
            <w:tcW w:w="1251" w:type="dxa"/>
            <w:noWrap/>
            <w:vAlign w:val="center"/>
            <w:hideMark/>
          </w:tcPr>
          <w:p w14:paraId="52EBE471" w14:textId="7A9F7518" w:rsidR="005F37E7" w:rsidRPr="00CE058E" w:rsidRDefault="00B432C4"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Qld</w:t>
            </w:r>
          </w:p>
        </w:tc>
        <w:tc>
          <w:tcPr>
            <w:tcW w:w="1159" w:type="dxa"/>
            <w:noWrap/>
            <w:vAlign w:val="center"/>
          </w:tcPr>
          <w:p w14:paraId="3EA7A85B" w14:textId="2CBF6CFB"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1,947,567</w:t>
            </w:r>
          </w:p>
        </w:tc>
        <w:tc>
          <w:tcPr>
            <w:tcW w:w="1107" w:type="dxa"/>
            <w:noWrap/>
            <w:vAlign w:val="center"/>
          </w:tcPr>
          <w:p w14:paraId="40F274B7"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2,005,357</w:t>
            </w:r>
          </w:p>
        </w:tc>
        <w:tc>
          <w:tcPr>
            <w:tcW w:w="1144" w:type="dxa"/>
            <w:noWrap/>
            <w:vAlign w:val="center"/>
          </w:tcPr>
          <w:p w14:paraId="3074592A" w14:textId="0C62A5EA"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97</w:t>
            </w:r>
          </w:p>
        </w:tc>
        <w:tc>
          <w:tcPr>
            <w:tcW w:w="1177" w:type="dxa"/>
            <w:noWrap/>
            <w:vAlign w:val="center"/>
          </w:tcPr>
          <w:p w14:paraId="7A8D5B13" w14:textId="46C4B0A0"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2,297,035</w:t>
            </w:r>
          </w:p>
        </w:tc>
        <w:tc>
          <w:tcPr>
            <w:tcW w:w="1127" w:type="dxa"/>
            <w:noWrap/>
            <w:vAlign w:val="center"/>
          </w:tcPr>
          <w:p w14:paraId="1BEBD84C" w14:textId="02B8C2FE"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2,397,890</w:t>
            </w:r>
          </w:p>
        </w:tc>
        <w:tc>
          <w:tcPr>
            <w:tcW w:w="1145" w:type="dxa"/>
            <w:noWrap/>
            <w:vAlign w:val="center"/>
          </w:tcPr>
          <w:p w14:paraId="41D5A0C5" w14:textId="2BEFC019"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96</w:t>
            </w:r>
          </w:p>
        </w:tc>
        <w:tc>
          <w:tcPr>
            <w:tcW w:w="1130" w:type="dxa"/>
            <w:noWrap/>
            <w:vAlign w:val="center"/>
          </w:tcPr>
          <w:p w14:paraId="3B857225" w14:textId="051D4E16"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2,163,308</w:t>
            </w:r>
          </w:p>
        </w:tc>
        <w:tc>
          <w:tcPr>
            <w:tcW w:w="1025" w:type="dxa"/>
            <w:noWrap/>
            <w:vAlign w:val="center"/>
          </w:tcPr>
          <w:p w14:paraId="0978C159"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2,233,663</w:t>
            </w:r>
          </w:p>
        </w:tc>
        <w:tc>
          <w:tcPr>
            <w:tcW w:w="1146" w:type="dxa"/>
            <w:noWrap/>
            <w:vAlign w:val="center"/>
          </w:tcPr>
          <w:p w14:paraId="789E26E1" w14:textId="30C2C76C"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97</w:t>
            </w:r>
          </w:p>
        </w:tc>
      </w:tr>
      <w:tr w:rsidR="006C3039" w:rsidRPr="00CE058E" w14:paraId="6739F309" w14:textId="77777777" w:rsidTr="00F41F01">
        <w:trPr>
          <w:cnfStyle w:val="000000100000" w:firstRow="0" w:lastRow="0" w:firstColumn="0" w:lastColumn="0" w:oddVBand="0" w:evenVBand="0" w:oddHBand="1" w:evenHBand="0" w:firstRowFirstColumn="0" w:firstRowLastColumn="0" w:lastRowFirstColumn="0" w:lastRowLastColumn="0"/>
          <w:trHeight w:val="55"/>
          <w:jc w:val="center"/>
        </w:trPr>
        <w:tc>
          <w:tcPr>
            <w:cnfStyle w:val="001000000000" w:firstRow="0" w:lastRow="0" w:firstColumn="1" w:lastColumn="0" w:oddVBand="0" w:evenVBand="0" w:oddHBand="0" w:evenHBand="0" w:firstRowFirstColumn="0" w:firstRowLastColumn="0" w:lastRowFirstColumn="0" w:lastRowLastColumn="0"/>
            <w:tcW w:w="1251" w:type="dxa"/>
            <w:noWrap/>
            <w:vAlign w:val="center"/>
            <w:hideMark/>
          </w:tcPr>
          <w:p w14:paraId="3A5F425E" w14:textId="77777777" w:rsidR="005F37E7" w:rsidRPr="00CE058E" w:rsidRDefault="005F37E7"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SA</w:t>
            </w:r>
          </w:p>
        </w:tc>
        <w:tc>
          <w:tcPr>
            <w:tcW w:w="1159" w:type="dxa"/>
            <w:noWrap/>
            <w:vAlign w:val="center"/>
          </w:tcPr>
          <w:p w14:paraId="7381E5B7" w14:textId="5049643B"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530,195</w:t>
            </w:r>
          </w:p>
        </w:tc>
        <w:tc>
          <w:tcPr>
            <w:tcW w:w="1107" w:type="dxa"/>
            <w:noWrap/>
            <w:vAlign w:val="center"/>
          </w:tcPr>
          <w:p w14:paraId="595687F4"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535,453</w:t>
            </w:r>
          </w:p>
        </w:tc>
        <w:tc>
          <w:tcPr>
            <w:tcW w:w="1144" w:type="dxa"/>
            <w:noWrap/>
            <w:vAlign w:val="center"/>
          </w:tcPr>
          <w:p w14:paraId="67AA79D3" w14:textId="3F83C60B"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99</w:t>
            </w:r>
          </w:p>
        </w:tc>
        <w:tc>
          <w:tcPr>
            <w:tcW w:w="1177" w:type="dxa"/>
            <w:noWrap/>
            <w:vAlign w:val="center"/>
          </w:tcPr>
          <w:p w14:paraId="121079DC" w14:textId="2A970BC9"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576,703</w:t>
            </w:r>
          </w:p>
        </w:tc>
        <w:tc>
          <w:tcPr>
            <w:tcW w:w="1127" w:type="dxa"/>
            <w:noWrap/>
            <w:vAlign w:val="center"/>
          </w:tcPr>
          <w:p w14:paraId="1D1F971C" w14:textId="7FABD8D6"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580,575</w:t>
            </w:r>
          </w:p>
        </w:tc>
        <w:tc>
          <w:tcPr>
            <w:tcW w:w="1145" w:type="dxa"/>
            <w:noWrap/>
            <w:vAlign w:val="center"/>
          </w:tcPr>
          <w:p w14:paraId="5FF4CAC3" w14:textId="27A95A32"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99</w:t>
            </w:r>
          </w:p>
        </w:tc>
        <w:tc>
          <w:tcPr>
            <w:tcW w:w="1130" w:type="dxa"/>
            <w:noWrap/>
            <w:vAlign w:val="center"/>
          </w:tcPr>
          <w:p w14:paraId="4D138084" w14:textId="7EAA7A22"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572,455</w:t>
            </w:r>
          </w:p>
        </w:tc>
        <w:tc>
          <w:tcPr>
            <w:tcW w:w="1025" w:type="dxa"/>
            <w:noWrap/>
            <w:vAlign w:val="center"/>
          </w:tcPr>
          <w:p w14:paraId="00363474"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572,931</w:t>
            </w:r>
          </w:p>
        </w:tc>
        <w:tc>
          <w:tcPr>
            <w:tcW w:w="1146" w:type="dxa"/>
            <w:noWrap/>
            <w:vAlign w:val="center"/>
          </w:tcPr>
          <w:p w14:paraId="3A86FA37" w14:textId="1628A80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r>
      <w:tr w:rsidR="006C3039" w:rsidRPr="00CE058E" w14:paraId="3D8D8A9B" w14:textId="77777777" w:rsidTr="00F41F01">
        <w:trPr>
          <w:trHeight w:val="55"/>
          <w:jc w:val="center"/>
        </w:trPr>
        <w:tc>
          <w:tcPr>
            <w:cnfStyle w:val="001000000000" w:firstRow="0" w:lastRow="0" w:firstColumn="1" w:lastColumn="0" w:oddVBand="0" w:evenVBand="0" w:oddHBand="0" w:evenHBand="0" w:firstRowFirstColumn="0" w:firstRowLastColumn="0" w:lastRowFirstColumn="0" w:lastRowLastColumn="0"/>
            <w:tcW w:w="1251" w:type="dxa"/>
            <w:noWrap/>
            <w:vAlign w:val="center"/>
            <w:hideMark/>
          </w:tcPr>
          <w:p w14:paraId="352D8D71" w14:textId="77777777" w:rsidR="005F37E7" w:rsidRPr="00CE058E" w:rsidRDefault="005F37E7"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WA</w:t>
            </w:r>
          </w:p>
        </w:tc>
        <w:tc>
          <w:tcPr>
            <w:tcW w:w="1159" w:type="dxa"/>
            <w:noWrap/>
            <w:vAlign w:val="center"/>
          </w:tcPr>
          <w:p w14:paraId="2F97F47B" w14:textId="6D1C55DF"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709,208</w:t>
            </w:r>
          </w:p>
        </w:tc>
        <w:tc>
          <w:tcPr>
            <w:tcW w:w="1107" w:type="dxa"/>
            <w:noWrap/>
            <w:vAlign w:val="center"/>
          </w:tcPr>
          <w:p w14:paraId="738AD0A5"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717,171</w:t>
            </w:r>
          </w:p>
        </w:tc>
        <w:tc>
          <w:tcPr>
            <w:tcW w:w="1144" w:type="dxa"/>
            <w:noWrap/>
            <w:vAlign w:val="center"/>
          </w:tcPr>
          <w:p w14:paraId="2F735276" w14:textId="3D516B23"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99</w:t>
            </w:r>
          </w:p>
        </w:tc>
        <w:tc>
          <w:tcPr>
            <w:tcW w:w="1177" w:type="dxa"/>
            <w:noWrap/>
            <w:vAlign w:val="center"/>
          </w:tcPr>
          <w:p w14:paraId="762F50E8" w14:textId="73173F06"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763,051</w:t>
            </w:r>
          </w:p>
        </w:tc>
        <w:tc>
          <w:tcPr>
            <w:tcW w:w="1127" w:type="dxa"/>
            <w:noWrap/>
            <w:vAlign w:val="center"/>
          </w:tcPr>
          <w:p w14:paraId="103FBE88" w14:textId="5DD9C27D"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767,873</w:t>
            </w:r>
          </w:p>
        </w:tc>
        <w:tc>
          <w:tcPr>
            <w:tcW w:w="1145" w:type="dxa"/>
            <w:noWrap/>
            <w:vAlign w:val="center"/>
          </w:tcPr>
          <w:p w14:paraId="787D30C2" w14:textId="26F60536"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99</w:t>
            </w:r>
          </w:p>
        </w:tc>
        <w:tc>
          <w:tcPr>
            <w:tcW w:w="1130" w:type="dxa"/>
            <w:noWrap/>
            <w:vAlign w:val="center"/>
          </w:tcPr>
          <w:p w14:paraId="75C47C02" w14:textId="06071240"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765,477</w:t>
            </w:r>
          </w:p>
        </w:tc>
        <w:tc>
          <w:tcPr>
            <w:tcW w:w="1025" w:type="dxa"/>
            <w:noWrap/>
            <w:vAlign w:val="center"/>
          </w:tcPr>
          <w:p w14:paraId="0DD64A8C"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768,875</w:t>
            </w:r>
          </w:p>
        </w:tc>
        <w:tc>
          <w:tcPr>
            <w:tcW w:w="1146" w:type="dxa"/>
            <w:noWrap/>
            <w:vAlign w:val="center"/>
          </w:tcPr>
          <w:p w14:paraId="70F68D09" w14:textId="2675F444"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100</w:t>
            </w:r>
          </w:p>
        </w:tc>
      </w:tr>
      <w:tr w:rsidR="006C3039" w:rsidRPr="00CE058E" w14:paraId="609720EA" w14:textId="77777777" w:rsidTr="00F41F01">
        <w:trPr>
          <w:cnfStyle w:val="000000100000" w:firstRow="0" w:lastRow="0" w:firstColumn="0" w:lastColumn="0" w:oddVBand="0" w:evenVBand="0" w:oddHBand="1" w:evenHBand="0" w:firstRowFirstColumn="0" w:firstRowLastColumn="0" w:lastRowFirstColumn="0" w:lastRowLastColumn="0"/>
          <w:trHeight w:val="55"/>
          <w:jc w:val="center"/>
        </w:trPr>
        <w:tc>
          <w:tcPr>
            <w:cnfStyle w:val="001000000000" w:firstRow="0" w:lastRow="0" w:firstColumn="1" w:lastColumn="0" w:oddVBand="0" w:evenVBand="0" w:oddHBand="0" w:evenHBand="0" w:firstRowFirstColumn="0" w:firstRowLastColumn="0" w:lastRowFirstColumn="0" w:lastRowLastColumn="0"/>
            <w:tcW w:w="1251" w:type="dxa"/>
            <w:noWrap/>
            <w:vAlign w:val="center"/>
            <w:hideMark/>
          </w:tcPr>
          <w:p w14:paraId="7A0B2B5B" w14:textId="525C20F7" w:rsidR="005F37E7" w:rsidRPr="00CE058E" w:rsidRDefault="00B432C4"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Tas</w:t>
            </w:r>
          </w:p>
        </w:tc>
        <w:tc>
          <w:tcPr>
            <w:tcW w:w="1159" w:type="dxa"/>
            <w:noWrap/>
            <w:vAlign w:val="center"/>
          </w:tcPr>
          <w:p w14:paraId="198B341A" w14:textId="5853D6BF"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153,735</w:t>
            </w:r>
          </w:p>
        </w:tc>
        <w:tc>
          <w:tcPr>
            <w:tcW w:w="1107" w:type="dxa"/>
            <w:noWrap/>
            <w:vAlign w:val="center"/>
          </w:tcPr>
          <w:p w14:paraId="0C5A8E9C"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153,736</w:t>
            </w:r>
          </w:p>
        </w:tc>
        <w:tc>
          <w:tcPr>
            <w:tcW w:w="1144" w:type="dxa"/>
            <w:noWrap/>
            <w:vAlign w:val="center"/>
          </w:tcPr>
          <w:p w14:paraId="091D9CE4" w14:textId="77880111"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c>
          <w:tcPr>
            <w:tcW w:w="1177" w:type="dxa"/>
            <w:noWrap/>
            <w:vAlign w:val="center"/>
          </w:tcPr>
          <w:p w14:paraId="50187C5E" w14:textId="236251C1"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170,287</w:t>
            </w:r>
          </w:p>
        </w:tc>
        <w:tc>
          <w:tcPr>
            <w:tcW w:w="1127" w:type="dxa"/>
            <w:noWrap/>
            <w:vAlign w:val="center"/>
          </w:tcPr>
          <w:p w14:paraId="5667FC10" w14:textId="0DE70FF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170,287</w:t>
            </w:r>
          </w:p>
        </w:tc>
        <w:tc>
          <w:tcPr>
            <w:tcW w:w="1145" w:type="dxa"/>
            <w:noWrap/>
            <w:vAlign w:val="center"/>
          </w:tcPr>
          <w:p w14:paraId="6E3DCA73" w14:textId="488B28A4"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w:t>
            </w:r>
            <w:r w:rsidR="00C661AB" w:rsidRPr="00CE058E">
              <w:rPr>
                <w:rFonts w:cs="Arial"/>
                <w:sz w:val="18"/>
                <w:szCs w:val="18"/>
              </w:rPr>
              <w:t>0</w:t>
            </w:r>
          </w:p>
        </w:tc>
        <w:tc>
          <w:tcPr>
            <w:tcW w:w="1130" w:type="dxa"/>
            <w:noWrap/>
            <w:vAlign w:val="center"/>
          </w:tcPr>
          <w:p w14:paraId="538C9968" w14:textId="745C28B4"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173,276</w:t>
            </w:r>
          </w:p>
        </w:tc>
        <w:tc>
          <w:tcPr>
            <w:tcW w:w="1025" w:type="dxa"/>
            <w:noWrap/>
            <w:vAlign w:val="center"/>
          </w:tcPr>
          <w:p w14:paraId="53E61FE5"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173,276</w:t>
            </w:r>
          </w:p>
        </w:tc>
        <w:tc>
          <w:tcPr>
            <w:tcW w:w="1146" w:type="dxa"/>
            <w:noWrap/>
            <w:vAlign w:val="center"/>
          </w:tcPr>
          <w:p w14:paraId="3E626A5C" w14:textId="3DCE17DB"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r>
      <w:tr w:rsidR="006C3039" w:rsidRPr="00CE058E" w14:paraId="4B2612B5" w14:textId="77777777" w:rsidTr="00F41F01">
        <w:trPr>
          <w:trHeight w:val="55"/>
          <w:jc w:val="center"/>
        </w:trPr>
        <w:tc>
          <w:tcPr>
            <w:cnfStyle w:val="001000000000" w:firstRow="0" w:lastRow="0" w:firstColumn="1" w:lastColumn="0" w:oddVBand="0" w:evenVBand="0" w:oddHBand="0" w:evenHBand="0" w:firstRowFirstColumn="0" w:firstRowLastColumn="0" w:lastRowFirstColumn="0" w:lastRowLastColumn="0"/>
            <w:tcW w:w="1251" w:type="dxa"/>
            <w:noWrap/>
            <w:vAlign w:val="center"/>
            <w:hideMark/>
          </w:tcPr>
          <w:p w14:paraId="20D69484" w14:textId="77777777" w:rsidR="005F37E7" w:rsidRPr="00CE058E" w:rsidRDefault="005F37E7"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NT</w:t>
            </w:r>
          </w:p>
        </w:tc>
        <w:tc>
          <w:tcPr>
            <w:tcW w:w="1159" w:type="dxa"/>
            <w:noWrap/>
            <w:vAlign w:val="center"/>
          </w:tcPr>
          <w:p w14:paraId="630C47D2" w14:textId="0E928784"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164,783</w:t>
            </w:r>
          </w:p>
        </w:tc>
        <w:tc>
          <w:tcPr>
            <w:tcW w:w="1107" w:type="dxa"/>
            <w:noWrap/>
            <w:vAlign w:val="center"/>
          </w:tcPr>
          <w:p w14:paraId="692C2225"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164,784</w:t>
            </w:r>
          </w:p>
        </w:tc>
        <w:tc>
          <w:tcPr>
            <w:tcW w:w="1144" w:type="dxa"/>
            <w:noWrap/>
            <w:vAlign w:val="center"/>
          </w:tcPr>
          <w:p w14:paraId="5D26E3FE" w14:textId="379DE3D6"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100</w:t>
            </w:r>
          </w:p>
        </w:tc>
        <w:tc>
          <w:tcPr>
            <w:tcW w:w="1177" w:type="dxa"/>
            <w:noWrap/>
            <w:vAlign w:val="center"/>
          </w:tcPr>
          <w:p w14:paraId="38057F76" w14:textId="26658BD3"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177,652</w:t>
            </w:r>
          </w:p>
        </w:tc>
        <w:tc>
          <w:tcPr>
            <w:tcW w:w="1127" w:type="dxa"/>
            <w:noWrap/>
            <w:vAlign w:val="center"/>
          </w:tcPr>
          <w:p w14:paraId="45F792D4" w14:textId="20B1F253"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177,699</w:t>
            </w:r>
          </w:p>
        </w:tc>
        <w:tc>
          <w:tcPr>
            <w:tcW w:w="1145" w:type="dxa"/>
            <w:noWrap/>
            <w:vAlign w:val="center"/>
          </w:tcPr>
          <w:p w14:paraId="45C8BB5D" w14:textId="1DA308E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100</w:t>
            </w:r>
          </w:p>
        </w:tc>
        <w:tc>
          <w:tcPr>
            <w:tcW w:w="1130" w:type="dxa"/>
            <w:noWrap/>
            <w:vAlign w:val="center"/>
          </w:tcPr>
          <w:p w14:paraId="40C8AB4A" w14:textId="65AA175E"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171,415</w:t>
            </w:r>
          </w:p>
        </w:tc>
        <w:tc>
          <w:tcPr>
            <w:tcW w:w="1025" w:type="dxa"/>
            <w:noWrap/>
            <w:vAlign w:val="center"/>
          </w:tcPr>
          <w:p w14:paraId="6D5FFAD0"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171,416</w:t>
            </w:r>
          </w:p>
        </w:tc>
        <w:tc>
          <w:tcPr>
            <w:tcW w:w="1146" w:type="dxa"/>
            <w:noWrap/>
            <w:vAlign w:val="center"/>
          </w:tcPr>
          <w:p w14:paraId="162601F7" w14:textId="7B09B0BC"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100</w:t>
            </w:r>
          </w:p>
        </w:tc>
      </w:tr>
      <w:tr w:rsidR="006C3039" w:rsidRPr="00CE058E" w14:paraId="1CA64657" w14:textId="77777777" w:rsidTr="00F41F01">
        <w:trPr>
          <w:cnfStyle w:val="000000100000" w:firstRow="0" w:lastRow="0" w:firstColumn="0" w:lastColumn="0" w:oddVBand="0" w:evenVBand="0" w:oddHBand="1" w:evenHBand="0" w:firstRowFirstColumn="0" w:firstRowLastColumn="0" w:lastRowFirstColumn="0" w:lastRowLastColumn="0"/>
          <w:trHeight w:val="55"/>
          <w:jc w:val="center"/>
        </w:trPr>
        <w:tc>
          <w:tcPr>
            <w:cnfStyle w:val="001000000000" w:firstRow="0" w:lastRow="0" w:firstColumn="1" w:lastColumn="0" w:oddVBand="0" w:evenVBand="0" w:oddHBand="0" w:evenHBand="0" w:firstRowFirstColumn="0" w:firstRowLastColumn="0" w:lastRowFirstColumn="0" w:lastRowLastColumn="0"/>
            <w:tcW w:w="1251" w:type="dxa"/>
            <w:noWrap/>
            <w:vAlign w:val="center"/>
            <w:hideMark/>
          </w:tcPr>
          <w:p w14:paraId="0EA88984" w14:textId="77777777" w:rsidR="005F37E7" w:rsidRPr="00CE058E" w:rsidRDefault="005F37E7"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ACT</w:t>
            </w:r>
          </w:p>
        </w:tc>
        <w:tc>
          <w:tcPr>
            <w:tcW w:w="1159" w:type="dxa"/>
            <w:noWrap/>
            <w:vAlign w:val="center"/>
          </w:tcPr>
          <w:p w14:paraId="72B045AC" w14:textId="494F5A59"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139,677</w:t>
            </w:r>
          </w:p>
        </w:tc>
        <w:tc>
          <w:tcPr>
            <w:tcW w:w="1107" w:type="dxa"/>
            <w:noWrap/>
            <w:vAlign w:val="center"/>
          </w:tcPr>
          <w:p w14:paraId="6F6DC494"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141,021</w:t>
            </w:r>
          </w:p>
        </w:tc>
        <w:tc>
          <w:tcPr>
            <w:tcW w:w="1144" w:type="dxa"/>
            <w:noWrap/>
            <w:vAlign w:val="center"/>
          </w:tcPr>
          <w:p w14:paraId="611B4D96" w14:textId="3F3A498E"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99</w:t>
            </w:r>
          </w:p>
        </w:tc>
        <w:tc>
          <w:tcPr>
            <w:tcW w:w="1177" w:type="dxa"/>
            <w:noWrap/>
            <w:vAlign w:val="center"/>
          </w:tcPr>
          <w:p w14:paraId="6F7C5C04" w14:textId="0449E313"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153,456</w:t>
            </w:r>
          </w:p>
        </w:tc>
        <w:tc>
          <w:tcPr>
            <w:tcW w:w="1127" w:type="dxa"/>
            <w:noWrap/>
            <w:vAlign w:val="center"/>
          </w:tcPr>
          <w:p w14:paraId="10E2EE35" w14:textId="2199021B"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153,716</w:t>
            </w:r>
          </w:p>
        </w:tc>
        <w:tc>
          <w:tcPr>
            <w:tcW w:w="1145" w:type="dxa"/>
            <w:noWrap/>
            <w:vAlign w:val="center"/>
          </w:tcPr>
          <w:p w14:paraId="6CD91854" w14:textId="129939EC"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c>
          <w:tcPr>
            <w:tcW w:w="1130" w:type="dxa"/>
            <w:noWrap/>
            <w:vAlign w:val="center"/>
          </w:tcPr>
          <w:p w14:paraId="5F874DBE" w14:textId="05F2941D"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143,351</w:t>
            </w:r>
          </w:p>
        </w:tc>
        <w:tc>
          <w:tcPr>
            <w:tcW w:w="1025" w:type="dxa"/>
            <w:noWrap/>
            <w:vAlign w:val="center"/>
          </w:tcPr>
          <w:p w14:paraId="64BE5C58"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143,700</w:t>
            </w:r>
          </w:p>
        </w:tc>
        <w:tc>
          <w:tcPr>
            <w:tcW w:w="1146" w:type="dxa"/>
            <w:noWrap/>
            <w:vAlign w:val="center"/>
          </w:tcPr>
          <w:p w14:paraId="75E99281" w14:textId="095773FF"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r>
      <w:tr w:rsidR="005F37E7" w:rsidRPr="00CE058E" w14:paraId="30720D06" w14:textId="77777777" w:rsidTr="00F41F01">
        <w:trPr>
          <w:trHeight w:val="55"/>
          <w:jc w:val="center"/>
        </w:trPr>
        <w:tc>
          <w:tcPr>
            <w:cnfStyle w:val="001000000000" w:firstRow="0" w:lastRow="0" w:firstColumn="1" w:lastColumn="0" w:oddVBand="0" w:evenVBand="0" w:oddHBand="0" w:evenHBand="0" w:firstRowFirstColumn="0" w:firstRowLastColumn="0" w:lastRowFirstColumn="0" w:lastRowLastColumn="0"/>
            <w:tcW w:w="1251" w:type="dxa"/>
            <w:noWrap/>
            <w:vAlign w:val="center"/>
            <w:hideMark/>
          </w:tcPr>
          <w:p w14:paraId="31E54B9A" w14:textId="77777777" w:rsidR="005F37E7" w:rsidRPr="00CE058E" w:rsidRDefault="005F37E7" w:rsidP="00F20004">
            <w:pPr>
              <w:spacing w:line="276" w:lineRule="auto"/>
              <w:jc w:val="center"/>
              <w:rPr>
                <w:rFonts w:eastAsia="Times New Roman" w:cs="Arial"/>
                <w:b w:val="0"/>
                <w:bCs w:val="0"/>
                <w:color w:val="auto"/>
                <w:sz w:val="18"/>
                <w:szCs w:val="18"/>
                <w:lang w:eastAsia="en-AU"/>
              </w:rPr>
            </w:pPr>
            <w:r w:rsidRPr="00CE058E">
              <w:rPr>
                <w:rFonts w:eastAsia="Times New Roman" w:cs="Arial"/>
                <w:color w:val="auto"/>
                <w:sz w:val="18"/>
                <w:szCs w:val="18"/>
                <w:lang w:eastAsia="en-AU"/>
              </w:rPr>
              <w:t>National</w:t>
            </w:r>
          </w:p>
        </w:tc>
        <w:tc>
          <w:tcPr>
            <w:tcW w:w="1159" w:type="dxa"/>
            <w:noWrap/>
            <w:vAlign w:val="center"/>
          </w:tcPr>
          <w:p w14:paraId="44921E2C" w14:textId="4628C8E5"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7,941,119</w:t>
            </w:r>
          </w:p>
        </w:tc>
        <w:tc>
          <w:tcPr>
            <w:tcW w:w="1107" w:type="dxa"/>
            <w:noWrap/>
            <w:vAlign w:val="center"/>
          </w:tcPr>
          <w:p w14:paraId="349C65E9"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8,359,681</w:t>
            </w:r>
          </w:p>
        </w:tc>
        <w:tc>
          <w:tcPr>
            <w:tcW w:w="1144" w:type="dxa"/>
            <w:noWrap/>
            <w:vAlign w:val="center"/>
          </w:tcPr>
          <w:p w14:paraId="6EFE7302" w14:textId="3A24AAFF"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rPr>
            </w:pPr>
            <w:r w:rsidRPr="00CE058E">
              <w:rPr>
                <w:rFonts w:cs="Arial"/>
                <w:b/>
                <w:bCs/>
                <w:color w:val="auto"/>
                <w:sz w:val="18"/>
                <w:szCs w:val="18"/>
              </w:rPr>
              <w:t>95</w:t>
            </w:r>
          </w:p>
        </w:tc>
        <w:tc>
          <w:tcPr>
            <w:tcW w:w="1177" w:type="dxa"/>
            <w:noWrap/>
            <w:vAlign w:val="center"/>
          </w:tcPr>
          <w:p w14:paraId="328F0BFD" w14:textId="25AFC10D"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CE058E">
              <w:rPr>
                <w:rFonts w:cs="Arial"/>
                <w:b/>
                <w:bCs/>
                <w:color w:val="auto"/>
                <w:sz w:val="18"/>
                <w:szCs w:val="18"/>
              </w:rPr>
              <w:t>8,362,442</w:t>
            </w:r>
          </w:p>
        </w:tc>
        <w:tc>
          <w:tcPr>
            <w:tcW w:w="1127" w:type="dxa"/>
            <w:noWrap/>
            <w:vAlign w:val="center"/>
          </w:tcPr>
          <w:p w14:paraId="34CBB0EB" w14:textId="628DCA9D"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rPr>
            </w:pPr>
            <w:r w:rsidRPr="00CE058E">
              <w:rPr>
                <w:rFonts w:cs="Arial"/>
                <w:b/>
                <w:bCs/>
                <w:color w:val="auto"/>
                <w:sz w:val="18"/>
                <w:szCs w:val="18"/>
              </w:rPr>
              <w:t>8,979,021</w:t>
            </w:r>
          </w:p>
        </w:tc>
        <w:tc>
          <w:tcPr>
            <w:tcW w:w="1145" w:type="dxa"/>
            <w:noWrap/>
            <w:vAlign w:val="center"/>
          </w:tcPr>
          <w:p w14:paraId="054EF035" w14:textId="1B4FC876"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rPr>
            </w:pPr>
            <w:r w:rsidRPr="00CE058E">
              <w:rPr>
                <w:rFonts w:cs="Arial"/>
                <w:b/>
                <w:bCs/>
                <w:color w:val="auto"/>
                <w:sz w:val="18"/>
                <w:szCs w:val="18"/>
              </w:rPr>
              <w:t>93</w:t>
            </w:r>
          </w:p>
        </w:tc>
        <w:tc>
          <w:tcPr>
            <w:tcW w:w="1130" w:type="dxa"/>
            <w:noWrap/>
            <w:vAlign w:val="center"/>
          </w:tcPr>
          <w:p w14:paraId="4061C3A5" w14:textId="74A2E065"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CE058E">
              <w:rPr>
                <w:rFonts w:cs="Arial"/>
                <w:b/>
                <w:bCs/>
                <w:color w:val="auto"/>
                <w:sz w:val="18"/>
                <w:szCs w:val="18"/>
              </w:rPr>
              <w:t>8,270,175</w:t>
            </w:r>
          </w:p>
        </w:tc>
        <w:tc>
          <w:tcPr>
            <w:tcW w:w="1025" w:type="dxa"/>
            <w:noWrap/>
            <w:vAlign w:val="center"/>
          </w:tcPr>
          <w:p w14:paraId="019B7919"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rPr>
            </w:pPr>
            <w:r w:rsidRPr="00CE058E">
              <w:rPr>
                <w:rFonts w:cs="Arial"/>
                <w:b/>
                <w:bCs/>
                <w:color w:val="auto"/>
                <w:sz w:val="18"/>
                <w:szCs w:val="18"/>
              </w:rPr>
              <w:t>8,830,614</w:t>
            </w:r>
          </w:p>
        </w:tc>
        <w:tc>
          <w:tcPr>
            <w:tcW w:w="1146" w:type="dxa"/>
            <w:noWrap/>
            <w:vAlign w:val="center"/>
          </w:tcPr>
          <w:p w14:paraId="448153A0" w14:textId="5ECA1368"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rPr>
            </w:pPr>
            <w:r w:rsidRPr="00CE058E">
              <w:rPr>
                <w:rFonts w:cs="Arial"/>
                <w:b/>
                <w:bCs/>
                <w:color w:val="auto"/>
                <w:sz w:val="18"/>
                <w:szCs w:val="18"/>
              </w:rPr>
              <w:t>94</w:t>
            </w:r>
          </w:p>
        </w:tc>
      </w:tr>
    </w:tbl>
    <w:p w14:paraId="4570550D" w14:textId="39A8B61C" w:rsidR="00002016" w:rsidRPr="00CE058E" w:rsidRDefault="00002016" w:rsidP="00A47745">
      <w:pPr>
        <w:spacing w:before="160" w:line="276" w:lineRule="auto"/>
        <w:rPr>
          <w:rFonts w:cs="Arial"/>
          <w:color w:val="auto"/>
        </w:rPr>
      </w:pPr>
      <w:bookmarkStart w:id="271" w:name="_Hlk146653660"/>
      <w:r w:rsidRPr="00CE058E">
        <w:rPr>
          <w:rFonts w:cs="Arial"/>
          <w:color w:val="auto"/>
        </w:rPr>
        <w:t>Table 11 shows the number of linked NHCDC records as a proportion of the NHCDC records by jurisdiction from 2019-20 to 2021-22. The NHCDC records increased by 166,166 (or 2</w:t>
      </w:r>
      <w:r w:rsidR="00897090">
        <w:rPr>
          <w:rFonts w:cs="Arial"/>
          <w:color w:val="auto"/>
        </w:rPr>
        <w:t>%</w:t>
      </w:r>
      <w:r w:rsidRPr="00CE058E">
        <w:rPr>
          <w:rFonts w:cs="Arial"/>
          <w:color w:val="auto"/>
        </w:rPr>
        <w:t xml:space="preserve">) from 2019-20 to 2021-22. Nationally, the linked NHCDC records as a proportion of NHCDC records </w:t>
      </w:r>
      <w:r w:rsidR="005366BB" w:rsidRPr="00CE058E">
        <w:rPr>
          <w:rFonts w:cs="Arial"/>
          <w:color w:val="auto"/>
        </w:rPr>
        <w:t>increased by 2</w:t>
      </w:r>
      <w:r w:rsidR="00897090">
        <w:rPr>
          <w:rFonts w:cs="Arial"/>
          <w:color w:val="auto"/>
        </w:rPr>
        <w:t>%</w:t>
      </w:r>
      <w:r w:rsidR="005366BB" w:rsidRPr="00CE058E">
        <w:rPr>
          <w:rFonts w:cs="Arial"/>
          <w:color w:val="auto"/>
        </w:rPr>
        <w:t xml:space="preserve"> from 97</w:t>
      </w:r>
      <w:r w:rsidR="00897090">
        <w:rPr>
          <w:rFonts w:cs="Arial"/>
          <w:color w:val="auto"/>
        </w:rPr>
        <w:t>%</w:t>
      </w:r>
      <w:r w:rsidR="005366BB" w:rsidRPr="00CE058E">
        <w:rPr>
          <w:rFonts w:cs="Arial"/>
          <w:color w:val="auto"/>
        </w:rPr>
        <w:t xml:space="preserve"> in </w:t>
      </w:r>
      <w:r w:rsidRPr="00CE058E">
        <w:rPr>
          <w:rFonts w:cs="Arial"/>
          <w:color w:val="auto"/>
        </w:rPr>
        <w:t>2019-20 to</w:t>
      </w:r>
      <w:r w:rsidR="005366BB" w:rsidRPr="00CE058E">
        <w:rPr>
          <w:rFonts w:cs="Arial"/>
          <w:color w:val="auto"/>
        </w:rPr>
        <w:t xml:space="preserve"> 99</w:t>
      </w:r>
      <w:r w:rsidR="00897090">
        <w:rPr>
          <w:rFonts w:cs="Arial"/>
          <w:color w:val="auto"/>
        </w:rPr>
        <w:t>%</w:t>
      </w:r>
      <w:r w:rsidR="005366BB" w:rsidRPr="00CE058E">
        <w:rPr>
          <w:rFonts w:cs="Arial"/>
          <w:color w:val="auto"/>
        </w:rPr>
        <w:t xml:space="preserve"> in</w:t>
      </w:r>
      <w:r w:rsidRPr="00CE058E">
        <w:rPr>
          <w:rFonts w:cs="Arial"/>
          <w:color w:val="auto"/>
        </w:rPr>
        <w:t xml:space="preserve"> 2021-22.</w:t>
      </w:r>
    </w:p>
    <w:p w14:paraId="1871113A" w14:textId="185F18A1" w:rsidR="00BF2F93" w:rsidRPr="00CE058E" w:rsidRDefault="00C53B6A" w:rsidP="00B42434">
      <w:pPr>
        <w:pStyle w:val="TableFigureheading"/>
      </w:pPr>
      <w:bookmarkStart w:id="272" w:name="_Toc149650912"/>
      <w:bookmarkStart w:id="273" w:name="_Toc151370037"/>
      <w:r w:rsidRPr="00CE058E">
        <w:t xml:space="preserve">Table </w:t>
      </w:r>
      <w:r>
        <w:fldChar w:fldCharType="begin"/>
      </w:r>
      <w:r>
        <w:instrText xml:space="preserve"> SEQ Table \* ARABIC </w:instrText>
      </w:r>
      <w:r>
        <w:fldChar w:fldCharType="separate"/>
      </w:r>
      <w:r w:rsidR="00B42434">
        <w:rPr>
          <w:noProof/>
        </w:rPr>
        <w:t>11</w:t>
      </w:r>
      <w:r>
        <w:rPr>
          <w:noProof/>
        </w:rPr>
        <w:fldChar w:fldCharType="end"/>
      </w:r>
      <w:r w:rsidRPr="00CE058E">
        <w:t>: Proportion of linked NHCDC records to NHCDC records, 2019-20 to 2021-22</w:t>
      </w:r>
      <w:bookmarkStart w:id="274" w:name="_Toc144967662"/>
      <w:bookmarkEnd w:id="271"/>
      <w:bookmarkEnd w:id="272"/>
      <w:bookmarkEnd w:id="273"/>
    </w:p>
    <w:tbl>
      <w:tblPr>
        <w:tblStyle w:val="GridTable4-Accent2"/>
        <w:tblW w:w="11194" w:type="dxa"/>
        <w:jc w:val="center"/>
        <w:tblLook w:val="04A0" w:firstRow="1" w:lastRow="0" w:firstColumn="1" w:lastColumn="0" w:noHBand="0" w:noVBand="1"/>
      </w:tblPr>
      <w:tblGrid>
        <w:gridCol w:w="1237"/>
        <w:gridCol w:w="1157"/>
        <w:gridCol w:w="1017"/>
        <w:gridCol w:w="1136"/>
        <w:gridCol w:w="1157"/>
        <w:gridCol w:w="1119"/>
        <w:gridCol w:w="1136"/>
        <w:gridCol w:w="1017"/>
        <w:gridCol w:w="1017"/>
        <w:gridCol w:w="1201"/>
      </w:tblGrid>
      <w:tr w:rsidR="00F658CE" w:rsidRPr="00CE058E" w14:paraId="0E130FD6" w14:textId="77777777" w:rsidTr="00F20004">
        <w:trPr>
          <w:cnfStyle w:val="100000000000" w:firstRow="1" w:lastRow="0" w:firstColumn="0" w:lastColumn="0" w:oddVBand="0" w:evenVBand="0" w:oddHBand="0"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1237"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5550B24B" w14:textId="4C79627E" w:rsidR="005F37E7" w:rsidRPr="00CE058E" w:rsidRDefault="00150FC2" w:rsidP="00F20004">
            <w:pPr>
              <w:spacing w:line="276" w:lineRule="auto"/>
              <w:jc w:val="center"/>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Jurisdiction</w:t>
            </w:r>
          </w:p>
        </w:tc>
        <w:tc>
          <w:tcPr>
            <w:tcW w:w="331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13D4C68F" w14:textId="77777777" w:rsidR="005F37E7" w:rsidRPr="00CE058E" w:rsidRDefault="005F37E7" w:rsidP="00F20004">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2019-20</w:t>
            </w:r>
          </w:p>
        </w:tc>
        <w:tc>
          <w:tcPr>
            <w:tcW w:w="3412"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64D21139" w14:textId="77777777" w:rsidR="005F37E7" w:rsidRPr="00CE058E" w:rsidRDefault="005F37E7" w:rsidP="00F20004">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2020-21</w:t>
            </w:r>
          </w:p>
        </w:tc>
        <w:tc>
          <w:tcPr>
            <w:tcW w:w="3235"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69EB972A" w14:textId="77777777" w:rsidR="005F37E7" w:rsidRPr="00CE058E" w:rsidRDefault="005F37E7" w:rsidP="00F20004">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2021-22</w:t>
            </w:r>
          </w:p>
        </w:tc>
      </w:tr>
      <w:tr w:rsidR="00F20004" w:rsidRPr="00CE058E" w14:paraId="0C7CB084" w14:textId="77777777" w:rsidTr="00F20004">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1237"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0C533599" w14:textId="77777777" w:rsidR="005F37E7" w:rsidRPr="00CE058E" w:rsidRDefault="005F37E7" w:rsidP="00F20004">
            <w:pPr>
              <w:spacing w:line="276" w:lineRule="auto"/>
              <w:jc w:val="center"/>
              <w:rPr>
                <w:rFonts w:eastAsia="Times New Roman" w:cs="Arial"/>
                <w:b w:val="0"/>
                <w:bCs w:val="0"/>
                <w:color w:val="FFFFFF" w:themeColor="background2"/>
                <w:sz w:val="18"/>
                <w:szCs w:val="18"/>
                <w:lang w:eastAsia="en-AU"/>
              </w:rPr>
            </w:pPr>
          </w:p>
        </w:tc>
        <w:tc>
          <w:tcPr>
            <w:tcW w:w="115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F3BF28A" w14:textId="5C5BF4ED" w:rsidR="005F37E7" w:rsidRPr="00CE058E" w:rsidRDefault="00F658CE"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Linked NHCDC Records</w:t>
            </w:r>
          </w:p>
        </w:tc>
        <w:tc>
          <w:tcPr>
            <w:tcW w:w="10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9D48EAB" w14:textId="1340A4C5" w:rsidR="005F37E7" w:rsidRPr="00CE058E" w:rsidRDefault="005F37E7"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NHCDC records</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1A721DC0" w14:textId="68D3F5B3" w:rsidR="005F37E7" w:rsidRPr="00CE058E" w:rsidRDefault="005F37E7"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w:t>
            </w:r>
            <w:r w:rsidR="00C661AB" w:rsidRPr="00CE058E">
              <w:rPr>
                <w:rFonts w:eastAsia="Times New Roman" w:cs="Arial"/>
                <w:b/>
                <w:bCs/>
                <w:color w:val="FFFFFF" w:themeColor="background2"/>
                <w:sz w:val="18"/>
                <w:szCs w:val="18"/>
                <w:lang w:eastAsia="en-AU"/>
              </w:rPr>
              <w:t xml:space="preserve"> (%)</w:t>
            </w:r>
          </w:p>
        </w:tc>
        <w:tc>
          <w:tcPr>
            <w:tcW w:w="115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26EC0A3F" w14:textId="3F01D605" w:rsidR="005F37E7" w:rsidRPr="00CE058E" w:rsidRDefault="00F658CE"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Linked NHCDC Records</w:t>
            </w:r>
          </w:p>
        </w:tc>
        <w:tc>
          <w:tcPr>
            <w:tcW w:w="1119"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4851CEE7" w14:textId="31FDC999" w:rsidR="005F37E7" w:rsidRPr="00CE058E" w:rsidRDefault="005F37E7"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NHCDC records</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057B60B8" w14:textId="499F1929" w:rsidR="005F37E7" w:rsidRPr="00CE058E" w:rsidRDefault="005F37E7"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w:t>
            </w:r>
            <w:r w:rsidR="00C661AB" w:rsidRPr="00CE058E">
              <w:rPr>
                <w:rFonts w:eastAsia="Times New Roman" w:cs="Arial"/>
                <w:b/>
                <w:bCs/>
                <w:color w:val="FFFFFF" w:themeColor="background2"/>
                <w:sz w:val="18"/>
                <w:szCs w:val="18"/>
                <w:lang w:eastAsia="en-AU"/>
              </w:rPr>
              <w:t xml:space="preserve"> (%)</w:t>
            </w:r>
          </w:p>
        </w:tc>
        <w:tc>
          <w:tcPr>
            <w:tcW w:w="10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93A1C6D" w14:textId="754CD894" w:rsidR="005F37E7" w:rsidRPr="00CE058E" w:rsidRDefault="00F658CE"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Linked NHCDC Records</w:t>
            </w:r>
          </w:p>
        </w:tc>
        <w:tc>
          <w:tcPr>
            <w:tcW w:w="10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75617A87" w14:textId="702BB69D" w:rsidR="005F37E7" w:rsidRPr="00CE058E" w:rsidRDefault="005F37E7"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NHCDC records</w:t>
            </w:r>
          </w:p>
        </w:tc>
        <w:tc>
          <w:tcPr>
            <w:tcW w:w="1201"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37A693B1" w14:textId="555268A1" w:rsidR="005F37E7" w:rsidRPr="00CE058E" w:rsidRDefault="005F37E7" w:rsidP="00F200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w:t>
            </w:r>
            <w:r w:rsidR="00C661AB" w:rsidRPr="00CE058E">
              <w:rPr>
                <w:rFonts w:eastAsia="Times New Roman" w:cs="Arial"/>
                <w:b/>
                <w:bCs/>
                <w:color w:val="FFFFFF" w:themeColor="background2"/>
                <w:sz w:val="18"/>
                <w:szCs w:val="18"/>
                <w:lang w:eastAsia="en-AU"/>
              </w:rPr>
              <w:t xml:space="preserve"> (%)</w:t>
            </w:r>
          </w:p>
        </w:tc>
      </w:tr>
      <w:tr w:rsidR="00F658CE" w:rsidRPr="00CE058E" w14:paraId="16B6939D" w14:textId="77777777" w:rsidTr="0061419D">
        <w:trPr>
          <w:trHeight w:val="5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themeColor="background2"/>
            </w:tcBorders>
            <w:noWrap/>
            <w:vAlign w:val="center"/>
            <w:hideMark/>
          </w:tcPr>
          <w:p w14:paraId="268C68CF" w14:textId="77777777" w:rsidR="005F37E7" w:rsidRPr="00CE058E" w:rsidRDefault="005F37E7"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NSW</w:t>
            </w:r>
          </w:p>
        </w:tc>
        <w:tc>
          <w:tcPr>
            <w:tcW w:w="0" w:type="dxa"/>
            <w:tcBorders>
              <w:top w:val="single" w:sz="4" w:space="0" w:color="FFFFFF" w:themeColor="background2"/>
            </w:tcBorders>
            <w:noWrap/>
            <w:vAlign w:val="center"/>
          </w:tcPr>
          <w:p w14:paraId="739D9128"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2,571,745</w:t>
            </w:r>
          </w:p>
        </w:tc>
        <w:tc>
          <w:tcPr>
            <w:tcW w:w="0" w:type="dxa"/>
            <w:tcBorders>
              <w:top w:val="single" w:sz="4" w:space="0" w:color="FFFFFF" w:themeColor="background2"/>
            </w:tcBorders>
            <w:noWrap/>
            <w:vAlign w:val="center"/>
          </w:tcPr>
          <w:p w14:paraId="7ED6A210" w14:textId="20C9D798"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2,571,745</w:t>
            </w:r>
          </w:p>
        </w:tc>
        <w:tc>
          <w:tcPr>
            <w:tcW w:w="0" w:type="dxa"/>
            <w:tcBorders>
              <w:top w:val="single" w:sz="4" w:space="0" w:color="FFFFFF" w:themeColor="background2"/>
            </w:tcBorders>
            <w:noWrap/>
            <w:vAlign w:val="center"/>
          </w:tcPr>
          <w:p w14:paraId="0B144DCE" w14:textId="134CA6C0"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100</w:t>
            </w:r>
          </w:p>
        </w:tc>
        <w:tc>
          <w:tcPr>
            <w:tcW w:w="0" w:type="dxa"/>
            <w:tcBorders>
              <w:top w:val="single" w:sz="4" w:space="0" w:color="FFFFFF" w:themeColor="background2"/>
            </w:tcBorders>
            <w:noWrap/>
            <w:vAlign w:val="center"/>
          </w:tcPr>
          <w:p w14:paraId="24F99368"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2,520,197</w:t>
            </w:r>
          </w:p>
        </w:tc>
        <w:tc>
          <w:tcPr>
            <w:tcW w:w="0" w:type="dxa"/>
            <w:tcBorders>
              <w:top w:val="single" w:sz="4" w:space="0" w:color="FFFFFF" w:themeColor="background2"/>
            </w:tcBorders>
            <w:noWrap/>
            <w:vAlign w:val="center"/>
          </w:tcPr>
          <w:p w14:paraId="1598BFC5"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2,520,197</w:t>
            </w:r>
          </w:p>
        </w:tc>
        <w:tc>
          <w:tcPr>
            <w:tcW w:w="0" w:type="dxa"/>
            <w:tcBorders>
              <w:top w:val="single" w:sz="4" w:space="0" w:color="FFFFFF" w:themeColor="background2"/>
            </w:tcBorders>
            <w:noWrap/>
            <w:vAlign w:val="center"/>
          </w:tcPr>
          <w:p w14:paraId="2001AAE1" w14:textId="6A0EC6CF"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100</w:t>
            </w:r>
          </w:p>
        </w:tc>
        <w:tc>
          <w:tcPr>
            <w:tcW w:w="0" w:type="dxa"/>
            <w:tcBorders>
              <w:top w:val="single" w:sz="4" w:space="0" w:color="FFFFFF" w:themeColor="background2"/>
            </w:tcBorders>
            <w:noWrap/>
            <w:vAlign w:val="center"/>
          </w:tcPr>
          <w:p w14:paraId="7B054A0F"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2,463,075</w:t>
            </w:r>
          </w:p>
        </w:tc>
        <w:tc>
          <w:tcPr>
            <w:tcW w:w="0" w:type="dxa"/>
            <w:tcBorders>
              <w:top w:val="single" w:sz="4" w:space="0" w:color="FFFFFF" w:themeColor="background2"/>
            </w:tcBorders>
            <w:noWrap/>
            <w:vAlign w:val="center"/>
          </w:tcPr>
          <w:p w14:paraId="14F716DD"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2,463,075</w:t>
            </w:r>
          </w:p>
        </w:tc>
        <w:tc>
          <w:tcPr>
            <w:tcW w:w="0" w:type="dxa"/>
            <w:tcBorders>
              <w:top w:val="single" w:sz="4" w:space="0" w:color="FFFFFF" w:themeColor="background2"/>
            </w:tcBorders>
            <w:noWrap/>
            <w:vAlign w:val="center"/>
          </w:tcPr>
          <w:p w14:paraId="6634E809" w14:textId="43211FD4"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100</w:t>
            </w:r>
          </w:p>
        </w:tc>
      </w:tr>
      <w:tr w:rsidR="00F658CE" w:rsidRPr="00CE058E" w14:paraId="285844CC" w14:textId="77777777" w:rsidTr="0061419D">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549A88D" w14:textId="79433FDD" w:rsidR="005F37E7" w:rsidRPr="00CE058E" w:rsidRDefault="00B432C4"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Vic</w:t>
            </w:r>
          </w:p>
        </w:tc>
        <w:tc>
          <w:tcPr>
            <w:tcW w:w="0" w:type="dxa"/>
            <w:noWrap/>
            <w:vAlign w:val="center"/>
          </w:tcPr>
          <w:p w14:paraId="25D4241B"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1,724,209</w:t>
            </w:r>
          </w:p>
        </w:tc>
        <w:tc>
          <w:tcPr>
            <w:tcW w:w="0" w:type="dxa"/>
            <w:noWrap/>
            <w:vAlign w:val="center"/>
          </w:tcPr>
          <w:p w14:paraId="5679F573" w14:textId="7A60ACD8"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1,916,990</w:t>
            </w:r>
          </w:p>
        </w:tc>
        <w:tc>
          <w:tcPr>
            <w:tcW w:w="0" w:type="dxa"/>
            <w:noWrap/>
            <w:vAlign w:val="center"/>
          </w:tcPr>
          <w:p w14:paraId="1FCA2E39" w14:textId="00FD5FB0"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90</w:t>
            </w:r>
          </w:p>
        </w:tc>
        <w:tc>
          <w:tcPr>
            <w:tcW w:w="0" w:type="dxa"/>
            <w:noWrap/>
            <w:vAlign w:val="center"/>
          </w:tcPr>
          <w:p w14:paraId="2A5BF456"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1,704,061</w:t>
            </w:r>
          </w:p>
        </w:tc>
        <w:tc>
          <w:tcPr>
            <w:tcW w:w="0" w:type="dxa"/>
            <w:noWrap/>
            <w:vAlign w:val="center"/>
          </w:tcPr>
          <w:p w14:paraId="24B9407D"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1,704,061</w:t>
            </w:r>
          </w:p>
        </w:tc>
        <w:tc>
          <w:tcPr>
            <w:tcW w:w="0" w:type="dxa"/>
            <w:noWrap/>
            <w:vAlign w:val="center"/>
          </w:tcPr>
          <w:p w14:paraId="71EBCC8E" w14:textId="3647582F"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c>
          <w:tcPr>
            <w:tcW w:w="0" w:type="dxa"/>
            <w:noWrap/>
            <w:vAlign w:val="center"/>
          </w:tcPr>
          <w:p w14:paraId="7E1358EC"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1,817,818</w:t>
            </w:r>
          </w:p>
        </w:tc>
        <w:tc>
          <w:tcPr>
            <w:tcW w:w="0" w:type="dxa"/>
            <w:noWrap/>
            <w:vAlign w:val="center"/>
          </w:tcPr>
          <w:p w14:paraId="474740F5"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1,817,818</w:t>
            </w:r>
          </w:p>
        </w:tc>
        <w:tc>
          <w:tcPr>
            <w:tcW w:w="0" w:type="dxa"/>
            <w:noWrap/>
            <w:vAlign w:val="center"/>
          </w:tcPr>
          <w:p w14:paraId="1393CE26" w14:textId="7009CD9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r>
      <w:tr w:rsidR="00F658CE" w:rsidRPr="00CE058E" w14:paraId="19953844" w14:textId="77777777" w:rsidTr="0061419D">
        <w:trPr>
          <w:trHeight w:val="5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D541A67" w14:textId="23F60370" w:rsidR="005F37E7" w:rsidRPr="00CE058E" w:rsidRDefault="00B432C4"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Qld</w:t>
            </w:r>
          </w:p>
        </w:tc>
        <w:tc>
          <w:tcPr>
            <w:tcW w:w="0" w:type="dxa"/>
            <w:noWrap/>
            <w:vAlign w:val="center"/>
          </w:tcPr>
          <w:p w14:paraId="7E85C884"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1,947,567</w:t>
            </w:r>
          </w:p>
        </w:tc>
        <w:tc>
          <w:tcPr>
            <w:tcW w:w="0" w:type="dxa"/>
            <w:noWrap/>
            <w:vAlign w:val="center"/>
          </w:tcPr>
          <w:p w14:paraId="6D6A6DC1" w14:textId="69D3D75F"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1,947,567</w:t>
            </w:r>
          </w:p>
        </w:tc>
        <w:tc>
          <w:tcPr>
            <w:tcW w:w="0" w:type="dxa"/>
            <w:noWrap/>
            <w:vAlign w:val="center"/>
          </w:tcPr>
          <w:p w14:paraId="2701846B" w14:textId="482650FA"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100</w:t>
            </w:r>
          </w:p>
        </w:tc>
        <w:tc>
          <w:tcPr>
            <w:tcW w:w="0" w:type="dxa"/>
            <w:noWrap/>
            <w:vAlign w:val="center"/>
          </w:tcPr>
          <w:p w14:paraId="0041C7BB"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2,297,035</w:t>
            </w:r>
          </w:p>
        </w:tc>
        <w:tc>
          <w:tcPr>
            <w:tcW w:w="0" w:type="dxa"/>
            <w:noWrap/>
            <w:vAlign w:val="center"/>
          </w:tcPr>
          <w:p w14:paraId="7697EFA7"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2,301,101</w:t>
            </w:r>
          </w:p>
        </w:tc>
        <w:tc>
          <w:tcPr>
            <w:tcW w:w="0" w:type="dxa"/>
            <w:noWrap/>
            <w:vAlign w:val="center"/>
          </w:tcPr>
          <w:p w14:paraId="3DD1C5A4" w14:textId="14EBD49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100</w:t>
            </w:r>
          </w:p>
        </w:tc>
        <w:tc>
          <w:tcPr>
            <w:tcW w:w="0" w:type="dxa"/>
            <w:noWrap/>
            <w:vAlign w:val="center"/>
          </w:tcPr>
          <w:p w14:paraId="33980310"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2,163,308</w:t>
            </w:r>
          </w:p>
        </w:tc>
        <w:tc>
          <w:tcPr>
            <w:tcW w:w="0" w:type="dxa"/>
            <w:noWrap/>
            <w:vAlign w:val="center"/>
          </w:tcPr>
          <w:p w14:paraId="69BA5886"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2,163,308</w:t>
            </w:r>
          </w:p>
        </w:tc>
        <w:tc>
          <w:tcPr>
            <w:tcW w:w="0" w:type="dxa"/>
            <w:noWrap/>
            <w:vAlign w:val="center"/>
          </w:tcPr>
          <w:p w14:paraId="2CE2F31C" w14:textId="109CF258"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100</w:t>
            </w:r>
          </w:p>
        </w:tc>
      </w:tr>
      <w:tr w:rsidR="00F658CE" w:rsidRPr="00CE058E" w14:paraId="4ACFD37B" w14:textId="77777777" w:rsidTr="0061419D">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C9C39EF" w14:textId="77777777" w:rsidR="005F37E7" w:rsidRPr="00CE058E" w:rsidRDefault="005F37E7"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SA</w:t>
            </w:r>
          </w:p>
        </w:tc>
        <w:tc>
          <w:tcPr>
            <w:tcW w:w="0" w:type="dxa"/>
            <w:noWrap/>
            <w:vAlign w:val="center"/>
          </w:tcPr>
          <w:p w14:paraId="60674643"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530,195</w:t>
            </w:r>
          </w:p>
        </w:tc>
        <w:tc>
          <w:tcPr>
            <w:tcW w:w="0" w:type="dxa"/>
            <w:noWrap/>
            <w:vAlign w:val="center"/>
          </w:tcPr>
          <w:p w14:paraId="74FF5A45" w14:textId="7EFA4FEB"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530,195</w:t>
            </w:r>
          </w:p>
        </w:tc>
        <w:tc>
          <w:tcPr>
            <w:tcW w:w="0" w:type="dxa"/>
            <w:noWrap/>
            <w:vAlign w:val="center"/>
          </w:tcPr>
          <w:p w14:paraId="0336F26B" w14:textId="63B5951C"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c>
          <w:tcPr>
            <w:tcW w:w="0" w:type="dxa"/>
            <w:noWrap/>
            <w:vAlign w:val="center"/>
          </w:tcPr>
          <w:p w14:paraId="6DFEB554"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576,703</w:t>
            </w:r>
          </w:p>
        </w:tc>
        <w:tc>
          <w:tcPr>
            <w:tcW w:w="0" w:type="dxa"/>
            <w:noWrap/>
            <w:vAlign w:val="center"/>
          </w:tcPr>
          <w:p w14:paraId="5F7F5C24"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597,695</w:t>
            </w:r>
          </w:p>
        </w:tc>
        <w:tc>
          <w:tcPr>
            <w:tcW w:w="0" w:type="dxa"/>
            <w:noWrap/>
            <w:vAlign w:val="center"/>
          </w:tcPr>
          <w:p w14:paraId="33FEAEF7" w14:textId="22438FAE"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96</w:t>
            </w:r>
          </w:p>
        </w:tc>
        <w:tc>
          <w:tcPr>
            <w:tcW w:w="0" w:type="dxa"/>
            <w:noWrap/>
            <w:vAlign w:val="center"/>
          </w:tcPr>
          <w:p w14:paraId="4C8B040F"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572,455</w:t>
            </w:r>
          </w:p>
        </w:tc>
        <w:tc>
          <w:tcPr>
            <w:tcW w:w="0" w:type="dxa"/>
            <w:noWrap/>
            <w:vAlign w:val="center"/>
          </w:tcPr>
          <w:p w14:paraId="0C27947C"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597,497</w:t>
            </w:r>
          </w:p>
        </w:tc>
        <w:tc>
          <w:tcPr>
            <w:tcW w:w="0" w:type="dxa"/>
            <w:noWrap/>
            <w:vAlign w:val="center"/>
          </w:tcPr>
          <w:p w14:paraId="65781523" w14:textId="2FBD6A1F"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96</w:t>
            </w:r>
          </w:p>
        </w:tc>
      </w:tr>
      <w:tr w:rsidR="00F658CE" w:rsidRPr="00CE058E" w14:paraId="5ADFB6A6" w14:textId="77777777" w:rsidTr="0061419D">
        <w:trPr>
          <w:trHeight w:val="5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1F0E183" w14:textId="77777777" w:rsidR="005F37E7" w:rsidRPr="00CE058E" w:rsidRDefault="005F37E7"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WA</w:t>
            </w:r>
          </w:p>
        </w:tc>
        <w:tc>
          <w:tcPr>
            <w:tcW w:w="0" w:type="dxa"/>
            <w:noWrap/>
            <w:vAlign w:val="center"/>
          </w:tcPr>
          <w:p w14:paraId="31083189"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709,208</w:t>
            </w:r>
          </w:p>
        </w:tc>
        <w:tc>
          <w:tcPr>
            <w:tcW w:w="0" w:type="dxa"/>
            <w:noWrap/>
            <w:vAlign w:val="center"/>
          </w:tcPr>
          <w:p w14:paraId="22613188" w14:textId="63D8E69A"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747,687</w:t>
            </w:r>
          </w:p>
        </w:tc>
        <w:tc>
          <w:tcPr>
            <w:tcW w:w="0" w:type="dxa"/>
            <w:noWrap/>
            <w:vAlign w:val="center"/>
          </w:tcPr>
          <w:p w14:paraId="05B6034E" w14:textId="6E202EF0"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95</w:t>
            </w:r>
          </w:p>
        </w:tc>
        <w:tc>
          <w:tcPr>
            <w:tcW w:w="0" w:type="dxa"/>
            <w:noWrap/>
            <w:vAlign w:val="center"/>
          </w:tcPr>
          <w:p w14:paraId="32A97318"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763,051</w:t>
            </w:r>
          </w:p>
        </w:tc>
        <w:tc>
          <w:tcPr>
            <w:tcW w:w="0" w:type="dxa"/>
            <w:noWrap/>
            <w:vAlign w:val="center"/>
          </w:tcPr>
          <w:p w14:paraId="29B13C8E"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804,175</w:t>
            </w:r>
          </w:p>
        </w:tc>
        <w:tc>
          <w:tcPr>
            <w:tcW w:w="0" w:type="dxa"/>
            <w:noWrap/>
            <w:vAlign w:val="center"/>
          </w:tcPr>
          <w:p w14:paraId="0F6CEF74" w14:textId="1E1838B1"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95</w:t>
            </w:r>
          </w:p>
        </w:tc>
        <w:tc>
          <w:tcPr>
            <w:tcW w:w="0" w:type="dxa"/>
            <w:noWrap/>
            <w:vAlign w:val="center"/>
          </w:tcPr>
          <w:p w14:paraId="612ADCC7"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765,477</w:t>
            </w:r>
          </w:p>
        </w:tc>
        <w:tc>
          <w:tcPr>
            <w:tcW w:w="0" w:type="dxa"/>
            <w:noWrap/>
            <w:vAlign w:val="center"/>
          </w:tcPr>
          <w:p w14:paraId="44649B81"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808,784</w:t>
            </w:r>
          </w:p>
        </w:tc>
        <w:tc>
          <w:tcPr>
            <w:tcW w:w="0" w:type="dxa"/>
            <w:noWrap/>
            <w:vAlign w:val="center"/>
          </w:tcPr>
          <w:p w14:paraId="62AE7C34" w14:textId="4A656AC2"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95</w:t>
            </w:r>
          </w:p>
        </w:tc>
      </w:tr>
      <w:tr w:rsidR="00F658CE" w:rsidRPr="00CE058E" w14:paraId="4D4A4750" w14:textId="77777777" w:rsidTr="0061419D">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36EDD63" w14:textId="2FEEA6CC" w:rsidR="005F37E7" w:rsidRPr="00CE058E" w:rsidRDefault="00B432C4"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Tas</w:t>
            </w:r>
          </w:p>
        </w:tc>
        <w:tc>
          <w:tcPr>
            <w:tcW w:w="0" w:type="dxa"/>
            <w:noWrap/>
            <w:vAlign w:val="center"/>
          </w:tcPr>
          <w:p w14:paraId="5F300C0F"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153,735</w:t>
            </w:r>
          </w:p>
        </w:tc>
        <w:tc>
          <w:tcPr>
            <w:tcW w:w="0" w:type="dxa"/>
            <w:noWrap/>
            <w:vAlign w:val="center"/>
          </w:tcPr>
          <w:p w14:paraId="514B8745" w14:textId="13138215"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154,249</w:t>
            </w:r>
          </w:p>
        </w:tc>
        <w:tc>
          <w:tcPr>
            <w:tcW w:w="0" w:type="dxa"/>
            <w:noWrap/>
            <w:vAlign w:val="center"/>
          </w:tcPr>
          <w:p w14:paraId="59914A84" w14:textId="63988B2D"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c>
          <w:tcPr>
            <w:tcW w:w="0" w:type="dxa"/>
            <w:noWrap/>
            <w:vAlign w:val="center"/>
          </w:tcPr>
          <w:p w14:paraId="35E48BBC"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170,287</w:t>
            </w:r>
          </w:p>
        </w:tc>
        <w:tc>
          <w:tcPr>
            <w:tcW w:w="0" w:type="dxa"/>
            <w:noWrap/>
            <w:vAlign w:val="center"/>
          </w:tcPr>
          <w:p w14:paraId="1BD186B6"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170,848</w:t>
            </w:r>
          </w:p>
        </w:tc>
        <w:tc>
          <w:tcPr>
            <w:tcW w:w="0" w:type="dxa"/>
            <w:noWrap/>
            <w:vAlign w:val="center"/>
          </w:tcPr>
          <w:p w14:paraId="5029BEAC" w14:textId="6F97655B"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c>
          <w:tcPr>
            <w:tcW w:w="0" w:type="dxa"/>
            <w:noWrap/>
            <w:vAlign w:val="center"/>
          </w:tcPr>
          <w:p w14:paraId="6C849C0E"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173,276</w:t>
            </w:r>
          </w:p>
        </w:tc>
        <w:tc>
          <w:tcPr>
            <w:tcW w:w="0" w:type="dxa"/>
            <w:noWrap/>
            <w:vAlign w:val="center"/>
          </w:tcPr>
          <w:p w14:paraId="3663C18B"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173,894</w:t>
            </w:r>
          </w:p>
        </w:tc>
        <w:tc>
          <w:tcPr>
            <w:tcW w:w="0" w:type="dxa"/>
            <w:noWrap/>
            <w:vAlign w:val="center"/>
          </w:tcPr>
          <w:p w14:paraId="2C04C019" w14:textId="78ED8071"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r>
      <w:tr w:rsidR="00F658CE" w:rsidRPr="00CE058E" w14:paraId="10C68E6D" w14:textId="77777777" w:rsidTr="0061419D">
        <w:trPr>
          <w:trHeight w:val="5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59EA5CC" w14:textId="77777777" w:rsidR="005F37E7" w:rsidRPr="00CE058E" w:rsidRDefault="005F37E7"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NT</w:t>
            </w:r>
          </w:p>
        </w:tc>
        <w:tc>
          <w:tcPr>
            <w:tcW w:w="0" w:type="dxa"/>
            <w:noWrap/>
            <w:vAlign w:val="center"/>
          </w:tcPr>
          <w:p w14:paraId="224B65DE"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164,783</w:t>
            </w:r>
          </w:p>
        </w:tc>
        <w:tc>
          <w:tcPr>
            <w:tcW w:w="0" w:type="dxa"/>
            <w:noWrap/>
            <w:vAlign w:val="center"/>
          </w:tcPr>
          <w:p w14:paraId="418FB88F" w14:textId="6E7214D3"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164,784</w:t>
            </w:r>
          </w:p>
        </w:tc>
        <w:tc>
          <w:tcPr>
            <w:tcW w:w="0" w:type="dxa"/>
            <w:noWrap/>
            <w:vAlign w:val="center"/>
          </w:tcPr>
          <w:p w14:paraId="41A827A8" w14:textId="4828E2FB"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100</w:t>
            </w:r>
          </w:p>
        </w:tc>
        <w:tc>
          <w:tcPr>
            <w:tcW w:w="0" w:type="dxa"/>
            <w:noWrap/>
            <w:vAlign w:val="center"/>
          </w:tcPr>
          <w:p w14:paraId="6B062C79"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177,652</w:t>
            </w:r>
          </w:p>
        </w:tc>
        <w:tc>
          <w:tcPr>
            <w:tcW w:w="0" w:type="dxa"/>
            <w:noWrap/>
            <w:vAlign w:val="center"/>
          </w:tcPr>
          <w:p w14:paraId="66E512FE"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177,681</w:t>
            </w:r>
          </w:p>
        </w:tc>
        <w:tc>
          <w:tcPr>
            <w:tcW w:w="0" w:type="dxa"/>
            <w:noWrap/>
            <w:vAlign w:val="center"/>
          </w:tcPr>
          <w:p w14:paraId="7D168FFB" w14:textId="2E7F9582"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100</w:t>
            </w:r>
          </w:p>
        </w:tc>
        <w:tc>
          <w:tcPr>
            <w:tcW w:w="0" w:type="dxa"/>
            <w:noWrap/>
            <w:vAlign w:val="center"/>
          </w:tcPr>
          <w:p w14:paraId="659E9E19"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171,415</w:t>
            </w:r>
          </w:p>
        </w:tc>
        <w:tc>
          <w:tcPr>
            <w:tcW w:w="0" w:type="dxa"/>
            <w:noWrap/>
            <w:vAlign w:val="center"/>
          </w:tcPr>
          <w:p w14:paraId="11240020"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171,415</w:t>
            </w:r>
          </w:p>
        </w:tc>
        <w:tc>
          <w:tcPr>
            <w:tcW w:w="0" w:type="dxa"/>
            <w:noWrap/>
            <w:vAlign w:val="center"/>
          </w:tcPr>
          <w:p w14:paraId="2D257357" w14:textId="6BC17D36"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w:t>
            </w:r>
            <w:r w:rsidR="00C661AB" w:rsidRPr="00CE058E">
              <w:rPr>
                <w:rFonts w:cs="Arial"/>
                <w:sz w:val="18"/>
                <w:szCs w:val="18"/>
              </w:rPr>
              <w:t>0</w:t>
            </w:r>
          </w:p>
        </w:tc>
      </w:tr>
      <w:tr w:rsidR="00F658CE" w:rsidRPr="00CE058E" w14:paraId="19E1D905" w14:textId="77777777" w:rsidTr="0061419D">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C529975" w14:textId="77777777" w:rsidR="005F37E7" w:rsidRPr="00CE058E" w:rsidRDefault="005F37E7" w:rsidP="00F20004">
            <w:pPr>
              <w:spacing w:line="276"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ACT</w:t>
            </w:r>
          </w:p>
        </w:tc>
        <w:tc>
          <w:tcPr>
            <w:tcW w:w="0" w:type="dxa"/>
            <w:noWrap/>
            <w:vAlign w:val="center"/>
          </w:tcPr>
          <w:p w14:paraId="77D5D745"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139,677</w:t>
            </w:r>
          </w:p>
        </w:tc>
        <w:tc>
          <w:tcPr>
            <w:tcW w:w="0" w:type="dxa"/>
            <w:noWrap/>
            <w:vAlign w:val="center"/>
          </w:tcPr>
          <w:p w14:paraId="61B073FE" w14:textId="2995E182"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139,759</w:t>
            </w:r>
          </w:p>
        </w:tc>
        <w:tc>
          <w:tcPr>
            <w:tcW w:w="0" w:type="dxa"/>
            <w:noWrap/>
            <w:vAlign w:val="center"/>
          </w:tcPr>
          <w:p w14:paraId="495EAFEA" w14:textId="56710064"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c>
          <w:tcPr>
            <w:tcW w:w="0" w:type="dxa"/>
            <w:noWrap/>
            <w:vAlign w:val="center"/>
          </w:tcPr>
          <w:p w14:paraId="508F7947"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153,456</w:t>
            </w:r>
          </w:p>
        </w:tc>
        <w:tc>
          <w:tcPr>
            <w:tcW w:w="0" w:type="dxa"/>
            <w:noWrap/>
            <w:vAlign w:val="center"/>
          </w:tcPr>
          <w:p w14:paraId="2B2C6765"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153,456</w:t>
            </w:r>
          </w:p>
        </w:tc>
        <w:tc>
          <w:tcPr>
            <w:tcW w:w="0" w:type="dxa"/>
            <w:noWrap/>
            <w:vAlign w:val="center"/>
          </w:tcPr>
          <w:p w14:paraId="618755EC" w14:textId="626DEF3B"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c>
          <w:tcPr>
            <w:tcW w:w="0" w:type="dxa"/>
            <w:noWrap/>
            <w:vAlign w:val="center"/>
          </w:tcPr>
          <w:p w14:paraId="1FF81C79"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143,351</w:t>
            </w:r>
          </w:p>
        </w:tc>
        <w:tc>
          <w:tcPr>
            <w:tcW w:w="0" w:type="dxa"/>
            <w:noWrap/>
            <w:vAlign w:val="center"/>
          </w:tcPr>
          <w:p w14:paraId="0C690A5A" w14:textId="77777777"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143,351</w:t>
            </w:r>
          </w:p>
        </w:tc>
        <w:tc>
          <w:tcPr>
            <w:tcW w:w="0" w:type="dxa"/>
            <w:noWrap/>
            <w:vAlign w:val="center"/>
          </w:tcPr>
          <w:p w14:paraId="34BEE19B" w14:textId="640B4090" w:rsidR="005F37E7" w:rsidRPr="00CE058E" w:rsidRDefault="005F37E7" w:rsidP="0061419D">
            <w:pPr>
              <w:spacing w:line="276"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100</w:t>
            </w:r>
          </w:p>
        </w:tc>
      </w:tr>
      <w:tr w:rsidR="00F658CE" w:rsidRPr="00CE058E" w14:paraId="09DE1A29" w14:textId="77777777" w:rsidTr="0061419D">
        <w:trPr>
          <w:trHeight w:val="5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84F42E7" w14:textId="77777777" w:rsidR="005F37E7" w:rsidRPr="00CE058E" w:rsidRDefault="005F37E7" w:rsidP="00F20004">
            <w:pPr>
              <w:spacing w:line="276" w:lineRule="auto"/>
              <w:jc w:val="center"/>
              <w:rPr>
                <w:rFonts w:eastAsia="Times New Roman" w:cs="Arial"/>
                <w:b w:val="0"/>
                <w:bCs w:val="0"/>
                <w:color w:val="auto"/>
                <w:sz w:val="18"/>
                <w:szCs w:val="18"/>
                <w:lang w:eastAsia="en-AU"/>
              </w:rPr>
            </w:pPr>
            <w:r w:rsidRPr="00CE058E">
              <w:rPr>
                <w:rFonts w:eastAsia="Times New Roman" w:cs="Arial"/>
                <w:color w:val="auto"/>
                <w:sz w:val="18"/>
                <w:szCs w:val="18"/>
                <w:lang w:eastAsia="en-AU"/>
              </w:rPr>
              <w:t>National</w:t>
            </w:r>
          </w:p>
        </w:tc>
        <w:tc>
          <w:tcPr>
            <w:tcW w:w="0" w:type="dxa"/>
            <w:noWrap/>
            <w:vAlign w:val="center"/>
          </w:tcPr>
          <w:p w14:paraId="63C6403A"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7,941,119</w:t>
            </w:r>
          </w:p>
        </w:tc>
        <w:tc>
          <w:tcPr>
            <w:tcW w:w="0" w:type="dxa"/>
            <w:noWrap/>
            <w:vAlign w:val="center"/>
          </w:tcPr>
          <w:p w14:paraId="479AE6A2" w14:textId="75F8FFA1"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8,172,976</w:t>
            </w:r>
          </w:p>
        </w:tc>
        <w:tc>
          <w:tcPr>
            <w:tcW w:w="0" w:type="dxa"/>
            <w:noWrap/>
            <w:vAlign w:val="center"/>
          </w:tcPr>
          <w:p w14:paraId="1C8EAE78" w14:textId="5AED2353"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CE058E">
              <w:rPr>
                <w:rFonts w:eastAsia="Times New Roman" w:cs="Arial"/>
                <w:b/>
                <w:bCs/>
                <w:color w:val="auto"/>
                <w:sz w:val="18"/>
                <w:szCs w:val="18"/>
                <w:lang w:eastAsia="en-AU"/>
              </w:rPr>
              <w:t>97</w:t>
            </w:r>
          </w:p>
        </w:tc>
        <w:tc>
          <w:tcPr>
            <w:tcW w:w="0" w:type="dxa"/>
            <w:noWrap/>
            <w:vAlign w:val="center"/>
          </w:tcPr>
          <w:p w14:paraId="28C7EE5D"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eastAsia="Times New Roman" w:cs="Arial"/>
                <w:b/>
                <w:bCs/>
                <w:color w:val="auto"/>
                <w:sz w:val="18"/>
                <w:szCs w:val="18"/>
                <w:lang w:eastAsia="en-AU"/>
              </w:rPr>
              <w:t>8,362,442</w:t>
            </w:r>
          </w:p>
        </w:tc>
        <w:tc>
          <w:tcPr>
            <w:tcW w:w="0" w:type="dxa"/>
            <w:noWrap/>
            <w:vAlign w:val="center"/>
          </w:tcPr>
          <w:p w14:paraId="1910252D"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CE058E">
              <w:rPr>
                <w:rFonts w:eastAsia="Times New Roman" w:cs="Arial"/>
                <w:b/>
                <w:bCs/>
                <w:color w:val="auto"/>
                <w:sz w:val="18"/>
                <w:szCs w:val="18"/>
                <w:lang w:eastAsia="en-AU"/>
              </w:rPr>
              <w:t>8,429,214</w:t>
            </w:r>
          </w:p>
        </w:tc>
        <w:tc>
          <w:tcPr>
            <w:tcW w:w="0" w:type="dxa"/>
            <w:noWrap/>
            <w:vAlign w:val="center"/>
          </w:tcPr>
          <w:p w14:paraId="1B6EFC74" w14:textId="68CED929"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rPr>
            </w:pPr>
            <w:r w:rsidRPr="00CE058E">
              <w:rPr>
                <w:rFonts w:cs="Arial"/>
                <w:b/>
                <w:bCs/>
                <w:color w:val="auto"/>
                <w:sz w:val="18"/>
                <w:szCs w:val="18"/>
              </w:rPr>
              <w:t>99</w:t>
            </w:r>
          </w:p>
        </w:tc>
        <w:tc>
          <w:tcPr>
            <w:tcW w:w="0" w:type="dxa"/>
            <w:noWrap/>
            <w:vAlign w:val="center"/>
          </w:tcPr>
          <w:p w14:paraId="0BD79E19"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rPr>
            </w:pPr>
            <w:r w:rsidRPr="00CE058E">
              <w:rPr>
                <w:rFonts w:cs="Arial"/>
                <w:b/>
                <w:bCs/>
                <w:color w:val="auto"/>
                <w:sz w:val="18"/>
                <w:szCs w:val="18"/>
              </w:rPr>
              <w:t>8,270,175</w:t>
            </w:r>
          </w:p>
        </w:tc>
        <w:tc>
          <w:tcPr>
            <w:tcW w:w="0" w:type="dxa"/>
            <w:noWrap/>
            <w:vAlign w:val="center"/>
          </w:tcPr>
          <w:p w14:paraId="69D8E225" w14:textId="77777777"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color w:val="auto"/>
                <w:sz w:val="18"/>
                <w:szCs w:val="18"/>
              </w:rPr>
            </w:pPr>
            <w:r w:rsidRPr="00CE058E">
              <w:rPr>
                <w:rFonts w:cs="Arial"/>
                <w:b/>
                <w:bCs/>
                <w:color w:val="auto"/>
                <w:sz w:val="18"/>
                <w:szCs w:val="18"/>
              </w:rPr>
              <w:t>8,339,142</w:t>
            </w:r>
          </w:p>
        </w:tc>
        <w:tc>
          <w:tcPr>
            <w:tcW w:w="0" w:type="dxa"/>
            <w:noWrap/>
            <w:vAlign w:val="center"/>
          </w:tcPr>
          <w:p w14:paraId="4068A711" w14:textId="5584D5CF" w:rsidR="005F37E7" w:rsidRPr="00CE058E" w:rsidRDefault="005F37E7" w:rsidP="0061419D">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CE058E">
              <w:rPr>
                <w:rFonts w:cs="Arial"/>
                <w:b/>
                <w:bCs/>
                <w:color w:val="auto"/>
                <w:sz w:val="18"/>
                <w:szCs w:val="18"/>
              </w:rPr>
              <w:t>99</w:t>
            </w:r>
          </w:p>
        </w:tc>
      </w:tr>
      <w:bookmarkEnd w:id="267"/>
    </w:tbl>
    <w:p w14:paraId="48A78BC7" w14:textId="77777777" w:rsidR="005366BB" w:rsidRPr="00CE058E" w:rsidRDefault="005366BB" w:rsidP="00A47745">
      <w:pPr>
        <w:rPr>
          <w:rFonts w:cs="Arial"/>
        </w:rPr>
      </w:pPr>
      <w:r w:rsidRPr="00CE058E">
        <w:rPr>
          <w:rFonts w:cs="Arial"/>
        </w:rPr>
        <w:br w:type="page"/>
      </w:r>
    </w:p>
    <w:p w14:paraId="6126CC7B" w14:textId="6A04791F" w:rsidR="00BF2F93" w:rsidRPr="00CE058E" w:rsidRDefault="00BF2F93" w:rsidP="007B41F8">
      <w:pPr>
        <w:pStyle w:val="Heading2"/>
      </w:pPr>
      <w:bookmarkStart w:id="275" w:name="_Toc151129708"/>
      <w:bookmarkStart w:id="276" w:name="_Toc158882559"/>
      <w:bookmarkStart w:id="277" w:name="_Toc158882620"/>
      <w:r w:rsidRPr="00CE058E">
        <w:lastRenderedPageBreak/>
        <w:t>Emergency department presentations</w:t>
      </w:r>
      <w:bookmarkEnd w:id="268"/>
      <w:bookmarkEnd w:id="274"/>
      <w:bookmarkEnd w:id="275"/>
      <w:bookmarkEnd w:id="276"/>
      <w:bookmarkEnd w:id="277"/>
    </w:p>
    <w:p w14:paraId="6F8E34D4" w14:textId="04AD6B91" w:rsidR="009D7C3E" w:rsidRPr="00CE058E" w:rsidRDefault="009D7C3E" w:rsidP="009D7C3E">
      <w:pPr>
        <w:spacing w:line="276" w:lineRule="auto"/>
        <w:rPr>
          <w:rFonts w:cs="Arial"/>
          <w:color w:val="auto"/>
        </w:rPr>
      </w:pPr>
      <w:r w:rsidRPr="00CE058E">
        <w:rPr>
          <w:rFonts w:cs="Arial"/>
          <w:color w:val="auto"/>
        </w:rPr>
        <w:t>Figure 1</w:t>
      </w:r>
      <w:r w:rsidR="00515182" w:rsidRPr="00CE058E">
        <w:rPr>
          <w:rFonts w:cs="Arial"/>
          <w:color w:val="auto"/>
        </w:rPr>
        <w:t>5</w:t>
      </w:r>
      <w:r w:rsidRPr="00CE058E">
        <w:rPr>
          <w:rFonts w:cs="Arial"/>
          <w:color w:val="auto"/>
        </w:rPr>
        <w:t xml:space="preserve"> shows the number of emergency department presentations reported in the cost data from 2019-20 to 2021-22. In 2021-22, there were 8.3 million emergency department presentations nationally, a 1</w:t>
      </w:r>
      <w:r w:rsidR="00897090">
        <w:rPr>
          <w:rFonts w:cs="Arial"/>
          <w:color w:val="auto"/>
        </w:rPr>
        <w:t>%</w:t>
      </w:r>
      <w:r w:rsidRPr="00CE058E">
        <w:rPr>
          <w:rFonts w:cs="Arial"/>
          <w:color w:val="auto"/>
        </w:rPr>
        <w:t xml:space="preserve"> decrease to the 2020-21 figure of 8.4 million. The national decrease in emergency department presentations was driven by Queensland, decreasing </w:t>
      </w:r>
      <w:r w:rsidRPr="00CE058E">
        <w:rPr>
          <w:rFonts w:cs="Arial"/>
          <w:bCs/>
          <w:color w:val="auto"/>
        </w:rPr>
        <w:t>133,727 presentations (</w:t>
      </w:r>
      <w:r w:rsidRPr="00CE058E">
        <w:rPr>
          <w:rFonts w:cs="Arial"/>
          <w:color w:val="auto"/>
        </w:rPr>
        <w:t>or 6</w:t>
      </w:r>
      <w:r w:rsidR="00897090">
        <w:rPr>
          <w:rFonts w:cs="Arial"/>
          <w:color w:val="auto"/>
        </w:rPr>
        <w:t>%</w:t>
      </w:r>
      <w:r w:rsidRPr="00CE058E">
        <w:rPr>
          <w:rFonts w:cs="Arial"/>
          <w:color w:val="auto"/>
        </w:rPr>
        <w:t xml:space="preserve">) from 2020-21 to 2021-22. In 2021-22, the number of </w:t>
      </w:r>
      <w:r w:rsidR="00621475" w:rsidRPr="00CE058E">
        <w:rPr>
          <w:rFonts w:cs="Arial"/>
          <w:color w:val="auto"/>
        </w:rPr>
        <w:t>presentations</w:t>
      </w:r>
      <w:r w:rsidRPr="00CE058E">
        <w:rPr>
          <w:rFonts w:cs="Arial"/>
          <w:color w:val="auto"/>
        </w:rPr>
        <w:t xml:space="preserve"> at the jurisdictional level ranges from 143,351 (Australian Capital Territory) to 2.5 million (New South Wales).</w:t>
      </w:r>
    </w:p>
    <w:p w14:paraId="6E9814F0" w14:textId="071DCFAC" w:rsidR="00BF2F93" w:rsidRPr="00CE058E" w:rsidRDefault="006272A2" w:rsidP="00B42434">
      <w:pPr>
        <w:pStyle w:val="TableFigureheading"/>
      </w:pPr>
      <w:bookmarkStart w:id="278" w:name="_Toc151116351"/>
      <w:bookmarkStart w:id="279" w:name="_Toc151370064"/>
      <w:r w:rsidRPr="00CE058E">
        <w:t xml:space="preserve">Figure </w:t>
      </w:r>
      <w:r>
        <w:fldChar w:fldCharType="begin"/>
      </w:r>
      <w:r>
        <w:instrText xml:space="preserve"> SEQ Figure \* ARABIC </w:instrText>
      </w:r>
      <w:r>
        <w:fldChar w:fldCharType="separate"/>
      </w:r>
      <w:r w:rsidR="00DD29C5">
        <w:rPr>
          <w:noProof/>
        </w:rPr>
        <w:t>15</w:t>
      </w:r>
      <w:r>
        <w:rPr>
          <w:noProof/>
        </w:rPr>
        <w:fldChar w:fldCharType="end"/>
      </w:r>
      <w:r w:rsidR="00BF2F93" w:rsidRPr="00CE058E">
        <w:t>: Emergency department presentations, 2019-20 to 2021-22</w:t>
      </w:r>
      <w:bookmarkEnd w:id="278"/>
      <w:bookmarkEnd w:id="279"/>
    </w:p>
    <w:p w14:paraId="22614F4F" w14:textId="689F0082" w:rsidR="00DC69F6" w:rsidRPr="00CE058E" w:rsidRDefault="00DC69F6" w:rsidP="006778AE">
      <w:pPr>
        <w:spacing w:after="0"/>
        <w:jc w:val="center"/>
        <w:rPr>
          <w:rFonts w:cs="Arial"/>
          <w:bCs/>
        </w:rPr>
      </w:pPr>
      <w:r w:rsidRPr="00CE058E">
        <w:rPr>
          <w:rFonts w:cs="Arial"/>
          <w:noProof/>
        </w:rPr>
        <w:drawing>
          <wp:inline distT="0" distB="0" distL="0" distR="0" wp14:anchorId="36E37AAE" wp14:editId="6C1EEC85">
            <wp:extent cx="6228000" cy="4824000"/>
            <wp:effectExtent l="0" t="0" r="0" b="0"/>
            <wp:docPr id="1987605768" name="Chart 1987605768">
              <a:extLst xmlns:a="http://schemas.openxmlformats.org/drawingml/2006/main">
                <a:ext uri="{FF2B5EF4-FFF2-40B4-BE49-F238E27FC236}">
                  <a16:creationId xmlns:a16="http://schemas.microsoft.com/office/drawing/2014/main" id="{6DD195FB-67F3-BCB0-A0D8-489984883D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B68335F" w14:textId="73E251E9" w:rsidR="00BF2F93" w:rsidRPr="00CE058E" w:rsidRDefault="00BF2F93" w:rsidP="007861EC">
      <w:pPr>
        <w:pStyle w:val="Heading3"/>
      </w:pPr>
      <w:bookmarkStart w:id="280" w:name="_Toc151129709"/>
      <w:bookmarkStart w:id="281" w:name="_Toc158882560"/>
      <w:bookmarkStart w:id="282" w:name="_Toc158882621"/>
      <w:r w:rsidRPr="00CE058E">
        <w:t xml:space="preserve">Emergency </w:t>
      </w:r>
      <w:r w:rsidR="00710A92" w:rsidRPr="00CE058E">
        <w:t>d</w:t>
      </w:r>
      <w:r w:rsidRPr="00CE058E">
        <w:t>epartment presentation change</w:t>
      </w:r>
      <w:bookmarkEnd w:id="280"/>
      <w:bookmarkEnd w:id="281"/>
      <w:bookmarkEnd w:id="282"/>
    </w:p>
    <w:p w14:paraId="77CFB0D5" w14:textId="0C044E94" w:rsidR="00430263" w:rsidRPr="00CE058E" w:rsidRDefault="00430263" w:rsidP="00A47745">
      <w:pPr>
        <w:rPr>
          <w:rFonts w:cs="Arial"/>
          <w:color w:val="auto"/>
        </w:rPr>
      </w:pPr>
      <w:r w:rsidRPr="00CE058E">
        <w:rPr>
          <w:rFonts w:cs="Arial"/>
          <w:color w:val="auto"/>
        </w:rPr>
        <w:t xml:space="preserve">Table 12 shows the emergency department </w:t>
      </w:r>
      <w:r w:rsidR="002759C0" w:rsidRPr="00CE058E">
        <w:rPr>
          <w:rFonts w:cs="Arial"/>
          <w:color w:val="auto"/>
        </w:rPr>
        <w:t xml:space="preserve">end-classes </w:t>
      </w:r>
      <w:r w:rsidRPr="00CE058E">
        <w:rPr>
          <w:rFonts w:cs="Arial"/>
          <w:color w:val="auto"/>
        </w:rPr>
        <w:t xml:space="preserve">that had an impact on the change in the </w:t>
      </w:r>
      <w:r w:rsidR="002759C0" w:rsidRPr="00CE058E">
        <w:rPr>
          <w:rFonts w:cs="Arial"/>
          <w:color w:val="auto"/>
        </w:rPr>
        <w:t>number of presentations reported n</w:t>
      </w:r>
      <w:r w:rsidRPr="00CE058E">
        <w:rPr>
          <w:rFonts w:cs="Arial"/>
          <w:color w:val="auto"/>
        </w:rPr>
        <w:t xml:space="preserve">ationally in 2021-22 compared to 2020-21. In 2021-22, the national number of presentations was 8.3 million, </w:t>
      </w:r>
      <w:r w:rsidR="00301F51" w:rsidRPr="00CE058E">
        <w:rPr>
          <w:rFonts w:cs="Arial"/>
          <w:color w:val="auto"/>
        </w:rPr>
        <w:t>a</w:t>
      </w:r>
      <w:r w:rsidRPr="00CE058E">
        <w:rPr>
          <w:rFonts w:cs="Arial"/>
          <w:color w:val="auto"/>
        </w:rPr>
        <w:t xml:space="preserve"> decrease of 92,267 presentations (or 1</w:t>
      </w:r>
      <w:r w:rsidR="00897090">
        <w:rPr>
          <w:rFonts w:cs="Arial"/>
          <w:color w:val="auto"/>
        </w:rPr>
        <w:t>%</w:t>
      </w:r>
      <w:r w:rsidRPr="00CE058E">
        <w:rPr>
          <w:rFonts w:cs="Arial"/>
          <w:color w:val="auto"/>
        </w:rPr>
        <w:t>) compared to 2020-21. The national emergency department presentations change was driven by E6090B, E2025C,</w:t>
      </w:r>
      <w:r w:rsidR="00214107" w:rsidRPr="00CE058E">
        <w:rPr>
          <w:rFonts w:cs="Arial"/>
          <w:color w:val="auto"/>
        </w:rPr>
        <w:t xml:space="preserve"> and</w:t>
      </w:r>
      <w:r w:rsidRPr="00CE058E">
        <w:rPr>
          <w:rFonts w:cs="Arial"/>
          <w:color w:val="auto"/>
        </w:rPr>
        <w:t xml:space="preserve"> E1820C (as defined in table 12). These </w:t>
      </w:r>
      <w:r w:rsidR="00214107" w:rsidRPr="00CE058E">
        <w:rPr>
          <w:rFonts w:cs="Arial"/>
          <w:color w:val="auto"/>
        </w:rPr>
        <w:t>end-classes</w:t>
      </w:r>
      <w:r w:rsidRPr="00CE058E">
        <w:rPr>
          <w:rFonts w:cs="Arial"/>
          <w:color w:val="auto"/>
        </w:rPr>
        <w:t xml:space="preserve"> decreased nationally </w:t>
      </w:r>
      <w:r w:rsidRPr="00CE058E">
        <w:rPr>
          <w:rFonts w:cs="Arial"/>
          <w:bCs/>
          <w:color w:val="auto"/>
        </w:rPr>
        <w:t xml:space="preserve">215,624 </w:t>
      </w:r>
      <w:r w:rsidRPr="00CE058E">
        <w:rPr>
          <w:rFonts w:cs="Arial"/>
          <w:color w:val="auto"/>
        </w:rPr>
        <w:t xml:space="preserve">in 2021-22 compared to 2020-21. The </w:t>
      </w:r>
      <w:r w:rsidR="00214107" w:rsidRPr="00CE058E">
        <w:rPr>
          <w:rFonts w:cs="Arial"/>
          <w:color w:val="auto"/>
        </w:rPr>
        <w:t>end-classes</w:t>
      </w:r>
      <w:r w:rsidRPr="00CE058E">
        <w:rPr>
          <w:rFonts w:cs="Arial"/>
          <w:color w:val="auto"/>
        </w:rPr>
        <w:t xml:space="preserve"> that had the highest increase were E0001Z, E9902Z, </w:t>
      </w:r>
      <w:r w:rsidR="00214107" w:rsidRPr="00CE058E">
        <w:rPr>
          <w:rFonts w:cs="Arial"/>
          <w:color w:val="auto"/>
        </w:rPr>
        <w:t xml:space="preserve">and </w:t>
      </w:r>
      <w:r w:rsidRPr="00CE058E">
        <w:rPr>
          <w:rFonts w:cs="Arial"/>
          <w:color w:val="auto"/>
        </w:rPr>
        <w:t xml:space="preserve">E1820A (as defined in table 12), </w:t>
      </w:r>
      <w:r w:rsidR="00301F51" w:rsidRPr="00CE058E">
        <w:rPr>
          <w:rFonts w:cs="Arial"/>
          <w:color w:val="auto"/>
        </w:rPr>
        <w:t>an</w:t>
      </w:r>
      <w:r w:rsidRPr="00CE058E">
        <w:rPr>
          <w:rFonts w:cs="Arial"/>
          <w:color w:val="auto"/>
        </w:rPr>
        <w:t xml:space="preserve"> increase</w:t>
      </w:r>
      <w:r w:rsidR="00301F51" w:rsidRPr="00CE058E">
        <w:rPr>
          <w:rFonts w:cs="Arial"/>
          <w:color w:val="auto"/>
        </w:rPr>
        <w:t xml:space="preserve"> of</w:t>
      </w:r>
      <w:r w:rsidRPr="00CE058E">
        <w:rPr>
          <w:rFonts w:cs="Arial"/>
          <w:color w:val="auto"/>
        </w:rPr>
        <w:t xml:space="preserve"> </w:t>
      </w:r>
      <w:r w:rsidRPr="00CE058E">
        <w:rPr>
          <w:rFonts w:cs="Arial"/>
          <w:bCs/>
          <w:color w:val="auto"/>
        </w:rPr>
        <w:t xml:space="preserve">197,290 presentations </w:t>
      </w:r>
      <w:r w:rsidRPr="00CE058E">
        <w:rPr>
          <w:rFonts w:cs="Arial"/>
          <w:color w:val="auto"/>
        </w:rPr>
        <w:t>from 2020-21.</w:t>
      </w:r>
      <w:r w:rsidR="00CB65C0">
        <w:rPr>
          <w:rFonts w:cs="Arial"/>
          <w:color w:val="auto"/>
        </w:rPr>
        <w:t xml:space="preserve"> </w:t>
      </w:r>
      <w:r w:rsidR="00576AC3">
        <w:rPr>
          <w:rFonts w:cs="Arial"/>
          <w:color w:val="auto"/>
        </w:rPr>
        <w:t xml:space="preserve">For E0001Z, New South Wales and Victoria accounted for the greatest proportion of these </w:t>
      </w:r>
      <w:r w:rsidR="00576AC3">
        <w:rPr>
          <w:rFonts w:cs="Arial"/>
          <w:color w:val="auto"/>
        </w:rPr>
        <w:lastRenderedPageBreak/>
        <w:t xml:space="preserve">records, reporting 120,858 and 119,019 records respectively in 2021-22. For E9902Z, Queensland accounted for the greatest proportion of records, reporting 66,382 records in 2021-22. </w:t>
      </w:r>
    </w:p>
    <w:p w14:paraId="161D2CBD" w14:textId="23E8AAA7" w:rsidR="003B07D8" w:rsidRPr="00CE058E" w:rsidRDefault="002F162B" w:rsidP="00B42434">
      <w:pPr>
        <w:pStyle w:val="TableFigureheading"/>
      </w:pPr>
      <w:bookmarkStart w:id="283" w:name="_Toc149650913"/>
      <w:bookmarkStart w:id="284" w:name="_Toc151370038"/>
      <w:r w:rsidRPr="00CE058E">
        <w:t xml:space="preserve">Table </w:t>
      </w:r>
      <w:r>
        <w:fldChar w:fldCharType="begin"/>
      </w:r>
      <w:r>
        <w:instrText xml:space="preserve"> SEQ Table \* ARABIC </w:instrText>
      </w:r>
      <w:r>
        <w:fldChar w:fldCharType="separate"/>
      </w:r>
      <w:r w:rsidR="00B42434">
        <w:rPr>
          <w:noProof/>
        </w:rPr>
        <w:t>12</w:t>
      </w:r>
      <w:r>
        <w:rPr>
          <w:noProof/>
        </w:rPr>
        <w:fldChar w:fldCharType="end"/>
      </w:r>
      <w:r w:rsidR="00BF2F93" w:rsidRPr="00CE058E">
        <w:t xml:space="preserve">: Emergency </w:t>
      </w:r>
      <w:r w:rsidR="005619C0" w:rsidRPr="00CE058E">
        <w:t>d</w:t>
      </w:r>
      <w:r w:rsidR="00BF2F93" w:rsidRPr="00CE058E">
        <w:t>epartment</w:t>
      </w:r>
      <w:r w:rsidR="00430263" w:rsidRPr="00CE058E">
        <w:t xml:space="preserve"> presentation</w:t>
      </w:r>
      <w:r w:rsidR="00963969" w:rsidRPr="00CE058E">
        <w:t>s</w:t>
      </w:r>
      <w:r w:rsidR="00430263" w:rsidRPr="00CE058E">
        <w:t xml:space="preserve"> change</w:t>
      </w:r>
      <w:r w:rsidR="005619C0" w:rsidRPr="00CE058E">
        <w:t>, 2020-21 to 2021-22</w:t>
      </w:r>
      <w:bookmarkEnd w:id="283"/>
      <w:bookmarkEnd w:id="284"/>
    </w:p>
    <w:tbl>
      <w:tblPr>
        <w:tblStyle w:val="GridTable4-Accent2"/>
        <w:tblW w:w="8789" w:type="dxa"/>
        <w:jc w:val="center"/>
        <w:tblLayout w:type="fixed"/>
        <w:tblLook w:val="04A0" w:firstRow="1" w:lastRow="0" w:firstColumn="1" w:lastColumn="0" w:noHBand="0" w:noVBand="1"/>
      </w:tblPr>
      <w:tblGrid>
        <w:gridCol w:w="904"/>
        <w:gridCol w:w="2966"/>
        <w:gridCol w:w="1129"/>
        <w:gridCol w:w="1097"/>
        <w:gridCol w:w="1418"/>
        <w:gridCol w:w="1275"/>
      </w:tblGrid>
      <w:tr w:rsidR="009554BA" w:rsidRPr="00CE058E" w14:paraId="02810710" w14:textId="77777777" w:rsidTr="00CB65C0">
        <w:trPr>
          <w:cnfStyle w:val="100000000000" w:firstRow="1" w:lastRow="0" w:firstColumn="0" w:lastColumn="0" w:oddVBand="0" w:evenVBand="0" w:oddHBand="0"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904"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0BE3F124" w14:textId="77777777" w:rsidR="003B07D8" w:rsidRPr="00CE058E" w:rsidRDefault="003B07D8" w:rsidP="006D07BF">
            <w:pPr>
              <w:spacing w:line="240" w:lineRule="auto"/>
              <w:jc w:val="center"/>
              <w:rPr>
                <w:rFonts w:eastAsia="Times New Roman" w:cs="Arial"/>
                <w:b w:val="0"/>
                <w:bCs w:val="0"/>
                <w:color w:val="FFFFFF" w:themeColor="background2"/>
                <w:sz w:val="18"/>
                <w:szCs w:val="18"/>
                <w:lang w:eastAsia="en-AU"/>
              </w:rPr>
            </w:pPr>
            <w:bookmarkStart w:id="285" w:name="_Toc144215457"/>
            <w:bookmarkStart w:id="286" w:name="_Toc144967663"/>
            <w:r w:rsidRPr="00CE058E">
              <w:rPr>
                <w:rFonts w:eastAsia="Times New Roman" w:cs="Arial"/>
                <w:color w:val="FFFFFF" w:themeColor="background2"/>
                <w:sz w:val="18"/>
                <w:szCs w:val="18"/>
                <w:lang w:eastAsia="en-AU"/>
              </w:rPr>
              <w:t>AECC</w:t>
            </w:r>
          </w:p>
        </w:tc>
        <w:tc>
          <w:tcPr>
            <w:tcW w:w="2966"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42A6A029" w14:textId="77777777" w:rsidR="003B07D8" w:rsidRPr="00CE058E" w:rsidRDefault="003B07D8" w:rsidP="006D07B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Description</w:t>
            </w:r>
          </w:p>
        </w:tc>
        <w:tc>
          <w:tcPr>
            <w:tcW w:w="2226"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0D5B1393" w14:textId="77777777" w:rsidR="003B07D8" w:rsidRPr="00CE058E" w:rsidRDefault="003B07D8" w:rsidP="006D07B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Presentations</w:t>
            </w:r>
          </w:p>
        </w:tc>
        <w:tc>
          <w:tcPr>
            <w:tcW w:w="1418"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7A0A973C" w14:textId="07EC43F6" w:rsidR="003B07D8" w:rsidRPr="00CE058E" w:rsidRDefault="003B07D8" w:rsidP="006D07B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r w:rsidR="007D3190" w:rsidRPr="00CE058E">
              <w:rPr>
                <w:rFonts w:eastAsia="Times New Roman" w:cs="Arial"/>
                <w:color w:val="FFFFFF" w:themeColor="background2"/>
                <w:sz w:val="18"/>
                <w:szCs w:val="18"/>
                <w:lang w:eastAsia="en-AU"/>
              </w:rPr>
              <w:t>presentation</w:t>
            </w:r>
            <w:r w:rsidRPr="00CE058E">
              <w:rPr>
                <w:rFonts w:eastAsia="Times New Roman" w:cs="Arial"/>
                <w:color w:val="FFFFFF" w:themeColor="background2"/>
                <w:sz w:val="18"/>
                <w:szCs w:val="18"/>
                <w:lang w:eastAsia="en-AU"/>
              </w:rPr>
              <w:t>)</w:t>
            </w:r>
          </w:p>
        </w:tc>
        <w:tc>
          <w:tcPr>
            <w:tcW w:w="1275"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0358D8C7" w14:textId="77777777" w:rsidR="003B07D8" w:rsidRPr="00CE058E" w:rsidRDefault="003B07D8" w:rsidP="006D07B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p>
        </w:tc>
      </w:tr>
      <w:tr w:rsidR="00CB65C0" w:rsidRPr="00CE058E" w14:paraId="1ACED251" w14:textId="77777777" w:rsidTr="00CB65C0">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904"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hideMark/>
          </w:tcPr>
          <w:p w14:paraId="2AF8B034" w14:textId="77777777" w:rsidR="003B07D8" w:rsidRPr="00CE058E" w:rsidRDefault="003B07D8">
            <w:pPr>
              <w:spacing w:line="240" w:lineRule="auto"/>
              <w:rPr>
                <w:rFonts w:eastAsia="Times New Roman" w:cs="Arial"/>
                <w:b w:val="0"/>
                <w:bCs w:val="0"/>
                <w:color w:val="FFFFFF" w:themeColor="background2"/>
                <w:sz w:val="18"/>
                <w:szCs w:val="18"/>
                <w:lang w:eastAsia="en-AU"/>
              </w:rPr>
            </w:pPr>
          </w:p>
        </w:tc>
        <w:tc>
          <w:tcPr>
            <w:tcW w:w="2966"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hideMark/>
          </w:tcPr>
          <w:p w14:paraId="218C87FF" w14:textId="77777777" w:rsidR="003B07D8" w:rsidRPr="00CE058E" w:rsidRDefault="003B07D8">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p>
        </w:tc>
        <w:tc>
          <w:tcPr>
            <w:tcW w:w="1129"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274A0898" w14:textId="77777777" w:rsidR="003B07D8" w:rsidRPr="00CE058E" w:rsidRDefault="003B07D8" w:rsidP="006D07B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2021-22</w:t>
            </w:r>
          </w:p>
        </w:tc>
        <w:tc>
          <w:tcPr>
            <w:tcW w:w="109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5E388995" w14:textId="77777777" w:rsidR="003B07D8" w:rsidRPr="00CE058E" w:rsidRDefault="003B07D8" w:rsidP="006D07B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2020-21</w:t>
            </w:r>
          </w:p>
        </w:tc>
        <w:tc>
          <w:tcPr>
            <w:tcW w:w="1418"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hideMark/>
          </w:tcPr>
          <w:p w14:paraId="3A02F537" w14:textId="77777777" w:rsidR="003B07D8" w:rsidRPr="00CE058E" w:rsidRDefault="003B07D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p>
        </w:tc>
        <w:tc>
          <w:tcPr>
            <w:tcW w:w="1275"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hideMark/>
          </w:tcPr>
          <w:p w14:paraId="1E8621E3" w14:textId="77777777" w:rsidR="003B07D8" w:rsidRPr="00CE058E" w:rsidRDefault="003B07D8">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p>
        </w:tc>
      </w:tr>
      <w:tr w:rsidR="009554BA" w:rsidRPr="00CE058E" w14:paraId="583C4506" w14:textId="77777777" w:rsidTr="00CB65C0">
        <w:trPr>
          <w:trHeight w:val="217"/>
          <w:jc w:val="center"/>
        </w:trPr>
        <w:tc>
          <w:tcPr>
            <w:cnfStyle w:val="001000000000" w:firstRow="0" w:lastRow="0" w:firstColumn="1" w:lastColumn="0" w:oddVBand="0" w:evenVBand="0" w:oddHBand="0" w:evenHBand="0" w:firstRowFirstColumn="0" w:firstRowLastColumn="0" w:lastRowFirstColumn="0" w:lastRowLastColumn="0"/>
            <w:tcW w:w="904" w:type="dxa"/>
            <w:tcBorders>
              <w:top w:val="single" w:sz="4" w:space="0" w:color="FFFFFF" w:themeColor="background2"/>
            </w:tcBorders>
            <w:noWrap/>
            <w:vAlign w:val="center"/>
          </w:tcPr>
          <w:p w14:paraId="0B672088" w14:textId="36DB0C2F" w:rsidR="00430263" w:rsidRPr="00CE058E" w:rsidRDefault="00430263" w:rsidP="00430263">
            <w:pPr>
              <w:spacing w:line="240" w:lineRule="auto"/>
              <w:rPr>
                <w:rFonts w:eastAsia="Times New Roman" w:cs="Arial"/>
                <w:color w:val="15272F"/>
                <w:sz w:val="18"/>
                <w:szCs w:val="18"/>
                <w:lang w:eastAsia="en-AU"/>
              </w:rPr>
            </w:pPr>
            <w:r w:rsidRPr="00CE058E">
              <w:rPr>
                <w:rFonts w:eastAsia="Times New Roman" w:cs="Arial"/>
                <w:color w:val="15272F"/>
                <w:sz w:val="18"/>
                <w:szCs w:val="18"/>
                <w:lang w:eastAsia="en-AU"/>
              </w:rPr>
              <w:t>E6090B</w:t>
            </w:r>
          </w:p>
        </w:tc>
        <w:tc>
          <w:tcPr>
            <w:tcW w:w="2966" w:type="dxa"/>
            <w:tcBorders>
              <w:top w:val="single" w:sz="4" w:space="0" w:color="FFFFFF" w:themeColor="background2"/>
            </w:tcBorders>
            <w:noWrap/>
          </w:tcPr>
          <w:p w14:paraId="0E57B03D" w14:textId="0C6F2C29" w:rsidR="00430263" w:rsidRPr="00CE058E" w:rsidRDefault="00430263" w:rsidP="00430263">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Other factors influencing health status Complexity level B</w:t>
            </w:r>
          </w:p>
        </w:tc>
        <w:tc>
          <w:tcPr>
            <w:tcW w:w="1129" w:type="dxa"/>
            <w:tcBorders>
              <w:top w:val="single" w:sz="4" w:space="0" w:color="FFFFFF" w:themeColor="background2"/>
            </w:tcBorders>
            <w:noWrap/>
            <w:vAlign w:val="center"/>
          </w:tcPr>
          <w:p w14:paraId="5510DBCA" w14:textId="1FFDE681" w:rsidR="00430263" w:rsidRPr="00CE058E" w:rsidRDefault="00430263" w:rsidP="0043026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150,142</w:t>
            </w:r>
          </w:p>
        </w:tc>
        <w:tc>
          <w:tcPr>
            <w:tcW w:w="1097" w:type="dxa"/>
            <w:tcBorders>
              <w:top w:val="single" w:sz="4" w:space="0" w:color="FFFFFF" w:themeColor="background2"/>
            </w:tcBorders>
            <w:noWrap/>
            <w:vAlign w:val="center"/>
          </w:tcPr>
          <w:p w14:paraId="02CCC71A" w14:textId="6A80B2E2" w:rsidR="00430263" w:rsidRPr="00CE058E" w:rsidRDefault="00430263" w:rsidP="0043026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184,011</w:t>
            </w:r>
          </w:p>
        </w:tc>
        <w:tc>
          <w:tcPr>
            <w:tcW w:w="1418" w:type="dxa"/>
            <w:tcBorders>
              <w:top w:val="single" w:sz="4" w:space="0" w:color="FFFFFF" w:themeColor="background2"/>
            </w:tcBorders>
            <w:noWrap/>
            <w:vAlign w:val="center"/>
          </w:tcPr>
          <w:p w14:paraId="04FEE772" w14:textId="665B8801" w:rsidR="00430263" w:rsidRPr="00CE058E" w:rsidRDefault="00430263" w:rsidP="0043026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-33,869</w:t>
            </w:r>
          </w:p>
        </w:tc>
        <w:tc>
          <w:tcPr>
            <w:tcW w:w="1275" w:type="dxa"/>
            <w:tcBorders>
              <w:top w:val="single" w:sz="4" w:space="0" w:color="FFFFFF" w:themeColor="background2"/>
            </w:tcBorders>
            <w:noWrap/>
            <w:vAlign w:val="center"/>
          </w:tcPr>
          <w:p w14:paraId="4201C055" w14:textId="607D6A86" w:rsidR="00430263" w:rsidRPr="00CE058E" w:rsidRDefault="00430263" w:rsidP="0043026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-18</w:t>
            </w:r>
          </w:p>
        </w:tc>
      </w:tr>
      <w:tr w:rsidR="00CB65C0" w:rsidRPr="00CE058E" w14:paraId="798ABE6D" w14:textId="77777777" w:rsidTr="00CB65C0">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904" w:type="dxa"/>
            <w:tcBorders>
              <w:top w:val="single" w:sz="4" w:space="0" w:color="FFFFFF" w:themeColor="background2"/>
            </w:tcBorders>
            <w:noWrap/>
            <w:vAlign w:val="center"/>
          </w:tcPr>
          <w:p w14:paraId="6C341EC0" w14:textId="65B5A8AE" w:rsidR="00430263" w:rsidRPr="00CE058E" w:rsidRDefault="00430263" w:rsidP="00430263">
            <w:pPr>
              <w:spacing w:line="240" w:lineRule="auto"/>
              <w:rPr>
                <w:rFonts w:eastAsia="Times New Roman" w:cs="Arial"/>
                <w:color w:val="15272F"/>
                <w:sz w:val="18"/>
                <w:szCs w:val="18"/>
                <w:lang w:eastAsia="en-AU"/>
              </w:rPr>
            </w:pPr>
            <w:r w:rsidRPr="00CE058E">
              <w:rPr>
                <w:rFonts w:eastAsia="Times New Roman" w:cs="Arial"/>
                <w:color w:val="15272F"/>
                <w:sz w:val="18"/>
                <w:szCs w:val="18"/>
                <w:lang w:eastAsia="en-AU"/>
              </w:rPr>
              <w:t>E2025C</w:t>
            </w:r>
          </w:p>
        </w:tc>
        <w:tc>
          <w:tcPr>
            <w:tcW w:w="2966" w:type="dxa"/>
            <w:tcBorders>
              <w:top w:val="single" w:sz="4" w:space="0" w:color="FFFFFF" w:themeColor="background2"/>
            </w:tcBorders>
            <w:noWrap/>
          </w:tcPr>
          <w:p w14:paraId="268CA0F1" w14:textId="68824E67" w:rsidR="00430263" w:rsidRPr="00CE058E" w:rsidRDefault="00430263" w:rsidP="00430263">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 xml:space="preserve">Fractures, </w:t>
            </w:r>
            <w:r w:rsidR="004004AC" w:rsidRPr="00CE058E">
              <w:rPr>
                <w:rFonts w:eastAsia="Times New Roman" w:cs="Arial"/>
                <w:color w:val="15272F"/>
                <w:sz w:val="18"/>
                <w:szCs w:val="18"/>
                <w:lang w:eastAsia="en-AU"/>
              </w:rPr>
              <w:t>dislocations,</w:t>
            </w:r>
            <w:r w:rsidRPr="00CE058E">
              <w:rPr>
                <w:rFonts w:eastAsia="Times New Roman" w:cs="Arial"/>
                <w:color w:val="15272F"/>
                <w:sz w:val="18"/>
                <w:szCs w:val="18"/>
                <w:lang w:eastAsia="en-AU"/>
              </w:rPr>
              <w:t xml:space="preserve"> and ligament injuries Complexity level C</w:t>
            </w:r>
          </w:p>
        </w:tc>
        <w:tc>
          <w:tcPr>
            <w:tcW w:w="1129" w:type="dxa"/>
            <w:tcBorders>
              <w:top w:val="single" w:sz="4" w:space="0" w:color="FFFFFF" w:themeColor="background2"/>
            </w:tcBorders>
            <w:noWrap/>
            <w:vAlign w:val="center"/>
          </w:tcPr>
          <w:p w14:paraId="7C06F452" w14:textId="15C9832F" w:rsidR="00430263" w:rsidRPr="00CE058E" w:rsidRDefault="00430263" w:rsidP="0043026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316,397</w:t>
            </w:r>
          </w:p>
        </w:tc>
        <w:tc>
          <w:tcPr>
            <w:tcW w:w="1097" w:type="dxa"/>
            <w:tcBorders>
              <w:top w:val="single" w:sz="4" w:space="0" w:color="FFFFFF" w:themeColor="background2"/>
            </w:tcBorders>
            <w:noWrap/>
            <w:vAlign w:val="center"/>
          </w:tcPr>
          <w:p w14:paraId="31D7E587" w14:textId="6EBA5519" w:rsidR="00430263" w:rsidRPr="00CE058E" w:rsidRDefault="00430263" w:rsidP="0043026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363,921</w:t>
            </w:r>
          </w:p>
        </w:tc>
        <w:tc>
          <w:tcPr>
            <w:tcW w:w="1418" w:type="dxa"/>
            <w:tcBorders>
              <w:top w:val="single" w:sz="4" w:space="0" w:color="FFFFFF" w:themeColor="background2"/>
            </w:tcBorders>
            <w:noWrap/>
            <w:vAlign w:val="center"/>
          </w:tcPr>
          <w:p w14:paraId="428D29B6" w14:textId="7D5F94AB" w:rsidR="00430263" w:rsidRPr="00CE058E" w:rsidRDefault="00430263" w:rsidP="0043026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-47,524</w:t>
            </w:r>
          </w:p>
        </w:tc>
        <w:tc>
          <w:tcPr>
            <w:tcW w:w="1275" w:type="dxa"/>
            <w:tcBorders>
              <w:top w:val="single" w:sz="4" w:space="0" w:color="FFFFFF" w:themeColor="background2"/>
            </w:tcBorders>
            <w:noWrap/>
            <w:vAlign w:val="center"/>
          </w:tcPr>
          <w:p w14:paraId="3C85F167" w14:textId="56D7563C" w:rsidR="00430263" w:rsidRPr="00CE058E" w:rsidRDefault="00430263" w:rsidP="0043026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-13</w:t>
            </w:r>
          </w:p>
        </w:tc>
      </w:tr>
      <w:tr w:rsidR="009554BA" w:rsidRPr="00CE058E" w14:paraId="38383241" w14:textId="77777777" w:rsidTr="00CB65C0">
        <w:trPr>
          <w:trHeight w:val="217"/>
          <w:jc w:val="center"/>
        </w:trPr>
        <w:tc>
          <w:tcPr>
            <w:cnfStyle w:val="001000000000" w:firstRow="0" w:lastRow="0" w:firstColumn="1" w:lastColumn="0" w:oddVBand="0" w:evenVBand="0" w:oddHBand="0" w:evenHBand="0" w:firstRowFirstColumn="0" w:firstRowLastColumn="0" w:lastRowFirstColumn="0" w:lastRowLastColumn="0"/>
            <w:tcW w:w="904" w:type="dxa"/>
            <w:tcBorders>
              <w:top w:val="single" w:sz="4" w:space="0" w:color="FFFFFF" w:themeColor="background2"/>
            </w:tcBorders>
            <w:noWrap/>
            <w:vAlign w:val="center"/>
          </w:tcPr>
          <w:p w14:paraId="47673216" w14:textId="1E142E37" w:rsidR="00430263" w:rsidRPr="00CE058E" w:rsidRDefault="00430263" w:rsidP="00430263">
            <w:pPr>
              <w:spacing w:line="240" w:lineRule="auto"/>
              <w:rPr>
                <w:rFonts w:eastAsia="Times New Roman" w:cs="Arial"/>
                <w:color w:val="15272F"/>
                <w:sz w:val="18"/>
                <w:szCs w:val="18"/>
                <w:lang w:eastAsia="en-AU"/>
              </w:rPr>
            </w:pPr>
            <w:r w:rsidRPr="00CE058E">
              <w:rPr>
                <w:rFonts w:eastAsia="Times New Roman" w:cs="Arial"/>
                <w:color w:val="15272F"/>
                <w:sz w:val="18"/>
                <w:szCs w:val="18"/>
                <w:lang w:eastAsia="en-AU"/>
              </w:rPr>
              <w:t>E1820C</w:t>
            </w:r>
          </w:p>
        </w:tc>
        <w:tc>
          <w:tcPr>
            <w:tcW w:w="2966" w:type="dxa"/>
            <w:tcBorders>
              <w:top w:val="single" w:sz="4" w:space="0" w:color="FFFFFF" w:themeColor="background2"/>
            </w:tcBorders>
            <w:noWrap/>
          </w:tcPr>
          <w:p w14:paraId="5CF948A3" w14:textId="073DB579" w:rsidR="00430263" w:rsidRPr="00CE058E" w:rsidRDefault="00430263" w:rsidP="00430263">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Viral illnesses Complexity level C</w:t>
            </w:r>
          </w:p>
        </w:tc>
        <w:tc>
          <w:tcPr>
            <w:tcW w:w="1129" w:type="dxa"/>
            <w:tcBorders>
              <w:top w:val="single" w:sz="4" w:space="0" w:color="FFFFFF" w:themeColor="background2"/>
            </w:tcBorders>
            <w:noWrap/>
            <w:vAlign w:val="center"/>
          </w:tcPr>
          <w:p w14:paraId="62647C77" w14:textId="65678CFD" w:rsidR="00430263" w:rsidRPr="00CE058E" w:rsidRDefault="00430263" w:rsidP="0043026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188,444</w:t>
            </w:r>
          </w:p>
        </w:tc>
        <w:tc>
          <w:tcPr>
            <w:tcW w:w="1097" w:type="dxa"/>
            <w:tcBorders>
              <w:top w:val="single" w:sz="4" w:space="0" w:color="FFFFFF" w:themeColor="background2"/>
            </w:tcBorders>
            <w:noWrap/>
            <w:vAlign w:val="center"/>
          </w:tcPr>
          <w:p w14:paraId="4407C69C" w14:textId="5098C24A" w:rsidR="00430263" w:rsidRPr="00CE058E" w:rsidRDefault="00430263" w:rsidP="0043026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322,675</w:t>
            </w:r>
          </w:p>
        </w:tc>
        <w:tc>
          <w:tcPr>
            <w:tcW w:w="1418" w:type="dxa"/>
            <w:tcBorders>
              <w:top w:val="single" w:sz="4" w:space="0" w:color="FFFFFF" w:themeColor="background2"/>
            </w:tcBorders>
            <w:noWrap/>
            <w:vAlign w:val="center"/>
          </w:tcPr>
          <w:p w14:paraId="795B1F4B" w14:textId="0F627ECE" w:rsidR="00430263" w:rsidRPr="00CE058E" w:rsidRDefault="00430263" w:rsidP="0043026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-134,231</w:t>
            </w:r>
          </w:p>
        </w:tc>
        <w:tc>
          <w:tcPr>
            <w:tcW w:w="1275" w:type="dxa"/>
            <w:tcBorders>
              <w:top w:val="single" w:sz="4" w:space="0" w:color="FFFFFF" w:themeColor="background2"/>
            </w:tcBorders>
            <w:noWrap/>
            <w:vAlign w:val="center"/>
          </w:tcPr>
          <w:p w14:paraId="37CC6B2B" w14:textId="50A76A38" w:rsidR="00430263" w:rsidRPr="00CE058E" w:rsidRDefault="00430263" w:rsidP="0043026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-42</w:t>
            </w:r>
          </w:p>
        </w:tc>
      </w:tr>
      <w:tr w:rsidR="00CB65C0" w:rsidRPr="00CE058E" w14:paraId="6A22BAB4" w14:textId="77777777" w:rsidTr="00CB65C0">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904" w:type="dxa"/>
            <w:tcBorders>
              <w:top w:val="single" w:sz="4" w:space="0" w:color="FFFFFF" w:themeColor="background2"/>
            </w:tcBorders>
            <w:noWrap/>
            <w:vAlign w:val="center"/>
          </w:tcPr>
          <w:p w14:paraId="7DA9EE3C" w14:textId="75C5A417" w:rsidR="00430263" w:rsidRPr="00CE058E" w:rsidRDefault="00430263" w:rsidP="00430263">
            <w:pPr>
              <w:spacing w:line="240" w:lineRule="auto"/>
              <w:rPr>
                <w:rFonts w:eastAsia="Times New Roman" w:cs="Arial"/>
                <w:color w:val="15272F"/>
                <w:sz w:val="18"/>
                <w:szCs w:val="18"/>
                <w:lang w:eastAsia="en-AU"/>
              </w:rPr>
            </w:pPr>
            <w:r w:rsidRPr="00CE058E">
              <w:rPr>
                <w:rFonts w:eastAsia="Times New Roman" w:cs="Arial"/>
                <w:color w:val="15272F"/>
                <w:sz w:val="18"/>
                <w:szCs w:val="18"/>
                <w:lang w:eastAsia="en-AU"/>
              </w:rPr>
              <w:t>E0001Z</w:t>
            </w:r>
          </w:p>
        </w:tc>
        <w:tc>
          <w:tcPr>
            <w:tcW w:w="2966" w:type="dxa"/>
            <w:tcBorders>
              <w:top w:val="single" w:sz="4" w:space="0" w:color="FFFFFF" w:themeColor="background2"/>
            </w:tcBorders>
            <w:noWrap/>
          </w:tcPr>
          <w:p w14:paraId="7B25757F" w14:textId="3A3505F6" w:rsidR="00430263" w:rsidRPr="00CE058E" w:rsidRDefault="00430263" w:rsidP="00430263">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Not attended by a healthcare professional</w:t>
            </w:r>
          </w:p>
        </w:tc>
        <w:tc>
          <w:tcPr>
            <w:tcW w:w="1129" w:type="dxa"/>
            <w:tcBorders>
              <w:top w:val="single" w:sz="4" w:space="0" w:color="FFFFFF" w:themeColor="background2"/>
            </w:tcBorders>
            <w:noWrap/>
            <w:vAlign w:val="center"/>
          </w:tcPr>
          <w:p w14:paraId="67197328" w14:textId="1F326EBC" w:rsidR="00430263" w:rsidRPr="00CE058E" w:rsidRDefault="00430263" w:rsidP="0043026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422,539</w:t>
            </w:r>
          </w:p>
        </w:tc>
        <w:tc>
          <w:tcPr>
            <w:tcW w:w="1097" w:type="dxa"/>
            <w:tcBorders>
              <w:top w:val="single" w:sz="4" w:space="0" w:color="FFFFFF" w:themeColor="background2"/>
            </w:tcBorders>
            <w:noWrap/>
            <w:vAlign w:val="center"/>
          </w:tcPr>
          <w:p w14:paraId="5663C6A2" w14:textId="6CCED6E5" w:rsidR="00430263" w:rsidRPr="00CE058E" w:rsidRDefault="00430263" w:rsidP="0043026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351,214</w:t>
            </w:r>
          </w:p>
        </w:tc>
        <w:tc>
          <w:tcPr>
            <w:tcW w:w="1418" w:type="dxa"/>
            <w:tcBorders>
              <w:top w:val="single" w:sz="4" w:space="0" w:color="FFFFFF" w:themeColor="background2"/>
            </w:tcBorders>
            <w:noWrap/>
            <w:vAlign w:val="center"/>
          </w:tcPr>
          <w:p w14:paraId="4CC80D6B" w14:textId="5616FCA9" w:rsidR="00430263" w:rsidRPr="00CE058E" w:rsidRDefault="00430263" w:rsidP="0043026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71,325</w:t>
            </w:r>
          </w:p>
        </w:tc>
        <w:tc>
          <w:tcPr>
            <w:tcW w:w="1275" w:type="dxa"/>
            <w:tcBorders>
              <w:top w:val="single" w:sz="4" w:space="0" w:color="FFFFFF" w:themeColor="background2"/>
            </w:tcBorders>
            <w:noWrap/>
            <w:vAlign w:val="center"/>
          </w:tcPr>
          <w:p w14:paraId="31B7902C" w14:textId="4AE7C7C5" w:rsidR="00430263" w:rsidRPr="00CE058E" w:rsidRDefault="00430263" w:rsidP="0043026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20</w:t>
            </w:r>
          </w:p>
        </w:tc>
      </w:tr>
      <w:tr w:rsidR="009554BA" w:rsidRPr="00CE058E" w14:paraId="6FAEAACA" w14:textId="77777777" w:rsidTr="00CB65C0">
        <w:trPr>
          <w:trHeight w:val="217"/>
          <w:jc w:val="center"/>
        </w:trPr>
        <w:tc>
          <w:tcPr>
            <w:cnfStyle w:val="001000000000" w:firstRow="0" w:lastRow="0" w:firstColumn="1" w:lastColumn="0" w:oddVBand="0" w:evenVBand="0" w:oddHBand="0" w:evenHBand="0" w:firstRowFirstColumn="0" w:firstRowLastColumn="0" w:lastRowFirstColumn="0" w:lastRowLastColumn="0"/>
            <w:tcW w:w="904" w:type="dxa"/>
            <w:noWrap/>
            <w:vAlign w:val="center"/>
          </w:tcPr>
          <w:p w14:paraId="1B30E507" w14:textId="77777777" w:rsidR="00430263" w:rsidRPr="00CE058E" w:rsidRDefault="00430263" w:rsidP="00430263">
            <w:pPr>
              <w:spacing w:line="240" w:lineRule="auto"/>
              <w:rPr>
                <w:rFonts w:cs="Arial"/>
                <w:color w:val="15272F"/>
                <w:sz w:val="18"/>
                <w:szCs w:val="18"/>
              </w:rPr>
            </w:pPr>
            <w:r w:rsidRPr="00CE058E">
              <w:rPr>
                <w:rFonts w:cs="Arial"/>
                <w:color w:val="15272F"/>
                <w:sz w:val="18"/>
                <w:szCs w:val="18"/>
              </w:rPr>
              <w:t>E9902Z</w:t>
            </w:r>
          </w:p>
        </w:tc>
        <w:tc>
          <w:tcPr>
            <w:tcW w:w="2966" w:type="dxa"/>
            <w:noWrap/>
          </w:tcPr>
          <w:p w14:paraId="3DCEFBF5" w14:textId="77777777" w:rsidR="00430263" w:rsidRPr="00CE058E" w:rsidRDefault="00430263" w:rsidP="00430263">
            <w:pPr>
              <w:spacing w:line="240" w:lineRule="auto"/>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Missing principal ED diagnosis short list code</w:t>
            </w:r>
          </w:p>
        </w:tc>
        <w:tc>
          <w:tcPr>
            <w:tcW w:w="1129" w:type="dxa"/>
            <w:noWrap/>
            <w:vAlign w:val="center"/>
          </w:tcPr>
          <w:p w14:paraId="48A4CB9B" w14:textId="466C808E" w:rsidR="00430263" w:rsidRPr="00CE058E" w:rsidRDefault="00430263" w:rsidP="00430263">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 xml:space="preserve">76,243 </w:t>
            </w:r>
          </w:p>
        </w:tc>
        <w:tc>
          <w:tcPr>
            <w:tcW w:w="1097" w:type="dxa"/>
            <w:noWrap/>
            <w:vAlign w:val="center"/>
          </w:tcPr>
          <w:p w14:paraId="7523DED5" w14:textId="4B8C9450" w:rsidR="00430263" w:rsidRPr="00CE058E" w:rsidRDefault="00430263" w:rsidP="00430263">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 xml:space="preserve">7,651 </w:t>
            </w:r>
          </w:p>
        </w:tc>
        <w:tc>
          <w:tcPr>
            <w:tcW w:w="1418" w:type="dxa"/>
            <w:noWrap/>
            <w:vAlign w:val="center"/>
          </w:tcPr>
          <w:p w14:paraId="7C28964C" w14:textId="6B229AE6" w:rsidR="00430263" w:rsidRPr="00CE058E" w:rsidRDefault="00430263" w:rsidP="00430263">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 xml:space="preserve">68,592 </w:t>
            </w:r>
          </w:p>
        </w:tc>
        <w:tc>
          <w:tcPr>
            <w:tcW w:w="1275" w:type="dxa"/>
            <w:noWrap/>
            <w:vAlign w:val="center"/>
          </w:tcPr>
          <w:p w14:paraId="3C1AEACE" w14:textId="77777777" w:rsidR="00430263" w:rsidRPr="00CE058E" w:rsidRDefault="00430263" w:rsidP="00430263">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897</w:t>
            </w:r>
          </w:p>
        </w:tc>
      </w:tr>
      <w:tr w:rsidR="00CB65C0" w:rsidRPr="00CE058E" w14:paraId="623232C9" w14:textId="77777777" w:rsidTr="00CB65C0">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904" w:type="dxa"/>
            <w:noWrap/>
            <w:vAlign w:val="center"/>
          </w:tcPr>
          <w:p w14:paraId="1ADAEBF0" w14:textId="77777777" w:rsidR="00430263" w:rsidRPr="00CE058E" w:rsidRDefault="00430263" w:rsidP="00430263">
            <w:pPr>
              <w:spacing w:line="240" w:lineRule="auto"/>
              <w:rPr>
                <w:rFonts w:eastAsia="Times New Roman" w:cs="Arial"/>
                <w:color w:val="15272F"/>
                <w:sz w:val="18"/>
                <w:szCs w:val="18"/>
                <w:lang w:eastAsia="en-AU"/>
              </w:rPr>
            </w:pPr>
            <w:r w:rsidRPr="00CE058E">
              <w:rPr>
                <w:rFonts w:cs="Arial"/>
                <w:color w:val="15272F"/>
                <w:sz w:val="18"/>
                <w:szCs w:val="18"/>
              </w:rPr>
              <w:t>E1820A</w:t>
            </w:r>
          </w:p>
        </w:tc>
        <w:tc>
          <w:tcPr>
            <w:tcW w:w="2966" w:type="dxa"/>
            <w:noWrap/>
          </w:tcPr>
          <w:p w14:paraId="5B9A2709" w14:textId="77777777" w:rsidR="00430263" w:rsidRPr="00CE058E" w:rsidRDefault="00430263" w:rsidP="00430263">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Viral illnesses Complexity level A</w:t>
            </w:r>
          </w:p>
        </w:tc>
        <w:tc>
          <w:tcPr>
            <w:tcW w:w="1129" w:type="dxa"/>
            <w:noWrap/>
            <w:vAlign w:val="center"/>
          </w:tcPr>
          <w:p w14:paraId="43D85DBC" w14:textId="299D6197" w:rsidR="00430263" w:rsidRPr="00CE058E" w:rsidRDefault="00430263" w:rsidP="0043026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 xml:space="preserve">68,371 </w:t>
            </w:r>
          </w:p>
        </w:tc>
        <w:tc>
          <w:tcPr>
            <w:tcW w:w="1097" w:type="dxa"/>
            <w:noWrap/>
            <w:vAlign w:val="center"/>
          </w:tcPr>
          <w:p w14:paraId="5E90CA7D" w14:textId="15B5B766" w:rsidR="00430263" w:rsidRPr="00CE058E" w:rsidRDefault="00430263" w:rsidP="0043026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 xml:space="preserve">10,998 </w:t>
            </w:r>
          </w:p>
        </w:tc>
        <w:tc>
          <w:tcPr>
            <w:tcW w:w="1418" w:type="dxa"/>
            <w:noWrap/>
            <w:vAlign w:val="center"/>
          </w:tcPr>
          <w:p w14:paraId="73B50B67" w14:textId="774979DA" w:rsidR="00430263" w:rsidRPr="00CE058E" w:rsidRDefault="00430263" w:rsidP="0043026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color w:val="15272F"/>
                <w:sz w:val="18"/>
                <w:szCs w:val="18"/>
              </w:rPr>
              <w:t xml:space="preserve">57,373 </w:t>
            </w:r>
          </w:p>
        </w:tc>
        <w:tc>
          <w:tcPr>
            <w:tcW w:w="1275" w:type="dxa"/>
            <w:noWrap/>
            <w:vAlign w:val="center"/>
          </w:tcPr>
          <w:p w14:paraId="03836123" w14:textId="77777777" w:rsidR="00430263" w:rsidRPr="00CE058E" w:rsidRDefault="00430263" w:rsidP="0043026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522</w:t>
            </w:r>
          </w:p>
        </w:tc>
      </w:tr>
    </w:tbl>
    <w:p w14:paraId="7697FC02" w14:textId="3E19CD3E" w:rsidR="00BF2F93" w:rsidRPr="00CE058E" w:rsidRDefault="00BF2F93" w:rsidP="00576AC3">
      <w:pPr>
        <w:pStyle w:val="Heading2"/>
      </w:pPr>
      <w:bookmarkStart w:id="287" w:name="_Toc151129710"/>
      <w:bookmarkStart w:id="288" w:name="_Toc158882561"/>
      <w:bookmarkStart w:id="289" w:name="_Toc158882622"/>
      <w:r w:rsidRPr="00CE058E">
        <w:t>Emergency department cost</w:t>
      </w:r>
      <w:bookmarkEnd w:id="285"/>
      <w:bookmarkEnd w:id="286"/>
      <w:bookmarkEnd w:id="287"/>
      <w:bookmarkEnd w:id="288"/>
      <w:bookmarkEnd w:id="289"/>
    </w:p>
    <w:p w14:paraId="48F7C9FC" w14:textId="73AF5040" w:rsidR="00C41AF1" w:rsidRPr="00CE058E" w:rsidRDefault="0037633A" w:rsidP="00A47745">
      <w:pPr>
        <w:spacing w:line="276" w:lineRule="auto"/>
        <w:rPr>
          <w:rFonts w:cs="Arial"/>
          <w:color w:val="auto"/>
        </w:rPr>
      </w:pPr>
      <w:r w:rsidRPr="00CE058E">
        <w:rPr>
          <w:rFonts w:cs="Arial"/>
          <w:color w:val="auto"/>
        </w:rPr>
        <w:t xml:space="preserve">In 2021-22, the emergency department </w:t>
      </w:r>
      <w:r w:rsidR="00AF2519">
        <w:rPr>
          <w:rFonts w:cs="Arial"/>
          <w:color w:val="auto"/>
        </w:rPr>
        <w:t xml:space="preserve">expenditure reported in the NHCDC was </w:t>
      </w:r>
      <w:r w:rsidRPr="00CE058E">
        <w:rPr>
          <w:rFonts w:cs="Arial"/>
          <w:color w:val="auto"/>
        </w:rPr>
        <w:t>approximately $7.4 billion</w:t>
      </w:r>
      <w:r w:rsidR="00AF2519">
        <w:rPr>
          <w:rFonts w:cs="Arial"/>
          <w:color w:val="auto"/>
        </w:rPr>
        <w:t xml:space="preserve"> nationally</w:t>
      </w:r>
      <w:r w:rsidRPr="00CE058E">
        <w:rPr>
          <w:rFonts w:cs="Arial"/>
          <w:color w:val="auto"/>
        </w:rPr>
        <w:t>.</w:t>
      </w:r>
      <w:r w:rsidR="00AF2519">
        <w:rPr>
          <w:rFonts w:cs="Arial"/>
          <w:color w:val="auto"/>
        </w:rPr>
        <w:t xml:space="preserve"> </w:t>
      </w:r>
      <w:r w:rsidRPr="00CE058E">
        <w:rPr>
          <w:rFonts w:cs="Arial"/>
          <w:color w:val="auto"/>
        </w:rPr>
        <w:t>Figure 16 shows the cost of emergency department presentations by jurisdiction from 2019-20 to 2021-22. From 2020-21 to 2021-22, the cost of emergency department presentations increased $758.9 million nationally, an 11</w:t>
      </w:r>
      <w:r w:rsidR="00897090">
        <w:rPr>
          <w:rFonts w:cs="Arial"/>
          <w:color w:val="auto"/>
        </w:rPr>
        <w:t>%</w:t>
      </w:r>
      <w:r w:rsidRPr="00CE058E">
        <w:rPr>
          <w:rFonts w:cs="Arial"/>
          <w:color w:val="auto"/>
        </w:rPr>
        <w:t xml:space="preserve"> increase to the 2020-21 figure of $6.6 billion. The national increase in the cost of emergency department presentations was driven by Victoria, increasing $230.3 million (or 16</w:t>
      </w:r>
      <w:r w:rsidR="00897090">
        <w:rPr>
          <w:rFonts w:cs="Arial"/>
          <w:color w:val="auto"/>
        </w:rPr>
        <w:t>%</w:t>
      </w:r>
      <w:r w:rsidRPr="00CE058E">
        <w:rPr>
          <w:rFonts w:cs="Arial"/>
          <w:color w:val="auto"/>
        </w:rPr>
        <w:t xml:space="preserve">) from 2020-21 to 2021-22. In 2021-22, </w:t>
      </w:r>
      <w:r w:rsidR="00C41AF1" w:rsidRPr="00CE058E">
        <w:rPr>
          <w:rFonts w:cs="Arial"/>
          <w:color w:val="auto"/>
        </w:rPr>
        <w:t>the cost at the jurisdictional level range</w:t>
      </w:r>
      <w:r w:rsidRPr="00CE058E">
        <w:rPr>
          <w:rFonts w:cs="Arial"/>
          <w:color w:val="auto"/>
        </w:rPr>
        <w:t>d</w:t>
      </w:r>
      <w:r w:rsidR="00C41AF1" w:rsidRPr="00CE058E">
        <w:rPr>
          <w:rFonts w:cs="Arial"/>
          <w:color w:val="auto"/>
        </w:rPr>
        <w:t xml:space="preserve"> from </w:t>
      </w:r>
      <w:r w:rsidR="38225AF2" w:rsidRPr="00CE058E">
        <w:rPr>
          <w:rFonts w:cs="Arial"/>
          <w:color w:val="auto"/>
        </w:rPr>
        <w:t>$144.1 million</w:t>
      </w:r>
      <w:r w:rsidR="00C41AF1" w:rsidRPr="00CE058E">
        <w:rPr>
          <w:rFonts w:cs="Arial"/>
          <w:color w:val="auto"/>
        </w:rPr>
        <w:t xml:space="preserve"> (Australian Capital Territory) to </w:t>
      </w:r>
      <w:r w:rsidR="5EE28726" w:rsidRPr="00CE058E">
        <w:rPr>
          <w:rFonts w:cs="Arial"/>
          <w:color w:val="auto"/>
        </w:rPr>
        <w:t>$2.2 billion</w:t>
      </w:r>
      <w:r w:rsidR="00C41AF1" w:rsidRPr="00CE058E">
        <w:rPr>
          <w:rFonts w:cs="Arial"/>
          <w:color w:val="auto"/>
        </w:rPr>
        <w:t xml:space="preserve"> (New South Wales).</w:t>
      </w:r>
    </w:p>
    <w:p w14:paraId="03C895A8" w14:textId="058FC9FE" w:rsidR="00BF2F93" w:rsidRPr="00CE058E" w:rsidRDefault="00A82243" w:rsidP="00B42434">
      <w:pPr>
        <w:pStyle w:val="TableFigureheading"/>
      </w:pPr>
      <w:bookmarkStart w:id="290" w:name="_Toc151116352"/>
      <w:bookmarkStart w:id="291" w:name="_Toc151370065"/>
      <w:r w:rsidRPr="00CE058E">
        <w:t xml:space="preserve">Figure </w:t>
      </w:r>
      <w:r>
        <w:fldChar w:fldCharType="begin"/>
      </w:r>
      <w:r>
        <w:instrText xml:space="preserve"> SEQ Figure \* ARABIC </w:instrText>
      </w:r>
      <w:r>
        <w:fldChar w:fldCharType="separate"/>
      </w:r>
      <w:r w:rsidR="00DD29C5">
        <w:rPr>
          <w:noProof/>
        </w:rPr>
        <w:t>16</w:t>
      </w:r>
      <w:r>
        <w:rPr>
          <w:noProof/>
        </w:rPr>
        <w:fldChar w:fldCharType="end"/>
      </w:r>
      <w:r w:rsidR="00BF2F93" w:rsidRPr="00CE058E">
        <w:t>: Emergency department cost, 2019-20 to 2021-22</w:t>
      </w:r>
      <w:bookmarkEnd w:id="290"/>
      <w:bookmarkEnd w:id="291"/>
    </w:p>
    <w:p w14:paraId="2B6A12BA" w14:textId="119B11C3" w:rsidR="00BB26D7" w:rsidRPr="00CE058E" w:rsidRDefault="00BB26D7" w:rsidP="006778AE">
      <w:pPr>
        <w:jc w:val="center"/>
        <w:rPr>
          <w:rFonts w:cs="Arial"/>
        </w:rPr>
      </w:pPr>
      <w:r w:rsidRPr="00CE058E">
        <w:rPr>
          <w:rFonts w:cs="Arial"/>
          <w:noProof/>
        </w:rPr>
        <w:drawing>
          <wp:inline distT="0" distB="0" distL="0" distR="0" wp14:anchorId="0505180C" wp14:editId="3519A7AB">
            <wp:extent cx="6228000" cy="3816000"/>
            <wp:effectExtent l="0" t="0" r="0" b="0"/>
            <wp:docPr id="20" name="Chart 20">
              <a:extLst xmlns:a="http://schemas.openxmlformats.org/drawingml/2006/main">
                <a:ext uri="{FF2B5EF4-FFF2-40B4-BE49-F238E27FC236}">
                  <a16:creationId xmlns:a16="http://schemas.microsoft.com/office/drawing/2014/main" id="{C8215127-11E9-1A46-2943-DD343E7B86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121F4FF" w14:textId="1D352655" w:rsidR="00BF2F93" w:rsidRPr="00CE058E" w:rsidRDefault="00BF2F93" w:rsidP="007861EC">
      <w:pPr>
        <w:pStyle w:val="Heading3"/>
      </w:pPr>
      <w:bookmarkStart w:id="292" w:name="_Toc151129711"/>
      <w:bookmarkStart w:id="293" w:name="_Toc158882562"/>
      <w:bookmarkStart w:id="294" w:name="_Toc158882623"/>
      <w:r w:rsidRPr="00CE058E">
        <w:lastRenderedPageBreak/>
        <w:t>Emergency department cost change</w:t>
      </w:r>
      <w:bookmarkEnd w:id="292"/>
      <w:bookmarkEnd w:id="293"/>
      <w:bookmarkEnd w:id="294"/>
    </w:p>
    <w:p w14:paraId="170E3AEC" w14:textId="27A6A4AF" w:rsidR="0091172C" w:rsidRPr="00CE058E" w:rsidRDefault="0091172C" w:rsidP="00A47745">
      <w:pPr>
        <w:rPr>
          <w:rFonts w:cs="Arial"/>
          <w:color w:val="auto"/>
        </w:rPr>
      </w:pPr>
      <w:r w:rsidRPr="00CE058E">
        <w:rPr>
          <w:rFonts w:cs="Arial"/>
          <w:color w:val="auto"/>
        </w:rPr>
        <w:t xml:space="preserve">Table 13 shows the emergency department end-classes that had an impact on the change in the cost of presentations reported nationally in 2021-22 compared to 2020-21. In 2021-22, the national cost of emergency department </w:t>
      </w:r>
      <w:r w:rsidR="00DE0082" w:rsidRPr="00CE058E">
        <w:rPr>
          <w:rFonts w:cs="Arial"/>
          <w:color w:val="auto"/>
        </w:rPr>
        <w:t xml:space="preserve">presentations </w:t>
      </w:r>
      <w:r w:rsidRPr="00CE058E">
        <w:rPr>
          <w:rFonts w:cs="Arial"/>
          <w:color w:val="auto"/>
        </w:rPr>
        <w:t xml:space="preserve">was </w:t>
      </w:r>
      <w:r w:rsidR="00DE0082" w:rsidRPr="00CE058E">
        <w:rPr>
          <w:rFonts w:cs="Arial"/>
          <w:color w:val="auto"/>
        </w:rPr>
        <w:t>$7.4 billion</w:t>
      </w:r>
      <w:r w:rsidRPr="00CE058E">
        <w:rPr>
          <w:rFonts w:cs="Arial"/>
          <w:color w:val="auto"/>
        </w:rPr>
        <w:t xml:space="preserve">, </w:t>
      </w:r>
      <w:r w:rsidR="00301F51" w:rsidRPr="00CE058E">
        <w:rPr>
          <w:rFonts w:cs="Arial"/>
          <w:color w:val="auto"/>
        </w:rPr>
        <w:t>an</w:t>
      </w:r>
      <w:r w:rsidRPr="00CE058E">
        <w:rPr>
          <w:rFonts w:cs="Arial"/>
          <w:color w:val="auto"/>
        </w:rPr>
        <w:t xml:space="preserve"> increase of</w:t>
      </w:r>
      <w:r w:rsidR="00DE0082" w:rsidRPr="00CE058E">
        <w:rPr>
          <w:rFonts w:cs="Arial"/>
          <w:color w:val="auto"/>
        </w:rPr>
        <w:t xml:space="preserve"> $758.9 million (or 11</w:t>
      </w:r>
      <w:r w:rsidR="00897090">
        <w:rPr>
          <w:rFonts w:cs="Arial"/>
          <w:color w:val="auto"/>
        </w:rPr>
        <w:t>%</w:t>
      </w:r>
      <w:r w:rsidR="00DE0082" w:rsidRPr="00CE058E">
        <w:rPr>
          <w:rFonts w:cs="Arial"/>
          <w:color w:val="auto"/>
        </w:rPr>
        <w:t>)</w:t>
      </w:r>
      <w:r w:rsidRPr="00CE058E">
        <w:rPr>
          <w:rFonts w:cs="Arial"/>
          <w:color w:val="auto"/>
        </w:rPr>
        <w:t xml:space="preserve"> compared to 2020-21. The national </w:t>
      </w:r>
      <w:r w:rsidR="00DE0082" w:rsidRPr="00CE058E">
        <w:rPr>
          <w:rFonts w:cs="Arial"/>
          <w:color w:val="auto"/>
        </w:rPr>
        <w:t xml:space="preserve">emergency department </w:t>
      </w:r>
      <w:r w:rsidRPr="00CE058E">
        <w:rPr>
          <w:rFonts w:cs="Arial"/>
          <w:color w:val="auto"/>
        </w:rPr>
        <w:t xml:space="preserve">cost increase was driven by </w:t>
      </w:r>
      <w:r w:rsidR="00DE0082" w:rsidRPr="00CE058E">
        <w:rPr>
          <w:rFonts w:cs="Arial"/>
          <w:bCs/>
          <w:color w:val="auto"/>
        </w:rPr>
        <w:t xml:space="preserve">E1820A, E0540B, and E1820B </w:t>
      </w:r>
      <w:r w:rsidRPr="00CE058E">
        <w:rPr>
          <w:rFonts w:cs="Arial"/>
          <w:color w:val="auto"/>
        </w:rPr>
        <w:t xml:space="preserve">(as defined in table 13). These end-classes increased nationally </w:t>
      </w:r>
      <w:r w:rsidR="00DE0082" w:rsidRPr="00CE058E">
        <w:rPr>
          <w:rFonts w:cs="Arial"/>
          <w:bCs/>
          <w:color w:val="auto"/>
        </w:rPr>
        <w:t>$189.5 million</w:t>
      </w:r>
      <w:r w:rsidR="00DE0082" w:rsidRPr="00CE058E">
        <w:rPr>
          <w:rFonts w:cs="Arial"/>
          <w:color w:val="auto"/>
        </w:rPr>
        <w:t xml:space="preserve"> </w:t>
      </w:r>
      <w:r w:rsidRPr="00CE058E">
        <w:rPr>
          <w:rFonts w:cs="Arial"/>
          <w:color w:val="auto"/>
        </w:rPr>
        <w:t xml:space="preserve">in 2021-22 compared to 2020-21. The end-classes that had the highest decrease were </w:t>
      </w:r>
      <w:r w:rsidR="00DE0082" w:rsidRPr="00CE058E">
        <w:rPr>
          <w:rFonts w:cs="Arial"/>
          <w:color w:val="auto"/>
        </w:rPr>
        <w:t xml:space="preserve">E6090A, E6090B, and E1820C </w:t>
      </w:r>
      <w:r w:rsidRPr="00CE058E">
        <w:rPr>
          <w:rFonts w:cs="Arial"/>
          <w:color w:val="auto"/>
        </w:rPr>
        <w:t xml:space="preserve">(as defined in table 13), </w:t>
      </w:r>
      <w:r w:rsidR="00301F51" w:rsidRPr="00CE058E">
        <w:rPr>
          <w:rFonts w:cs="Arial"/>
          <w:color w:val="auto"/>
        </w:rPr>
        <w:t>a</w:t>
      </w:r>
      <w:r w:rsidRPr="00CE058E">
        <w:rPr>
          <w:rFonts w:cs="Arial"/>
          <w:color w:val="auto"/>
        </w:rPr>
        <w:t xml:space="preserve"> decrease</w:t>
      </w:r>
      <w:r w:rsidR="00301F51" w:rsidRPr="00CE058E">
        <w:rPr>
          <w:rFonts w:cs="Arial"/>
          <w:color w:val="auto"/>
        </w:rPr>
        <w:t xml:space="preserve"> of</w:t>
      </w:r>
      <w:r w:rsidRPr="00CE058E">
        <w:rPr>
          <w:rFonts w:cs="Arial"/>
          <w:color w:val="auto"/>
        </w:rPr>
        <w:t xml:space="preserve"> </w:t>
      </w:r>
      <w:r w:rsidR="00DE0082" w:rsidRPr="00CE058E">
        <w:rPr>
          <w:rFonts w:cs="Arial"/>
          <w:bCs/>
          <w:color w:val="auto"/>
        </w:rPr>
        <w:t>$40.1 million</w:t>
      </w:r>
      <w:r w:rsidR="00DE0082" w:rsidRPr="00CE058E">
        <w:rPr>
          <w:rFonts w:cs="Arial"/>
          <w:color w:val="auto"/>
        </w:rPr>
        <w:t xml:space="preserve"> </w:t>
      </w:r>
      <w:r w:rsidRPr="00CE058E">
        <w:rPr>
          <w:rFonts w:cs="Arial"/>
          <w:color w:val="auto"/>
        </w:rPr>
        <w:t>from 2020-21.</w:t>
      </w:r>
      <w:r w:rsidR="009554BA">
        <w:rPr>
          <w:rFonts w:cs="Arial"/>
          <w:color w:val="auto"/>
        </w:rPr>
        <w:t xml:space="preserve"> </w:t>
      </w:r>
      <w:r w:rsidR="009554BA" w:rsidRPr="00CB65C0">
        <w:rPr>
          <w:rFonts w:cs="Arial"/>
          <w:bCs/>
          <w:color w:val="auto"/>
        </w:rPr>
        <w:t>E1820A</w:t>
      </w:r>
      <w:r w:rsidR="00C170C2" w:rsidRPr="009554BA">
        <w:rPr>
          <w:rFonts w:cs="Arial"/>
          <w:color w:val="auto"/>
        </w:rPr>
        <w:t xml:space="preserve"> </w:t>
      </w:r>
      <w:r w:rsidR="009554BA" w:rsidRPr="009554BA">
        <w:rPr>
          <w:rFonts w:cs="Arial"/>
          <w:color w:val="auto"/>
        </w:rPr>
        <w:t xml:space="preserve">included patients with </w:t>
      </w:r>
      <w:r w:rsidR="008949ED" w:rsidRPr="00CB65C0">
        <w:rPr>
          <w:rFonts w:cs="Arial"/>
          <w:color w:val="auto"/>
        </w:rPr>
        <w:t>coronavirus diseases (COVID-19) activity</w:t>
      </w:r>
      <w:r w:rsidR="009554BA" w:rsidRPr="00CB65C0">
        <w:rPr>
          <w:rFonts w:cs="Arial"/>
          <w:color w:val="auto"/>
        </w:rPr>
        <w:t>.</w:t>
      </w:r>
    </w:p>
    <w:p w14:paraId="53532A5F" w14:textId="09875601" w:rsidR="001A233E" w:rsidRPr="00CE058E" w:rsidRDefault="002F162B" w:rsidP="00B42434">
      <w:pPr>
        <w:pStyle w:val="TableFigureheading"/>
      </w:pPr>
      <w:bookmarkStart w:id="295" w:name="_Toc149650914"/>
      <w:bookmarkStart w:id="296" w:name="_Toc151370039"/>
      <w:r w:rsidRPr="00CE058E">
        <w:t xml:space="preserve">Table </w:t>
      </w:r>
      <w:r>
        <w:fldChar w:fldCharType="begin"/>
      </w:r>
      <w:r>
        <w:instrText xml:space="preserve"> SEQ Table \* ARABIC </w:instrText>
      </w:r>
      <w:r>
        <w:fldChar w:fldCharType="separate"/>
      </w:r>
      <w:r w:rsidR="00B42434">
        <w:rPr>
          <w:noProof/>
        </w:rPr>
        <w:t>13</w:t>
      </w:r>
      <w:r>
        <w:rPr>
          <w:noProof/>
        </w:rPr>
        <w:fldChar w:fldCharType="end"/>
      </w:r>
      <w:r w:rsidR="00481EA0" w:rsidRPr="00CE058E">
        <w:t>: Emergency department presentation cost change, 2020-21 to 2021-22</w:t>
      </w:r>
      <w:bookmarkEnd w:id="295"/>
      <w:bookmarkEnd w:id="296"/>
    </w:p>
    <w:tbl>
      <w:tblPr>
        <w:tblStyle w:val="GridTable4-Accent2"/>
        <w:tblW w:w="9361" w:type="dxa"/>
        <w:jc w:val="center"/>
        <w:tblLayout w:type="fixed"/>
        <w:tblLook w:val="04A0" w:firstRow="1" w:lastRow="0" w:firstColumn="1" w:lastColumn="0" w:noHBand="0" w:noVBand="1"/>
      </w:tblPr>
      <w:tblGrid>
        <w:gridCol w:w="988"/>
        <w:gridCol w:w="2976"/>
        <w:gridCol w:w="1276"/>
        <w:gridCol w:w="1559"/>
        <w:gridCol w:w="1287"/>
        <w:gridCol w:w="1275"/>
      </w:tblGrid>
      <w:tr w:rsidR="00930984" w:rsidRPr="00CE058E" w14:paraId="4F88C06C" w14:textId="77777777" w:rsidTr="00A47745">
        <w:trPr>
          <w:cnfStyle w:val="100000000000" w:firstRow="1" w:lastRow="0" w:firstColumn="0" w:lastColumn="0" w:oddVBand="0" w:evenVBand="0" w:oddHBand="0"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0EEDBAAF" w14:textId="2160BD14" w:rsidR="00037328" w:rsidRPr="00CE058E" w:rsidRDefault="00C41AF1" w:rsidP="00C661AB">
            <w:pPr>
              <w:spacing w:line="240" w:lineRule="auto"/>
              <w:jc w:val="center"/>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AECC</w:t>
            </w:r>
          </w:p>
        </w:tc>
        <w:tc>
          <w:tcPr>
            <w:tcW w:w="2976"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511F7456" w14:textId="77777777" w:rsidR="00037328" w:rsidRPr="00CE058E" w:rsidRDefault="00037328"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Description</w:t>
            </w:r>
          </w:p>
        </w:tc>
        <w:tc>
          <w:tcPr>
            <w:tcW w:w="0"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3EBED9E3" w14:textId="3F0883BF" w:rsidR="00037328" w:rsidRPr="00CE058E" w:rsidRDefault="00037328"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Cost</w:t>
            </w:r>
            <w:r w:rsidR="00C661AB" w:rsidRPr="00CE058E">
              <w:rPr>
                <w:rFonts w:eastAsia="Times New Roman" w:cs="Arial"/>
                <w:color w:val="FFFFFF" w:themeColor="background2"/>
                <w:sz w:val="18"/>
                <w:szCs w:val="18"/>
                <w:lang w:eastAsia="en-AU"/>
              </w:rPr>
              <w:t xml:space="preserve"> ($)</w:t>
            </w:r>
          </w:p>
        </w:tc>
        <w:tc>
          <w:tcPr>
            <w:tcW w:w="1287"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3AB9C0B7" w14:textId="77777777" w:rsidR="00037328" w:rsidRPr="00CE058E" w:rsidRDefault="00037328"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p>
        </w:tc>
        <w:tc>
          <w:tcPr>
            <w:tcW w:w="0"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032311DD" w14:textId="77777777" w:rsidR="00037328" w:rsidRPr="00CE058E" w:rsidRDefault="00037328"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p>
        </w:tc>
      </w:tr>
      <w:tr w:rsidR="00930984" w:rsidRPr="00CE058E" w14:paraId="63017A2D" w14:textId="77777777" w:rsidTr="00A47745">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988"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4C4AC16E" w14:textId="77777777" w:rsidR="00037328" w:rsidRPr="00CE058E" w:rsidRDefault="00037328" w:rsidP="00C661AB">
            <w:pPr>
              <w:spacing w:line="240" w:lineRule="auto"/>
              <w:jc w:val="center"/>
              <w:rPr>
                <w:rFonts w:eastAsia="Times New Roman" w:cs="Arial"/>
                <w:b w:val="0"/>
                <w:bCs w:val="0"/>
                <w:color w:val="000000"/>
                <w:sz w:val="18"/>
                <w:szCs w:val="18"/>
                <w:lang w:eastAsia="en-AU"/>
              </w:rPr>
            </w:pPr>
          </w:p>
        </w:tc>
        <w:tc>
          <w:tcPr>
            <w:tcW w:w="2976"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6AEB7CC3" w14:textId="77777777" w:rsidR="00037328" w:rsidRPr="00CE058E" w:rsidRDefault="00037328"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c>
          <w:tcPr>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671E42F1" w14:textId="77777777" w:rsidR="00037328" w:rsidRPr="00CE058E" w:rsidRDefault="00037328"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2021-22</w:t>
            </w:r>
          </w:p>
        </w:tc>
        <w:tc>
          <w:tcPr>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0EFB0C5E" w14:textId="77777777" w:rsidR="00037328" w:rsidRPr="00CE058E" w:rsidRDefault="00037328"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2020-21</w:t>
            </w:r>
          </w:p>
        </w:tc>
        <w:tc>
          <w:tcPr>
            <w:tcW w:w="1287"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50162C71" w14:textId="77777777" w:rsidR="00037328" w:rsidRPr="00CE058E" w:rsidRDefault="00037328"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c>
          <w:tcPr>
            <w:tcW w:w="0"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7DB3D106" w14:textId="77777777" w:rsidR="00037328" w:rsidRPr="00CE058E" w:rsidRDefault="00037328"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r>
      <w:tr w:rsidR="00037328" w:rsidRPr="00CE058E" w14:paraId="736E9C76" w14:textId="77777777" w:rsidTr="00A47745">
        <w:trPr>
          <w:trHeight w:val="40"/>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14:paraId="37556CD1" w14:textId="77777777" w:rsidR="00037328" w:rsidRPr="00CE058E" w:rsidRDefault="00037328" w:rsidP="00C661AB">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E1820A</w:t>
            </w:r>
          </w:p>
        </w:tc>
        <w:tc>
          <w:tcPr>
            <w:tcW w:w="2976" w:type="dxa"/>
            <w:noWrap/>
            <w:vAlign w:val="center"/>
            <w:hideMark/>
          </w:tcPr>
          <w:p w14:paraId="633C6BBC" w14:textId="77777777" w:rsidR="00037328" w:rsidRPr="00CE058E" w:rsidRDefault="00037328" w:rsidP="00C661A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Viral illnesses Complexity level A</w:t>
            </w:r>
          </w:p>
        </w:tc>
        <w:tc>
          <w:tcPr>
            <w:tcW w:w="1276" w:type="dxa"/>
            <w:noWrap/>
            <w:vAlign w:val="center"/>
            <w:hideMark/>
          </w:tcPr>
          <w:p w14:paraId="1FFDF506"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90,639,863</w:t>
            </w:r>
          </w:p>
        </w:tc>
        <w:tc>
          <w:tcPr>
            <w:tcW w:w="1559" w:type="dxa"/>
            <w:noWrap/>
            <w:vAlign w:val="center"/>
            <w:hideMark/>
          </w:tcPr>
          <w:p w14:paraId="6CADA5F8"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11,426,212</w:t>
            </w:r>
          </w:p>
        </w:tc>
        <w:tc>
          <w:tcPr>
            <w:tcW w:w="1287" w:type="dxa"/>
            <w:noWrap/>
            <w:vAlign w:val="center"/>
            <w:hideMark/>
          </w:tcPr>
          <w:p w14:paraId="5CC4FD2C"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79,213,651</w:t>
            </w:r>
          </w:p>
        </w:tc>
        <w:tc>
          <w:tcPr>
            <w:tcW w:w="1275" w:type="dxa"/>
            <w:noWrap/>
            <w:vAlign w:val="center"/>
            <w:hideMark/>
          </w:tcPr>
          <w:p w14:paraId="0C317859" w14:textId="17425D2B"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693</w:t>
            </w:r>
          </w:p>
        </w:tc>
      </w:tr>
      <w:tr w:rsidR="00037328" w:rsidRPr="00CE058E" w14:paraId="0BF69418" w14:textId="77777777" w:rsidTr="00A47745">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14:paraId="7575499C" w14:textId="77777777" w:rsidR="00037328" w:rsidRPr="00CE058E" w:rsidRDefault="00037328" w:rsidP="00C661AB">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E0540B</w:t>
            </w:r>
          </w:p>
        </w:tc>
        <w:tc>
          <w:tcPr>
            <w:tcW w:w="2976" w:type="dxa"/>
            <w:noWrap/>
            <w:vAlign w:val="center"/>
            <w:hideMark/>
          </w:tcPr>
          <w:p w14:paraId="2F95D17F" w14:textId="77777777" w:rsidR="00037328" w:rsidRPr="00CE058E" w:rsidRDefault="00037328" w:rsidP="00C661A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Chest pain Complexity level B</w:t>
            </w:r>
          </w:p>
        </w:tc>
        <w:tc>
          <w:tcPr>
            <w:tcW w:w="1276" w:type="dxa"/>
            <w:noWrap/>
            <w:vAlign w:val="center"/>
            <w:hideMark/>
          </w:tcPr>
          <w:p w14:paraId="2192B74D"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264,758,191</w:t>
            </w:r>
          </w:p>
        </w:tc>
        <w:tc>
          <w:tcPr>
            <w:tcW w:w="1559" w:type="dxa"/>
            <w:noWrap/>
            <w:vAlign w:val="center"/>
            <w:hideMark/>
          </w:tcPr>
          <w:p w14:paraId="148EC75D"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207,878,952</w:t>
            </w:r>
          </w:p>
        </w:tc>
        <w:tc>
          <w:tcPr>
            <w:tcW w:w="1287" w:type="dxa"/>
            <w:noWrap/>
            <w:vAlign w:val="center"/>
            <w:hideMark/>
          </w:tcPr>
          <w:p w14:paraId="4482EBB7"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56,879,239</w:t>
            </w:r>
          </w:p>
        </w:tc>
        <w:tc>
          <w:tcPr>
            <w:tcW w:w="1275" w:type="dxa"/>
            <w:noWrap/>
            <w:vAlign w:val="center"/>
            <w:hideMark/>
          </w:tcPr>
          <w:p w14:paraId="6D999668" w14:textId="67FCF73C"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27</w:t>
            </w:r>
          </w:p>
        </w:tc>
      </w:tr>
      <w:tr w:rsidR="00037328" w:rsidRPr="00CE058E" w14:paraId="0EBA84FE" w14:textId="77777777" w:rsidTr="00A47745">
        <w:trPr>
          <w:trHeight w:val="40"/>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14:paraId="0D9C0DBA" w14:textId="77777777" w:rsidR="00037328" w:rsidRPr="00CE058E" w:rsidRDefault="00037328" w:rsidP="00C661AB">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E1820B</w:t>
            </w:r>
          </w:p>
        </w:tc>
        <w:tc>
          <w:tcPr>
            <w:tcW w:w="2976" w:type="dxa"/>
            <w:noWrap/>
            <w:vAlign w:val="center"/>
            <w:hideMark/>
          </w:tcPr>
          <w:p w14:paraId="36C7441B" w14:textId="77777777" w:rsidR="00037328" w:rsidRPr="00CE058E" w:rsidRDefault="00037328" w:rsidP="00C661A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Viral illnesses Complexity level B</w:t>
            </w:r>
          </w:p>
        </w:tc>
        <w:tc>
          <w:tcPr>
            <w:tcW w:w="1276" w:type="dxa"/>
            <w:noWrap/>
            <w:vAlign w:val="center"/>
            <w:hideMark/>
          </w:tcPr>
          <w:p w14:paraId="158C87BE"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80,983,706</w:t>
            </w:r>
          </w:p>
        </w:tc>
        <w:tc>
          <w:tcPr>
            <w:tcW w:w="1559" w:type="dxa"/>
            <w:noWrap/>
            <w:vAlign w:val="center"/>
            <w:hideMark/>
          </w:tcPr>
          <w:p w14:paraId="4B4045E3"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27,549,725</w:t>
            </w:r>
          </w:p>
        </w:tc>
        <w:tc>
          <w:tcPr>
            <w:tcW w:w="1287" w:type="dxa"/>
            <w:noWrap/>
            <w:vAlign w:val="center"/>
            <w:hideMark/>
          </w:tcPr>
          <w:p w14:paraId="7BC5E257"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53,433,981</w:t>
            </w:r>
          </w:p>
        </w:tc>
        <w:tc>
          <w:tcPr>
            <w:tcW w:w="1275" w:type="dxa"/>
            <w:noWrap/>
            <w:vAlign w:val="center"/>
            <w:hideMark/>
          </w:tcPr>
          <w:p w14:paraId="71890B61" w14:textId="6EA5B6F9"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194</w:t>
            </w:r>
          </w:p>
        </w:tc>
      </w:tr>
      <w:tr w:rsidR="00C661AB" w:rsidRPr="00CE058E" w14:paraId="2CF05B60" w14:textId="77777777" w:rsidTr="00A47745">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5E97BD76" w14:textId="55891BC7" w:rsidR="00C661AB" w:rsidRPr="00CE058E" w:rsidRDefault="00C661AB" w:rsidP="00C661AB">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E6090A</w:t>
            </w:r>
          </w:p>
        </w:tc>
        <w:tc>
          <w:tcPr>
            <w:tcW w:w="2976" w:type="dxa"/>
            <w:noWrap/>
            <w:vAlign w:val="center"/>
          </w:tcPr>
          <w:p w14:paraId="7E4C32AD" w14:textId="07FB845A" w:rsidR="00C661AB" w:rsidRPr="00CE058E" w:rsidRDefault="00C661AB" w:rsidP="00C661A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Other factors influencing health status Complexity level A</w:t>
            </w:r>
          </w:p>
        </w:tc>
        <w:tc>
          <w:tcPr>
            <w:tcW w:w="1276" w:type="dxa"/>
            <w:noWrap/>
            <w:vAlign w:val="center"/>
          </w:tcPr>
          <w:p w14:paraId="4C411CBE" w14:textId="5711291E" w:rsidR="00C661AB" w:rsidRPr="00CE058E" w:rsidRDefault="00C661AB"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12,508,830</w:t>
            </w:r>
          </w:p>
        </w:tc>
        <w:tc>
          <w:tcPr>
            <w:tcW w:w="1559" w:type="dxa"/>
            <w:noWrap/>
            <w:vAlign w:val="center"/>
          </w:tcPr>
          <w:p w14:paraId="78F895A3" w14:textId="4863351F" w:rsidR="00C661AB" w:rsidRPr="00CE058E" w:rsidRDefault="00C661AB"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20,351,858.38</w:t>
            </w:r>
          </w:p>
        </w:tc>
        <w:tc>
          <w:tcPr>
            <w:tcW w:w="1287" w:type="dxa"/>
            <w:noWrap/>
            <w:vAlign w:val="center"/>
          </w:tcPr>
          <w:p w14:paraId="73918EA4" w14:textId="20F9BC35" w:rsidR="00C661AB" w:rsidRPr="00CE058E" w:rsidRDefault="00C661AB"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-7,843,029</w:t>
            </w:r>
          </w:p>
        </w:tc>
        <w:tc>
          <w:tcPr>
            <w:tcW w:w="1275" w:type="dxa"/>
            <w:noWrap/>
            <w:vAlign w:val="center"/>
          </w:tcPr>
          <w:p w14:paraId="321A104E" w14:textId="27B5FDD8" w:rsidR="00C661AB" w:rsidRPr="00CE058E" w:rsidRDefault="00C661AB"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-39</w:t>
            </w:r>
          </w:p>
        </w:tc>
      </w:tr>
      <w:tr w:rsidR="00C661AB" w:rsidRPr="00CE058E" w14:paraId="585690C7" w14:textId="77777777" w:rsidTr="00A47745">
        <w:trPr>
          <w:trHeight w:val="40"/>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1BA2583B" w14:textId="092469BF" w:rsidR="00C661AB" w:rsidRPr="00CE058E" w:rsidRDefault="00C661AB" w:rsidP="00C661AB">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E6090B</w:t>
            </w:r>
          </w:p>
        </w:tc>
        <w:tc>
          <w:tcPr>
            <w:tcW w:w="2976" w:type="dxa"/>
            <w:noWrap/>
            <w:vAlign w:val="center"/>
          </w:tcPr>
          <w:p w14:paraId="3E1F9079" w14:textId="54F973F7" w:rsidR="00C661AB" w:rsidRPr="00CE058E" w:rsidRDefault="00C661AB" w:rsidP="00C661A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Other factors influencing health status Complexity level B</w:t>
            </w:r>
          </w:p>
        </w:tc>
        <w:tc>
          <w:tcPr>
            <w:tcW w:w="1276" w:type="dxa"/>
            <w:noWrap/>
            <w:vAlign w:val="center"/>
          </w:tcPr>
          <w:p w14:paraId="5BF63EE8" w14:textId="00E2B1B0" w:rsidR="00C661AB" w:rsidRPr="00CE058E" w:rsidRDefault="00C661AB"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76,679,911</w:t>
            </w:r>
          </w:p>
        </w:tc>
        <w:tc>
          <w:tcPr>
            <w:tcW w:w="1559" w:type="dxa"/>
            <w:noWrap/>
            <w:vAlign w:val="center"/>
          </w:tcPr>
          <w:p w14:paraId="10D83907" w14:textId="13C75015" w:rsidR="00C661AB" w:rsidRPr="00CE058E" w:rsidRDefault="00C661AB"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88,977,567.68</w:t>
            </w:r>
          </w:p>
        </w:tc>
        <w:tc>
          <w:tcPr>
            <w:tcW w:w="1287" w:type="dxa"/>
            <w:noWrap/>
            <w:vAlign w:val="center"/>
          </w:tcPr>
          <w:p w14:paraId="521086DA" w14:textId="6057F05F" w:rsidR="00C661AB" w:rsidRPr="00CE058E" w:rsidRDefault="00C661AB"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-12,297,656</w:t>
            </w:r>
          </w:p>
        </w:tc>
        <w:tc>
          <w:tcPr>
            <w:tcW w:w="1275" w:type="dxa"/>
            <w:noWrap/>
            <w:vAlign w:val="center"/>
          </w:tcPr>
          <w:p w14:paraId="5F1233B5" w14:textId="28AD6170" w:rsidR="00C661AB" w:rsidRPr="00CE058E" w:rsidRDefault="00C661AB"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-14</w:t>
            </w:r>
          </w:p>
        </w:tc>
      </w:tr>
      <w:tr w:rsidR="00037328" w:rsidRPr="00CE058E" w14:paraId="7B03BB6D" w14:textId="77777777" w:rsidTr="00A47745">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14:paraId="6D0413B6" w14:textId="77777777" w:rsidR="00037328" w:rsidRPr="00CE058E" w:rsidRDefault="00037328" w:rsidP="00C661AB">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E1820C</w:t>
            </w:r>
          </w:p>
        </w:tc>
        <w:tc>
          <w:tcPr>
            <w:tcW w:w="2976" w:type="dxa"/>
            <w:noWrap/>
            <w:vAlign w:val="center"/>
            <w:hideMark/>
          </w:tcPr>
          <w:p w14:paraId="50751F62" w14:textId="77777777" w:rsidR="00037328" w:rsidRPr="00CE058E" w:rsidRDefault="00037328" w:rsidP="00C661A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Viral illnesses Complexity level C</w:t>
            </w:r>
          </w:p>
        </w:tc>
        <w:tc>
          <w:tcPr>
            <w:tcW w:w="1276" w:type="dxa"/>
            <w:noWrap/>
            <w:vAlign w:val="center"/>
            <w:hideMark/>
          </w:tcPr>
          <w:p w14:paraId="3841CC97"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115,896,194</w:t>
            </w:r>
          </w:p>
        </w:tc>
        <w:tc>
          <w:tcPr>
            <w:tcW w:w="1559" w:type="dxa"/>
            <w:noWrap/>
            <w:vAlign w:val="center"/>
            <w:hideMark/>
          </w:tcPr>
          <w:p w14:paraId="4F529C77"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135,905,106.23</w:t>
            </w:r>
          </w:p>
        </w:tc>
        <w:tc>
          <w:tcPr>
            <w:tcW w:w="1287" w:type="dxa"/>
            <w:noWrap/>
            <w:vAlign w:val="center"/>
            <w:hideMark/>
          </w:tcPr>
          <w:p w14:paraId="2F495261"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-20,008,912</w:t>
            </w:r>
          </w:p>
        </w:tc>
        <w:tc>
          <w:tcPr>
            <w:tcW w:w="1275" w:type="dxa"/>
            <w:noWrap/>
            <w:vAlign w:val="center"/>
            <w:hideMark/>
          </w:tcPr>
          <w:p w14:paraId="2AEA2237" w14:textId="66696A29"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-15</w:t>
            </w:r>
          </w:p>
        </w:tc>
      </w:tr>
    </w:tbl>
    <w:p w14:paraId="140B5AA8" w14:textId="47C730F8" w:rsidR="00BF2F93" w:rsidRPr="00CE058E" w:rsidRDefault="00BF2F93" w:rsidP="007B41F8">
      <w:pPr>
        <w:pStyle w:val="Heading2"/>
      </w:pPr>
      <w:bookmarkStart w:id="297" w:name="_Toc151129712"/>
      <w:bookmarkStart w:id="298" w:name="_Toc158882563"/>
      <w:bookmarkStart w:id="299" w:name="_Toc158882624"/>
      <w:r w:rsidRPr="00CE058E">
        <w:t>Emergency department average cost</w:t>
      </w:r>
      <w:bookmarkEnd w:id="297"/>
      <w:bookmarkEnd w:id="298"/>
      <w:bookmarkEnd w:id="299"/>
    </w:p>
    <w:p w14:paraId="3355011A" w14:textId="44B31CBD" w:rsidR="003520D6" w:rsidRPr="00CE058E" w:rsidRDefault="003520D6" w:rsidP="00070481">
      <w:pPr>
        <w:spacing w:line="276" w:lineRule="auto"/>
        <w:rPr>
          <w:rFonts w:cs="Arial"/>
          <w:color w:val="auto"/>
        </w:rPr>
      </w:pPr>
      <w:r w:rsidRPr="00CE058E">
        <w:rPr>
          <w:rFonts w:cs="Arial"/>
          <w:color w:val="auto"/>
        </w:rPr>
        <w:t>Figure 17 shows the average cost of emergency department presentations reported in the cost data from 2019-20 to 2021-22. In 2021-22, the national average cost per emergency department presentation was $891, a 13</w:t>
      </w:r>
      <w:r w:rsidR="00897090">
        <w:rPr>
          <w:rFonts w:cs="Arial"/>
          <w:color w:val="auto"/>
        </w:rPr>
        <w:t>%</w:t>
      </w:r>
      <w:r w:rsidRPr="00CE058E">
        <w:rPr>
          <w:rFonts w:cs="Arial"/>
          <w:color w:val="auto"/>
        </w:rPr>
        <w:t xml:space="preserve"> increase from the 2020-21 figure of $790. In 2021-22, the average cost per </w:t>
      </w:r>
      <w:r w:rsidR="00FF1A99" w:rsidRPr="00CE058E">
        <w:rPr>
          <w:rFonts w:cs="Arial"/>
          <w:color w:val="auto"/>
        </w:rPr>
        <w:t xml:space="preserve">presentation </w:t>
      </w:r>
      <w:r w:rsidRPr="00CE058E">
        <w:rPr>
          <w:rFonts w:cs="Arial"/>
          <w:color w:val="auto"/>
        </w:rPr>
        <w:t>at the jurisdictional level ranged from</w:t>
      </w:r>
      <w:r w:rsidR="00FF1A99" w:rsidRPr="00CE058E">
        <w:rPr>
          <w:rFonts w:cs="Arial"/>
          <w:color w:val="auto"/>
        </w:rPr>
        <w:t xml:space="preserve"> $751 (Queensland) to $1,141 (Tasmania)</w:t>
      </w:r>
      <w:r w:rsidRPr="00CE058E">
        <w:rPr>
          <w:rFonts w:cs="Arial"/>
          <w:color w:val="auto"/>
        </w:rPr>
        <w:t>.</w:t>
      </w:r>
    </w:p>
    <w:p w14:paraId="47684E86" w14:textId="113F694F" w:rsidR="00BF2F93" w:rsidRPr="00CE058E" w:rsidRDefault="00A82243" w:rsidP="00B42434">
      <w:pPr>
        <w:pStyle w:val="TableFigureheading"/>
      </w:pPr>
      <w:bookmarkStart w:id="300" w:name="_Toc151116353"/>
      <w:bookmarkStart w:id="301" w:name="_Toc151370066"/>
      <w:r w:rsidRPr="00CE058E">
        <w:t xml:space="preserve">Figure </w:t>
      </w:r>
      <w:r>
        <w:fldChar w:fldCharType="begin"/>
      </w:r>
      <w:r>
        <w:instrText xml:space="preserve"> SEQ Figure \* ARABIC </w:instrText>
      </w:r>
      <w:r>
        <w:fldChar w:fldCharType="separate"/>
      </w:r>
      <w:r w:rsidR="00DD29C5">
        <w:rPr>
          <w:noProof/>
        </w:rPr>
        <w:t>17</w:t>
      </w:r>
      <w:r>
        <w:rPr>
          <w:noProof/>
        </w:rPr>
        <w:fldChar w:fldCharType="end"/>
      </w:r>
      <w:r w:rsidR="00BF2F93" w:rsidRPr="00CE058E">
        <w:t>: Emergency department presentation average cost, 2019-20 to 2021-22</w:t>
      </w:r>
      <w:bookmarkEnd w:id="300"/>
      <w:bookmarkEnd w:id="301"/>
    </w:p>
    <w:p w14:paraId="7D0E7F6B" w14:textId="582C5FC2" w:rsidR="00F3237C" w:rsidRPr="00E546AD" w:rsidRDefault="003439A0" w:rsidP="00A47745">
      <w:pPr>
        <w:jc w:val="center"/>
      </w:pPr>
      <w:r w:rsidRPr="00CE058E">
        <w:rPr>
          <w:rFonts w:cs="Arial"/>
          <w:noProof/>
        </w:rPr>
        <w:drawing>
          <wp:inline distT="0" distB="0" distL="0" distR="0" wp14:anchorId="0F5ACFA8" wp14:editId="2F3250FF">
            <wp:extent cx="6188710" cy="3420000"/>
            <wp:effectExtent l="0" t="0" r="0" b="0"/>
            <wp:docPr id="25" name="Chart 25">
              <a:extLst xmlns:a="http://schemas.openxmlformats.org/drawingml/2006/main">
                <a:ext uri="{FF2B5EF4-FFF2-40B4-BE49-F238E27FC236}">
                  <a16:creationId xmlns:a16="http://schemas.microsoft.com/office/drawing/2014/main" id="{BCE47995-8011-3F00-A9CF-6FA3C288C5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B1A0689" w14:textId="2020491B" w:rsidR="006A6185" w:rsidRPr="00CE058E" w:rsidRDefault="006766F9" w:rsidP="005C6AE6">
      <w:pPr>
        <w:pStyle w:val="Heading1"/>
        <w:numPr>
          <w:ilvl w:val="0"/>
          <w:numId w:val="12"/>
        </w:numPr>
        <w:rPr>
          <w:rFonts w:cs="Arial"/>
        </w:rPr>
      </w:pPr>
      <w:bookmarkStart w:id="302" w:name="_Toc151116273"/>
      <w:bookmarkStart w:id="303" w:name="_Toc151116274"/>
      <w:bookmarkStart w:id="304" w:name="_Toc151116275"/>
      <w:bookmarkStart w:id="305" w:name="_Toc151116276"/>
      <w:bookmarkStart w:id="306" w:name="_Toc147754518"/>
      <w:bookmarkStart w:id="307" w:name="_Toc147754601"/>
      <w:bookmarkStart w:id="308" w:name="_Toc147754683"/>
      <w:bookmarkStart w:id="309" w:name="_Toc147758672"/>
      <w:bookmarkStart w:id="310" w:name="_Toc147760462"/>
      <w:bookmarkStart w:id="311" w:name="_Toc147764037"/>
      <w:bookmarkStart w:id="312" w:name="_Toc147828242"/>
      <w:bookmarkStart w:id="313" w:name="_Toc147828436"/>
      <w:bookmarkStart w:id="314" w:name="_Toc147828657"/>
      <w:bookmarkStart w:id="315" w:name="_Toc147828764"/>
      <w:bookmarkStart w:id="316" w:name="_Toc147828837"/>
      <w:bookmarkStart w:id="317" w:name="_Toc147828908"/>
      <w:bookmarkStart w:id="318" w:name="_Toc147828979"/>
      <w:bookmarkStart w:id="319" w:name="_Toc147829050"/>
      <w:bookmarkStart w:id="320" w:name="_Toc147829123"/>
      <w:bookmarkStart w:id="321" w:name="_Toc147829194"/>
      <w:bookmarkStart w:id="322" w:name="_Toc147829265"/>
      <w:bookmarkStart w:id="323" w:name="_Toc147829529"/>
      <w:bookmarkStart w:id="324" w:name="_Toc147829600"/>
      <w:bookmarkStart w:id="325" w:name="_Toc147829671"/>
      <w:bookmarkStart w:id="326" w:name="_Toc147829823"/>
      <w:bookmarkStart w:id="327" w:name="_Toc147829955"/>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CE058E">
        <w:rPr>
          <w:rFonts w:cs="Arial"/>
          <w:highlight w:val="yellow"/>
        </w:rPr>
        <w:br w:type="page"/>
      </w:r>
      <w:bookmarkStart w:id="328" w:name="_Toc144215459"/>
      <w:bookmarkStart w:id="329" w:name="_Toc144967665"/>
      <w:bookmarkStart w:id="330" w:name="_Toc158882625"/>
      <w:bookmarkEnd w:id="254"/>
      <w:r w:rsidR="006A6185" w:rsidRPr="00CE058E">
        <w:rPr>
          <w:rFonts w:cs="Arial"/>
        </w:rPr>
        <w:lastRenderedPageBreak/>
        <w:t>Non-admitted</w:t>
      </w:r>
      <w:bookmarkEnd w:id="328"/>
      <w:bookmarkEnd w:id="329"/>
      <w:bookmarkEnd w:id="330"/>
    </w:p>
    <w:p w14:paraId="5079850B" w14:textId="52A8D643" w:rsidR="006A6185" w:rsidRPr="00CE058E" w:rsidRDefault="006A6185" w:rsidP="007B41F8">
      <w:pPr>
        <w:pStyle w:val="Heading2"/>
      </w:pPr>
      <w:bookmarkStart w:id="331" w:name="_Toc144215460"/>
      <w:bookmarkStart w:id="332" w:name="_Toc144967666"/>
      <w:bookmarkStart w:id="333" w:name="_Toc151129714"/>
      <w:bookmarkStart w:id="334" w:name="_Toc158882565"/>
      <w:bookmarkStart w:id="335" w:name="_Toc158882626"/>
      <w:r w:rsidRPr="00CE058E">
        <w:t>Summary</w:t>
      </w:r>
      <w:bookmarkEnd w:id="331"/>
      <w:bookmarkEnd w:id="332"/>
      <w:bookmarkEnd w:id="333"/>
      <w:bookmarkEnd w:id="334"/>
      <w:bookmarkEnd w:id="335"/>
    </w:p>
    <w:p w14:paraId="5D109AAF" w14:textId="293862AC" w:rsidR="001147F5" w:rsidRPr="00CE058E" w:rsidRDefault="006A6185" w:rsidP="00070481">
      <w:pPr>
        <w:spacing w:line="276" w:lineRule="auto"/>
        <w:rPr>
          <w:rFonts w:cs="Arial"/>
          <w:color w:val="auto"/>
        </w:rPr>
      </w:pPr>
      <w:r w:rsidRPr="00CE058E">
        <w:rPr>
          <w:rFonts w:cs="Arial"/>
          <w:color w:val="auto"/>
        </w:rPr>
        <w:t xml:space="preserve">This </w:t>
      </w:r>
      <w:r w:rsidR="00DD18A3" w:rsidRPr="00CE058E">
        <w:rPr>
          <w:rFonts w:cs="Arial"/>
          <w:color w:val="auto"/>
        </w:rPr>
        <w:t xml:space="preserve">chapter </w:t>
      </w:r>
      <w:r w:rsidR="006C715D" w:rsidRPr="00CE058E">
        <w:rPr>
          <w:rFonts w:cs="Arial"/>
          <w:color w:val="auto"/>
        </w:rPr>
        <w:t>outlines</w:t>
      </w:r>
      <w:r w:rsidRPr="00CE058E">
        <w:rPr>
          <w:rFonts w:cs="Arial"/>
          <w:color w:val="auto"/>
        </w:rPr>
        <w:t xml:space="preserve"> the non-admitted service events, cost, and average cost per service event from 2019-20 to 2021-22. This includes services delivered in settings</w:t>
      </w:r>
      <w:r w:rsidR="001147F5" w:rsidRPr="00CE058E">
        <w:rPr>
          <w:rFonts w:cs="Arial"/>
          <w:color w:val="auto"/>
        </w:rPr>
        <w:t xml:space="preserve"> such as</w:t>
      </w:r>
      <w:r w:rsidR="37309E08" w:rsidRPr="00CE058E">
        <w:rPr>
          <w:rFonts w:cs="Arial"/>
          <w:color w:val="auto"/>
        </w:rPr>
        <w:t>: hospital outpatient clinics, community-based clinics</w:t>
      </w:r>
      <w:r w:rsidR="00D67878" w:rsidRPr="00CE058E">
        <w:rPr>
          <w:rFonts w:cs="Arial"/>
          <w:color w:val="auto"/>
        </w:rPr>
        <w:t>,</w:t>
      </w:r>
      <w:r w:rsidR="37309E08" w:rsidRPr="00CE058E">
        <w:rPr>
          <w:rFonts w:cs="Arial"/>
          <w:color w:val="auto"/>
        </w:rPr>
        <w:t xml:space="preserve"> and patient homes</w:t>
      </w:r>
      <w:r w:rsidRPr="00CE058E">
        <w:rPr>
          <w:rFonts w:cs="Arial"/>
          <w:color w:val="auto"/>
        </w:rPr>
        <w:t xml:space="preserve">. </w:t>
      </w:r>
    </w:p>
    <w:p w14:paraId="5BC140CB" w14:textId="7A075195" w:rsidR="00C361E9" w:rsidRPr="00CE058E" w:rsidRDefault="006A6185" w:rsidP="00C361E9">
      <w:pPr>
        <w:spacing w:line="276" w:lineRule="auto"/>
        <w:rPr>
          <w:rFonts w:cs="Arial"/>
          <w:color w:val="auto"/>
        </w:rPr>
      </w:pPr>
      <w:r w:rsidRPr="00CE058E">
        <w:rPr>
          <w:rFonts w:cs="Arial"/>
          <w:color w:val="auto"/>
        </w:rPr>
        <w:t>To be included as a non-admitted service, the service must meet the definition of a service event. A service event is defined as an interaction between one or more healthcare provider(s) with one non</w:t>
      </w:r>
      <w:r w:rsidR="00D67878" w:rsidRPr="00CE058E">
        <w:rPr>
          <w:rFonts w:cs="Arial"/>
          <w:color w:val="auto"/>
        </w:rPr>
        <w:t>-</w:t>
      </w:r>
      <w:r w:rsidRPr="00CE058E">
        <w:rPr>
          <w:rFonts w:cs="Arial"/>
          <w:color w:val="auto"/>
        </w:rPr>
        <w:t>admitted patient</w:t>
      </w:r>
      <w:r w:rsidR="00301F51" w:rsidRPr="00CE058E">
        <w:rPr>
          <w:rFonts w:cs="Arial"/>
          <w:color w:val="auto"/>
        </w:rPr>
        <w:t xml:space="preserve">. This </w:t>
      </w:r>
      <w:r w:rsidRPr="00CE058E">
        <w:rPr>
          <w:rFonts w:cs="Arial"/>
          <w:color w:val="auto"/>
        </w:rPr>
        <w:t>must contain therapeutic or clinical content and result in a dated entry in the patient’s medical record.</w:t>
      </w:r>
      <w:r w:rsidR="00430263" w:rsidRPr="00CE058E">
        <w:rPr>
          <w:rFonts w:cs="Arial"/>
          <w:color w:val="auto"/>
        </w:rPr>
        <w:t xml:space="preserve"> </w:t>
      </w:r>
      <w:r w:rsidR="00C361E9" w:rsidRPr="00CE058E">
        <w:rPr>
          <w:rFonts w:cs="Arial"/>
          <w:color w:val="auto"/>
        </w:rPr>
        <w:t>The Tier 2 Classification Version 7.0 was used to prepare this report.</w:t>
      </w:r>
    </w:p>
    <w:p w14:paraId="0493B9AC" w14:textId="1CDC3653" w:rsidR="00D67878" w:rsidRPr="00CE058E" w:rsidRDefault="006A6185" w:rsidP="00D67878">
      <w:pPr>
        <w:spacing w:before="160" w:line="276" w:lineRule="auto"/>
        <w:rPr>
          <w:rFonts w:cs="Arial"/>
          <w:color w:val="auto"/>
        </w:rPr>
      </w:pPr>
      <w:r w:rsidRPr="00CE058E">
        <w:rPr>
          <w:rFonts w:cs="Arial"/>
          <w:color w:val="auto"/>
        </w:rPr>
        <w:t xml:space="preserve">In 2021-22, there were </w:t>
      </w:r>
      <w:r w:rsidR="00B334FC" w:rsidRPr="00CE058E">
        <w:rPr>
          <w:rFonts w:cs="Arial"/>
          <w:color w:val="auto"/>
        </w:rPr>
        <w:t>32</w:t>
      </w:r>
      <w:r w:rsidR="00D67878" w:rsidRPr="00CE058E">
        <w:rPr>
          <w:rFonts w:cs="Arial"/>
          <w:color w:val="auto"/>
        </w:rPr>
        <w:t xml:space="preserve">.4 million </w:t>
      </w:r>
      <w:r w:rsidRPr="00CE058E">
        <w:rPr>
          <w:rFonts w:cs="Arial"/>
          <w:color w:val="auto"/>
        </w:rPr>
        <w:t>non-admitted service events nationally</w:t>
      </w:r>
      <w:r w:rsidR="00D67878" w:rsidRPr="00CE058E">
        <w:rPr>
          <w:rFonts w:cs="Arial"/>
          <w:color w:val="auto"/>
        </w:rPr>
        <w:t>,</w:t>
      </w:r>
      <w:r w:rsidRPr="00CE058E">
        <w:rPr>
          <w:rFonts w:cs="Arial"/>
          <w:color w:val="auto"/>
        </w:rPr>
        <w:t xml:space="preserve"> </w:t>
      </w:r>
      <w:r w:rsidR="00D67878" w:rsidRPr="00CE058E">
        <w:rPr>
          <w:rFonts w:cs="Arial"/>
          <w:color w:val="auto"/>
        </w:rPr>
        <w:t>a 15</w:t>
      </w:r>
      <w:r w:rsidR="00897090">
        <w:rPr>
          <w:rFonts w:cs="Arial"/>
          <w:color w:val="auto"/>
        </w:rPr>
        <w:t>%</w:t>
      </w:r>
      <w:r w:rsidR="00D67878" w:rsidRPr="00CE058E">
        <w:rPr>
          <w:rFonts w:cs="Arial"/>
          <w:color w:val="auto"/>
        </w:rPr>
        <w:t xml:space="preserve"> increase from the 2020-21 figure of 28.2 million. The associated cost in 2021-22 nationally was $10.5 billion, a 9</w:t>
      </w:r>
      <w:r w:rsidR="00897090">
        <w:rPr>
          <w:rFonts w:cs="Arial"/>
          <w:color w:val="auto"/>
        </w:rPr>
        <w:t>%</w:t>
      </w:r>
      <w:r w:rsidR="00D67878" w:rsidRPr="00CE058E">
        <w:rPr>
          <w:rFonts w:cs="Arial"/>
          <w:color w:val="auto"/>
        </w:rPr>
        <w:t xml:space="preserve"> increase to the 2020-21 figure of $9.6 billion. The national average cost per non-admitted service event was $324 for 2021-22, a 5</w:t>
      </w:r>
      <w:r w:rsidR="00897090">
        <w:rPr>
          <w:rFonts w:cs="Arial"/>
          <w:color w:val="auto"/>
        </w:rPr>
        <w:t>%</w:t>
      </w:r>
      <w:r w:rsidR="00D67878" w:rsidRPr="00CE058E">
        <w:rPr>
          <w:rFonts w:cs="Arial"/>
          <w:color w:val="auto"/>
        </w:rPr>
        <w:t xml:space="preserve"> decrease to the 2020-21 national average of $341.</w:t>
      </w:r>
    </w:p>
    <w:p w14:paraId="415A5A40" w14:textId="77777777" w:rsidR="00944A34" w:rsidRPr="00CE058E" w:rsidRDefault="00944A34">
      <w:pPr>
        <w:spacing w:line="259" w:lineRule="auto"/>
        <w:rPr>
          <w:rFonts w:cs="Arial"/>
        </w:rPr>
      </w:pPr>
      <w:r w:rsidRPr="00CE058E">
        <w:rPr>
          <w:rFonts w:cs="Arial"/>
        </w:rPr>
        <w:br w:type="page"/>
      </w:r>
    </w:p>
    <w:p w14:paraId="70046DE0" w14:textId="7522A22A" w:rsidR="006A6185" w:rsidRPr="00CE058E" w:rsidRDefault="006A6185" w:rsidP="007B41F8">
      <w:pPr>
        <w:pStyle w:val="Heading2"/>
      </w:pPr>
      <w:bookmarkStart w:id="336" w:name="_Toc151129715"/>
      <w:bookmarkStart w:id="337" w:name="_Toc158882566"/>
      <w:bookmarkStart w:id="338" w:name="_Toc158882627"/>
      <w:bookmarkStart w:id="339" w:name="_Toc144215463"/>
      <w:bookmarkStart w:id="340" w:name="_Toc144967669"/>
      <w:r w:rsidRPr="00CE058E">
        <w:lastRenderedPageBreak/>
        <w:t>Non</w:t>
      </w:r>
      <w:r w:rsidR="002324FE" w:rsidRPr="00CE058E">
        <w:t>-</w:t>
      </w:r>
      <w:r w:rsidRPr="00CE058E">
        <w:t>admitted service event</w:t>
      </w:r>
      <w:r w:rsidR="00944A34" w:rsidRPr="00CE058E">
        <w:t xml:space="preserve"> cost and activity</w:t>
      </w:r>
      <w:bookmarkEnd w:id="336"/>
      <w:bookmarkEnd w:id="337"/>
      <w:bookmarkEnd w:id="338"/>
    </w:p>
    <w:p w14:paraId="08E09EE0" w14:textId="36C6657A" w:rsidR="005366BB" w:rsidRPr="00CE058E" w:rsidRDefault="002F5637" w:rsidP="00070481">
      <w:pPr>
        <w:spacing w:line="276" w:lineRule="auto"/>
        <w:rPr>
          <w:rFonts w:cs="Arial"/>
          <w:color w:val="auto"/>
        </w:rPr>
      </w:pPr>
      <w:r w:rsidRPr="00CE058E">
        <w:rPr>
          <w:rFonts w:cs="Arial"/>
          <w:color w:val="auto"/>
        </w:rPr>
        <w:t>Table 14 shows the number of linked NHCDC records as a proportion of the non-admitted activity by jurisdiction from 2019-20 to 2021-22. The linked NHCDC records increased by 8</w:t>
      </w:r>
      <w:r w:rsidR="00E6089B" w:rsidRPr="00CE058E">
        <w:rPr>
          <w:rFonts w:cs="Arial"/>
          <w:color w:val="auto"/>
        </w:rPr>
        <w:t>.9 million (or 38</w:t>
      </w:r>
      <w:r w:rsidR="00897090">
        <w:rPr>
          <w:rFonts w:cs="Arial"/>
          <w:color w:val="auto"/>
        </w:rPr>
        <w:t>%</w:t>
      </w:r>
      <w:r w:rsidR="00E6089B" w:rsidRPr="00CE058E">
        <w:rPr>
          <w:rFonts w:cs="Arial"/>
          <w:color w:val="auto"/>
        </w:rPr>
        <w:t xml:space="preserve">) </w:t>
      </w:r>
      <w:r w:rsidRPr="00CE058E">
        <w:rPr>
          <w:rFonts w:cs="Arial"/>
          <w:color w:val="auto"/>
        </w:rPr>
        <w:t xml:space="preserve">and activity increased by </w:t>
      </w:r>
      <w:r w:rsidR="00DD5995" w:rsidRPr="00CE058E">
        <w:rPr>
          <w:rFonts w:cs="Arial"/>
          <w:color w:val="auto"/>
        </w:rPr>
        <w:t>13.3 million (or 43</w:t>
      </w:r>
      <w:r w:rsidR="00897090">
        <w:rPr>
          <w:rFonts w:cs="Arial"/>
          <w:color w:val="auto"/>
        </w:rPr>
        <w:t>%</w:t>
      </w:r>
      <w:r w:rsidR="00DD5995" w:rsidRPr="00CE058E">
        <w:rPr>
          <w:rFonts w:cs="Arial"/>
          <w:color w:val="auto"/>
        </w:rPr>
        <w:t xml:space="preserve">) </w:t>
      </w:r>
      <w:r w:rsidRPr="00CE058E">
        <w:rPr>
          <w:rFonts w:cs="Arial"/>
          <w:color w:val="auto"/>
        </w:rPr>
        <w:t xml:space="preserve">from 2019-20 to 2021-22. Nationally, the linked NHCDC records as a proportion of activity </w:t>
      </w:r>
      <w:r w:rsidR="00DD5995" w:rsidRPr="00CE058E">
        <w:rPr>
          <w:rFonts w:cs="Arial"/>
          <w:color w:val="auto"/>
        </w:rPr>
        <w:t>decreased 3</w:t>
      </w:r>
      <w:r w:rsidR="00897090">
        <w:rPr>
          <w:rFonts w:cs="Arial"/>
          <w:color w:val="auto"/>
        </w:rPr>
        <w:t>%</w:t>
      </w:r>
      <w:r w:rsidR="00DD5995" w:rsidRPr="00CE058E">
        <w:rPr>
          <w:rFonts w:cs="Arial"/>
          <w:color w:val="auto"/>
        </w:rPr>
        <w:t xml:space="preserve"> from 76</w:t>
      </w:r>
      <w:r w:rsidR="00897090">
        <w:rPr>
          <w:rFonts w:cs="Arial"/>
          <w:color w:val="auto"/>
        </w:rPr>
        <w:t>%</w:t>
      </w:r>
      <w:r w:rsidR="00DD5995" w:rsidRPr="00CE058E">
        <w:rPr>
          <w:rFonts w:cs="Arial"/>
          <w:color w:val="auto"/>
        </w:rPr>
        <w:t xml:space="preserve"> in 2019-20 to 73</w:t>
      </w:r>
      <w:r w:rsidR="00897090">
        <w:rPr>
          <w:rFonts w:cs="Arial"/>
          <w:color w:val="auto"/>
        </w:rPr>
        <w:t>%</w:t>
      </w:r>
      <w:r w:rsidR="00DD5995" w:rsidRPr="00CE058E">
        <w:rPr>
          <w:rFonts w:cs="Arial"/>
          <w:color w:val="auto"/>
        </w:rPr>
        <w:t xml:space="preserve"> in 2021-22</w:t>
      </w:r>
      <w:r w:rsidRPr="00CE058E">
        <w:rPr>
          <w:rFonts w:cs="Arial"/>
          <w:color w:val="auto"/>
        </w:rPr>
        <w:t>.</w:t>
      </w:r>
    </w:p>
    <w:p w14:paraId="3C7DC9B7" w14:textId="742FD33B" w:rsidR="006A6185" w:rsidRPr="00CE058E" w:rsidRDefault="002F162B" w:rsidP="00B42434">
      <w:pPr>
        <w:pStyle w:val="TableFigureheading"/>
      </w:pPr>
      <w:bookmarkStart w:id="341" w:name="_Toc149650915"/>
      <w:bookmarkStart w:id="342" w:name="_Toc151370040"/>
      <w:r w:rsidRPr="00CE058E">
        <w:t xml:space="preserve">Table </w:t>
      </w:r>
      <w:r>
        <w:fldChar w:fldCharType="begin"/>
      </w:r>
      <w:r>
        <w:instrText xml:space="preserve"> SEQ Table \* ARABIC </w:instrText>
      </w:r>
      <w:r>
        <w:fldChar w:fldCharType="separate"/>
      </w:r>
      <w:r w:rsidR="00B42434">
        <w:rPr>
          <w:noProof/>
        </w:rPr>
        <w:t>14</w:t>
      </w:r>
      <w:r>
        <w:rPr>
          <w:noProof/>
        </w:rPr>
        <w:fldChar w:fldCharType="end"/>
      </w:r>
      <w:r w:rsidR="006A6185" w:rsidRPr="00CE058E">
        <w:t xml:space="preserve">: </w:t>
      </w:r>
      <w:bookmarkStart w:id="343" w:name="_Hlk146653869"/>
      <w:r w:rsidR="00B67CE3" w:rsidRPr="00CE058E">
        <w:t>Proportion of linked NHCDC records to activity, 2019-20 to 2021-22</w:t>
      </w:r>
      <w:bookmarkEnd w:id="341"/>
      <w:bookmarkEnd w:id="342"/>
      <w:bookmarkEnd w:id="343"/>
    </w:p>
    <w:tbl>
      <w:tblPr>
        <w:tblStyle w:val="GridTable4-Accent2"/>
        <w:tblW w:w="11340" w:type="dxa"/>
        <w:jc w:val="center"/>
        <w:tblLayout w:type="fixed"/>
        <w:tblLook w:val="04A0" w:firstRow="1" w:lastRow="0" w:firstColumn="1" w:lastColumn="0" w:noHBand="0" w:noVBand="1"/>
      </w:tblPr>
      <w:tblGrid>
        <w:gridCol w:w="1139"/>
        <w:gridCol w:w="1129"/>
        <w:gridCol w:w="1139"/>
        <w:gridCol w:w="1129"/>
        <w:gridCol w:w="1134"/>
        <w:gridCol w:w="1134"/>
        <w:gridCol w:w="1134"/>
        <w:gridCol w:w="1134"/>
        <w:gridCol w:w="1134"/>
        <w:gridCol w:w="1134"/>
      </w:tblGrid>
      <w:tr w:rsidR="00451B01" w:rsidRPr="00CE058E" w14:paraId="21B27A3C" w14:textId="77777777" w:rsidTr="00614E92">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0516C879" w14:textId="73478351" w:rsidR="00471A96" w:rsidRPr="00CE058E" w:rsidRDefault="00150FC2" w:rsidP="00C661AB">
            <w:pPr>
              <w:spacing w:line="240" w:lineRule="auto"/>
              <w:jc w:val="center"/>
              <w:rPr>
                <w:rFonts w:eastAsia="Times New Roman" w:cs="Arial"/>
                <w:b w:val="0"/>
                <w:bCs w:val="0"/>
                <w:color w:val="FFFFFF" w:themeColor="background2"/>
                <w:sz w:val="16"/>
                <w:szCs w:val="16"/>
                <w:lang w:eastAsia="en-AU"/>
              </w:rPr>
            </w:pPr>
            <w:r w:rsidRPr="00CE058E">
              <w:rPr>
                <w:rFonts w:eastAsia="Times New Roman" w:cs="Arial"/>
                <w:color w:val="FFFFFF" w:themeColor="background2"/>
                <w:sz w:val="16"/>
                <w:szCs w:val="16"/>
                <w:lang w:eastAsia="en-AU"/>
              </w:rPr>
              <w:t>Jurisdiction</w:t>
            </w:r>
          </w:p>
        </w:tc>
        <w:tc>
          <w:tcPr>
            <w:tcW w:w="3397"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561584A0" w14:textId="77777777" w:rsidR="00471A96" w:rsidRPr="00CE058E" w:rsidRDefault="00471A96"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6"/>
                <w:szCs w:val="16"/>
                <w:lang w:eastAsia="en-AU"/>
              </w:rPr>
            </w:pPr>
            <w:r w:rsidRPr="00CE058E">
              <w:rPr>
                <w:rFonts w:eastAsia="Times New Roman" w:cs="Arial"/>
                <w:color w:val="FFFFFF" w:themeColor="background2"/>
                <w:sz w:val="16"/>
                <w:szCs w:val="16"/>
                <w:lang w:eastAsia="en-AU"/>
              </w:rPr>
              <w:t>2019-20</w:t>
            </w:r>
          </w:p>
        </w:tc>
        <w:tc>
          <w:tcPr>
            <w:tcW w:w="3402" w:type="dxa"/>
            <w:gridSpan w:val="3"/>
            <w:tcBorders>
              <w:top w:val="single" w:sz="4" w:space="0" w:color="FFFFFF" w:themeColor="accent6"/>
              <w:left w:val="single" w:sz="4" w:space="0" w:color="FFFFFF" w:themeColor="background2"/>
              <w:bottom w:val="single" w:sz="4" w:space="0" w:color="FFFFFF" w:themeColor="accent6"/>
              <w:right w:val="single" w:sz="4" w:space="0" w:color="FFFFFF" w:themeColor="accent6"/>
            </w:tcBorders>
            <w:vAlign w:val="center"/>
          </w:tcPr>
          <w:p w14:paraId="128DD095" w14:textId="77777777" w:rsidR="00471A96" w:rsidRPr="00CE058E" w:rsidRDefault="00471A96"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6"/>
                <w:szCs w:val="16"/>
                <w:lang w:eastAsia="en-AU"/>
              </w:rPr>
            </w:pPr>
            <w:r w:rsidRPr="00CE058E">
              <w:rPr>
                <w:rFonts w:eastAsia="Times New Roman" w:cs="Arial"/>
                <w:color w:val="FFFFFF" w:themeColor="background2"/>
                <w:sz w:val="16"/>
                <w:szCs w:val="16"/>
                <w:lang w:eastAsia="en-AU"/>
              </w:rPr>
              <w:t>2020-21</w:t>
            </w:r>
          </w:p>
        </w:tc>
        <w:tc>
          <w:tcPr>
            <w:tcW w:w="3402" w:type="dxa"/>
            <w:gridSpan w:val="3"/>
            <w:tcBorders>
              <w:top w:val="single" w:sz="4" w:space="0" w:color="FFFFFF" w:themeColor="accent6"/>
              <w:left w:val="single" w:sz="4" w:space="0" w:color="FFFFFF" w:themeColor="accent6"/>
              <w:bottom w:val="single" w:sz="4" w:space="0" w:color="FFFFFF" w:themeColor="accent6"/>
              <w:right w:val="single" w:sz="4" w:space="0" w:color="FFFFFF" w:themeColor="accent6"/>
            </w:tcBorders>
            <w:vAlign w:val="center"/>
          </w:tcPr>
          <w:p w14:paraId="6587B187" w14:textId="77777777" w:rsidR="00471A96" w:rsidRPr="00CE058E" w:rsidRDefault="00471A96"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6"/>
                <w:szCs w:val="16"/>
                <w:lang w:eastAsia="en-AU"/>
              </w:rPr>
            </w:pPr>
            <w:r w:rsidRPr="00CE058E">
              <w:rPr>
                <w:rFonts w:eastAsia="Times New Roman" w:cs="Arial"/>
                <w:color w:val="FFFFFF" w:themeColor="background2"/>
                <w:sz w:val="16"/>
                <w:szCs w:val="16"/>
                <w:lang w:eastAsia="en-AU"/>
              </w:rPr>
              <w:t>2021-22</w:t>
            </w:r>
          </w:p>
        </w:tc>
      </w:tr>
      <w:tr w:rsidR="00F46C13" w:rsidRPr="00CE058E" w14:paraId="74397AC2" w14:textId="77777777" w:rsidTr="002D29F3">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139"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570822BE" w14:textId="77777777" w:rsidR="002324FE" w:rsidRPr="00CE058E" w:rsidRDefault="002324FE" w:rsidP="00C661AB">
            <w:pPr>
              <w:spacing w:line="240" w:lineRule="auto"/>
              <w:jc w:val="center"/>
              <w:rPr>
                <w:rFonts w:eastAsia="Times New Roman" w:cs="Arial"/>
                <w:color w:val="FFFFFF" w:themeColor="background2"/>
                <w:sz w:val="16"/>
                <w:szCs w:val="16"/>
                <w:lang w:eastAsia="en-AU"/>
              </w:rPr>
            </w:pPr>
          </w:p>
        </w:tc>
        <w:tc>
          <w:tcPr>
            <w:tcW w:w="1129"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E29AFC8" w14:textId="06A8F32F" w:rsidR="002324FE" w:rsidRPr="00CE058E" w:rsidRDefault="4D3A71BE"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accent6"/>
                <w:sz w:val="16"/>
                <w:szCs w:val="16"/>
                <w:lang w:eastAsia="en-AU"/>
              </w:rPr>
            </w:pPr>
            <w:r w:rsidRPr="00CE058E">
              <w:rPr>
                <w:rFonts w:eastAsia="Times New Roman" w:cs="Arial"/>
                <w:b/>
                <w:bCs/>
                <w:color w:val="FFFFFF" w:themeColor="accent6"/>
                <w:sz w:val="16"/>
                <w:szCs w:val="16"/>
                <w:lang w:eastAsia="en-AU"/>
              </w:rPr>
              <w:t>Linked NHCDC records</w:t>
            </w:r>
          </w:p>
        </w:tc>
        <w:tc>
          <w:tcPr>
            <w:tcW w:w="1139" w:type="dxa"/>
            <w:tcBorders>
              <w:top w:val="single" w:sz="4" w:space="0" w:color="FFFFFF" w:themeColor="accent6"/>
              <w:left w:val="single" w:sz="4" w:space="0" w:color="FFFFFF" w:themeColor="background2"/>
              <w:bottom w:val="single" w:sz="4" w:space="0" w:color="FFFFFF" w:themeColor="accent6"/>
              <w:right w:val="single" w:sz="4" w:space="0" w:color="FFFFFF" w:themeColor="accent6"/>
            </w:tcBorders>
            <w:shd w:val="clear" w:color="auto" w:fill="104F99" w:themeFill="accent2"/>
            <w:vAlign w:val="center"/>
          </w:tcPr>
          <w:p w14:paraId="504986EA" w14:textId="69C77D6F" w:rsidR="002324FE" w:rsidRPr="00CE058E" w:rsidRDefault="00C33282"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Pr>
                <w:rFonts w:eastAsia="Times New Roman" w:cs="Arial"/>
                <w:b/>
                <w:bCs/>
                <w:color w:val="FFFFFF" w:themeColor="background2"/>
                <w:sz w:val="16"/>
                <w:szCs w:val="16"/>
                <w:lang w:eastAsia="en-AU"/>
              </w:rPr>
              <w:t>A</w:t>
            </w:r>
            <w:r w:rsidR="002324FE" w:rsidRPr="00CE058E">
              <w:rPr>
                <w:rFonts w:eastAsia="Times New Roman" w:cs="Arial"/>
                <w:b/>
                <w:bCs/>
                <w:color w:val="FFFFFF" w:themeColor="background2"/>
                <w:sz w:val="16"/>
                <w:szCs w:val="16"/>
                <w:lang w:eastAsia="en-AU"/>
              </w:rPr>
              <w:t>ctivity</w:t>
            </w:r>
          </w:p>
        </w:tc>
        <w:tc>
          <w:tcPr>
            <w:tcW w:w="1129"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2FC99135" w14:textId="2FC58F7A" w:rsidR="002324FE" w:rsidRPr="00CE058E" w:rsidRDefault="002324FE"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background2"/>
                <w:sz w:val="16"/>
                <w:szCs w:val="16"/>
                <w:lang w:eastAsia="en-AU"/>
              </w:rPr>
              <w:t>Proportion (%)</w:t>
            </w:r>
          </w:p>
        </w:tc>
        <w:tc>
          <w:tcPr>
            <w:tcW w:w="1134"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62D45BB1" w14:textId="215F119B" w:rsidR="002324FE" w:rsidRPr="00CE058E" w:rsidRDefault="17D73DC2"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accent6"/>
                <w:sz w:val="16"/>
                <w:szCs w:val="16"/>
                <w:lang w:eastAsia="en-AU"/>
              </w:rPr>
              <w:t>Linked NHCDC records</w:t>
            </w:r>
          </w:p>
        </w:tc>
        <w:tc>
          <w:tcPr>
            <w:tcW w:w="1134"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07CE9369" w14:textId="25240708" w:rsidR="002324FE" w:rsidRPr="00CE058E" w:rsidRDefault="00C33282"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Pr>
                <w:rFonts w:eastAsia="Times New Roman" w:cs="Arial"/>
                <w:b/>
                <w:bCs/>
                <w:color w:val="FFFFFF" w:themeColor="background2"/>
                <w:sz w:val="16"/>
                <w:szCs w:val="16"/>
                <w:lang w:eastAsia="en-AU"/>
              </w:rPr>
              <w:t>A</w:t>
            </w:r>
            <w:r w:rsidR="002324FE" w:rsidRPr="00CE058E">
              <w:rPr>
                <w:rFonts w:eastAsia="Times New Roman" w:cs="Arial"/>
                <w:b/>
                <w:bCs/>
                <w:color w:val="FFFFFF" w:themeColor="background2"/>
                <w:sz w:val="16"/>
                <w:szCs w:val="16"/>
                <w:lang w:eastAsia="en-AU"/>
              </w:rPr>
              <w:t>ctivity</w:t>
            </w:r>
          </w:p>
        </w:tc>
        <w:tc>
          <w:tcPr>
            <w:tcW w:w="1134"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1AF9CB29" w14:textId="64BE40BF" w:rsidR="002324FE" w:rsidRPr="00CE058E" w:rsidRDefault="002324FE"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background2"/>
                <w:sz w:val="16"/>
                <w:szCs w:val="16"/>
                <w:lang w:eastAsia="en-AU"/>
              </w:rPr>
              <w:t>Proportion (%)</w:t>
            </w:r>
          </w:p>
        </w:tc>
        <w:tc>
          <w:tcPr>
            <w:tcW w:w="1134"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7BF39738" w14:textId="5733292B" w:rsidR="002324FE" w:rsidRPr="00CE058E" w:rsidRDefault="302E683D"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accent6"/>
                <w:sz w:val="16"/>
                <w:szCs w:val="16"/>
                <w:lang w:eastAsia="en-AU"/>
              </w:rPr>
              <w:t>Linked NHCDC records</w:t>
            </w:r>
          </w:p>
        </w:tc>
        <w:tc>
          <w:tcPr>
            <w:tcW w:w="1134"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4AFD2971" w14:textId="722E9379" w:rsidR="002324FE" w:rsidRPr="00CE058E" w:rsidRDefault="00C33282"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Pr>
                <w:rFonts w:eastAsia="Times New Roman" w:cs="Arial"/>
                <w:b/>
                <w:bCs/>
                <w:color w:val="FFFFFF" w:themeColor="background2"/>
                <w:sz w:val="16"/>
                <w:szCs w:val="16"/>
                <w:lang w:eastAsia="en-AU"/>
              </w:rPr>
              <w:t>A</w:t>
            </w:r>
            <w:r w:rsidR="002324FE" w:rsidRPr="00CE058E">
              <w:rPr>
                <w:rFonts w:eastAsia="Times New Roman" w:cs="Arial"/>
                <w:b/>
                <w:bCs/>
                <w:color w:val="FFFFFF" w:themeColor="background2"/>
                <w:sz w:val="16"/>
                <w:szCs w:val="16"/>
                <w:lang w:eastAsia="en-AU"/>
              </w:rPr>
              <w:t>ctivity</w:t>
            </w:r>
          </w:p>
        </w:tc>
        <w:tc>
          <w:tcPr>
            <w:tcW w:w="1134"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6D2BB5AE" w14:textId="48996ABF" w:rsidR="002324FE" w:rsidRPr="00CE058E" w:rsidRDefault="002324FE"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background2"/>
                <w:sz w:val="16"/>
                <w:szCs w:val="16"/>
                <w:lang w:eastAsia="en-AU"/>
              </w:rPr>
              <w:t>Proportion (%)</w:t>
            </w:r>
          </w:p>
        </w:tc>
      </w:tr>
      <w:tr w:rsidR="00AD7F4A" w:rsidRPr="00CE058E" w14:paraId="671D622B" w14:textId="77777777" w:rsidTr="00614E92">
        <w:trPr>
          <w:trHeight w:val="2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FFFFFF" w:themeColor="background2"/>
            </w:tcBorders>
            <w:noWrap/>
            <w:vAlign w:val="center"/>
            <w:hideMark/>
          </w:tcPr>
          <w:p w14:paraId="4A386DAB" w14:textId="77777777"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NSW</w:t>
            </w:r>
          </w:p>
        </w:tc>
        <w:tc>
          <w:tcPr>
            <w:tcW w:w="1129" w:type="dxa"/>
            <w:tcBorders>
              <w:top w:val="single" w:sz="4" w:space="0" w:color="FFFFFF" w:themeColor="background2"/>
            </w:tcBorders>
            <w:noWrap/>
            <w:vAlign w:val="center"/>
          </w:tcPr>
          <w:p w14:paraId="71D415E1" w14:textId="4D5E3CBB"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7,703,947</w:t>
            </w:r>
          </w:p>
        </w:tc>
        <w:tc>
          <w:tcPr>
            <w:tcW w:w="1139" w:type="dxa"/>
            <w:tcBorders>
              <w:top w:val="single" w:sz="4" w:space="0" w:color="FFFFFF" w:themeColor="accent6"/>
            </w:tcBorders>
            <w:noWrap/>
            <w:vAlign w:val="center"/>
          </w:tcPr>
          <w:p w14:paraId="705853FE" w14:textId="148C49A0"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12,711,357</w:t>
            </w:r>
          </w:p>
        </w:tc>
        <w:tc>
          <w:tcPr>
            <w:tcW w:w="1129" w:type="dxa"/>
            <w:tcBorders>
              <w:top w:val="single" w:sz="4" w:space="0" w:color="FFFFFF" w:themeColor="accent6"/>
            </w:tcBorders>
            <w:noWrap/>
            <w:vAlign w:val="center"/>
          </w:tcPr>
          <w:p w14:paraId="079B2FD6" w14:textId="0E0B2598"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61</w:t>
            </w:r>
          </w:p>
        </w:tc>
        <w:tc>
          <w:tcPr>
            <w:tcW w:w="1134" w:type="dxa"/>
            <w:tcBorders>
              <w:top w:val="single" w:sz="4" w:space="0" w:color="FFFFFF" w:themeColor="accent6"/>
            </w:tcBorders>
            <w:noWrap/>
            <w:vAlign w:val="center"/>
          </w:tcPr>
          <w:p w14:paraId="6786E242" w14:textId="6B46E52C"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10,363,280</w:t>
            </w:r>
          </w:p>
        </w:tc>
        <w:tc>
          <w:tcPr>
            <w:tcW w:w="1134" w:type="dxa"/>
            <w:tcBorders>
              <w:top w:val="single" w:sz="4" w:space="0" w:color="FFFFFF" w:themeColor="accent6"/>
            </w:tcBorders>
            <w:noWrap/>
            <w:vAlign w:val="center"/>
          </w:tcPr>
          <w:p w14:paraId="3CA2DCB0" w14:textId="33EDE695"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16,432,690</w:t>
            </w:r>
          </w:p>
        </w:tc>
        <w:tc>
          <w:tcPr>
            <w:tcW w:w="1134" w:type="dxa"/>
            <w:tcBorders>
              <w:top w:val="single" w:sz="4" w:space="0" w:color="FFFFFF" w:themeColor="accent6"/>
            </w:tcBorders>
            <w:noWrap/>
            <w:vAlign w:val="center"/>
          </w:tcPr>
          <w:p w14:paraId="4EF91631" w14:textId="5C710345"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63</w:t>
            </w:r>
          </w:p>
        </w:tc>
        <w:tc>
          <w:tcPr>
            <w:tcW w:w="1134" w:type="dxa"/>
            <w:tcBorders>
              <w:top w:val="single" w:sz="4" w:space="0" w:color="FFFFFF" w:themeColor="accent6"/>
            </w:tcBorders>
            <w:noWrap/>
            <w:vAlign w:val="center"/>
          </w:tcPr>
          <w:p w14:paraId="44D52FDD" w14:textId="19D2C598"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9,923,216</w:t>
            </w:r>
          </w:p>
        </w:tc>
        <w:tc>
          <w:tcPr>
            <w:tcW w:w="1134" w:type="dxa"/>
            <w:tcBorders>
              <w:top w:val="single" w:sz="4" w:space="0" w:color="FFFFFF" w:themeColor="accent6"/>
            </w:tcBorders>
            <w:noWrap/>
            <w:vAlign w:val="center"/>
          </w:tcPr>
          <w:p w14:paraId="419A17DD" w14:textId="45F30E64"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15,749,109</w:t>
            </w:r>
          </w:p>
        </w:tc>
        <w:tc>
          <w:tcPr>
            <w:tcW w:w="1134" w:type="dxa"/>
            <w:tcBorders>
              <w:top w:val="single" w:sz="4" w:space="0" w:color="FFFFFF" w:themeColor="accent6"/>
            </w:tcBorders>
            <w:noWrap/>
            <w:vAlign w:val="center"/>
          </w:tcPr>
          <w:p w14:paraId="4F924650" w14:textId="1CEA8040"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63</w:t>
            </w:r>
          </w:p>
        </w:tc>
      </w:tr>
      <w:tr w:rsidR="002D205C" w:rsidRPr="00CE058E" w14:paraId="23294905" w14:textId="77777777" w:rsidTr="002D29F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52EDB5B2" w14:textId="3DFC7513"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V</w:t>
            </w:r>
            <w:r w:rsidR="00C661AB" w:rsidRPr="00CE058E">
              <w:rPr>
                <w:rFonts w:eastAsia="Times New Roman" w:cs="Arial"/>
                <w:color w:val="auto"/>
                <w:sz w:val="16"/>
                <w:szCs w:val="16"/>
                <w:lang w:eastAsia="en-AU"/>
              </w:rPr>
              <w:t>ic</w:t>
            </w:r>
          </w:p>
        </w:tc>
        <w:tc>
          <w:tcPr>
            <w:tcW w:w="1129" w:type="dxa"/>
            <w:noWrap/>
            <w:vAlign w:val="center"/>
          </w:tcPr>
          <w:p w14:paraId="0460488E" w14:textId="224F53CC"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4,125,667</w:t>
            </w:r>
          </w:p>
        </w:tc>
        <w:tc>
          <w:tcPr>
            <w:tcW w:w="1139" w:type="dxa"/>
            <w:noWrap/>
            <w:vAlign w:val="center"/>
          </w:tcPr>
          <w:p w14:paraId="7CCC2FB9" w14:textId="3629C565"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4,922,361</w:t>
            </w:r>
          </w:p>
        </w:tc>
        <w:tc>
          <w:tcPr>
            <w:tcW w:w="1129" w:type="dxa"/>
            <w:noWrap/>
            <w:vAlign w:val="center"/>
          </w:tcPr>
          <w:p w14:paraId="404FB8A1" w14:textId="7D7BB63C"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84</w:t>
            </w:r>
          </w:p>
        </w:tc>
        <w:tc>
          <w:tcPr>
            <w:tcW w:w="1134" w:type="dxa"/>
            <w:noWrap/>
            <w:vAlign w:val="center"/>
          </w:tcPr>
          <w:p w14:paraId="4D6ACC08" w14:textId="187BF8AF"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4,393,960</w:t>
            </w:r>
          </w:p>
        </w:tc>
        <w:tc>
          <w:tcPr>
            <w:tcW w:w="1134" w:type="dxa"/>
            <w:noWrap/>
            <w:vAlign w:val="center"/>
          </w:tcPr>
          <w:p w14:paraId="15223D0E" w14:textId="0CED0BED"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5,251,448</w:t>
            </w:r>
          </w:p>
        </w:tc>
        <w:tc>
          <w:tcPr>
            <w:tcW w:w="1134" w:type="dxa"/>
            <w:noWrap/>
            <w:vAlign w:val="center"/>
          </w:tcPr>
          <w:p w14:paraId="5D8CF603" w14:textId="5829F38B"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84</w:t>
            </w:r>
          </w:p>
        </w:tc>
        <w:tc>
          <w:tcPr>
            <w:tcW w:w="1134" w:type="dxa"/>
            <w:noWrap/>
            <w:vAlign w:val="center"/>
          </w:tcPr>
          <w:p w14:paraId="03C6A636" w14:textId="670009B2"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4,726,182</w:t>
            </w:r>
          </w:p>
        </w:tc>
        <w:tc>
          <w:tcPr>
            <w:tcW w:w="1134" w:type="dxa"/>
            <w:noWrap/>
            <w:vAlign w:val="center"/>
          </w:tcPr>
          <w:p w14:paraId="76E32647" w14:textId="7353C24D"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6,164,187</w:t>
            </w:r>
          </w:p>
        </w:tc>
        <w:tc>
          <w:tcPr>
            <w:tcW w:w="1134" w:type="dxa"/>
            <w:noWrap/>
            <w:vAlign w:val="center"/>
          </w:tcPr>
          <w:p w14:paraId="034068A2" w14:textId="10E0D8D1"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77</w:t>
            </w:r>
          </w:p>
        </w:tc>
      </w:tr>
      <w:tr w:rsidR="00270491" w:rsidRPr="00CE058E" w14:paraId="3832AE8F" w14:textId="77777777" w:rsidTr="00614E92">
        <w:trPr>
          <w:trHeight w:val="288"/>
          <w:jc w:val="center"/>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277C5C80" w14:textId="18CAE564"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Q</w:t>
            </w:r>
            <w:r w:rsidR="00C661AB" w:rsidRPr="00CE058E">
              <w:rPr>
                <w:rFonts w:eastAsia="Times New Roman" w:cs="Arial"/>
                <w:color w:val="auto"/>
                <w:sz w:val="16"/>
                <w:szCs w:val="16"/>
                <w:lang w:eastAsia="en-AU"/>
              </w:rPr>
              <w:t>ld</w:t>
            </w:r>
          </w:p>
        </w:tc>
        <w:tc>
          <w:tcPr>
            <w:tcW w:w="1129" w:type="dxa"/>
            <w:noWrap/>
            <w:vAlign w:val="center"/>
          </w:tcPr>
          <w:p w14:paraId="68F56F04" w14:textId="376093AD"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6,074,761</w:t>
            </w:r>
          </w:p>
        </w:tc>
        <w:tc>
          <w:tcPr>
            <w:tcW w:w="1139" w:type="dxa"/>
            <w:noWrap/>
            <w:vAlign w:val="center"/>
          </w:tcPr>
          <w:p w14:paraId="2AB0E876" w14:textId="023F7E63"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6,844,676</w:t>
            </w:r>
          </w:p>
        </w:tc>
        <w:tc>
          <w:tcPr>
            <w:tcW w:w="1129" w:type="dxa"/>
            <w:noWrap/>
            <w:vAlign w:val="center"/>
          </w:tcPr>
          <w:p w14:paraId="5FD2C1F2" w14:textId="778326FD"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89</w:t>
            </w:r>
          </w:p>
        </w:tc>
        <w:tc>
          <w:tcPr>
            <w:tcW w:w="1134" w:type="dxa"/>
            <w:noWrap/>
            <w:vAlign w:val="center"/>
          </w:tcPr>
          <w:p w14:paraId="33673AE7" w14:textId="6F51E96C"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6,774,890</w:t>
            </w:r>
          </w:p>
        </w:tc>
        <w:tc>
          <w:tcPr>
            <w:tcW w:w="1134" w:type="dxa"/>
            <w:noWrap/>
            <w:vAlign w:val="center"/>
          </w:tcPr>
          <w:p w14:paraId="1A4B8F87" w14:textId="6B47FEB2"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8,220,724</w:t>
            </w:r>
          </w:p>
        </w:tc>
        <w:tc>
          <w:tcPr>
            <w:tcW w:w="1134" w:type="dxa"/>
            <w:noWrap/>
            <w:vAlign w:val="center"/>
          </w:tcPr>
          <w:p w14:paraId="5FCDFF30" w14:textId="7168AFB7"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82</w:t>
            </w:r>
          </w:p>
        </w:tc>
        <w:tc>
          <w:tcPr>
            <w:tcW w:w="1134" w:type="dxa"/>
            <w:noWrap/>
            <w:vAlign w:val="center"/>
          </w:tcPr>
          <w:p w14:paraId="7CC3C9C6" w14:textId="3474D257"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8,554,330</w:t>
            </w:r>
          </w:p>
        </w:tc>
        <w:tc>
          <w:tcPr>
            <w:tcW w:w="1134" w:type="dxa"/>
            <w:noWrap/>
            <w:vAlign w:val="center"/>
          </w:tcPr>
          <w:p w14:paraId="7E209C00" w14:textId="00B6220F"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11,564,435</w:t>
            </w:r>
          </w:p>
        </w:tc>
        <w:tc>
          <w:tcPr>
            <w:tcW w:w="1134" w:type="dxa"/>
            <w:noWrap/>
            <w:vAlign w:val="center"/>
          </w:tcPr>
          <w:p w14:paraId="440D9B91" w14:textId="4BEE5287"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74</w:t>
            </w:r>
          </w:p>
        </w:tc>
      </w:tr>
      <w:tr w:rsidR="002D205C" w:rsidRPr="00CE058E" w14:paraId="7958AD81" w14:textId="77777777" w:rsidTr="002D29F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3A7231D9" w14:textId="77777777"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SA</w:t>
            </w:r>
          </w:p>
        </w:tc>
        <w:tc>
          <w:tcPr>
            <w:tcW w:w="1129" w:type="dxa"/>
            <w:noWrap/>
            <w:vAlign w:val="center"/>
          </w:tcPr>
          <w:p w14:paraId="49EF157E" w14:textId="6980FBC8"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1,699,229</w:t>
            </w:r>
          </w:p>
        </w:tc>
        <w:tc>
          <w:tcPr>
            <w:tcW w:w="1139" w:type="dxa"/>
            <w:noWrap/>
            <w:vAlign w:val="center"/>
          </w:tcPr>
          <w:p w14:paraId="74185D6F" w14:textId="14AD287B"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1,703,749</w:t>
            </w:r>
          </w:p>
        </w:tc>
        <w:tc>
          <w:tcPr>
            <w:tcW w:w="1129" w:type="dxa"/>
            <w:noWrap/>
            <w:vAlign w:val="center"/>
          </w:tcPr>
          <w:p w14:paraId="65C56348" w14:textId="1BDC8FBE"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100</w:t>
            </w:r>
          </w:p>
        </w:tc>
        <w:tc>
          <w:tcPr>
            <w:tcW w:w="1134" w:type="dxa"/>
            <w:noWrap/>
            <w:vAlign w:val="center"/>
          </w:tcPr>
          <w:p w14:paraId="607EBA04" w14:textId="664553BE"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1,960,074</w:t>
            </w:r>
          </w:p>
        </w:tc>
        <w:tc>
          <w:tcPr>
            <w:tcW w:w="1134" w:type="dxa"/>
            <w:noWrap/>
            <w:vAlign w:val="center"/>
          </w:tcPr>
          <w:p w14:paraId="78B304C4" w14:textId="098E2F66"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1,971,189</w:t>
            </w:r>
          </w:p>
        </w:tc>
        <w:tc>
          <w:tcPr>
            <w:tcW w:w="1134" w:type="dxa"/>
            <w:noWrap/>
            <w:vAlign w:val="center"/>
          </w:tcPr>
          <w:p w14:paraId="06CAC0D4" w14:textId="706F1AEB"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99</w:t>
            </w:r>
          </w:p>
        </w:tc>
        <w:tc>
          <w:tcPr>
            <w:tcW w:w="1134" w:type="dxa"/>
            <w:noWrap/>
            <w:vAlign w:val="center"/>
          </w:tcPr>
          <w:p w14:paraId="2B542E9A" w14:textId="0CAA8601"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3,534,331</w:t>
            </w:r>
          </w:p>
        </w:tc>
        <w:tc>
          <w:tcPr>
            <w:tcW w:w="1134" w:type="dxa"/>
            <w:noWrap/>
            <w:vAlign w:val="center"/>
          </w:tcPr>
          <w:p w14:paraId="578C9C84" w14:textId="04E39B79"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3,772,911</w:t>
            </w:r>
          </w:p>
        </w:tc>
        <w:tc>
          <w:tcPr>
            <w:tcW w:w="1134" w:type="dxa"/>
            <w:noWrap/>
            <w:vAlign w:val="center"/>
          </w:tcPr>
          <w:p w14:paraId="485D543C" w14:textId="683ECA93"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94</w:t>
            </w:r>
          </w:p>
        </w:tc>
      </w:tr>
      <w:tr w:rsidR="00270491" w:rsidRPr="00CE058E" w14:paraId="16AA4FF1" w14:textId="77777777" w:rsidTr="00614E92">
        <w:trPr>
          <w:trHeight w:val="288"/>
          <w:jc w:val="center"/>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16A212DC" w14:textId="77777777"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WA</w:t>
            </w:r>
          </w:p>
        </w:tc>
        <w:tc>
          <w:tcPr>
            <w:tcW w:w="1129" w:type="dxa"/>
            <w:noWrap/>
            <w:vAlign w:val="center"/>
          </w:tcPr>
          <w:p w14:paraId="62BA4A00" w14:textId="42B4BDEF"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2,222,967</w:t>
            </w:r>
          </w:p>
        </w:tc>
        <w:tc>
          <w:tcPr>
            <w:tcW w:w="1139" w:type="dxa"/>
            <w:noWrap/>
            <w:vAlign w:val="center"/>
          </w:tcPr>
          <w:p w14:paraId="1FB5D82A" w14:textId="5E6F7B1F"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2,928,638</w:t>
            </w:r>
          </w:p>
        </w:tc>
        <w:tc>
          <w:tcPr>
            <w:tcW w:w="1129" w:type="dxa"/>
            <w:noWrap/>
            <w:vAlign w:val="center"/>
          </w:tcPr>
          <w:p w14:paraId="1E3287E5" w14:textId="3D345639"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76</w:t>
            </w:r>
          </w:p>
        </w:tc>
        <w:tc>
          <w:tcPr>
            <w:tcW w:w="1134" w:type="dxa"/>
            <w:noWrap/>
            <w:vAlign w:val="center"/>
          </w:tcPr>
          <w:p w14:paraId="13941E5B" w14:textId="2AD032E5"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2,683,334</w:t>
            </w:r>
          </w:p>
        </w:tc>
        <w:tc>
          <w:tcPr>
            <w:tcW w:w="1134" w:type="dxa"/>
            <w:noWrap/>
            <w:vAlign w:val="center"/>
          </w:tcPr>
          <w:p w14:paraId="345D4B72" w14:textId="693C56EE"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3,369,377</w:t>
            </w:r>
          </w:p>
        </w:tc>
        <w:tc>
          <w:tcPr>
            <w:tcW w:w="1134" w:type="dxa"/>
            <w:noWrap/>
            <w:vAlign w:val="center"/>
          </w:tcPr>
          <w:p w14:paraId="7A242BB4" w14:textId="47F72C66"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80</w:t>
            </w:r>
          </w:p>
        </w:tc>
        <w:tc>
          <w:tcPr>
            <w:tcW w:w="1134" w:type="dxa"/>
            <w:noWrap/>
            <w:vAlign w:val="center"/>
          </w:tcPr>
          <w:p w14:paraId="58AD89AE" w14:textId="103D4F0A"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2,829,078</w:t>
            </w:r>
          </w:p>
        </w:tc>
        <w:tc>
          <w:tcPr>
            <w:tcW w:w="1134" w:type="dxa"/>
            <w:noWrap/>
            <w:vAlign w:val="center"/>
          </w:tcPr>
          <w:p w14:paraId="1487CAA1" w14:textId="1B0DEFED"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3,494,375</w:t>
            </w:r>
          </w:p>
        </w:tc>
        <w:tc>
          <w:tcPr>
            <w:tcW w:w="1134" w:type="dxa"/>
            <w:noWrap/>
            <w:vAlign w:val="center"/>
          </w:tcPr>
          <w:p w14:paraId="387543FA" w14:textId="0521441D"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81</w:t>
            </w:r>
          </w:p>
        </w:tc>
      </w:tr>
      <w:tr w:rsidR="002D205C" w:rsidRPr="00CE058E" w14:paraId="3E3D875A" w14:textId="77777777" w:rsidTr="002D29F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566BA05C" w14:textId="7C2E555F"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T</w:t>
            </w:r>
            <w:r w:rsidR="00C661AB" w:rsidRPr="00CE058E">
              <w:rPr>
                <w:rFonts w:eastAsia="Times New Roman" w:cs="Arial"/>
                <w:color w:val="auto"/>
                <w:sz w:val="16"/>
                <w:szCs w:val="16"/>
                <w:lang w:eastAsia="en-AU"/>
              </w:rPr>
              <w:t>as</w:t>
            </w:r>
          </w:p>
        </w:tc>
        <w:tc>
          <w:tcPr>
            <w:tcW w:w="1129" w:type="dxa"/>
            <w:noWrap/>
            <w:vAlign w:val="center"/>
          </w:tcPr>
          <w:p w14:paraId="79F3D757" w14:textId="6EEF93AD"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556,323</w:t>
            </w:r>
          </w:p>
        </w:tc>
        <w:tc>
          <w:tcPr>
            <w:tcW w:w="1139" w:type="dxa"/>
            <w:noWrap/>
            <w:vAlign w:val="center"/>
          </w:tcPr>
          <w:p w14:paraId="1A99105B" w14:textId="30C7F3A7"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569,806</w:t>
            </w:r>
          </w:p>
        </w:tc>
        <w:tc>
          <w:tcPr>
            <w:tcW w:w="1129" w:type="dxa"/>
            <w:noWrap/>
            <w:vAlign w:val="center"/>
          </w:tcPr>
          <w:p w14:paraId="7D152E53" w14:textId="5D08FF3B"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98</w:t>
            </w:r>
          </w:p>
        </w:tc>
        <w:tc>
          <w:tcPr>
            <w:tcW w:w="1134" w:type="dxa"/>
            <w:noWrap/>
            <w:vAlign w:val="center"/>
          </w:tcPr>
          <w:p w14:paraId="309F19FE" w14:textId="00BA20E8"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699,461</w:t>
            </w:r>
          </w:p>
        </w:tc>
        <w:tc>
          <w:tcPr>
            <w:tcW w:w="1134" w:type="dxa"/>
            <w:noWrap/>
            <w:vAlign w:val="center"/>
          </w:tcPr>
          <w:p w14:paraId="62B4F838" w14:textId="66424C4E"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858,232</w:t>
            </w:r>
          </w:p>
        </w:tc>
        <w:tc>
          <w:tcPr>
            <w:tcW w:w="1134" w:type="dxa"/>
            <w:noWrap/>
            <w:vAlign w:val="center"/>
          </w:tcPr>
          <w:p w14:paraId="53A3591B" w14:textId="63622A21"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82</w:t>
            </w:r>
          </w:p>
        </w:tc>
        <w:tc>
          <w:tcPr>
            <w:tcW w:w="1134" w:type="dxa"/>
            <w:noWrap/>
            <w:vAlign w:val="center"/>
          </w:tcPr>
          <w:p w14:paraId="3C9E35B4" w14:textId="7F8D1488"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835,257</w:t>
            </w:r>
          </w:p>
        </w:tc>
        <w:tc>
          <w:tcPr>
            <w:tcW w:w="1134" w:type="dxa"/>
            <w:noWrap/>
            <w:vAlign w:val="center"/>
          </w:tcPr>
          <w:p w14:paraId="1C7F0C84" w14:textId="6259A4B5"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1,394,955</w:t>
            </w:r>
          </w:p>
        </w:tc>
        <w:tc>
          <w:tcPr>
            <w:tcW w:w="1134" w:type="dxa"/>
            <w:noWrap/>
            <w:vAlign w:val="center"/>
          </w:tcPr>
          <w:p w14:paraId="510FDA6D" w14:textId="41E18E6A"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60</w:t>
            </w:r>
          </w:p>
        </w:tc>
      </w:tr>
      <w:tr w:rsidR="00270491" w:rsidRPr="00CE058E" w14:paraId="79919BB6" w14:textId="77777777" w:rsidTr="00614E92">
        <w:trPr>
          <w:trHeight w:val="288"/>
          <w:jc w:val="center"/>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496373DE" w14:textId="77777777"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NT</w:t>
            </w:r>
          </w:p>
        </w:tc>
        <w:tc>
          <w:tcPr>
            <w:tcW w:w="1129" w:type="dxa"/>
            <w:noWrap/>
            <w:vAlign w:val="center"/>
          </w:tcPr>
          <w:p w14:paraId="0760E8DD" w14:textId="3645BF04"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311,963</w:t>
            </w:r>
          </w:p>
        </w:tc>
        <w:tc>
          <w:tcPr>
            <w:tcW w:w="1139" w:type="dxa"/>
            <w:noWrap/>
            <w:vAlign w:val="center"/>
          </w:tcPr>
          <w:p w14:paraId="2BD21844" w14:textId="463E877D"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604,585</w:t>
            </w:r>
          </w:p>
        </w:tc>
        <w:tc>
          <w:tcPr>
            <w:tcW w:w="1129" w:type="dxa"/>
            <w:noWrap/>
            <w:vAlign w:val="center"/>
          </w:tcPr>
          <w:p w14:paraId="35F9A219" w14:textId="26992ABB"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52</w:t>
            </w:r>
          </w:p>
        </w:tc>
        <w:tc>
          <w:tcPr>
            <w:tcW w:w="1134" w:type="dxa"/>
            <w:noWrap/>
            <w:vAlign w:val="center"/>
          </w:tcPr>
          <w:p w14:paraId="44CC782B" w14:textId="2410B083"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357,560</w:t>
            </w:r>
          </w:p>
        </w:tc>
        <w:tc>
          <w:tcPr>
            <w:tcW w:w="1134" w:type="dxa"/>
            <w:noWrap/>
            <w:vAlign w:val="center"/>
          </w:tcPr>
          <w:p w14:paraId="732AD05A" w14:textId="2438CBD3"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650,857</w:t>
            </w:r>
          </w:p>
        </w:tc>
        <w:tc>
          <w:tcPr>
            <w:tcW w:w="1134" w:type="dxa"/>
            <w:noWrap/>
            <w:vAlign w:val="center"/>
          </w:tcPr>
          <w:p w14:paraId="4C87F884" w14:textId="72B34B71"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55</w:t>
            </w:r>
          </w:p>
        </w:tc>
        <w:tc>
          <w:tcPr>
            <w:tcW w:w="1134" w:type="dxa"/>
            <w:noWrap/>
            <w:vAlign w:val="center"/>
          </w:tcPr>
          <w:p w14:paraId="1755C87B" w14:textId="2F5055A0"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306,629</w:t>
            </w:r>
          </w:p>
        </w:tc>
        <w:tc>
          <w:tcPr>
            <w:tcW w:w="1134" w:type="dxa"/>
            <w:noWrap/>
            <w:vAlign w:val="center"/>
          </w:tcPr>
          <w:p w14:paraId="50F8D912" w14:textId="37F1B244"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582,837</w:t>
            </w:r>
          </w:p>
        </w:tc>
        <w:tc>
          <w:tcPr>
            <w:tcW w:w="1134" w:type="dxa"/>
            <w:noWrap/>
            <w:vAlign w:val="center"/>
          </w:tcPr>
          <w:p w14:paraId="75AC5ED4" w14:textId="07617C13"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53</w:t>
            </w:r>
          </w:p>
        </w:tc>
      </w:tr>
      <w:tr w:rsidR="002D205C" w:rsidRPr="00CE058E" w14:paraId="18173369" w14:textId="77777777" w:rsidTr="002D29F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65168EC0" w14:textId="77777777"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ACT</w:t>
            </w:r>
          </w:p>
        </w:tc>
        <w:tc>
          <w:tcPr>
            <w:tcW w:w="1129" w:type="dxa"/>
            <w:noWrap/>
            <w:vAlign w:val="center"/>
          </w:tcPr>
          <w:p w14:paraId="2D6F43AD" w14:textId="29C75B0C"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815,864</w:t>
            </w:r>
          </w:p>
        </w:tc>
        <w:tc>
          <w:tcPr>
            <w:tcW w:w="1139" w:type="dxa"/>
            <w:noWrap/>
            <w:vAlign w:val="center"/>
          </w:tcPr>
          <w:p w14:paraId="20841B37" w14:textId="57CA102A"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844,055</w:t>
            </w:r>
          </w:p>
        </w:tc>
        <w:tc>
          <w:tcPr>
            <w:tcW w:w="1129" w:type="dxa"/>
            <w:noWrap/>
            <w:vAlign w:val="center"/>
          </w:tcPr>
          <w:p w14:paraId="0714DEE2" w14:textId="59D6F59B"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97</w:t>
            </w:r>
          </w:p>
        </w:tc>
        <w:tc>
          <w:tcPr>
            <w:tcW w:w="1134" w:type="dxa"/>
            <w:noWrap/>
            <w:vAlign w:val="center"/>
          </w:tcPr>
          <w:p w14:paraId="46B725AB" w14:textId="4E50BE0F"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966,537</w:t>
            </w:r>
          </w:p>
        </w:tc>
        <w:tc>
          <w:tcPr>
            <w:tcW w:w="1134" w:type="dxa"/>
            <w:noWrap/>
            <w:vAlign w:val="center"/>
          </w:tcPr>
          <w:p w14:paraId="7B2CF958" w14:textId="1C70D9B1"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1,134,228</w:t>
            </w:r>
          </w:p>
        </w:tc>
        <w:tc>
          <w:tcPr>
            <w:tcW w:w="1134" w:type="dxa"/>
            <w:noWrap/>
            <w:vAlign w:val="center"/>
          </w:tcPr>
          <w:p w14:paraId="07669836" w14:textId="17715AC1"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85</w:t>
            </w:r>
          </w:p>
        </w:tc>
        <w:tc>
          <w:tcPr>
            <w:tcW w:w="1134" w:type="dxa"/>
            <w:noWrap/>
            <w:vAlign w:val="center"/>
          </w:tcPr>
          <w:p w14:paraId="05EA112F" w14:textId="0A9819BF"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1,685,768</w:t>
            </w:r>
          </w:p>
        </w:tc>
        <w:tc>
          <w:tcPr>
            <w:tcW w:w="1134" w:type="dxa"/>
            <w:noWrap/>
            <w:vAlign w:val="center"/>
          </w:tcPr>
          <w:p w14:paraId="7FA1E913" w14:textId="08207521"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1,688,638</w:t>
            </w:r>
          </w:p>
        </w:tc>
        <w:tc>
          <w:tcPr>
            <w:tcW w:w="1134" w:type="dxa"/>
            <w:noWrap/>
            <w:vAlign w:val="center"/>
          </w:tcPr>
          <w:p w14:paraId="0177762B" w14:textId="27F89B10"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100</w:t>
            </w:r>
          </w:p>
        </w:tc>
      </w:tr>
      <w:tr w:rsidR="00270491" w:rsidRPr="00CE058E" w14:paraId="42B3DEEE" w14:textId="77777777" w:rsidTr="00614E92">
        <w:trPr>
          <w:trHeight w:val="288"/>
          <w:jc w:val="center"/>
        </w:trPr>
        <w:tc>
          <w:tcPr>
            <w:cnfStyle w:val="001000000000" w:firstRow="0" w:lastRow="0" w:firstColumn="1" w:lastColumn="0" w:oddVBand="0" w:evenVBand="0" w:oddHBand="0" w:evenHBand="0" w:firstRowFirstColumn="0" w:firstRowLastColumn="0" w:lastRowFirstColumn="0" w:lastRowLastColumn="0"/>
            <w:tcW w:w="1139" w:type="dxa"/>
            <w:noWrap/>
            <w:vAlign w:val="center"/>
            <w:hideMark/>
          </w:tcPr>
          <w:p w14:paraId="28C08689" w14:textId="77777777" w:rsidR="00687D09" w:rsidRPr="00CE058E" w:rsidRDefault="00687D09" w:rsidP="00C661AB">
            <w:pPr>
              <w:spacing w:line="240" w:lineRule="auto"/>
              <w:jc w:val="center"/>
              <w:rPr>
                <w:rFonts w:eastAsia="Times New Roman" w:cs="Arial"/>
                <w:b w:val="0"/>
                <w:bCs w:val="0"/>
                <w:color w:val="auto"/>
                <w:sz w:val="16"/>
                <w:szCs w:val="16"/>
                <w:lang w:eastAsia="en-AU"/>
              </w:rPr>
            </w:pPr>
            <w:r w:rsidRPr="00CE058E">
              <w:rPr>
                <w:rFonts w:eastAsia="Times New Roman" w:cs="Arial"/>
                <w:color w:val="auto"/>
                <w:sz w:val="16"/>
                <w:szCs w:val="16"/>
                <w:lang w:eastAsia="en-AU"/>
              </w:rPr>
              <w:t>National</w:t>
            </w:r>
          </w:p>
        </w:tc>
        <w:tc>
          <w:tcPr>
            <w:tcW w:w="1129" w:type="dxa"/>
            <w:noWrap/>
            <w:vAlign w:val="center"/>
          </w:tcPr>
          <w:p w14:paraId="7CF609FC" w14:textId="5D978EED"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23,510,721</w:t>
            </w:r>
          </w:p>
        </w:tc>
        <w:tc>
          <w:tcPr>
            <w:tcW w:w="1139" w:type="dxa"/>
            <w:noWrap/>
            <w:vAlign w:val="center"/>
          </w:tcPr>
          <w:p w14:paraId="05EA0F0C" w14:textId="35BB43AB"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31,129,227</w:t>
            </w:r>
          </w:p>
        </w:tc>
        <w:tc>
          <w:tcPr>
            <w:tcW w:w="1129" w:type="dxa"/>
            <w:noWrap/>
            <w:vAlign w:val="center"/>
          </w:tcPr>
          <w:p w14:paraId="7F4FF4A1" w14:textId="0CB3692F"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76</w:t>
            </w:r>
          </w:p>
        </w:tc>
        <w:tc>
          <w:tcPr>
            <w:tcW w:w="1134" w:type="dxa"/>
            <w:noWrap/>
            <w:vAlign w:val="center"/>
          </w:tcPr>
          <w:p w14:paraId="3968CA50" w14:textId="603A2411"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28,199,096</w:t>
            </w:r>
          </w:p>
        </w:tc>
        <w:tc>
          <w:tcPr>
            <w:tcW w:w="1134" w:type="dxa"/>
            <w:noWrap/>
            <w:vAlign w:val="center"/>
          </w:tcPr>
          <w:p w14:paraId="0426226D" w14:textId="08B1016F"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37,888,745</w:t>
            </w:r>
          </w:p>
        </w:tc>
        <w:tc>
          <w:tcPr>
            <w:tcW w:w="1134" w:type="dxa"/>
            <w:noWrap/>
            <w:vAlign w:val="center"/>
          </w:tcPr>
          <w:p w14:paraId="46036E63" w14:textId="5CADED31"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74</w:t>
            </w:r>
          </w:p>
        </w:tc>
        <w:tc>
          <w:tcPr>
            <w:tcW w:w="1134" w:type="dxa"/>
            <w:noWrap/>
            <w:vAlign w:val="center"/>
          </w:tcPr>
          <w:p w14:paraId="0CAEAE0D" w14:textId="3186790B"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b/>
                <w:bCs/>
                <w:color w:val="auto"/>
                <w:sz w:val="16"/>
                <w:szCs w:val="16"/>
                <w:lang w:eastAsia="en-AU"/>
              </w:rPr>
              <w:t>32,394,791</w:t>
            </w:r>
          </w:p>
        </w:tc>
        <w:tc>
          <w:tcPr>
            <w:tcW w:w="1134" w:type="dxa"/>
            <w:noWrap/>
            <w:vAlign w:val="center"/>
          </w:tcPr>
          <w:p w14:paraId="2457D349" w14:textId="0EDE5ECF"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44,411,447</w:t>
            </w:r>
          </w:p>
        </w:tc>
        <w:tc>
          <w:tcPr>
            <w:tcW w:w="1134" w:type="dxa"/>
            <w:noWrap/>
            <w:vAlign w:val="center"/>
          </w:tcPr>
          <w:p w14:paraId="58515196" w14:textId="76975DDB"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73</w:t>
            </w:r>
          </w:p>
        </w:tc>
      </w:tr>
    </w:tbl>
    <w:p w14:paraId="103FC6FA" w14:textId="27A02ABC" w:rsidR="006B4EDF" w:rsidRPr="00CE058E" w:rsidRDefault="006B4EDF" w:rsidP="006B4EDF">
      <w:pPr>
        <w:spacing w:before="160" w:line="276" w:lineRule="auto"/>
        <w:rPr>
          <w:rFonts w:cs="Arial"/>
          <w:color w:val="auto"/>
        </w:rPr>
      </w:pPr>
      <w:r w:rsidRPr="00CE058E">
        <w:rPr>
          <w:rFonts w:cs="Arial"/>
          <w:color w:val="auto"/>
        </w:rPr>
        <w:t>Table 1</w:t>
      </w:r>
      <w:r w:rsidR="0041593C" w:rsidRPr="00CE058E">
        <w:rPr>
          <w:rFonts w:cs="Arial"/>
          <w:color w:val="auto"/>
        </w:rPr>
        <w:t>5</w:t>
      </w:r>
      <w:r w:rsidRPr="00CE058E">
        <w:rPr>
          <w:rFonts w:cs="Arial"/>
          <w:color w:val="auto"/>
        </w:rPr>
        <w:t xml:space="preserve"> shows the number of linked NHCDC records as a proportion of the NHCDC records by jurisdiction from 2019-20 to 2021-22. The NHCDC records increased by 9.3 million </w:t>
      </w:r>
      <w:r w:rsidR="00D75231" w:rsidRPr="00CE058E">
        <w:rPr>
          <w:rFonts w:cs="Arial"/>
          <w:color w:val="auto"/>
        </w:rPr>
        <w:t>(or 38</w:t>
      </w:r>
      <w:r w:rsidR="00897090">
        <w:rPr>
          <w:rFonts w:cs="Arial"/>
          <w:color w:val="auto"/>
        </w:rPr>
        <w:t>%</w:t>
      </w:r>
      <w:r w:rsidR="00D75231" w:rsidRPr="00CE058E">
        <w:rPr>
          <w:rFonts w:cs="Arial"/>
          <w:color w:val="auto"/>
        </w:rPr>
        <w:t>) f</w:t>
      </w:r>
      <w:r w:rsidRPr="00CE058E">
        <w:rPr>
          <w:rFonts w:cs="Arial"/>
          <w:color w:val="auto"/>
        </w:rPr>
        <w:t xml:space="preserve">rom 2019-20 to 2021-22. Nationally, the linked NHCDC records as a proportion of NHCDC records </w:t>
      </w:r>
      <w:r w:rsidR="00D75231" w:rsidRPr="00CE058E">
        <w:rPr>
          <w:rFonts w:cs="Arial"/>
          <w:color w:val="auto"/>
        </w:rPr>
        <w:t>decreased by 1</w:t>
      </w:r>
      <w:r w:rsidR="00897090">
        <w:rPr>
          <w:rFonts w:cs="Arial"/>
          <w:color w:val="auto"/>
        </w:rPr>
        <w:t>%</w:t>
      </w:r>
      <w:r w:rsidRPr="00CE058E">
        <w:rPr>
          <w:rFonts w:cs="Arial"/>
          <w:color w:val="auto"/>
        </w:rPr>
        <w:t xml:space="preserve"> from 97</w:t>
      </w:r>
      <w:r w:rsidR="00897090">
        <w:rPr>
          <w:rFonts w:cs="Arial"/>
          <w:color w:val="auto"/>
        </w:rPr>
        <w:t>%</w:t>
      </w:r>
      <w:r w:rsidRPr="00CE058E">
        <w:rPr>
          <w:rFonts w:cs="Arial"/>
          <w:color w:val="auto"/>
        </w:rPr>
        <w:t xml:space="preserve"> in 2019-20 to 9</w:t>
      </w:r>
      <w:r w:rsidR="00D75231" w:rsidRPr="00CE058E">
        <w:rPr>
          <w:rFonts w:cs="Arial"/>
          <w:color w:val="auto"/>
        </w:rPr>
        <w:t>6</w:t>
      </w:r>
      <w:r w:rsidR="00897090">
        <w:rPr>
          <w:rFonts w:cs="Arial"/>
          <w:color w:val="auto"/>
        </w:rPr>
        <w:t>%</w:t>
      </w:r>
      <w:r w:rsidRPr="00CE058E">
        <w:rPr>
          <w:rFonts w:cs="Arial"/>
          <w:color w:val="auto"/>
        </w:rPr>
        <w:t xml:space="preserve"> in 2021-22.</w:t>
      </w:r>
    </w:p>
    <w:p w14:paraId="2D29C39F" w14:textId="3EA0BAEB" w:rsidR="00471A96" w:rsidRPr="00CE058E" w:rsidRDefault="002F162B" w:rsidP="00B42434">
      <w:pPr>
        <w:pStyle w:val="TableFigureheading"/>
      </w:pPr>
      <w:bookmarkStart w:id="344" w:name="_Toc149650916"/>
      <w:bookmarkStart w:id="345" w:name="_Toc151370041"/>
      <w:r w:rsidRPr="00CE058E">
        <w:t xml:space="preserve">Table </w:t>
      </w:r>
      <w:r>
        <w:fldChar w:fldCharType="begin"/>
      </w:r>
      <w:r>
        <w:instrText xml:space="preserve"> SEQ Table \* ARABIC </w:instrText>
      </w:r>
      <w:r>
        <w:fldChar w:fldCharType="separate"/>
      </w:r>
      <w:r w:rsidR="00B42434">
        <w:rPr>
          <w:noProof/>
        </w:rPr>
        <w:t>15</w:t>
      </w:r>
      <w:r>
        <w:rPr>
          <w:noProof/>
        </w:rPr>
        <w:fldChar w:fldCharType="end"/>
      </w:r>
      <w:r w:rsidR="00BB2DE2" w:rsidRPr="00CE058E">
        <w:t>: Proportion of linked NHCDC records to NHCDC records, 2019-20 to 2021-22</w:t>
      </w:r>
      <w:bookmarkEnd w:id="344"/>
      <w:bookmarkEnd w:id="345"/>
    </w:p>
    <w:tbl>
      <w:tblPr>
        <w:tblStyle w:val="GridTable4-Accent2"/>
        <w:tblW w:w="10494" w:type="dxa"/>
        <w:jc w:val="center"/>
        <w:tblLayout w:type="fixed"/>
        <w:tblLook w:val="04A0" w:firstRow="1" w:lastRow="0" w:firstColumn="1" w:lastColumn="0" w:noHBand="0" w:noVBand="1"/>
      </w:tblPr>
      <w:tblGrid>
        <w:gridCol w:w="1155"/>
        <w:gridCol w:w="1037"/>
        <w:gridCol w:w="1038"/>
        <w:gridCol w:w="1038"/>
        <w:gridCol w:w="1037"/>
        <w:gridCol w:w="1038"/>
        <w:gridCol w:w="1038"/>
        <w:gridCol w:w="1037"/>
        <w:gridCol w:w="1038"/>
        <w:gridCol w:w="1038"/>
      </w:tblGrid>
      <w:tr w:rsidR="00A47745" w:rsidRPr="00CE058E" w14:paraId="435EF500" w14:textId="77777777" w:rsidTr="00A47745">
        <w:trPr>
          <w:cnfStyle w:val="100000000000" w:firstRow="1" w:lastRow="0" w:firstColumn="0" w:lastColumn="0" w:oddVBand="0" w:evenVBand="0" w:oddHBand="0"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1155"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36427744" w14:textId="098EE898" w:rsidR="00471A96" w:rsidRPr="00CE058E" w:rsidRDefault="00150FC2" w:rsidP="00C661AB">
            <w:pPr>
              <w:spacing w:line="240" w:lineRule="auto"/>
              <w:jc w:val="center"/>
              <w:rPr>
                <w:rFonts w:eastAsia="Times New Roman" w:cs="Arial"/>
                <w:b w:val="0"/>
                <w:bCs w:val="0"/>
                <w:color w:val="FFFFFF" w:themeColor="background2"/>
                <w:sz w:val="16"/>
                <w:szCs w:val="16"/>
                <w:lang w:eastAsia="en-AU"/>
              </w:rPr>
            </w:pPr>
            <w:r w:rsidRPr="00CE058E">
              <w:rPr>
                <w:rFonts w:eastAsia="Times New Roman" w:cs="Arial"/>
                <w:color w:val="FFFFFF" w:themeColor="background2"/>
                <w:sz w:val="16"/>
                <w:szCs w:val="16"/>
                <w:lang w:eastAsia="en-AU"/>
              </w:rPr>
              <w:t>Jurisdiction</w:t>
            </w:r>
          </w:p>
        </w:tc>
        <w:tc>
          <w:tcPr>
            <w:tcW w:w="3113"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2EE630A3" w14:textId="77777777" w:rsidR="00471A96" w:rsidRPr="00CE058E" w:rsidRDefault="00471A96"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6"/>
                <w:szCs w:val="16"/>
                <w:lang w:eastAsia="en-AU"/>
              </w:rPr>
            </w:pPr>
            <w:r w:rsidRPr="00CE058E">
              <w:rPr>
                <w:rFonts w:eastAsia="Times New Roman" w:cs="Arial"/>
                <w:color w:val="FFFFFF" w:themeColor="background2"/>
                <w:sz w:val="16"/>
                <w:szCs w:val="16"/>
                <w:lang w:eastAsia="en-AU"/>
              </w:rPr>
              <w:t>2019-20</w:t>
            </w:r>
          </w:p>
        </w:tc>
        <w:tc>
          <w:tcPr>
            <w:tcW w:w="3113" w:type="dxa"/>
            <w:gridSpan w:val="3"/>
            <w:tcBorders>
              <w:top w:val="single" w:sz="4" w:space="0" w:color="FFFFFF" w:themeColor="accent6"/>
              <w:left w:val="single" w:sz="4" w:space="0" w:color="FFFFFF" w:themeColor="background2"/>
              <w:bottom w:val="single" w:sz="4" w:space="0" w:color="FFFFFF" w:themeColor="accent6"/>
              <w:right w:val="single" w:sz="4" w:space="0" w:color="FFFFFF" w:themeColor="accent6"/>
            </w:tcBorders>
            <w:vAlign w:val="center"/>
          </w:tcPr>
          <w:p w14:paraId="4FE4BB40" w14:textId="77777777" w:rsidR="00471A96" w:rsidRPr="00CE058E" w:rsidRDefault="00471A96"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6"/>
                <w:szCs w:val="16"/>
                <w:lang w:eastAsia="en-AU"/>
              </w:rPr>
            </w:pPr>
            <w:r w:rsidRPr="00CE058E">
              <w:rPr>
                <w:rFonts w:eastAsia="Times New Roman" w:cs="Arial"/>
                <w:color w:val="FFFFFF" w:themeColor="background2"/>
                <w:sz w:val="16"/>
                <w:szCs w:val="16"/>
                <w:lang w:eastAsia="en-AU"/>
              </w:rPr>
              <w:t>2020-21</w:t>
            </w:r>
          </w:p>
        </w:tc>
        <w:tc>
          <w:tcPr>
            <w:tcW w:w="3113" w:type="dxa"/>
            <w:gridSpan w:val="3"/>
            <w:tcBorders>
              <w:top w:val="single" w:sz="4" w:space="0" w:color="FFFFFF" w:themeColor="accent6"/>
              <w:left w:val="single" w:sz="4" w:space="0" w:color="FFFFFF" w:themeColor="accent6"/>
              <w:bottom w:val="single" w:sz="4" w:space="0" w:color="FFFFFF" w:themeColor="accent6"/>
              <w:right w:val="single" w:sz="4" w:space="0" w:color="FFFFFF" w:themeColor="accent6"/>
            </w:tcBorders>
            <w:vAlign w:val="center"/>
          </w:tcPr>
          <w:p w14:paraId="14F05E85" w14:textId="77777777" w:rsidR="00471A96" w:rsidRPr="00CE058E" w:rsidRDefault="00471A96"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6"/>
                <w:szCs w:val="16"/>
                <w:lang w:eastAsia="en-AU"/>
              </w:rPr>
            </w:pPr>
            <w:r w:rsidRPr="00CE058E">
              <w:rPr>
                <w:rFonts w:eastAsia="Times New Roman" w:cs="Arial"/>
                <w:color w:val="FFFFFF" w:themeColor="background2"/>
                <w:sz w:val="16"/>
                <w:szCs w:val="16"/>
                <w:lang w:eastAsia="en-AU"/>
              </w:rPr>
              <w:t>2021-22</w:t>
            </w:r>
          </w:p>
        </w:tc>
      </w:tr>
      <w:tr w:rsidR="00F46C13" w:rsidRPr="00CE058E" w14:paraId="7D206A9F" w14:textId="77777777" w:rsidTr="00A47745">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1155"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55E34A3A" w14:textId="77777777" w:rsidR="00687D09" w:rsidRPr="00CE058E" w:rsidRDefault="00687D09" w:rsidP="00C661AB">
            <w:pPr>
              <w:spacing w:line="240" w:lineRule="auto"/>
              <w:jc w:val="center"/>
              <w:rPr>
                <w:rFonts w:eastAsia="Times New Roman" w:cs="Arial"/>
                <w:color w:val="FFFFFF" w:themeColor="background2"/>
                <w:sz w:val="16"/>
                <w:szCs w:val="16"/>
                <w:lang w:eastAsia="en-AU"/>
              </w:rPr>
            </w:pPr>
          </w:p>
        </w:tc>
        <w:tc>
          <w:tcPr>
            <w:tcW w:w="103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0BA37FCB" w14:textId="317111F4" w:rsidR="00687D09" w:rsidRPr="00CE058E" w:rsidRDefault="4933A46F"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accent6"/>
                <w:sz w:val="16"/>
                <w:szCs w:val="16"/>
                <w:lang w:eastAsia="en-AU"/>
              </w:rPr>
              <w:t>Linked NHCDC records</w:t>
            </w:r>
          </w:p>
        </w:tc>
        <w:tc>
          <w:tcPr>
            <w:tcW w:w="1038" w:type="dxa"/>
            <w:tcBorders>
              <w:top w:val="single" w:sz="4" w:space="0" w:color="FFFFFF" w:themeColor="accent6"/>
              <w:left w:val="single" w:sz="4" w:space="0" w:color="FFFFFF" w:themeColor="background2"/>
              <w:bottom w:val="single" w:sz="4" w:space="0" w:color="FFFFFF" w:themeColor="accent6"/>
              <w:right w:val="single" w:sz="4" w:space="0" w:color="FFFFFF" w:themeColor="accent6"/>
            </w:tcBorders>
            <w:shd w:val="clear" w:color="auto" w:fill="104F99" w:themeFill="accent2"/>
            <w:vAlign w:val="center"/>
          </w:tcPr>
          <w:p w14:paraId="1A6A57BB" w14:textId="372F968C" w:rsidR="00687D09" w:rsidRPr="00CE058E" w:rsidRDefault="00687D09"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background2"/>
                <w:sz w:val="16"/>
                <w:szCs w:val="16"/>
                <w:lang w:eastAsia="en-AU"/>
              </w:rPr>
              <w:t>NHCDC records</w:t>
            </w:r>
          </w:p>
        </w:tc>
        <w:tc>
          <w:tcPr>
            <w:tcW w:w="1038"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7CB45142" w14:textId="31861CB2" w:rsidR="00687D09" w:rsidRPr="00CE058E" w:rsidRDefault="00687D09"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background2"/>
                <w:sz w:val="16"/>
                <w:szCs w:val="16"/>
                <w:lang w:eastAsia="en-AU"/>
              </w:rPr>
              <w:t>Proportion (%)</w:t>
            </w:r>
          </w:p>
        </w:tc>
        <w:tc>
          <w:tcPr>
            <w:tcW w:w="1037"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2C9E5740" w14:textId="59CA8F63" w:rsidR="00687D09" w:rsidRPr="00CE058E" w:rsidRDefault="1F00CC1A"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accent6"/>
                <w:sz w:val="16"/>
                <w:szCs w:val="16"/>
                <w:lang w:eastAsia="en-AU"/>
              </w:rPr>
              <w:t>Linked NHCDC records</w:t>
            </w:r>
          </w:p>
        </w:tc>
        <w:tc>
          <w:tcPr>
            <w:tcW w:w="1038"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5185F8E8" w14:textId="37AF5625" w:rsidR="00687D09" w:rsidRPr="00CE058E" w:rsidRDefault="00687D09"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background2"/>
                <w:sz w:val="16"/>
                <w:szCs w:val="16"/>
                <w:lang w:eastAsia="en-AU"/>
              </w:rPr>
              <w:t>NHCDC records</w:t>
            </w:r>
          </w:p>
        </w:tc>
        <w:tc>
          <w:tcPr>
            <w:tcW w:w="1038"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1BAAC123" w14:textId="3474F382" w:rsidR="00687D09" w:rsidRPr="00CE058E" w:rsidRDefault="00687D09"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background2"/>
                <w:sz w:val="16"/>
                <w:szCs w:val="16"/>
                <w:lang w:eastAsia="en-AU"/>
              </w:rPr>
              <w:t>Proportion (%)</w:t>
            </w:r>
          </w:p>
        </w:tc>
        <w:tc>
          <w:tcPr>
            <w:tcW w:w="1037"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00C021ED" w14:textId="4AEBA953" w:rsidR="00687D09" w:rsidRPr="00CE058E" w:rsidRDefault="5882387E"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accent6"/>
                <w:sz w:val="16"/>
                <w:szCs w:val="16"/>
                <w:lang w:eastAsia="en-AU"/>
              </w:rPr>
              <w:t>Linked NHCDC records</w:t>
            </w:r>
          </w:p>
        </w:tc>
        <w:tc>
          <w:tcPr>
            <w:tcW w:w="1038"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65E23C24" w14:textId="5C88A8C0" w:rsidR="00687D09" w:rsidRPr="00CE058E" w:rsidRDefault="00687D09"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background2"/>
                <w:sz w:val="16"/>
                <w:szCs w:val="16"/>
                <w:lang w:eastAsia="en-AU"/>
              </w:rPr>
              <w:t>NHCDC records</w:t>
            </w:r>
          </w:p>
        </w:tc>
        <w:tc>
          <w:tcPr>
            <w:tcW w:w="1038" w:type="dxa"/>
            <w:tcBorders>
              <w:top w:val="single" w:sz="4" w:space="0" w:color="FFFFFF" w:themeColor="accent6"/>
              <w:left w:val="single" w:sz="4" w:space="0" w:color="FFFFFF" w:themeColor="accent6"/>
              <w:bottom w:val="single" w:sz="4" w:space="0" w:color="FFFFFF" w:themeColor="accent6"/>
              <w:right w:val="single" w:sz="4" w:space="0" w:color="FFFFFF" w:themeColor="accent6"/>
            </w:tcBorders>
            <w:shd w:val="clear" w:color="auto" w:fill="104F99" w:themeFill="accent2"/>
            <w:vAlign w:val="center"/>
          </w:tcPr>
          <w:p w14:paraId="332A1004" w14:textId="22E3F2CD" w:rsidR="00687D09" w:rsidRPr="00CE058E" w:rsidRDefault="00687D09"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6"/>
                <w:szCs w:val="16"/>
                <w:lang w:eastAsia="en-AU"/>
              </w:rPr>
            </w:pPr>
            <w:r w:rsidRPr="00CE058E">
              <w:rPr>
                <w:rFonts w:eastAsia="Times New Roman" w:cs="Arial"/>
                <w:b/>
                <w:bCs/>
                <w:color w:val="FFFFFF" w:themeColor="background2"/>
                <w:sz w:val="16"/>
                <w:szCs w:val="16"/>
                <w:lang w:eastAsia="en-AU"/>
              </w:rPr>
              <w:t>Proportion (%)</w:t>
            </w:r>
          </w:p>
        </w:tc>
      </w:tr>
      <w:tr w:rsidR="002324FE" w:rsidRPr="00CE058E" w14:paraId="57C8676E" w14:textId="77777777" w:rsidTr="00A47745">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tcBorders>
              <w:top w:val="single" w:sz="4" w:space="0" w:color="FFFFFF" w:themeColor="background2"/>
            </w:tcBorders>
            <w:noWrap/>
            <w:vAlign w:val="center"/>
            <w:hideMark/>
          </w:tcPr>
          <w:p w14:paraId="14A78B2B" w14:textId="77777777"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NSW</w:t>
            </w:r>
          </w:p>
        </w:tc>
        <w:tc>
          <w:tcPr>
            <w:tcW w:w="1037" w:type="dxa"/>
            <w:tcBorders>
              <w:top w:val="single" w:sz="4" w:space="0" w:color="FFFFFF" w:themeColor="background2"/>
            </w:tcBorders>
            <w:noWrap/>
            <w:vAlign w:val="center"/>
          </w:tcPr>
          <w:p w14:paraId="7A92A165" w14:textId="452853FE"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7,703,947</w:t>
            </w:r>
          </w:p>
        </w:tc>
        <w:tc>
          <w:tcPr>
            <w:tcW w:w="1038" w:type="dxa"/>
            <w:tcBorders>
              <w:top w:val="single" w:sz="4" w:space="0" w:color="FFFFFF" w:themeColor="accent6"/>
            </w:tcBorders>
            <w:noWrap/>
            <w:vAlign w:val="center"/>
          </w:tcPr>
          <w:p w14:paraId="6646A968" w14:textId="2C116877"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7,717,128</w:t>
            </w:r>
          </w:p>
        </w:tc>
        <w:tc>
          <w:tcPr>
            <w:tcW w:w="1038" w:type="dxa"/>
            <w:tcBorders>
              <w:top w:val="single" w:sz="4" w:space="0" w:color="FFFFFF" w:themeColor="accent6"/>
            </w:tcBorders>
            <w:noWrap/>
            <w:vAlign w:val="center"/>
          </w:tcPr>
          <w:p w14:paraId="3FDDF597" w14:textId="305414B0"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100</w:t>
            </w:r>
          </w:p>
        </w:tc>
        <w:tc>
          <w:tcPr>
            <w:tcW w:w="1037" w:type="dxa"/>
            <w:tcBorders>
              <w:top w:val="single" w:sz="4" w:space="0" w:color="FFFFFF" w:themeColor="accent6"/>
            </w:tcBorders>
            <w:noWrap/>
            <w:vAlign w:val="center"/>
          </w:tcPr>
          <w:p w14:paraId="41237088" w14:textId="1FACAB3A"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10,363,280</w:t>
            </w:r>
          </w:p>
        </w:tc>
        <w:tc>
          <w:tcPr>
            <w:tcW w:w="1038" w:type="dxa"/>
            <w:tcBorders>
              <w:top w:val="single" w:sz="4" w:space="0" w:color="FFFFFF" w:themeColor="accent6"/>
            </w:tcBorders>
            <w:noWrap/>
            <w:vAlign w:val="center"/>
          </w:tcPr>
          <w:p w14:paraId="07A0E09C" w14:textId="06E26B86"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10,363,280</w:t>
            </w:r>
          </w:p>
        </w:tc>
        <w:tc>
          <w:tcPr>
            <w:tcW w:w="1038" w:type="dxa"/>
            <w:tcBorders>
              <w:top w:val="single" w:sz="4" w:space="0" w:color="FFFFFF" w:themeColor="accent6"/>
            </w:tcBorders>
            <w:noWrap/>
            <w:vAlign w:val="center"/>
          </w:tcPr>
          <w:p w14:paraId="41D573EC" w14:textId="24AA8053"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100</w:t>
            </w:r>
          </w:p>
        </w:tc>
        <w:tc>
          <w:tcPr>
            <w:tcW w:w="1037" w:type="dxa"/>
            <w:tcBorders>
              <w:top w:val="single" w:sz="4" w:space="0" w:color="FFFFFF" w:themeColor="accent6"/>
            </w:tcBorders>
            <w:noWrap/>
            <w:vAlign w:val="center"/>
          </w:tcPr>
          <w:p w14:paraId="34CD07DE" w14:textId="7EF70D58"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E058E">
              <w:rPr>
                <w:rFonts w:cs="Arial"/>
                <w:sz w:val="16"/>
                <w:szCs w:val="16"/>
              </w:rPr>
              <w:t>9,923,216</w:t>
            </w:r>
          </w:p>
        </w:tc>
        <w:tc>
          <w:tcPr>
            <w:tcW w:w="1038" w:type="dxa"/>
            <w:tcBorders>
              <w:top w:val="single" w:sz="4" w:space="0" w:color="FFFFFF" w:themeColor="accent6"/>
            </w:tcBorders>
            <w:noWrap/>
            <w:vAlign w:val="center"/>
          </w:tcPr>
          <w:p w14:paraId="38B38F0A" w14:textId="621A936E"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E058E">
              <w:rPr>
                <w:rFonts w:cs="Arial"/>
                <w:sz w:val="16"/>
                <w:szCs w:val="16"/>
              </w:rPr>
              <w:t>9,923,216</w:t>
            </w:r>
          </w:p>
        </w:tc>
        <w:tc>
          <w:tcPr>
            <w:tcW w:w="1038" w:type="dxa"/>
            <w:tcBorders>
              <w:top w:val="single" w:sz="4" w:space="0" w:color="FFFFFF" w:themeColor="accent6"/>
            </w:tcBorders>
            <w:noWrap/>
            <w:vAlign w:val="center"/>
          </w:tcPr>
          <w:p w14:paraId="5B833FBC" w14:textId="3C09C891"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100</w:t>
            </w:r>
          </w:p>
        </w:tc>
      </w:tr>
      <w:tr w:rsidR="00A47745" w:rsidRPr="00CE058E" w14:paraId="61D3DC4D" w14:textId="77777777" w:rsidTr="00A4774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55" w:type="dxa"/>
            <w:noWrap/>
            <w:vAlign w:val="center"/>
            <w:hideMark/>
          </w:tcPr>
          <w:p w14:paraId="4FE59B77" w14:textId="349EF7BE"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V</w:t>
            </w:r>
            <w:r w:rsidR="00C661AB" w:rsidRPr="00CE058E">
              <w:rPr>
                <w:rFonts w:eastAsia="Times New Roman" w:cs="Arial"/>
                <w:color w:val="auto"/>
                <w:sz w:val="16"/>
                <w:szCs w:val="16"/>
                <w:lang w:eastAsia="en-AU"/>
              </w:rPr>
              <w:t>ic</w:t>
            </w:r>
          </w:p>
        </w:tc>
        <w:tc>
          <w:tcPr>
            <w:tcW w:w="1037" w:type="dxa"/>
            <w:noWrap/>
            <w:vAlign w:val="center"/>
          </w:tcPr>
          <w:p w14:paraId="3689FF7E" w14:textId="799411DA"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4,125,667</w:t>
            </w:r>
          </w:p>
        </w:tc>
        <w:tc>
          <w:tcPr>
            <w:tcW w:w="1038" w:type="dxa"/>
            <w:noWrap/>
            <w:vAlign w:val="center"/>
          </w:tcPr>
          <w:p w14:paraId="671B67C0" w14:textId="4DB1189F"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4,872,486</w:t>
            </w:r>
          </w:p>
        </w:tc>
        <w:tc>
          <w:tcPr>
            <w:tcW w:w="1038" w:type="dxa"/>
            <w:noWrap/>
            <w:vAlign w:val="center"/>
          </w:tcPr>
          <w:p w14:paraId="21682EEE" w14:textId="5E604967"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85</w:t>
            </w:r>
          </w:p>
        </w:tc>
        <w:tc>
          <w:tcPr>
            <w:tcW w:w="1037" w:type="dxa"/>
            <w:noWrap/>
            <w:vAlign w:val="center"/>
          </w:tcPr>
          <w:p w14:paraId="34DD35CE" w14:textId="7CDBA2F1"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4,393,960</w:t>
            </w:r>
          </w:p>
        </w:tc>
        <w:tc>
          <w:tcPr>
            <w:tcW w:w="1038" w:type="dxa"/>
            <w:noWrap/>
            <w:vAlign w:val="center"/>
          </w:tcPr>
          <w:p w14:paraId="2565F568" w14:textId="2AF9C58E"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5,038,904</w:t>
            </w:r>
          </w:p>
        </w:tc>
        <w:tc>
          <w:tcPr>
            <w:tcW w:w="1038" w:type="dxa"/>
            <w:noWrap/>
            <w:vAlign w:val="center"/>
          </w:tcPr>
          <w:p w14:paraId="53845AE4" w14:textId="2EECCF62"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87</w:t>
            </w:r>
          </w:p>
        </w:tc>
        <w:tc>
          <w:tcPr>
            <w:tcW w:w="1037" w:type="dxa"/>
            <w:noWrap/>
            <w:vAlign w:val="center"/>
          </w:tcPr>
          <w:p w14:paraId="179FBAF1" w14:textId="6E6F70A9"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E058E">
              <w:rPr>
                <w:rFonts w:cs="Arial"/>
                <w:sz w:val="16"/>
                <w:szCs w:val="16"/>
              </w:rPr>
              <w:t>4,726,182</w:t>
            </w:r>
          </w:p>
        </w:tc>
        <w:tc>
          <w:tcPr>
            <w:tcW w:w="1038" w:type="dxa"/>
            <w:noWrap/>
            <w:vAlign w:val="center"/>
          </w:tcPr>
          <w:p w14:paraId="65D3686B" w14:textId="4E14DD89"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E058E">
              <w:rPr>
                <w:rFonts w:cs="Arial"/>
                <w:sz w:val="16"/>
                <w:szCs w:val="16"/>
              </w:rPr>
              <w:t>5,423,425</w:t>
            </w:r>
          </w:p>
        </w:tc>
        <w:tc>
          <w:tcPr>
            <w:tcW w:w="1038" w:type="dxa"/>
            <w:noWrap/>
            <w:vAlign w:val="center"/>
          </w:tcPr>
          <w:p w14:paraId="7A59CBE6" w14:textId="4DDCA9B5"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87</w:t>
            </w:r>
          </w:p>
        </w:tc>
      </w:tr>
      <w:tr w:rsidR="002324FE" w:rsidRPr="00CE058E" w14:paraId="1BA98A98" w14:textId="77777777" w:rsidTr="00A47745">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noWrap/>
            <w:vAlign w:val="center"/>
            <w:hideMark/>
          </w:tcPr>
          <w:p w14:paraId="58E73169" w14:textId="140FC06C"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Q</w:t>
            </w:r>
            <w:r w:rsidR="00C661AB" w:rsidRPr="00CE058E">
              <w:rPr>
                <w:rFonts w:eastAsia="Times New Roman" w:cs="Arial"/>
                <w:color w:val="auto"/>
                <w:sz w:val="16"/>
                <w:szCs w:val="16"/>
                <w:lang w:eastAsia="en-AU"/>
              </w:rPr>
              <w:t>ld</w:t>
            </w:r>
          </w:p>
        </w:tc>
        <w:tc>
          <w:tcPr>
            <w:tcW w:w="1037" w:type="dxa"/>
            <w:noWrap/>
            <w:vAlign w:val="center"/>
          </w:tcPr>
          <w:p w14:paraId="385F6ADA" w14:textId="1ACC37EA"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6,074,761</w:t>
            </w:r>
          </w:p>
        </w:tc>
        <w:tc>
          <w:tcPr>
            <w:tcW w:w="1038" w:type="dxa"/>
            <w:noWrap/>
            <w:vAlign w:val="center"/>
          </w:tcPr>
          <w:p w14:paraId="3F9301A4" w14:textId="4EB002F4"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6,074,761</w:t>
            </w:r>
          </w:p>
        </w:tc>
        <w:tc>
          <w:tcPr>
            <w:tcW w:w="1038" w:type="dxa"/>
            <w:noWrap/>
            <w:vAlign w:val="center"/>
          </w:tcPr>
          <w:p w14:paraId="05B2BF42" w14:textId="25676D0E"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100</w:t>
            </w:r>
          </w:p>
        </w:tc>
        <w:tc>
          <w:tcPr>
            <w:tcW w:w="1037" w:type="dxa"/>
            <w:noWrap/>
            <w:vAlign w:val="center"/>
          </w:tcPr>
          <w:p w14:paraId="355FEFD0" w14:textId="0C83A37D"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6,774,890</w:t>
            </w:r>
          </w:p>
        </w:tc>
        <w:tc>
          <w:tcPr>
            <w:tcW w:w="1038" w:type="dxa"/>
            <w:noWrap/>
            <w:vAlign w:val="center"/>
          </w:tcPr>
          <w:p w14:paraId="3C7FD82D" w14:textId="2828F34A"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6,774,890</w:t>
            </w:r>
          </w:p>
        </w:tc>
        <w:tc>
          <w:tcPr>
            <w:tcW w:w="1038" w:type="dxa"/>
            <w:noWrap/>
            <w:vAlign w:val="center"/>
          </w:tcPr>
          <w:p w14:paraId="0F95197B" w14:textId="0BCF85EF"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100</w:t>
            </w:r>
          </w:p>
        </w:tc>
        <w:tc>
          <w:tcPr>
            <w:tcW w:w="1037" w:type="dxa"/>
            <w:noWrap/>
            <w:vAlign w:val="center"/>
          </w:tcPr>
          <w:p w14:paraId="65FF4312" w14:textId="4165EB8C"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E058E">
              <w:rPr>
                <w:rFonts w:cs="Arial"/>
                <w:sz w:val="16"/>
                <w:szCs w:val="16"/>
              </w:rPr>
              <w:t>8,554,330</w:t>
            </w:r>
          </w:p>
        </w:tc>
        <w:tc>
          <w:tcPr>
            <w:tcW w:w="1038" w:type="dxa"/>
            <w:noWrap/>
            <w:vAlign w:val="center"/>
          </w:tcPr>
          <w:p w14:paraId="0CBCFD02" w14:textId="12528B30"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E058E">
              <w:rPr>
                <w:rFonts w:cs="Arial"/>
                <w:sz w:val="16"/>
                <w:szCs w:val="16"/>
              </w:rPr>
              <w:t>8,558,608</w:t>
            </w:r>
          </w:p>
        </w:tc>
        <w:tc>
          <w:tcPr>
            <w:tcW w:w="1038" w:type="dxa"/>
            <w:noWrap/>
            <w:vAlign w:val="center"/>
          </w:tcPr>
          <w:p w14:paraId="4942E5AE" w14:textId="3351DF1E"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100</w:t>
            </w:r>
          </w:p>
        </w:tc>
      </w:tr>
      <w:tr w:rsidR="00A47745" w:rsidRPr="00CE058E" w14:paraId="3E4EAAED" w14:textId="77777777" w:rsidTr="00A4774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55" w:type="dxa"/>
            <w:noWrap/>
            <w:vAlign w:val="center"/>
            <w:hideMark/>
          </w:tcPr>
          <w:p w14:paraId="046799D8" w14:textId="77777777"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SA</w:t>
            </w:r>
          </w:p>
        </w:tc>
        <w:tc>
          <w:tcPr>
            <w:tcW w:w="1037" w:type="dxa"/>
            <w:noWrap/>
            <w:vAlign w:val="center"/>
          </w:tcPr>
          <w:p w14:paraId="1585B017" w14:textId="660E0EE2"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1,699,229</w:t>
            </w:r>
          </w:p>
        </w:tc>
        <w:tc>
          <w:tcPr>
            <w:tcW w:w="1038" w:type="dxa"/>
            <w:noWrap/>
            <w:vAlign w:val="center"/>
          </w:tcPr>
          <w:p w14:paraId="44C113CF" w14:textId="0765AC60"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1,699,229</w:t>
            </w:r>
          </w:p>
        </w:tc>
        <w:tc>
          <w:tcPr>
            <w:tcW w:w="1038" w:type="dxa"/>
            <w:noWrap/>
            <w:vAlign w:val="center"/>
          </w:tcPr>
          <w:p w14:paraId="3E21C18B" w14:textId="66E94BB3"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100</w:t>
            </w:r>
          </w:p>
        </w:tc>
        <w:tc>
          <w:tcPr>
            <w:tcW w:w="1037" w:type="dxa"/>
            <w:noWrap/>
            <w:vAlign w:val="center"/>
          </w:tcPr>
          <w:p w14:paraId="300AC711" w14:textId="2CFCFDF7"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1,960,074</w:t>
            </w:r>
          </w:p>
        </w:tc>
        <w:tc>
          <w:tcPr>
            <w:tcW w:w="1038" w:type="dxa"/>
            <w:noWrap/>
            <w:vAlign w:val="center"/>
          </w:tcPr>
          <w:p w14:paraId="28839B4A" w14:textId="48DD21E2"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2,086,861</w:t>
            </w:r>
          </w:p>
        </w:tc>
        <w:tc>
          <w:tcPr>
            <w:tcW w:w="1038" w:type="dxa"/>
            <w:noWrap/>
            <w:vAlign w:val="center"/>
          </w:tcPr>
          <w:p w14:paraId="5BE91DA1" w14:textId="1F0A0F03"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94</w:t>
            </w:r>
          </w:p>
        </w:tc>
        <w:tc>
          <w:tcPr>
            <w:tcW w:w="1037" w:type="dxa"/>
            <w:noWrap/>
            <w:vAlign w:val="center"/>
          </w:tcPr>
          <w:p w14:paraId="192288BA" w14:textId="70F449E4"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E058E">
              <w:rPr>
                <w:rFonts w:cs="Arial"/>
                <w:sz w:val="16"/>
                <w:szCs w:val="16"/>
              </w:rPr>
              <w:t>3,534,331</w:t>
            </w:r>
          </w:p>
        </w:tc>
        <w:tc>
          <w:tcPr>
            <w:tcW w:w="1038" w:type="dxa"/>
            <w:noWrap/>
            <w:vAlign w:val="center"/>
          </w:tcPr>
          <w:p w14:paraId="5CE3F5E0" w14:textId="56D89A13"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E058E">
              <w:rPr>
                <w:rFonts w:cs="Arial"/>
                <w:sz w:val="16"/>
                <w:szCs w:val="16"/>
              </w:rPr>
              <w:t>3,608,829</w:t>
            </w:r>
          </w:p>
        </w:tc>
        <w:tc>
          <w:tcPr>
            <w:tcW w:w="1038" w:type="dxa"/>
            <w:noWrap/>
            <w:vAlign w:val="center"/>
          </w:tcPr>
          <w:p w14:paraId="305C75F5" w14:textId="5FEE98AA"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98</w:t>
            </w:r>
          </w:p>
        </w:tc>
      </w:tr>
      <w:tr w:rsidR="002324FE" w:rsidRPr="00CE058E" w14:paraId="65BF033F" w14:textId="77777777" w:rsidTr="00A47745">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noWrap/>
            <w:vAlign w:val="center"/>
            <w:hideMark/>
          </w:tcPr>
          <w:p w14:paraId="5A14E4D8" w14:textId="77777777"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WA</w:t>
            </w:r>
          </w:p>
        </w:tc>
        <w:tc>
          <w:tcPr>
            <w:tcW w:w="1037" w:type="dxa"/>
            <w:noWrap/>
            <w:vAlign w:val="center"/>
          </w:tcPr>
          <w:p w14:paraId="6E9C0B08" w14:textId="3381D50C"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2,222,967</w:t>
            </w:r>
          </w:p>
        </w:tc>
        <w:tc>
          <w:tcPr>
            <w:tcW w:w="1038" w:type="dxa"/>
            <w:noWrap/>
            <w:vAlign w:val="center"/>
          </w:tcPr>
          <w:p w14:paraId="73602691" w14:textId="5F2EE80A"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2,255,748</w:t>
            </w:r>
          </w:p>
        </w:tc>
        <w:tc>
          <w:tcPr>
            <w:tcW w:w="1038" w:type="dxa"/>
            <w:noWrap/>
            <w:vAlign w:val="center"/>
          </w:tcPr>
          <w:p w14:paraId="4AB481D6" w14:textId="5F63A2E6"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99</w:t>
            </w:r>
          </w:p>
        </w:tc>
        <w:tc>
          <w:tcPr>
            <w:tcW w:w="1037" w:type="dxa"/>
            <w:noWrap/>
            <w:vAlign w:val="center"/>
          </w:tcPr>
          <w:p w14:paraId="09E5BDA5" w14:textId="395876F9"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2,683,334</w:t>
            </w:r>
          </w:p>
        </w:tc>
        <w:tc>
          <w:tcPr>
            <w:tcW w:w="1038" w:type="dxa"/>
            <w:noWrap/>
            <w:vAlign w:val="center"/>
          </w:tcPr>
          <w:p w14:paraId="4DA920AF" w14:textId="155EBFA4"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2,734,270</w:t>
            </w:r>
          </w:p>
        </w:tc>
        <w:tc>
          <w:tcPr>
            <w:tcW w:w="1038" w:type="dxa"/>
            <w:noWrap/>
            <w:vAlign w:val="center"/>
          </w:tcPr>
          <w:p w14:paraId="6C57A6D3" w14:textId="0C6D3609"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98</w:t>
            </w:r>
          </w:p>
        </w:tc>
        <w:tc>
          <w:tcPr>
            <w:tcW w:w="1037" w:type="dxa"/>
            <w:noWrap/>
            <w:vAlign w:val="center"/>
          </w:tcPr>
          <w:p w14:paraId="79A7D0E7" w14:textId="645C6F04"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E058E">
              <w:rPr>
                <w:rFonts w:cs="Arial"/>
                <w:sz w:val="16"/>
                <w:szCs w:val="16"/>
              </w:rPr>
              <w:t>2,829,078</w:t>
            </w:r>
          </w:p>
        </w:tc>
        <w:tc>
          <w:tcPr>
            <w:tcW w:w="1038" w:type="dxa"/>
            <w:noWrap/>
            <w:vAlign w:val="center"/>
          </w:tcPr>
          <w:p w14:paraId="36062F9F" w14:textId="7F44C00A"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E058E">
              <w:rPr>
                <w:rFonts w:cs="Arial"/>
                <w:sz w:val="16"/>
                <w:szCs w:val="16"/>
              </w:rPr>
              <w:t>3,267,124</w:t>
            </w:r>
          </w:p>
        </w:tc>
        <w:tc>
          <w:tcPr>
            <w:tcW w:w="1038" w:type="dxa"/>
            <w:noWrap/>
            <w:vAlign w:val="center"/>
          </w:tcPr>
          <w:p w14:paraId="265DAA6D" w14:textId="54BEC0FF"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87</w:t>
            </w:r>
          </w:p>
        </w:tc>
      </w:tr>
      <w:tr w:rsidR="00A47745" w:rsidRPr="00CE058E" w14:paraId="03DAE5BD" w14:textId="77777777" w:rsidTr="00A4774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55" w:type="dxa"/>
            <w:noWrap/>
            <w:vAlign w:val="center"/>
            <w:hideMark/>
          </w:tcPr>
          <w:p w14:paraId="601E0826" w14:textId="190B81B1"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T</w:t>
            </w:r>
            <w:r w:rsidR="00C661AB" w:rsidRPr="00CE058E">
              <w:rPr>
                <w:rFonts w:eastAsia="Times New Roman" w:cs="Arial"/>
                <w:color w:val="auto"/>
                <w:sz w:val="16"/>
                <w:szCs w:val="16"/>
                <w:lang w:eastAsia="en-AU"/>
              </w:rPr>
              <w:t>as</w:t>
            </w:r>
          </w:p>
        </w:tc>
        <w:tc>
          <w:tcPr>
            <w:tcW w:w="1037" w:type="dxa"/>
            <w:noWrap/>
            <w:vAlign w:val="center"/>
          </w:tcPr>
          <w:p w14:paraId="7B2B92A9" w14:textId="06128E71"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556,323</w:t>
            </w:r>
          </w:p>
        </w:tc>
        <w:tc>
          <w:tcPr>
            <w:tcW w:w="1038" w:type="dxa"/>
            <w:noWrap/>
            <w:vAlign w:val="center"/>
          </w:tcPr>
          <w:p w14:paraId="51A65D12" w14:textId="13549A66"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564,802</w:t>
            </w:r>
          </w:p>
        </w:tc>
        <w:tc>
          <w:tcPr>
            <w:tcW w:w="1038" w:type="dxa"/>
            <w:noWrap/>
            <w:vAlign w:val="center"/>
          </w:tcPr>
          <w:p w14:paraId="764D6928" w14:textId="34FEECA6"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98</w:t>
            </w:r>
          </w:p>
        </w:tc>
        <w:tc>
          <w:tcPr>
            <w:tcW w:w="1037" w:type="dxa"/>
            <w:noWrap/>
            <w:vAlign w:val="center"/>
          </w:tcPr>
          <w:p w14:paraId="12C819C5" w14:textId="190FE39C"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699,461</w:t>
            </w:r>
          </w:p>
        </w:tc>
        <w:tc>
          <w:tcPr>
            <w:tcW w:w="1038" w:type="dxa"/>
            <w:noWrap/>
            <w:vAlign w:val="center"/>
          </w:tcPr>
          <w:p w14:paraId="21916652" w14:textId="37AADDAF"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705,105</w:t>
            </w:r>
          </w:p>
        </w:tc>
        <w:tc>
          <w:tcPr>
            <w:tcW w:w="1038" w:type="dxa"/>
            <w:noWrap/>
            <w:vAlign w:val="center"/>
          </w:tcPr>
          <w:p w14:paraId="620F23C4" w14:textId="32C9795E"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99</w:t>
            </w:r>
          </w:p>
        </w:tc>
        <w:tc>
          <w:tcPr>
            <w:tcW w:w="1037" w:type="dxa"/>
            <w:noWrap/>
            <w:vAlign w:val="center"/>
          </w:tcPr>
          <w:p w14:paraId="79DBF715" w14:textId="461A83BA"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E058E">
              <w:rPr>
                <w:rFonts w:cs="Arial"/>
                <w:sz w:val="16"/>
                <w:szCs w:val="16"/>
              </w:rPr>
              <w:t>835,257</w:t>
            </w:r>
          </w:p>
        </w:tc>
        <w:tc>
          <w:tcPr>
            <w:tcW w:w="1038" w:type="dxa"/>
            <w:noWrap/>
            <w:vAlign w:val="center"/>
          </w:tcPr>
          <w:p w14:paraId="06A2DB84" w14:textId="7141AB41"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E058E">
              <w:rPr>
                <w:rFonts w:cs="Arial"/>
                <w:sz w:val="16"/>
                <w:szCs w:val="16"/>
              </w:rPr>
              <w:t>866,647</w:t>
            </w:r>
          </w:p>
        </w:tc>
        <w:tc>
          <w:tcPr>
            <w:tcW w:w="1038" w:type="dxa"/>
            <w:noWrap/>
            <w:vAlign w:val="center"/>
          </w:tcPr>
          <w:p w14:paraId="30CC063C" w14:textId="7641D58D"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96</w:t>
            </w:r>
          </w:p>
        </w:tc>
      </w:tr>
      <w:tr w:rsidR="002324FE" w:rsidRPr="00CE058E" w14:paraId="2D785F34" w14:textId="77777777" w:rsidTr="00A47745">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noWrap/>
            <w:vAlign w:val="center"/>
            <w:hideMark/>
          </w:tcPr>
          <w:p w14:paraId="1866C95E" w14:textId="77777777"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NT</w:t>
            </w:r>
          </w:p>
        </w:tc>
        <w:tc>
          <w:tcPr>
            <w:tcW w:w="1037" w:type="dxa"/>
            <w:noWrap/>
            <w:vAlign w:val="center"/>
          </w:tcPr>
          <w:p w14:paraId="3A47D465" w14:textId="71F0A049"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311,963</w:t>
            </w:r>
          </w:p>
        </w:tc>
        <w:tc>
          <w:tcPr>
            <w:tcW w:w="1038" w:type="dxa"/>
            <w:noWrap/>
            <w:vAlign w:val="center"/>
          </w:tcPr>
          <w:p w14:paraId="70ABF7D6" w14:textId="32DB417D"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311,963</w:t>
            </w:r>
          </w:p>
        </w:tc>
        <w:tc>
          <w:tcPr>
            <w:tcW w:w="1038" w:type="dxa"/>
            <w:noWrap/>
            <w:vAlign w:val="center"/>
          </w:tcPr>
          <w:p w14:paraId="104FC215" w14:textId="56AA6A39"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100</w:t>
            </w:r>
          </w:p>
        </w:tc>
        <w:tc>
          <w:tcPr>
            <w:tcW w:w="1037" w:type="dxa"/>
            <w:noWrap/>
            <w:vAlign w:val="center"/>
          </w:tcPr>
          <w:p w14:paraId="5ED5647D" w14:textId="4738B3AC"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357,560</w:t>
            </w:r>
          </w:p>
        </w:tc>
        <w:tc>
          <w:tcPr>
            <w:tcW w:w="1038" w:type="dxa"/>
            <w:noWrap/>
            <w:vAlign w:val="center"/>
          </w:tcPr>
          <w:p w14:paraId="3B7CE67A" w14:textId="46130761"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357,919</w:t>
            </w:r>
          </w:p>
        </w:tc>
        <w:tc>
          <w:tcPr>
            <w:tcW w:w="1038" w:type="dxa"/>
            <w:noWrap/>
            <w:vAlign w:val="center"/>
          </w:tcPr>
          <w:p w14:paraId="41A2B2B5" w14:textId="62B9EB0A"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100</w:t>
            </w:r>
          </w:p>
        </w:tc>
        <w:tc>
          <w:tcPr>
            <w:tcW w:w="1037" w:type="dxa"/>
            <w:noWrap/>
            <w:vAlign w:val="center"/>
          </w:tcPr>
          <w:p w14:paraId="19AEA22C" w14:textId="72F740FD"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E058E">
              <w:rPr>
                <w:rFonts w:cs="Arial"/>
                <w:sz w:val="16"/>
                <w:szCs w:val="16"/>
              </w:rPr>
              <w:t>306,629</w:t>
            </w:r>
          </w:p>
        </w:tc>
        <w:tc>
          <w:tcPr>
            <w:tcW w:w="1038" w:type="dxa"/>
            <w:noWrap/>
            <w:vAlign w:val="center"/>
          </w:tcPr>
          <w:p w14:paraId="5B903259" w14:textId="40C20A7B"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E058E">
              <w:rPr>
                <w:rFonts w:cs="Arial"/>
                <w:sz w:val="16"/>
                <w:szCs w:val="16"/>
              </w:rPr>
              <w:t>306,681</w:t>
            </w:r>
          </w:p>
        </w:tc>
        <w:tc>
          <w:tcPr>
            <w:tcW w:w="1038" w:type="dxa"/>
            <w:noWrap/>
            <w:vAlign w:val="center"/>
          </w:tcPr>
          <w:p w14:paraId="45E85B4C" w14:textId="117AD2C6"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100</w:t>
            </w:r>
          </w:p>
        </w:tc>
      </w:tr>
      <w:tr w:rsidR="00A47745" w:rsidRPr="00CE058E" w14:paraId="33437FDC" w14:textId="77777777" w:rsidTr="00A4774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55" w:type="dxa"/>
            <w:noWrap/>
            <w:vAlign w:val="center"/>
            <w:hideMark/>
          </w:tcPr>
          <w:p w14:paraId="5CCA09C7" w14:textId="77777777" w:rsidR="00687D09" w:rsidRPr="00CE058E" w:rsidRDefault="00687D09" w:rsidP="00C661AB">
            <w:pPr>
              <w:spacing w:line="240" w:lineRule="auto"/>
              <w:jc w:val="center"/>
              <w:rPr>
                <w:rFonts w:eastAsia="Times New Roman" w:cs="Arial"/>
                <w:color w:val="auto"/>
                <w:sz w:val="16"/>
                <w:szCs w:val="16"/>
                <w:lang w:eastAsia="en-AU"/>
              </w:rPr>
            </w:pPr>
            <w:r w:rsidRPr="00CE058E">
              <w:rPr>
                <w:rFonts w:eastAsia="Times New Roman" w:cs="Arial"/>
                <w:color w:val="auto"/>
                <w:sz w:val="16"/>
                <w:szCs w:val="16"/>
                <w:lang w:eastAsia="en-AU"/>
              </w:rPr>
              <w:t>ACT</w:t>
            </w:r>
          </w:p>
        </w:tc>
        <w:tc>
          <w:tcPr>
            <w:tcW w:w="1037" w:type="dxa"/>
            <w:noWrap/>
            <w:vAlign w:val="center"/>
          </w:tcPr>
          <w:p w14:paraId="4DE61180" w14:textId="29C03893"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815,864</w:t>
            </w:r>
          </w:p>
        </w:tc>
        <w:tc>
          <w:tcPr>
            <w:tcW w:w="1038" w:type="dxa"/>
            <w:noWrap/>
            <w:vAlign w:val="center"/>
          </w:tcPr>
          <w:p w14:paraId="0E3A3F28" w14:textId="28DB7950"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822,421</w:t>
            </w:r>
          </w:p>
        </w:tc>
        <w:tc>
          <w:tcPr>
            <w:tcW w:w="1038" w:type="dxa"/>
            <w:noWrap/>
            <w:vAlign w:val="center"/>
          </w:tcPr>
          <w:p w14:paraId="6B95AB55" w14:textId="2FF4BE3D"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99</w:t>
            </w:r>
          </w:p>
        </w:tc>
        <w:tc>
          <w:tcPr>
            <w:tcW w:w="1037" w:type="dxa"/>
            <w:noWrap/>
            <w:vAlign w:val="center"/>
          </w:tcPr>
          <w:p w14:paraId="67DAD8DB" w14:textId="4753F6CA"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966,537</w:t>
            </w:r>
          </w:p>
        </w:tc>
        <w:tc>
          <w:tcPr>
            <w:tcW w:w="1038" w:type="dxa"/>
            <w:noWrap/>
            <w:vAlign w:val="center"/>
          </w:tcPr>
          <w:p w14:paraId="51BE48DC" w14:textId="665BB452"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cs="Arial"/>
                <w:sz w:val="16"/>
                <w:szCs w:val="16"/>
              </w:rPr>
              <w:t>972,593</w:t>
            </w:r>
          </w:p>
        </w:tc>
        <w:tc>
          <w:tcPr>
            <w:tcW w:w="1038" w:type="dxa"/>
            <w:noWrap/>
            <w:vAlign w:val="center"/>
          </w:tcPr>
          <w:p w14:paraId="0BFE1111" w14:textId="5B32E880"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99</w:t>
            </w:r>
          </w:p>
        </w:tc>
        <w:tc>
          <w:tcPr>
            <w:tcW w:w="1037" w:type="dxa"/>
            <w:noWrap/>
            <w:vAlign w:val="center"/>
          </w:tcPr>
          <w:p w14:paraId="2CE1774B" w14:textId="3EFA4AAE"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E058E">
              <w:rPr>
                <w:rFonts w:cs="Arial"/>
                <w:sz w:val="16"/>
                <w:szCs w:val="16"/>
              </w:rPr>
              <w:t>1,685,768</w:t>
            </w:r>
          </w:p>
        </w:tc>
        <w:tc>
          <w:tcPr>
            <w:tcW w:w="1038" w:type="dxa"/>
            <w:noWrap/>
            <w:vAlign w:val="center"/>
          </w:tcPr>
          <w:p w14:paraId="60AA41F9" w14:textId="794AE0A0"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E058E">
              <w:rPr>
                <w:rFonts w:cs="Arial"/>
                <w:sz w:val="16"/>
                <w:szCs w:val="16"/>
              </w:rPr>
              <w:t>1,687,208</w:t>
            </w:r>
          </w:p>
        </w:tc>
        <w:tc>
          <w:tcPr>
            <w:tcW w:w="1038" w:type="dxa"/>
            <w:noWrap/>
            <w:vAlign w:val="center"/>
          </w:tcPr>
          <w:p w14:paraId="7EB1E377" w14:textId="4B0E5522" w:rsidR="00687D09" w:rsidRPr="00CE058E" w:rsidRDefault="00687D09"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color w:val="auto"/>
                <w:sz w:val="16"/>
                <w:szCs w:val="16"/>
                <w:lang w:eastAsia="en-AU"/>
              </w:rPr>
              <w:t>100</w:t>
            </w:r>
          </w:p>
        </w:tc>
      </w:tr>
      <w:tr w:rsidR="002324FE" w:rsidRPr="00CE058E" w14:paraId="01A8F5CA" w14:textId="77777777" w:rsidTr="00A47745">
        <w:trPr>
          <w:trHeight w:val="283"/>
          <w:jc w:val="center"/>
        </w:trPr>
        <w:tc>
          <w:tcPr>
            <w:cnfStyle w:val="001000000000" w:firstRow="0" w:lastRow="0" w:firstColumn="1" w:lastColumn="0" w:oddVBand="0" w:evenVBand="0" w:oddHBand="0" w:evenHBand="0" w:firstRowFirstColumn="0" w:firstRowLastColumn="0" w:lastRowFirstColumn="0" w:lastRowLastColumn="0"/>
            <w:tcW w:w="1155" w:type="dxa"/>
            <w:noWrap/>
            <w:vAlign w:val="center"/>
            <w:hideMark/>
          </w:tcPr>
          <w:p w14:paraId="34ACAA96" w14:textId="77777777" w:rsidR="00687D09" w:rsidRPr="00CE058E" w:rsidRDefault="00687D09" w:rsidP="00C661AB">
            <w:pPr>
              <w:spacing w:line="240" w:lineRule="auto"/>
              <w:jc w:val="center"/>
              <w:rPr>
                <w:rFonts w:eastAsia="Times New Roman" w:cs="Arial"/>
                <w:b w:val="0"/>
                <w:bCs w:val="0"/>
                <w:color w:val="auto"/>
                <w:sz w:val="16"/>
                <w:szCs w:val="16"/>
                <w:lang w:eastAsia="en-AU"/>
              </w:rPr>
            </w:pPr>
            <w:r w:rsidRPr="00CE058E">
              <w:rPr>
                <w:rFonts w:eastAsia="Times New Roman" w:cs="Arial"/>
                <w:color w:val="auto"/>
                <w:sz w:val="16"/>
                <w:szCs w:val="16"/>
                <w:lang w:eastAsia="en-AU"/>
              </w:rPr>
              <w:t>National</w:t>
            </w:r>
          </w:p>
        </w:tc>
        <w:tc>
          <w:tcPr>
            <w:tcW w:w="1037" w:type="dxa"/>
            <w:noWrap/>
            <w:vAlign w:val="center"/>
          </w:tcPr>
          <w:p w14:paraId="5F190C11" w14:textId="312B2F91"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lang w:eastAsia="en-AU"/>
              </w:rPr>
            </w:pPr>
            <w:r w:rsidRPr="00CE058E">
              <w:rPr>
                <w:rFonts w:eastAsia="Times New Roman" w:cs="Arial"/>
                <w:b/>
                <w:bCs/>
                <w:color w:val="auto"/>
                <w:sz w:val="16"/>
                <w:szCs w:val="16"/>
                <w:lang w:eastAsia="en-AU"/>
              </w:rPr>
              <w:t>23,510,721</w:t>
            </w:r>
          </w:p>
        </w:tc>
        <w:tc>
          <w:tcPr>
            <w:tcW w:w="1038" w:type="dxa"/>
            <w:noWrap/>
            <w:vAlign w:val="center"/>
          </w:tcPr>
          <w:p w14:paraId="5EF0BE44" w14:textId="3C6CAC3D"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24,318,538</w:t>
            </w:r>
          </w:p>
        </w:tc>
        <w:tc>
          <w:tcPr>
            <w:tcW w:w="1038" w:type="dxa"/>
            <w:noWrap/>
            <w:vAlign w:val="center"/>
          </w:tcPr>
          <w:p w14:paraId="54C02B97" w14:textId="7FE4E2FF"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97</w:t>
            </w:r>
          </w:p>
        </w:tc>
        <w:tc>
          <w:tcPr>
            <w:tcW w:w="1037" w:type="dxa"/>
            <w:noWrap/>
            <w:vAlign w:val="center"/>
          </w:tcPr>
          <w:p w14:paraId="6B55277B" w14:textId="7BFD24CD"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28,199,096</w:t>
            </w:r>
          </w:p>
        </w:tc>
        <w:tc>
          <w:tcPr>
            <w:tcW w:w="1038" w:type="dxa"/>
            <w:noWrap/>
            <w:vAlign w:val="center"/>
          </w:tcPr>
          <w:p w14:paraId="3CD87B8A" w14:textId="54FD2BA2"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29,033,822</w:t>
            </w:r>
          </w:p>
        </w:tc>
        <w:tc>
          <w:tcPr>
            <w:tcW w:w="1038" w:type="dxa"/>
            <w:noWrap/>
            <w:vAlign w:val="center"/>
          </w:tcPr>
          <w:p w14:paraId="58083FAA" w14:textId="0AE55530"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97</w:t>
            </w:r>
          </w:p>
        </w:tc>
        <w:tc>
          <w:tcPr>
            <w:tcW w:w="1037" w:type="dxa"/>
            <w:noWrap/>
            <w:vAlign w:val="center"/>
          </w:tcPr>
          <w:p w14:paraId="4F7F3120" w14:textId="5D4833B4"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auto"/>
                <w:sz w:val="16"/>
                <w:szCs w:val="16"/>
              </w:rPr>
            </w:pPr>
            <w:r w:rsidRPr="00CE058E">
              <w:rPr>
                <w:rFonts w:cs="Arial"/>
                <w:b/>
                <w:bCs/>
                <w:color w:val="auto"/>
                <w:sz w:val="16"/>
                <w:szCs w:val="16"/>
              </w:rPr>
              <w:t>32,394,791</w:t>
            </w:r>
          </w:p>
        </w:tc>
        <w:tc>
          <w:tcPr>
            <w:tcW w:w="1038" w:type="dxa"/>
            <w:noWrap/>
            <w:vAlign w:val="center"/>
          </w:tcPr>
          <w:p w14:paraId="5D8C86B1" w14:textId="75639E0B"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auto"/>
                <w:sz w:val="16"/>
                <w:szCs w:val="16"/>
              </w:rPr>
            </w:pPr>
            <w:r w:rsidRPr="00CE058E">
              <w:rPr>
                <w:rFonts w:cs="Arial"/>
                <w:b/>
                <w:bCs/>
                <w:color w:val="auto"/>
                <w:sz w:val="16"/>
                <w:szCs w:val="16"/>
              </w:rPr>
              <w:t>33,641,738</w:t>
            </w:r>
          </w:p>
        </w:tc>
        <w:tc>
          <w:tcPr>
            <w:tcW w:w="1038" w:type="dxa"/>
            <w:noWrap/>
            <w:vAlign w:val="center"/>
          </w:tcPr>
          <w:p w14:paraId="73182DFB" w14:textId="1B01D25B" w:rsidR="00687D09" w:rsidRPr="00CE058E" w:rsidRDefault="00687D0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6"/>
                <w:szCs w:val="16"/>
                <w:lang w:eastAsia="en-AU"/>
              </w:rPr>
            </w:pPr>
            <w:r w:rsidRPr="00CE058E">
              <w:rPr>
                <w:rFonts w:eastAsia="Times New Roman" w:cs="Arial"/>
                <w:b/>
                <w:bCs/>
                <w:color w:val="auto"/>
                <w:sz w:val="16"/>
                <w:szCs w:val="16"/>
                <w:lang w:eastAsia="en-AU"/>
              </w:rPr>
              <w:t>96</w:t>
            </w:r>
          </w:p>
        </w:tc>
      </w:tr>
    </w:tbl>
    <w:p w14:paraId="1B4A2727" w14:textId="77777777" w:rsidR="00C159CD" w:rsidRPr="00CE058E" w:rsidRDefault="00C159CD" w:rsidP="00EF751B">
      <w:bookmarkStart w:id="346" w:name="_Toc144215464"/>
      <w:bookmarkStart w:id="347" w:name="_Toc144967670"/>
      <w:bookmarkEnd w:id="339"/>
      <w:bookmarkEnd w:id="340"/>
      <w:r w:rsidRPr="00CE058E">
        <w:br w:type="page"/>
      </w:r>
    </w:p>
    <w:p w14:paraId="587B9607" w14:textId="47BE1E77" w:rsidR="006A6185" w:rsidRPr="00CE058E" w:rsidRDefault="006A6185" w:rsidP="007B41F8">
      <w:pPr>
        <w:pStyle w:val="Heading2"/>
      </w:pPr>
      <w:bookmarkStart w:id="348" w:name="_Toc151129716"/>
      <w:bookmarkStart w:id="349" w:name="_Toc158882567"/>
      <w:bookmarkStart w:id="350" w:name="_Toc158882628"/>
      <w:r w:rsidRPr="00CE058E">
        <w:lastRenderedPageBreak/>
        <w:t>Non-admitted service event</w:t>
      </w:r>
      <w:bookmarkEnd w:id="346"/>
      <w:bookmarkEnd w:id="347"/>
      <w:r w:rsidR="00301519" w:rsidRPr="00CE058E">
        <w:t>s</w:t>
      </w:r>
      <w:bookmarkEnd w:id="348"/>
      <w:bookmarkEnd w:id="349"/>
      <w:bookmarkEnd w:id="350"/>
    </w:p>
    <w:p w14:paraId="21B96244" w14:textId="4B4F2F1E" w:rsidR="006A6185" w:rsidRPr="00CE058E" w:rsidRDefault="009D7C3E" w:rsidP="00183FF9">
      <w:pPr>
        <w:spacing w:line="276" w:lineRule="auto"/>
        <w:rPr>
          <w:rFonts w:cs="Arial"/>
          <w:color w:val="auto"/>
        </w:rPr>
      </w:pPr>
      <w:r w:rsidRPr="00CE058E">
        <w:rPr>
          <w:rFonts w:cs="Arial"/>
          <w:color w:val="auto"/>
        </w:rPr>
        <w:t>Figure 1</w:t>
      </w:r>
      <w:r w:rsidR="00CB65C0">
        <w:rPr>
          <w:rFonts w:cs="Arial"/>
          <w:color w:val="auto"/>
        </w:rPr>
        <w:t>8</w:t>
      </w:r>
      <w:r w:rsidRPr="00CE058E">
        <w:rPr>
          <w:rFonts w:cs="Arial"/>
          <w:color w:val="auto"/>
        </w:rPr>
        <w:t xml:space="preserve"> shows the number of non-admitted service events reported in the cost data from 2019-20 to 2021-22. In 2021-22, there were 32.4 million non-admitted service events nationally, a 15</w:t>
      </w:r>
      <w:r w:rsidR="00897090">
        <w:rPr>
          <w:rFonts w:cs="Arial"/>
          <w:color w:val="auto"/>
        </w:rPr>
        <w:t>%</w:t>
      </w:r>
      <w:r w:rsidRPr="00CE058E">
        <w:rPr>
          <w:rFonts w:cs="Arial"/>
          <w:color w:val="auto"/>
        </w:rPr>
        <w:t xml:space="preserve"> increase from the 2020-21 figure of 28.2 million. The national increase in non-admitted service events was driven by Queensland, increasing 1.8 million records (</w:t>
      </w:r>
      <w:r w:rsidR="00BB7409" w:rsidRPr="00CE058E">
        <w:rPr>
          <w:rFonts w:cs="Arial"/>
          <w:color w:val="auto"/>
        </w:rPr>
        <w:t>or 26</w:t>
      </w:r>
      <w:r w:rsidR="00897090">
        <w:rPr>
          <w:rFonts w:cs="Arial"/>
          <w:color w:val="auto"/>
        </w:rPr>
        <w:t>%</w:t>
      </w:r>
      <w:r w:rsidRPr="00CE058E">
        <w:rPr>
          <w:rFonts w:cs="Arial"/>
          <w:color w:val="auto"/>
        </w:rPr>
        <w:t xml:space="preserve">) from 2020-21 to 2021-22. In 2021-22, the number of </w:t>
      </w:r>
      <w:r w:rsidR="00621475" w:rsidRPr="00CE058E">
        <w:rPr>
          <w:rFonts w:cs="Arial"/>
          <w:color w:val="auto"/>
        </w:rPr>
        <w:t>service events</w:t>
      </w:r>
      <w:r w:rsidRPr="00CE058E">
        <w:rPr>
          <w:rFonts w:cs="Arial"/>
          <w:color w:val="auto"/>
        </w:rPr>
        <w:t xml:space="preserve"> at the jurisdictional level range</w:t>
      </w:r>
      <w:r w:rsidR="00BB7409" w:rsidRPr="00CE058E">
        <w:rPr>
          <w:rFonts w:cs="Arial"/>
          <w:color w:val="auto"/>
        </w:rPr>
        <w:t>d</w:t>
      </w:r>
      <w:r w:rsidRPr="00CE058E">
        <w:rPr>
          <w:rFonts w:cs="Arial"/>
          <w:color w:val="auto"/>
        </w:rPr>
        <w:t xml:space="preserve"> from 306,629 (Northern Territory) to 9.9 million (New South Wales).</w:t>
      </w:r>
    </w:p>
    <w:p w14:paraId="5FFB85BF" w14:textId="460E0012" w:rsidR="006A6185" w:rsidRPr="00CE058E" w:rsidRDefault="00A82243" w:rsidP="00B42434">
      <w:pPr>
        <w:pStyle w:val="TableFigureheading"/>
      </w:pPr>
      <w:bookmarkStart w:id="351" w:name="_Toc151116354"/>
      <w:bookmarkStart w:id="352" w:name="_Toc151370067"/>
      <w:r w:rsidRPr="00CE058E">
        <w:t xml:space="preserve">Figure </w:t>
      </w:r>
      <w:r>
        <w:fldChar w:fldCharType="begin"/>
      </w:r>
      <w:r>
        <w:instrText xml:space="preserve"> SEQ Figure \* ARABIC </w:instrText>
      </w:r>
      <w:r>
        <w:fldChar w:fldCharType="separate"/>
      </w:r>
      <w:r w:rsidR="00DD29C5">
        <w:rPr>
          <w:noProof/>
        </w:rPr>
        <w:t>18</w:t>
      </w:r>
      <w:r>
        <w:rPr>
          <w:noProof/>
        </w:rPr>
        <w:fldChar w:fldCharType="end"/>
      </w:r>
      <w:r w:rsidR="006A6185" w:rsidRPr="00CE058E">
        <w:t xml:space="preserve">: </w:t>
      </w:r>
      <w:r w:rsidR="00EA2780" w:rsidRPr="00CE058E">
        <w:t>Non-admitted</w:t>
      </w:r>
      <w:r w:rsidR="006A6185" w:rsidRPr="00CE058E">
        <w:t xml:space="preserve"> service events, 2019-20 to 2021-22</w:t>
      </w:r>
      <w:bookmarkEnd w:id="351"/>
      <w:bookmarkEnd w:id="352"/>
    </w:p>
    <w:p w14:paraId="036332A8" w14:textId="46A542C8" w:rsidR="008B716E" w:rsidRPr="00CE058E" w:rsidRDefault="00AD3834" w:rsidP="00AD3834">
      <w:pPr>
        <w:jc w:val="center"/>
        <w:rPr>
          <w:rFonts w:cs="Arial"/>
        </w:rPr>
      </w:pPr>
      <w:r w:rsidRPr="00CE058E">
        <w:rPr>
          <w:rFonts w:cs="Arial"/>
          <w:noProof/>
        </w:rPr>
        <w:drawing>
          <wp:inline distT="0" distB="0" distL="0" distR="0" wp14:anchorId="32D49A5A" wp14:editId="3F8D2FFF">
            <wp:extent cx="6228000" cy="5220000"/>
            <wp:effectExtent l="0" t="0" r="0" b="0"/>
            <wp:docPr id="1987605760" name="Chart 1987605760">
              <a:extLst xmlns:a="http://schemas.openxmlformats.org/drawingml/2006/main">
                <a:ext uri="{FF2B5EF4-FFF2-40B4-BE49-F238E27FC236}">
                  <a16:creationId xmlns:a16="http://schemas.microsoft.com/office/drawing/2014/main" id="{39A76F41-312C-5BA7-39C5-F17F4F6CF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A8C5BF2" w14:textId="498BE8FE" w:rsidR="006A6185" w:rsidRPr="00CE058E" w:rsidRDefault="006A6185" w:rsidP="008B716E">
      <w:pPr>
        <w:pStyle w:val="Heading3"/>
      </w:pPr>
      <w:bookmarkStart w:id="353" w:name="_Toc151129717"/>
      <w:bookmarkStart w:id="354" w:name="_Toc158882568"/>
      <w:bookmarkStart w:id="355" w:name="_Toc158882629"/>
      <w:r w:rsidRPr="00CE058E">
        <w:t>Non-admitted service event change</w:t>
      </w:r>
      <w:bookmarkEnd w:id="353"/>
      <w:bookmarkEnd w:id="354"/>
      <w:bookmarkEnd w:id="355"/>
    </w:p>
    <w:p w14:paraId="19C052C8" w14:textId="37CF60CC" w:rsidR="00430263" w:rsidRPr="00CE058E" w:rsidRDefault="00430263" w:rsidP="00A47745">
      <w:pPr>
        <w:rPr>
          <w:rFonts w:cs="Arial"/>
          <w:color w:val="auto"/>
        </w:rPr>
      </w:pPr>
      <w:r w:rsidRPr="00CE058E">
        <w:rPr>
          <w:rFonts w:cs="Arial"/>
          <w:color w:val="auto"/>
        </w:rPr>
        <w:t xml:space="preserve">Table 16 shows the non-admitted </w:t>
      </w:r>
      <w:r w:rsidR="002759C0" w:rsidRPr="00CE058E">
        <w:rPr>
          <w:rFonts w:cs="Arial"/>
          <w:color w:val="auto"/>
        </w:rPr>
        <w:t>end-classes</w:t>
      </w:r>
      <w:r w:rsidRPr="00CE058E">
        <w:rPr>
          <w:rFonts w:cs="Arial"/>
          <w:color w:val="auto"/>
        </w:rPr>
        <w:t xml:space="preserve"> that had an impact on the change in the</w:t>
      </w:r>
      <w:r w:rsidR="002759C0" w:rsidRPr="00CE058E">
        <w:rPr>
          <w:rFonts w:cs="Arial"/>
          <w:color w:val="auto"/>
        </w:rPr>
        <w:t xml:space="preserve"> number of service events reported </w:t>
      </w:r>
      <w:r w:rsidRPr="00CE058E">
        <w:rPr>
          <w:rFonts w:cs="Arial"/>
          <w:color w:val="auto"/>
        </w:rPr>
        <w:t xml:space="preserve">nationally in 2021-22 compared to 2020-21. In 2021-22, the national number of service events was 32.4 million, </w:t>
      </w:r>
      <w:r w:rsidR="00301F51" w:rsidRPr="00CE058E">
        <w:rPr>
          <w:rFonts w:cs="Arial"/>
          <w:color w:val="auto"/>
        </w:rPr>
        <w:t>a</w:t>
      </w:r>
      <w:r w:rsidRPr="00CE058E">
        <w:rPr>
          <w:rFonts w:cs="Arial"/>
          <w:color w:val="auto"/>
        </w:rPr>
        <w:t>n increase of 4.2 million service events (or 15</w:t>
      </w:r>
      <w:r w:rsidR="00897090">
        <w:rPr>
          <w:rFonts w:cs="Arial"/>
          <w:color w:val="auto"/>
        </w:rPr>
        <w:t>%</w:t>
      </w:r>
      <w:r w:rsidRPr="00CE058E">
        <w:rPr>
          <w:rFonts w:cs="Arial"/>
          <w:color w:val="auto"/>
        </w:rPr>
        <w:t xml:space="preserve">) compared to 2020-21. The national non-admitted service events change was driven by 10.21, 40.08, </w:t>
      </w:r>
      <w:r w:rsidR="00214107" w:rsidRPr="00CE058E">
        <w:rPr>
          <w:rFonts w:cs="Arial"/>
          <w:color w:val="auto"/>
        </w:rPr>
        <w:t xml:space="preserve">and </w:t>
      </w:r>
      <w:r w:rsidRPr="00CE058E">
        <w:rPr>
          <w:rFonts w:cs="Arial"/>
          <w:color w:val="auto"/>
        </w:rPr>
        <w:t xml:space="preserve">OP_XX (as defined in table 16). These </w:t>
      </w:r>
      <w:r w:rsidR="00214107" w:rsidRPr="00CE058E">
        <w:rPr>
          <w:rFonts w:cs="Arial"/>
          <w:color w:val="auto"/>
        </w:rPr>
        <w:t>end-classes</w:t>
      </w:r>
      <w:r w:rsidRPr="00CE058E">
        <w:rPr>
          <w:rFonts w:cs="Arial"/>
          <w:color w:val="auto"/>
        </w:rPr>
        <w:t xml:space="preserve"> increased nationally 4.4 million in 2021-22 compared to 2020-21. The </w:t>
      </w:r>
      <w:r w:rsidR="00214107" w:rsidRPr="00CE058E">
        <w:rPr>
          <w:rFonts w:cs="Arial"/>
          <w:color w:val="auto"/>
        </w:rPr>
        <w:t>end-classes</w:t>
      </w:r>
      <w:r w:rsidRPr="00CE058E">
        <w:rPr>
          <w:rFonts w:cs="Arial"/>
          <w:color w:val="auto"/>
        </w:rPr>
        <w:t xml:space="preserve"> that had the highest decrease were 20.29, 40.09, </w:t>
      </w:r>
      <w:r w:rsidR="00214107" w:rsidRPr="00CE058E">
        <w:rPr>
          <w:rFonts w:cs="Arial"/>
          <w:color w:val="auto"/>
        </w:rPr>
        <w:t xml:space="preserve">and </w:t>
      </w:r>
      <w:r w:rsidRPr="00CE058E">
        <w:rPr>
          <w:rFonts w:cs="Arial"/>
          <w:color w:val="auto"/>
        </w:rPr>
        <w:t xml:space="preserve">30.09 (as defined in table 16), </w:t>
      </w:r>
      <w:r w:rsidR="00301F51" w:rsidRPr="00CE058E">
        <w:rPr>
          <w:rFonts w:cs="Arial"/>
          <w:color w:val="auto"/>
        </w:rPr>
        <w:t>a</w:t>
      </w:r>
      <w:r w:rsidRPr="00CE058E">
        <w:rPr>
          <w:rFonts w:cs="Arial"/>
          <w:color w:val="auto"/>
        </w:rPr>
        <w:t xml:space="preserve"> decrease</w:t>
      </w:r>
      <w:r w:rsidR="00301F51" w:rsidRPr="00CE058E">
        <w:rPr>
          <w:rFonts w:cs="Arial"/>
          <w:color w:val="auto"/>
        </w:rPr>
        <w:t xml:space="preserve"> of</w:t>
      </w:r>
      <w:r w:rsidRPr="00CE058E">
        <w:rPr>
          <w:rFonts w:cs="Arial"/>
          <w:color w:val="auto"/>
        </w:rPr>
        <w:t xml:space="preserve"> 1.5 million service events from 2020-21.</w:t>
      </w:r>
    </w:p>
    <w:p w14:paraId="769FCC85" w14:textId="0C51B4BC" w:rsidR="006A6185" w:rsidRPr="00CE058E" w:rsidRDefault="002F162B" w:rsidP="00B42434">
      <w:pPr>
        <w:pStyle w:val="TableFigureheading"/>
      </w:pPr>
      <w:bookmarkStart w:id="356" w:name="_Toc149650917"/>
      <w:bookmarkStart w:id="357" w:name="_Toc151370042"/>
      <w:r w:rsidRPr="00CE058E">
        <w:lastRenderedPageBreak/>
        <w:t xml:space="preserve">Table </w:t>
      </w:r>
      <w:r>
        <w:fldChar w:fldCharType="begin"/>
      </w:r>
      <w:r>
        <w:instrText xml:space="preserve"> SEQ Table \* ARABIC </w:instrText>
      </w:r>
      <w:r>
        <w:fldChar w:fldCharType="separate"/>
      </w:r>
      <w:r w:rsidR="00B42434">
        <w:rPr>
          <w:noProof/>
        </w:rPr>
        <w:t>16</w:t>
      </w:r>
      <w:r>
        <w:rPr>
          <w:noProof/>
        </w:rPr>
        <w:fldChar w:fldCharType="end"/>
      </w:r>
      <w:r w:rsidR="00BB2DE2" w:rsidRPr="00CE058E">
        <w:t>: Non-admitted service events change, 2020-21 to 2021-22</w:t>
      </w:r>
      <w:bookmarkEnd w:id="356"/>
      <w:bookmarkEnd w:id="357"/>
    </w:p>
    <w:tbl>
      <w:tblPr>
        <w:tblStyle w:val="GridTable4-Accent2"/>
        <w:tblW w:w="9736" w:type="dxa"/>
        <w:jc w:val="center"/>
        <w:tblLook w:val="04A0" w:firstRow="1" w:lastRow="0" w:firstColumn="1" w:lastColumn="0" w:noHBand="0" w:noVBand="1"/>
      </w:tblPr>
      <w:tblGrid>
        <w:gridCol w:w="846"/>
        <w:gridCol w:w="3230"/>
        <w:gridCol w:w="1243"/>
        <w:gridCol w:w="1242"/>
        <w:gridCol w:w="1517"/>
        <w:gridCol w:w="1658"/>
      </w:tblGrid>
      <w:tr w:rsidR="00037328" w:rsidRPr="00CE058E" w14:paraId="53BEE930" w14:textId="77777777" w:rsidTr="00546675">
        <w:trPr>
          <w:cnfStyle w:val="100000000000" w:firstRow="1" w:lastRow="0" w:firstColumn="0" w:lastColumn="0" w:oddVBand="0" w:evenVBand="0" w:oddHBand="0"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6B75F324" w14:textId="77777777" w:rsidR="00037328" w:rsidRPr="00CE058E" w:rsidRDefault="00037328" w:rsidP="00C661AB">
            <w:pPr>
              <w:spacing w:line="240" w:lineRule="auto"/>
              <w:jc w:val="center"/>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Tier 2</w:t>
            </w:r>
          </w:p>
        </w:tc>
        <w:tc>
          <w:tcPr>
            <w:tcW w:w="3230"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26FD8A6A" w14:textId="77777777" w:rsidR="00037328" w:rsidRPr="00CE058E" w:rsidRDefault="00037328"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Description</w:t>
            </w:r>
          </w:p>
        </w:tc>
        <w:tc>
          <w:tcPr>
            <w:tcW w:w="2485"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67B3D25B" w14:textId="20E53435" w:rsidR="00037328" w:rsidRPr="00CE058E" w:rsidRDefault="00C661AB"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Service events</w:t>
            </w:r>
          </w:p>
        </w:tc>
        <w:tc>
          <w:tcPr>
            <w:tcW w:w="1517"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7899E2B1" w14:textId="59FB385D" w:rsidR="00037328" w:rsidRPr="00CE058E" w:rsidRDefault="00037328"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r w:rsidR="00C661AB" w:rsidRPr="00CE058E">
              <w:rPr>
                <w:rFonts w:eastAsia="Times New Roman" w:cs="Arial"/>
                <w:color w:val="FFFFFF" w:themeColor="background2"/>
                <w:sz w:val="18"/>
                <w:szCs w:val="18"/>
                <w:lang w:eastAsia="en-AU"/>
              </w:rPr>
              <w:t>#</w:t>
            </w:r>
            <w:r w:rsidRPr="00CE058E">
              <w:rPr>
                <w:rFonts w:eastAsia="Times New Roman" w:cs="Arial"/>
                <w:color w:val="FFFFFF" w:themeColor="background2"/>
                <w:sz w:val="18"/>
                <w:szCs w:val="18"/>
                <w:lang w:eastAsia="en-AU"/>
              </w:rPr>
              <w:t>)</w:t>
            </w:r>
          </w:p>
        </w:tc>
        <w:tc>
          <w:tcPr>
            <w:tcW w:w="1658"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429AA73F" w14:textId="77777777" w:rsidR="00037328" w:rsidRPr="00CE058E" w:rsidRDefault="00037328" w:rsidP="00C661A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p>
        </w:tc>
      </w:tr>
      <w:tr w:rsidR="00546675" w:rsidRPr="00CE058E" w14:paraId="6A8B814B" w14:textId="77777777" w:rsidTr="0054667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5E04C242" w14:textId="77777777" w:rsidR="00037328" w:rsidRPr="00CE058E" w:rsidRDefault="00037328" w:rsidP="00C661AB">
            <w:pPr>
              <w:spacing w:line="240" w:lineRule="auto"/>
              <w:jc w:val="center"/>
              <w:rPr>
                <w:rFonts w:eastAsia="Times New Roman" w:cs="Arial"/>
                <w:b w:val="0"/>
                <w:bCs w:val="0"/>
                <w:color w:val="auto"/>
                <w:sz w:val="18"/>
                <w:szCs w:val="18"/>
                <w:lang w:eastAsia="en-AU"/>
              </w:rPr>
            </w:pPr>
          </w:p>
        </w:tc>
        <w:tc>
          <w:tcPr>
            <w:tcW w:w="3230"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779D466C" w14:textId="77777777" w:rsidR="00037328" w:rsidRPr="00CE058E" w:rsidRDefault="00037328"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18"/>
                <w:szCs w:val="18"/>
                <w:lang w:eastAsia="en-AU"/>
              </w:rPr>
            </w:pPr>
          </w:p>
        </w:tc>
        <w:tc>
          <w:tcPr>
            <w:tcW w:w="1243"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67A3A561" w14:textId="77777777" w:rsidR="00037328" w:rsidRPr="00CE058E" w:rsidRDefault="00037328"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2021-22</w:t>
            </w:r>
          </w:p>
        </w:tc>
        <w:tc>
          <w:tcPr>
            <w:tcW w:w="1242"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0C0C55BB" w14:textId="77777777" w:rsidR="00037328" w:rsidRPr="00CE058E" w:rsidRDefault="00037328"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2020-21</w:t>
            </w:r>
          </w:p>
        </w:tc>
        <w:tc>
          <w:tcPr>
            <w:tcW w:w="1517"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50419217" w14:textId="3BD2314F" w:rsidR="00037328" w:rsidRPr="00CE058E" w:rsidRDefault="00037328"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18"/>
                <w:szCs w:val="18"/>
                <w:lang w:eastAsia="en-AU"/>
              </w:rPr>
            </w:pPr>
          </w:p>
        </w:tc>
        <w:tc>
          <w:tcPr>
            <w:tcW w:w="1658"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7E8E6E2B" w14:textId="77777777" w:rsidR="00037328" w:rsidRPr="00CE058E" w:rsidRDefault="00037328" w:rsidP="00C661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18"/>
                <w:szCs w:val="18"/>
                <w:lang w:eastAsia="en-AU"/>
              </w:rPr>
            </w:pPr>
          </w:p>
        </w:tc>
      </w:tr>
      <w:tr w:rsidR="00037328" w:rsidRPr="00CE058E" w14:paraId="704474BB" w14:textId="77777777" w:rsidTr="00546675">
        <w:trPr>
          <w:trHeight w:val="283"/>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FFFFFF" w:themeColor="background2"/>
            </w:tcBorders>
            <w:noWrap/>
            <w:vAlign w:val="center"/>
            <w:hideMark/>
          </w:tcPr>
          <w:p w14:paraId="5CD6BBC2" w14:textId="77777777" w:rsidR="00037328" w:rsidRPr="00CE058E" w:rsidRDefault="00037328" w:rsidP="00546675">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10.21</w:t>
            </w:r>
          </w:p>
        </w:tc>
        <w:tc>
          <w:tcPr>
            <w:tcW w:w="3230" w:type="dxa"/>
            <w:tcBorders>
              <w:top w:val="single" w:sz="4" w:space="0" w:color="FFFFFF" w:themeColor="background2"/>
            </w:tcBorders>
            <w:noWrap/>
            <w:vAlign w:val="center"/>
            <w:hideMark/>
          </w:tcPr>
          <w:p w14:paraId="34EDF34B" w14:textId="77777777" w:rsidR="00037328" w:rsidRPr="00CE058E" w:rsidRDefault="00037328" w:rsidP="00C661A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COVID-19 Vaccination</w:t>
            </w:r>
          </w:p>
        </w:tc>
        <w:tc>
          <w:tcPr>
            <w:tcW w:w="1243" w:type="dxa"/>
            <w:tcBorders>
              <w:top w:val="single" w:sz="4" w:space="0" w:color="FFFFFF" w:themeColor="background2"/>
            </w:tcBorders>
            <w:noWrap/>
            <w:vAlign w:val="center"/>
            <w:hideMark/>
          </w:tcPr>
          <w:p w14:paraId="279B5AB7"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4,572,906</w:t>
            </w:r>
          </w:p>
        </w:tc>
        <w:tc>
          <w:tcPr>
            <w:tcW w:w="1242" w:type="dxa"/>
            <w:tcBorders>
              <w:top w:val="single" w:sz="4" w:space="0" w:color="FFFFFF" w:themeColor="background2"/>
            </w:tcBorders>
            <w:noWrap/>
            <w:vAlign w:val="center"/>
            <w:hideMark/>
          </w:tcPr>
          <w:p w14:paraId="0DF3E97D"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1,263,521</w:t>
            </w:r>
          </w:p>
        </w:tc>
        <w:tc>
          <w:tcPr>
            <w:tcW w:w="1517" w:type="dxa"/>
            <w:tcBorders>
              <w:top w:val="single" w:sz="4" w:space="0" w:color="FFFFFF" w:themeColor="background2"/>
            </w:tcBorders>
            <w:noWrap/>
            <w:vAlign w:val="center"/>
            <w:hideMark/>
          </w:tcPr>
          <w:p w14:paraId="61510D11" w14:textId="77777777"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3,309,385</w:t>
            </w:r>
          </w:p>
        </w:tc>
        <w:tc>
          <w:tcPr>
            <w:tcW w:w="1658" w:type="dxa"/>
            <w:tcBorders>
              <w:top w:val="single" w:sz="4" w:space="0" w:color="FFFFFF" w:themeColor="background2"/>
            </w:tcBorders>
            <w:noWrap/>
            <w:vAlign w:val="center"/>
            <w:hideMark/>
          </w:tcPr>
          <w:p w14:paraId="7D6F28E7" w14:textId="4CF80DE2" w:rsidR="00037328" w:rsidRPr="00CE058E" w:rsidRDefault="00037328"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262</w:t>
            </w:r>
          </w:p>
        </w:tc>
      </w:tr>
      <w:tr w:rsidR="00037328" w:rsidRPr="00CE058E" w14:paraId="6D650057" w14:textId="77777777" w:rsidTr="0054667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0D3F1130" w14:textId="77777777" w:rsidR="00037328" w:rsidRPr="00CE058E" w:rsidRDefault="00037328" w:rsidP="00546675">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40.08</w:t>
            </w:r>
          </w:p>
        </w:tc>
        <w:tc>
          <w:tcPr>
            <w:tcW w:w="3230" w:type="dxa"/>
            <w:noWrap/>
            <w:vAlign w:val="center"/>
            <w:hideMark/>
          </w:tcPr>
          <w:p w14:paraId="47831D9A" w14:textId="77777777" w:rsidR="00037328" w:rsidRPr="00CE058E" w:rsidRDefault="00037328" w:rsidP="00C661A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Primary Health Care</w:t>
            </w:r>
          </w:p>
        </w:tc>
        <w:tc>
          <w:tcPr>
            <w:tcW w:w="1243" w:type="dxa"/>
            <w:noWrap/>
            <w:vAlign w:val="center"/>
            <w:hideMark/>
          </w:tcPr>
          <w:p w14:paraId="0C137B82"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1,235,569</w:t>
            </w:r>
          </w:p>
        </w:tc>
        <w:tc>
          <w:tcPr>
            <w:tcW w:w="1242" w:type="dxa"/>
            <w:noWrap/>
            <w:vAlign w:val="center"/>
            <w:hideMark/>
          </w:tcPr>
          <w:p w14:paraId="6275E68B"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530,376</w:t>
            </w:r>
          </w:p>
        </w:tc>
        <w:tc>
          <w:tcPr>
            <w:tcW w:w="1517" w:type="dxa"/>
            <w:noWrap/>
            <w:vAlign w:val="center"/>
            <w:hideMark/>
          </w:tcPr>
          <w:p w14:paraId="601A44CD"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705,193</w:t>
            </w:r>
          </w:p>
        </w:tc>
        <w:tc>
          <w:tcPr>
            <w:tcW w:w="1658" w:type="dxa"/>
            <w:noWrap/>
            <w:vAlign w:val="center"/>
            <w:hideMark/>
          </w:tcPr>
          <w:p w14:paraId="6ACE524C" w14:textId="36C82BD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133</w:t>
            </w:r>
          </w:p>
        </w:tc>
      </w:tr>
      <w:tr w:rsidR="00546675" w:rsidRPr="00CE058E" w14:paraId="0E76FE8A" w14:textId="77777777" w:rsidTr="00546675">
        <w:trPr>
          <w:trHeight w:val="283"/>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56CAFB58" w14:textId="45CBA618" w:rsidR="00546675" w:rsidRPr="00CE058E" w:rsidRDefault="00546675" w:rsidP="00546675">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OP_XX</w:t>
            </w:r>
          </w:p>
        </w:tc>
        <w:tc>
          <w:tcPr>
            <w:tcW w:w="3230" w:type="dxa"/>
            <w:noWrap/>
            <w:vAlign w:val="center"/>
            <w:hideMark/>
          </w:tcPr>
          <w:p w14:paraId="441954FB" w14:textId="30AFCB46" w:rsidR="00546675" w:rsidRPr="00CE058E" w:rsidRDefault="00546675" w:rsidP="00546675">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Blank in Non-admitted</w:t>
            </w:r>
          </w:p>
        </w:tc>
        <w:tc>
          <w:tcPr>
            <w:tcW w:w="1243" w:type="dxa"/>
            <w:noWrap/>
            <w:vAlign w:val="center"/>
            <w:hideMark/>
          </w:tcPr>
          <w:p w14:paraId="1ADDFE3F" w14:textId="63160D20" w:rsidR="00546675" w:rsidRPr="00CE058E" w:rsidRDefault="00546675" w:rsidP="00546675">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 xml:space="preserve">1,247,225 </w:t>
            </w:r>
          </w:p>
        </w:tc>
        <w:tc>
          <w:tcPr>
            <w:tcW w:w="1242" w:type="dxa"/>
            <w:noWrap/>
            <w:vAlign w:val="center"/>
            <w:hideMark/>
          </w:tcPr>
          <w:p w14:paraId="60035405" w14:textId="353FB603" w:rsidR="00546675" w:rsidRPr="00CE058E" w:rsidRDefault="00546675" w:rsidP="00546675">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 xml:space="preserve">834,726 </w:t>
            </w:r>
          </w:p>
          <w:p w14:paraId="516F814A" w14:textId="60027684" w:rsidR="00546675" w:rsidRPr="00CE058E" w:rsidRDefault="00546675" w:rsidP="00546675">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p>
        </w:tc>
        <w:tc>
          <w:tcPr>
            <w:tcW w:w="1517" w:type="dxa"/>
            <w:noWrap/>
            <w:vAlign w:val="center"/>
            <w:hideMark/>
          </w:tcPr>
          <w:p w14:paraId="3DBFDBE2" w14:textId="59898363" w:rsidR="00546675" w:rsidRPr="00CE058E" w:rsidRDefault="00546675" w:rsidP="00546675">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 xml:space="preserve">412,499 </w:t>
            </w:r>
          </w:p>
        </w:tc>
        <w:tc>
          <w:tcPr>
            <w:tcW w:w="1658" w:type="dxa"/>
            <w:noWrap/>
            <w:vAlign w:val="center"/>
            <w:hideMark/>
          </w:tcPr>
          <w:p w14:paraId="04634B71" w14:textId="0B825A37" w:rsidR="00546675" w:rsidRPr="00CE058E" w:rsidRDefault="00546675" w:rsidP="00546675">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49</w:t>
            </w:r>
          </w:p>
        </w:tc>
      </w:tr>
      <w:tr w:rsidR="00E8503C" w:rsidRPr="00CE058E" w14:paraId="3551E649" w14:textId="77777777" w:rsidTr="0054667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tcPr>
          <w:p w14:paraId="1D22DEED" w14:textId="602EBC25" w:rsidR="00E8503C" w:rsidRPr="00CE058E" w:rsidRDefault="00E8503C" w:rsidP="00546675">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20.29</w:t>
            </w:r>
          </w:p>
        </w:tc>
        <w:tc>
          <w:tcPr>
            <w:tcW w:w="3230" w:type="dxa"/>
            <w:noWrap/>
            <w:vAlign w:val="center"/>
          </w:tcPr>
          <w:p w14:paraId="5DCEF70C" w14:textId="7BF4B6D2" w:rsidR="00E8503C" w:rsidRPr="00CE058E" w:rsidRDefault="00E8503C" w:rsidP="00C661A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Orthopaedics</w:t>
            </w:r>
          </w:p>
        </w:tc>
        <w:tc>
          <w:tcPr>
            <w:tcW w:w="1243" w:type="dxa"/>
            <w:noWrap/>
            <w:vAlign w:val="center"/>
          </w:tcPr>
          <w:p w14:paraId="67E8761A" w14:textId="76169F41" w:rsidR="00E8503C" w:rsidRPr="00CE058E" w:rsidRDefault="00E8503C"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1,025,598</w:t>
            </w:r>
          </w:p>
        </w:tc>
        <w:tc>
          <w:tcPr>
            <w:tcW w:w="1242" w:type="dxa"/>
            <w:noWrap/>
            <w:vAlign w:val="center"/>
          </w:tcPr>
          <w:p w14:paraId="5C07AF1E" w14:textId="5CE88250" w:rsidR="00E8503C" w:rsidRPr="00CE058E" w:rsidRDefault="00E8503C"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1,109,591</w:t>
            </w:r>
          </w:p>
        </w:tc>
        <w:tc>
          <w:tcPr>
            <w:tcW w:w="1517" w:type="dxa"/>
            <w:noWrap/>
            <w:vAlign w:val="center"/>
          </w:tcPr>
          <w:p w14:paraId="2DD5EC6A" w14:textId="5EDC2116" w:rsidR="00E8503C" w:rsidRPr="00CE058E" w:rsidRDefault="00E8503C"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-83,993</w:t>
            </w:r>
          </w:p>
        </w:tc>
        <w:tc>
          <w:tcPr>
            <w:tcW w:w="1658" w:type="dxa"/>
            <w:noWrap/>
            <w:vAlign w:val="center"/>
          </w:tcPr>
          <w:p w14:paraId="02DB622C" w14:textId="3DEE23A8" w:rsidR="00E8503C" w:rsidRPr="00CE058E" w:rsidRDefault="00E8503C"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-8</w:t>
            </w:r>
          </w:p>
        </w:tc>
      </w:tr>
      <w:tr w:rsidR="00E8503C" w:rsidRPr="00CE058E" w14:paraId="3EE2EF7C" w14:textId="77777777" w:rsidTr="00546675">
        <w:trPr>
          <w:trHeight w:val="283"/>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tcPr>
          <w:p w14:paraId="142416E2" w14:textId="5D6AC60D" w:rsidR="00E8503C" w:rsidRPr="00CE058E" w:rsidRDefault="00E8503C" w:rsidP="00546675">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40.09</w:t>
            </w:r>
          </w:p>
        </w:tc>
        <w:tc>
          <w:tcPr>
            <w:tcW w:w="3230" w:type="dxa"/>
            <w:noWrap/>
            <w:vAlign w:val="center"/>
          </w:tcPr>
          <w:p w14:paraId="478EA83B" w14:textId="643CC5A6" w:rsidR="00E8503C" w:rsidRPr="00CE058E" w:rsidRDefault="00E8503C" w:rsidP="00C661A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Physiotherapy</w:t>
            </w:r>
          </w:p>
        </w:tc>
        <w:tc>
          <w:tcPr>
            <w:tcW w:w="1243" w:type="dxa"/>
            <w:noWrap/>
            <w:vAlign w:val="center"/>
          </w:tcPr>
          <w:p w14:paraId="46D8B364" w14:textId="0A7764D9" w:rsidR="00E8503C" w:rsidRPr="00CE058E" w:rsidRDefault="00E8503C"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867,912</w:t>
            </w:r>
          </w:p>
        </w:tc>
        <w:tc>
          <w:tcPr>
            <w:tcW w:w="1242" w:type="dxa"/>
            <w:noWrap/>
            <w:vAlign w:val="center"/>
          </w:tcPr>
          <w:p w14:paraId="0266DE4C" w14:textId="21648FC2" w:rsidR="00E8503C" w:rsidRPr="00CE058E" w:rsidRDefault="00E8503C"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963,320</w:t>
            </w:r>
          </w:p>
        </w:tc>
        <w:tc>
          <w:tcPr>
            <w:tcW w:w="1517" w:type="dxa"/>
            <w:noWrap/>
            <w:vAlign w:val="center"/>
          </w:tcPr>
          <w:p w14:paraId="3F6AAA5A" w14:textId="29EBBE6C" w:rsidR="00E8503C" w:rsidRPr="00CE058E" w:rsidRDefault="00E8503C"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-95,408</w:t>
            </w:r>
          </w:p>
        </w:tc>
        <w:tc>
          <w:tcPr>
            <w:tcW w:w="1658" w:type="dxa"/>
            <w:noWrap/>
            <w:vAlign w:val="center"/>
          </w:tcPr>
          <w:p w14:paraId="7A1626FF" w14:textId="53F510DF" w:rsidR="00E8503C" w:rsidRPr="00CE058E" w:rsidRDefault="00E8503C"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-10</w:t>
            </w:r>
          </w:p>
        </w:tc>
      </w:tr>
      <w:tr w:rsidR="00037328" w:rsidRPr="00CE058E" w14:paraId="07566943" w14:textId="77777777" w:rsidTr="0054667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2469B666" w14:textId="77777777" w:rsidR="00037328" w:rsidRPr="00CE058E" w:rsidRDefault="00037328" w:rsidP="00546675">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30.09</w:t>
            </w:r>
          </w:p>
        </w:tc>
        <w:tc>
          <w:tcPr>
            <w:tcW w:w="3230" w:type="dxa"/>
            <w:noWrap/>
            <w:vAlign w:val="center"/>
            <w:hideMark/>
          </w:tcPr>
          <w:p w14:paraId="06871F41" w14:textId="77777777" w:rsidR="00037328" w:rsidRPr="00CE058E" w:rsidRDefault="00037328" w:rsidP="00C661A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COVID-19 response diagnostics</w:t>
            </w:r>
          </w:p>
        </w:tc>
        <w:tc>
          <w:tcPr>
            <w:tcW w:w="1243" w:type="dxa"/>
            <w:noWrap/>
            <w:vAlign w:val="center"/>
            <w:hideMark/>
          </w:tcPr>
          <w:p w14:paraId="08C6BCEF"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696,921</w:t>
            </w:r>
          </w:p>
        </w:tc>
        <w:tc>
          <w:tcPr>
            <w:tcW w:w="1242" w:type="dxa"/>
            <w:noWrap/>
            <w:vAlign w:val="center"/>
            <w:hideMark/>
          </w:tcPr>
          <w:p w14:paraId="4B4AD8C4"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2,005,948</w:t>
            </w:r>
          </w:p>
        </w:tc>
        <w:tc>
          <w:tcPr>
            <w:tcW w:w="1517" w:type="dxa"/>
            <w:noWrap/>
            <w:vAlign w:val="center"/>
            <w:hideMark/>
          </w:tcPr>
          <w:p w14:paraId="116ABD09" w14:textId="77777777"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-1,309,027</w:t>
            </w:r>
          </w:p>
        </w:tc>
        <w:tc>
          <w:tcPr>
            <w:tcW w:w="1658" w:type="dxa"/>
            <w:noWrap/>
            <w:vAlign w:val="center"/>
            <w:hideMark/>
          </w:tcPr>
          <w:p w14:paraId="46E2AFFA" w14:textId="22013BB8" w:rsidR="00037328" w:rsidRPr="00CE058E" w:rsidRDefault="00037328"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-65</w:t>
            </w:r>
          </w:p>
        </w:tc>
      </w:tr>
    </w:tbl>
    <w:p w14:paraId="48CDC51D" w14:textId="22327335" w:rsidR="006A6185" w:rsidRPr="00CE058E" w:rsidRDefault="006A6185" w:rsidP="007B41F8">
      <w:pPr>
        <w:pStyle w:val="Heading2"/>
      </w:pPr>
      <w:bookmarkStart w:id="358" w:name="_Toc151129718"/>
      <w:bookmarkStart w:id="359" w:name="_Toc158882569"/>
      <w:bookmarkStart w:id="360" w:name="_Toc158882630"/>
      <w:r w:rsidRPr="00CE058E">
        <w:t xml:space="preserve">Non-admitted </w:t>
      </w:r>
      <w:r w:rsidR="0037633A" w:rsidRPr="00CE058E">
        <w:t xml:space="preserve">service events </w:t>
      </w:r>
      <w:r w:rsidRPr="00CE058E">
        <w:t>cost</w:t>
      </w:r>
      <w:bookmarkEnd w:id="358"/>
      <w:bookmarkEnd w:id="359"/>
      <w:bookmarkEnd w:id="360"/>
    </w:p>
    <w:p w14:paraId="225F76E1" w14:textId="66ED7252" w:rsidR="003C3D4C" w:rsidRPr="005250DC" w:rsidRDefault="0037633A" w:rsidP="00070481">
      <w:pPr>
        <w:spacing w:line="276" w:lineRule="auto"/>
        <w:rPr>
          <w:rFonts w:cs="Arial"/>
          <w:color w:val="auto"/>
        </w:rPr>
      </w:pPr>
      <w:r w:rsidRPr="00CE058E">
        <w:rPr>
          <w:rFonts w:cs="Arial"/>
          <w:color w:val="auto"/>
        </w:rPr>
        <w:t>In 2021-22, the non-admitted service event</w:t>
      </w:r>
      <w:r w:rsidR="00AF2519">
        <w:rPr>
          <w:rFonts w:cs="Arial"/>
          <w:color w:val="auto"/>
        </w:rPr>
        <w:t xml:space="preserve"> expenditure reported in the NHCDC was </w:t>
      </w:r>
      <w:r w:rsidRPr="00CE058E">
        <w:rPr>
          <w:rFonts w:cs="Arial"/>
          <w:color w:val="auto"/>
        </w:rPr>
        <w:t>approximately $10.5 billion</w:t>
      </w:r>
      <w:r w:rsidR="00AF2519">
        <w:rPr>
          <w:rFonts w:cs="Arial"/>
          <w:color w:val="auto"/>
        </w:rPr>
        <w:t xml:space="preserve"> nationally</w:t>
      </w:r>
      <w:r w:rsidRPr="00CE058E">
        <w:rPr>
          <w:rFonts w:cs="Arial"/>
          <w:color w:val="auto"/>
        </w:rPr>
        <w:t xml:space="preserve">. Figure </w:t>
      </w:r>
      <w:r w:rsidR="00CB65C0">
        <w:rPr>
          <w:rFonts w:cs="Arial"/>
          <w:color w:val="auto"/>
        </w:rPr>
        <w:t>19</w:t>
      </w:r>
      <w:r w:rsidRPr="00CE058E">
        <w:rPr>
          <w:rFonts w:cs="Arial"/>
          <w:color w:val="auto"/>
        </w:rPr>
        <w:t xml:space="preserve"> shows the cost of non-admitted service events by jurisdiction from 2019-20 to 2021-22. From 2020-21 to 2021-22, the cost of non-admitted service events increased $876.8 million nationally, a 9</w:t>
      </w:r>
      <w:r w:rsidR="00897090">
        <w:rPr>
          <w:rFonts w:cs="Arial"/>
          <w:color w:val="auto"/>
        </w:rPr>
        <w:t>%</w:t>
      </w:r>
      <w:r w:rsidRPr="00CE058E">
        <w:rPr>
          <w:rFonts w:cs="Arial"/>
          <w:color w:val="auto"/>
        </w:rPr>
        <w:t xml:space="preserve"> increase to the 2020-21 figure of $9.6 billion. The national increase in the cost of </w:t>
      </w:r>
      <w:r w:rsidR="00112D9F" w:rsidRPr="00CE058E">
        <w:rPr>
          <w:rFonts w:cs="Arial"/>
          <w:color w:val="auto"/>
        </w:rPr>
        <w:t xml:space="preserve">non-admitted service events </w:t>
      </w:r>
      <w:r w:rsidRPr="00CE058E">
        <w:rPr>
          <w:rFonts w:cs="Arial"/>
          <w:color w:val="auto"/>
        </w:rPr>
        <w:t xml:space="preserve">was driven by </w:t>
      </w:r>
      <w:r w:rsidR="00112D9F" w:rsidRPr="00CE058E">
        <w:rPr>
          <w:rFonts w:cs="Arial"/>
          <w:color w:val="auto"/>
        </w:rPr>
        <w:t>Queensland</w:t>
      </w:r>
      <w:r w:rsidRPr="00CE058E">
        <w:rPr>
          <w:rFonts w:cs="Arial"/>
          <w:color w:val="auto"/>
        </w:rPr>
        <w:t>, increasing $2</w:t>
      </w:r>
      <w:r w:rsidR="00112D9F" w:rsidRPr="00CE058E">
        <w:rPr>
          <w:rFonts w:cs="Arial"/>
          <w:color w:val="auto"/>
        </w:rPr>
        <w:t>51</w:t>
      </w:r>
      <w:r w:rsidRPr="00CE058E">
        <w:rPr>
          <w:rFonts w:cs="Arial"/>
          <w:color w:val="auto"/>
        </w:rPr>
        <w:t>.</w:t>
      </w:r>
      <w:r w:rsidR="00112D9F" w:rsidRPr="00CE058E">
        <w:rPr>
          <w:rFonts w:cs="Arial"/>
          <w:color w:val="auto"/>
        </w:rPr>
        <w:t>2</w:t>
      </w:r>
      <w:r w:rsidRPr="00CE058E">
        <w:rPr>
          <w:rFonts w:cs="Arial"/>
          <w:color w:val="auto"/>
        </w:rPr>
        <w:t xml:space="preserve"> million (or 1</w:t>
      </w:r>
      <w:r w:rsidR="00112D9F" w:rsidRPr="00CE058E">
        <w:rPr>
          <w:rFonts w:cs="Arial"/>
          <w:color w:val="auto"/>
        </w:rPr>
        <w:t>0</w:t>
      </w:r>
      <w:r w:rsidR="00897090">
        <w:rPr>
          <w:rFonts w:cs="Arial"/>
          <w:color w:val="auto"/>
        </w:rPr>
        <w:t>%</w:t>
      </w:r>
      <w:r w:rsidRPr="00CE058E">
        <w:rPr>
          <w:rFonts w:cs="Arial"/>
          <w:color w:val="auto"/>
        </w:rPr>
        <w:t xml:space="preserve">) from 2020-21 to 2021-22. In 2021-22, the cost at the jurisdictional level ranged from </w:t>
      </w:r>
      <w:r w:rsidR="00112D9F" w:rsidRPr="00CE058E">
        <w:rPr>
          <w:rFonts w:cs="Arial"/>
          <w:color w:val="auto"/>
        </w:rPr>
        <w:t>$161.7 million (Northern Territory) to $3.2 billion (New South Wales)</w:t>
      </w:r>
      <w:r w:rsidRPr="00CE058E">
        <w:rPr>
          <w:rFonts w:cs="Arial"/>
          <w:color w:val="auto"/>
        </w:rPr>
        <w:t>.</w:t>
      </w:r>
    </w:p>
    <w:p w14:paraId="5D0D5C81" w14:textId="02E918F2" w:rsidR="00830622" w:rsidRPr="00CE058E" w:rsidRDefault="00DD29C5" w:rsidP="00DD29C5">
      <w:pPr>
        <w:pStyle w:val="TableFigureheading"/>
      </w:pPr>
      <w:bookmarkStart w:id="361" w:name="_Toc151116355"/>
      <w:bookmarkStart w:id="362" w:name="_Toc151370068"/>
      <w:r>
        <w:t xml:space="preserve">Figure </w:t>
      </w:r>
      <w:r>
        <w:fldChar w:fldCharType="begin"/>
      </w:r>
      <w:r>
        <w:instrText xml:space="preserve"> SEQ Figure \* ARABIC </w:instrText>
      </w:r>
      <w:r>
        <w:fldChar w:fldCharType="separate"/>
      </w:r>
      <w:r>
        <w:rPr>
          <w:noProof/>
        </w:rPr>
        <w:t>19</w:t>
      </w:r>
      <w:r>
        <w:rPr>
          <w:noProof/>
        </w:rPr>
        <w:fldChar w:fldCharType="end"/>
      </w:r>
      <w:r w:rsidR="00830622" w:rsidRPr="00CE058E">
        <w:t xml:space="preserve">: Non-admitted </w:t>
      </w:r>
      <w:r w:rsidR="009B604F" w:rsidRPr="00CE058E">
        <w:t xml:space="preserve">service events </w:t>
      </w:r>
      <w:r w:rsidR="00830622" w:rsidRPr="00CE058E">
        <w:t>cost, 2019-20 to 2021-22</w:t>
      </w:r>
      <w:bookmarkEnd w:id="361"/>
      <w:bookmarkEnd w:id="362"/>
    </w:p>
    <w:p w14:paraId="176CB2FB" w14:textId="5D46BEB6" w:rsidR="006674A7" w:rsidRPr="00CE058E" w:rsidRDefault="006674A7" w:rsidP="006778AE">
      <w:pPr>
        <w:jc w:val="center"/>
        <w:rPr>
          <w:rFonts w:cs="Arial"/>
        </w:rPr>
      </w:pPr>
      <w:r w:rsidRPr="00CE058E">
        <w:rPr>
          <w:rFonts w:cs="Arial"/>
          <w:noProof/>
        </w:rPr>
        <w:drawing>
          <wp:inline distT="0" distB="0" distL="0" distR="0" wp14:anchorId="7E0F285A" wp14:editId="27B7F91B">
            <wp:extent cx="6228000" cy="4608000"/>
            <wp:effectExtent l="0" t="0" r="0" b="0"/>
            <wp:docPr id="23" name="Chart 23">
              <a:extLst xmlns:a="http://schemas.openxmlformats.org/drawingml/2006/main">
                <a:ext uri="{FF2B5EF4-FFF2-40B4-BE49-F238E27FC236}">
                  <a16:creationId xmlns:a16="http://schemas.microsoft.com/office/drawing/2014/main" id="{432764B5-8F5A-E037-D7CE-84C5706F9A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1A8A765" w14:textId="1EF052ED" w:rsidR="006A6185" w:rsidRPr="00CE058E" w:rsidRDefault="006A6185" w:rsidP="007B41F8">
      <w:pPr>
        <w:pStyle w:val="Heading2"/>
      </w:pPr>
      <w:bookmarkStart w:id="363" w:name="_Toc151129719"/>
      <w:bookmarkStart w:id="364" w:name="_Toc158882570"/>
      <w:bookmarkStart w:id="365" w:name="_Toc158882631"/>
      <w:r w:rsidRPr="00CE058E">
        <w:lastRenderedPageBreak/>
        <w:t>Non-admitted average cost</w:t>
      </w:r>
      <w:bookmarkEnd w:id="363"/>
      <w:bookmarkEnd w:id="364"/>
      <w:bookmarkEnd w:id="365"/>
    </w:p>
    <w:p w14:paraId="4876B36A" w14:textId="46BAB6D8" w:rsidR="00DD29C5" w:rsidRDefault="00F7405B" w:rsidP="00070481">
      <w:pPr>
        <w:spacing w:line="276" w:lineRule="auto"/>
        <w:rPr>
          <w:rFonts w:cs="Arial"/>
          <w:color w:val="auto"/>
        </w:rPr>
      </w:pPr>
      <w:r w:rsidRPr="00CE058E">
        <w:rPr>
          <w:rFonts w:cs="Arial"/>
          <w:color w:val="auto"/>
        </w:rPr>
        <w:t>Figure 2</w:t>
      </w:r>
      <w:r w:rsidR="00CB65C0">
        <w:rPr>
          <w:rFonts w:cs="Arial"/>
          <w:color w:val="auto"/>
        </w:rPr>
        <w:t>0</w:t>
      </w:r>
      <w:r w:rsidRPr="00CE058E">
        <w:rPr>
          <w:rFonts w:cs="Arial"/>
          <w:color w:val="auto"/>
        </w:rPr>
        <w:t xml:space="preserve"> shows the average cost of non-admitted service events reported in the cost data from 2019-20 to 2021-22. In 2021-22, the national average cost per non-admitted service event was $</w:t>
      </w:r>
      <w:r w:rsidR="001E3C6D" w:rsidRPr="00CE058E">
        <w:rPr>
          <w:rFonts w:cs="Arial"/>
          <w:color w:val="auto"/>
        </w:rPr>
        <w:t>324</w:t>
      </w:r>
      <w:r w:rsidRPr="00CE058E">
        <w:rPr>
          <w:rFonts w:cs="Arial"/>
          <w:color w:val="auto"/>
        </w:rPr>
        <w:t xml:space="preserve">, a </w:t>
      </w:r>
      <w:r w:rsidR="001E3C6D" w:rsidRPr="00CE058E">
        <w:rPr>
          <w:rFonts w:cs="Arial"/>
          <w:color w:val="auto"/>
        </w:rPr>
        <w:t>5</w:t>
      </w:r>
      <w:r w:rsidR="00897090">
        <w:rPr>
          <w:rFonts w:cs="Arial"/>
          <w:color w:val="auto"/>
        </w:rPr>
        <w:t>%</w:t>
      </w:r>
      <w:r w:rsidRPr="00CE058E">
        <w:rPr>
          <w:rFonts w:cs="Arial"/>
          <w:color w:val="auto"/>
        </w:rPr>
        <w:t xml:space="preserve"> </w:t>
      </w:r>
      <w:r w:rsidR="001E3C6D" w:rsidRPr="00CE058E">
        <w:rPr>
          <w:rFonts w:cs="Arial"/>
          <w:color w:val="auto"/>
        </w:rPr>
        <w:t xml:space="preserve">decrease </w:t>
      </w:r>
      <w:r w:rsidRPr="00CE058E">
        <w:rPr>
          <w:rFonts w:cs="Arial"/>
          <w:color w:val="auto"/>
        </w:rPr>
        <w:t>from the 2020-21 figure of $</w:t>
      </w:r>
      <w:r w:rsidR="004A76DB" w:rsidRPr="00CE058E">
        <w:rPr>
          <w:rFonts w:cs="Arial"/>
          <w:color w:val="auto"/>
        </w:rPr>
        <w:t>341</w:t>
      </w:r>
      <w:r w:rsidRPr="00CE058E">
        <w:rPr>
          <w:rFonts w:cs="Arial"/>
          <w:color w:val="auto"/>
        </w:rPr>
        <w:t>. In 2021-22, the average cost per</w:t>
      </w:r>
      <w:r w:rsidR="004A76DB" w:rsidRPr="00CE058E">
        <w:rPr>
          <w:rFonts w:cs="Arial"/>
          <w:color w:val="auto"/>
        </w:rPr>
        <w:t xml:space="preserve"> service event </w:t>
      </w:r>
      <w:r w:rsidRPr="00CE058E">
        <w:rPr>
          <w:rFonts w:cs="Arial"/>
          <w:color w:val="auto"/>
        </w:rPr>
        <w:t xml:space="preserve">at the jurisdictional level ranged from </w:t>
      </w:r>
      <w:r w:rsidR="004A76DB" w:rsidRPr="00CE058E">
        <w:rPr>
          <w:rFonts w:cs="Arial"/>
          <w:color w:val="auto"/>
        </w:rPr>
        <w:t>$202 (Australian Capital Territory) to $527 (Northern Territory)</w:t>
      </w:r>
      <w:r w:rsidRPr="00CE058E">
        <w:rPr>
          <w:rFonts w:cs="Arial"/>
          <w:color w:val="auto"/>
        </w:rPr>
        <w:t>.</w:t>
      </w:r>
    </w:p>
    <w:p w14:paraId="06EE4F09" w14:textId="560A000A" w:rsidR="006A6185" w:rsidRPr="00CE058E" w:rsidRDefault="00DD29C5" w:rsidP="00DD29C5">
      <w:pPr>
        <w:pStyle w:val="TableFigureheading"/>
      </w:pPr>
      <w:bookmarkStart w:id="366" w:name="_Toc151370069"/>
      <w:r>
        <w:t xml:space="preserve">Figure </w:t>
      </w:r>
      <w:r>
        <w:fldChar w:fldCharType="begin"/>
      </w:r>
      <w:r>
        <w:instrText xml:space="preserve"> SEQ Figure \* ARABIC </w:instrText>
      </w:r>
      <w:r>
        <w:fldChar w:fldCharType="separate"/>
      </w:r>
      <w:r>
        <w:rPr>
          <w:noProof/>
        </w:rPr>
        <w:t>20</w:t>
      </w:r>
      <w:r>
        <w:rPr>
          <w:noProof/>
        </w:rPr>
        <w:fldChar w:fldCharType="end"/>
      </w:r>
      <w:r>
        <w:t>:</w:t>
      </w:r>
      <w:bookmarkStart w:id="367" w:name="_Toc151116356"/>
      <w:r w:rsidR="006A6185" w:rsidRPr="00CE058E">
        <w:t xml:space="preserve"> Non-admitted </w:t>
      </w:r>
      <w:r w:rsidR="009B604F" w:rsidRPr="00CE058E">
        <w:t xml:space="preserve">service events </w:t>
      </w:r>
      <w:r w:rsidR="006A6185" w:rsidRPr="00CE058E">
        <w:t>average cost, 2019-20 to 2021-22</w:t>
      </w:r>
      <w:bookmarkEnd w:id="366"/>
      <w:bookmarkEnd w:id="367"/>
    </w:p>
    <w:p w14:paraId="2A213204" w14:textId="167A6520" w:rsidR="005E7EFB" w:rsidRPr="00CE058E" w:rsidRDefault="00734750" w:rsidP="003D0B49">
      <w:pPr>
        <w:rPr>
          <w:rFonts w:cs="Arial"/>
        </w:rPr>
      </w:pPr>
      <w:r w:rsidRPr="00CE058E">
        <w:rPr>
          <w:rFonts w:cs="Arial"/>
          <w:noProof/>
        </w:rPr>
        <w:drawing>
          <wp:inline distT="0" distB="0" distL="0" distR="0" wp14:anchorId="7665A12C" wp14:editId="77F8E2F7">
            <wp:extent cx="6228000" cy="5796000"/>
            <wp:effectExtent l="0" t="0" r="0" b="0"/>
            <wp:docPr id="1987605761" name="Chart 1987605761">
              <a:extLst xmlns:a="http://schemas.openxmlformats.org/drawingml/2006/main">
                <a:ext uri="{FF2B5EF4-FFF2-40B4-BE49-F238E27FC236}">
                  <a16:creationId xmlns:a16="http://schemas.microsoft.com/office/drawing/2014/main" id="{76F80160-9410-B9B0-F58D-ABD90D53BE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BB70D23" w14:textId="77777777" w:rsidR="00C170C2" w:rsidRPr="00CE058E" w:rsidRDefault="00C170C2" w:rsidP="00F46C13">
      <w:pPr>
        <w:rPr>
          <w:rFonts w:cs="Arial"/>
        </w:rPr>
      </w:pPr>
      <w:r w:rsidRPr="00CE058E">
        <w:rPr>
          <w:rFonts w:cs="Arial"/>
        </w:rPr>
        <w:br w:type="page"/>
      </w:r>
    </w:p>
    <w:p w14:paraId="30110C30" w14:textId="65FE66B5" w:rsidR="006A6185" w:rsidRPr="00CE058E" w:rsidRDefault="00DD3CB5" w:rsidP="001213C3">
      <w:pPr>
        <w:pStyle w:val="Heading3"/>
      </w:pPr>
      <w:bookmarkStart w:id="368" w:name="_Toc151129720"/>
      <w:bookmarkStart w:id="369" w:name="_Toc158882571"/>
      <w:bookmarkStart w:id="370" w:name="_Toc158882632"/>
      <w:r w:rsidRPr="00CE058E">
        <w:lastRenderedPageBreak/>
        <w:t>Non-admitted c</w:t>
      </w:r>
      <w:r w:rsidR="006A6185" w:rsidRPr="00CE058E">
        <w:t>ost buckets</w:t>
      </w:r>
      <w:bookmarkEnd w:id="368"/>
      <w:bookmarkEnd w:id="369"/>
      <w:bookmarkEnd w:id="370"/>
    </w:p>
    <w:p w14:paraId="53A1834D" w14:textId="27BB478D" w:rsidR="001213C3" w:rsidRDefault="001136E1" w:rsidP="002E6A1C">
      <w:pPr>
        <w:spacing w:line="276" w:lineRule="auto"/>
        <w:rPr>
          <w:rFonts w:cs="Arial"/>
          <w:color w:val="auto"/>
        </w:rPr>
      </w:pPr>
      <w:r w:rsidRPr="00CE058E">
        <w:rPr>
          <w:rFonts w:cs="Arial"/>
          <w:color w:val="auto"/>
        </w:rPr>
        <w:t>Figure 2</w:t>
      </w:r>
      <w:r w:rsidR="00CB65C0">
        <w:rPr>
          <w:rFonts w:cs="Arial"/>
          <w:color w:val="auto"/>
        </w:rPr>
        <w:t>1</w:t>
      </w:r>
      <w:r w:rsidRPr="00CE058E">
        <w:rPr>
          <w:rFonts w:cs="Arial"/>
          <w:color w:val="auto"/>
        </w:rPr>
        <w:t xml:space="preserve"> shows the non-admitted national average cost per cost bucket reported in the cost data from 2019-20 to 2021-22. In 2021-22, the national average cost per non-admitted service event was </w:t>
      </w:r>
      <w:r w:rsidR="00581C30" w:rsidRPr="00CE058E">
        <w:rPr>
          <w:rFonts w:cs="Arial"/>
          <w:color w:val="auto"/>
        </w:rPr>
        <w:t>$324,</w:t>
      </w:r>
      <w:r w:rsidRPr="00CE058E">
        <w:rPr>
          <w:rFonts w:cs="Arial"/>
          <w:color w:val="auto"/>
        </w:rPr>
        <w:t xml:space="preserve"> a </w:t>
      </w:r>
      <w:r w:rsidR="00FE7337" w:rsidRPr="00CE058E">
        <w:rPr>
          <w:rFonts w:cs="Arial"/>
          <w:color w:val="auto"/>
        </w:rPr>
        <w:t>5</w:t>
      </w:r>
      <w:r w:rsidR="00897090">
        <w:rPr>
          <w:rFonts w:cs="Arial"/>
          <w:color w:val="auto"/>
        </w:rPr>
        <w:t>%</w:t>
      </w:r>
      <w:r w:rsidRPr="00CE058E">
        <w:rPr>
          <w:rFonts w:cs="Arial"/>
          <w:color w:val="auto"/>
        </w:rPr>
        <w:t xml:space="preserve"> </w:t>
      </w:r>
      <w:r w:rsidR="00FE7337" w:rsidRPr="00CE058E">
        <w:rPr>
          <w:rFonts w:cs="Arial"/>
          <w:color w:val="auto"/>
        </w:rPr>
        <w:t>de</w:t>
      </w:r>
      <w:r w:rsidRPr="00CE058E">
        <w:rPr>
          <w:rFonts w:cs="Arial"/>
          <w:color w:val="auto"/>
        </w:rPr>
        <w:t>crease from the 2020-21 figure of $3</w:t>
      </w:r>
      <w:r w:rsidR="00FE7337" w:rsidRPr="00CE058E">
        <w:rPr>
          <w:rFonts w:cs="Arial"/>
          <w:color w:val="auto"/>
        </w:rPr>
        <w:t>41</w:t>
      </w:r>
      <w:r w:rsidRPr="00CE058E">
        <w:rPr>
          <w:rFonts w:cs="Arial"/>
          <w:color w:val="auto"/>
        </w:rPr>
        <w:t xml:space="preserve">. The </w:t>
      </w:r>
      <w:r w:rsidR="007C6514" w:rsidRPr="00CE058E">
        <w:rPr>
          <w:rFonts w:cs="Arial"/>
          <w:color w:val="auto"/>
        </w:rPr>
        <w:t xml:space="preserve">pathology, pharmacy, and </w:t>
      </w:r>
      <w:r w:rsidR="001C2925" w:rsidRPr="00CE058E">
        <w:rPr>
          <w:rFonts w:cs="Arial"/>
          <w:color w:val="auto"/>
        </w:rPr>
        <w:t xml:space="preserve">wad supplies cost buckets </w:t>
      </w:r>
      <w:r w:rsidRPr="00CE058E">
        <w:rPr>
          <w:rFonts w:cs="Arial"/>
          <w:color w:val="auto"/>
        </w:rPr>
        <w:t xml:space="preserve">accounted for </w:t>
      </w:r>
      <w:r w:rsidR="001C2925" w:rsidRPr="00CE058E">
        <w:rPr>
          <w:rFonts w:cs="Arial"/>
          <w:color w:val="auto"/>
        </w:rPr>
        <w:t>95</w:t>
      </w:r>
      <w:r w:rsidR="00897090">
        <w:rPr>
          <w:rFonts w:cs="Arial"/>
          <w:color w:val="auto"/>
        </w:rPr>
        <w:t>%</w:t>
      </w:r>
      <w:r w:rsidRPr="00CE058E">
        <w:rPr>
          <w:rFonts w:cs="Arial"/>
          <w:color w:val="auto"/>
        </w:rPr>
        <w:t xml:space="preserve"> of the </w:t>
      </w:r>
      <w:r w:rsidR="00E90A33" w:rsidRPr="00CE058E">
        <w:rPr>
          <w:rFonts w:cs="Arial"/>
          <w:color w:val="auto"/>
        </w:rPr>
        <w:t>decrease</w:t>
      </w:r>
      <w:r w:rsidRPr="00CE058E">
        <w:rPr>
          <w:rFonts w:cs="Arial"/>
          <w:color w:val="auto"/>
        </w:rPr>
        <w:t xml:space="preserve"> in the average cost per </w:t>
      </w:r>
      <w:r w:rsidR="00E90A33" w:rsidRPr="00CE058E">
        <w:rPr>
          <w:rFonts w:cs="Arial"/>
          <w:color w:val="auto"/>
        </w:rPr>
        <w:t>non-admitted service event</w:t>
      </w:r>
      <w:r w:rsidRPr="00CE058E">
        <w:rPr>
          <w:rFonts w:cs="Arial"/>
          <w:color w:val="auto"/>
        </w:rPr>
        <w:t xml:space="preserve"> from 2020-21 to 2021-22. The </w:t>
      </w:r>
      <w:r w:rsidR="008105CE" w:rsidRPr="00CE058E">
        <w:rPr>
          <w:rFonts w:cs="Arial"/>
          <w:color w:val="auto"/>
        </w:rPr>
        <w:t xml:space="preserve">ward nursing cost bucket increased </w:t>
      </w:r>
      <w:r w:rsidR="002D747A" w:rsidRPr="00CE058E">
        <w:rPr>
          <w:rFonts w:cs="Arial"/>
          <w:color w:val="auto"/>
        </w:rPr>
        <w:t>5</w:t>
      </w:r>
      <w:r w:rsidR="00897090">
        <w:rPr>
          <w:rFonts w:cs="Arial"/>
          <w:color w:val="auto"/>
        </w:rPr>
        <w:t>%</w:t>
      </w:r>
      <w:r w:rsidRPr="00CE058E">
        <w:rPr>
          <w:rFonts w:cs="Arial"/>
          <w:color w:val="auto"/>
        </w:rPr>
        <w:t xml:space="preserve"> from 2020-21 to 2021-22.</w:t>
      </w:r>
    </w:p>
    <w:p w14:paraId="3231811D" w14:textId="6687F531" w:rsidR="006A6185" w:rsidRPr="00CE058E" w:rsidRDefault="00DD29C5" w:rsidP="00DD29C5">
      <w:pPr>
        <w:pStyle w:val="TableFigureheading"/>
      </w:pPr>
      <w:bookmarkStart w:id="371" w:name="_Toc151370070"/>
      <w:r>
        <w:t xml:space="preserve">Figure </w:t>
      </w:r>
      <w:r>
        <w:fldChar w:fldCharType="begin"/>
      </w:r>
      <w:r>
        <w:instrText xml:space="preserve"> SEQ Figure \* ARABIC </w:instrText>
      </w:r>
      <w:r>
        <w:fldChar w:fldCharType="separate"/>
      </w:r>
      <w:r>
        <w:rPr>
          <w:noProof/>
        </w:rPr>
        <w:t>21</w:t>
      </w:r>
      <w:r>
        <w:rPr>
          <w:noProof/>
        </w:rPr>
        <w:fldChar w:fldCharType="end"/>
      </w:r>
      <w:bookmarkStart w:id="372" w:name="_Toc151116357"/>
      <w:r w:rsidR="006A6185" w:rsidRPr="00CE058E">
        <w:t xml:space="preserve">: Non admitted </w:t>
      </w:r>
      <w:r w:rsidR="009B604F" w:rsidRPr="00CE058E">
        <w:t xml:space="preserve">service events </w:t>
      </w:r>
      <w:r w:rsidR="006A6185" w:rsidRPr="00CE058E">
        <w:t>cost bucket</w:t>
      </w:r>
      <w:r w:rsidR="009B604F" w:rsidRPr="00CE058E">
        <w:t>s</w:t>
      </w:r>
      <w:r w:rsidR="001B7746" w:rsidRPr="00CE058E">
        <w:t xml:space="preserve"> national</w:t>
      </w:r>
      <w:r w:rsidR="006A6185" w:rsidRPr="00CE058E">
        <w:t>, 2021-22</w:t>
      </w:r>
      <w:bookmarkEnd w:id="371"/>
      <w:bookmarkEnd w:id="372"/>
    </w:p>
    <w:p w14:paraId="0F42DB11" w14:textId="77143D60" w:rsidR="007861EC" w:rsidRPr="00CE058E" w:rsidRDefault="00290AC6" w:rsidP="0061419D">
      <w:pPr>
        <w:spacing w:line="259" w:lineRule="auto"/>
        <w:rPr>
          <w:rFonts w:eastAsiaTheme="majorEastAsia" w:cs="Arial"/>
          <w:b/>
          <w:sz w:val="24"/>
          <w:szCs w:val="10"/>
        </w:rPr>
      </w:pPr>
      <w:bookmarkStart w:id="373" w:name="_Toc144215438"/>
      <w:bookmarkStart w:id="374" w:name="_Toc144967645"/>
      <w:r w:rsidRPr="00CE058E">
        <w:rPr>
          <w:rFonts w:cs="Arial"/>
          <w:noProof/>
        </w:rPr>
        <w:drawing>
          <wp:inline distT="0" distB="0" distL="0" distR="0" wp14:anchorId="4D7701B8" wp14:editId="25774B48">
            <wp:extent cx="6300000" cy="7200000"/>
            <wp:effectExtent l="0" t="0" r="0" b="0"/>
            <wp:docPr id="1987605763" name="Chart 1987605763">
              <a:extLst xmlns:a="http://schemas.openxmlformats.org/drawingml/2006/main">
                <a:ext uri="{FF2B5EF4-FFF2-40B4-BE49-F238E27FC236}">
                  <a16:creationId xmlns:a16="http://schemas.microsoft.com/office/drawing/2014/main" id="{8F84E62E-CA1D-ED0E-B244-D984E1056F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7861EC" w:rsidRPr="00CE058E">
        <w:rPr>
          <w:rFonts w:cs="Arial"/>
        </w:rPr>
        <w:br w:type="page"/>
      </w:r>
    </w:p>
    <w:p w14:paraId="44C921EE" w14:textId="1C4313BA" w:rsidR="00935107" w:rsidRPr="00CE058E" w:rsidRDefault="00935107" w:rsidP="005C6AE6">
      <w:pPr>
        <w:pStyle w:val="Heading1"/>
        <w:numPr>
          <w:ilvl w:val="0"/>
          <w:numId w:val="12"/>
        </w:numPr>
        <w:rPr>
          <w:rFonts w:cs="Arial"/>
          <w:bCs/>
        </w:rPr>
      </w:pPr>
      <w:bookmarkStart w:id="375" w:name="_Toc144215468"/>
      <w:bookmarkStart w:id="376" w:name="_Toc144967675"/>
      <w:bookmarkStart w:id="377" w:name="_Toc158882633"/>
      <w:bookmarkEnd w:id="373"/>
      <w:bookmarkEnd w:id="374"/>
      <w:r w:rsidRPr="00CE058E">
        <w:rPr>
          <w:rFonts w:cs="Arial"/>
          <w:bCs/>
        </w:rPr>
        <w:lastRenderedPageBreak/>
        <w:t>Admitted mental health</w:t>
      </w:r>
      <w:bookmarkEnd w:id="375"/>
      <w:bookmarkEnd w:id="376"/>
      <w:bookmarkEnd w:id="377"/>
    </w:p>
    <w:p w14:paraId="73277ED3" w14:textId="75F1A4F2" w:rsidR="00935107" w:rsidRPr="00CE058E" w:rsidRDefault="00935107" w:rsidP="007B41F8">
      <w:pPr>
        <w:pStyle w:val="Heading2"/>
      </w:pPr>
      <w:bookmarkStart w:id="378" w:name="_Toc144215469"/>
      <w:bookmarkStart w:id="379" w:name="_Toc144967676"/>
      <w:bookmarkStart w:id="380" w:name="_Toc151129722"/>
      <w:bookmarkStart w:id="381" w:name="_Toc158882573"/>
      <w:bookmarkStart w:id="382" w:name="_Toc158882634"/>
      <w:r w:rsidRPr="00CE058E">
        <w:t>Summary</w:t>
      </w:r>
      <w:bookmarkEnd w:id="378"/>
      <w:bookmarkEnd w:id="379"/>
      <w:bookmarkEnd w:id="380"/>
      <w:bookmarkEnd w:id="381"/>
      <w:bookmarkEnd w:id="382"/>
    </w:p>
    <w:p w14:paraId="4D395CE9" w14:textId="56B4ADDC" w:rsidR="00935107" w:rsidRPr="00CE058E" w:rsidRDefault="00935107" w:rsidP="00070481">
      <w:pPr>
        <w:spacing w:line="276" w:lineRule="auto"/>
        <w:rPr>
          <w:rFonts w:eastAsia="Fira Sans regular" w:cs="Arial"/>
          <w:color w:val="auto"/>
        </w:rPr>
      </w:pPr>
      <w:r w:rsidRPr="00CE058E">
        <w:rPr>
          <w:rFonts w:eastAsia="Fira Sans regular" w:cs="Arial"/>
          <w:color w:val="auto"/>
        </w:rPr>
        <w:t>This</w:t>
      </w:r>
      <w:r w:rsidR="009A42AD" w:rsidRPr="00CE058E">
        <w:rPr>
          <w:rFonts w:eastAsia="Fira Sans regular" w:cs="Arial"/>
          <w:color w:val="auto"/>
        </w:rPr>
        <w:t xml:space="preserve"> chapter outlines </w:t>
      </w:r>
      <w:r w:rsidRPr="00CE058E">
        <w:rPr>
          <w:rFonts w:eastAsia="Fira Sans regular" w:cs="Arial"/>
          <w:color w:val="auto"/>
        </w:rPr>
        <w:t xml:space="preserve">the admitted mental health activity, cost, and average cost per </w:t>
      </w:r>
      <w:r w:rsidR="00D81208" w:rsidRPr="00CE058E">
        <w:rPr>
          <w:rFonts w:eastAsia="Fira Sans regular" w:cs="Arial"/>
          <w:color w:val="auto"/>
        </w:rPr>
        <w:t xml:space="preserve">phase </w:t>
      </w:r>
      <w:r w:rsidR="00D81208">
        <w:rPr>
          <w:rFonts w:eastAsia="Fira Sans regular" w:cs="Arial"/>
          <w:color w:val="auto"/>
        </w:rPr>
        <w:t xml:space="preserve">and </w:t>
      </w:r>
      <w:r w:rsidR="00D84CAB" w:rsidRPr="00CE058E">
        <w:rPr>
          <w:rFonts w:eastAsia="Fira Sans regular" w:cs="Arial"/>
          <w:color w:val="auto"/>
        </w:rPr>
        <w:t xml:space="preserve">episode </w:t>
      </w:r>
      <w:r w:rsidRPr="00CE058E">
        <w:rPr>
          <w:rFonts w:eastAsia="Fira Sans regular" w:cs="Arial"/>
          <w:color w:val="auto"/>
        </w:rPr>
        <w:t>from 2019-21 to 2021-22.</w:t>
      </w:r>
    </w:p>
    <w:p w14:paraId="3CF82E53" w14:textId="2200EF7B" w:rsidR="00D67878" w:rsidRPr="00CE058E" w:rsidRDefault="00935107" w:rsidP="00D67878">
      <w:pPr>
        <w:spacing w:line="276" w:lineRule="auto"/>
        <w:rPr>
          <w:rFonts w:eastAsia="Fira Sans regular" w:cs="Arial"/>
          <w:color w:val="auto"/>
        </w:rPr>
      </w:pPr>
      <w:r w:rsidRPr="00CE058E">
        <w:rPr>
          <w:rFonts w:eastAsia="Fira Sans regular" w:cs="Arial"/>
          <w:color w:val="auto"/>
        </w:rPr>
        <w:t>The admitted mental health setting includes patients that are admitted for mental health care. The mental health episode of care is defined as the period between the commencement and completion of care</w:t>
      </w:r>
      <w:r w:rsidR="00C87AEB" w:rsidRPr="00CE058E">
        <w:rPr>
          <w:rFonts w:eastAsia="Fira Sans regular" w:cs="Arial"/>
          <w:color w:val="auto"/>
        </w:rPr>
        <w:t>,</w:t>
      </w:r>
      <w:r w:rsidRPr="00CE058E">
        <w:rPr>
          <w:rFonts w:eastAsia="Fira Sans regular" w:cs="Arial"/>
          <w:color w:val="auto"/>
        </w:rPr>
        <w:t xml:space="preserve"> characterised by the mental health care type. </w:t>
      </w:r>
      <w:r w:rsidR="00D67878" w:rsidRPr="00CE058E">
        <w:rPr>
          <w:rFonts w:eastAsia="Fira Sans regular" w:cs="Arial"/>
          <w:color w:val="auto"/>
        </w:rPr>
        <w:t>The patient may be admitted to a general ward or a designated psychiatric unit in a general hospital or a psychiatric hospital.</w:t>
      </w:r>
    </w:p>
    <w:p w14:paraId="0524D409" w14:textId="6C7EAF41" w:rsidR="00D67878" w:rsidRPr="00CE058E" w:rsidRDefault="00D67878" w:rsidP="00D67878">
      <w:pPr>
        <w:spacing w:line="276" w:lineRule="auto"/>
        <w:rPr>
          <w:rFonts w:eastAsia="Fira Sans regular" w:cs="Arial"/>
          <w:color w:val="auto"/>
        </w:rPr>
      </w:pPr>
      <w:r w:rsidRPr="00CE058E">
        <w:rPr>
          <w:rFonts w:eastAsia="Fira Sans regular" w:cs="Arial"/>
          <w:color w:val="auto"/>
        </w:rPr>
        <w:t xml:space="preserve">There are </w:t>
      </w:r>
      <w:r w:rsidR="00EE76DB">
        <w:rPr>
          <w:rFonts w:eastAsia="Fira Sans regular" w:cs="Arial"/>
          <w:color w:val="auto"/>
        </w:rPr>
        <w:t>5</w:t>
      </w:r>
      <w:r w:rsidR="00EE76DB" w:rsidRPr="00CE058E">
        <w:rPr>
          <w:rFonts w:eastAsia="Fira Sans regular" w:cs="Arial"/>
          <w:color w:val="auto"/>
        </w:rPr>
        <w:t xml:space="preserve"> </w:t>
      </w:r>
      <w:r w:rsidRPr="00CE058E">
        <w:rPr>
          <w:rFonts w:eastAsia="Fira Sans regular" w:cs="Arial"/>
          <w:color w:val="auto"/>
        </w:rPr>
        <w:t>phases of care: assessment only, acute, functional gain, intensive extended and consolidating gain. The classification also provides for ‘unknown phase</w:t>
      </w:r>
      <w:r w:rsidR="004004AC" w:rsidRPr="00CE058E">
        <w:rPr>
          <w:rFonts w:eastAsia="Fira Sans regular" w:cs="Arial"/>
          <w:color w:val="auto"/>
        </w:rPr>
        <w:t>.’</w:t>
      </w:r>
      <w:r w:rsidRPr="00CE058E">
        <w:rPr>
          <w:rFonts w:eastAsia="Fira Sans regular" w:cs="Arial"/>
          <w:color w:val="auto"/>
        </w:rPr>
        <w:t xml:space="preserve"> Mental health phase of care is defined as the ‘primary goal of care that is reflected in the consumer’s mental health treatment plan at the time of collection, for the next stage in the patient’s care</w:t>
      </w:r>
      <w:r w:rsidR="004004AC" w:rsidRPr="00CE058E">
        <w:rPr>
          <w:rFonts w:eastAsia="Fira Sans regular" w:cs="Arial"/>
          <w:color w:val="auto"/>
        </w:rPr>
        <w:t>.’</w:t>
      </w:r>
      <w:r w:rsidRPr="00CE058E">
        <w:rPr>
          <w:rFonts w:eastAsia="Fira Sans regular" w:cs="Arial"/>
          <w:color w:val="auto"/>
        </w:rPr>
        <w:t xml:space="preserve"> It reflects the prospective assessment of the primary goal of care, rather than a retrospective assessment.</w:t>
      </w:r>
    </w:p>
    <w:p w14:paraId="61A527BF" w14:textId="3E9A8A00" w:rsidR="00334858" w:rsidRDefault="00997696" w:rsidP="00334858">
      <w:pPr>
        <w:rPr>
          <w:rFonts w:cs="Arial"/>
          <w:color w:val="auto"/>
        </w:rPr>
      </w:pPr>
      <w:r>
        <w:rPr>
          <w:rFonts w:cs="Arial"/>
          <w:color w:val="auto"/>
        </w:rPr>
        <w:t xml:space="preserve">The </w:t>
      </w:r>
      <w:r w:rsidRPr="00CE058E">
        <w:rPr>
          <w:rFonts w:cs="Arial"/>
          <w:color w:val="auto"/>
        </w:rPr>
        <w:t>Australian Mental Health Care Classification (AMHCC)</w:t>
      </w:r>
      <w:r>
        <w:rPr>
          <w:rFonts w:cs="Arial"/>
          <w:color w:val="auto"/>
        </w:rPr>
        <w:t xml:space="preserve"> is the preferred method for reporting admitted mental health data</w:t>
      </w:r>
      <w:r w:rsidRPr="00CE058E">
        <w:rPr>
          <w:rFonts w:cs="Arial"/>
          <w:color w:val="auto"/>
        </w:rPr>
        <w:t>.</w:t>
      </w:r>
      <w:r>
        <w:rPr>
          <w:rFonts w:cs="Arial"/>
          <w:color w:val="auto"/>
        </w:rPr>
        <w:t xml:space="preserve"> In the absence of phase level data, episodes are classified under </w:t>
      </w:r>
      <w:r w:rsidRPr="00CE058E">
        <w:rPr>
          <w:rFonts w:cs="Arial"/>
          <w:color w:val="auto"/>
        </w:rPr>
        <w:t>the</w:t>
      </w:r>
      <w:r w:rsidRPr="00CE058E">
        <w:rPr>
          <w:rFonts w:cs="Arial"/>
        </w:rPr>
        <w:t xml:space="preserve"> </w:t>
      </w:r>
      <w:r w:rsidRPr="00CE058E">
        <w:rPr>
          <w:rFonts w:cs="Arial"/>
          <w:color w:val="auto"/>
        </w:rPr>
        <w:t>Australian Refined Diagnosis Related Groups (AR-DRGs)</w:t>
      </w:r>
      <w:r>
        <w:rPr>
          <w:rFonts w:cs="Arial"/>
          <w:color w:val="auto"/>
        </w:rPr>
        <w:t>.</w:t>
      </w:r>
      <w:r w:rsidRPr="00CE058E">
        <w:rPr>
          <w:rFonts w:cs="Arial"/>
        </w:rPr>
        <w:t xml:space="preserve"> </w:t>
      </w:r>
      <w:r w:rsidR="00E5450F" w:rsidRPr="00CE058E">
        <w:rPr>
          <w:rFonts w:cs="Arial"/>
          <w:color w:val="auto"/>
        </w:rPr>
        <w:t xml:space="preserve">The AMHCC v1.0.1 was used to prepare the phase level results and the </w:t>
      </w:r>
      <w:r>
        <w:rPr>
          <w:rFonts w:cs="Arial"/>
          <w:color w:val="auto"/>
        </w:rPr>
        <w:t>A</w:t>
      </w:r>
      <w:r w:rsidR="00C170C2" w:rsidRPr="00CE058E">
        <w:rPr>
          <w:rFonts w:cs="Arial"/>
          <w:color w:val="auto"/>
        </w:rPr>
        <w:t>R-DRG v11.0 was used to prepare the episode level results</w:t>
      </w:r>
      <w:r w:rsidR="00E5450F" w:rsidRPr="00CE058E">
        <w:rPr>
          <w:rFonts w:cs="Arial"/>
          <w:color w:val="auto"/>
        </w:rPr>
        <w:t>.</w:t>
      </w:r>
    </w:p>
    <w:p w14:paraId="22ADEAF8" w14:textId="18586892" w:rsidR="00020C8A" w:rsidRPr="00CE058E" w:rsidRDefault="00935107" w:rsidP="00D67878">
      <w:pPr>
        <w:spacing w:line="276" w:lineRule="auto"/>
        <w:rPr>
          <w:rFonts w:cs="Arial"/>
          <w:color w:val="auto"/>
        </w:rPr>
      </w:pPr>
      <w:bookmarkStart w:id="383" w:name="_Hlk148533262"/>
      <w:r w:rsidRPr="00CE058E">
        <w:rPr>
          <w:rFonts w:cs="Arial"/>
          <w:color w:val="auto"/>
        </w:rPr>
        <w:t xml:space="preserve">In 2021-22, </w:t>
      </w:r>
      <w:r w:rsidR="00F80BDE" w:rsidRPr="00CE058E">
        <w:rPr>
          <w:rFonts w:cs="Arial"/>
          <w:color w:val="auto"/>
        </w:rPr>
        <w:t>there were 79,935 admitted mental health phases reported nationally in 2021-22, a 15</w:t>
      </w:r>
      <w:r w:rsidR="00897090">
        <w:rPr>
          <w:rFonts w:cs="Arial"/>
          <w:color w:val="auto"/>
        </w:rPr>
        <w:t>%</w:t>
      </w:r>
      <w:r w:rsidR="00F80BDE" w:rsidRPr="00CE058E">
        <w:rPr>
          <w:rFonts w:cs="Arial"/>
          <w:color w:val="auto"/>
        </w:rPr>
        <w:t xml:space="preserve"> increase to the 2020-21 figure of 69,419. T</w:t>
      </w:r>
      <w:r w:rsidRPr="00CE058E">
        <w:rPr>
          <w:rFonts w:cs="Arial"/>
          <w:color w:val="auto"/>
        </w:rPr>
        <w:t xml:space="preserve">here were 27,918 admitted mental health episodes </w:t>
      </w:r>
      <w:r w:rsidR="00D67878" w:rsidRPr="00CE058E">
        <w:rPr>
          <w:rFonts w:cs="Arial"/>
          <w:color w:val="auto"/>
        </w:rPr>
        <w:t>nationally, a 38</w:t>
      </w:r>
      <w:r w:rsidR="00897090">
        <w:rPr>
          <w:rFonts w:cs="Arial"/>
          <w:color w:val="auto"/>
        </w:rPr>
        <w:t>%</w:t>
      </w:r>
      <w:r w:rsidR="00D67878" w:rsidRPr="00CE058E">
        <w:rPr>
          <w:rFonts w:cs="Arial"/>
          <w:color w:val="auto"/>
        </w:rPr>
        <w:t xml:space="preserve"> decrease to the 2020-21 figure of 45,096. </w:t>
      </w:r>
    </w:p>
    <w:bookmarkEnd w:id="383"/>
    <w:p w14:paraId="2C5250EC" w14:textId="1BFF699B" w:rsidR="00020C8A" w:rsidRPr="00CE058E" w:rsidRDefault="00D67878" w:rsidP="00D67878">
      <w:pPr>
        <w:spacing w:line="276" w:lineRule="auto"/>
        <w:rPr>
          <w:rFonts w:cs="Arial"/>
          <w:color w:val="auto"/>
        </w:rPr>
      </w:pPr>
      <w:r w:rsidRPr="00CE058E">
        <w:rPr>
          <w:rFonts w:cs="Arial"/>
          <w:color w:val="auto"/>
        </w:rPr>
        <w:t xml:space="preserve">In 2021-22, </w:t>
      </w:r>
      <w:r w:rsidR="00F80BDE" w:rsidRPr="00CE058E">
        <w:rPr>
          <w:rFonts w:cs="Arial"/>
          <w:color w:val="auto"/>
        </w:rPr>
        <w:t>the cost reported for admitted mental health phases nationally in 2021-22 was $1.9 billion, a 33</w:t>
      </w:r>
      <w:r w:rsidR="00897090">
        <w:rPr>
          <w:rFonts w:cs="Arial"/>
          <w:color w:val="auto"/>
        </w:rPr>
        <w:t>%</w:t>
      </w:r>
      <w:r w:rsidR="00F80BDE" w:rsidRPr="00CE058E">
        <w:rPr>
          <w:rFonts w:cs="Arial"/>
          <w:color w:val="auto"/>
        </w:rPr>
        <w:t xml:space="preserve"> increase to the 2020-21 figure of $1.4 billion. T</w:t>
      </w:r>
      <w:r w:rsidRPr="00CE058E">
        <w:rPr>
          <w:rFonts w:cs="Arial"/>
          <w:color w:val="auto"/>
        </w:rPr>
        <w:t>he cost reported for admitted mental health episodes was $667.5 million nationally, a 21</w:t>
      </w:r>
      <w:r w:rsidR="00897090">
        <w:rPr>
          <w:rFonts w:cs="Arial"/>
          <w:color w:val="auto"/>
        </w:rPr>
        <w:t>%</w:t>
      </w:r>
      <w:r w:rsidRPr="00CE058E">
        <w:rPr>
          <w:rFonts w:cs="Arial"/>
          <w:color w:val="auto"/>
        </w:rPr>
        <w:t xml:space="preserve"> decrease to the 2020-21 figure of $842.1 million. </w:t>
      </w:r>
    </w:p>
    <w:p w14:paraId="7319EB4D" w14:textId="2E9FC443" w:rsidR="00B94E50" w:rsidRPr="00CE058E" w:rsidRDefault="00F80BDE" w:rsidP="00B94E50">
      <w:pPr>
        <w:spacing w:line="276" w:lineRule="auto"/>
        <w:rPr>
          <w:rFonts w:cs="Arial"/>
          <w:color w:val="auto"/>
        </w:rPr>
      </w:pPr>
      <w:r w:rsidRPr="00CE058E">
        <w:rPr>
          <w:rFonts w:cs="Arial"/>
          <w:color w:val="auto"/>
        </w:rPr>
        <w:t>The national average cost per admitted mental health phase was $23,888 for 2021-22, a 15</w:t>
      </w:r>
      <w:r w:rsidR="00897090">
        <w:rPr>
          <w:rFonts w:cs="Arial"/>
          <w:color w:val="auto"/>
        </w:rPr>
        <w:t>%</w:t>
      </w:r>
      <w:r w:rsidRPr="00CE058E">
        <w:rPr>
          <w:rFonts w:cs="Arial"/>
          <w:color w:val="auto"/>
        </w:rPr>
        <w:t xml:space="preserve"> increase to the 2020-21 national average of $20,699. </w:t>
      </w:r>
      <w:r w:rsidR="00D67878" w:rsidRPr="00CE058E">
        <w:rPr>
          <w:rFonts w:cs="Arial"/>
          <w:color w:val="auto"/>
        </w:rPr>
        <w:t>The national average cost per admitted mental health episode was $23,910 for 2021-22, a 28</w:t>
      </w:r>
      <w:r w:rsidR="00897090">
        <w:rPr>
          <w:rFonts w:cs="Arial"/>
          <w:color w:val="auto"/>
        </w:rPr>
        <w:t>%</w:t>
      </w:r>
      <w:r w:rsidR="00D67878" w:rsidRPr="00CE058E">
        <w:rPr>
          <w:rFonts w:cs="Arial"/>
          <w:color w:val="auto"/>
        </w:rPr>
        <w:t xml:space="preserve"> increase to the 2020-21 national average of $18,673. </w:t>
      </w:r>
    </w:p>
    <w:p w14:paraId="5091B82F" w14:textId="77777777" w:rsidR="00B94E50" w:rsidRPr="00CE058E" w:rsidRDefault="00B94E50">
      <w:pPr>
        <w:spacing w:line="259" w:lineRule="auto"/>
        <w:rPr>
          <w:rFonts w:cs="Arial"/>
          <w:color w:val="auto"/>
        </w:rPr>
      </w:pPr>
      <w:r w:rsidRPr="00CE058E">
        <w:rPr>
          <w:rFonts w:cs="Arial"/>
          <w:color w:val="auto"/>
        </w:rPr>
        <w:br w:type="page"/>
      </w:r>
    </w:p>
    <w:p w14:paraId="3C93C198" w14:textId="66454251" w:rsidR="00935107" w:rsidRPr="00CE058E" w:rsidRDefault="00935107" w:rsidP="007B41F8">
      <w:pPr>
        <w:pStyle w:val="Heading2"/>
      </w:pPr>
      <w:bookmarkStart w:id="384" w:name="_Toc151129723"/>
      <w:bookmarkStart w:id="385" w:name="_Toc158882574"/>
      <w:bookmarkStart w:id="386" w:name="_Toc158882635"/>
      <w:bookmarkStart w:id="387" w:name="_Toc144215472"/>
      <w:bookmarkStart w:id="388" w:name="_Toc144967679"/>
      <w:r w:rsidRPr="00CE058E">
        <w:lastRenderedPageBreak/>
        <w:t>Admitted mental health cost and activity</w:t>
      </w:r>
      <w:bookmarkEnd w:id="384"/>
      <w:bookmarkEnd w:id="385"/>
      <w:bookmarkEnd w:id="386"/>
    </w:p>
    <w:p w14:paraId="67ECE263" w14:textId="7A1FBDA3" w:rsidR="00C170C2" w:rsidRPr="00CE058E" w:rsidRDefault="00B53FDF" w:rsidP="00C170C2">
      <w:pPr>
        <w:spacing w:before="120" w:line="276" w:lineRule="auto"/>
        <w:rPr>
          <w:rFonts w:cs="Arial"/>
          <w:color w:val="auto"/>
        </w:rPr>
      </w:pPr>
      <w:r w:rsidRPr="00CE058E">
        <w:rPr>
          <w:rFonts w:cs="Arial"/>
          <w:color w:val="auto"/>
        </w:rPr>
        <w:t>Nationally, 100</w:t>
      </w:r>
      <w:r w:rsidR="00897090">
        <w:rPr>
          <w:rFonts w:cs="Arial"/>
          <w:color w:val="auto"/>
        </w:rPr>
        <w:t>%</w:t>
      </w:r>
      <w:r w:rsidRPr="00CE058E">
        <w:rPr>
          <w:rFonts w:cs="Arial"/>
          <w:color w:val="auto"/>
        </w:rPr>
        <w:t xml:space="preserve"> of the submitted NHCDC records were linked to admitted mental health episode and phase activity.</w:t>
      </w:r>
      <w:r w:rsidR="00296192" w:rsidRPr="00CE058E">
        <w:rPr>
          <w:rFonts w:cs="Arial"/>
          <w:color w:val="auto"/>
        </w:rPr>
        <w:t xml:space="preserve"> Table 17 </w:t>
      </w:r>
      <w:r w:rsidR="00C170C2" w:rsidRPr="00CE058E">
        <w:rPr>
          <w:rFonts w:cs="Arial"/>
          <w:color w:val="auto"/>
        </w:rPr>
        <w:t>shows the number of linked NHCDC records as a proportion of the admitted mental health phase activity by jurisdiction from 2019-20 to 2021-22. The national linked NHCDC records increased by 6,907 (or 9</w:t>
      </w:r>
      <w:r w:rsidR="00897090">
        <w:rPr>
          <w:rFonts w:cs="Arial"/>
          <w:color w:val="auto"/>
        </w:rPr>
        <w:t>%</w:t>
      </w:r>
      <w:r w:rsidR="00C170C2" w:rsidRPr="00CE058E">
        <w:rPr>
          <w:rFonts w:cs="Arial"/>
          <w:color w:val="auto"/>
        </w:rPr>
        <w:t>) and activity increased by 4,965 (or 4</w:t>
      </w:r>
      <w:r w:rsidR="00897090">
        <w:rPr>
          <w:rFonts w:cs="Arial"/>
          <w:color w:val="auto"/>
        </w:rPr>
        <w:t>%</w:t>
      </w:r>
      <w:r w:rsidR="00C170C2" w:rsidRPr="00CE058E">
        <w:rPr>
          <w:rFonts w:cs="Arial"/>
          <w:color w:val="auto"/>
        </w:rPr>
        <w:t>) from 2019-20 to 2021-22. Nationally, the linked NHCDC records as a proportion of activity increased 3</w:t>
      </w:r>
      <w:r w:rsidR="00897090">
        <w:rPr>
          <w:rFonts w:cs="Arial"/>
          <w:color w:val="auto"/>
        </w:rPr>
        <w:t>%</w:t>
      </w:r>
      <w:r w:rsidR="00C170C2" w:rsidRPr="00CE058E">
        <w:rPr>
          <w:rFonts w:cs="Arial"/>
          <w:color w:val="auto"/>
        </w:rPr>
        <w:t xml:space="preserve"> from 64</w:t>
      </w:r>
      <w:r w:rsidR="00897090">
        <w:rPr>
          <w:rFonts w:cs="Arial"/>
          <w:color w:val="auto"/>
        </w:rPr>
        <w:t>%</w:t>
      </w:r>
      <w:r w:rsidR="00C170C2" w:rsidRPr="00CE058E">
        <w:rPr>
          <w:rFonts w:cs="Arial"/>
          <w:color w:val="auto"/>
        </w:rPr>
        <w:t xml:space="preserve"> in 2019-20 to 67</w:t>
      </w:r>
      <w:r w:rsidR="00897090">
        <w:rPr>
          <w:rFonts w:cs="Arial"/>
          <w:color w:val="auto"/>
        </w:rPr>
        <w:t>%</w:t>
      </w:r>
      <w:r w:rsidR="00C170C2" w:rsidRPr="00CE058E">
        <w:rPr>
          <w:rFonts w:cs="Arial"/>
          <w:color w:val="auto"/>
        </w:rPr>
        <w:t xml:space="preserve"> in 2021-22.</w:t>
      </w:r>
    </w:p>
    <w:p w14:paraId="05B5D5A5" w14:textId="2EBB0FD3" w:rsidR="00C170C2" w:rsidRPr="00CE058E" w:rsidRDefault="00B42434" w:rsidP="00B42434">
      <w:pPr>
        <w:pStyle w:val="TableFigureheading"/>
      </w:pPr>
      <w:bookmarkStart w:id="389" w:name="_Toc151370043"/>
      <w:r>
        <w:t xml:space="preserve">Table </w:t>
      </w:r>
      <w:r>
        <w:fldChar w:fldCharType="begin"/>
      </w:r>
      <w:r>
        <w:instrText xml:space="preserve"> SEQ Table \* ARABIC </w:instrText>
      </w:r>
      <w:r>
        <w:fldChar w:fldCharType="separate"/>
      </w:r>
      <w:r>
        <w:rPr>
          <w:noProof/>
        </w:rPr>
        <w:t>17</w:t>
      </w:r>
      <w:r>
        <w:rPr>
          <w:noProof/>
        </w:rPr>
        <w:fldChar w:fldCharType="end"/>
      </w:r>
      <w:r w:rsidR="00C170C2" w:rsidRPr="00CE058E">
        <w:t>: Proportion of linked NHCDC records to phases</w:t>
      </w:r>
      <w:r w:rsidR="000A63CC" w:rsidRPr="00CE058E">
        <w:t xml:space="preserve"> (AMHCC)</w:t>
      </w:r>
      <w:r w:rsidR="00C170C2" w:rsidRPr="00CE058E">
        <w:t xml:space="preserve"> activity, 2019-20 to 2021-22</w:t>
      </w:r>
      <w:bookmarkEnd w:id="389"/>
    </w:p>
    <w:tbl>
      <w:tblPr>
        <w:tblStyle w:val="GridTable4-Accent2"/>
        <w:tblW w:w="10877" w:type="dxa"/>
        <w:jc w:val="center"/>
        <w:tblLook w:val="04A0" w:firstRow="1" w:lastRow="0" w:firstColumn="1" w:lastColumn="0" w:noHBand="0" w:noVBand="1"/>
      </w:tblPr>
      <w:tblGrid>
        <w:gridCol w:w="1237"/>
        <w:gridCol w:w="1116"/>
        <w:gridCol w:w="976"/>
        <w:gridCol w:w="1136"/>
        <w:gridCol w:w="1305"/>
        <w:gridCol w:w="1084"/>
        <w:gridCol w:w="1136"/>
        <w:gridCol w:w="882"/>
        <w:gridCol w:w="870"/>
        <w:gridCol w:w="1136"/>
      </w:tblGrid>
      <w:tr w:rsidR="00C170C2" w:rsidRPr="00CE058E" w14:paraId="4DFC5C02" w14:textId="77777777" w:rsidTr="00AC728A">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237"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2BD1E113" w14:textId="77777777" w:rsidR="00C170C2" w:rsidRPr="00CE058E" w:rsidRDefault="00C170C2" w:rsidP="00AC728A">
            <w:pPr>
              <w:spacing w:line="240" w:lineRule="auto"/>
              <w:jc w:val="center"/>
              <w:rPr>
                <w:rFonts w:eastAsia="Times New Roman" w:cs="Arial"/>
                <w:b w:val="0"/>
                <w:bCs w:val="0"/>
                <w:color w:val="FFFFFF"/>
                <w:sz w:val="18"/>
                <w:szCs w:val="18"/>
                <w:lang w:eastAsia="en-AU"/>
              </w:rPr>
            </w:pPr>
            <w:r w:rsidRPr="00CE058E">
              <w:rPr>
                <w:rFonts w:eastAsia="Times New Roman" w:cs="Arial"/>
                <w:color w:val="FFFFFF"/>
                <w:sz w:val="18"/>
                <w:szCs w:val="18"/>
                <w:lang w:eastAsia="en-AU"/>
              </w:rPr>
              <w:t>Jurisdiction</w:t>
            </w:r>
          </w:p>
        </w:tc>
        <w:tc>
          <w:tcPr>
            <w:tcW w:w="3228"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2DB47058" w14:textId="77777777" w:rsidR="00C170C2" w:rsidRPr="00CE058E" w:rsidRDefault="00C170C2" w:rsidP="00AC728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2019-20</w:t>
            </w:r>
          </w:p>
        </w:tc>
        <w:tc>
          <w:tcPr>
            <w:tcW w:w="3525"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7E469CA8" w14:textId="77777777" w:rsidR="00C170C2" w:rsidRPr="00CE058E" w:rsidRDefault="00C170C2" w:rsidP="00AC728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2020-21</w:t>
            </w:r>
          </w:p>
        </w:tc>
        <w:tc>
          <w:tcPr>
            <w:tcW w:w="2887"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75F4DE2D" w14:textId="77777777" w:rsidR="00C170C2" w:rsidRPr="00CE058E" w:rsidRDefault="00C170C2" w:rsidP="00AC728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2021-22</w:t>
            </w:r>
          </w:p>
        </w:tc>
      </w:tr>
      <w:tr w:rsidR="00F46C13" w:rsidRPr="00CE058E" w14:paraId="63DE0943" w14:textId="77777777" w:rsidTr="00AC728A">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1237"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56295B6" w14:textId="77777777" w:rsidR="00C170C2" w:rsidRPr="00CE058E" w:rsidRDefault="00C170C2" w:rsidP="00AC728A">
            <w:pPr>
              <w:spacing w:line="240" w:lineRule="auto"/>
              <w:jc w:val="center"/>
              <w:rPr>
                <w:rFonts w:eastAsia="Times New Roman" w:cs="Arial"/>
                <w:b w:val="0"/>
                <w:bCs w:val="0"/>
                <w:color w:val="FFFFFF"/>
                <w:sz w:val="18"/>
                <w:szCs w:val="18"/>
                <w:lang w:eastAsia="en-AU"/>
              </w:rPr>
            </w:pPr>
          </w:p>
        </w:tc>
        <w:tc>
          <w:tcPr>
            <w:tcW w:w="111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121650EB" w14:textId="77777777" w:rsidR="00C170C2" w:rsidRPr="00CE058E" w:rsidRDefault="00C170C2" w:rsidP="00AC728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Linked NHCDC records</w:t>
            </w:r>
          </w:p>
        </w:tc>
        <w:tc>
          <w:tcPr>
            <w:tcW w:w="97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7D2B0D20" w14:textId="595AE3FF" w:rsidR="00C170C2" w:rsidRPr="00CE058E" w:rsidRDefault="00C33282" w:rsidP="00AC728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Pr>
                <w:rFonts w:eastAsia="Times New Roman" w:cs="Arial"/>
                <w:b/>
                <w:bCs/>
                <w:color w:val="FFFFFF"/>
                <w:sz w:val="18"/>
                <w:szCs w:val="18"/>
                <w:lang w:eastAsia="en-AU"/>
              </w:rPr>
              <w:t>A</w:t>
            </w:r>
            <w:r w:rsidR="00C170C2" w:rsidRPr="00CE058E">
              <w:rPr>
                <w:rFonts w:eastAsia="Times New Roman" w:cs="Arial"/>
                <w:b/>
                <w:bCs/>
                <w:color w:val="FFFFFF"/>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77A388F2" w14:textId="77777777" w:rsidR="00C170C2" w:rsidRPr="00CE058E" w:rsidRDefault="00C170C2" w:rsidP="00AC728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Proportion (%)</w:t>
            </w:r>
          </w:p>
        </w:tc>
        <w:tc>
          <w:tcPr>
            <w:tcW w:w="130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57C9A3B9" w14:textId="77777777" w:rsidR="00C170C2" w:rsidRPr="00CE058E" w:rsidRDefault="00C170C2" w:rsidP="00AC728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Linked NHCDC records</w:t>
            </w:r>
          </w:p>
        </w:tc>
        <w:tc>
          <w:tcPr>
            <w:tcW w:w="1084"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6D9ADB21" w14:textId="0EE99F62" w:rsidR="00C170C2" w:rsidRPr="00CE058E" w:rsidRDefault="00C33282" w:rsidP="00AC728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Pr>
                <w:rFonts w:eastAsia="Times New Roman" w:cs="Arial"/>
                <w:b/>
                <w:bCs/>
                <w:color w:val="FFFFFF"/>
                <w:sz w:val="18"/>
                <w:szCs w:val="18"/>
                <w:lang w:eastAsia="en-AU"/>
              </w:rPr>
              <w:t>A</w:t>
            </w:r>
            <w:r w:rsidR="00C170C2" w:rsidRPr="00CE058E">
              <w:rPr>
                <w:rFonts w:eastAsia="Times New Roman" w:cs="Arial"/>
                <w:b/>
                <w:bCs/>
                <w:color w:val="FFFFFF"/>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68D5628B" w14:textId="77777777" w:rsidR="00C170C2" w:rsidRPr="00CE058E" w:rsidRDefault="00C170C2" w:rsidP="00AC728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Proportion (%)</w:t>
            </w:r>
          </w:p>
        </w:tc>
        <w:tc>
          <w:tcPr>
            <w:tcW w:w="110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5D325B84" w14:textId="77777777" w:rsidR="00C170C2" w:rsidRPr="00CE058E" w:rsidRDefault="00C170C2" w:rsidP="00AC728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Linked NHCDC records</w:t>
            </w:r>
          </w:p>
        </w:tc>
        <w:tc>
          <w:tcPr>
            <w:tcW w:w="1084"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6FEDBBCE" w14:textId="33941BBD" w:rsidR="00C170C2" w:rsidRPr="00CE058E" w:rsidRDefault="00C33282" w:rsidP="00AC728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Pr>
                <w:rFonts w:eastAsia="Times New Roman" w:cs="Arial"/>
                <w:b/>
                <w:bCs/>
                <w:color w:val="FFFFFF"/>
                <w:sz w:val="18"/>
                <w:szCs w:val="18"/>
                <w:lang w:eastAsia="en-AU"/>
              </w:rPr>
              <w:t>A</w:t>
            </w:r>
            <w:r w:rsidR="00C170C2" w:rsidRPr="00CE058E">
              <w:rPr>
                <w:rFonts w:eastAsia="Times New Roman" w:cs="Arial"/>
                <w:b/>
                <w:bCs/>
                <w:color w:val="FFFFFF"/>
                <w:sz w:val="18"/>
                <w:szCs w:val="18"/>
                <w:lang w:eastAsia="en-AU"/>
              </w:rPr>
              <w:t>ctivity</w:t>
            </w:r>
          </w:p>
        </w:tc>
        <w:tc>
          <w:tcPr>
            <w:tcW w:w="69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0E4ABA69" w14:textId="77777777" w:rsidR="00C170C2" w:rsidRPr="00CE058E" w:rsidRDefault="00C170C2" w:rsidP="00AC728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Proportion (%)</w:t>
            </w:r>
          </w:p>
        </w:tc>
      </w:tr>
      <w:tr w:rsidR="00C170C2" w:rsidRPr="00CE058E" w14:paraId="036BD2B2" w14:textId="77777777" w:rsidTr="00AC728A">
        <w:trPr>
          <w:trHeight w:val="283"/>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themeColor="background2"/>
            </w:tcBorders>
            <w:vAlign w:val="center"/>
          </w:tcPr>
          <w:p w14:paraId="5816353E" w14:textId="77777777" w:rsidR="00C170C2" w:rsidRPr="00CE058E" w:rsidRDefault="00C170C2" w:rsidP="00AC728A">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NSW</w:t>
            </w:r>
          </w:p>
        </w:tc>
        <w:tc>
          <w:tcPr>
            <w:tcW w:w="0" w:type="dxa"/>
            <w:tcBorders>
              <w:top w:val="single" w:sz="4" w:space="0" w:color="FFFFFF" w:themeColor="background2"/>
            </w:tcBorders>
            <w:noWrap/>
            <w:vAlign w:val="center"/>
            <w:hideMark/>
          </w:tcPr>
          <w:p w14:paraId="6705668F"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37,523</w:t>
            </w:r>
          </w:p>
        </w:tc>
        <w:tc>
          <w:tcPr>
            <w:tcW w:w="0" w:type="dxa"/>
            <w:tcBorders>
              <w:top w:val="single" w:sz="4" w:space="0" w:color="FFFFFF" w:themeColor="background2"/>
            </w:tcBorders>
            <w:noWrap/>
            <w:vAlign w:val="center"/>
            <w:hideMark/>
          </w:tcPr>
          <w:p w14:paraId="553C7063"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42,156</w:t>
            </w:r>
          </w:p>
        </w:tc>
        <w:tc>
          <w:tcPr>
            <w:tcW w:w="0" w:type="dxa"/>
            <w:tcBorders>
              <w:top w:val="single" w:sz="4" w:space="0" w:color="FFFFFF" w:themeColor="background2"/>
            </w:tcBorders>
            <w:noWrap/>
            <w:vAlign w:val="center"/>
            <w:hideMark/>
          </w:tcPr>
          <w:p w14:paraId="0AB06A26"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89</w:t>
            </w:r>
          </w:p>
        </w:tc>
        <w:tc>
          <w:tcPr>
            <w:tcW w:w="0" w:type="dxa"/>
            <w:tcBorders>
              <w:top w:val="single" w:sz="4" w:space="0" w:color="FFFFFF" w:themeColor="background2"/>
            </w:tcBorders>
            <w:noWrap/>
            <w:vAlign w:val="center"/>
            <w:hideMark/>
          </w:tcPr>
          <w:p w14:paraId="2CE4E1AA"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36,387</w:t>
            </w:r>
          </w:p>
        </w:tc>
        <w:tc>
          <w:tcPr>
            <w:tcW w:w="0" w:type="dxa"/>
            <w:tcBorders>
              <w:top w:val="single" w:sz="4" w:space="0" w:color="FFFFFF" w:themeColor="background2"/>
            </w:tcBorders>
            <w:noWrap/>
            <w:vAlign w:val="center"/>
            <w:hideMark/>
          </w:tcPr>
          <w:p w14:paraId="63B1F087"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43,292</w:t>
            </w:r>
          </w:p>
        </w:tc>
        <w:tc>
          <w:tcPr>
            <w:tcW w:w="0" w:type="dxa"/>
            <w:tcBorders>
              <w:top w:val="single" w:sz="4" w:space="0" w:color="FFFFFF" w:themeColor="background2"/>
            </w:tcBorders>
            <w:noWrap/>
            <w:vAlign w:val="center"/>
            <w:hideMark/>
          </w:tcPr>
          <w:p w14:paraId="3C65469B"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84</w:t>
            </w:r>
          </w:p>
        </w:tc>
        <w:tc>
          <w:tcPr>
            <w:tcW w:w="0" w:type="dxa"/>
            <w:tcBorders>
              <w:top w:val="single" w:sz="4" w:space="0" w:color="FFFFFF" w:themeColor="background2"/>
            </w:tcBorders>
            <w:noWrap/>
            <w:vAlign w:val="center"/>
            <w:hideMark/>
          </w:tcPr>
          <w:p w14:paraId="145280CD"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32,181</w:t>
            </w:r>
          </w:p>
        </w:tc>
        <w:tc>
          <w:tcPr>
            <w:tcW w:w="0" w:type="dxa"/>
            <w:tcBorders>
              <w:top w:val="single" w:sz="4" w:space="0" w:color="FFFFFF" w:themeColor="background2"/>
            </w:tcBorders>
            <w:noWrap/>
            <w:vAlign w:val="center"/>
            <w:hideMark/>
          </w:tcPr>
          <w:p w14:paraId="3C23FFCE"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38,942</w:t>
            </w:r>
          </w:p>
        </w:tc>
        <w:tc>
          <w:tcPr>
            <w:tcW w:w="0" w:type="dxa"/>
            <w:tcBorders>
              <w:top w:val="single" w:sz="4" w:space="0" w:color="FFFFFF" w:themeColor="background2"/>
            </w:tcBorders>
            <w:noWrap/>
            <w:vAlign w:val="center"/>
            <w:hideMark/>
          </w:tcPr>
          <w:p w14:paraId="4C1958AD"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83</w:t>
            </w:r>
          </w:p>
        </w:tc>
      </w:tr>
      <w:tr w:rsidR="00C170C2" w:rsidRPr="00CE058E" w14:paraId="562B318B" w14:textId="77777777" w:rsidTr="00AC728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A7EB514" w14:textId="77777777" w:rsidR="00C170C2" w:rsidRPr="00CE058E" w:rsidRDefault="00C170C2" w:rsidP="00AC728A">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Vic</w:t>
            </w:r>
          </w:p>
        </w:tc>
        <w:tc>
          <w:tcPr>
            <w:tcW w:w="0" w:type="dxa"/>
            <w:noWrap/>
            <w:vAlign w:val="center"/>
            <w:hideMark/>
          </w:tcPr>
          <w:p w14:paraId="49F5A5DE"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17,993</w:t>
            </w:r>
          </w:p>
        </w:tc>
        <w:tc>
          <w:tcPr>
            <w:tcW w:w="0" w:type="dxa"/>
            <w:noWrap/>
            <w:vAlign w:val="center"/>
            <w:hideMark/>
          </w:tcPr>
          <w:p w14:paraId="6FE91B2C"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21,744</w:t>
            </w:r>
          </w:p>
        </w:tc>
        <w:tc>
          <w:tcPr>
            <w:tcW w:w="0" w:type="dxa"/>
            <w:noWrap/>
            <w:vAlign w:val="center"/>
            <w:hideMark/>
          </w:tcPr>
          <w:p w14:paraId="5CC46BE8"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83</w:t>
            </w:r>
          </w:p>
        </w:tc>
        <w:tc>
          <w:tcPr>
            <w:tcW w:w="0" w:type="dxa"/>
            <w:noWrap/>
            <w:vAlign w:val="center"/>
            <w:hideMark/>
          </w:tcPr>
          <w:p w14:paraId="766C861C"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26,470</w:t>
            </w:r>
          </w:p>
        </w:tc>
        <w:tc>
          <w:tcPr>
            <w:tcW w:w="0" w:type="dxa"/>
            <w:noWrap/>
            <w:vAlign w:val="center"/>
            <w:hideMark/>
          </w:tcPr>
          <w:p w14:paraId="3C61D06A"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28,160</w:t>
            </w:r>
          </w:p>
        </w:tc>
        <w:tc>
          <w:tcPr>
            <w:tcW w:w="0" w:type="dxa"/>
            <w:noWrap/>
            <w:vAlign w:val="center"/>
            <w:hideMark/>
          </w:tcPr>
          <w:p w14:paraId="0F85503F"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94</w:t>
            </w:r>
          </w:p>
        </w:tc>
        <w:tc>
          <w:tcPr>
            <w:tcW w:w="0" w:type="dxa"/>
            <w:noWrap/>
            <w:vAlign w:val="center"/>
            <w:hideMark/>
          </w:tcPr>
          <w:p w14:paraId="08643D48"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25,507</w:t>
            </w:r>
          </w:p>
        </w:tc>
        <w:tc>
          <w:tcPr>
            <w:tcW w:w="0" w:type="dxa"/>
            <w:noWrap/>
            <w:vAlign w:val="center"/>
            <w:hideMark/>
          </w:tcPr>
          <w:p w14:paraId="088FB612"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27,057</w:t>
            </w:r>
          </w:p>
        </w:tc>
        <w:tc>
          <w:tcPr>
            <w:tcW w:w="0" w:type="dxa"/>
            <w:noWrap/>
            <w:vAlign w:val="center"/>
            <w:hideMark/>
          </w:tcPr>
          <w:p w14:paraId="0C488BE3"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94</w:t>
            </w:r>
          </w:p>
        </w:tc>
      </w:tr>
      <w:tr w:rsidR="00C170C2" w:rsidRPr="00CE058E" w14:paraId="541ABB66" w14:textId="77777777" w:rsidTr="00AC728A">
        <w:trPr>
          <w:trHeight w:val="283"/>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2189689" w14:textId="77777777" w:rsidR="00C170C2" w:rsidRPr="00CE058E" w:rsidRDefault="00C170C2" w:rsidP="00AC728A">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Qld</w:t>
            </w:r>
          </w:p>
        </w:tc>
        <w:tc>
          <w:tcPr>
            <w:tcW w:w="0" w:type="dxa"/>
            <w:noWrap/>
            <w:vAlign w:val="center"/>
            <w:hideMark/>
          </w:tcPr>
          <w:p w14:paraId="1453D4F9"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10,241</w:t>
            </w:r>
          </w:p>
        </w:tc>
        <w:tc>
          <w:tcPr>
            <w:tcW w:w="0" w:type="dxa"/>
            <w:noWrap/>
            <w:vAlign w:val="center"/>
            <w:hideMark/>
          </w:tcPr>
          <w:p w14:paraId="6F1E07B5"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23,256</w:t>
            </w:r>
          </w:p>
        </w:tc>
        <w:tc>
          <w:tcPr>
            <w:tcW w:w="0" w:type="dxa"/>
            <w:noWrap/>
            <w:vAlign w:val="center"/>
            <w:hideMark/>
          </w:tcPr>
          <w:p w14:paraId="6E1A8DE2"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44</w:t>
            </w:r>
          </w:p>
        </w:tc>
        <w:tc>
          <w:tcPr>
            <w:tcW w:w="0" w:type="dxa"/>
            <w:noWrap/>
            <w:vAlign w:val="center"/>
            <w:hideMark/>
          </w:tcPr>
          <w:p w14:paraId="0BC1FCEF"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6,562</w:t>
            </w:r>
          </w:p>
        </w:tc>
        <w:tc>
          <w:tcPr>
            <w:tcW w:w="0" w:type="dxa"/>
            <w:noWrap/>
            <w:vAlign w:val="center"/>
            <w:hideMark/>
          </w:tcPr>
          <w:p w14:paraId="2C110A9B"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23,281</w:t>
            </w:r>
          </w:p>
        </w:tc>
        <w:tc>
          <w:tcPr>
            <w:tcW w:w="0" w:type="dxa"/>
            <w:noWrap/>
            <w:vAlign w:val="center"/>
            <w:hideMark/>
          </w:tcPr>
          <w:p w14:paraId="24D0B57A"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28</w:t>
            </w:r>
          </w:p>
        </w:tc>
        <w:tc>
          <w:tcPr>
            <w:tcW w:w="0" w:type="dxa"/>
            <w:noWrap/>
            <w:vAlign w:val="center"/>
            <w:hideMark/>
          </w:tcPr>
          <w:p w14:paraId="75CEC2A3"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15,763</w:t>
            </w:r>
          </w:p>
        </w:tc>
        <w:tc>
          <w:tcPr>
            <w:tcW w:w="0" w:type="dxa"/>
            <w:noWrap/>
            <w:vAlign w:val="center"/>
            <w:hideMark/>
          </w:tcPr>
          <w:p w14:paraId="180DE5B2"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21,221</w:t>
            </w:r>
          </w:p>
        </w:tc>
        <w:tc>
          <w:tcPr>
            <w:tcW w:w="0" w:type="dxa"/>
            <w:noWrap/>
            <w:vAlign w:val="center"/>
            <w:hideMark/>
          </w:tcPr>
          <w:p w14:paraId="6831A884"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74</w:t>
            </w:r>
          </w:p>
        </w:tc>
      </w:tr>
      <w:tr w:rsidR="00C170C2" w:rsidRPr="00CE058E" w14:paraId="72ECD12B" w14:textId="77777777" w:rsidTr="00AC728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20942407" w14:textId="77777777" w:rsidR="00C170C2" w:rsidRPr="00CE058E" w:rsidRDefault="00C170C2" w:rsidP="00AC728A">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SA</w:t>
            </w:r>
          </w:p>
        </w:tc>
        <w:tc>
          <w:tcPr>
            <w:tcW w:w="0" w:type="dxa"/>
            <w:noWrap/>
            <w:vAlign w:val="center"/>
            <w:hideMark/>
          </w:tcPr>
          <w:p w14:paraId="6E36F090"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7,271</w:t>
            </w:r>
          </w:p>
        </w:tc>
        <w:tc>
          <w:tcPr>
            <w:tcW w:w="0" w:type="dxa"/>
            <w:noWrap/>
            <w:vAlign w:val="center"/>
            <w:hideMark/>
          </w:tcPr>
          <w:p w14:paraId="4CB7C437"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8,962</w:t>
            </w:r>
          </w:p>
        </w:tc>
        <w:tc>
          <w:tcPr>
            <w:tcW w:w="0" w:type="dxa"/>
            <w:noWrap/>
            <w:vAlign w:val="center"/>
            <w:hideMark/>
          </w:tcPr>
          <w:p w14:paraId="40EF4E38"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81</w:t>
            </w:r>
          </w:p>
        </w:tc>
        <w:tc>
          <w:tcPr>
            <w:tcW w:w="0" w:type="dxa"/>
            <w:noWrap/>
            <w:vAlign w:val="center"/>
          </w:tcPr>
          <w:p w14:paraId="379884D3"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712C5B41"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10,653</w:t>
            </w:r>
          </w:p>
        </w:tc>
        <w:tc>
          <w:tcPr>
            <w:tcW w:w="0" w:type="dxa"/>
            <w:noWrap/>
            <w:vAlign w:val="center"/>
          </w:tcPr>
          <w:p w14:paraId="4DB5CD31"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c>
          <w:tcPr>
            <w:tcW w:w="0" w:type="dxa"/>
            <w:noWrap/>
            <w:vAlign w:val="center"/>
            <w:hideMark/>
          </w:tcPr>
          <w:p w14:paraId="528D9EF3"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6,484</w:t>
            </w:r>
          </w:p>
        </w:tc>
        <w:tc>
          <w:tcPr>
            <w:tcW w:w="0" w:type="dxa"/>
            <w:noWrap/>
            <w:vAlign w:val="center"/>
            <w:hideMark/>
          </w:tcPr>
          <w:p w14:paraId="1E17BB6D"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9,310</w:t>
            </w:r>
          </w:p>
        </w:tc>
        <w:tc>
          <w:tcPr>
            <w:tcW w:w="0" w:type="dxa"/>
            <w:noWrap/>
            <w:vAlign w:val="center"/>
            <w:hideMark/>
          </w:tcPr>
          <w:p w14:paraId="0F7E14B3"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70</w:t>
            </w:r>
          </w:p>
        </w:tc>
      </w:tr>
      <w:tr w:rsidR="00C170C2" w:rsidRPr="00CE058E" w14:paraId="06782BFA" w14:textId="77777777" w:rsidTr="00AC728A">
        <w:trPr>
          <w:trHeight w:val="283"/>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2215D07" w14:textId="77777777" w:rsidR="00C170C2" w:rsidRPr="00CE058E" w:rsidRDefault="00C170C2" w:rsidP="00AC728A">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WA</w:t>
            </w:r>
          </w:p>
        </w:tc>
        <w:tc>
          <w:tcPr>
            <w:tcW w:w="0" w:type="dxa"/>
            <w:noWrap/>
            <w:vAlign w:val="center"/>
          </w:tcPr>
          <w:p w14:paraId="54FA9981"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2CDFBA0A"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11,446</w:t>
            </w:r>
          </w:p>
        </w:tc>
        <w:tc>
          <w:tcPr>
            <w:tcW w:w="0" w:type="dxa"/>
            <w:noWrap/>
            <w:vAlign w:val="center"/>
            <w:hideMark/>
          </w:tcPr>
          <w:p w14:paraId="1DF0E9C0"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c>
          <w:tcPr>
            <w:tcW w:w="0" w:type="dxa"/>
            <w:noWrap/>
            <w:vAlign w:val="center"/>
          </w:tcPr>
          <w:p w14:paraId="3E44359B"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59C94064"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11,269</w:t>
            </w:r>
          </w:p>
        </w:tc>
        <w:tc>
          <w:tcPr>
            <w:tcW w:w="0" w:type="dxa"/>
            <w:noWrap/>
            <w:vAlign w:val="center"/>
          </w:tcPr>
          <w:p w14:paraId="18B8284D"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c>
          <w:tcPr>
            <w:tcW w:w="0" w:type="dxa"/>
            <w:noWrap/>
            <w:vAlign w:val="center"/>
            <w:hideMark/>
          </w:tcPr>
          <w:p w14:paraId="6BEEE1FE"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4660CD2D"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10,676</w:t>
            </w:r>
          </w:p>
        </w:tc>
        <w:tc>
          <w:tcPr>
            <w:tcW w:w="0" w:type="dxa"/>
            <w:noWrap/>
            <w:vAlign w:val="center"/>
          </w:tcPr>
          <w:p w14:paraId="0AAC1397"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r>
      <w:tr w:rsidR="00C170C2" w:rsidRPr="00CE058E" w14:paraId="1C8657E0" w14:textId="77777777" w:rsidTr="00AC728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4B3BB810" w14:textId="77777777" w:rsidR="00C170C2" w:rsidRPr="00CE058E" w:rsidRDefault="00C170C2" w:rsidP="00AC728A">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Tas</w:t>
            </w:r>
          </w:p>
        </w:tc>
        <w:tc>
          <w:tcPr>
            <w:tcW w:w="0" w:type="dxa"/>
            <w:noWrap/>
            <w:vAlign w:val="center"/>
          </w:tcPr>
          <w:p w14:paraId="4D111807"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23D392B2"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1,558</w:t>
            </w:r>
          </w:p>
        </w:tc>
        <w:tc>
          <w:tcPr>
            <w:tcW w:w="0" w:type="dxa"/>
            <w:noWrap/>
            <w:vAlign w:val="center"/>
            <w:hideMark/>
          </w:tcPr>
          <w:p w14:paraId="06AF7B74"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c>
          <w:tcPr>
            <w:tcW w:w="0" w:type="dxa"/>
            <w:noWrap/>
            <w:vAlign w:val="center"/>
          </w:tcPr>
          <w:p w14:paraId="151FBAE1"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7D5103E1"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2,388</w:t>
            </w:r>
          </w:p>
        </w:tc>
        <w:tc>
          <w:tcPr>
            <w:tcW w:w="0" w:type="dxa"/>
            <w:noWrap/>
            <w:vAlign w:val="center"/>
          </w:tcPr>
          <w:p w14:paraId="280ECD25"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c>
          <w:tcPr>
            <w:tcW w:w="0" w:type="dxa"/>
            <w:noWrap/>
            <w:vAlign w:val="center"/>
            <w:hideMark/>
          </w:tcPr>
          <w:p w14:paraId="5AE0C866"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7C74E796"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3,086</w:t>
            </w:r>
          </w:p>
        </w:tc>
        <w:tc>
          <w:tcPr>
            <w:tcW w:w="0" w:type="dxa"/>
            <w:noWrap/>
            <w:vAlign w:val="center"/>
          </w:tcPr>
          <w:p w14:paraId="2BE57355"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r>
      <w:tr w:rsidR="00C170C2" w:rsidRPr="00CE058E" w14:paraId="6705E09A" w14:textId="77777777" w:rsidTr="00AC728A">
        <w:trPr>
          <w:trHeight w:val="283"/>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68E5F79A" w14:textId="77777777" w:rsidR="00C170C2" w:rsidRPr="00CE058E" w:rsidRDefault="00C170C2" w:rsidP="00AC728A">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NT</w:t>
            </w:r>
          </w:p>
        </w:tc>
        <w:tc>
          <w:tcPr>
            <w:tcW w:w="0" w:type="dxa"/>
            <w:noWrap/>
            <w:vAlign w:val="center"/>
          </w:tcPr>
          <w:p w14:paraId="5958B6DF"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3B6C6061"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47BA3B22"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c>
          <w:tcPr>
            <w:tcW w:w="0" w:type="dxa"/>
            <w:noWrap/>
            <w:vAlign w:val="center"/>
          </w:tcPr>
          <w:p w14:paraId="4E7B75A5"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715D232A"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1D1AF580"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c>
          <w:tcPr>
            <w:tcW w:w="0" w:type="dxa"/>
            <w:noWrap/>
            <w:vAlign w:val="center"/>
            <w:hideMark/>
          </w:tcPr>
          <w:p w14:paraId="2E48F110"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3F54CA2E"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1,192</w:t>
            </w:r>
          </w:p>
        </w:tc>
        <w:tc>
          <w:tcPr>
            <w:tcW w:w="0" w:type="dxa"/>
            <w:noWrap/>
            <w:vAlign w:val="center"/>
          </w:tcPr>
          <w:p w14:paraId="32DD189C"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r>
      <w:tr w:rsidR="00C170C2" w:rsidRPr="00CE058E" w14:paraId="1369BE76" w14:textId="77777777" w:rsidTr="00AC728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67865C2B" w14:textId="77777777" w:rsidR="00C170C2" w:rsidRPr="00CE058E" w:rsidRDefault="00C170C2" w:rsidP="00AC728A">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ACT</w:t>
            </w:r>
          </w:p>
        </w:tc>
        <w:tc>
          <w:tcPr>
            <w:tcW w:w="0" w:type="dxa"/>
            <w:noWrap/>
            <w:vAlign w:val="center"/>
          </w:tcPr>
          <w:p w14:paraId="288AD0DD"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707B6FB2"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4,651</w:t>
            </w:r>
          </w:p>
        </w:tc>
        <w:tc>
          <w:tcPr>
            <w:tcW w:w="0" w:type="dxa"/>
            <w:noWrap/>
            <w:vAlign w:val="center"/>
            <w:hideMark/>
          </w:tcPr>
          <w:p w14:paraId="4A78EF75"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c>
          <w:tcPr>
            <w:tcW w:w="0" w:type="dxa"/>
            <w:noWrap/>
            <w:vAlign w:val="center"/>
          </w:tcPr>
          <w:p w14:paraId="1C8735A5"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0A21C220"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5,264</w:t>
            </w:r>
          </w:p>
        </w:tc>
        <w:tc>
          <w:tcPr>
            <w:tcW w:w="0" w:type="dxa"/>
            <w:noWrap/>
            <w:vAlign w:val="center"/>
          </w:tcPr>
          <w:p w14:paraId="4C210E88"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c>
          <w:tcPr>
            <w:tcW w:w="0" w:type="dxa"/>
            <w:noWrap/>
            <w:vAlign w:val="center"/>
            <w:hideMark/>
          </w:tcPr>
          <w:p w14:paraId="2B374722"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hideMark/>
          </w:tcPr>
          <w:p w14:paraId="02B0A106"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7,254</w:t>
            </w:r>
          </w:p>
        </w:tc>
        <w:tc>
          <w:tcPr>
            <w:tcW w:w="0" w:type="dxa"/>
            <w:noWrap/>
            <w:vAlign w:val="center"/>
          </w:tcPr>
          <w:p w14:paraId="4D1E0319" w14:textId="77777777" w:rsidR="00C170C2" w:rsidRPr="00CE058E" w:rsidRDefault="00C170C2" w:rsidP="00AC728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w:t>
            </w:r>
          </w:p>
        </w:tc>
      </w:tr>
      <w:tr w:rsidR="00C170C2" w:rsidRPr="00CE058E" w14:paraId="4AB13119" w14:textId="77777777" w:rsidTr="00AC728A">
        <w:trPr>
          <w:trHeight w:val="283"/>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ABC8052" w14:textId="77777777" w:rsidR="00C170C2" w:rsidRPr="00CE058E" w:rsidRDefault="00C170C2" w:rsidP="00AC728A">
            <w:pPr>
              <w:spacing w:line="240" w:lineRule="auto"/>
              <w:jc w:val="center"/>
              <w:rPr>
                <w:rFonts w:eastAsia="Times New Roman" w:cs="Arial"/>
                <w:b w:val="0"/>
                <w:bCs w:val="0"/>
                <w:color w:val="auto"/>
                <w:sz w:val="18"/>
                <w:szCs w:val="18"/>
                <w:lang w:eastAsia="en-AU"/>
              </w:rPr>
            </w:pPr>
            <w:r w:rsidRPr="00CE058E">
              <w:rPr>
                <w:rFonts w:eastAsia="Times New Roman" w:cs="Arial"/>
                <w:color w:val="auto"/>
                <w:sz w:val="18"/>
                <w:szCs w:val="18"/>
                <w:lang w:eastAsia="en-AU"/>
              </w:rPr>
              <w:t>National</w:t>
            </w:r>
          </w:p>
        </w:tc>
        <w:tc>
          <w:tcPr>
            <w:tcW w:w="0" w:type="dxa"/>
            <w:noWrap/>
            <w:vAlign w:val="center"/>
            <w:hideMark/>
          </w:tcPr>
          <w:p w14:paraId="0C93A043"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73,028</w:t>
            </w:r>
          </w:p>
        </w:tc>
        <w:tc>
          <w:tcPr>
            <w:tcW w:w="0" w:type="dxa"/>
            <w:noWrap/>
            <w:vAlign w:val="center"/>
            <w:hideMark/>
          </w:tcPr>
          <w:p w14:paraId="1677CEFC"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113,773</w:t>
            </w:r>
          </w:p>
        </w:tc>
        <w:tc>
          <w:tcPr>
            <w:tcW w:w="0" w:type="dxa"/>
            <w:noWrap/>
            <w:vAlign w:val="center"/>
            <w:hideMark/>
          </w:tcPr>
          <w:p w14:paraId="0D4C4635"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64</w:t>
            </w:r>
          </w:p>
        </w:tc>
        <w:tc>
          <w:tcPr>
            <w:tcW w:w="0" w:type="dxa"/>
            <w:noWrap/>
            <w:vAlign w:val="center"/>
            <w:hideMark/>
          </w:tcPr>
          <w:p w14:paraId="422E1C9F"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69,419</w:t>
            </w:r>
          </w:p>
        </w:tc>
        <w:tc>
          <w:tcPr>
            <w:tcW w:w="0" w:type="dxa"/>
            <w:noWrap/>
            <w:vAlign w:val="center"/>
            <w:hideMark/>
          </w:tcPr>
          <w:p w14:paraId="7E0CD088"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124,307</w:t>
            </w:r>
          </w:p>
        </w:tc>
        <w:tc>
          <w:tcPr>
            <w:tcW w:w="0" w:type="dxa"/>
            <w:noWrap/>
            <w:vAlign w:val="center"/>
            <w:hideMark/>
          </w:tcPr>
          <w:p w14:paraId="4CA8EA44"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56</w:t>
            </w:r>
          </w:p>
        </w:tc>
        <w:tc>
          <w:tcPr>
            <w:tcW w:w="0" w:type="dxa"/>
            <w:noWrap/>
            <w:vAlign w:val="center"/>
            <w:hideMark/>
          </w:tcPr>
          <w:p w14:paraId="07300C19"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79,935</w:t>
            </w:r>
          </w:p>
        </w:tc>
        <w:tc>
          <w:tcPr>
            <w:tcW w:w="0" w:type="dxa"/>
            <w:noWrap/>
            <w:vAlign w:val="center"/>
            <w:hideMark/>
          </w:tcPr>
          <w:p w14:paraId="594CC2F1"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118,738</w:t>
            </w:r>
          </w:p>
        </w:tc>
        <w:tc>
          <w:tcPr>
            <w:tcW w:w="0" w:type="dxa"/>
            <w:noWrap/>
            <w:vAlign w:val="center"/>
            <w:hideMark/>
          </w:tcPr>
          <w:p w14:paraId="70DF89AA" w14:textId="77777777" w:rsidR="00C170C2" w:rsidRPr="00CE058E" w:rsidRDefault="00C170C2" w:rsidP="00AC728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67</w:t>
            </w:r>
          </w:p>
        </w:tc>
      </w:tr>
    </w:tbl>
    <w:p w14:paraId="38FCA8E5" w14:textId="146441A9" w:rsidR="00C170C2" w:rsidRPr="00CE058E" w:rsidRDefault="00744DC0" w:rsidP="005F5A2E">
      <w:pPr>
        <w:spacing w:before="160" w:line="276" w:lineRule="auto"/>
        <w:rPr>
          <w:rFonts w:cs="Arial"/>
        </w:rPr>
      </w:pPr>
      <w:r w:rsidRPr="00CE058E">
        <w:rPr>
          <w:rFonts w:cs="Arial"/>
          <w:color w:val="auto"/>
        </w:rPr>
        <w:t xml:space="preserve">Table 18 </w:t>
      </w:r>
      <w:r w:rsidR="00C170C2" w:rsidRPr="00CE058E">
        <w:rPr>
          <w:rFonts w:cs="Arial"/>
          <w:color w:val="auto"/>
        </w:rPr>
        <w:t>shows the number of linked NHCDC records as a proportion of the admitted mental health episode activity by jurisdiction from 2019-20 to 2021-22. The national linked NHCDC records decreased by 17,483 (or 39</w:t>
      </w:r>
      <w:r w:rsidR="00897090">
        <w:rPr>
          <w:rFonts w:cs="Arial"/>
          <w:color w:val="auto"/>
        </w:rPr>
        <w:t>%</w:t>
      </w:r>
      <w:r w:rsidR="00C170C2" w:rsidRPr="00CE058E">
        <w:rPr>
          <w:rFonts w:cs="Arial"/>
          <w:color w:val="auto"/>
        </w:rPr>
        <w:t>) and activity decreased by 7,654 (or 5</w:t>
      </w:r>
      <w:r w:rsidR="00897090">
        <w:rPr>
          <w:rFonts w:cs="Arial"/>
          <w:color w:val="auto"/>
        </w:rPr>
        <w:t>%</w:t>
      </w:r>
      <w:r w:rsidR="00C170C2" w:rsidRPr="00CE058E">
        <w:rPr>
          <w:rFonts w:cs="Arial"/>
          <w:color w:val="auto"/>
        </w:rPr>
        <w:t>) from 2019-20 to 2021-22. Nationally, the linked NHCDC records as a proportion of activity decreased by 11</w:t>
      </w:r>
      <w:r w:rsidR="00897090">
        <w:rPr>
          <w:rFonts w:cs="Arial"/>
          <w:color w:val="auto"/>
        </w:rPr>
        <w:t>%</w:t>
      </w:r>
      <w:r w:rsidR="00C170C2" w:rsidRPr="00CE058E">
        <w:rPr>
          <w:rFonts w:cs="Arial"/>
          <w:color w:val="auto"/>
        </w:rPr>
        <w:t xml:space="preserve"> from 32</w:t>
      </w:r>
      <w:r w:rsidR="00897090">
        <w:rPr>
          <w:rFonts w:cs="Arial"/>
          <w:color w:val="auto"/>
        </w:rPr>
        <w:t>%</w:t>
      </w:r>
      <w:r w:rsidR="00C170C2" w:rsidRPr="00CE058E">
        <w:rPr>
          <w:rFonts w:cs="Arial"/>
          <w:color w:val="auto"/>
        </w:rPr>
        <w:t xml:space="preserve"> in 2019-20 to 21</w:t>
      </w:r>
      <w:r w:rsidR="00897090">
        <w:rPr>
          <w:rFonts w:cs="Arial"/>
          <w:color w:val="auto"/>
        </w:rPr>
        <w:t>%</w:t>
      </w:r>
      <w:r w:rsidR="00C170C2" w:rsidRPr="00CE058E">
        <w:rPr>
          <w:rFonts w:cs="Arial"/>
          <w:color w:val="auto"/>
        </w:rPr>
        <w:t xml:space="preserve"> in 2021-22.</w:t>
      </w:r>
    </w:p>
    <w:p w14:paraId="4FE82159" w14:textId="6537B70D" w:rsidR="00C170C2" w:rsidRPr="00B42434" w:rsidRDefault="00B42434" w:rsidP="00B42434">
      <w:pPr>
        <w:pStyle w:val="TableFigureheading"/>
        <w:rPr>
          <w:rFonts w:asciiTheme="minorHAnsi" w:hAnsiTheme="minorHAnsi" w:cstheme="minorBidi"/>
        </w:rPr>
      </w:pPr>
      <w:bookmarkStart w:id="390" w:name="_Toc151370044"/>
      <w:r>
        <w:t xml:space="preserve">Table </w:t>
      </w:r>
      <w:r>
        <w:fldChar w:fldCharType="begin"/>
      </w:r>
      <w:r>
        <w:instrText xml:space="preserve"> SEQ Table \* ARABIC </w:instrText>
      </w:r>
      <w:r>
        <w:fldChar w:fldCharType="separate"/>
      </w:r>
      <w:r>
        <w:rPr>
          <w:noProof/>
        </w:rPr>
        <w:t>18</w:t>
      </w:r>
      <w:r>
        <w:rPr>
          <w:noProof/>
        </w:rPr>
        <w:fldChar w:fldCharType="end"/>
      </w:r>
      <w:r>
        <w:t xml:space="preserve">: </w:t>
      </w:r>
      <w:r w:rsidR="00C170C2" w:rsidRPr="00CE058E">
        <w:t xml:space="preserve">Proportion of linked NHCDC records to episodes </w:t>
      </w:r>
      <w:r w:rsidR="000A63CC" w:rsidRPr="00CE058E">
        <w:t xml:space="preserve">(AR-DRG) </w:t>
      </w:r>
      <w:r w:rsidR="00C170C2" w:rsidRPr="00CE058E">
        <w:t>activity, 2019-20 to 2021-22</w:t>
      </w:r>
      <w:bookmarkEnd w:id="390"/>
    </w:p>
    <w:tbl>
      <w:tblPr>
        <w:tblStyle w:val="GridTable4-Accent2"/>
        <w:tblW w:w="11438" w:type="dxa"/>
        <w:jc w:val="center"/>
        <w:tblLook w:val="04A0" w:firstRow="1" w:lastRow="0" w:firstColumn="1" w:lastColumn="0" w:noHBand="0" w:noVBand="1"/>
      </w:tblPr>
      <w:tblGrid>
        <w:gridCol w:w="1237"/>
        <w:gridCol w:w="1108"/>
        <w:gridCol w:w="1103"/>
        <w:gridCol w:w="1296"/>
        <w:gridCol w:w="1108"/>
        <w:gridCol w:w="1103"/>
        <w:gridCol w:w="1136"/>
        <w:gridCol w:w="1108"/>
        <w:gridCol w:w="1103"/>
        <w:gridCol w:w="1136"/>
      </w:tblGrid>
      <w:tr w:rsidR="00C170C2" w:rsidRPr="00CE058E" w14:paraId="55F7657D" w14:textId="77777777" w:rsidTr="00A63CC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37"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17542A1A" w14:textId="77777777" w:rsidR="00C170C2" w:rsidRPr="00CE058E" w:rsidRDefault="00C170C2" w:rsidP="00A63CCC">
            <w:pPr>
              <w:spacing w:line="240" w:lineRule="auto"/>
              <w:jc w:val="center"/>
              <w:rPr>
                <w:rFonts w:eastAsia="Times New Roman" w:cs="Arial"/>
                <w:b w:val="0"/>
                <w:bCs w:val="0"/>
                <w:color w:val="000000"/>
                <w:sz w:val="18"/>
                <w:szCs w:val="18"/>
                <w:lang w:eastAsia="en-AU"/>
              </w:rPr>
            </w:pPr>
            <w:r w:rsidRPr="00CE058E">
              <w:rPr>
                <w:rFonts w:eastAsia="Times New Roman" w:cs="Arial"/>
                <w:color w:val="FFFFFF" w:themeColor="background2"/>
                <w:sz w:val="18"/>
                <w:szCs w:val="18"/>
                <w:lang w:eastAsia="en-AU"/>
              </w:rPr>
              <w:t>Jurisdiction</w:t>
            </w:r>
          </w:p>
        </w:tc>
        <w:tc>
          <w:tcPr>
            <w:tcW w:w="3507"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12DFE7F6" w14:textId="77777777" w:rsidR="00C170C2" w:rsidRPr="00CE058E" w:rsidRDefault="00C170C2" w:rsidP="00A63CC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2019-20</w:t>
            </w:r>
          </w:p>
        </w:tc>
        <w:tc>
          <w:tcPr>
            <w:tcW w:w="3347"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32D28AE8" w14:textId="77777777" w:rsidR="00C170C2" w:rsidRPr="00CE058E" w:rsidRDefault="00C170C2" w:rsidP="00A63CC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2020-21</w:t>
            </w:r>
          </w:p>
        </w:tc>
        <w:tc>
          <w:tcPr>
            <w:tcW w:w="3347"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5227A525" w14:textId="77777777" w:rsidR="00C170C2" w:rsidRPr="00CE058E" w:rsidRDefault="00C170C2" w:rsidP="00A63CC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8"/>
                <w:lang w:eastAsia="en-AU"/>
              </w:rPr>
            </w:pPr>
            <w:r w:rsidRPr="00CE058E">
              <w:rPr>
                <w:rFonts w:eastAsia="Times New Roman" w:cs="Arial"/>
                <w:color w:val="FFFFFF"/>
                <w:sz w:val="18"/>
                <w:szCs w:val="18"/>
                <w:lang w:eastAsia="en-AU"/>
              </w:rPr>
              <w:t>2021-22</w:t>
            </w:r>
          </w:p>
        </w:tc>
      </w:tr>
      <w:tr w:rsidR="00F46C13" w:rsidRPr="00CE058E" w14:paraId="008C32F3" w14:textId="77777777" w:rsidTr="00A63CCC">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1237"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0EFD5F94" w14:textId="77777777" w:rsidR="00C170C2" w:rsidRPr="00CE058E" w:rsidRDefault="00C170C2" w:rsidP="00A63CCC">
            <w:pPr>
              <w:spacing w:line="240" w:lineRule="auto"/>
              <w:jc w:val="center"/>
              <w:rPr>
                <w:rFonts w:eastAsia="Times New Roman" w:cs="Arial"/>
                <w:color w:val="000000"/>
                <w:sz w:val="18"/>
                <w:szCs w:val="18"/>
                <w:lang w:eastAsia="en-AU"/>
              </w:rPr>
            </w:pPr>
          </w:p>
        </w:tc>
        <w:tc>
          <w:tcPr>
            <w:tcW w:w="110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29486B36" w14:textId="77777777" w:rsidR="00C170C2" w:rsidRPr="00CE058E" w:rsidRDefault="00C170C2" w:rsidP="00A63C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Linked NHCDC records</w:t>
            </w:r>
          </w:p>
        </w:tc>
        <w:tc>
          <w:tcPr>
            <w:tcW w:w="1103"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5A45C42B" w14:textId="25765294" w:rsidR="00C170C2" w:rsidRPr="00CE058E" w:rsidRDefault="00C33282" w:rsidP="00A63C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Pr>
                <w:rFonts w:eastAsia="Times New Roman" w:cs="Arial"/>
                <w:b/>
                <w:bCs/>
                <w:color w:val="FFFFFF"/>
                <w:sz w:val="18"/>
                <w:szCs w:val="18"/>
                <w:lang w:eastAsia="en-AU"/>
              </w:rPr>
              <w:t>A</w:t>
            </w:r>
            <w:r w:rsidR="00C170C2" w:rsidRPr="00CE058E">
              <w:rPr>
                <w:rFonts w:eastAsia="Times New Roman" w:cs="Arial"/>
                <w:b/>
                <w:bCs/>
                <w:color w:val="FFFFFF"/>
                <w:sz w:val="18"/>
                <w:szCs w:val="18"/>
                <w:lang w:eastAsia="en-AU"/>
              </w:rPr>
              <w:t>ctivity</w:t>
            </w:r>
          </w:p>
        </w:tc>
        <w:tc>
          <w:tcPr>
            <w:tcW w:w="129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41837F63" w14:textId="77777777" w:rsidR="00C170C2" w:rsidRPr="00CE058E" w:rsidRDefault="00C170C2" w:rsidP="00A63C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Proportion (%)</w:t>
            </w:r>
          </w:p>
        </w:tc>
        <w:tc>
          <w:tcPr>
            <w:tcW w:w="110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6CBAC3AA" w14:textId="77777777" w:rsidR="00C170C2" w:rsidRPr="00CE058E" w:rsidRDefault="00C170C2" w:rsidP="00A63C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Linked NHCDC records</w:t>
            </w:r>
          </w:p>
        </w:tc>
        <w:tc>
          <w:tcPr>
            <w:tcW w:w="1103"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53F154A1" w14:textId="474ABDF9" w:rsidR="00C170C2" w:rsidRPr="00CE058E" w:rsidRDefault="00C33282" w:rsidP="00A63C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Pr>
                <w:rFonts w:eastAsia="Times New Roman" w:cs="Arial"/>
                <w:b/>
                <w:bCs/>
                <w:color w:val="FFFFFF"/>
                <w:sz w:val="18"/>
                <w:szCs w:val="18"/>
                <w:lang w:eastAsia="en-AU"/>
              </w:rPr>
              <w:t>A</w:t>
            </w:r>
            <w:r w:rsidR="00C170C2" w:rsidRPr="00CE058E">
              <w:rPr>
                <w:rFonts w:eastAsia="Times New Roman" w:cs="Arial"/>
                <w:b/>
                <w:bCs/>
                <w:color w:val="FFFFFF"/>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6C4898B3" w14:textId="77777777" w:rsidR="00C170C2" w:rsidRPr="00CE058E" w:rsidRDefault="00C170C2" w:rsidP="00A63C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Proportion (%)</w:t>
            </w:r>
          </w:p>
        </w:tc>
        <w:tc>
          <w:tcPr>
            <w:tcW w:w="110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381700AA" w14:textId="77777777" w:rsidR="00C170C2" w:rsidRPr="00CE058E" w:rsidRDefault="00C170C2" w:rsidP="00A63C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Linked NHCDC records</w:t>
            </w:r>
          </w:p>
        </w:tc>
        <w:tc>
          <w:tcPr>
            <w:tcW w:w="1103"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65815A7D" w14:textId="1966DADE" w:rsidR="00C170C2" w:rsidRPr="00CE058E" w:rsidRDefault="00C33282" w:rsidP="00A63C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Pr>
                <w:rFonts w:eastAsia="Times New Roman" w:cs="Arial"/>
                <w:b/>
                <w:bCs/>
                <w:color w:val="FFFFFF"/>
                <w:sz w:val="18"/>
                <w:szCs w:val="18"/>
                <w:lang w:eastAsia="en-AU"/>
              </w:rPr>
              <w:t>A</w:t>
            </w:r>
            <w:r w:rsidR="00C170C2" w:rsidRPr="00CE058E">
              <w:rPr>
                <w:rFonts w:eastAsia="Times New Roman" w:cs="Arial"/>
                <w:b/>
                <w:bCs/>
                <w:color w:val="FFFFFF"/>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2E795A5B" w14:textId="77777777" w:rsidR="00C170C2" w:rsidRPr="00CE058E" w:rsidRDefault="00C170C2" w:rsidP="00A63CC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sz w:val="18"/>
                <w:szCs w:val="18"/>
                <w:lang w:eastAsia="en-AU"/>
              </w:rPr>
            </w:pPr>
            <w:r w:rsidRPr="00CE058E">
              <w:rPr>
                <w:rFonts w:eastAsia="Times New Roman" w:cs="Arial"/>
                <w:b/>
                <w:bCs/>
                <w:color w:val="FFFFFF"/>
                <w:sz w:val="18"/>
                <w:szCs w:val="18"/>
                <w:lang w:eastAsia="en-AU"/>
              </w:rPr>
              <w:t>Proportion (%)</w:t>
            </w:r>
          </w:p>
        </w:tc>
      </w:tr>
      <w:tr w:rsidR="00C170C2" w:rsidRPr="00CE058E" w14:paraId="082BB416" w14:textId="77777777" w:rsidTr="00A63CCC">
        <w:trPr>
          <w:trHeight w:val="290"/>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4" w:space="0" w:color="FFFFFF" w:themeColor="background2"/>
            </w:tcBorders>
            <w:noWrap/>
            <w:vAlign w:val="center"/>
            <w:hideMark/>
          </w:tcPr>
          <w:p w14:paraId="1D8B383F" w14:textId="77777777" w:rsidR="00C170C2" w:rsidRPr="00CE058E" w:rsidRDefault="00C170C2" w:rsidP="00A63CCC">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NSW</w:t>
            </w:r>
          </w:p>
        </w:tc>
        <w:tc>
          <w:tcPr>
            <w:tcW w:w="1108" w:type="dxa"/>
            <w:tcBorders>
              <w:top w:val="single" w:sz="4" w:space="0" w:color="FFFFFF" w:themeColor="background2"/>
            </w:tcBorders>
            <w:noWrap/>
            <w:vAlign w:val="center"/>
            <w:hideMark/>
          </w:tcPr>
          <w:p w14:paraId="00F98390"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15</w:t>
            </w:r>
          </w:p>
        </w:tc>
        <w:tc>
          <w:tcPr>
            <w:tcW w:w="1103" w:type="dxa"/>
            <w:tcBorders>
              <w:top w:val="single" w:sz="4" w:space="0" w:color="FFFFFF" w:themeColor="background2"/>
            </w:tcBorders>
            <w:noWrap/>
            <w:vAlign w:val="center"/>
            <w:hideMark/>
          </w:tcPr>
          <w:p w14:paraId="7F38CC8A"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43,406</w:t>
            </w:r>
          </w:p>
        </w:tc>
        <w:tc>
          <w:tcPr>
            <w:tcW w:w="1296" w:type="dxa"/>
            <w:tcBorders>
              <w:top w:val="single" w:sz="4" w:space="0" w:color="FFFFFF" w:themeColor="background2"/>
            </w:tcBorders>
            <w:noWrap/>
            <w:vAlign w:val="center"/>
            <w:hideMark/>
          </w:tcPr>
          <w:p w14:paraId="410BCC8C"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0</w:t>
            </w:r>
          </w:p>
        </w:tc>
        <w:tc>
          <w:tcPr>
            <w:tcW w:w="1108" w:type="dxa"/>
            <w:tcBorders>
              <w:top w:val="single" w:sz="4" w:space="0" w:color="FFFFFF" w:themeColor="background2"/>
            </w:tcBorders>
            <w:noWrap/>
            <w:vAlign w:val="center"/>
            <w:hideMark/>
          </w:tcPr>
          <w:p w14:paraId="7CB2EE99"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527</w:t>
            </w:r>
          </w:p>
        </w:tc>
        <w:tc>
          <w:tcPr>
            <w:tcW w:w="1103" w:type="dxa"/>
            <w:tcBorders>
              <w:top w:val="single" w:sz="4" w:space="0" w:color="FFFFFF" w:themeColor="background2"/>
            </w:tcBorders>
            <w:noWrap/>
            <w:vAlign w:val="center"/>
            <w:hideMark/>
          </w:tcPr>
          <w:p w14:paraId="77785851"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42,398</w:t>
            </w:r>
          </w:p>
        </w:tc>
        <w:tc>
          <w:tcPr>
            <w:tcW w:w="1136" w:type="dxa"/>
            <w:tcBorders>
              <w:top w:val="single" w:sz="4" w:space="0" w:color="FFFFFF" w:themeColor="background2"/>
            </w:tcBorders>
            <w:noWrap/>
            <w:vAlign w:val="center"/>
            <w:hideMark/>
          </w:tcPr>
          <w:p w14:paraId="5EE11BA0"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1</w:t>
            </w:r>
          </w:p>
        </w:tc>
        <w:tc>
          <w:tcPr>
            <w:tcW w:w="1108" w:type="dxa"/>
            <w:tcBorders>
              <w:top w:val="single" w:sz="4" w:space="0" w:color="FFFFFF" w:themeColor="background2"/>
            </w:tcBorders>
            <w:noWrap/>
            <w:vAlign w:val="center"/>
            <w:hideMark/>
          </w:tcPr>
          <w:p w14:paraId="7CEDC13B"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94</w:t>
            </w:r>
          </w:p>
        </w:tc>
        <w:tc>
          <w:tcPr>
            <w:tcW w:w="1103" w:type="dxa"/>
            <w:tcBorders>
              <w:top w:val="single" w:sz="4" w:space="0" w:color="FFFFFF" w:themeColor="background2"/>
            </w:tcBorders>
            <w:noWrap/>
            <w:vAlign w:val="center"/>
            <w:hideMark/>
          </w:tcPr>
          <w:p w14:paraId="481AFB28"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38,950</w:t>
            </w:r>
          </w:p>
        </w:tc>
        <w:tc>
          <w:tcPr>
            <w:tcW w:w="1136" w:type="dxa"/>
            <w:tcBorders>
              <w:top w:val="single" w:sz="4" w:space="0" w:color="FFFFFF" w:themeColor="background2"/>
            </w:tcBorders>
            <w:noWrap/>
            <w:vAlign w:val="center"/>
            <w:hideMark/>
          </w:tcPr>
          <w:p w14:paraId="4E21F7C9"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0</w:t>
            </w:r>
          </w:p>
        </w:tc>
      </w:tr>
      <w:tr w:rsidR="00C170C2" w:rsidRPr="00CE058E" w14:paraId="4D7F3460" w14:textId="77777777" w:rsidTr="00A63CC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0FA87036" w14:textId="77777777" w:rsidR="00C170C2" w:rsidRPr="00CE058E" w:rsidRDefault="00C170C2" w:rsidP="00A63CCC">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Vic</w:t>
            </w:r>
          </w:p>
        </w:tc>
        <w:tc>
          <w:tcPr>
            <w:tcW w:w="1108" w:type="dxa"/>
            <w:noWrap/>
            <w:vAlign w:val="center"/>
            <w:hideMark/>
          </w:tcPr>
          <w:p w14:paraId="4BE56E48"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8,304</w:t>
            </w:r>
          </w:p>
        </w:tc>
        <w:tc>
          <w:tcPr>
            <w:tcW w:w="1103" w:type="dxa"/>
            <w:noWrap/>
            <w:vAlign w:val="center"/>
            <w:hideMark/>
          </w:tcPr>
          <w:p w14:paraId="3BC48F82"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28,683</w:t>
            </w:r>
          </w:p>
        </w:tc>
        <w:tc>
          <w:tcPr>
            <w:tcW w:w="1296" w:type="dxa"/>
            <w:noWrap/>
            <w:vAlign w:val="center"/>
            <w:hideMark/>
          </w:tcPr>
          <w:p w14:paraId="7EC22F69"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29</w:t>
            </w:r>
          </w:p>
        </w:tc>
        <w:tc>
          <w:tcPr>
            <w:tcW w:w="1108" w:type="dxa"/>
            <w:noWrap/>
            <w:vAlign w:val="center"/>
            <w:hideMark/>
          </w:tcPr>
          <w:p w14:paraId="7AA1D065"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423</w:t>
            </w:r>
          </w:p>
        </w:tc>
        <w:tc>
          <w:tcPr>
            <w:tcW w:w="1103" w:type="dxa"/>
            <w:noWrap/>
            <w:vAlign w:val="center"/>
            <w:hideMark/>
          </w:tcPr>
          <w:p w14:paraId="2CC49945"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30,035</w:t>
            </w:r>
          </w:p>
        </w:tc>
        <w:tc>
          <w:tcPr>
            <w:tcW w:w="1136" w:type="dxa"/>
            <w:noWrap/>
            <w:vAlign w:val="center"/>
            <w:hideMark/>
          </w:tcPr>
          <w:p w14:paraId="0D38B92C"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1</w:t>
            </w:r>
          </w:p>
        </w:tc>
        <w:tc>
          <w:tcPr>
            <w:tcW w:w="1108" w:type="dxa"/>
            <w:noWrap/>
            <w:vAlign w:val="center"/>
            <w:hideMark/>
          </w:tcPr>
          <w:p w14:paraId="54247CF0"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448</w:t>
            </w:r>
          </w:p>
        </w:tc>
        <w:tc>
          <w:tcPr>
            <w:tcW w:w="1103" w:type="dxa"/>
            <w:noWrap/>
            <w:vAlign w:val="center"/>
            <w:hideMark/>
          </w:tcPr>
          <w:p w14:paraId="16D9E69F"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29,302</w:t>
            </w:r>
          </w:p>
        </w:tc>
        <w:tc>
          <w:tcPr>
            <w:tcW w:w="1136" w:type="dxa"/>
            <w:noWrap/>
            <w:vAlign w:val="center"/>
            <w:hideMark/>
          </w:tcPr>
          <w:p w14:paraId="407116A9"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2</w:t>
            </w:r>
          </w:p>
        </w:tc>
      </w:tr>
      <w:tr w:rsidR="00C170C2" w:rsidRPr="00CE058E" w14:paraId="5E8C1206" w14:textId="77777777" w:rsidTr="00A63CCC">
        <w:trPr>
          <w:trHeight w:val="29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24091EB1" w14:textId="77777777" w:rsidR="00C170C2" w:rsidRPr="00CE058E" w:rsidRDefault="00C170C2" w:rsidP="00A63CCC">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Qld</w:t>
            </w:r>
          </w:p>
        </w:tc>
        <w:tc>
          <w:tcPr>
            <w:tcW w:w="1108" w:type="dxa"/>
            <w:noWrap/>
            <w:vAlign w:val="center"/>
            <w:hideMark/>
          </w:tcPr>
          <w:p w14:paraId="0CEB41A6"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10,813</w:t>
            </w:r>
          </w:p>
        </w:tc>
        <w:tc>
          <w:tcPr>
            <w:tcW w:w="1103" w:type="dxa"/>
            <w:noWrap/>
            <w:vAlign w:val="center"/>
            <w:hideMark/>
          </w:tcPr>
          <w:p w14:paraId="38422C83"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33,859</w:t>
            </w:r>
          </w:p>
        </w:tc>
        <w:tc>
          <w:tcPr>
            <w:tcW w:w="1296" w:type="dxa"/>
            <w:noWrap/>
            <w:vAlign w:val="center"/>
            <w:hideMark/>
          </w:tcPr>
          <w:p w14:paraId="5DB261B3"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32</w:t>
            </w:r>
          </w:p>
        </w:tc>
        <w:tc>
          <w:tcPr>
            <w:tcW w:w="1108" w:type="dxa"/>
            <w:noWrap/>
            <w:vAlign w:val="center"/>
            <w:hideMark/>
          </w:tcPr>
          <w:p w14:paraId="1F5AEE24"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17,667</w:t>
            </w:r>
          </w:p>
        </w:tc>
        <w:tc>
          <w:tcPr>
            <w:tcW w:w="1103" w:type="dxa"/>
            <w:noWrap/>
            <w:vAlign w:val="center"/>
            <w:hideMark/>
          </w:tcPr>
          <w:p w14:paraId="7E6E93F2"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32,492</w:t>
            </w:r>
          </w:p>
        </w:tc>
        <w:tc>
          <w:tcPr>
            <w:tcW w:w="1136" w:type="dxa"/>
            <w:noWrap/>
            <w:vAlign w:val="center"/>
            <w:hideMark/>
          </w:tcPr>
          <w:p w14:paraId="732EA5F2"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54</w:t>
            </w:r>
          </w:p>
        </w:tc>
        <w:tc>
          <w:tcPr>
            <w:tcW w:w="1108" w:type="dxa"/>
            <w:noWrap/>
            <w:vAlign w:val="center"/>
            <w:hideMark/>
          </w:tcPr>
          <w:p w14:paraId="5FA118A4"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7,991</w:t>
            </w:r>
          </w:p>
        </w:tc>
        <w:tc>
          <w:tcPr>
            <w:tcW w:w="1103" w:type="dxa"/>
            <w:noWrap/>
            <w:vAlign w:val="center"/>
            <w:hideMark/>
          </w:tcPr>
          <w:p w14:paraId="423B42CA"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30,785</w:t>
            </w:r>
          </w:p>
        </w:tc>
        <w:tc>
          <w:tcPr>
            <w:tcW w:w="1136" w:type="dxa"/>
            <w:noWrap/>
            <w:vAlign w:val="center"/>
            <w:hideMark/>
          </w:tcPr>
          <w:p w14:paraId="767E18D8"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26</w:t>
            </w:r>
          </w:p>
        </w:tc>
      </w:tr>
      <w:tr w:rsidR="00C170C2" w:rsidRPr="00CE058E" w14:paraId="15C281D3" w14:textId="77777777" w:rsidTr="00A63CC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3E9C5E40" w14:textId="77777777" w:rsidR="00C170C2" w:rsidRPr="00CE058E" w:rsidRDefault="00C170C2" w:rsidP="00A63CCC">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SA</w:t>
            </w:r>
          </w:p>
        </w:tc>
        <w:tc>
          <w:tcPr>
            <w:tcW w:w="1108" w:type="dxa"/>
            <w:noWrap/>
            <w:vAlign w:val="center"/>
            <w:hideMark/>
          </w:tcPr>
          <w:p w14:paraId="0FD89093"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6,260</w:t>
            </w:r>
          </w:p>
        </w:tc>
        <w:tc>
          <w:tcPr>
            <w:tcW w:w="1103" w:type="dxa"/>
            <w:noWrap/>
            <w:vAlign w:val="center"/>
            <w:hideMark/>
          </w:tcPr>
          <w:p w14:paraId="022F0A48"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14,745</w:t>
            </w:r>
          </w:p>
        </w:tc>
        <w:tc>
          <w:tcPr>
            <w:tcW w:w="1296" w:type="dxa"/>
            <w:noWrap/>
            <w:vAlign w:val="center"/>
            <w:hideMark/>
          </w:tcPr>
          <w:p w14:paraId="61AA2C71"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42</w:t>
            </w:r>
          </w:p>
        </w:tc>
        <w:tc>
          <w:tcPr>
            <w:tcW w:w="1108" w:type="dxa"/>
            <w:noWrap/>
            <w:vAlign w:val="center"/>
            <w:hideMark/>
          </w:tcPr>
          <w:p w14:paraId="5877E569"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6,344</w:t>
            </w:r>
          </w:p>
        </w:tc>
        <w:tc>
          <w:tcPr>
            <w:tcW w:w="1103" w:type="dxa"/>
            <w:noWrap/>
            <w:vAlign w:val="center"/>
            <w:hideMark/>
          </w:tcPr>
          <w:p w14:paraId="0AA8CF61"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15,869</w:t>
            </w:r>
          </w:p>
        </w:tc>
        <w:tc>
          <w:tcPr>
            <w:tcW w:w="1136" w:type="dxa"/>
            <w:noWrap/>
            <w:vAlign w:val="center"/>
            <w:hideMark/>
          </w:tcPr>
          <w:p w14:paraId="092874BD"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40</w:t>
            </w:r>
          </w:p>
        </w:tc>
        <w:tc>
          <w:tcPr>
            <w:tcW w:w="1108" w:type="dxa"/>
            <w:noWrap/>
            <w:vAlign w:val="center"/>
            <w:hideMark/>
          </w:tcPr>
          <w:p w14:paraId="7013287C"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5</w:t>
            </w:r>
          </w:p>
        </w:tc>
        <w:tc>
          <w:tcPr>
            <w:tcW w:w="1103" w:type="dxa"/>
            <w:noWrap/>
            <w:vAlign w:val="center"/>
            <w:hideMark/>
          </w:tcPr>
          <w:p w14:paraId="2A05153C"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14,143</w:t>
            </w:r>
          </w:p>
        </w:tc>
        <w:tc>
          <w:tcPr>
            <w:tcW w:w="1136" w:type="dxa"/>
            <w:noWrap/>
            <w:vAlign w:val="center"/>
            <w:hideMark/>
          </w:tcPr>
          <w:p w14:paraId="200C5FC3"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0</w:t>
            </w:r>
          </w:p>
        </w:tc>
      </w:tr>
      <w:tr w:rsidR="00C170C2" w:rsidRPr="00CE058E" w14:paraId="32BCAE89" w14:textId="77777777" w:rsidTr="00A63CCC">
        <w:trPr>
          <w:trHeight w:val="29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61FB4827" w14:textId="77777777" w:rsidR="00C170C2" w:rsidRPr="00CE058E" w:rsidRDefault="00C170C2" w:rsidP="00A63CCC">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WA</w:t>
            </w:r>
          </w:p>
        </w:tc>
        <w:tc>
          <w:tcPr>
            <w:tcW w:w="1108" w:type="dxa"/>
            <w:noWrap/>
            <w:vAlign w:val="center"/>
            <w:hideMark/>
          </w:tcPr>
          <w:p w14:paraId="000BEB78"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12,959</w:t>
            </w:r>
          </w:p>
        </w:tc>
        <w:tc>
          <w:tcPr>
            <w:tcW w:w="1103" w:type="dxa"/>
            <w:noWrap/>
            <w:vAlign w:val="center"/>
            <w:hideMark/>
          </w:tcPr>
          <w:p w14:paraId="64551243"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12,963</w:t>
            </w:r>
          </w:p>
        </w:tc>
        <w:tc>
          <w:tcPr>
            <w:tcW w:w="1296" w:type="dxa"/>
            <w:noWrap/>
            <w:vAlign w:val="center"/>
            <w:hideMark/>
          </w:tcPr>
          <w:p w14:paraId="2EAA92F9"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100</w:t>
            </w:r>
          </w:p>
        </w:tc>
        <w:tc>
          <w:tcPr>
            <w:tcW w:w="1108" w:type="dxa"/>
            <w:noWrap/>
            <w:vAlign w:val="center"/>
            <w:hideMark/>
          </w:tcPr>
          <w:p w14:paraId="60D51A85"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12,839</w:t>
            </w:r>
          </w:p>
        </w:tc>
        <w:tc>
          <w:tcPr>
            <w:tcW w:w="1103" w:type="dxa"/>
            <w:noWrap/>
            <w:vAlign w:val="center"/>
            <w:hideMark/>
          </w:tcPr>
          <w:p w14:paraId="6A6745C4"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12,856</w:t>
            </w:r>
          </w:p>
        </w:tc>
        <w:tc>
          <w:tcPr>
            <w:tcW w:w="1136" w:type="dxa"/>
            <w:noWrap/>
            <w:vAlign w:val="center"/>
            <w:hideMark/>
          </w:tcPr>
          <w:p w14:paraId="16EC6E29"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100</w:t>
            </w:r>
          </w:p>
        </w:tc>
        <w:tc>
          <w:tcPr>
            <w:tcW w:w="1108" w:type="dxa"/>
            <w:noWrap/>
            <w:vAlign w:val="center"/>
            <w:hideMark/>
          </w:tcPr>
          <w:p w14:paraId="074ADB56"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12,458</w:t>
            </w:r>
          </w:p>
        </w:tc>
        <w:tc>
          <w:tcPr>
            <w:tcW w:w="1103" w:type="dxa"/>
            <w:noWrap/>
            <w:vAlign w:val="center"/>
            <w:hideMark/>
          </w:tcPr>
          <w:p w14:paraId="5DCD2DCF"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12,458</w:t>
            </w:r>
          </w:p>
        </w:tc>
        <w:tc>
          <w:tcPr>
            <w:tcW w:w="1136" w:type="dxa"/>
            <w:noWrap/>
            <w:vAlign w:val="center"/>
            <w:hideMark/>
          </w:tcPr>
          <w:p w14:paraId="2363478D"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100</w:t>
            </w:r>
          </w:p>
        </w:tc>
      </w:tr>
      <w:tr w:rsidR="00C170C2" w:rsidRPr="00CE058E" w14:paraId="3A71660B" w14:textId="77777777" w:rsidTr="00A63CC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0B808E19" w14:textId="77777777" w:rsidR="00C170C2" w:rsidRPr="00CE058E" w:rsidRDefault="00C170C2" w:rsidP="00A63CCC">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Tas</w:t>
            </w:r>
          </w:p>
        </w:tc>
        <w:tc>
          <w:tcPr>
            <w:tcW w:w="1108" w:type="dxa"/>
            <w:noWrap/>
            <w:vAlign w:val="center"/>
            <w:hideMark/>
          </w:tcPr>
          <w:p w14:paraId="5DD7FDC4"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3,281</w:t>
            </w:r>
          </w:p>
        </w:tc>
        <w:tc>
          <w:tcPr>
            <w:tcW w:w="1103" w:type="dxa"/>
            <w:noWrap/>
            <w:vAlign w:val="center"/>
            <w:hideMark/>
          </w:tcPr>
          <w:p w14:paraId="422F3A3F"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3,339</w:t>
            </w:r>
          </w:p>
        </w:tc>
        <w:tc>
          <w:tcPr>
            <w:tcW w:w="1296" w:type="dxa"/>
            <w:noWrap/>
            <w:vAlign w:val="center"/>
            <w:hideMark/>
          </w:tcPr>
          <w:p w14:paraId="28DA47E6"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98</w:t>
            </w:r>
          </w:p>
        </w:tc>
        <w:tc>
          <w:tcPr>
            <w:tcW w:w="1108" w:type="dxa"/>
            <w:noWrap/>
            <w:vAlign w:val="center"/>
            <w:hideMark/>
          </w:tcPr>
          <w:p w14:paraId="59050132"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3,297</w:t>
            </w:r>
          </w:p>
        </w:tc>
        <w:tc>
          <w:tcPr>
            <w:tcW w:w="1103" w:type="dxa"/>
            <w:noWrap/>
            <w:vAlign w:val="center"/>
            <w:hideMark/>
          </w:tcPr>
          <w:p w14:paraId="300BAF4F"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3,914</w:t>
            </w:r>
          </w:p>
        </w:tc>
        <w:tc>
          <w:tcPr>
            <w:tcW w:w="1136" w:type="dxa"/>
            <w:noWrap/>
            <w:vAlign w:val="center"/>
            <w:hideMark/>
          </w:tcPr>
          <w:p w14:paraId="4B5142DD"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84</w:t>
            </w:r>
          </w:p>
        </w:tc>
        <w:tc>
          <w:tcPr>
            <w:tcW w:w="1108" w:type="dxa"/>
            <w:noWrap/>
            <w:vAlign w:val="center"/>
            <w:hideMark/>
          </w:tcPr>
          <w:p w14:paraId="077EF7F9"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3,133</w:t>
            </w:r>
          </w:p>
        </w:tc>
        <w:tc>
          <w:tcPr>
            <w:tcW w:w="1103" w:type="dxa"/>
            <w:noWrap/>
            <w:vAlign w:val="center"/>
            <w:hideMark/>
          </w:tcPr>
          <w:p w14:paraId="2CFBBD36"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3,690</w:t>
            </w:r>
          </w:p>
        </w:tc>
        <w:tc>
          <w:tcPr>
            <w:tcW w:w="1136" w:type="dxa"/>
            <w:noWrap/>
            <w:vAlign w:val="center"/>
            <w:hideMark/>
          </w:tcPr>
          <w:p w14:paraId="50968B78"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85</w:t>
            </w:r>
          </w:p>
        </w:tc>
      </w:tr>
      <w:tr w:rsidR="00C170C2" w:rsidRPr="00CE058E" w14:paraId="746E99D2" w14:textId="77777777" w:rsidTr="00A63CCC">
        <w:trPr>
          <w:trHeight w:val="29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2B64799B" w14:textId="77777777" w:rsidR="00C170C2" w:rsidRPr="00CE058E" w:rsidRDefault="00C170C2" w:rsidP="00A63CCC">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NT</w:t>
            </w:r>
          </w:p>
        </w:tc>
        <w:tc>
          <w:tcPr>
            <w:tcW w:w="1108" w:type="dxa"/>
            <w:noWrap/>
            <w:vAlign w:val="center"/>
            <w:hideMark/>
          </w:tcPr>
          <w:p w14:paraId="4899FF55"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1,346</w:t>
            </w:r>
          </w:p>
        </w:tc>
        <w:tc>
          <w:tcPr>
            <w:tcW w:w="1103" w:type="dxa"/>
            <w:noWrap/>
            <w:vAlign w:val="center"/>
            <w:hideMark/>
          </w:tcPr>
          <w:p w14:paraId="56E5396B"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1,346</w:t>
            </w:r>
          </w:p>
        </w:tc>
        <w:tc>
          <w:tcPr>
            <w:tcW w:w="1296" w:type="dxa"/>
            <w:noWrap/>
            <w:vAlign w:val="center"/>
            <w:hideMark/>
          </w:tcPr>
          <w:p w14:paraId="32D89A09"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100</w:t>
            </w:r>
          </w:p>
        </w:tc>
        <w:tc>
          <w:tcPr>
            <w:tcW w:w="1108" w:type="dxa"/>
            <w:noWrap/>
            <w:vAlign w:val="center"/>
            <w:hideMark/>
          </w:tcPr>
          <w:p w14:paraId="3A9A0EC8"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1,377</w:t>
            </w:r>
          </w:p>
        </w:tc>
        <w:tc>
          <w:tcPr>
            <w:tcW w:w="1103" w:type="dxa"/>
            <w:noWrap/>
            <w:vAlign w:val="center"/>
            <w:hideMark/>
          </w:tcPr>
          <w:p w14:paraId="4335DB62"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1,377</w:t>
            </w:r>
          </w:p>
        </w:tc>
        <w:tc>
          <w:tcPr>
            <w:tcW w:w="1136" w:type="dxa"/>
            <w:noWrap/>
            <w:vAlign w:val="center"/>
            <w:hideMark/>
          </w:tcPr>
          <w:p w14:paraId="042E1872"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100</w:t>
            </w:r>
          </w:p>
        </w:tc>
        <w:tc>
          <w:tcPr>
            <w:tcW w:w="1108" w:type="dxa"/>
            <w:noWrap/>
            <w:vAlign w:val="center"/>
            <w:hideMark/>
          </w:tcPr>
          <w:p w14:paraId="776C78B8"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1,332</w:t>
            </w:r>
          </w:p>
        </w:tc>
        <w:tc>
          <w:tcPr>
            <w:tcW w:w="1103" w:type="dxa"/>
            <w:noWrap/>
            <w:vAlign w:val="center"/>
            <w:hideMark/>
          </w:tcPr>
          <w:p w14:paraId="17602A99"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1,332</w:t>
            </w:r>
          </w:p>
        </w:tc>
        <w:tc>
          <w:tcPr>
            <w:tcW w:w="1136" w:type="dxa"/>
            <w:noWrap/>
            <w:vAlign w:val="center"/>
            <w:hideMark/>
          </w:tcPr>
          <w:p w14:paraId="5F4EFDE1"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100</w:t>
            </w:r>
          </w:p>
        </w:tc>
      </w:tr>
      <w:tr w:rsidR="00C170C2" w:rsidRPr="00CE058E" w14:paraId="41286900" w14:textId="77777777" w:rsidTr="00A63CC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520FFB82" w14:textId="77777777" w:rsidR="00C170C2" w:rsidRPr="00CE058E" w:rsidRDefault="00C170C2" w:rsidP="00A63CCC">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ACT</w:t>
            </w:r>
          </w:p>
        </w:tc>
        <w:tc>
          <w:tcPr>
            <w:tcW w:w="1108" w:type="dxa"/>
            <w:noWrap/>
            <w:vAlign w:val="center"/>
            <w:hideMark/>
          </w:tcPr>
          <w:p w14:paraId="4A308B8F"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2,423</w:t>
            </w:r>
          </w:p>
        </w:tc>
        <w:tc>
          <w:tcPr>
            <w:tcW w:w="1103" w:type="dxa"/>
            <w:noWrap/>
            <w:vAlign w:val="center"/>
            <w:hideMark/>
          </w:tcPr>
          <w:p w14:paraId="4366C4EA"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2,430</w:t>
            </w:r>
          </w:p>
        </w:tc>
        <w:tc>
          <w:tcPr>
            <w:tcW w:w="1296" w:type="dxa"/>
            <w:noWrap/>
            <w:vAlign w:val="center"/>
            <w:hideMark/>
          </w:tcPr>
          <w:p w14:paraId="589D2849"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100</w:t>
            </w:r>
          </w:p>
        </w:tc>
        <w:tc>
          <w:tcPr>
            <w:tcW w:w="1108" w:type="dxa"/>
            <w:noWrap/>
            <w:vAlign w:val="center"/>
            <w:hideMark/>
          </w:tcPr>
          <w:p w14:paraId="201F6C36"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2,622</w:t>
            </w:r>
          </w:p>
        </w:tc>
        <w:tc>
          <w:tcPr>
            <w:tcW w:w="1103" w:type="dxa"/>
            <w:noWrap/>
            <w:vAlign w:val="center"/>
            <w:hideMark/>
          </w:tcPr>
          <w:p w14:paraId="70871879"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2,623</w:t>
            </w:r>
          </w:p>
        </w:tc>
        <w:tc>
          <w:tcPr>
            <w:tcW w:w="1136" w:type="dxa"/>
            <w:noWrap/>
            <w:vAlign w:val="center"/>
            <w:hideMark/>
          </w:tcPr>
          <w:p w14:paraId="09C2D764"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100</w:t>
            </w:r>
          </w:p>
        </w:tc>
        <w:tc>
          <w:tcPr>
            <w:tcW w:w="1108" w:type="dxa"/>
            <w:noWrap/>
            <w:vAlign w:val="center"/>
            <w:hideMark/>
          </w:tcPr>
          <w:p w14:paraId="12CDCD81"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2,457</w:t>
            </w:r>
          </w:p>
        </w:tc>
        <w:tc>
          <w:tcPr>
            <w:tcW w:w="1103" w:type="dxa"/>
            <w:noWrap/>
            <w:vAlign w:val="center"/>
            <w:hideMark/>
          </w:tcPr>
          <w:p w14:paraId="7C518DD9"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2,457</w:t>
            </w:r>
          </w:p>
        </w:tc>
        <w:tc>
          <w:tcPr>
            <w:tcW w:w="1136" w:type="dxa"/>
            <w:noWrap/>
            <w:vAlign w:val="center"/>
            <w:hideMark/>
          </w:tcPr>
          <w:p w14:paraId="5FBBC2AE" w14:textId="77777777" w:rsidR="00C170C2" w:rsidRPr="00CE058E" w:rsidRDefault="00C170C2" w:rsidP="00A63CC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cs="Arial"/>
                <w:sz w:val="18"/>
                <w:szCs w:val="18"/>
              </w:rPr>
              <w:t>100</w:t>
            </w:r>
          </w:p>
        </w:tc>
      </w:tr>
      <w:tr w:rsidR="00C170C2" w:rsidRPr="00CE058E" w14:paraId="2711A17B" w14:textId="77777777" w:rsidTr="00A63CCC">
        <w:trPr>
          <w:trHeight w:val="29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4650EC08" w14:textId="77777777" w:rsidR="00C170C2" w:rsidRPr="00CE058E" w:rsidRDefault="00C170C2" w:rsidP="00A63CCC">
            <w:pPr>
              <w:spacing w:line="240" w:lineRule="auto"/>
              <w:jc w:val="center"/>
              <w:rPr>
                <w:rFonts w:eastAsia="Times New Roman" w:cs="Arial"/>
                <w:b w:val="0"/>
                <w:bCs w:val="0"/>
                <w:color w:val="auto"/>
                <w:sz w:val="18"/>
                <w:szCs w:val="18"/>
                <w:lang w:eastAsia="en-AU"/>
              </w:rPr>
            </w:pPr>
            <w:r w:rsidRPr="00CE058E">
              <w:rPr>
                <w:rFonts w:eastAsia="Times New Roman" w:cs="Arial"/>
                <w:color w:val="auto"/>
                <w:sz w:val="18"/>
                <w:szCs w:val="18"/>
                <w:lang w:eastAsia="en-AU"/>
              </w:rPr>
              <w:t>National</w:t>
            </w:r>
          </w:p>
        </w:tc>
        <w:tc>
          <w:tcPr>
            <w:tcW w:w="1108" w:type="dxa"/>
            <w:noWrap/>
            <w:vAlign w:val="center"/>
            <w:hideMark/>
          </w:tcPr>
          <w:p w14:paraId="297BD03D"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45,401</w:t>
            </w:r>
          </w:p>
        </w:tc>
        <w:tc>
          <w:tcPr>
            <w:tcW w:w="1103" w:type="dxa"/>
            <w:noWrap/>
            <w:vAlign w:val="center"/>
            <w:hideMark/>
          </w:tcPr>
          <w:p w14:paraId="0DF08C21"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140,771</w:t>
            </w:r>
          </w:p>
        </w:tc>
        <w:tc>
          <w:tcPr>
            <w:tcW w:w="1296" w:type="dxa"/>
            <w:noWrap/>
            <w:vAlign w:val="center"/>
            <w:hideMark/>
          </w:tcPr>
          <w:p w14:paraId="603C8AE7"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32</w:t>
            </w:r>
          </w:p>
        </w:tc>
        <w:tc>
          <w:tcPr>
            <w:tcW w:w="1108" w:type="dxa"/>
            <w:noWrap/>
            <w:vAlign w:val="center"/>
            <w:hideMark/>
          </w:tcPr>
          <w:p w14:paraId="0DA9B39C"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45,096</w:t>
            </w:r>
          </w:p>
        </w:tc>
        <w:tc>
          <w:tcPr>
            <w:tcW w:w="1103" w:type="dxa"/>
            <w:noWrap/>
            <w:vAlign w:val="center"/>
            <w:hideMark/>
          </w:tcPr>
          <w:p w14:paraId="425C2C88"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141,564</w:t>
            </w:r>
          </w:p>
        </w:tc>
        <w:tc>
          <w:tcPr>
            <w:tcW w:w="1136" w:type="dxa"/>
            <w:noWrap/>
            <w:vAlign w:val="center"/>
            <w:hideMark/>
          </w:tcPr>
          <w:p w14:paraId="65253479"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32</w:t>
            </w:r>
          </w:p>
        </w:tc>
        <w:tc>
          <w:tcPr>
            <w:tcW w:w="1108" w:type="dxa"/>
            <w:noWrap/>
            <w:vAlign w:val="center"/>
            <w:hideMark/>
          </w:tcPr>
          <w:p w14:paraId="5F5AE258"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27,918</w:t>
            </w:r>
          </w:p>
        </w:tc>
        <w:tc>
          <w:tcPr>
            <w:tcW w:w="1103" w:type="dxa"/>
            <w:noWrap/>
            <w:vAlign w:val="center"/>
            <w:hideMark/>
          </w:tcPr>
          <w:p w14:paraId="3CAA2262"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133,117</w:t>
            </w:r>
          </w:p>
        </w:tc>
        <w:tc>
          <w:tcPr>
            <w:tcW w:w="1136" w:type="dxa"/>
            <w:noWrap/>
            <w:vAlign w:val="center"/>
            <w:hideMark/>
          </w:tcPr>
          <w:p w14:paraId="65F5F054" w14:textId="77777777" w:rsidR="00C170C2" w:rsidRPr="00CE058E" w:rsidRDefault="00C170C2" w:rsidP="00A63CC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21</w:t>
            </w:r>
          </w:p>
        </w:tc>
      </w:tr>
      <w:bookmarkEnd w:id="387"/>
      <w:bookmarkEnd w:id="388"/>
    </w:tbl>
    <w:p w14:paraId="16BC445E" w14:textId="77777777" w:rsidR="006F23B5" w:rsidRPr="00CE058E" w:rsidRDefault="006F23B5">
      <w:pPr>
        <w:spacing w:line="259" w:lineRule="auto"/>
        <w:rPr>
          <w:rFonts w:eastAsiaTheme="majorEastAsia" w:cs="Arial"/>
          <w:b/>
          <w:color w:val="auto"/>
          <w:sz w:val="24"/>
          <w:szCs w:val="20"/>
        </w:rPr>
      </w:pPr>
      <w:r w:rsidRPr="00CE058E">
        <w:rPr>
          <w:rFonts w:cs="Arial"/>
        </w:rPr>
        <w:br w:type="page"/>
      </w:r>
    </w:p>
    <w:p w14:paraId="02080F85" w14:textId="3E424B14" w:rsidR="00935107" w:rsidRPr="00CE058E" w:rsidRDefault="00935107" w:rsidP="007B41F8">
      <w:pPr>
        <w:pStyle w:val="Heading2"/>
      </w:pPr>
      <w:bookmarkStart w:id="391" w:name="_Toc151129724"/>
      <w:bookmarkStart w:id="392" w:name="_Toc158882575"/>
      <w:bookmarkStart w:id="393" w:name="_Toc158882636"/>
      <w:r w:rsidRPr="00CE058E">
        <w:lastRenderedPageBreak/>
        <w:t xml:space="preserve">Admitted mental health </w:t>
      </w:r>
      <w:r w:rsidR="00F80BDE" w:rsidRPr="00CE058E">
        <w:t>phases and episodes</w:t>
      </w:r>
      <w:bookmarkEnd w:id="391"/>
      <w:bookmarkEnd w:id="392"/>
      <w:bookmarkEnd w:id="393"/>
    </w:p>
    <w:p w14:paraId="182AEDD8" w14:textId="5EB9C7EA" w:rsidR="00621475" w:rsidRDefault="00621475" w:rsidP="00A47745">
      <w:pPr>
        <w:spacing w:line="276" w:lineRule="auto"/>
        <w:rPr>
          <w:rFonts w:cs="Arial"/>
          <w:color w:val="auto"/>
        </w:rPr>
      </w:pPr>
      <w:r w:rsidRPr="00CE058E">
        <w:rPr>
          <w:rFonts w:cs="Arial"/>
          <w:color w:val="auto"/>
        </w:rPr>
        <w:t xml:space="preserve">Figure </w:t>
      </w:r>
      <w:r w:rsidR="00F80BDE" w:rsidRPr="00CE058E">
        <w:rPr>
          <w:rFonts w:cs="Arial"/>
          <w:color w:val="auto"/>
        </w:rPr>
        <w:t>2</w:t>
      </w:r>
      <w:r w:rsidR="00CB65C0">
        <w:rPr>
          <w:rFonts w:cs="Arial"/>
          <w:color w:val="auto"/>
        </w:rPr>
        <w:t>2</w:t>
      </w:r>
      <w:r w:rsidR="00F80BDE" w:rsidRPr="00CE058E">
        <w:rPr>
          <w:rFonts w:cs="Arial"/>
          <w:color w:val="auto"/>
        </w:rPr>
        <w:t xml:space="preserve"> </w:t>
      </w:r>
      <w:r w:rsidRPr="00CE058E">
        <w:rPr>
          <w:rFonts w:cs="Arial"/>
          <w:color w:val="auto"/>
        </w:rPr>
        <w:t xml:space="preserve">shows the number of admitted mental health phases reported in the cost data from 2019-20 to 2021-22. </w:t>
      </w:r>
      <w:r w:rsidR="005F45F5" w:rsidRPr="00CE058E">
        <w:rPr>
          <w:rFonts w:cs="Arial"/>
          <w:color w:val="auto"/>
        </w:rPr>
        <w:t>In 2021-22, there were 79,935 admitted mental health phases reported nationally, a 15</w:t>
      </w:r>
      <w:r w:rsidR="00897090">
        <w:rPr>
          <w:rFonts w:cs="Arial"/>
          <w:color w:val="auto"/>
        </w:rPr>
        <w:t>%</w:t>
      </w:r>
      <w:r w:rsidR="005F45F5" w:rsidRPr="00CE058E">
        <w:rPr>
          <w:rFonts w:cs="Arial"/>
          <w:color w:val="auto"/>
        </w:rPr>
        <w:t xml:space="preserve"> increase to the 2020-21 figure of 69,419.</w:t>
      </w:r>
      <w:r w:rsidRPr="00CE058E">
        <w:rPr>
          <w:rFonts w:cs="Arial"/>
          <w:color w:val="auto"/>
        </w:rPr>
        <w:t xml:space="preserve"> The national </w:t>
      </w:r>
      <w:r w:rsidR="005F45F5" w:rsidRPr="00CE058E">
        <w:rPr>
          <w:rFonts w:cs="Arial"/>
          <w:color w:val="auto"/>
        </w:rPr>
        <w:t>increase</w:t>
      </w:r>
      <w:r w:rsidRPr="00CE058E">
        <w:rPr>
          <w:rFonts w:cs="Arial"/>
          <w:color w:val="auto"/>
        </w:rPr>
        <w:t xml:space="preserve"> in admitted </w:t>
      </w:r>
      <w:r w:rsidR="005F45F5" w:rsidRPr="00CE058E">
        <w:rPr>
          <w:rFonts w:cs="Arial"/>
          <w:color w:val="auto"/>
        </w:rPr>
        <w:t>mental health phases</w:t>
      </w:r>
      <w:r w:rsidRPr="00CE058E">
        <w:rPr>
          <w:rFonts w:cs="Arial"/>
          <w:color w:val="auto"/>
        </w:rPr>
        <w:t xml:space="preserve"> was driven by </w:t>
      </w:r>
      <w:r w:rsidR="005F45F5" w:rsidRPr="00CE058E">
        <w:rPr>
          <w:rFonts w:cs="Arial"/>
          <w:color w:val="auto"/>
        </w:rPr>
        <w:t>Queensland</w:t>
      </w:r>
      <w:r w:rsidRPr="00CE058E">
        <w:rPr>
          <w:rFonts w:cs="Arial"/>
          <w:color w:val="auto"/>
        </w:rPr>
        <w:t xml:space="preserve">, </w:t>
      </w:r>
      <w:r w:rsidR="005F45F5" w:rsidRPr="00CE058E">
        <w:rPr>
          <w:rFonts w:cs="Arial"/>
          <w:color w:val="auto"/>
        </w:rPr>
        <w:t>increasing</w:t>
      </w:r>
      <w:r w:rsidRPr="00CE058E">
        <w:rPr>
          <w:rFonts w:cs="Arial"/>
          <w:color w:val="auto"/>
        </w:rPr>
        <w:t xml:space="preserve"> </w:t>
      </w:r>
      <w:r w:rsidR="005F45F5" w:rsidRPr="00CE058E">
        <w:rPr>
          <w:rFonts w:cs="Arial"/>
          <w:color w:val="auto"/>
        </w:rPr>
        <w:t xml:space="preserve">9,201 </w:t>
      </w:r>
      <w:r w:rsidRPr="00CE058E">
        <w:rPr>
          <w:rFonts w:cs="Arial"/>
          <w:color w:val="auto"/>
        </w:rPr>
        <w:t xml:space="preserve">records (or </w:t>
      </w:r>
      <w:r w:rsidR="005F45F5" w:rsidRPr="00CE058E">
        <w:rPr>
          <w:rFonts w:cs="Arial"/>
          <w:color w:val="auto"/>
        </w:rPr>
        <w:t>140</w:t>
      </w:r>
      <w:r w:rsidR="00897090">
        <w:rPr>
          <w:rFonts w:cs="Arial"/>
          <w:color w:val="auto"/>
        </w:rPr>
        <w:t>%</w:t>
      </w:r>
      <w:r w:rsidRPr="00CE058E">
        <w:rPr>
          <w:rFonts w:cs="Arial"/>
          <w:color w:val="auto"/>
        </w:rPr>
        <w:t xml:space="preserve">) from 2020-21 to 2021-22. In 2021-22, </w:t>
      </w:r>
      <w:r w:rsidR="005F45F5" w:rsidRPr="00CE058E">
        <w:rPr>
          <w:rFonts w:cs="Arial"/>
          <w:color w:val="auto"/>
        </w:rPr>
        <w:t xml:space="preserve">the number of phases at the jurisdictional level ranged from 6,484 (South Australia) to 32,181 (New South Wales). Note </w:t>
      </w:r>
      <w:r w:rsidRPr="00CE058E">
        <w:rPr>
          <w:rFonts w:cs="Arial"/>
          <w:color w:val="auto"/>
        </w:rPr>
        <w:t>Western Australia, Tasmania, Northern Territory</w:t>
      </w:r>
      <w:r w:rsidR="005F45F5" w:rsidRPr="00CE058E">
        <w:rPr>
          <w:rFonts w:cs="Arial"/>
          <w:color w:val="auto"/>
        </w:rPr>
        <w:t>,</w:t>
      </w:r>
      <w:r w:rsidRPr="00CE058E">
        <w:rPr>
          <w:rFonts w:cs="Arial"/>
          <w:color w:val="auto"/>
        </w:rPr>
        <w:t xml:space="preserve"> and Australian Capital Territory did not report </w:t>
      </w:r>
      <w:r w:rsidR="005F45F5" w:rsidRPr="00CE058E">
        <w:rPr>
          <w:rFonts w:cs="Arial"/>
          <w:color w:val="auto"/>
        </w:rPr>
        <w:t xml:space="preserve">admitted mental health </w:t>
      </w:r>
      <w:r w:rsidRPr="00CE058E">
        <w:rPr>
          <w:rFonts w:cs="Arial"/>
          <w:color w:val="auto"/>
        </w:rPr>
        <w:t xml:space="preserve">phase level cost data </w:t>
      </w:r>
      <w:r w:rsidR="005F45F5" w:rsidRPr="00CE058E">
        <w:rPr>
          <w:rFonts w:cs="Arial"/>
          <w:color w:val="auto"/>
        </w:rPr>
        <w:t>from 2019-20 to 2021</w:t>
      </w:r>
      <w:r w:rsidRPr="00CE058E">
        <w:rPr>
          <w:rFonts w:cs="Arial"/>
          <w:color w:val="auto"/>
        </w:rPr>
        <w:t>-22.</w:t>
      </w:r>
    </w:p>
    <w:p w14:paraId="5EC930F9" w14:textId="57B39CB0" w:rsidR="003F7C8C" w:rsidRPr="00CE058E" w:rsidRDefault="00DD29C5" w:rsidP="00DD29C5">
      <w:pPr>
        <w:pStyle w:val="TableFigureheading"/>
      </w:pPr>
      <w:bookmarkStart w:id="394" w:name="_Toc151370071"/>
      <w:r>
        <w:t xml:space="preserve">Figure </w:t>
      </w:r>
      <w:r>
        <w:fldChar w:fldCharType="begin"/>
      </w:r>
      <w:r>
        <w:instrText xml:space="preserve"> SEQ Figure \* ARABIC </w:instrText>
      </w:r>
      <w:r>
        <w:fldChar w:fldCharType="separate"/>
      </w:r>
      <w:r>
        <w:rPr>
          <w:noProof/>
        </w:rPr>
        <w:t>22</w:t>
      </w:r>
      <w:r>
        <w:rPr>
          <w:noProof/>
        </w:rPr>
        <w:fldChar w:fldCharType="end"/>
      </w:r>
      <w:r>
        <w:t>:</w:t>
      </w:r>
      <w:bookmarkStart w:id="395" w:name="_Toc151116358"/>
      <w:r w:rsidR="003F7C8C" w:rsidRPr="00CE058E">
        <w:t xml:space="preserve"> Admitted mental health phases, 2019-20 to 2021-22</w:t>
      </w:r>
      <w:bookmarkEnd w:id="394"/>
      <w:bookmarkEnd w:id="395"/>
    </w:p>
    <w:p w14:paraId="5F44F5E5" w14:textId="19C32FE0" w:rsidR="00F80BDE" w:rsidRDefault="00D12BB8" w:rsidP="00F80BDE">
      <w:pPr>
        <w:spacing w:line="276" w:lineRule="auto"/>
        <w:rPr>
          <w:rFonts w:cs="Arial"/>
          <w:color w:val="auto"/>
        </w:rPr>
      </w:pPr>
      <w:r w:rsidRPr="00CE058E">
        <w:rPr>
          <w:rFonts w:cs="Arial"/>
          <w:noProof/>
        </w:rPr>
        <w:drawing>
          <wp:inline distT="0" distB="0" distL="0" distR="0" wp14:anchorId="514AB896" wp14:editId="7C8350D7">
            <wp:extent cx="6188710" cy="2664000"/>
            <wp:effectExtent l="0" t="0" r="0" b="0"/>
            <wp:docPr id="1987605773" name="Chart 1987605773">
              <a:extLst xmlns:a="http://schemas.openxmlformats.org/drawingml/2006/main">
                <a:ext uri="{FF2B5EF4-FFF2-40B4-BE49-F238E27FC236}">
                  <a16:creationId xmlns:a16="http://schemas.microsoft.com/office/drawing/2014/main" id="{2FD46B74-0832-E521-8F14-B0260246A9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F80BDE" w:rsidRPr="00CE058E">
        <w:rPr>
          <w:rFonts w:cs="Arial"/>
          <w:color w:val="auto"/>
        </w:rPr>
        <w:t xml:space="preserve"> Figure 2</w:t>
      </w:r>
      <w:r w:rsidR="00CB65C0">
        <w:rPr>
          <w:rFonts w:cs="Arial"/>
          <w:color w:val="auto"/>
        </w:rPr>
        <w:t>3</w:t>
      </w:r>
      <w:r w:rsidR="00F80BDE" w:rsidRPr="00CE058E">
        <w:rPr>
          <w:rFonts w:cs="Arial"/>
          <w:color w:val="auto"/>
        </w:rPr>
        <w:t xml:space="preserve"> shows the number of admitted mental health episodes reported in the cost data from 2019-20 to 2021-22. In 2021-22, there were 27,918 admitted mental health episodes nationally, a 38</w:t>
      </w:r>
      <w:r w:rsidR="00897090">
        <w:rPr>
          <w:rFonts w:cs="Arial"/>
          <w:color w:val="auto"/>
        </w:rPr>
        <w:t>%</w:t>
      </w:r>
      <w:r w:rsidR="00F80BDE" w:rsidRPr="00CE058E">
        <w:rPr>
          <w:rFonts w:cs="Arial"/>
          <w:color w:val="auto"/>
        </w:rPr>
        <w:t xml:space="preserve"> decrease to the 2020-21 figure of 45,096. The national decrease in admitted mental health episodes was driven by Queensland, decreasing 9,676 records (or 55</w:t>
      </w:r>
      <w:r w:rsidR="00897090">
        <w:rPr>
          <w:rFonts w:cs="Arial"/>
          <w:color w:val="auto"/>
        </w:rPr>
        <w:t>%</w:t>
      </w:r>
      <w:r w:rsidR="00F80BDE" w:rsidRPr="00CE058E">
        <w:rPr>
          <w:rFonts w:cs="Arial"/>
          <w:color w:val="auto"/>
        </w:rPr>
        <w:t>) from 2020-21 to 2021-22. In 2021-22, the number of episodes at the jurisdictional level ranged from 5 (South Australia) to 12,458 (Western Australia).</w:t>
      </w:r>
    </w:p>
    <w:p w14:paraId="739A4C2C" w14:textId="17571C45" w:rsidR="00F80BDE" w:rsidRPr="00CE058E" w:rsidRDefault="00DD29C5" w:rsidP="00DD29C5">
      <w:pPr>
        <w:pStyle w:val="TableFigureheading"/>
      </w:pPr>
      <w:bookmarkStart w:id="396" w:name="_Toc151370072"/>
      <w:r>
        <w:t xml:space="preserve">Figure </w:t>
      </w:r>
      <w:r>
        <w:fldChar w:fldCharType="begin"/>
      </w:r>
      <w:r>
        <w:instrText xml:space="preserve"> SEQ Figure \* ARABIC </w:instrText>
      </w:r>
      <w:r>
        <w:fldChar w:fldCharType="separate"/>
      </w:r>
      <w:r>
        <w:rPr>
          <w:noProof/>
        </w:rPr>
        <w:t>23</w:t>
      </w:r>
      <w:r>
        <w:rPr>
          <w:noProof/>
        </w:rPr>
        <w:fldChar w:fldCharType="end"/>
      </w:r>
      <w:r>
        <w:t>:</w:t>
      </w:r>
      <w:bookmarkStart w:id="397" w:name="_Toc151116359"/>
      <w:r w:rsidR="00F80BDE" w:rsidRPr="00CE058E">
        <w:t xml:space="preserve"> Admitted mental health episodes, 2019-20 to 2021-22</w:t>
      </w:r>
      <w:bookmarkEnd w:id="396"/>
      <w:bookmarkEnd w:id="397"/>
    </w:p>
    <w:p w14:paraId="0169291A" w14:textId="77777777" w:rsidR="00F80BDE" w:rsidRPr="00CE058E" w:rsidRDefault="00F80BDE" w:rsidP="00F80BDE">
      <w:pPr>
        <w:ind w:left="-1080" w:right="-1027"/>
        <w:jc w:val="center"/>
        <w:rPr>
          <w:rFonts w:cs="Arial"/>
        </w:rPr>
      </w:pPr>
      <w:r w:rsidRPr="00CE058E">
        <w:rPr>
          <w:rFonts w:cs="Arial"/>
          <w:noProof/>
        </w:rPr>
        <w:drawing>
          <wp:inline distT="0" distB="0" distL="0" distR="0" wp14:anchorId="3C139E9E" wp14:editId="1D43DC5E">
            <wp:extent cx="6188710" cy="2556000"/>
            <wp:effectExtent l="0" t="0" r="0" b="0"/>
            <wp:docPr id="29" name="Chart 29">
              <a:extLst xmlns:a="http://schemas.openxmlformats.org/drawingml/2006/main">
                <a:ext uri="{FF2B5EF4-FFF2-40B4-BE49-F238E27FC236}">
                  <a16:creationId xmlns:a16="http://schemas.microsoft.com/office/drawing/2014/main" id="{B0A21C42-CD65-7252-22D7-B860591A18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5F0354C" w14:textId="68EDB7AB" w:rsidR="00935107" w:rsidRPr="00CE058E" w:rsidRDefault="00D24ACA" w:rsidP="00935107">
      <w:pPr>
        <w:pStyle w:val="Heading3"/>
      </w:pPr>
      <w:bookmarkStart w:id="398" w:name="_Toc151129725"/>
      <w:bookmarkStart w:id="399" w:name="_Toc158882576"/>
      <w:bookmarkStart w:id="400" w:name="_Toc158882637"/>
      <w:r w:rsidRPr="00CE058E">
        <w:lastRenderedPageBreak/>
        <w:t>Admitted m</w:t>
      </w:r>
      <w:r w:rsidR="00935107" w:rsidRPr="00CE058E">
        <w:t xml:space="preserve">ental health </w:t>
      </w:r>
      <w:r w:rsidR="00F80BDE" w:rsidRPr="00CE058E">
        <w:t>phases and episodes</w:t>
      </w:r>
      <w:r w:rsidR="00247249" w:rsidRPr="00CE058E">
        <w:t xml:space="preserve"> </w:t>
      </w:r>
      <w:r w:rsidR="00935107" w:rsidRPr="00CE058E">
        <w:t>change</w:t>
      </w:r>
      <w:bookmarkEnd w:id="398"/>
      <w:bookmarkEnd w:id="399"/>
      <w:bookmarkEnd w:id="400"/>
    </w:p>
    <w:p w14:paraId="730C2E98" w14:textId="701070CD" w:rsidR="00F80BDE" w:rsidRPr="00CE058E" w:rsidRDefault="00F80BDE" w:rsidP="00F80BDE">
      <w:pPr>
        <w:spacing w:before="160"/>
        <w:rPr>
          <w:rFonts w:cs="Arial"/>
          <w:color w:val="auto"/>
        </w:rPr>
      </w:pPr>
      <w:r w:rsidRPr="00CE058E">
        <w:rPr>
          <w:rFonts w:cs="Arial"/>
          <w:color w:val="auto"/>
        </w:rPr>
        <w:t>Table 19 shows the admitted mental health end-classes that had an impact on the change in the number of phases reported nationally in 2021-22 compared to 2020-21. In 2021-22, the national number of phases was 79,935, an increase of 10,516 phases (or 15</w:t>
      </w:r>
      <w:r w:rsidR="00897090">
        <w:rPr>
          <w:rFonts w:cs="Arial"/>
          <w:color w:val="auto"/>
        </w:rPr>
        <w:t>%</w:t>
      </w:r>
      <w:r w:rsidRPr="00CE058E">
        <w:rPr>
          <w:rFonts w:cs="Arial"/>
          <w:color w:val="auto"/>
        </w:rPr>
        <w:t xml:space="preserve">) compared to 2020-21. The national admitted mental health phase change was driven by 1122B, 1121A, and 1121B (as defined in table 20). These end-classes increased nationally 6,296 in 2021-22 compared to 2020-21. The end-classes that had the highest decrease were 142Z, 111B, and 142A (as defined in table 20), </w:t>
      </w:r>
      <w:r w:rsidR="00301F51" w:rsidRPr="00CE058E">
        <w:rPr>
          <w:rFonts w:cs="Arial"/>
          <w:color w:val="auto"/>
        </w:rPr>
        <w:t>a</w:t>
      </w:r>
      <w:r w:rsidRPr="00CE058E">
        <w:rPr>
          <w:rFonts w:cs="Arial"/>
          <w:color w:val="auto"/>
        </w:rPr>
        <w:t xml:space="preserve"> decrease</w:t>
      </w:r>
      <w:r w:rsidR="00301F51" w:rsidRPr="00CE058E">
        <w:rPr>
          <w:rFonts w:cs="Arial"/>
          <w:color w:val="auto"/>
        </w:rPr>
        <w:t xml:space="preserve"> of</w:t>
      </w:r>
      <w:r w:rsidRPr="00CE058E">
        <w:rPr>
          <w:rFonts w:cs="Arial"/>
          <w:color w:val="auto"/>
        </w:rPr>
        <w:t xml:space="preserve"> 2,071 phases from 2020-21.</w:t>
      </w:r>
    </w:p>
    <w:p w14:paraId="35646AFD" w14:textId="71B17F33" w:rsidR="00F80BDE" w:rsidRPr="00B42434" w:rsidRDefault="00B42434" w:rsidP="00B42434">
      <w:pPr>
        <w:pStyle w:val="TableFigureheading"/>
        <w:rPr>
          <w:rFonts w:asciiTheme="minorHAnsi" w:hAnsiTheme="minorHAnsi" w:cstheme="minorBidi"/>
        </w:rPr>
      </w:pPr>
      <w:bookmarkStart w:id="401" w:name="_Toc151370045"/>
      <w:r>
        <w:t xml:space="preserve">Table </w:t>
      </w:r>
      <w:r>
        <w:fldChar w:fldCharType="begin"/>
      </w:r>
      <w:r>
        <w:instrText xml:space="preserve"> SEQ Table \* ARABIC </w:instrText>
      </w:r>
      <w:r>
        <w:fldChar w:fldCharType="separate"/>
      </w:r>
      <w:r>
        <w:rPr>
          <w:noProof/>
        </w:rPr>
        <w:t>19</w:t>
      </w:r>
      <w:r>
        <w:rPr>
          <w:noProof/>
        </w:rPr>
        <w:fldChar w:fldCharType="end"/>
      </w:r>
      <w:r>
        <w:t>:</w:t>
      </w:r>
      <w:r w:rsidR="00F80BDE" w:rsidRPr="00CE058E">
        <w:t xml:space="preserve"> Admitted mental health phases change, 2020-21 to 2021-22</w:t>
      </w:r>
      <w:bookmarkEnd w:id="401"/>
    </w:p>
    <w:tbl>
      <w:tblPr>
        <w:tblStyle w:val="GridTable4-Accent2"/>
        <w:tblW w:w="9495" w:type="dxa"/>
        <w:jc w:val="center"/>
        <w:tblLook w:val="04A0" w:firstRow="1" w:lastRow="0" w:firstColumn="1" w:lastColumn="0" w:noHBand="0" w:noVBand="1"/>
      </w:tblPr>
      <w:tblGrid>
        <w:gridCol w:w="886"/>
        <w:gridCol w:w="4626"/>
        <w:gridCol w:w="992"/>
        <w:gridCol w:w="1201"/>
        <w:gridCol w:w="957"/>
        <w:gridCol w:w="889"/>
      </w:tblGrid>
      <w:tr w:rsidR="00F80BDE" w:rsidRPr="00CE058E" w14:paraId="441CA4B4" w14:textId="77777777" w:rsidTr="00C768FB">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898"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686949CB" w14:textId="77777777" w:rsidR="00F80BDE" w:rsidRPr="00CE058E" w:rsidRDefault="00F80BDE" w:rsidP="00C768FB">
            <w:pPr>
              <w:spacing w:line="240" w:lineRule="auto"/>
              <w:jc w:val="center"/>
              <w:rPr>
                <w:rFonts w:cs="Arial"/>
                <w:b w:val="0"/>
                <w:bCs w:val="0"/>
                <w:color w:val="FFFFFF" w:themeColor="background2"/>
                <w:sz w:val="18"/>
                <w:szCs w:val="18"/>
              </w:rPr>
            </w:pPr>
            <w:r w:rsidRPr="00CE058E">
              <w:rPr>
                <w:rFonts w:cs="Arial"/>
                <w:color w:val="FFFFFF" w:themeColor="background2"/>
                <w:sz w:val="18"/>
                <w:szCs w:val="18"/>
              </w:rPr>
              <w:t>AMHCC</w:t>
            </w:r>
          </w:p>
        </w:tc>
        <w:tc>
          <w:tcPr>
            <w:tcW w:w="4626"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2A40E171" w14:textId="77777777" w:rsidR="00F80BDE" w:rsidRPr="00CE058E" w:rsidRDefault="00F80BDE" w:rsidP="00C768FB">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2"/>
                <w:sz w:val="18"/>
                <w:szCs w:val="18"/>
              </w:rPr>
            </w:pPr>
            <w:r w:rsidRPr="00CE058E">
              <w:rPr>
                <w:rFonts w:cs="Arial"/>
                <w:color w:val="FFFFFF" w:themeColor="background2"/>
                <w:sz w:val="18"/>
                <w:szCs w:val="18"/>
              </w:rPr>
              <w:t>Description</w:t>
            </w:r>
          </w:p>
        </w:tc>
        <w:tc>
          <w:tcPr>
            <w:tcW w:w="219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161566B9" w14:textId="77777777" w:rsidR="00F80BDE" w:rsidRPr="00CE058E" w:rsidRDefault="00F80BDE" w:rsidP="00C768FB">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2"/>
                <w:sz w:val="18"/>
                <w:szCs w:val="18"/>
              </w:rPr>
            </w:pPr>
            <w:r w:rsidRPr="00CE058E">
              <w:rPr>
                <w:rFonts w:cs="Arial"/>
                <w:color w:val="FFFFFF" w:themeColor="background2"/>
                <w:sz w:val="18"/>
                <w:szCs w:val="18"/>
              </w:rPr>
              <w:t>Phases</w:t>
            </w:r>
          </w:p>
        </w:tc>
        <w:tc>
          <w:tcPr>
            <w:tcW w:w="889"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4E12834D" w14:textId="77777777" w:rsidR="00F80BDE" w:rsidRPr="00CE058E" w:rsidRDefault="00F80BDE" w:rsidP="00C768FB">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2"/>
                <w:sz w:val="18"/>
                <w:szCs w:val="18"/>
              </w:rPr>
            </w:pPr>
            <w:r w:rsidRPr="00CE058E">
              <w:rPr>
                <w:rFonts w:cs="Arial"/>
                <w:color w:val="FFFFFF" w:themeColor="background2"/>
                <w:sz w:val="18"/>
                <w:szCs w:val="18"/>
              </w:rPr>
              <w:t>Change (phases)</w:t>
            </w:r>
          </w:p>
        </w:tc>
        <w:tc>
          <w:tcPr>
            <w:tcW w:w="889"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3743EE60" w14:textId="77777777" w:rsidR="00F80BDE" w:rsidRPr="00CE058E" w:rsidRDefault="00F80BDE" w:rsidP="00C768FB">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2"/>
                <w:sz w:val="18"/>
                <w:szCs w:val="18"/>
              </w:rPr>
            </w:pPr>
            <w:r w:rsidRPr="00CE058E">
              <w:rPr>
                <w:rFonts w:cs="Arial"/>
                <w:color w:val="FFFFFF" w:themeColor="background2"/>
                <w:sz w:val="18"/>
                <w:szCs w:val="18"/>
              </w:rPr>
              <w:t>Change (%)</w:t>
            </w:r>
          </w:p>
        </w:tc>
      </w:tr>
      <w:tr w:rsidR="00F80BDE" w:rsidRPr="00CE058E" w14:paraId="217DFECD" w14:textId="77777777" w:rsidTr="00C768F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19E76057" w14:textId="77777777" w:rsidR="00F80BDE" w:rsidRPr="00CE058E" w:rsidRDefault="00F80BDE" w:rsidP="00C768FB">
            <w:pPr>
              <w:jc w:val="center"/>
              <w:rPr>
                <w:rFonts w:cs="Arial"/>
                <w:b w:val="0"/>
                <w:bCs w:val="0"/>
                <w:color w:val="000000"/>
                <w:sz w:val="18"/>
                <w:szCs w:val="18"/>
              </w:rPr>
            </w:pPr>
          </w:p>
        </w:tc>
        <w:tc>
          <w:tcPr>
            <w:tcW w:w="4626"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5C67A001" w14:textId="77777777" w:rsidR="00F80BDE" w:rsidRPr="00CE058E" w:rsidRDefault="00F80BDE" w:rsidP="00C768FB">
            <w:pPr>
              <w:jc w:val="center"/>
              <w:cnfStyle w:val="000000100000" w:firstRow="0" w:lastRow="0" w:firstColumn="0" w:lastColumn="0" w:oddVBand="0" w:evenVBand="0" w:oddHBand="1" w:evenHBand="0" w:firstRowFirstColumn="0" w:firstRowLastColumn="0" w:lastRowFirstColumn="0" w:lastRowLastColumn="0"/>
              <w:rPr>
                <w:rFonts w:cs="Arial"/>
                <w:b/>
                <w:bCs/>
                <w:color w:val="000000"/>
                <w:sz w:val="18"/>
                <w:szCs w:val="18"/>
              </w:rPr>
            </w:pPr>
          </w:p>
        </w:tc>
        <w:tc>
          <w:tcPr>
            <w:tcW w:w="992"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0E721B43" w14:textId="77777777" w:rsidR="00F80BDE" w:rsidRPr="00CE058E" w:rsidRDefault="00F80BDE" w:rsidP="00C768FB">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2"/>
                <w:sz w:val="18"/>
                <w:szCs w:val="18"/>
              </w:rPr>
            </w:pPr>
            <w:r w:rsidRPr="00CE058E">
              <w:rPr>
                <w:rFonts w:cs="Arial"/>
                <w:b/>
                <w:bCs/>
                <w:color w:val="FFFFFF" w:themeColor="background2"/>
                <w:sz w:val="18"/>
                <w:szCs w:val="18"/>
              </w:rPr>
              <w:t>2021-22</w:t>
            </w:r>
          </w:p>
        </w:tc>
        <w:tc>
          <w:tcPr>
            <w:tcW w:w="1201"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4A8C8519" w14:textId="77777777" w:rsidR="00F80BDE" w:rsidRPr="00CE058E" w:rsidRDefault="00F80BDE" w:rsidP="00C768FB">
            <w:pPr>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2"/>
                <w:sz w:val="18"/>
                <w:szCs w:val="18"/>
              </w:rPr>
            </w:pPr>
            <w:r w:rsidRPr="00CE058E">
              <w:rPr>
                <w:rFonts w:cs="Arial"/>
                <w:b/>
                <w:bCs/>
                <w:color w:val="FFFFFF" w:themeColor="background2"/>
                <w:sz w:val="18"/>
                <w:szCs w:val="18"/>
              </w:rPr>
              <w:t>2020-21</w:t>
            </w:r>
          </w:p>
        </w:tc>
        <w:tc>
          <w:tcPr>
            <w:tcW w:w="0"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0BDAECEC" w14:textId="77777777" w:rsidR="00F80BDE" w:rsidRPr="00CE058E" w:rsidRDefault="00F80BDE" w:rsidP="00C768FB">
            <w:pPr>
              <w:jc w:val="cente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rPr>
            </w:pPr>
          </w:p>
        </w:tc>
        <w:tc>
          <w:tcPr>
            <w:tcW w:w="0"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68BFCF3B" w14:textId="77777777" w:rsidR="00F80BDE" w:rsidRPr="00CE058E" w:rsidRDefault="00F80BDE" w:rsidP="00C768FB">
            <w:pPr>
              <w:jc w:val="center"/>
              <w:cnfStyle w:val="000000100000" w:firstRow="0" w:lastRow="0" w:firstColumn="0" w:lastColumn="0" w:oddVBand="0" w:evenVBand="0" w:oddHBand="1" w:evenHBand="0" w:firstRowFirstColumn="0" w:firstRowLastColumn="0" w:lastRowFirstColumn="0" w:lastRowLastColumn="0"/>
              <w:rPr>
                <w:rFonts w:cs="Arial"/>
                <w:b/>
                <w:bCs/>
                <w:color w:val="000000"/>
                <w:sz w:val="16"/>
                <w:szCs w:val="16"/>
              </w:rPr>
            </w:pPr>
          </w:p>
        </w:tc>
      </w:tr>
      <w:tr w:rsidR="00F80BDE" w:rsidRPr="00CE058E" w14:paraId="1E03774C" w14:textId="77777777" w:rsidTr="00C768FB">
        <w:trPr>
          <w:trHeight w:val="60"/>
          <w:jc w:val="center"/>
        </w:trPr>
        <w:tc>
          <w:tcPr>
            <w:cnfStyle w:val="001000000000" w:firstRow="0" w:lastRow="0" w:firstColumn="1" w:lastColumn="0" w:oddVBand="0" w:evenVBand="0" w:oddHBand="0" w:evenHBand="0" w:firstRowFirstColumn="0" w:firstRowLastColumn="0" w:lastRowFirstColumn="0" w:lastRowLastColumn="0"/>
            <w:tcW w:w="898" w:type="dxa"/>
            <w:tcBorders>
              <w:top w:val="single" w:sz="4" w:space="0" w:color="FFFFFF" w:themeColor="background2"/>
            </w:tcBorders>
            <w:vAlign w:val="center"/>
          </w:tcPr>
          <w:p w14:paraId="79A4B551" w14:textId="77777777" w:rsidR="00F80BDE" w:rsidRPr="00CE058E" w:rsidRDefault="00F80BDE" w:rsidP="00C768FB">
            <w:pPr>
              <w:jc w:val="center"/>
              <w:rPr>
                <w:rFonts w:cs="Arial"/>
                <w:color w:val="auto"/>
                <w:sz w:val="18"/>
                <w:szCs w:val="18"/>
              </w:rPr>
            </w:pPr>
            <w:r w:rsidRPr="00CE058E">
              <w:rPr>
                <w:rFonts w:cs="Arial"/>
                <w:sz w:val="18"/>
                <w:szCs w:val="18"/>
              </w:rPr>
              <w:t>1122B</w:t>
            </w:r>
          </w:p>
        </w:tc>
        <w:tc>
          <w:tcPr>
            <w:tcW w:w="4626" w:type="dxa"/>
            <w:tcBorders>
              <w:top w:val="single" w:sz="4" w:space="0" w:color="FFFFFF" w:themeColor="background2"/>
            </w:tcBorders>
            <w:vAlign w:val="center"/>
          </w:tcPr>
          <w:p w14:paraId="3ECCE321" w14:textId="77777777" w:rsidR="00F80BDE" w:rsidRPr="00CE058E" w:rsidRDefault="00F80BDE" w:rsidP="00C768FB">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Admitted, Acute, 18-64 years, Voluntary, Moderate HoNOS Complexity</w:t>
            </w:r>
          </w:p>
        </w:tc>
        <w:tc>
          <w:tcPr>
            <w:tcW w:w="992" w:type="dxa"/>
            <w:tcBorders>
              <w:top w:val="single" w:sz="4" w:space="0" w:color="FFFFFF" w:themeColor="background2"/>
            </w:tcBorders>
            <w:noWrap/>
            <w:vAlign w:val="center"/>
          </w:tcPr>
          <w:p w14:paraId="553248D2" w14:textId="77777777" w:rsidR="00F80BDE" w:rsidRPr="00CE058E" w:rsidRDefault="00F80BDE" w:rsidP="00C768FB">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12,663</w:t>
            </w:r>
          </w:p>
        </w:tc>
        <w:tc>
          <w:tcPr>
            <w:tcW w:w="1201" w:type="dxa"/>
            <w:tcBorders>
              <w:top w:val="single" w:sz="4" w:space="0" w:color="FFFFFF" w:themeColor="background2"/>
            </w:tcBorders>
            <w:noWrap/>
            <w:vAlign w:val="center"/>
          </w:tcPr>
          <w:p w14:paraId="05208658" w14:textId="77777777" w:rsidR="00F80BDE" w:rsidRPr="00CE058E" w:rsidRDefault="00F80BDE" w:rsidP="00C768FB">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10,010</w:t>
            </w:r>
          </w:p>
        </w:tc>
        <w:tc>
          <w:tcPr>
            <w:tcW w:w="889" w:type="dxa"/>
            <w:tcBorders>
              <w:top w:val="single" w:sz="4" w:space="0" w:color="FFFFFF" w:themeColor="background2"/>
            </w:tcBorders>
            <w:noWrap/>
            <w:vAlign w:val="center"/>
          </w:tcPr>
          <w:p w14:paraId="4BCEA094" w14:textId="77777777" w:rsidR="00F80BDE" w:rsidRPr="00CE058E" w:rsidRDefault="00F80BDE" w:rsidP="00C768FB">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2,653</w:t>
            </w:r>
          </w:p>
        </w:tc>
        <w:tc>
          <w:tcPr>
            <w:tcW w:w="889" w:type="dxa"/>
            <w:tcBorders>
              <w:top w:val="single" w:sz="4" w:space="0" w:color="FFFFFF" w:themeColor="background2"/>
            </w:tcBorders>
            <w:noWrap/>
            <w:vAlign w:val="center"/>
          </w:tcPr>
          <w:p w14:paraId="50F339F6" w14:textId="77777777" w:rsidR="00F80BDE" w:rsidRPr="00CE058E" w:rsidRDefault="00F80BDE" w:rsidP="00C768FB">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27</w:t>
            </w:r>
          </w:p>
        </w:tc>
      </w:tr>
      <w:tr w:rsidR="00F80BDE" w:rsidRPr="00CE058E" w14:paraId="5B32211D" w14:textId="77777777" w:rsidTr="00C768F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98" w:type="dxa"/>
            <w:tcBorders>
              <w:top w:val="single" w:sz="4" w:space="0" w:color="FFFFFF" w:themeColor="background2"/>
            </w:tcBorders>
            <w:vAlign w:val="center"/>
          </w:tcPr>
          <w:p w14:paraId="06046BCA" w14:textId="77777777" w:rsidR="00F80BDE" w:rsidRPr="00CE058E" w:rsidRDefault="00F80BDE" w:rsidP="00C768FB">
            <w:pPr>
              <w:jc w:val="center"/>
              <w:rPr>
                <w:rFonts w:cs="Arial"/>
                <w:sz w:val="18"/>
                <w:szCs w:val="18"/>
              </w:rPr>
            </w:pPr>
            <w:r w:rsidRPr="00CE058E">
              <w:rPr>
                <w:rFonts w:cs="Arial"/>
                <w:sz w:val="18"/>
                <w:szCs w:val="18"/>
              </w:rPr>
              <w:t>1121A</w:t>
            </w:r>
          </w:p>
        </w:tc>
        <w:tc>
          <w:tcPr>
            <w:tcW w:w="4626" w:type="dxa"/>
            <w:tcBorders>
              <w:top w:val="single" w:sz="4" w:space="0" w:color="FFFFFF" w:themeColor="background2"/>
            </w:tcBorders>
            <w:vAlign w:val="center"/>
          </w:tcPr>
          <w:p w14:paraId="72A7DB4D" w14:textId="77777777" w:rsidR="00F80BDE" w:rsidRPr="00CE058E" w:rsidRDefault="00F80BDE" w:rsidP="00C768FB">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Admitted, Acute, 18-64 years, Involuntary, High HoNOS Complexity</w:t>
            </w:r>
          </w:p>
        </w:tc>
        <w:tc>
          <w:tcPr>
            <w:tcW w:w="992" w:type="dxa"/>
            <w:tcBorders>
              <w:top w:val="single" w:sz="4" w:space="0" w:color="FFFFFF" w:themeColor="background2"/>
            </w:tcBorders>
            <w:noWrap/>
            <w:vAlign w:val="center"/>
          </w:tcPr>
          <w:p w14:paraId="2C951EA5" w14:textId="77777777" w:rsidR="00F80BDE" w:rsidRPr="00CE058E" w:rsidRDefault="00F80BDE" w:rsidP="00C768FB">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13,158</w:t>
            </w:r>
          </w:p>
        </w:tc>
        <w:tc>
          <w:tcPr>
            <w:tcW w:w="1201" w:type="dxa"/>
            <w:tcBorders>
              <w:top w:val="single" w:sz="4" w:space="0" w:color="FFFFFF" w:themeColor="background2"/>
            </w:tcBorders>
            <w:noWrap/>
            <w:vAlign w:val="center"/>
          </w:tcPr>
          <w:p w14:paraId="6FC57B93" w14:textId="77777777" w:rsidR="00F80BDE" w:rsidRPr="00CE058E" w:rsidRDefault="00F80BDE" w:rsidP="00C768FB">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11,122</w:t>
            </w:r>
          </w:p>
        </w:tc>
        <w:tc>
          <w:tcPr>
            <w:tcW w:w="889" w:type="dxa"/>
            <w:tcBorders>
              <w:top w:val="single" w:sz="4" w:space="0" w:color="FFFFFF" w:themeColor="background2"/>
            </w:tcBorders>
            <w:noWrap/>
            <w:vAlign w:val="center"/>
          </w:tcPr>
          <w:p w14:paraId="0622BC3A" w14:textId="77777777" w:rsidR="00F80BDE" w:rsidRPr="00CE058E" w:rsidRDefault="00F80BDE" w:rsidP="00C768FB">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2,036</w:t>
            </w:r>
          </w:p>
        </w:tc>
        <w:tc>
          <w:tcPr>
            <w:tcW w:w="889" w:type="dxa"/>
            <w:tcBorders>
              <w:top w:val="single" w:sz="4" w:space="0" w:color="FFFFFF" w:themeColor="background2"/>
            </w:tcBorders>
            <w:noWrap/>
            <w:vAlign w:val="center"/>
          </w:tcPr>
          <w:p w14:paraId="7D9BC06D" w14:textId="77777777" w:rsidR="00F80BDE" w:rsidRPr="00CE058E" w:rsidRDefault="00F80BDE" w:rsidP="00C768FB">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18</w:t>
            </w:r>
          </w:p>
        </w:tc>
      </w:tr>
      <w:tr w:rsidR="00F80BDE" w:rsidRPr="00CE058E" w14:paraId="41AED0EC" w14:textId="77777777" w:rsidTr="00C768FB">
        <w:trPr>
          <w:trHeight w:val="60"/>
          <w:jc w:val="center"/>
        </w:trPr>
        <w:tc>
          <w:tcPr>
            <w:cnfStyle w:val="001000000000" w:firstRow="0" w:lastRow="0" w:firstColumn="1" w:lastColumn="0" w:oddVBand="0" w:evenVBand="0" w:oddHBand="0" w:evenHBand="0" w:firstRowFirstColumn="0" w:firstRowLastColumn="0" w:lastRowFirstColumn="0" w:lastRowLastColumn="0"/>
            <w:tcW w:w="898" w:type="dxa"/>
            <w:vAlign w:val="center"/>
            <w:hideMark/>
          </w:tcPr>
          <w:p w14:paraId="2D2D37C5" w14:textId="77777777" w:rsidR="00F80BDE" w:rsidRPr="00CE058E" w:rsidRDefault="00F80BDE" w:rsidP="00C768FB">
            <w:pPr>
              <w:jc w:val="center"/>
              <w:rPr>
                <w:rFonts w:cs="Arial"/>
                <w:sz w:val="18"/>
                <w:szCs w:val="18"/>
              </w:rPr>
            </w:pPr>
            <w:r w:rsidRPr="00CE058E">
              <w:rPr>
                <w:rFonts w:cs="Arial"/>
                <w:sz w:val="18"/>
                <w:szCs w:val="18"/>
              </w:rPr>
              <w:t>1121B</w:t>
            </w:r>
          </w:p>
        </w:tc>
        <w:tc>
          <w:tcPr>
            <w:tcW w:w="4626" w:type="dxa"/>
            <w:vAlign w:val="center"/>
            <w:hideMark/>
          </w:tcPr>
          <w:p w14:paraId="3AC13910" w14:textId="77777777" w:rsidR="00F80BDE" w:rsidRPr="00CE058E" w:rsidRDefault="00F80BDE" w:rsidP="00C768FB">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Admitted, Acute, 18-64 years, Involuntary, Moderate HoNOS Complexity</w:t>
            </w:r>
          </w:p>
        </w:tc>
        <w:tc>
          <w:tcPr>
            <w:tcW w:w="992" w:type="dxa"/>
            <w:noWrap/>
            <w:vAlign w:val="center"/>
            <w:hideMark/>
          </w:tcPr>
          <w:p w14:paraId="21B6F301" w14:textId="77777777" w:rsidR="00F80BDE" w:rsidRPr="00CE058E" w:rsidRDefault="00F80BDE" w:rsidP="00C768FB">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9,327</w:t>
            </w:r>
          </w:p>
        </w:tc>
        <w:tc>
          <w:tcPr>
            <w:tcW w:w="1201" w:type="dxa"/>
            <w:noWrap/>
            <w:vAlign w:val="center"/>
            <w:hideMark/>
          </w:tcPr>
          <w:p w14:paraId="02953F30" w14:textId="77777777" w:rsidR="00F80BDE" w:rsidRPr="00CE058E" w:rsidRDefault="00F80BDE" w:rsidP="00C768FB">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7,720</w:t>
            </w:r>
          </w:p>
        </w:tc>
        <w:tc>
          <w:tcPr>
            <w:tcW w:w="889" w:type="dxa"/>
            <w:noWrap/>
            <w:vAlign w:val="center"/>
            <w:hideMark/>
          </w:tcPr>
          <w:p w14:paraId="32A5D567" w14:textId="77777777" w:rsidR="00F80BDE" w:rsidRPr="00CE058E" w:rsidRDefault="00F80BDE" w:rsidP="00C768FB">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1,607</w:t>
            </w:r>
          </w:p>
        </w:tc>
        <w:tc>
          <w:tcPr>
            <w:tcW w:w="889" w:type="dxa"/>
            <w:noWrap/>
            <w:vAlign w:val="center"/>
            <w:hideMark/>
          </w:tcPr>
          <w:p w14:paraId="1EF89668" w14:textId="77777777" w:rsidR="00F80BDE" w:rsidRPr="00CE058E" w:rsidRDefault="00F80BDE" w:rsidP="00C768FB">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21</w:t>
            </w:r>
          </w:p>
        </w:tc>
      </w:tr>
      <w:tr w:rsidR="00F80BDE" w:rsidRPr="00CE058E" w14:paraId="35F6571B" w14:textId="77777777" w:rsidTr="00C768FB">
        <w:trPr>
          <w:cnfStyle w:val="000000100000" w:firstRow="0" w:lastRow="0" w:firstColumn="0" w:lastColumn="0" w:oddVBand="0" w:evenVBand="0" w:oddHBand="1" w:evenHBand="0" w:firstRowFirstColumn="0" w:firstRowLastColumn="0" w:lastRowFirstColumn="0" w:lastRowLastColumn="0"/>
          <w:trHeight w:val="173"/>
          <w:jc w:val="center"/>
        </w:trPr>
        <w:tc>
          <w:tcPr>
            <w:cnfStyle w:val="001000000000" w:firstRow="0" w:lastRow="0" w:firstColumn="1" w:lastColumn="0" w:oddVBand="0" w:evenVBand="0" w:oddHBand="0" w:evenHBand="0" w:firstRowFirstColumn="0" w:firstRowLastColumn="0" w:lastRowFirstColumn="0" w:lastRowLastColumn="0"/>
            <w:tcW w:w="898" w:type="dxa"/>
            <w:vAlign w:val="center"/>
          </w:tcPr>
          <w:p w14:paraId="6A91CFF7" w14:textId="77777777" w:rsidR="00F80BDE" w:rsidRPr="00CE058E" w:rsidRDefault="00F80BDE" w:rsidP="00C768FB">
            <w:pPr>
              <w:jc w:val="center"/>
              <w:rPr>
                <w:rFonts w:cs="Arial"/>
                <w:sz w:val="18"/>
                <w:szCs w:val="18"/>
              </w:rPr>
            </w:pPr>
            <w:r w:rsidRPr="00CE058E">
              <w:rPr>
                <w:rFonts w:cs="Arial"/>
                <w:color w:val="15272F"/>
                <w:sz w:val="18"/>
                <w:szCs w:val="18"/>
              </w:rPr>
              <w:t>142Z</w:t>
            </w:r>
          </w:p>
        </w:tc>
        <w:tc>
          <w:tcPr>
            <w:tcW w:w="4626" w:type="dxa"/>
            <w:vAlign w:val="center"/>
          </w:tcPr>
          <w:p w14:paraId="76E41596" w14:textId="77777777" w:rsidR="00F80BDE" w:rsidRPr="00CE058E" w:rsidRDefault="00F80BDE" w:rsidP="00C768FB">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color w:val="15272F"/>
                <w:sz w:val="18"/>
                <w:szCs w:val="18"/>
              </w:rPr>
              <w:t>Admitted, Consolidating Gain, 18-64 years, Unknown HoNOS</w:t>
            </w:r>
          </w:p>
        </w:tc>
        <w:tc>
          <w:tcPr>
            <w:tcW w:w="992" w:type="dxa"/>
            <w:noWrap/>
            <w:vAlign w:val="center"/>
          </w:tcPr>
          <w:p w14:paraId="271D1A0C" w14:textId="77777777" w:rsidR="00F80BDE" w:rsidRPr="00CE058E" w:rsidRDefault="00F80BDE" w:rsidP="00C768FB">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color w:val="15272F"/>
                <w:sz w:val="18"/>
                <w:szCs w:val="18"/>
              </w:rPr>
              <w:t>87</w:t>
            </w:r>
          </w:p>
        </w:tc>
        <w:tc>
          <w:tcPr>
            <w:tcW w:w="1201" w:type="dxa"/>
            <w:noWrap/>
            <w:vAlign w:val="center"/>
          </w:tcPr>
          <w:p w14:paraId="227D1042" w14:textId="77777777" w:rsidR="00F80BDE" w:rsidRPr="00CE058E" w:rsidRDefault="00F80BDE" w:rsidP="00C768FB">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color w:val="15272F"/>
                <w:sz w:val="18"/>
                <w:szCs w:val="18"/>
              </w:rPr>
              <w:t>515</w:t>
            </w:r>
          </w:p>
        </w:tc>
        <w:tc>
          <w:tcPr>
            <w:tcW w:w="889" w:type="dxa"/>
            <w:noWrap/>
            <w:vAlign w:val="center"/>
          </w:tcPr>
          <w:p w14:paraId="32E57BE9" w14:textId="77777777" w:rsidR="00F80BDE" w:rsidRPr="00CE058E" w:rsidRDefault="00F80BDE" w:rsidP="00C768FB">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color w:val="15272F"/>
                <w:sz w:val="18"/>
                <w:szCs w:val="18"/>
              </w:rPr>
              <w:t>-428</w:t>
            </w:r>
          </w:p>
        </w:tc>
        <w:tc>
          <w:tcPr>
            <w:tcW w:w="889" w:type="dxa"/>
            <w:noWrap/>
            <w:vAlign w:val="center"/>
          </w:tcPr>
          <w:p w14:paraId="28CF5B82" w14:textId="77777777" w:rsidR="00F80BDE" w:rsidRPr="00CE058E" w:rsidRDefault="00F80BDE" w:rsidP="00C768FB">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-83</w:t>
            </w:r>
          </w:p>
        </w:tc>
      </w:tr>
      <w:tr w:rsidR="00F80BDE" w:rsidRPr="00CE058E" w14:paraId="347F79C2" w14:textId="77777777" w:rsidTr="00C768FB">
        <w:trPr>
          <w:trHeight w:val="60"/>
          <w:jc w:val="center"/>
        </w:trPr>
        <w:tc>
          <w:tcPr>
            <w:cnfStyle w:val="001000000000" w:firstRow="0" w:lastRow="0" w:firstColumn="1" w:lastColumn="0" w:oddVBand="0" w:evenVBand="0" w:oddHBand="0" w:evenHBand="0" w:firstRowFirstColumn="0" w:firstRowLastColumn="0" w:lastRowFirstColumn="0" w:lastRowLastColumn="0"/>
            <w:tcW w:w="898" w:type="dxa"/>
            <w:vAlign w:val="center"/>
            <w:hideMark/>
          </w:tcPr>
          <w:p w14:paraId="46786839" w14:textId="77777777" w:rsidR="00F80BDE" w:rsidRPr="00CE058E" w:rsidRDefault="00F80BDE" w:rsidP="00C768FB">
            <w:pPr>
              <w:jc w:val="center"/>
              <w:rPr>
                <w:rFonts w:cs="Arial"/>
                <w:color w:val="15272F"/>
                <w:sz w:val="18"/>
                <w:szCs w:val="18"/>
              </w:rPr>
            </w:pPr>
            <w:r w:rsidRPr="00CE058E">
              <w:rPr>
                <w:rFonts w:cs="Arial"/>
                <w:color w:val="15272F"/>
                <w:sz w:val="18"/>
                <w:szCs w:val="18"/>
              </w:rPr>
              <w:t>111B</w:t>
            </w:r>
          </w:p>
        </w:tc>
        <w:tc>
          <w:tcPr>
            <w:tcW w:w="4626" w:type="dxa"/>
            <w:vAlign w:val="center"/>
            <w:hideMark/>
          </w:tcPr>
          <w:p w14:paraId="14431C24" w14:textId="77777777" w:rsidR="00F80BDE" w:rsidRPr="00CE058E" w:rsidRDefault="00F80BDE" w:rsidP="00C768FB">
            <w:pPr>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Admitted, Acute, 0-17 years, Moderate HoNOS Complexity</w:t>
            </w:r>
          </w:p>
        </w:tc>
        <w:tc>
          <w:tcPr>
            <w:tcW w:w="992" w:type="dxa"/>
            <w:noWrap/>
            <w:vAlign w:val="center"/>
            <w:hideMark/>
          </w:tcPr>
          <w:p w14:paraId="6D9B44DA" w14:textId="77777777" w:rsidR="00F80BDE" w:rsidRPr="00CE058E" w:rsidRDefault="00F80BDE" w:rsidP="00C768FB">
            <w:pPr>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1504</w:t>
            </w:r>
          </w:p>
        </w:tc>
        <w:tc>
          <w:tcPr>
            <w:tcW w:w="1201" w:type="dxa"/>
            <w:noWrap/>
            <w:vAlign w:val="center"/>
            <w:hideMark/>
          </w:tcPr>
          <w:p w14:paraId="78AD4CBD" w14:textId="77777777" w:rsidR="00F80BDE" w:rsidRPr="00CE058E" w:rsidRDefault="00F80BDE" w:rsidP="00C768FB">
            <w:pPr>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1933</w:t>
            </w:r>
          </w:p>
        </w:tc>
        <w:tc>
          <w:tcPr>
            <w:tcW w:w="889" w:type="dxa"/>
            <w:noWrap/>
            <w:vAlign w:val="center"/>
            <w:hideMark/>
          </w:tcPr>
          <w:p w14:paraId="2B65DE15" w14:textId="77777777" w:rsidR="00F80BDE" w:rsidRPr="00CE058E" w:rsidRDefault="00F80BDE" w:rsidP="00C768FB">
            <w:pPr>
              <w:jc w:val="right"/>
              <w:cnfStyle w:val="000000000000" w:firstRow="0" w:lastRow="0" w:firstColumn="0" w:lastColumn="0" w:oddVBand="0" w:evenVBand="0" w:oddHBand="0" w:evenHBand="0" w:firstRowFirstColumn="0" w:firstRowLastColumn="0" w:lastRowFirstColumn="0" w:lastRowLastColumn="0"/>
              <w:rPr>
                <w:rFonts w:cs="Arial"/>
                <w:color w:val="15272F"/>
                <w:sz w:val="18"/>
                <w:szCs w:val="18"/>
              </w:rPr>
            </w:pPr>
            <w:r w:rsidRPr="00CE058E">
              <w:rPr>
                <w:rFonts w:cs="Arial"/>
                <w:color w:val="15272F"/>
                <w:sz w:val="18"/>
                <w:szCs w:val="18"/>
              </w:rPr>
              <w:t>-429</w:t>
            </w:r>
          </w:p>
        </w:tc>
        <w:tc>
          <w:tcPr>
            <w:tcW w:w="889" w:type="dxa"/>
            <w:noWrap/>
            <w:vAlign w:val="center"/>
            <w:hideMark/>
          </w:tcPr>
          <w:p w14:paraId="7E0582FF" w14:textId="77777777" w:rsidR="00F80BDE" w:rsidRPr="00CE058E" w:rsidRDefault="00F80BDE" w:rsidP="00C768FB">
            <w:pPr>
              <w:jc w:val="right"/>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CE058E">
              <w:rPr>
                <w:rFonts w:cs="Arial"/>
                <w:sz w:val="18"/>
                <w:szCs w:val="18"/>
              </w:rPr>
              <w:t>-22</w:t>
            </w:r>
          </w:p>
        </w:tc>
      </w:tr>
      <w:tr w:rsidR="00F80BDE" w:rsidRPr="00CE058E" w14:paraId="3129AA34" w14:textId="77777777" w:rsidTr="00C768F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98" w:type="dxa"/>
            <w:vAlign w:val="center"/>
            <w:hideMark/>
          </w:tcPr>
          <w:p w14:paraId="196ECA8A" w14:textId="77777777" w:rsidR="00F80BDE" w:rsidRPr="00CE058E" w:rsidRDefault="00F80BDE" w:rsidP="00C768FB">
            <w:pPr>
              <w:jc w:val="center"/>
              <w:rPr>
                <w:rFonts w:cs="Arial"/>
                <w:color w:val="15272F"/>
                <w:sz w:val="18"/>
                <w:szCs w:val="18"/>
              </w:rPr>
            </w:pPr>
            <w:r w:rsidRPr="00CE058E">
              <w:rPr>
                <w:rFonts w:cs="Arial"/>
                <w:color w:val="15272F"/>
                <w:sz w:val="18"/>
                <w:szCs w:val="18"/>
              </w:rPr>
              <w:t>142A</w:t>
            </w:r>
          </w:p>
        </w:tc>
        <w:tc>
          <w:tcPr>
            <w:tcW w:w="4626" w:type="dxa"/>
            <w:vAlign w:val="center"/>
            <w:hideMark/>
          </w:tcPr>
          <w:p w14:paraId="4A5CD96A" w14:textId="77777777" w:rsidR="00F80BDE" w:rsidRPr="00CE058E" w:rsidRDefault="00F80BDE" w:rsidP="00C768FB">
            <w:pPr>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Admitted, Consolidating Gain, 18-64 years, High HoNOS Complexity</w:t>
            </w:r>
          </w:p>
        </w:tc>
        <w:tc>
          <w:tcPr>
            <w:tcW w:w="992" w:type="dxa"/>
            <w:noWrap/>
            <w:vAlign w:val="center"/>
            <w:hideMark/>
          </w:tcPr>
          <w:p w14:paraId="670D83B5" w14:textId="77777777" w:rsidR="00F80BDE" w:rsidRPr="00CE058E" w:rsidRDefault="00F80BDE" w:rsidP="00C768FB">
            <w:pPr>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96</w:t>
            </w:r>
          </w:p>
        </w:tc>
        <w:tc>
          <w:tcPr>
            <w:tcW w:w="1201" w:type="dxa"/>
            <w:noWrap/>
            <w:vAlign w:val="center"/>
            <w:hideMark/>
          </w:tcPr>
          <w:p w14:paraId="0C82AC8B" w14:textId="77777777" w:rsidR="00F80BDE" w:rsidRPr="00CE058E" w:rsidRDefault="00F80BDE" w:rsidP="00C768FB">
            <w:pPr>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1310</w:t>
            </w:r>
          </w:p>
        </w:tc>
        <w:tc>
          <w:tcPr>
            <w:tcW w:w="889" w:type="dxa"/>
            <w:noWrap/>
            <w:vAlign w:val="center"/>
            <w:hideMark/>
          </w:tcPr>
          <w:p w14:paraId="0C2218A8" w14:textId="77777777" w:rsidR="00F80BDE" w:rsidRPr="00CE058E" w:rsidRDefault="00F80BDE" w:rsidP="00C768FB">
            <w:pPr>
              <w:jc w:val="right"/>
              <w:cnfStyle w:val="000000100000" w:firstRow="0" w:lastRow="0" w:firstColumn="0" w:lastColumn="0" w:oddVBand="0" w:evenVBand="0" w:oddHBand="1" w:evenHBand="0" w:firstRowFirstColumn="0" w:firstRowLastColumn="0" w:lastRowFirstColumn="0" w:lastRowLastColumn="0"/>
              <w:rPr>
                <w:rFonts w:cs="Arial"/>
                <w:color w:val="15272F"/>
                <w:sz w:val="18"/>
                <w:szCs w:val="18"/>
              </w:rPr>
            </w:pPr>
            <w:r w:rsidRPr="00CE058E">
              <w:rPr>
                <w:rFonts w:cs="Arial"/>
                <w:color w:val="15272F"/>
                <w:sz w:val="18"/>
                <w:szCs w:val="18"/>
              </w:rPr>
              <w:t>-1214</w:t>
            </w:r>
          </w:p>
        </w:tc>
        <w:tc>
          <w:tcPr>
            <w:tcW w:w="889" w:type="dxa"/>
            <w:noWrap/>
            <w:vAlign w:val="center"/>
            <w:hideMark/>
          </w:tcPr>
          <w:p w14:paraId="13189570" w14:textId="77777777" w:rsidR="00F80BDE" w:rsidRPr="00CE058E" w:rsidRDefault="00F80BDE" w:rsidP="00C768FB">
            <w:pPr>
              <w:jc w:val="right"/>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CE058E">
              <w:rPr>
                <w:rFonts w:cs="Arial"/>
                <w:sz w:val="18"/>
                <w:szCs w:val="18"/>
              </w:rPr>
              <w:t>-93</w:t>
            </w:r>
          </w:p>
        </w:tc>
      </w:tr>
    </w:tbl>
    <w:p w14:paraId="61A615F4" w14:textId="41C44CCD" w:rsidR="00430263" w:rsidRPr="00CE058E" w:rsidRDefault="00430263" w:rsidP="005F5A2E">
      <w:pPr>
        <w:spacing w:before="160"/>
        <w:rPr>
          <w:rFonts w:cs="Arial"/>
          <w:color w:val="auto"/>
        </w:rPr>
      </w:pPr>
      <w:r w:rsidRPr="00CE058E">
        <w:rPr>
          <w:rFonts w:cs="Arial"/>
          <w:color w:val="auto"/>
        </w:rPr>
        <w:t xml:space="preserve">Table </w:t>
      </w:r>
      <w:r w:rsidR="00F80BDE" w:rsidRPr="00CE058E">
        <w:rPr>
          <w:rFonts w:cs="Arial"/>
          <w:color w:val="auto"/>
        </w:rPr>
        <w:t xml:space="preserve">20 </w:t>
      </w:r>
      <w:r w:rsidRPr="00CE058E">
        <w:rPr>
          <w:rFonts w:cs="Arial"/>
          <w:color w:val="auto"/>
        </w:rPr>
        <w:t xml:space="preserve">shows the admitted mental health </w:t>
      </w:r>
      <w:r w:rsidR="00116CD2" w:rsidRPr="00CE058E">
        <w:rPr>
          <w:rFonts w:cs="Arial"/>
          <w:color w:val="auto"/>
        </w:rPr>
        <w:t>end-classes</w:t>
      </w:r>
      <w:r w:rsidRPr="00CE058E">
        <w:rPr>
          <w:rFonts w:cs="Arial"/>
          <w:color w:val="auto"/>
        </w:rPr>
        <w:t xml:space="preserve"> that had an impact on the change in the</w:t>
      </w:r>
      <w:r w:rsidR="00116CD2" w:rsidRPr="00CE058E">
        <w:rPr>
          <w:rFonts w:cs="Arial"/>
          <w:color w:val="auto"/>
        </w:rPr>
        <w:t xml:space="preserve"> number of episodes reported </w:t>
      </w:r>
      <w:r w:rsidRPr="00CE058E">
        <w:rPr>
          <w:rFonts w:cs="Arial"/>
          <w:color w:val="auto"/>
        </w:rPr>
        <w:t>nationally in 2021-22 compared to 2020-21. In 2021-22, the national number of episodes was 27,918, a decrease of 17,178 episodes (or 38</w:t>
      </w:r>
      <w:r w:rsidR="00897090">
        <w:rPr>
          <w:rFonts w:cs="Arial"/>
          <w:color w:val="auto"/>
        </w:rPr>
        <w:t>%</w:t>
      </w:r>
      <w:r w:rsidRPr="00CE058E">
        <w:rPr>
          <w:rFonts w:cs="Arial"/>
          <w:color w:val="auto"/>
        </w:rPr>
        <w:t xml:space="preserve">) compared to 2020-21. The national admitted mental health episodes change was driven by U61B, U63B, </w:t>
      </w:r>
      <w:r w:rsidR="00214107" w:rsidRPr="00CE058E">
        <w:rPr>
          <w:rFonts w:cs="Arial"/>
          <w:color w:val="auto"/>
        </w:rPr>
        <w:t xml:space="preserve">and </w:t>
      </w:r>
      <w:r w:rsidRPr="00CE058E">
        <w:rPr>
          <w:rFonts w:cs="Arial"/>
          <w:color w:val="auto"/>
        </w:rPr>
        <w:t xml:space="preserve">U67B (as defined in table 19). These </w:t>
      </w:r>
      <w:r w:rsidR="00214107" w:rsidRPr="00CE058E">
        <w:rPr>
          <w:rFonts w:cs="Arial"/>
          <w:color w:val="auto"/>
        </w:rPr>
        <w:t>end-classes</w:t>
      </w:r>
      <w:r w:rsidRPr="00CE058E">
        <w:rPr>
          <w:rFonts w:cs="Arial"/>
          <w:color w:val="auto"/>
        </w:rPr>
        <w:t xml:space="preserve"> decreased nationally 6,049 in 2021-22 compared to 2020-21. The admitted mental health </w:t>
      </w:r>
      <w:r w:rsidR="00214107" w:rsidRPr="00CE058E">
        <w:rPr>
          <w:rFonts w:cs="Arial"/>
          <w:color w:val="auto"/>
        </w:rPr>
        <w:t>end-classes</w:t>
      </w:r>
      <w:r w:rsidRPr="00CE058E">
        <w:rPr>
          <w:rFonts w:cs="Arial"/>
          <w:color w:val="auto"/>
        </w:rPr>
        <w:t xml:space="preserve"> that increased from 2020-21 to 2021-22 did not have an impact on the stream and were not included in table 19 as a result.</w:t>
      </w:r>
    </w:p>
    <w:p w14:paraId="7C102144" w14:textId="7B2008C1" w:rsidR="00935107" w:rsidRPr="00CE058E" w:rsidRDefault="00B42434" w:rsidP="00B42434">
      <w:pPr>
        <w:pStyle w:val="TableFigureheading"/>
      </w:pPr>
      <w:bookmarkStart w:id="402" w:name="_Toc149650920"/>
      <w:bookmarkStart w:id="403" w:name="_Toc151370046"/>
      <w:r>
        <w:t xml:space="preserve">Table </w:t>
      </w:r>
      <w:r>
        <w:fldChar w:fldCharType="begin"/>
      </w:r>
      <w:r>
        <w:instrText xml:space="preserve"> SEQ Table \* ARABIC </w:instrText>
      </w:r>
      <w:r>
        <w:fldChar w:fldCharType="separate"/>
      </w:r>
      <w:r>
        <w:rPr>
          <w:noProof/>
        </w:rPr>
        <w:t>20</w:t>
      </w:r>
      <w:r>
        <w:rPr>
          <w:noProof/>
        </w:rPr>
        <w:fldChar w:fldCharType="end"/>
      </w:r>
      <w:r>
        <w:t>:</w:t>
      </w:r>
      <w:r w:rsidR="00BB2DE2" w:rsidRPr="00CE058E">
        <w:t xml:space="preserve"> Admitted mental health episodes change, 2020-21 to 2021-22</w:t>
      </w:r>
      <w:bookmarkStart w:id="404" w:name="_Hlk148603224"/>
      <w:bookmarkEnd w:id="402"/>
      <w:bookmarkEnd w:id="403"/>
    </w:p>
    <w:tbl>
      <w:tblPr>
        <w:tblStyle w:val="GridTable4-Accent2"/>
        <w:tblW w:w="9634" w:type="dxa"/>
        <w:jc w:val="center"/>
        <w:tblLook w:val="04A0" w:firstRow="1" w:lastRow="0" w:firstColumn="1" w:lastColumn="0" w:noHBand="0" w:noVBand="1"/>
      </w:tblPr>
      <w:tblGrid>
        <w:gridCol w:w="1152"/>
        <w:gridCol w:w="4579"/>
        <w:gridCol w:w="789"/>
        <w:gridCol w:w="789"/>
        <w:gridCol w:w="1302"/>
        <w:gridCol w:w="1023"/>
      </w:tblGrid>
      <w:tr w:rsidR="00070481" w:rsidRPr="00CE058E" w14:paraId="328FF760" w14:textId="77777777" w:rsidTr="00A47745">
        <w:trPr>
          <w:cnfStyle w:val="100000000000" w:firstRow="1" w:lastRow="0" w:firstColumn="0" w:lastColumn="0" w:oddVBand="0" w:evenVBand="0" w:oddHBand="0"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11D939BF" w14:textId="77777777" w:rsidR="00935107" w:rsidRPr="00CE058E" w:rsidRDefault="00935107" w:rsidP="00E52B92">
            <w:pPr>
              <w:spacing w:line="240" w:lineRule="auto"/>
              <w:jc w:val="center"/>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AR-DRG</w:t>
            </w:r>
          </w:p>
        </w:tc>
        <w:tc>
          <w:tcPr>
            <w:tcW w:w="3927"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55891A98" w14:textId="77777777" w:rsidR="00935107" w:rsidRPr="00CE058E" w:rsidRDefault="00935107" w:rsidP="00E52B9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Description</w:t>
            </w:r>
          </w:p>
        </w:tc>
        <w:tc>
          <w:tcPr>
            <w:tcW w:w="0"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07CE1AA1" w14:textId="1C384E41" w:rsidR="00935107" w:rsidRPr="00CE058E" w:rsidRDefault="00935107" w:rsidP="00E52B9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Episode</w:t>
            </w:r>
            <w:r w:rsidR="00280469" w:rsidRPr="00CE058E">
              <w:rPr>
                <w:rFonts w:eastAsia="Times New Roman" w:cs="Arial"/>
                <w:color w:val="FFFFFF" w:themeColor="background2"/>
                <w:sz w:val="18"/>
                <w:szCs w:val="18"/>
                <w:lang w:eastAsia="en-AU"/>
              </w:rPr>
              <w:t>s</w:t>
            </w:r>
          </w:p>
        </w:tc>
        <w:tc>
          <w:tcPr>
            <w:tcW w:w="0"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08E04B10" w14:textId="5FC13E21" w:rsidR="00935107" w:rsidRPr="00CE058E" w:rsidRDefault="00935107" w:rsidP="00E52B9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r w:rsidR="00430263" w:rsidRPr="00CE058E">
              <w:rPr>
                <w:rFonts w:eastAsia="Times New Roman" w:cs="Arial"/>
                <w:color w:val="FFFFFF" w:themeColor="background2"/>
                <w:sz w:val="18"/>
                <w:szCs w:val="18"/>
                <w:lang w:eastAsia="en-AU"/>
              </w:rPr>
              <w:t>episodes</w:t>
            </w:r>
            <w:r w:rsidRPr="00CE058E">
              <w:rPr>
                <w:rFonts w:eastAsia="Times New Roman" w:cs="Arial"/>
                <w:color w:val="FFFFFF" w:themeColor="background2"/>
                <w:sz w:val="18"/>
                <w:szCs w:val="18"/>
                <w:lang w:eastAsia="en-AU"/>
              </w:rPr>
              <w:t>)</w:t>
            </w:r>
          </w:p>
        </w:tc>
        <w:tc>
          <w:tcPr>
            <w:tcW w:w="0"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1FAC5D9C" w14:textId="77777777" w:rsidR="00935107" w:rsidRPr="00CE058E" w:rsidRDefault="00935107" w:rsidP="00E52B9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p>
        </w:tc>
      </w:tr>
      <w:tr w:rsidR="00070481" w:rsidRPr="00CE058E" w14:paraId="2D6A769C" w14:textId="77777777" w:rsidTr="00A47745">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988"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5811DF36" w14:textId="77777777" w:rsidR="00935107" w:rsidRPr="00CE058E" w:rsidRDefault="00935107" w:rsidP="00E52B92">
            <w:pPr>
              <w:spacing w:line="240" w:lineRule="auto"/>
              <w:jc w:val="center"/>
              <w:rPr>
                <w:rFonts w:eastAsia="Times New Roman" w:cs="Arial"/>
                <w:b w:val="0"/>
                <w:bCs w:val="0"/>
                <w:color w:val="000000"/>
                <w:sz w:val="18"/>
                <w:szCs w:val="18"/>
                <w:lang w:eastAsia="en-AU"/>
              </w:rPr>
            </w:pPr>
          </w:p>
        </w:tc>
        <w:tc>
          <w:tcPr>
            <w:tcW w:w="3927"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40AD0371" w14:textId="77777777" w:rsidR="00935107" w:rsidRPr="00CE058E" w:rsidRDefault="00935107"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c>
          <w:tcPr>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4869E44F" w14:textId="77777777" w:rsidR="00935107" w:rsidRPr="00CE058E" w:rsidRDefault="00935107"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2021-22</w:t>
            </w:r>
          </w:p>
        </w:tc>
        <w:tc>
          <w:tcPr>
            <w:tcW w:w="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216897DF" w14:textId="77777777" w:rsidR="00935107" w:rsidRPr="00CE058E" w:rsidRDefault="00935107"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2020-21</w:t>
            </w:r>
          </w:p>
        </w:tc>
        <w:tc>
          <w:tcPr>
            <w:tcW w:w="0"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44971270" w14:textId="77777777" w:rsidR="00935107" w:rsidRPr="00CE058E" w:rsidRDefault="00935107"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c>
          <w:tcPr>
            <w:tcW w:w="0"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72AB3704" w14:textId="77777777" w:rsidR="00935107" w:rsidRPr="00CE058E" w:rsidRDefault="00935107"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en-AU"/>
              </w:rPr>
            </w:pPr>
          </w:p>
        </w:tc>
      </w:tr>
      <w:tr w:rsidR="00070481" w:rsidRPr="00CE058E" w14:paraId="72132BA9" w14:textId="77777777" w:rsidTr="00A47745">
        <w:trPr>
          <w:trHeight w:val="6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FFFFFF" w:themeColor="background2"/>
            </w:tcBorders>
            <w:vAlign w:val="center"/>
            <w:hideMark/>
          </w:tcPr>
          <w:p w14:paraId="15E0955B" w14:textId="77777777" w:rsidR="00935107" w:rsidRPr="00CE058E" w:rsidRDefault="00935107" w:rsidP="00E52B92">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U61B</w:t>
            </w:r>
          </w:p>
        </w:tc>
        <w:tc>
          <w:tcPr>
            <w:tcW w:w="3927" w:type="dxa"/>
            <w:tcBorders>
              <w:top w:val="single" w:sz="4" w:space="0" w:color="FFFFFF" w:themeColor="background2"/>
            </w:tcBorders>
            <w:vAlign w:val="center"/>
            <w:hideMark/>
          </w:tcPr>
          <w:p w14:paraId="63CE894A" w14:textId="77777777" w:rsidR="00935107" w:rsidRPr="00CE058E" w:rsidRDefault="00935107" w:rsidP="00E52B9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Schizophrenia Disorders, Minor Complexity</w:t>
            </w:r>
          </w:p>
        </w:tc>
        <w:tc>
          <w:tcPr>
            <w:tcW w:w="0" w:type="dxa"/>
            <w:tcBorders>
              <w:top w:val="single" w:sz="4" w:space="0" w:color="FFFFFF" w:themeColor="background2"/>
            </w:tcBorders>
            <w:noWrap/>
            <w:vAlign w:val="center"/>
            <w:hideMark/>
          </w:tcPr>
          <w:p w14:paraId="0575D5CC" w14:textId="371ECFA2" w:rsidR="00935107" w:rsidRPr="00CE058E" w:rsidRDefault="00935107"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w:t>
            </w:r>
            <w:r w:rsidR="00280469" w:rsidRPr="00CE058E">
              <w:rPr>
                <w:rFonts w:eastAsia="Times New Roman" w:cs="Arial"/>
                <w:color w:val="15272F"/>
                <w:sz w:val="18"/>
                <w:szCs w:val="18"/>
                <w:lang w:eastAsia="en-AU"/>
              </w:rPr>
              <w:t>,</w:t>
            </w:r>
            <w:r w:rsidRPr="00CE058E">
              <w:rPr>
                <w:rFonts w:eastAsia="Times New Roman" w:cs="Arial"/>
                <w:color w:val="15272F"/>
                <w:sz w:val="18"/>
                <w:szCs w:val="18"/>
                <w:lang w:eastAsia="en-AU"/>
              </w:rPr>
              <w:t>292</w:t>
            </w:r>
          </w:p>
        </w:tc>
        <w:tc>
          <w:tcPr>
            <w:tcW w:w="0" w:type="dxa"/>
            <w:tcBorders>
              <w:top w:val="single" w:sz="4" w:space="0" w:color="FFFFFF" w:themeColor="background2"/>
            </w:tcBorders>
            <w:noWrap/>
            <w:vAlign w:val="center"/>
            <w:hideMark/>
          </w:tcPr>
          <w:p w14:paraId="14979488" w14:textId="1941CE2B" w:rsidR="00935107" w:rsidRPr="00CE058E" w:rsidRDefault="00935107"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5</w:t>
            </w:r>
            <w:r w:rsidR="00280469" w:rsidRPr="00CE058E">
              <w:rPr>
                <w:rFonts w:eastAsia="Times New Roman" w:cs="Arial"/>
                <w:color w:val="15272F"/>
                <w:sz w:val="18"/>
                <w:szCs w:val="18"/>
                <w:lang w:eastAsia="en-AU"/>
              </w:rPr>
              <w:t>,</w:t>
            </w:r>
            <w:r w:rsidRPr="00CE058E">
              <w:rPr>
                <w:rFonts w:eastAsia="Times New Roman" w:cs="Arial"/>
                <w:color w:val="15272F"/>
                <w:sz w:val="18"/>
                <w:szCs w:val="18"/>
                <w:lang w:eastAsia="en-AU"/>
              </w:rPr>
              <w:t>300</w:t>
            </w:r>
          </w:p>
        </w:tc>
        <w:tc>
          <w:tcPr>
            <w:tcW w:w="0" w:type="dxa"/>
            <w:tcBorders>
              <w:top w:val="single" w:sz="4" w:space="0" w:color="FFFFFF" w:themeColor="background2"/>
            </w:tcBorders>
            <w:noWrap/>
            <w:vAlign w:val="center"/>
            <w:hideMark/>
          </w:tcPr>
          <w:p w14:paraId="1629D956" w14:textId="118A2B32" w:rsidR="00935107" w:rsidRPr="00CE058E" w:rsidRDefault="00935107"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w:t>
            </w:r>
            <w:r w:rsidR="00280469" w:rsidRPr="00CE058E">
              <w:rPr>
                <w:rFonts w:eastAsia="Times New Roman" w:cs="Arial"/>
                <w:color w:val="15272F"/>
                <w:sz w:val="18"/>
                <w:szCs w:val="18"/>
                <w:lang w:eastAsia="en-AU"/>
              </w:rPr>
              <w:t>,</w:t>
            </w:r>
            <w:r w:rsidRPr="00CE058E">
              <w:rPr>
                <w:rFonts w:eastAsia="Times New Roman" w:cs="Arial"/>
                <w:color w:val="15272F"/>
                <w:sz w:val="18"/>
                <w:szCs w:val="18"/>
                <w:lang w:eastAsia="en-AU"/>
              </w:rPr>
              <w:t>008</w:t>
            </w:r>
          </w:p>
        </w:tc>
        <w:tc>
          <w:tcPr>
            <w:tcW w:w="0" w:type="dxa"/>
            <w:tcBorders>
              <w:top w:val="single" w:sz="4" w:space="0" w:color="FFFFFF" w:themeColor="background2"/>
            </w:tcBorders>
            <w:noWrap/>
            <w:vAlign w:val="center"/>
            <w:hideMark/>
          </w:tcPr>
          <w:p w14:paraId="5E8366FF" w14:textId="0BD6CCC2" w:rsidR="00935107" w:rsidRPr="00CE058E" w:rsidRDefault="00935107"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-38</w:t>
            </w:r>
          </w:p>
        </w:tc>
      </w:tr>
      <w:tr w:rsidR="00070481" w:rsidRPr="00CE058E" w14:paraId="15155C1A" w14:textId="77777777" w:rsidTr="00A47745">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988" w:type="dxa"/>
            <w:vAlign w:val="center"/>
            <w:hideMark/>
          </w:tcPr>
          <w:p w14:paraId="647EE93B" w14:textId="77777777" w:rsidR="00935107" w:rsidRPr="00CE058E" w:rsidRDefault="00935107" w:rsidP="00E52B92">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U63B</w:t>
            </w:r>
          </w:p>
        </w:tc>
        <w:tc>
          <w:tcPr>
            <w:tcW w:w="3927" w:type="dxa"/>
            <w:vAlign w:val="center"/>
            <w:hideMark/>
          </w:tcPr>
          <w:p w14:paraId="73C65991" w14:textId="77777777" w:rsidR="00935107" w:rsidRPr="00CE058E" w:rsidRDefault="00935107" w:rsidP="00E52B9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Major Affective Disorders, Minor Complexity</w:t>
            </w:r>
          </w:p>
        </w:tc>
        <w:tc>
          <w:tcPr>
            <w:tcW w:w="0" w:type="dxa"/>
            <w:noWrap/>
            <w:vAlign w:val="center"/>
            <w:hideMark/>
          </w:tcPr>
          <w:p w14:paraId="1B67076A" w14:textId="34104049" w:rsidR="00935107" w:rsidRPr="00CE058E" w:rsidRDefault="00935107"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w:t>
            </w:r>
            <w:r w:rsidR="00280469" w:rsidRPr="00CE058E">
              <w:rPr>
                <w:rFonts w:eastAsia="Times New Roman" w:cs="Arial"/>
                <w:color w:val="15272F"/>
                <w:sz w:val="18"/>
                <w:szCs w:val="18"/>
                <w:lang w:eastAsia="en-AU"/>
              </w:rPr>
              <w:t>,</w:t>
            </w:r>
            <w:r w:rsidRPr="00CE058E">
              <w:rPr>
                <w:rFonts w:eastAsia="Times New Roman" w:cs="Arial"/>
                <w:color w:val="15272F"/>
                <w:sz w:val="18"/>
                <w:szCs w:val="18"/>
                <w:lang w:eastAsia="en-AU"/>
              </w:rPr>
              <w:t>913</w:t>
            </w:r>
          </w:p>
        </w:tc>
        <w:tc>
          <w:tcPr>
            <w:tcW w:w="0" w:type="dxa"/>
            <w:noWrap/>
            <w:vAlign w:val="center"/>
            <w:hideMark/>
          </w:tcPr>
          <w:p w14:paraId="5A942B2C" w14:textId="0C8F01B2" w:rsidR="00935107" w:rsidRPr="00CE058E" w:rsidRDefault="00935107"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4</w:t>
            </w:r>
            <w:r w:rsidR="00280469" w:rsidRPr="00CE058E">
              <w:rPr>
                <w:rFonts w:eastAsia="Times New Roman" w:cs="Arial"/>
                <w:color w:val="15272F"/>
                <w:sz w:val="18"/>
                <w:szCs w:val="18"/>
                <w:lang w:eastAsia="en-AU"/>
              </w:rPr>
              <w:t>,</w:t>
            </w:r>
            <w:r w:rsidRPr="00CE058E">
              <w:rPr>
                <w:rFonts w:eastAsia="Times New Roman" w:cs="Arial"/>
                <w:color w:val="15272F"/>
                <w:sz w:val="18"/>
                <w:szCs w:val="18"/>
                <w:lang w:eastAsia="en-AU"/>
              </w:rPr>
              <w:t>928</w:t>
            </w:r>
          </w:p>
        </w:tc>
        <w:tc>
          <w:tcPr>
            <w:tcW w:w="0" w:type="dxa"/>
            <w:noWrap/>
            <w:vAlign w:val="center"/>
            <w:hideMark/>
          </w:tcPr>
          <w:p w14:paraId="014923A2" w14:textId="7CA7D98E" w:rsidR="00935107" w:rsidRPr="00CE058E" w:rsidRDefault="00935107"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w:t>
            </w:r>
            <w:r w:rsidR="00280469" w:rsidRPr="00CE058E">
              <w:rPr>
                <w:rFonts w:eastAsia="Times New Roman" w:cs="Arial"/>
                <w:color w:val="15272F"/>
                <w:sz w:val="18"/>
                <w:szCs w:val="18"/>
                <w:lang w:eastAsia="en-AU"/>
              </w:rPr>
              <w:t>,</w:t>
            </w:r>
            <w:r w:rsidRPr="00CE058E">
              <w:rPr>
                <w:rFonts w:eastAsia="Times New Roman" w:cs="Arial"/>
                <w:color w:val="15272F"/>
                <w:sz w:val="18"/>
                <w:szCs w:val="18"/>
                <w:lang w:eastAsia="en-AU"/>
              </w:rPr>
              <w:t>015</w:t>
            </w:r>
          </w:p>
        </w:tc>
        <w:tc>
          <w:tcPr>
            <w:tcW w:w="0" w:type="dxa"/>
            <w:noWrap/>
            <w:vAlign w:val="center"/>
            <w:hideMark/>
          </w:tcPr>
          <w:p w14:paraId="6DE8BFDC" w14:textId="0EDB3D99" w:rsidR="00935107" w:rsidRPr="00CE058E" w:rsidRDefault="00935107"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-41</w:t>
            </w:r>
          </w:p>
        </w:tc>
      </w:tr>
      <w:tr w:rsidR="00070481" w:rsidRPr="00CE058E" w14:paraId="3616E6D2" w14:textId="77777777" w:rsidTr="00A47745">
        <w:trPr>
          <w:trHeight w:val="60"/>
          <w:jc w:val="center"/>
        </w:trPr>
        <w:tc>
          <w:tcPr>
            <w:cnfStyle w:val="001000000000" w:firstRow="0" w:lastRow="0" w:firstColumn="1" w:lastColumn="0" w:oddVBand="0" w:evenVBand="0" w:oddHBand="0" w:evenHBand="0" w:firstRowFirstColumn="0" w:firstRowLastColumn="0" w:lastRowFirstColumn="0" w:lastRowLastColumn="0"/>
            <w:tcW w:w="988" w:type="dxa"/>
            <w:vAlign w:val="center"/>
            <w:hideMark/>
          </w:tcPr>
          <w:p w14:paraId="6F7B1627" w14:textId="77777777" w:rsidR="00935107" w:rsidRPr="00CE058E" w:rsidRDefault="00935107" w:rsidP="00E52B92">
            <w:pPr>
              <w:spacing w:line="240" w:lineRule="auto"/>
              <w:jc w:val="center"/>
              <w:rPr>
                <w:rFonts w:eastAsia="Times New Roman" w:cs="Arial"/>
                <w:color w:val="15272F"/>
                <w:sz w:val="18"/>
                <w:szCs w:val="18"/>
                <w:lang w:eastAsia="en-AU"/>
              </w:rPr>
            </w:pPr>
            <w:r w:rsidRPr="00CE058E">
              <w:rPr>
                <w:rFonts w:eastAsia="Times New Roman" w:cs="Arial"/>
                <w:color w:val="15272F"/>
                <w:sz w:val="18"/>
                <w:szCs w:val="18"/>
                <w:lang w:eastAsia="en-AU"/>
              </w:rPr>
              <w:t>U67B</w:t>
            </w:r>
          </w:p>
        </w:tc>
        <w:tc>
          <w:tcPr>
            <w:tcW w:w="3927" w:type="dxa"/>
            <w:vAlign w:val="center"/>
            <w:hideMark/>
          </w:tcPr>
          <w:p w14:paraId="600DC5A9" w14:textId="77777777" w:rsidR="00935107" w:rsidRPr="00CE058E" w:rsidRDefault="00935107" w:rsidP="00E52B9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Personality Disorders and Acute Reactions, Minor Complexity</w:t>
            </w:r>
          </w:p>
        </w:tc>
        <w:tc>
          <w:tcPr>
            <w:tcW w:w="0" w:type="dxa"/>
            <w:noWrap/>
            <w:vAlign w:val="center"/>
            <w:hideMark/>
          </w:tcPr>
          <w:p w14:paraId="0B64C907" w14:textId="6E7F0077" w:rsidR="00935107" w:rsidRPr="00CE058E" w:rsidRDefault="00935107"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w:t>
            </w:r>
            <w:r w:rsidR="00280469" w:rsidRPr="00CE058E">
              <w:rPr>
                <w:rFonts w:eastAsia="Times New Roman" w:cs="Arial"/>
                <w:color w:val="15272F"/>
                <w:sz w:val="18"/>
                <w:szCs w:val="18"/>
                <w:lang w:eastAsia="en-AU"/>
              </w:rPr>
              <w:t>,</w:t>
            </w:r>
            <w:r w:rsidRPr="00CE058E">
              <w:rPr>
                <w:rFonts w:eastAsia="Times New Roman" w:cs="Arial"/>
                <w:color w:val="15272F"/>
                <w:sz w:val="18"/>
                <w:szCs w:val="18"/>
                <w:lang w:eastAsia="en-AU"/>
              </w:rPr>
              <w:t>649</w:t>
            </w:r>
          </w:p>
        </w:tc>
        <w:tc>
          <w:tcPr>
            <w:tcW w:w="0" w:type="dxa"/>
            <w:noWrap/>
            <w:vAlign w:val="center"/>
            <w:hideMark/>
          </w:tcPr>
          <w:p w14:paraId="3480C2D9" w14:textId="6540B45F" w:rsidR="00935107" w:rsidRPr="00CE058E" w:rsidRDefault="00935107"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5</w:t>
            </w:r>
            <w:r w:rsidR="00280469" w:rsidRPr="00CE058E">
              <w:rPr>
                <w:rFonts w:eastAsia="Times New Roman" w:cs="Arial"/>
                <w:color w:val="15272F"/>
                <w:sz w:val="18"/>
                <w:szCs w:val="18"/>
                <w:lang w:eastAsia="en-AU"/>
              </w:rPr>
              <w:t>,</w:t>
            </w:r>
            <w:r w:rsidRPr="00CE058E">
              <w:rPr>
                <w:rFonts w:eastAsia="Times New Roman" w:cs="Arial"/>
                <w:color w:val="15272F"/>
                <w:sz w:val="18"/>
                <w:szCs w:val="18"/>
                <w:lang w:eastAsia="en-AU"/>
              </w:rPr>
              <w:t>675</w:t>
            </w:r>
          </w:p>
        </w:tc>
        <w:tc>
          <w:tcPr>
            <w:tcW w:w="0" w:type="dxa"/>
            <w:noWrap/>
            <w:vAlign w:val="center"/>
            <w:hideMark/>
          </w:tcPr>
          <w:p w14:paraId="4ABFC63D" w14:textId="101C96CE" w:rsidR="00935107" w:rsidRPr="00CE058E" w:rsidRDefault="00935107"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-2</w:t>
            </w:r>
            <w:r w:rsidR="00280469" w:rsidRPr="00CE058E">
              <w:rPr>
                <w:rFonts w:eastAsia="Times New Roman" w:cs="Arial"/>
                <w:color w:val="15272F"/>
                <w:sz w:val="18"/>
                <w:szCs w:val="18"/>
                <w:lang w:eastAsia="en-AU"/>
              </w:rPr>
              <w:t>,</w:t>
            </w:r>
            <w:r w:rsidRPr="00CE058E">
              <w:rPr>
                <w:rFonts w:eastAsia="Times New Roman" w:cs="Arial"/>
                <w:color w:val="15272F"/>
                <w:sz w:val="18"/>
                <w:szCs w:val="18"/>
                <w:lang w:eastAsia="en-AU"/>
              </w:rPr>
              <w:t>026</w:t>
            </w:r>
          </w:p>
        </w:tc>
        <w:tc>
          <w:tcPr>
            <w:tcW w:w="0" w:type="dxa"/>
            <w:noWrap/>
            <w:vAlign w:val="center"/>
            <w:hideMark/>
          </w:tcPr>
          <w:p w14:paraId="3A24EFF9" w14:textId="2B058C11" w:rsidR="00935107" w:rsidRPr="00CE058E" w:rsidRDefault="00935107"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15272F"/>
                <w:sz w:val="18"/>
                <w:szCs w:val="18"/>
                <w:lang w:eastAsia="en-AU"/>
              </w:rPr>
            </w:pPr>
            <w:r w:rsidRPr="00CE058E">
              <w:rPr>
                <w:rFonts w:eastAsia="Times New Roman" w:cs="Arial"/>
                <w:color w:val="15272F"/>
                <w:sz w:val="18"/>
                <w:szCs w:val="18"/>
                <w:lang w:eastAsia="en-AU"/>
              </w:rPr>
              <w:t>-36</w:t>
            </w:r>
          </w:p>
        </w:tc>
      </w:tr>
    </w:tbl>
    <w:p w14:paraId="77831C0C" w14:textId="1EFFE314" w:rsidR="00935107" w:rsidRPr="00CE058E" w:rsidRDefault="00BE604B" w:rsidP="007B41F8">
      <w:pPr>
        <w:pStyle w:val="Heading2"/>
      </w:pPr>
      <w:bookmarkStart w:id="405" w:name="_Toc151129726"/>
      <w:bookmarkStart w:id="406" w:name="_Toc158882577"/>
      <w:bookmarkStart w:id="407" w:name="_Toc158882638"/>
      <w:bookmarkEnd w:id="404"/>
      <w:r w:rsidRPr="00CE058E">
        <w:t>Admitted m</w:t>
      </w:r>
      <w:r w:rsidR="00935107" w:rsidRPr="00CE058E">
        <w:t xml:space="preserve">ental </w:t>
      </w:r>
      <w:r w:rsidRPr="00CE058E">
        <w:t>h</w:t>
      </w:r>
      <w:r w:rsidR="00935107" w:rsidRPr="00CE058E">
        <w:t>ealth cost</w:t>
      </w:r>
      <w:bookmarkEnd w:id="405"/>
      <w:bookmarkEnd w:id="406"/>
      <w:bookmarkEnd w:id="407"/>
    </w:p>
    <w:p w14:paraId="0047A6BE" w14:textId="3E19515B" w:rsidR="00112D9F" w:rsidRDefault="00112D9F" w:rsidP="00112D9F">
      <w:pPr>
        <w:spacing w:line="276" w:lineRule="auto"/>
        <w:rPr>
          <w:rFonts w:cs="Arial"/>
          <w:color w:val="auto"/>
        </w:rPr>
      </w:pPr>
      <w:r w:rsidRPr="00CE058E">
        <w:rPr>
          <w:rFonts w:cs="Arial"/>
          <w:color w:val="auto"/>
        </w:rPr>
        <w:t xml:space="preserve">In 2021-22, </w:t>
      </w:r>
      <w:r w:rsidR="00AF2519">
        <w:rPr>
          <w:rFonts w:cs="Arial"/>
          <w:color w:val="auto"/>
        </w:rPr>
        <w:t xml:space="preserve">the </w:t>
      </w:r>
      <w:r w:rsidRPr="00CE058E">
        <w:rPr>
          <w:rFonts w:cs="Arial"/>
          <w:color w:val="auto"/>
        </w:rPr>
        <w:t>admitted mental health phases</w:t>
      </w:r>
      <w:r w:rsidR="00AF2519">
        <w:rPr>
          <w:rFonts w:cs="Arial"/>
          <w:color w:val="auto"/>
        </w:rPr>
        <w:t xml:space="preserve"> expenditure reported in the NHCDC was</w:t>
      </w:r>
      <w:r w:rsidRPr="00CE058E">
        <w:rPr>
          <w:rFonts w:cs="Arial"/>
          <w:color w:val="auto"/>
        </w:rPr>
        <w:t xml:space="preserve"> approximately $1.9 billion</w:t>
      </w:r>
      <w:r w:rsidR="00AF2519">
        <w:rPr>
          <w:rFonts w:cs="Arial"/>
          <w:color w:val="auto"/>
        </w:rPr>
        <w:t xml:space="preserve"> nationally</w:t>
      </w:r>
      <w:r w:rsidRPr="00CE058E">
        <w:rPr>
          <w:rFonts w:cs="Arial"/>
          <w:color w:val="auto"/>
        </w:rPr>
        <w:t xml:space="preserve">. Figure </w:t>
      </w:r>
      <w:r w:rsidR="00F80BDE" w:rsidRPr="00CE058E">
        <w:rPr>
          <w:rFonts w:cs="Arial"/>
          <w:color w:val="auto"/>
        </w:rPr>
        <w:t>2</w:t>
      </w:r>
      <w:r w:rsidR="00CB65C0">
        <w:rPr>
          <w:rFonts w:cs="Arial"/>
          <w:color w:val="auto"/>
        </w:rPr>
        <w:t>4</w:t>
      </w:r>
      <w:r w:rsidR="00F80BDE" w:rsidRPr="00CE058E">
        <w:rPr>
          <w:rFonts w:cs="Arial"/>
          <w:color w:val="auto"/>
        </w:rPr>
        <w:t xml:space="preserve"> </w:t>
      </w:r>
      <w:r w:rsidRPr="00CE058E">
        <w:rPr>
          <w:rFonts w:cs="Arial"/>
          <w:color w:val="auto"/>
        </w:rPr>
        <w:t xml:space="preserve">shows the cost of admitted mental health phases by jurisdiction from 2019-20 to 2021-22. From 2020-21 to 2021-22, the cost of admitted mental health phases </w:t>
      </w:r>
      <w:r w:rsidR="007E03C0" w:rsidRPr="00CE058E">
        <w:rPr>
          <w:rFonts w:cs="Arial"/>
          <w:color w:val="auto"/>
        </w:rPr>
        <w:t>in</w:t>
      </w:r>
      <w:r w:rsidRPr="00CE058E">
        <w:rPr>
          <w:rFonts w:cs="Arial"/>
          <w:color w:val="auto"/>
        </w:rPr>
        <w:t>creased $472.6 million nationally, a 33</w:t>
      </w:r>
      <w:r w:rsidR="00897090">
        <w:rPr>
          <w:rFonts w:cs="Arial"/>
          <w:color w:val="auto"/>
        </w:rPr>
        <w:t>%</w:t>
      </w:r>
      <w:r w:rsidRPr="00CE058E">
        <w:rPr>
          <w:rFonts w:cs="Arial"/>
          <w:color w:val="auto"/>
        </w:rPr>
        <w:t xml:space="preserve"> </w:t>
      </w:r>
      <w:r w:rsidR="007E03C0" w:rsidRPr="00CE058E">
        <w:rPr>
          <w:rFonts w:cs="Arial"/>
          <w:color w:val="auto"/>
        </w:rPr>
        <w:t>in</w:t>
      </w:r>
      <w:r w:rsidR="00B416D2" w:rsidRPr="00CE058E">
        <w:rPr>
          <w:rFonts w:cs="Arial"/>
          <w:color w:val="auto"/>
        </w:rPr>
        <w:t>c</w:t>
      </w:r>
      <w:r w:rsidRPr="00CE058E">
        <w:rPr>
          <w:rFonts w:cs="Arial"/>
          <w:color w:val="auto"/>
        </w:rPr>
        <w:t xml:space="preserve">rease to the 2020-21 figure of $1.4 billion. The national </w:t>
      </w:r>
      <w:r w:rsidR="00B416D2" w:rsidRPr="00CE058E">
        <w:rPr>
          <w:rFonts w:cs="Arial"/>
          <w:color w:val="auto"/>
        </w:rPr>
        <w:t>inc</w:t>
      </w:r>
      <w:r w:rsidRPr="00CE058E">
        <w:rPr>
          <w:rFonts w:cs="Arial"/>
          <w:color w:val="auto"/>
        </w:rPr>
        <w:t xml:space="preserve">rease in the cost of admitted mental health phases was driven by Queensland, </w:t>
      </w:r>
      <w:r w:rsidR="00B416D2" w:rsidRPr="00CE058E">
        <w:rPr>
          <w:rFonts w:cs="Arial"/>
          <w:color w:val="auto"/>
        </w:rPr>
        <w:t>inc</w:t>
      </w:r>
      <w:r w:rsidRPr="00CE058E">
        <w:rPr>
          <w:rFonts w:cs="Arial"/>
          <w:color w:val="auto"/>
        </w:rPr>
        <w:t>reasing $239.8 million (or 154</w:t>
      </w:r>
      <w:r w:rsidR="00897090">
        <w:rPr>
          <w:rFonts w:cs="Arial"/>
          <w:color w:val="auto"/>
        </w:rPr>
        <w:t>%</w:t>
      </w:r>
      <w:r w:rsidRPr="00CE058E">
        <w:rPr>
          <w:rFonts w:cs="Arial"/>
          <w:color w:val="auto"/>
        </w:rPr>
        <w:t xml:space="preserve">) from 2020-21 to 2021-22. In 2021-22, the cost at the jurisdictional level ranged from $176.5 million (South Australia) to </w:t>
      </w:r>
      <w:r w:rsidRPr="00CE058E">
        <w:rPr>
          <w:rFonts w:eastAsia="Times New Roman" w:cs="Arial"/>
          <w:color w:val="auto"/>
          <w:lang w:eastAsia="en-AU"/>
        </w:rPr>
        <w:t xml:space="preserve">$744.1 million </w:t>
      </w:r>
      <w:r w:rsidRPr="00CE058E">
        <w:rPr>
          <w:rFonts w:cs="Arial"/>
          <w:color w:val="auto"/>
        </w:rPr>
        <w:t xml:space="preserve">(New South </w:t>
      </w:r>
      <w:r w:rsidRPr="00CE058E">
        <w:rPr>
          <w:rFonts w:cs="Arial"/>
          <w:color w:val="auto"/>
        </w:rPr>
        <w:lastRenderedPageBreak/>
        <w:t>Wales). Note Western Australia, Tasmania, Northern Territory, and the Australian Capital Territory have not submitted admitted mental health phase cost data from 2019-20 to 2021-22.</w:t>
      </w:r>
    </w:p>
    <w:p w14:paraId="57013B24" w14:textId="0C74FA33" w:rsidR="00A82091" w:rsidRPr="00CE058E" w:rsidRDefault="00DD29C5" w:rsidP="00DD29C5">
      <w:pPr>
        <w:pStyle w:val="TableFigureheading"/>
      </w:pPr>
      <w:bookmarkStart w:id="408" w:name="_Toc151370073"/>
      <w:r>
        <w:t xml:space="preserve">Figure </w:t>
      </w:r>
      <w:r>
        <w:fldChar w:fldCharType="begin"/>
      </w:r>
      <w:r>
        <w:instrText xml:space="preserve"> SEQ Figure \* ARABIC </w:instrText>
      </w:r>
      <w:r>
        <w:fldChar w:fldCharType="separate"/>
      </w:r>
      <w:r>
        <w:rPr>
          <w:noProof/>
        </w:rPr>
        <w:t>24</w:t>
      </w:r>
      <w:r>
        <w:rPr>
          <w:noProof/>
        </w:rPr>
        <w:fldChar w:fldCharType="end"/>
      </w:r>
      <w:r>
        <w:t>:</w:t>
      </w:r>
      <w:bookmarkStart w:id="409" w:name="_Toc151116360"/>
      <w:r w:rsidR="00A82091" w:rsidRPr="00CE058E">
        <w:t xml:space="preserve"> </w:t>
      </w:r>
      <w:r w:rsidR="00183B32" w:rsidRPr="00CE058E">
        <w:t>Admitted m</w:t>
      </w:r>
      <w:r w:rsidR="00A82091" w:rsidRPr="00CE058E">
        <w:t xml:space="preserve">ental </w:t>
      </w:r>
      <w:r w:rsidR="00183B32" w:rsidRPr="00CE058E">
        <w:t>h</w:t>
      </w:r>
      <w:r w:rsidR="00A82091" w:rsidRPr="00CE058E">
        <w:t xml:space="preserve">ealth </w:t>
      </w:r>
      <w:r w:rsidR="009B604F" w:rsidRPr="00CE058E">
        <w:t>phases</w:t>
      </w:r>
      <w:r w:rsidR="009B604F" w:rsidRPr="00CE058E" w:rsidDel="00183B32">
        <w:t xml:space="preserve"> </w:t>
      </w:r>
      <w:r w:rsidR="00A82091" w:rsidRPr="00CE058E">
        <w:t>cost, 2019-20 to 2021-22</w:t>
      </w:r>
      <w:bookmarkEnd w:id="408"/>
      <w:bookmarkEnd w:id="409"/>
    </w:p>
    <w:p w14:paraId="69F57919" w14:textId="78FBB30F" w:rsidR="00F80BDE" w:rsidRDefault="00A82091" w:rsidP="00F80BDE">
      <w:pPr>
        <w:spacing w:line="276" w:lineRule="auto"/>
        <w:rPr>
          <w:rFonts w:cs="Arial"/>
          <w:color w:val="auto"/>
        </w:rPr>
      </w:pPr>
      <w:r w:rsidRPr="00CE058E">
        <w:rPr>
          <w:rFonts w:cs="Arial"/>
          <w:noProof/>
        </w:rPr>
        <w:drawing>
          <wp:inline distT="0" distB="0" distL="0" distR="0" wp14:anchorId="4E7CA778" wp14:editId="49734DD5">
            <wp:extent cx="6228000" cy="3060000"/>
            <wp:effectExtent l="0" t="0" r="0" b="0"/>
            <wp:docPr id="6" name="Chart 6">
              <a:extLst xmlns:a="http://schemas.openxmlformats.org/drawingml/2006/main">
                <a:ext uri="{FF2B5EF4-FFF2-40B4-BE49-F238E27FC236}">
                  <a16:creationId xmlns:a16="http://schemas.microsoft.com/office/drawing/2014/main" id="{B66D20ED-A6EB-09DC-8E31-EDAA9670E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F80BDE" w:rsidRPr="00CE058E">
        <w:rPr>
          <w:rFonts w:cs="Arial"/>
          <w:color w:val="auto"/>
        </w:rPr>
        <w:t xml:space="preserve"> In 2021-22, </w:t>
      </w:r>
      <w:r w:rsidR="00AF2519">
        <w:rPr>
          <w:rFonts w:cs="Arial"/>
          <w:color w:val="auto"/>
        </w:rPr>
        <w:t xml:space="preserve">the </w:t>
      </w:r>
      <w:r w:rsidR="00F80BDE" w:rsidRPr="00CE058E">
        <w:rPr>
          <w:rFonts w:cs="Arial"/>
          <w:color w:val="auto"/>
        </w:rPr>
        <w:t>admitted mental health episodes</w:t>
      </w:r>
      <w:r w:rsidR="00AF2519">
        <w:rPr>
          <w:rFonts w:cs="Arial"/>
          <w:color w:val="auto"/>
        </w:rPr>
        <w:t xml:space="preserve"> expenditure reported in the NHCDC was </w:t>
      </w:r>
      <w:r w:rsidR="00F80BDE" w:rsidRPr="00CE058E">
        <w:rPr>
          <w:rFonts w:cs="Arial"/>
          <w:color w:val="auto"/>
        </w:rPr>
        <w:t>approximately $667.5 million</w:t>
      </w:r>
      <w:r w:rsidR="00AF2519">
        <w:rPr>
          <w:rFonts w:cs="Arial"/>
          <w:color w:val="auto"/>
        </w:rPr>
        <w:t xml:space="preserve"> nationally</w:t>
      </w:r>
      <w:r w:rsidR="00F80BDE" w:rsidRPr="00CE058E">
        <w:rPr>
          <w:rFonts w:cs="Arial"/>
          <w:color w:val="auto"/>
        </w:rPr>
        <w:t>.</w:t>
      </w:r>
      <w:r w:rsidR="00AF2519">
        <w:rPr>
          <w:rFonts w:cs="Arial"/>
          <w:color w:val="auto"/>
        </w:rPr>
        <w:t xml:space="preserve"> </w:t>
      </w:r>
      <w:r w:rsidR="00F80BDE" w:rsidRPr="00CE058E">
        <w:rPr>
          <w:rFonts w:cs="Arial"/>
          <w:color w:val="auto"/>
        </w:rPr>
        <w:t>Figure 2</w:t>
      </w:r>
      <w:r w:rsidR="00CB65C0">
        <w:rPr>
          <w:rFonts w:cs="Arial"/>
          <w:color w:val="auto"/>
        </w:rPr>
        <w:t>5</w:t>
      </w:r>
      <w:r w:rsidR="00F80BDE" w:rsidRPr="00CE058E">
        <w:rPr>
          <w:rFonts w:cs="Arial"/>
          <w:color w:val="auto"/>
        </w:rPr>
        <w:t xml:space="preserve"> shows the cost of admitted mental health episodes by jurisdiction from 2019-20 to 2021-22. From 2020-21 to 2021-22, the cost of admitted mental health episodes decreased $174.6 million nationally, a 21</w:t>
      </w:r>
      <w:r w:rsidR="00897090">
        <w:rPr>
          <w:rFonts w:cs="Arial"/>
          <w:color w:val="auto"/>
        </w:rPr>
        <w:t>%</w:t>
      </w:r>
      <w:r w:rsidR="00F80BDE" w:rsidRPr="00CE058E">
        <w:rPr>
          <w:rFonts w:cs="Arial"/>
          <w:color w:val="auto"/>
        </w:rPr>
        <w:t xml:space="preserve"> decrease to the 2020-21 figure of $842.1 million. The national decrease in the cost of admitted mental health episodes was driven by Queensland, decreasing $157.1 million (or 58</w:t>
      </w:r>
      <w:r w:rsidR="00897090">
        <w:rPr>
          <w:rFonts w:cs="Arial"/>
          <w:color w:val="auto"/>
        </w:rPr>
        <w:t>%</w:t>
      </w:r>
      <w:r w:rsidR="00F80BDE" w:rsidRPr="00CE058E">
        <w:rPr>
          <w:rFonts w:cs="Arial"/>
          <w:color w:val="auto"/>
        </w:rPr>
        <w:t xml:space="preserve">) from 2020-21 to 2021-22. In 2021-22, the cost at the jurisdictional level ranged from $673,426 (South Australia) to </w:t>
      </w:r>
      <w:r w:rsidR="00F80BDE" w:rsidRPr="00CE058E">
        <w:rPr>
          <w:rFonts w:eastAsia="Times New Roman" w:cs="Arial"/>
          <w:color w:val="auto"/>
          <w:lang w:eastAsia="en-AU"/>
        </w:rPr>
        <w:t xml:space="preserve">$348.9 million </w:t>
      </w:r>
      <w:r w:rsidR="00F80BDE" w:rsidRPr="00CE058E">
        <w:rPr>
          <w:rFonts w:cs="Arial"/>
          <w:color w:val="auto"/>
        </w:rPr>
        <w:t>(Western Australia).</w:t>
      </w:r>
    </w:p>
    <w:p w14:paraId="09339B43" w14:textId="21C70273" w:rsidR="00F80BDE" w:rsidRPr="00CE058E" w:rsidRDefault="00DD29C5" w:rsidP="00DD29C5">
      <w:pPr>
        <w:pStyle w:val="TableFigureheading"/>
      </w:pPr>
      <w:bookmarkStart w:id="410" w:name="_Toc151370074"/>
      <w:r>
        <w:t xml:space="preserve">Figure </w:t>
      </w:r>
      <w:r>
        <w:fldChar w:fldCharType="begin"/>
      </w:r>
      <w:r>
        <w:instrText xml:space="preserve"> SEQ Figure \* ARABIC </w:instrText>
      </w:r>
      <w:r>
        <w:fldChar w:fldCharType="separate"/>
      </w:r>
      <w:r>
        <w:rPr>
          <w:noProof/>
        </w:rPr>
        <w:t>25</w:t>
      </w:r>
      <w:r>
        <w:rPr>
          <w:noProof/>
        </w:rPr>
        <w:fldChar w:fldCharType="end"/>
      </w:r>
      <w:r>
        <w:t>:</w:t>
      </w:r>
      <w:bookmarkStart w:id="411" w:name="_Toc151116361"/>
      <w:r w:rsidR="00F80BDE" w:rsidRPr="00CE058E">
        <w:t xml:space="preserve"> Admitted mental health episodes</w:t>
      </w:r>
      <w:r w:rsidR="00F80BDE" w:rsidRPr="00CE058E" w:rsidDel="00183B32">
        <w:t xml:space="preserve"> </w:t>
      </w:r>
      <w:r w:rsidR="00F80BDE" w:rsidRPr="00CE058E">
        <w:t>cost, 2019-20 to 2021-22</w:t>
      </w:r>
      <w:bookmarkEnd w:id="410"/>
      <w:bookmarkEnd w:id="411"/>
    </w:p>
    <w:p w14:paraId="1BD81164" w14:textId="77777777" w:rsidR="00F80BDE" w:rsidRPr="00CE058E" w:rsidRDefault="00F80BDE" w:rsidP="00F80BDE">
      <w:pPr>
        <w:spacing w:line="259" w:lineRule="auto"/>
        <w:ind w:left="-1080" w:right="-1027"/>
        <w:jc w:val="center"/>
        <w:rPr>
          <w:rFonts w:cs="Arial"/>
        </w:rPr>
      </w:pPr>
      <w:r w:rsidRPr="00CE058E">
        <w:rPr>
          <w:rFonts w:cs="Arial"/>
          <w:noProof/>
        </w:rPr>
        <w:drawing>
          <wp:inline distT="0" distB="0" distL="0" distR="0" wp14:anchorId="1FA3254E" wp14:editId="37FD736C">
            <wp:extent cx="6228000" cy="3204000"/>
            <wp:effectExtent l="0" t="0" r="0" b="0"/>
            <wp:docPr id="1" name="Chart 1">
              <a:extLst xmlns:a="http://schemas.openxmlformats.org/drawingml/2006/main">
                <a:ext uri="{FF2B5EF4-FFF2-40B4-BE49-F238E27FC236}">
                  <a16:creationId xmlns:a16="http://schemas.microsoft.com/office/drawing/2014/main" id="{0FEC62ED-DB0E-51D7-1D73-18485C4081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72BEB5E" w14:textId="43696D47" w:rsidR="00935107" w:rsidRPr="00CE058E" w:rsidRDefault="00BF20DA" w:rsidP="00935107">
      <w:pPr>
        <w:pStyle w:val="Heading3"/>
      </w:pPr>
      <w:bookmarkStart w:id="412" w:name="_Toc151129727"/>
      <w:bookmarkStart w:id="413" w:name="_Toc158882578"/>
      <w:bookmarkStart w:id="414" w:name="_Toc158882639"/>
      <w:r w:rsidRPr="00CE058E">
        <w:lastRenderedPageBreak/>
        <w:t>Admitted m</w:t>
      </w:r>
      <w:r w:rsidR="00935107" w:rsidRPr="00CE058E">
        <w:t xml:space="preserve">ental health </w:t>
      </w:r>
      <w:r w:rsidR="00247249" w:rsidRPr="00CE058E">
        <w:t>episode</w:t>
      </w:r>
      <w:r w:rsidR="009B604F" w:rsidRPr="00CE058E">
        <w:t>s</w:t>
      </w:r>
      <w:r w:rsidR="00247249" w:rsidRPr="00CE058E">
        <w:t xml:space="preserve"> </w:t>
      </w:r>
      <w:r w:rsidR="00DD3CB5" w:rsidRPr="00CE058E">
        <w:t>cost</w:t>
      </w:r>
      <w:r w:rsidR="00935107" w:rsidRPr="00CE058E">
        <w:t xml:space="preserve"> change</w:t>
      </w:r>
      <w:bookmarkEnd w:id="412"/>
      <w:bookmarkEnd w:id="413"/>
      <w:bookmarkEnd w:id="414"/>
    </w:p>
    <w:p w14:paraId="170D87EE" w14:textId="6B112E73" w:rsidR="00934E12" w:rsidRPr="00CE058E" w:rsidRDefault="005F2B04" w:rsidP="003D0B49">
      <w:pPr>
        <w:rPr>
          <w:rFonts w:cs="Arial"/>
        </w:rPr>
      </w:pPr>
      <w:r w:rsidRPr="00CE058E">
        <w:rPr>
          <w:rFonts w:cs="Arial"/>
          <w:color w:val="auto"/>
        </w:rPr>
        <w:t xml:space="preserve">Table 21 shows the admitted mental health end-classes that had an impact on the change in the cost of episodes reported nationally in 2021-22 compared to 2020-21. In 2021-22, the national cost of admitted mental health episodes was $1.9 billion, </w:t>
      </w:r>
      <w:r w:rsidR="00301F51" w:rsidRPr="00CE058E">
        <w:rPr>
          <w:rFonts w:cs="Arial"/>
          <w:color w:val="auto"/>
        </w:rPr>
        <w:t>a</w:t>
      </w:r>
      <w:r w:rsidRPr="00CE058E">
        <w:rPr>
          <w:rFonts w:cs="Arial"/>
          <w:color w:val="auto"/>
        </w:rPr>
        <w:t xml:space="preserve"> decrease of $472.6 million (or 33</w:t>
      </w:r>
      <w:r w:rsidR="00897090">
        <w:rPr>
          <w:rFonts w:cs="Arial"/>
          <w:color w:val="auto"/>
        </w:rPr>
        <w:t>%</w:t>
      </w:r>
      <w:r w:rsidRPr="00CE058E">
        <w:rPr>
          <w:rFonts w:cs="Arial"/>
          <w:color w:val="auto"/>
        </w:rPr>
        <w:t xml:space="preserve">) compared to 2020-21. The national admitted mental health cost </w:t>
      </w:r>
      <w:r w:rsidR="00934E12" w:rsidRPr="00CE058E">
        <w:rPr>
          <w:rFonts w:cs="Arial"/>
          <w:color w:val="auto"/>
        </w:rPr>
        <w:t>decrease</w:t>
      </w:r>
      <w:r w:rsidRPr="00CE058E">
        <w:rPr>
          <w:rFonts w:cs="Arial"/>
          <w:color w:val="auto"/>
        </w:rPr>
        <w:t xml:space="preserve"> was driven by </w:t>
      </w:r>
      <w:r w:rsidR="00934E12" w:rsidRPr="00CE058E">
        <w:rPr>
          <w:rFonts w:cs="Arial"/>
          <w:color w:val="auto"/>
        </w:rPr>
        <w:t>U61A, U61B, and U63B</w:t>
      </w:r>
      <w:r w:rsidRPr="00CE058E">
        <w:rPr>
          <w:rFonts w:cs="Arial"/>
          <w:color w:val="auto"/>
        </w:rPr>
        <w:t xml:space="preserve"> (as defined in table </w:t>
      </w:r>
      <w:r w:rsidR="00934E12" w:rsidRPr="00CE058E">
        <w:rPr>
          <w:rFonts w:cs="Arial"/>
          <w:color w:val="auto"/>
        </w:rPr>
        <w:t>21</w:t>
      </w:r>
      <w:r w:rsidRPr="00CE058E">
        <w:rPr>
          <w:rFonts w:cs="Arial"/>
          <w:color w:val="auto"/>
        </w:rPr>
        <w:t xml:space="preserve">). These end-classes </w:t>
      </w:r>
      <w:r w:rsidR="00934E12" w:rsidRPr="00CE058E">
        <w:rPr>
          <w:rFonts w:cs="Arial"/>
          <w:color w:val="auto"/>
        </w:rPr>
        <w:t>decreased</w:t>
      </w:r>
      <w:r w:rsidRPr="00CE058E">
        <w:rPr>
          <w:rFonts w:cs="Arial"/>
          <w:color w:val="auto"/>
        </w:rPr>
        <w:t xml:space="preserve"> nationally </w:t>
      </w:r>
      <w:r w:rsidR="00934E12" w:rsidRPr="00CE058E">
        <w:rPr>
          <w:rFonts w:cs="Arial"/>
          <w:color w:val="auto"/>
        </w:rPr>
        <w:t xml:space="preserve">$80.2 million </w:t>
      </w:r>
      <w:r w:rsidRPr="00CE058E">
        <w:rPr>
          <w:rFonts w:cs="Arial"/>
          <w:color w:val="auto"/>
        </w:rPr>
        <w:t xml:space="preserve">in 2021-22 compared to 2020-21. The end-classes that had the highest </w:t>
      </w:r>
      <w:r w:rsidR="00934E12" w:rsidRPr="00CE058E">
        <w:rPr>
          <w:rFonts w:cs="Arial"/>
          <w:color w:val="auto"/>
        </w:rPr>
        <w:t>increase</w:t>
      </w:r>
      <w:r w:rsidRPr="00CE058E">
        <w:rPr>
          <w:rFonts w:cs="Arial"/>
          <w:color w:val="auto"/>
        </w:rPr>
        <w:t xml:space="preserve"> were </w:t>
      </w:r>
      <w:r w:rsidR="00934E12" w:rsidRPr="00CE058E">
        <w:rPr>
          <w:rFonts w:cs="Arial"/>
          <w:color w:val="auto"/>
        </w:rPr>
        <w:t>U40Z, U60Z, and B81A</w:t>
      </w:r>
      <w:r w:rsidRPr="00CE058E">
        <w:rPr>
          <w:rFonts w:cs="Arial"/>
          <w:color w:val="auto"/>
        </w:rPr>
        <w:t xml:space="preserve"> (as defined in table </w:t>
      </w:r>
      <w:r w:rsidR="00934E12" w:rsidRPr="00CE058E">
        <w:rPr>
          <w:rFonts w:cs="Arial"/>
          <w:color w:val="auto"/>
        </w:rPr>
        <w:t>21</w:t>
      </w:r>
      <w:r w:rsidRPr="00CE058E">
        <w:rPr>
          <w:rFonts w:cs="Arial"/>
          <w:color w:val="auto"/>
        </w:rPr>
        <w:t xml:space="preserve">), </w:t>
      </w:r>
      <w:r w:rsidR="00301F51" w:rsidRPr="00CE058E">
        <w:rPr>
          <w:rFonts w:cs="Arial"/>
          <w:color w:val="auto"/>
        </w:rPr>
        <w:t>an</w:t>
      </w:r>
      <w:r w:rsidRPr="00CE058E">
        <w:rPr>
          <w:rFonts w:cs="Arial"/>
          <w:color w:val="auto"/>
        </w:rPr>
        <w:t xml:space="preserve"> </w:t>
      </w:r>
      <w:r w:rsidR="00934E12" w:rsidRPr="00CE058E">
        <w:rPr>
          <w:rFonts w:cs="Arial"/>
          <w:color w:val="auto"/>
        </w:rPr>
        <w:t>increase</w:t>
      </w:r>
      <w:r w:rsidR="00301F51" w:rsidRPr="00CE058E">
        <w:rPr>
          <w:rFonts w:cs="Arial"/>
          <w:color w:val="auto"/>
        </w:rPr>
        <w:t xml:space="preserve"> of</w:t>
      </w:r>
      <w:r w:rsidR="00934E12" w:rsidRPr="00CE058E">
        <w:rPr>
          <w:rFonts w:cs="Arial"/>
          <w:color w:val="auto"/>
        </w:rPr>
        <w:t xml:space="preserve"> $8.8 million </w:t>
      </w:r>
      <w:r w:rsidRPr="00CE058E">
        <w:rPr>
          <w:rFonts w:cs="Arial"/>
          <w:color w:val="auto"/>
        </w:rPr>
        <w:t>from 2020-21</w:t>
      </w:r>
      <w:r w:rsidR="00934E12" w:rsidRPr="00CE058E">
        <w:rPr>
          <w:rFonts w:cs="Arial"/>
          <w:color w:val="auto"/>
        </w:rPr>
        <w:t>. Note that due to the volatility in the admitted mental health phases figures, this cost change analysis is not displayed in this report.</w:t>
      </w:r>
    </w:p>
    <w:p w14:paraId="368C7486" w14:textId="77F916BB" w:rsidR="009E27CC" w:rsidRPr="00CE058E" w:rsidRDefault="002F162B" w:rsidP="00B42434">
      <w:pPr>
        <w:pStyle w:val="TableFigureheading"/>
      </w:pPr>
      <w:bookmarkStart w:id="415" w:name="_Toc149650922"/>
      <w:bookmarkStart w:id="416" w:name="_Toc151370047"/>
      <w:r w:rsidRPr="00CE058E">
        <w:t xml:space="preserve">Table </w:t>
      </w:r>
      <w:r>
        <w:fldChar w:fldCharType="begin"/>
      </w:r>
      <w:r>
        <w:instrText xml:space="preserve"> SEQ Table \* ARABIC </w:instrText>
      </w:r>
      <w:r>
        <w:fldChar w:fldCharType="separate"/>
      </w:r>
      <w:r w:rsidR="00B42434">
        <w:rPr>
          <w:noProof/>
        </w:rPr>
        <w:t>21</w:t>
      </w:r>
      <w:r>
        <w:rPr>
          <w:noProof/>
        </w:rPr>
        <w:fldChar w:fldCharType="end"/>
      </w:r>
      <w:r w:rsidR="00BB2DE2" w:rsidRPr="00CE058E">
        <w:t>: Admitted mental health episodes cost change, 2020-21 to 2021-22</w:t>
      </w:r>
      <w:bookmarkEnd w:id="415"/>
      <w:bookmarkEnd w:id="416"/>
    </w:p>
    <w:tbl>
      <w:tblPr>
        <w:tblStyle w:val="GridTable4-Accent2"/>
        <w:tblW w:w="9215" w:type="dxa"/>
        <w:jc w:val="center"/>
        <w:tblLook w:val="04A0" w:firstRow="1" w:lastRow="0" w:firstColumn="1" w:lastColumn="0" w:noHBand="0" w:noVBand="1"/>
      </w:tblPr>
      <w:tblGrid>
        <w:gridCol w:w="1020"/>
        <w:gridCol w:w="2767"/>
        <w:gridCol w:w="1317"/>
        <w:gridCol w:w="1276"/>
        <w:gridCol w:w="1417"/>
        <w:gridCol w:w="1418"/>
      </w:tblGrid>
      <w:tr w:rsidR="00934E12" w:rsidRPr="00CE058E" w14:paraId="1F673291" w14:textId="77777777" w:rsidTr="005054B0">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1020"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61542C6C" w14:textId="77777777" w:rsidR="00935107" w:rsidRPr="00CE058E" w:rsidRDefault="00935107" w:rsidP="00E52B92">
            <w:pPr>
              <w:spacing w:line="240" w:lineRule="auto"/>
              <w:jc w:val="center"/>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AR-DRG</w:t>
            </w:r>
          </w:p>
        </w:tc>
        <w:tc>
          <w:tcPr>
            <w:tcW w:w="2767"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75392644" w14:textId="77777777" w:rsidR="00935107" w:rsidRPr="00CE058E" w:rsidRDefault="00935107" w:rsidP="00E52B9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Description</w:t>
            </w:r>
          </w:p>
        </w:tc>
        <w:tc>
          <w:tcPr>
            <w:tcW w:w="2593" w:type="dxa"/>
            <w:gridSpan w:val="2"/>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2C7DE249" w14:textId="0D2FD01E" w:rsidR="00935107" w:rsidRPr="00CE058E" w:rsidRDefault="00C33282" w:rsidP="00E52B9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Pr>
                <w:rFonts w:eastAsia="Times New Roman" w:cs="Arial"/>
                <w:color w:val="FFFFFF" w:themeColor="background2"/>
                <w:sz w:val="18"/>
                <w:szCs w:val="18"/>
                <w:lang w:eastAsia="en-AU"/>
              </w:rPr>
              <w:t>C</w:t>
            </w:r>
            <w:r w:rsidR="00935107" w:rsidRPr="00CE058E">
              <w:rPr>
                <w:rFonts w:eastAsia="Times New Roman" w:cs="Arial"/>
                <w:color w:val="FFFFFF" w:themeColor="background2"/>
                <w:sz w:val="18"/>
                <w:szCs w:val="18"/>
                <w:lang w:eastAsia="en-AU"/>
              </w:rPr>
              <w:t>ost</w:t>
            </w:r>
            <w:r w:rsidR="00E52B92" w:rsidRPr="00CE058E">
              <w:rPr>
                <w:rFonts w:eastAsia="Times New Roman" w:cs="Arial"/>
                <w:color w:val="FFFFFF" w:themeColor="background2"/>
                <w:sz w:val="18"/>
                <w:szCs w:val="18"/>
                <w:lang w:eastAsia="en-AU"/>
              </w:rPr>
              <w:t xml:space="preserve"> ($)</w:t>
            </w:r>
          </w:p>
        </w:tc>
        <w:tc>
          <w:tcPr>
            <w:tcW w:w="1417"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745ECD6D" w14:textId="77777777" w:rsidR="00935107" w:rsidRPr="00CE058E" w:rsidRDefault="00935107" w:rsidP="00E52B9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p>
        </w:tc>
        <w:tc>
          <w:tcPr>
            <w:tcW w:w="1418"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hideMark/>
          </w:tcPr>
          <w:p w14:paraId="73FBD6AA" w14:textId="77777777" w:rsidR="00935107" w:rsidRPr="00CE058E" w:rsidRDefault="00935107" w:rsidP="00E52B9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Change (%)</w:t>
            </w:r>
          </w:p>
        </w:tc>
      </w:tr>
      <w:tr w:rsidR="00934E12" w:rsidRPr="00CE058E" w14:paraId="075BAC27" w14:textId="77777777" w:rsidTr="005054B0">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1020"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550BB36D" w14:textId="77777777" w:rsidR="00935107" w:rsidRPr="00CE058E" w:rsidRDefault="00935107" w:rsidP="00E52B92">
            <w:pPr>
              <w:spacing w:line="240" w:lineRule="auto"/>
              <w:jc w:val="center"/>
              <w:rPr>
                <w:rFonts w:eastAsia="Times New Roman" w:cs="Arial"/>
                <w:b w:val="0"/>
                <w:bCs w:val="0"/>
                <w:color w:val="000000"/>
                <w:sz w:val="18"/>
                <w:szCs w:val="18"/>
                <w:lang w:eastAsia="en-AU"/>
              </w:rPr>
            </w:pPr>
          </w:p>
        </w:tc>
        <w:tc>
          <w:tcPr>
            <w:tcW w:w="2767"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hideMark/>
          </w:tcPr>
          <w:p w14:paraId="3CEF32C4" w14:textId="77777777" w:rsidR="00935107" w:rsidRPr="00CE058E" w:rsidRDefault="00935107"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6"/>
                <w:szCs w:val="16"/>
                <w:lang w:eastAsia="en-AU"/>
              </w:rPr>
            </w:pPr>
          </w:p>
        </w:tc>
        <w:tc>
          <w:tcPr>
            <w:tcW w:w="13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3F7B5EB2" w14:textId="77777777" w:rsidR="00935107" w:rsidRPr="00CE058E" w:rsidRDefault="00935107"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2021-22</w:t>
            </w:r>
          </w:p>
        </w:tc>
        <w:tc>
          <w:tcPr>
            <w:tcW w:w="127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hideMark/>
          </w:tcPr>
          <w:p w14:paraId="7AECB62A" w14:textId="77777777" w:rsidR="00935107" w:rsidRPr="00CE058E" w:rsidRDefault="00935107"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2020-21</w:t>
            </w:r>
          </w:p>
        </w:tc>
        <w:tc>
          <w:tcPr>
            <w:tcW w:w="1417"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661571DA" w14:textId="77777777" w:rsidR="00935107" w:rsidRPr="00CE058E" w:rsidRDefault="00935107"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6"/>
                <w:szCs w:val="16"/>
                <w:lang w:eastAsia="en-AU"/>
              </w:rPr>
            </w:pPr>
          </w:p>
        </w:tc>
        <w:tc>
          <w:tcPr>
            <w:tcW w:w="1418"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hideMark/>
          </w:tcPr>
          <w:p w14:paraId="5FBD9721" w14:textId="77777777" w:rsidR="00935107" w:rsidRPr="00CE058E" w:rsidRDefault="00935107"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6"/>
                <w:szCs w:val="16"/>
                <w:lang w:eastAsia="en-AU"/>
              </w:rPr>
            </w:pPr>
          </w:p>
        </w:tc>
      </w:tr>
      <w:tr w:rsidR="00934E12" w:rsidRPr="00CE058E" w14:paraId="7B735662" w14:textId="77777777" w:rsidTr="005054B0">
        <w:trPr>
          <w:trHeight w:val="467"/>
          <w:jc w:val="center"/>
        </w:trPr>
        <w:tc>
          <w:tcPr>
            <w:cnfStyle w:val="001000000000" w:firstRow="0" w:lastRow="0" w:firstColumn="1" w:lastColumn="0" w:oddVBand="0" w:evenVBand="0" w:oddHBand="0" w:evenHBand="0" w:firstRowFirstColumn="0" w:firstRowLastColumn="0" w:lastRowFirstColumn="0" w:lastRowLastColumn="0"/>
            <w:tcW w:w="1020" w:type="dxa"/>
            <w:vAlign w:val="center"/>
          </w:tcPr>
          <w:p w14:paraId="23CF7DA8" w14:textId="0FF90B2F" w:rsidR="00934E12" w:rsidRPr="00CE058E" w:rsidRDefault="00934E12" w:rsidP="00934E12">
            <w:pPr>
              <w:spacing w:line="240" w:lineRule="auto"/>
              <w:jc w:val="center"/>
              <w:rPr>
                <w:rFonts w:eastAsia="Times New Roman" w:cs="Arial"/>
                <w:color w:val="auto"/>
                <w:sz w:val="18"/>
                <w:szCs w:val="18"/>
                <w:lang w:eastAsia="en-AU"/>
              </w:rPr>
            </w:pPr>
            <w:r w:rsidRPr="00CE058E">
              <w:rPr>
                <w:rFonts w:eastAsia="Times New Roman" w:cs="Arial"/>
                <w:color w:val="15272F"/>
                <w:sz w:val="18"/>
                <w:szCs w:val="18"/>
                <w:lang w:eastAsia="en-AU"/>
              </w:rPr>
              <w:t>U61A</w:t>
            </w:r>
          </w:p>
        </w:tc>
        <w:tc>
          <w:tcPr>
            <w:tcW w:w="2767" w:type="dxa"/>
            <w:vAlign w:val="center"/>
          </w:tcPr>
          <w:p w14:paraId="6A146993" w14:textId="602EC258" w:rsidR="00934E12" w:rsidRPr="00CE058E" w:rsidRDefault="00934E12" w:rsidP="00934E1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15272F"/>
                <w:sz w:val="18"/>
                <w:szCs w:val="18"/>
                <w:lang w:eastAsia="en-AU"/>
              </w:rPr>
              <w:t>Schizophrenia Disorders, Major Complexity</w:t>
            </w:r>
          </w:p>
        </w:tc>
        <w:tc>
          <w:tcPr>
            <w:tcW w:w="1317" w:type="dxa"/>
            <w:noWrap/>
            <w:vAlign w:val="center"/>
          </w:tcPr>
          <w:p w14:paraId="2C231A8C" w14:textId="7CE2939D" w:rsidR="00934E12" w:rsidRPr="00CE058E" w:rsidRDefault="00934E12" w:rsidP="00934E12">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15272F"/>
                <w:sz w:val="18"/>
                <w:szCs w:val="18"/>
                <w:lang w:eastAsia="en-AU"/>
              </w:rPr>
              <w:t>146,992,595</w:t>
            </w:r>
          </w:p>
        </w:tc>
        <w:tc>
          <w:tcPr>
            <w:tcW w:w="1276" w:type="dxa"/>
            <w:noWrap/>
            <w:vAlign w:val="center"/>
          </w:tcPr>
          <w:p w14:paraId="59BE4726" w14:textId="1B45F296" w:rsidR="00934E12" w:rsidRPr="00CE058E" w:rsidRDefault="00934E12" w:rsidP="00934E12">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15272F"/>
                <w:sz w:val="18"/>
                <w:szCs w:val="18"/>
                <w:lang w:eastAsia="en-AU"/>
              </w:rPr>
              <w:t>171,067,759</w:t>
            </w:r>
          </w:p>
        </w:tc>
        <w:tc>
          <w:tcPr>
            <w:tcW w:w="1417" w:type="dxa"/>
            <w:noWrap/>
            <w:vAlign w:val="center"/>
          </w:tcPr>
          <w:p w14:paraId="73BC51EC" w14:textId="65782467" w:rsidR="00934E12" w:rsidRPr="00CE058E" w:rsidRDefault="00934E12" w:rsidP="00934E12">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-24,075,164</w:t>
            </w:r>
          </w:p>
        </w:tc>
        <w:tc>
          <w:tcPr>
            <w:tcW w:w="1418" w:type="dxa"/>
            <w:noWrap/>
            <w:vAlign w:val="center"/>
          </w:tcPr>
          <w:p w14:paraId="1A9FB1C3" w14:textId="4D19814C" w:rsidR="00934E12" w:rsidRPr="00CE058E" w:rsidRDefault="00934E12" w:rsidP="00934E12">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-14</w:t>
            </w:r>
          </w:p>
        </w:tc>
      </w:tr>
      <w:tr w:rsidR="00934E12" w:rsidRPr="00CE058E" w14:paraId="68E8981D" w14:textId="77777777" w:rsidTr="005054B0">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020" w:type="dxa"/>
            <w:vAlign w:val="center"/>
          </w:tcPr>
          <w:p w14:paraId="23EA69C3" w14:textId="30EB5477" w:rsidR="00934E12" w:rsidRPr="00CE058E" w:rsidRDefault="00934E12" w:rsidP="00934E12">
            <w:pPr>
              <w:spacing w:line="240" w:lineRule="auto"/>
              <w:jc w:val="center"/>
              <w:rPr>
                <w:rFonts w:eastAsia="Times New Roman" w:cs="Arial"/>
                <w:color w:val="auto"/>
                <w:sz w:val="18"/>
                <w:szCs w:val="18"/>
                <w:lang w:eastAsia="en-AU"/>
              </w:rPr>
            </w:pPr>
            <w:r w:rsidRPr="00CE058E">
              <w:rPr>
                <w:rFonts w:eastAsia="Times New Roman" w:cs="Arial"/>
                <w:color w:val="15272F"/>
                <w:sz w:val="18"/>
                <w:szCs w:val="18"/>
                <w:lang w:eastAsia="en-AU"/>
              </w:rPr>
              <w:t>U61B</w:t>
            </w:r>
          </w:p>
        </w:tc>
        <w:tc>
          <w:tcPr>
            <w:tcW w:w="2767" w:type="dxa"/>
            <w:vAlign w:val="center"/>
          </w:tcPr>
          <w:p w14:paraId="72E83594" w14:textId="4F143265" w:rsidR="00934E12" w:rsidRPr="00CE058E" w:rsidRDefault="00934E12" w:rsidP="00934E1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15272F"/>
                <w:sz w:val="18"/>
                <w:szCs w:val="18"/>
                <w:lang w:eastAsia="en-AU"/>
              </w:rPr>
              <w:t>Schizophrenia Disorders, Minor Complexity</w:t>
            </w:r>
          </w:p>
        </w:tc>
        <w:tc>
          <w:tcPr>
            <w:tcW w:w="1317" w:type="dxa"/>
            <w:noWrap/>
            <w:vAlign w:val="center"/>
          </w:tcPr>
          <w:p w14:paraId="515C6381" w14:textId="54DE2C60" w:rsidR="00934E12" w:rsidRPr="00CE058E" w:rsidRDefault="00934E12" w:rsidP="00934E12">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15272F"/>
                <w:sz w:val="18"/>
                <w:szCs w:val="18"/>
                <w:lang w:eastAsia="en-AU"/>
              </w:rPr>
              <w:t>128,273,880</w:t>
            </w:r>
          </w:p>
        </w:tc>
        <w:tc>
          <w:tcPr>
            <w:tcW w:w="1276" w:type="dxa"/>
            <w:noWrap/>
            <w:vAlign w:val="center"/>
          </w:tcPr>
          <w:p w14:paraId="606225B3" w14:textId="6A5936FD" w:rsidR="00934E12" w:rsidRPr="00CE058E" w:rsidRDefault="00934E12" w:rsidP="00934E12">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15272F"/>
                <w:sz w:val="18"/>
                <w:szCs w:val="18"/>
                <w:lang w:eastAsia="en-AU"/>
              </w:rPr>
              <w:t>154,332,132</w:t>
            </w:r>
          </w:p>
        </w:tc>
        <w:tc>
          <w:tcPr>
            <w:tcW w:w="1417" w:type="dxa"/>
            <w:noWrap/>
            <w:vAlign w:val="center"/>
          </w:tcPr>
          <w:p w14:paraId="304D3C10" w14:textId="7B9F7920" w:rsidR="00934E12" w:rsidRPr="00CE058E" w:rsidRDefault="00934E12" w:rsidP="00934E12">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-26,058,252</w:t>
            </w:r>
          </w:p>
        </w:tc>
        <w:tc>
          <w:tcPr>
            <w:tcW w:w="1418" w:type="dxa"/>
            <w:noWrap/>
            <w:vAlign w:val="center"/>
          </w:tcPr>
          <w:p w14:paraId="1E060B34" w14:textId="2FF6AC13" w:rsidR="00934E12" w:rsidRPr="00CE058E" w:rsidRDefault="00934E12" w:rsidP="00934E12">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-17</w:t>
            </w:r>
          </w:p>
        </w:tc>
      </w:tr>
      <w:tr w:rsidR="00934E12" w:rsidRPr="00CE058E" w14:paraId="3927E956" w14:textId="77777777" w:rsidTr="005054B0">
        <w:trPr>
          <w:trHeight w:val="467"/>
          <w:jc w:val="center"/>
        </w:trPr>
        <w:tc>
          <w:tcPr>
            <w:cnfStyle w:val="001000000000" w:firstRow="0" w:lastRow="0" w:firstColumn="1" w:lastColumn="0" w:oddVBand="0" w:evenVBand="0" w:oddHBand="0" w:evenHBand="0" w:firstRowFirstColumn="0" w:firstRowLastColumn="0" w:lastRowFirstColumn="0" w:lastRowLastColumn="0"/>
            <w:tcW w:w="1020" w:type="dxa"/>
            <w:vAlign w:val="center"/>
          </w:tcPr>
          <w:p w14:paraId="4675524E" w14:textId="25341AAA" w:rsidR="00934E12" w:rsidRPr="00CE058E" w:rsidRDefault="00934E12" w:rsidP="00934E12">
            <w:pPr>
              <w:spacing w:line="240" w:lineRule="auto"/>
              <w:jc w:val="center"/>
              <w:rPr>
                <w:rFonts w:eastAsia="Times New Roman" w:cs="Arial"/>
                <w:color w:val="auto"/>
                <w:sz w:val="18"/>
                <w:szCs w:val="18"/>
                <w:lang w:eastAsia="en-AU"/>
              </w:rPr>
            </w:pPr>
            <w:r w:rsidRPr="00CE058E">
              <w:rPr>
                <w:rFonts w:eastAsia="Times New Roman" w:cs="Arial"/>
                <w:color w:val="15272F"/>
                <w:sz w:val="18"/>
                <w:szCs w:val="18"/>
                <w:lang w:eastAsia="en-AU"/>
              </w:rPr>
              <w:t>U63B</w:t>
            </w:r>
          </w:p>
        </w:tc>
        <w:tc>
          <w:tcPr>
            <w:tcW w:w="2767" w:type="dxa"/>
            <w:vAlign w:val="center"/>
          </w:tcPr>
          <w:p w14:paraId="1DE342B8" w14:textId="5AEFA35A" w:rsidR="00934E12" w:rsidRPr="00CE058E" w:rsidRDefault="00934E12" w:rsidP="00934E1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15272F"/>
                <w:sz w:val="18"/>
                <w:szCs w:val="18"/>
                <w:lang w:eastAsia="en-AU"/>
              </w:rPr>
              <w:t>Major Affective Disorders, Minor Complexity</w:t>
            </w:r>
          </w:p>
        </w:tc>
        <w:tc>
          <w:tcPr>
            <w:tcW w:w="1317" w:type="dxa"/>
            <w:noWrap/>
            <w:vAlign w:val="center"/>
          </w:tcPr>
          <w:p w14:paraId="32835227" w14:textId="365AAB5B" w:rsidR="00934E12" w:rsidRPr="00CE058E" w:rsidRDefault="00934E12" w:rsidP="00934E12">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15272F"/>
                <w:sz w:val="18"/>
                <w:szCs w:val="18"/>
                <w:lang w:eastAsia="en-AU"/>
              </w:rPr>
              <w:t>68,094,477</w:t>
            </w:r>
          </w:p>
        </w:tc>
        <w:tc>
          <w:tcPr>
            <w:tcW w:w="1276" w:type="dxa"/>
            <w:noWrap/>
            <w:vAlign w:val="center"/>
          </w:tcPr>
          <w:p w14:paraId="72F37CAE" w14:textId="4F6C9EF8" w:rsidR="00934E12" w:rsidRPr="00CE058E" w:rsidRDefault="00934E12" w:rsidP="00934E12">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15272F"/>
                <w:sz w:val="18"/>
                <w:szCs w:val="18"/>
                <w:lang w:eastAsia="en-AU"/>
              </w:rPr>
              <w:t>98,204,533</w:t>
            </w:r>
          </w:p>
        </w:tc>
        <w:tc>
          <w:tcPr>
            <w:tcW w:w="1417" w:type="dxa"/>
            <w:noWrap/>
            <w:vAlign w:val="center"/>
          </w:tcPr>
          <w:p w14:paraId="0203093D" w14:textId="151B72ED" w:rsidR="00934E12" w:rsidRPr="00CE058E" w:rsidRDefault="00934E12" w:rsidP="00934E12">
            <w:pPr>
              <w:spacing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CE058E">
              <w:rPr>
                <w:rFonts w:cs="Arial"/>
                <w:sz w:val="18"/>
                <w:szCs w:val="18"/>
              </w:rPr>
              <w:t>-30,110,056</w:t>
            </w:r>
          </w:p>
        </w:tc>
        <w:tc>
          <w:tcPr>
            <w:tcW w:w="1418" w:type="dxa"/>
            <w:noWrap/>
            <w:vAlign w:val="center"/>
          </w:tcPr>
          <w:p w14:paraId="49861D89" w14:textId="5914B7FA" w:rsidR="00934E12" w:rsidRPr="00CE058E" w:rsidRDefault="00934E12" w:rsidP="00934E12">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-31</w:t>
            </w:r>
          </w:p>
        </w:tc>
      </w:tr>
      <w:tr w:rsidR="00934E12" w:rsidRPr="00CE058E" w14:paraId="7BF2F7CB" w14:textId="77777777" w:rsidTr="005054B0">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020" w:type="dxa"/>
            <w:vAlign w:val="center"/>
          </w:tcPr>
          <w:p w14:paraId="0D292DC3" w14:textId="61B871D3" w:rsidR="00934E12" w:rsidRPr="00CE058E" w:rsidRDefault="00934E12" w:rsidP="00934E12">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U40Z</w:t>
            </w:r>
          </w:p>
        </w:tc>
        <w:tc>
          <w:tcPr>
            <w:tcW w:w="2767" w:type="dxa"/>
            <w:vAlign w:val="center"/>
          </w:tcPr>
          <w:p w14:paraId="7FCD48FC" w14:textId="7BF391A0" w:rsidR="00934E12" w:rsidRPr="00CE058E" w:rsidRDefault="00934E12" w:rsidP="00934E1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Mental Health Treatment with ECT, Sameday</w:t>
            </w:r>
          </w:p>
        </w:tc>
        <w:tc>
          <w:tcPr>
            <w:tcW w:w="1317" w:type="dxa"/>
            <w:noWrap/>
            <w:vAlign w:val="center"/>
          </w:tcPr>
          <w:p w14:paraId="0175DFC4" w14:textId="4A26AF7F" w:rsidR="00934E12" w:rsidRPr="00CE058E" w:rsidRDefault="00934E12" w:rsidP="00934E12">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21,185,819</w:t>
            </w:r>
          </w:p>
        </w:tc>
        <w:tc>
          <w:tcPr>
            <w:tcW w:w="1276" w:type="dxa"/>
            <w:noWrap/>
            <w:vAlign w:val="center"/>
          </w:tcPr>
          <w:p w14:paraId="22160B31" w14:textId="49276517" w:rsidR="00934E12" w:rsidRPr="00CE058E" w:rsidRDefault="00934E12" w:rsidP="00934E12">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15,811,411</w:t>
            </w:r>
          </w:p>
        </w:tc>
        <w:tc>
          <w:tcPr>
            <w:tcW w:w="1417" w:type="dxa"/>
            <w:noWrap/>
            <w:vAlign w:val="center"/>
          </w:tcPr>
          <w:p w14:paraId="42B817FD" w14:textId="075E07EA" w:rsidR="00934E12" w:rsidRPr="00CE058E" w:rsidRDefault="00934E12" w:rsidP="00934E12">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5,374,408</w:t>
            </w:r>
          </w:p>
        </w:tc>
        <w:tc>
          <w:tcPr>
            <w:tcW w:w="1418" w:type="dxa"/>
            <w:noWrap/>
            <w:vAlign w:val="center"/>
          </w:tcPr>
          <w:p w14:paraId="2B7D2B4D" w14:textId="3D624658" w:rsidR="00934E12" w:rsidRPr="00CE058E" w:rsidRDefault="00934E12" w:rsidP="00934E12">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34</w:t>
            </w:r>
          </w:p>
        </w:tc>
      </w:tr>
      <w:tr w:rsidR="00934E12" w:rsidRPr="00CE058E" w14:paraId="7F227C06" w14:textId="77777777" w:rsidTr="005054B0">
        <w:trPr>
          <w:trHeight w:val="60"/>
          <w:jc w:val="center"/>
        </w:trPr>
        <w:tc>
          <w:tcPr>
            <w:cnfStyle w:val="001000000000" w:firstRow="0" w:lastRow="0" w:firstColumn="1" w:lastColumn="0" w:oddVBand="0" w:evenVBand="0" w:oddHBand="0" w:evenHBand="0" w:firstRowFirstColumn="0" w:firstRowLastColumn="0" w:lastRowFirstColumn="0" w:lastRowLastColumn="0"/>
            <w:tcW w:w="1020" w:type="dxa"/>
            <w:vAlign w:val="center"/>
            <w:hideMark/>
          </w:tcPr>
          <w:p w14:paraId="12C5F7EC" w14:textId="77777777" w:rsidR="00934E12" w:rsidRPr="00CE058E" w:rsidRDefault="00934E12" w:rsidP="00934E12">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U60Z</w:t>
            </w:r>
          </w:p>
        </w:tc>
        <w:tc>
          <w:tcPr>
            <w:tcW w:w="2767" w:type="dxa"/>
            <w:vAlign w:val="center"/>
            <w:hideMark/>
          </w:tcPr>
          <w:p w14:paraId="4FC4D833" w14:textId="77777777" w:rsidR="00934E12" w:rsidRPr="00CE058E" w:rsidRDefault="00934E12" w:rsidP="00934E1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Mental Health Treatment without ECT, Sameday</w:t>
            </w:r>
          </w:p>
        </w:tc>
        <w:tc>
          <w:tcPr>
            <w:tcW w:w="1317" w:type="dxa"/>
            <w:noWrap/>
            <w:vAlign w:val="center"/>
            <w:hideMark/>
          </w:tcPr>
          <w:p w14:paraId="4DA6F099" w14:textId="4A3B9C2C" w:rsidR="00934E12" w:rsidRPr="00CE058E" w:rsidRDefault="00934E12" w:rsidP="00934E12">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9,227,241</w:t>
            </w:r>
          </w:p>
        </w:tc>
        <w:tc>
          <w:tcPr>
            <w:tcW w:w="1276" w:type="dxa"/>
            <w:noWrap/>
            <w:vAlign w:val="center"/>
            <w:hideMark/>
          </w:tcPr>
          <w:p w14:paraId="1868EFC8" w14:textId="271C65BD" w:rsidR="00934E12" w:rsidRPr="00CE058E" w:rsidRDefault="00934E12" w:rsidP="00934E12">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6,595,955</w:t>
            </w:r>
          </w:p>
        </w:tc>
        <w:tc>
          <w:tcPr>
            <w:tcW w:w="1417" w:type="dxa"/>
            <w:noWrap/>
            <w:vAlign w:val="center"/>
            <w:hideMark/>
          </w:tcPr>
          <w:p w14:paraId="0CC3891A" w14:textId="497FE2B1" w:rsidR="00934E12" w:rsidRPr="00CE058E" w:rsidRDefault="00934E12" w:rsidP="00934E12">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2,631,286</w:t>
            </w:r>
          </w:p>
        </w:tc>
        <w:tc>
          <w:tcPr>
            <w:tcW w:w="1418" w:type="dxa"/>
            <w:noWrap/>
            <w:vAlign w:val="center"/>
            <w:hideMark/>
          </w:tcPr>
          <w:p w14:paraId="446F5BD3" w14:textId="606E059C" w:rsidR="00934E12" w:rsidRPr="00CE058E" w:rsidRDefault="00934E12" w:rsidP="00934E12">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40</w:t>
            </w:r>
          </w:p>
        </w:tc>
      </w:tr>
      <w:tr w:rsidR="00934E12" w:rsidRPr="00CE058E" w14:paraId="3A3C83E8" w14:textId="77777777" w:rsidTr="005054B0">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20" w:type="dxa"/>
            <w:vAlign w:val="center"/>
          </w:tcPr>
          <w:p w14:paraId="12364F8D" w14:textId="506340AC" w:rsidR="00934E12" w:rsidRPr="00CE058E" w:rsidRDefault="00934E12" w:rsidP="00934E12">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B81A</w:t>
            </w:r>
          </w:p>
        </w:tc>
        <w:tc>
          <w:tcPr>
            <w:tcW w:w="2767" w:type="dxa"/>
            <w:vAlign w:val="center"/>
          </w:tcPr>
          <w:p w14:paraId="4896878C" w14:textId="0AB4D457" w:rsidR="00934E12" w:rsidRPr="00CE058E" w:rsidRDefault="00934E12" w:rsidP="00934E1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Other Disorders of the Nervous System, Major Complexity</w:t>
            </w:r>
          </w:p>
        </w:tc>
        <w:tc>
          <w:tcPr>
            <w:tcW w:w="1317" w:type="dxa"/>
            <w:noWrap/>
            <w:vAlign w:val="center"/>
          </w:tcPr>
          <w:p w14:paraId="51DAEFF5" w14:textId="5642B684" w:rsidR="00934E12" w:rsidRPr="00CE058E" w:rsidRDefault="00934E12" w:rsidP="00934E12">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2,848,935</w:t>
            </w:r>
          </w:p>
        </w:tc>
        <w:tc>
          <w:tcPr>
            <w:tcW w:w="1276" w:type="dxa"/>
            <w:noWrap/>
            <w:vAlign w:val="center"/>
          </w:tcPr>
          <w:p w14:paraId="57346BA2" w14:textId="5860C689" w:rsidR="00934E12" w:rsidRPr="00CE058E" w:rsidRDefault="00934E12" w:rsidP="00934E12">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2,089,820</w:t>
            </w:r>
          </w:p>
        </w:tc>
        <w:tc>
          <w:tcPr>
            <w:tcW w:w="1417" w:type="dxa"/>
            <w:noWrap/>
            <w:vAlign w:val="center"/>
          </w:tcPr>
          <w:p w14:paraId="111219B2" w14:textId="13AD54C8" w:rsidR="00934E12" w:rsidRPr="00CE058E" w:rsidRDefault="00934E12" w:rsidP="00934E12">
            <w:pPr>
              <w:spacing w:line="240"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sidRPr="00CE058E">
              <w:rPr>
                <w:rFonts w:cs="Arial"/>
                <w:sz w:val="18"/>
                <w:szCs w:val="18"/>
              </w:rPr>
              <w:t>759,115</w:t>
            </w:r>
          </w:p>
        </w:tc>
        <w:tc>
          <w:tcPr>
            <w:tcW w:w="1418" w:type="dxa"/>
            <w:noWrap/>
            <w:vAlign w:val="center"/>
          </w:tcPr>
          <w:p w14:paraId="7E706E18" w14:textId="7B9A3C6B" w:rsidR="00934E12" w:rsidRPr="00CE058E" w:rsidRDefault="00934E12" w:rsidP="00934E12">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eastAsia="Times New Roman" w:cs="Arial"/>
                <w:color w:val="auto"/>
                <w:sz w:val="18"/>
                <w:szCs w:val="18"/>
                <w:lang w:eastAsia="en-AU"/>
              </w:rPr>
              <w:t>36</w:t>
            </w:r>
          </w:p>
        </w:tc>
      </w:tr>
    </w:tbl>
    <w:p w14:paraId="239E218E" w14:textId="7CED2833" w:rsidR="00935107" w:rsidRPr="00CE058E" w:rsidRDefault="00BF20DA" w:rsidP="007B41F8">
      <w:pPr>
        <w:pStyle w:val="Heading2"/>
      </w:pPr>
      <w:bookmarkStart w:id="417" w:name="_Toc151129728"/>
      <w:bookmarkStart w:id="418" w:name="_Toc158882579"/>
      <w:bookmarkStart w:id="419" w:name="_Toc158882640"/>
      <w:r w:rsidRPr="00CE058E">
        <w:t>Admitted m</w:t>
      </w:r>
      <w:r w:rsidR="00935107" w:rsidRPr="00CE058E">
        <w:t xml:space="preserve">ental </w:t>
      </w:r>
      <w:r w:rsidR="00301519" w:rsidRPr="00CE058E">
        <w:t xml:space="preserve">health </w:t>
      </w:r>
      <w:r w:rsidR="00935107" w:rsidRPr="00CE058E">
        <w:t>average cost</w:t>
      </w:r>
      <w:bookmarkEnd w:id="417"/>
      <w:bookmarkEnd w:id="418"/>
      <w:bookmarkEnd w:id="419"/>
    </w:p>
    <w:p w14:paraId="58A65A93" w14:textId="7E4FB662" w:rsidR="00440620" w:rsidRDefault="00440620" w:rsidP="00440620">
      <w:pPr>
        <w:spacing w:line="276" w:lineRule="auto"/>
        <w:rPr>
          <w:rFonts w:cs="Arial"/>
          <w:color w:val="auto"/>
        </w:rPr>
      </w:pPr>
      <w:r w:rsidRPr="00CE058E">
        <w:rPr>
          <w:rFonts w:cs="Arial"/>
          <w:color w:val="auto"/>
        </w:rPr>
        <w:t xml:space="preserve">Figure </w:t>
      </w:r>
      <w:r w:rsidR="00F80BDE" w:rsidRPr="00CE058E">
        <w:rPr>
          <w:rFonts w:cs="Arial"/>
          <w:color w:val="auto"/>
        </w:rPr>
        <w:t>2</w:t>
      </w:r>
      <w:r w:rsidR="00CB65C0">
        <w:rPr>
          <w:rFonts w:cs="Arial"/>
          <w:color w:val="auto"/>
        </w:rPr>
        <w:t>6</w:t>
      </w:r>
      <w:r w:rsidR="00F80BDE" w:rsidRPr="00CE058E">
        <w:rPr>
          <w:rFonts w:cs="Arial"/>
          <w:color w:val="auto"/>
        </w:rPr>
        <w:t xml:space="preserve"> </w:t>
      </w:r>
      <w:r w:rsidRPr="00CE058E">
        <w:rPr>
          <w:rFonts w:cs="Arial"/>
          <w:color w:val="auto"/>
        </w:rPr>
        <w:t xml:space="preserve">shows the average cost of admitted mental health phases reported in the cost data from 2019-20 to 2021-22. In 2021-22, the national average cost per admitted mental health phase was </w:t>
      </w:r>
      <w:r w:rsidR="00275494" w:rsidRPr="00CE058E">
        <w:rPr>
          <w:rFonts w:cs="Arial"/>
          <w:color w:val="auto"/>
        </w:rPr>
        <w:t>$23,888,</w:t>
      </w:r>
      <w:r w:rsidRPr="00CE058E">
        <w:rPr>
          <w:rFonts w:cs="Arial"/>
          <w:color w:val="auto"/>
        </w:rPr>
        <w:t xml:space="preserve"> a </w:t>
      </w:r>
      <w:r w:rsidR="00275494" w:rsidRPr="00CE058E">
        <w:rPr>
          <w:rFonts w:cs="Arial"/>
          <w:color w:val="auto"/>
        </w:rPr>
        <w:t>15</w:t>
      </w:r>
      <w:r w:rsidR="00897090">
        <w:rPr>
          <w:rFonts w:cs="Arial"/>
          <w:color w:val="auto"/>
        </w:rPr>
        <w:t>%</w:t>
      </w:r>
      <w:r w:rsidRPr="00CE058E">
        <w:rPr>
          <w:rFonts w:cs="Arial"/>
          <w:color w:val="auto"/>
        </w:rPr>
        <w:t xml:space="preserve"> increase from the 2020-21 figure of $</w:t>
      </w:r>
      <w:r w:rsidR="00275494" w:rsidRPr="00CE058E">
        <w:rPr>
          <w:rFonts w:cs="Arial"/>
          <w:color w:val="auto"/>
        </w:rPr>
        <w:t>20,699</w:t>
      </w:r>
      <w:r w:rsidRPr="00CE058E">
        <w:rPr>
          <w:rFonts w:cs="Arial"/>
          <w:color w:val="auto"/>
        </w:rPr>
        <w:t xml:space="preserve">. In 2021-22, the average cost per </w:t>
      </w:r>
      <w:r w:rsidR="00D84CAB" w:rsidRPr="00CE058E">
        <w:rPr>
          <w:rFonts w:cs="Arial"/>
          <w:color w:val="auto"/>
        </w:rPr>
        <w:t>phases</w:t>
      </w:r>
      <w:r w:rsidRPr="00CE058E">
        <w:rPr>
          <w:rFonts w:cs="Arial"/>
          <w:color w:val="auto"/>
        </w:rPr>
        <w:t xml:space="preserve"> at the jurisdictional level ranged from </w:t>
      </w:r>
      <w:r w:rsidR="00275494" w:rsidRPr="00CE058E">
        <w:rPr>
          <w:rFonts w:cs="Arial"/>
          <w:color w:val="auto"/>
        </w:rPr>
        <w:t>$23,123 (New South Wales) to $27,228 (South Australia)</w:t>
      </w:r>
      <w:r w:rsidRPr="00CE058E">
        <w:rPr>
          <w:rFonts w:cs="Arial"/>
          <w:color w:val="auto"/>
        </w:rPr>
        <w:t>.</w:t>
      </w:r>
    </w:p>
    <w:p w14:paraId="04981BDC" w14:textId="58400F8C" w:rsidR="00A82091" w:rsidRPr="00CE058E" w:rsidRDefault="00DD29C5" w:rsidP="00DD29C5">
      <w:pPr>
        <w:pStyle w:val="TableFigureheading"/>
      </w:pPr>
      <w:bookmarkStart w:id="420" w:name="_Toc151370075"/>
      <w:r>
        <w:t xml:space="preserve">Figure </w:t>
      </w:r>
      <w:r>
        <w:fldChar w:fldCharType="begin"/>
      </w:r>
      <w:r>
        <w:instrText xml:space="preserve"> SEQ Figure \* ARABIC </w:instrText>
      </w:r>
      <w:r>
        <w:fldChar w:fldCharType="separate"/>
      </w:r>
      <w:r>
        <w:rPr>
          <w:noProof/>
        </w:rPr>
        <w:t>26</w:t>
      </w:r>
      <w:r>
        <w:rPr>
          <w:noProof/>
        </w:rPr>
        <w:fldChar w:fldCharType="end"/>
      </w:r>
      <w:r>
        <w:t xml:space="preserve">: </w:t>
      </w:r>
      <w:bookmarkStart w:id="421" w:name="_Toc151116362"/>
      <w:r w:rsidR="00A82091" w:rsidRPr="00CE058E">
        <w:t xml:space="preserve">Admitted mental health </w:t>
      </w:r>
      <w:r w:rsidR="009B604F" w:rsidRPr="00CE058E">
        <w:t xml:space="preserve">phases </w:t>
      </w:r>
      <w:r w:rsidR="00A82091" w:rsidRPr="00CE058E">
        <w:t>average cost, 2019-20 to 2021-22</w:t>
      </w:r>
      <w:bookmarkEnd w:id="420"/>
      <w:bookmarkEnd w:id="421"/>
    </w:p>
    <w:p w14:paraId="6EB6DA5C" w14:textId="77777777" w:rsidR="005E0D3F" w:rsidRPr="00CE058E" w:rsidRDefault="00A82091" w:rsidP="00F80BDE">
      <w:pPr>
        <w:spacing w:line="276" w:lineRule="auto"/>
        <w:rPr>
          <w:rFonts w:cs="Arial"/>
          <w:color w:val="auto"/>
        </w:rPr>
      </w:pPr>
      <w:r w:rsidRPr="00CE058E">
        <w:rPr>
          <w:rFonts w:cs="Arial"/>
          <w:noProof/>
        </w:rPr>
        <w:drawing>
          <wp:inline distT="0" distB="0" distL="0" distR="0" wp14:anchorId="7024CFB1" wp14:editId="0EBE8EFF">
            <wp:extent cx="6228000" cy="2448000"/>
            <wp:effectExtent l="0" t="0" r="0" b="0"/>
            <wp:docPr id="7" name="Chart 7">
              <a:extLst xmlns:a="http://schemas.openxmlformats.org/drawingml/2006/main">
                <a:ext uri="{FF2B5EF4-FFF2-40B4-BE49-F238E27FC236}">
                  <a16:creationId xmlns:a16="http://schemas.microsoft.com/office/drawing/2014/main" id="{63A3088D-5033-311C-B37D-A148D31C83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00F80BDE" w:rsidRPr="00CE058E">
        <w:rPr>
          <w:rFonts w:cs="Arial"/>
          <w:color w:val="auto"/>
        </w:rPr>
        <w:t xml:space="preserve"> </w:t>
      </w:r>
    </w:p>
    <w:p w14:paraId="1D397E6F" w14:textId="5314C33D" w:rsidR="00F80BDE" w:rsidRDefault="00F80BDE" w:rsidP="00F80BDE">
      <w:pPr>
        <w:spacing w:line="276" w:lineRule="auto"/>
        <w:rPr>
          <w:rFonts w:cs="Arial"/>
          <w:color w:val="auto"/>
        </w:rPr>
      </w:pPr>
      <w:r w:rsidRPr="00CE058E">
        <w:rPr>
          <w:rFonts w:cs="Arial"/>
          <w:color w:val="auto"/>
        </w:rPr>
        <w:lastRenderedPageBreak/>
        <w:t>Figure 2</w:t>
      </w:r>
      <w:r w:rsidR="00CB65C0">
        <w:rPr>
          <w:rFonts w:cs="Arial"/>
          <w:color w:val="auto"/>
        </w:rPr>
        <w:t>7</w:t>
      </w:r>
      <w:r w:rsidRPr="00CE058E">
        <w:rPr>
          <w:rFonts w:cs="Arial"/>
          <w:color w:val="auto"/>
        </w:rPr>
        <w:t xml:space="preserve"> shows the average cost of admitted mental health episodes reported in the cost data from 2019-20 to 2021-22. In 2021-22, the national average cost per admitted mental health episode was $23,910, a 28</w:t>
      </w:r>
      <w:r w:rsidR="00897090">
        <w:rPr>
          <w:rFonts w:cs="Arial"/>
          <w:color w:val="auto"/>
        </w:rPr>
        <w:t>%</w:t>
      </w:r>
      <w:r w:rsidRPr="00CE058E">
        <w:rPr>
          <w:rFonts w:cs="Arial"/>
          <w:color w:val="auto"/>
        </w:rPr>
        <w:t xml:space="preserve"> increase from the 2020-21 figure of $18,673. In 2021-22, the average cost per episode at the jurisdictional level ranged from $12,569 (New South Wales) to $134,685 (South Australia).</w:t>
      </w:r>
    </w:p>
    <w:p w14:paraId="41B439C6" w14:textId="29DC3137" w:rsidR="00F80BDE" w:rsidRPr="00CE058E" w:rsidRDefault="00DD29C5" w:rsidP="00DD29C5">
      <w:pPr>
        <w:pStyle w:val="TableFigureheading"/>
      </w:pPr>
      <w:bookmarkStart w:id="422" w:name="_Toc151370076"/>
      <w:r>
        <w:t xml:space="preserve">Figure </w:t>
      </w:r>
      <w:r>
        <w:fldChar w:fldCharType="begin"/>
      </w:r>
      <w:r>
        <w:instrText xml:space="preserve"> SEQ Figure \* ARABIC </w:instrText>
      </w:r>
      <w:r>
        <w:fldChar w:fldCharType="separate"/>
      </w:r>
      <w:r>
        <w:rPr>
          <w:noProof/>
        </w:rPr>
        <w:t>27</w:t>
      </w:r>
      <w:r>
        <w:rPr>
          <w:noProof/>
        </w:rPr>
        <w:fldChar w:fldCharType="end"/>
      </w:r>
      <w:r>
        <w:t>:</w:t>
      </w:r>
      <w:bookmarkStart w:id="423" w:name="_Toc151116363"/>
      <w:r w:rsidR="00F80BDE" w:rsidRPr="00CE058E">
        <w:t xml:space="preserve"> Admitted mental health episodes average cost, 2019-20 to 2021-22</w:t>
      </w:r>
      <w:bookmarkEnd w:id="422"/>
      <w:bookmarkEnd w:id="423"/>
    </w:p>
    <w:p w14:paraId="3A19256A" w14:textId="77777777" w:rsidR="00F80BDE" w:rsidRPr="00CE058E" w:rsidRDefault="00F80BDE" w:rsidP="00F80BDE">
      <w:pPr>
        <w:ind w:left="-993" w:right="-1027"/>
        <w:jc w:val="center"/>
        <w:rPr>
          <w:rFonts w:cs="Arial"/>
          <w:highlight w:val="yellow"/>
        </w:rPr>
      </w:pPr>
      <w:r w:rsidRPr="00CE058E">
        <w:rPr>
          <w:rFonts w:cs="Arial"/>
          <w:noProof/>
        </w:rPr>
        <w:drawing>
          <wp:inline distT="0" distB="0" distL="0" distR="0" wp14:anchorId="019E3FB7" wp14:editId="4D25D49F">
            <wp:extent cx="6228000" cy="6660000"/>
            <wp:effectExtent l="0" t="0" r="0" b="0"/>
            <wp:docPr id="2" name="Chart 2">
              <a:extLst xmlns:a="http://schemas.openxmlformats.org/drawingml/2006/main">
                <a:ext uri="{FF2B5EF4-FFF2-40B4-BE49-F238E27FC236}">
                  <a16:creationId xmlns:a16="http://schemas.microsoft.com/office/drawing/2014/main" id="{32930368-FAEB-4FA0-971A-4EB89419C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Pr="00CE058E">
        <w:rPr>
          <w:rFonts w:cs="Arial"/>
          <w:noProof/>
        </w:rPr>
        <w:t xml:space="preserve"> </w:t>
      </w:r>
    </w:p>
    <w:p w14:paraId="19454C25" w14:textId="738FD68E" w:rsidR="005E0D3F" w:rsidRPr="00CE058E" w:rsidRDefault="005E0D3F" w:rsidP="005E0D3F">
      <w:pPr>
        <w:rPr>
          <w:rFonts w:cs="Arial"/>
          <w:highlight w:val="yellow"/>
        </w:rPr>
      </w:pPr>
      <w:r w:rsidRPr="00CE058E">
        <w:rPr>
          <w:rFonts w:cs="Arial"/>
          <w:highlight w:val="yellow"/>
        </w:rPr>
        <w:br w:type="page"/>
      </w:r>
    </w:p>
    <w:p w14:paraId="6140D096" w14:textId="77777777" w:rsidR="00422B1A" w:rsidRPr="00CE058E" w:rsidRDefault="00422B1A" w:rsidP="00422B1A">
      <w:pPr>
        <w:pStyle w:val="Heading3"/>
      </w:pPr>
      <w:bookmarkStart w:id="424" w:name="_Toc151129729"/>
      <w:bookmarkStart w:id="425" w:name="_Toc158882580"/>
      <w:bookmarkStart w:id="426" w:name="_Toc158882641"/>
      <w:r w:rsidRPr="00CE058E">
        <w:lastRenderedPageBreak/>
        <w:t>Admitted mental health cost buckets</w:t>
      </w:r>
      <w:bookmarkEnd w:id="424"/>
      <w:bookmarkEnd w:id="425"/>
      <w:bookmarkEnd w:id="426"/>
    </w:p>
    <w:p w14:paraId="0DEEA9A0" w14:textId="0AACD7D2" w:rsidR="002C33E7" w:rsidRDefault="002C33E7" w:rsidP="00070481">
      <w:pPr>
        <w:spacing w:line="276" w:lineRule="auto"/>
        <w:rPr>
          <w:rFonts w:cs="Arial"/>
          <w:color w:val="auto"/>
        </w:rPr>
      </w:pPr>
      <w:r w:rsidRPr="00CE058E">
        <w:rPr>
          <w:rFonts w:cs="Arial"/>
          <w:color w:val="auto"/>
        </w:rPr>
        <w:t xml:space="preserve">Figure </w:t>
      </w:r>
      <w:r w:rsidR="00F80BDE" w:rsidRPr="00CE058E">
        <w:rPr>
          <w:rFonts w:cs="Arial"/>
          <w:color w:val="auto"/>
        </w:rPr>
        <w:t>2</w:t>
      </w:r>
      <w:r w:rsidR="00CB65C0">
        <w:rPr>
          <w:rFonts w:cs="Arial"/>
          <w:color w:val="auto"/>
        </w:rPr>
        <w:t>8</w:t>
      </w:r>
      <w:r w:rsidRPr="00CE058E">
        <w:rPr>
          <w:rFonts w:cs="Arial"/>
          <w:color w:val="auto"/>
        </w:rPr>
        <w:t xml:space="preserve"> shows the admitted mental health national average cost per phase by cost bucket reported in the cost data from 2019-20 to 2021-22. In 2021-22, the national average cost per admitted mental health </w:t>
      </w:r>
      <w:r w:rsidR="00696803" w:rsidRPr="00CE058E">
        <w:rPr>
          <w:rFonts w:cs="Arial"/>
          <w:color w:val="auto"/>
        </w:rPr>
        <w:t>phase</w:t>
      </w:r>
      <w:r w:rsidRPr="00CE058E">
        <w:rPr>
          <w:rFonts w:cs="Arial"/>
          <w:color w:val="auto"/>
        </w:rPr>
        <w:t xml:space="preserve"> was $</w:t>
      </w:r>
      <w:r w:rsidR="00F932B9" w:rsidRPr="00CE058E">
        <w:rPr>
          <w:rFonts w:cs="Arial"/>
          <w:color w:val="auto"/>
        </w:rPr>
        <w:t>23,888</w:t>
      </w:r>
      <w:r w:rsidRPr="00CE058E">
        <w:rPr>
          <w:rFonts w:cs="Arial"/>
          <w:color w:val="auto"/>
        </w:rPr>
        <w:t xml:space="preserve">, a </w:t>
      </w:r>
      <w:r w:rsidR="00F932B9" w:rsidRPr="00CE058E">
        <w:rPr>
          <w:rFonts w:cs="Arial"/>
          <w:color w:val="auto"/>
        </w:rPr>
        <w:t>15</w:t>
      </w:r>
      <w:r w:rsidR="00897090">
        <w:rPr>
          <w:rFonts w:cs="Arial"/>
          <w:color w:val="auto"/>
        </w:rPr>
        <w:t>%</w:t>
      </w:r>
      <w:r w:rsidRPr="00CE058E">
        <w:rPr>
          <w:rFonts w:cs="Arial"/>
          <w:color w:val="auto"/>
        </w:rPr>
        <w:t xml:space="preserve"> increase from the 2020-21 figure of $</w:t>
      </w:r>
      <w:r w:rsidR="00F932B9" w:rsidRPr="00CE058E">
        <w:rPr>
          <w:rFonts w:cs="Arial"/>
          <w:color w:val="auto"/>
        </w:rPr>
        <w:t>20,699</w:t>
      </w:r>
      <w:r w:rsidRPr="00CE058E">
        <w:rPr>
          <w:rFonts w:cs="Arial"/>
          <w:color w:val="auto"/>
        </w:rPr>
        <w:t>. The ward nursing, ward medical, and ward supplies cost buckets accounted for 68</w:t>
      </w:r>
      <w:r w:rsidR="00897090">
        <w:rPr>
          <w:rFonts w:cs="Arial"/>
          <w:color w:val="auto"/>
        </w:rPr>
        <w:t>%</w:t>
      </w:r>
      <w:r w:rsidRPr="00CE058E">
        <w:rPr>
          <w:rFonts w:cs="Arial"/>
          <w:color w:val="auto"/>
        </w:rPr>
        <w:t xml:space="preserve"> of the increase in the average cost per admitted mental health </w:t>
      </w:r>
      <w:r w:rsidR="00696803" w:rsidRPr="00CE058E">
        <w:rPr>
          <w:rFonts w:cs="Arial"/>
          <w:color w:val="auto"/>
        </w:rPr>
        <w:t>phase</w:t>
      </w:r>
      <w:r w:rsidRPr="00CE058E">
        <w:rPr>
          <w:rFonts w:cs="Arial"/>
          <w:color w:val="auto"/>
        </w:rPr>
        <w:t xml:space="preserve"> from 2020-21 to 2021-22.</w:t>
      </w:r>
    </w:p>
    <w:p w14:paraId="36CAF7DB" w14:textId="39C64D53" w:rsidR="00935107" w:rsidRPr="00CE058E" w:rsidRDefault="00DD29C5" w:rsidP="00DD29C5">
      <w:pPr>
        <w:pStyle w:val="TableFigureheading"/>
      </w:pPr>
      <w:bookmarkStart w:id="427" w:name="_Toc151370077"/>
      <w:r>
        <w:t xml:space="preserve">Figure </w:t>
      </w:r>
      <w:r>
        <w:fldChar w:fldCharType="begin"/>
      </w:r>
      <w:r>
        <w:instrText xml:space="preserve"> SEQ Figure \* ARABIC </w:instrText>
      </w:r>
      <w:r>
        <w:fldChar w:fldCharType="separate"/>
      </w:r>
      <w:r>
        <w:rPr>
          <w:noProof/>
        </w:rPr>
        <w:t>28</w:t>
      </w:r>
      <w:r>
        <w:rPr>
          <w:noProof/>
        </w:rPr>
        <w:fldChar w:fldCharType="end"/>
      </w:r>
      <w:r>
        <w:t xml:space="preserve">: </w:t>
      </w:r>
      <w:bookmarkStart w:id="428" w:name="_Toc151116364"/>
      <w:r w:rsidR="007506C6" w:rsidRPr="00CE058E">
        <w:t>Admitted m</w:t>
      </w:r>
      <w:r w:rsidR="00935107" w:rsidRPr="00CE058E">
        <w:t xml:space="preserve">ental </w:t>
      </w:r>
      <w:r w:rsidR="007506C6" w:rsidRPr="00CE058E">
        <w:t>h</w:t>
      </w:r>
      <w:r w:rsidR="00935107" w:rsidRPr="00CE058E">
        <w:t>ealth</w:t>
      </w:r>
      <w:r w:rsidR="007506C6" w:rsidRPr="00CE058E">
        <w:t xml:space="preserve"> </w:t>
      </w:r>
      <w:r w:rsidR="0000415E" w:rsidRPr="00CE058E">
        <w:t xml:space="preserve">phases </w:t>
      </w:r>
      <w:r w:rsidR="00935107" w:rsidRPr="00CE058E">
        <w:t>cost bucket</w:t>
      </w:r>
      <w:r w:rsidR="009B604F" w:rsidRPr="00CE058E">
        <w:t>s national</w:t>
      </w:r>
      <w:r w:rsidR="004759AF" w:rsidRPr="00CE058E">
        <w:t xml:space="preserve">, </w:t>
      </w:r>
      <w:r w:rsidR="00935107" w:rsidRPr="00CE058E">
        <w:t>2019-20 to 2021-22</w:t>
      </w:r>
      <w:bookmarkEnd w:id="427"/>
      <w:bookmarkEnd w:id="428"/>
    </w:p>
    <w:p w14:paraId="3EBB5BC6" w14:textId="77777777" w:rsidR="005E0D3F" w:rsidRPr="00CE058E" w:rsidRDefault="00A26ED1" w:rsidP="005E0D3F">
      <w:pPr>
        <w:spacing w:before="160"/>
        <w:rPr>
          <w:rFonts w:cs="Arial"/>
          <w:color w:val="auto"/>
        </w:rPr>
      </w:pPr>
      <w:r w:rsidRPr="00CE058E">
        <w:rPr>
          <w:rFonts w:cs="Arial"/>
          <w:noProof/>
        </w:rPr>
        <w:drawing>
          <wp:inline distT="0" distB="0" distL="0" distR="0" wp14:anchorId="73EBC21E" wp14:editId="40445B8E">
            <wp:extent cx="6300000" cy="7164000"/>
            <wp:effectExtent l="0" t="0" r="0" b="0"/>
            <wp:docPr id="1987605765" name="Chart 1987605765">
              <a:extLst xmlns:a="http://schemas.openxmlformats.org/drawingml/2006/main">
                <a:ext uri="{FF2B5EF4-FFF2-40B4-BE49-F238E27FC236}">
                  <a16:creationId xmlns:a16="http://schemas.microsoft.com/office/drawing/2014/main" id="{1116BE21-C0C5-797E-45F8-A0E8F6CE80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F80BDE" w:rsidRPr="00CE058E">
        <w:rPr>
          <w:rFonts w:cs="Arial"/>
          <w:color w:val="auto"/>
        </w:rPr>
        <w:t xml:space="preserve"> </w:t>
      </w:r>
    </w:p>
    <w:p w14:paraId="044B1590" w14:textId="0A773167" w:rsidR="00F80BDE" w:rsidRDefault="00F80BDE" w:rsidP="005E0D3F">
      <w:pPr>
        <w:spacing w:before="160"/>
        <w:rPr>
          <w:rFonts w:cs="Arial"/>
          <w:color w:val="auto"/>
        </w:rPr>
      </w:pPr>
      <w:r w:rsidRPr="00CE058E">
        <w:rPr>
          <w:rFonts w:cs="Arial"/>
          <w:color w:val="auto"/>
        </w:rPr>
        <w:lastRenderedPageBreak/>
        <w:t xml:space="preserve">Figure </w:t>
      </w:r>
      <w:r w:rsidR="00CB65C0">
        <w:rPr>
          <w:rFonts w:cs="Arial"/>
          <w:color w:val="auto"/>
        </w:rPr>
        <w:t>29</w:t>
      </w:r>
      <w:r w:rsidRPr="00CE058E">
        <w:rPr>
          <w:rFonts w:cs="Arial"/>
          <w:color w:val="auto"/>
        </w:rPr>
        <w:t xml:space="preserve"> shows the admitted mental health national average cost per episode by cost bucket reported in the cost data from 2019-20 to 2021-22. In 2021-22, the national average cost per admitted mental health episode was $23,910, a 28</w:t>
      </w:r>
      <w:r w:rsidR="00897090">
        <w:rPr>
          <w:rFonts w:cs="Arial"/>
          <w:color w:val="auto"/>
        </w:rPr>
        <w:t>%</w:t>
      </w:r>
      <w:r w:rsidRPr="00CE058E">
        <w:rPr>
          <w:rFonts w:cs="Arial"/>
          <w:color w:val="auto"/>
        </w:rPr>
        <w:t xml:space="preserve"> increase from the 2020-21 figure of $18,673. The ward nursing, ward medical, and ward supplies cost buckets accounted for 68</w:t>
      </w:r>
      <w:r w:rsidR="00897090">
        <w:rPr>
          <w:rFonts w:cs="Arial"/>
          <w:color w:val="auto"/>
        </w:rPr>
        <w:t>%</w:t>
      </w:r>
      <w:r w:rsidRPr="00CE058E">
        <w:rPr>
          <w:rFonts w:cs="Arial"/>
          <w:color w:val="auto"/>
        </w:rPr>
        <w:t xml:space="preserve"> of the increase in the average cost per admitted mental health episodes from 2020-21 to 2021-22.</w:t>
      </w:r>
    </w:p>
    <w:p w14:paraId="7999C81C" w14:textId="5DC1FF64" w:rsidR="00F80BDE" w:rsidRPr="00CE058E" w:rsidRDefault="00DD29C5" w:rsidP="00DD29C5">
      <w:pPr>
        <w:pStyle w:val="TableFigureheading"/>
      </w:pPr>
      <w:bookmarkStart w:id="429" w:name="_Toc151370078"/>
      <w:r>
        <w:t xml:space="preserve">Figure </w:t>
      </w:r>
      <w:r>
        <w:fldChar w:fldCharType="begin"/>
      </w:r>
      <w:r>
        <w:instrText xml:space="preserve"> SEQ Figure \* ARABIC </w:instrText>
      </w:r>
      <w:r>
        <w:fldChar w:fldCharType="separate"/>
      </w:r>
      <w:r>
        <w:rPr>
          <w:noProof/>
        </w:rPr>
        <w:t>29</w:t>
      </w:r>
      <w:r>
        <w:rPr>
          <w:noProof/>
        </w:rPr>
        <w:fldChar w:fldCharType="end"/>
      </w:r>
      <w:r>
        <w:t xml:space="preserve">: </w:t>
      </w:r>
      <w:r w:rsidR="00F80BDE" w:rsidRPr="00CE058E">
        <w:t>Admitted mental health episodes</w:t>
      </w:r>
      <w:r w:rsidR="00F80BDE" w:rsidRPr="00CE058E" w:rsidDel="00183B32">
        <w:t xml:space="preserve"> </w:t>
      </w:r>
      <w:r w:rsidR="00F80BDE" w:rsidRPr="00CE058E">
        <w:t>cost buckets national, 2019-20 to 2021-22</w:t>
      </w:r>
      <w:bookmarkEnd w:id="429"/>
    </w:p>
    <w:p w14:paraId="629D0841" w14:textId="1B9ED788" w:rsidR="00DC3141" w:rsidRPr="00CE058E" w:rsidRDefault="00F80BDE" w:rsidP="00F80BDE">
      <w:pPr>
        <w:spacing w:line="259" w:lineRule="auto"/>
        <w:rPr>
          <w:rFonts w:cs="Arial"/>
          <w:highlight w:val="yellow"/>
        </w:rPr>
      </w:pPr>
      <w:r w:rsidRPr="00CE058E">
        <w:rPr>
          <w:rFonts w:cs="Arial"/>
          <w:noProof/>
        </w:rPr>
        <w:drawing>
          <wp:inline distT="0" distB="0" distL="0" distR="0" wp14:anchorId="37BF2B89" wp14:editId="2ACBE890">
            <wp:extent cx="6299835" cy="7524000"/>
            <wp:effectExtent l="0" t="0" r="0" b="0"/>
            <wp:docPr id="3" name="Chart 3">
              <a:extLst xmlns:a="http://schemas.openxmlformats.org/drawingml/2006/main">
                <a:ext uri="{FF2B5EF4-FFF2-40B4-BE49-F238E27FC236}">
                  <a16:creationId xmlns:a16="http://schemas.microsoft.com/office/drawing/2014/main" id="{575A5A5F-91DF-4C80-F842-3CC5BDB789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DC3141" w:rsidRPr="00CE058E">
        <w:rPr>
          <w:rFonts w:cs="Arial"/>
          <w:highlight w:val="yellow"/>
        </w:rPr>
        <w:br w:type="page"/>
      </w:r>
    </w:p>
    <w:p w14:paraId="08EF6F8E" w14:textId="1262A020" w:rsidR="00F21638" w:rsidRPr="00CE058E" w:rsidRDefault="00F21638" w:rsidP="005C6AE6">
      <w:pPr>
        <w:pStyle w:val="Heading1"/>
        <w:numPr>
          <w:ilvl w:val="0"/>
          <w:numId w:val="12"/>
        </w:numPr>
        <w:rPr>
          <w:rFonts w:cs="Arial"/>
          <w:bCs/>
        </w:rPr>
      </w:pPr>
      <w:bookmarkStart w:id="430" w:name="_Toc158882642"/>
      <w:r w:rsidRPr="00CE058E">
        <w:rPr>
          <w:rFonts w:cs="Arial"/>
          <w:bCs/>
        </w:rPr>
        <w:lastRenderedPageBreak/>
        <w:t>Community mental health</w:t>
      </w:r>
      <w:bookmarkEnd w:id="430"/>
    </w:p>
    <w:p w14:paraId="64975314" w14:textId="73D3B2C7" w:rsidR="00F21638" w:rsidRPr="00CE058E" w:rsidRDefault="00F21638" w:rsidP="007B41F8">
      <w:pPr>
        <w:pStyle w:val="Heading2"/>
      </w:pPr>
      <w:bookmarkStart w:id="431" w:name="_Toc151129731"/>
      <w:bookmarkStart w:id="432" w:name="_Toc158882582"/>
      <w:bookmarkStart w:id="433" w:name="_Toc158882643"/>
      <w:r w:rsidRPr="00CE058E">
        <w:t>Summary</w:t>
      </w:r>
      <w:bookmarkEnd w:id="431"/>
      <w:bookmarkEnd w:id="432"/>
      <w:bookmarkEnd w:id="433"/>
    </w:p>
    <w:p w14:paraId="349F877D" w14:textId="19AEE39C" w:rsidR="00020C8A" w:rsidRPr="00CE058E" w:rsidRDefault="00F21638" w:rsidP="00070481">
      <w:pPr>
        <w:spacing w:line="276" w:lineRule="auto"/>
        <w:rPr>
          <w:rFonts w:eastAsia="Fira Sans regular" w:cs="Arial"/>
          <w:color w:val="auto"/>
        </w:rPr>
      </w:pPr>
      <w:r w:rsidRPr="00CE058E">
        <w:rPr>
          <w:rFonts w:eastAsia="Fira Sans regular" w:cs="Arial"/>
          <w:color w:val="auto"/>
        </w:rPr>
        <w:t xml:space="preserve">This </w:t>
      </w:r>
      <w:r w:rsidR="00DD18A3" w:rsidRPr="00CE058E">
        <w:rPr>
          <w:rFonts w:eastAsia="Fira Sans regular" w:cs="Arial"/>
          <w:color w:val="auto"/>
        </w:rPr>
        <w:t xml:space="preserve">chapter </w:t>
      </w:r>
      <w:r w:rsidR="004915C1" w:rsidRPr="00CE058E">
        <w:rPr>
          <w:rFonts w:eastAsia="Fira Sans regular" w:cs="Arial"/>
          <w:color w:val="auto"/>
        </w:rPr>
        <w:t>outlines</w:t>
      </w:r>
      <w:r w:rsidRPr="00CE058E">
        <w:rPr>
          <w:rFonts w:eastAsia="Fira Sans regular" w:cs="Arial"/>
          <w:color w:val="auto"/>
        </w:rPr>
        <w:t xml:space="preserve"> the community mental health activity, cost, and average cost per</w:t>
      </w:r>
      <w:r w:rsidR="00252AAA">
        <w:rPr>
          <w:rFonts w:eastAsia="Fira Sans regular" w:cs="Arial"/>
          <w:color w:val="auto"/>
        </w:rPr>
        <w:t xml:space="preserve"> phase and episode </w:t>
      </w:r>
      <w:r w:rsidRPr="00CE058E">
        <w:rPr>
          <w:rFonts w:eastAsia="Fira Sans regular" w:cs="Arial"/>
          <w:color w:val="auto"/>
        </w:rPr>
        <w:t>from 2019-2</w:t>
      </w:r>
      <w:r w:rsidR="00967298">
        <w:rPr>
          <w:rFonts w:eastAsia="Fira Sans regular" w:cs="Arial"/>
          <w:color w:val="auto"/>
        </w:rPr>
        <w:t>0</w:t>
      </w:r>
      <w:r w:rsidRPr="00CE058E">
        <w:rPr>
          <w:rFonts w:eastAsia="Fira Sans regular" w:cs="Arial"/>
          <w:color w:val="auto"/>
        </w:rPr>
        <w:t xml:space="preserve"> to 2021-22. The mental health episode of care is defined as the period between the commencement and completion of care characterised by the mental health care type. </w:t>
      </w:r>
    </w:p>
    <w:p w14:paraId="0F2FC99B" w14:textId="22C15324" w:rsidR="00CB65C0" w:rsidRDefault="00F21638" w:rsidP="00333FE9">
      <w:pPr>
        <w:spacing w:line="276" w:lineRule="auto"/>
        <w:rPr>
          <w:rFonts w:cs="Arial"/>
          <w:color w:val="auto"/>
        </w:rPr>
      </w:pPr>
      <w:r w:rsidRPr="00CE058E">
        <w:rPr>
          <w:rFonts w:eastAsia="Fira Sans regular" w:cs="Arial"/>
          <w:color w:val="auto"/>
        </w:rPr>
        <w:t xml:space="preserve">There are </w:t>
      </w:r>
      <w:r w:rsidR="00EE76DB">
        <w:rPr>
          <w:rFonts w:eastAsia="Fira Sans regular" w:cs="Arial"/>
          <w:color w:val="auto"/>
        </w:rPr>
        <w:t>5</w:t>
      </w:r>
      <w:r w:rsidR="00EE76DB" w:rsidRPr="00CE058E">
        <w:rPr>
          <w:rFonts w:eastAsia="Fira Sans regular" w:cs="Arial"/>
          <w:color w:val="auto"/>
        </w:rPr>
        <w:t xml:space="preserve"> </w:t>
      </w:r>
      <w:r w:rsidRPr="00CE058E">
        <w:rPr>
          <w:rFonts w:eastAsia="Fira Sans regular" w:cs="Arial"/>
          <w:color w:val="auto"/>
        </w:rPr>
        <w:t>phases of mental health care: acute, functional gain, intensive extended</w:t>
      </w:r>
      <w:r w:rsidR="0B1AD596" w:rsidRPr="00CE058E">
        <w:rPr>
          <w:rFonts w:eastAsia="Fira Sans regular" w:cs="Arial"/>
          <w:color w:val="auto"/>
        </w:rPr>
        <w:t>,</w:t>
      </w:r>
      <w:r w:rsidRPr="00CE058E">
        <w:rPr>
          <w:rFonts w:eastAsia="Fira Sans regular" w:cs="Arial"/>
          <w:color w:val="auto"/>
        </w:rPr>
        <w:t xml:space="preserve"> consolidat</w:t>
      </w:r>
      <w:r w:rsidR="4761011F" w:rsidRPr="00CE058E">
        <w:rPr>
          <w:rFonts w:eastAsia="Fira Sans regular" w:cs="Arial"/>
          <w:color w:val="auto"/>
        </w:rPr>
        <w:t>ed</w:t>
      </w:r>
      <w:r w:rsidRPr="00CE058E">
        <w:rPr>
          <w:rFonts w:eastAsia="Fira Sans regular" w:cs="Arial"/>
          <w:color w:val="auto"/>
        </w:rPr>
        <w:t xml:space="preserve"> gain</w:t>
      </w:r>
      <w:r w:rsidR="00020C8A" w:rsidRPr="00CE058E">
        <w:rPr>
          <w:rFonts w:eastAsia="Fira Sans regular" w:cs="Arial"/>
          <w:color w:val="auto"/>
        </w:rPr>
        <w:t>,</w:t>
      </w:r>
      <w:r w:rsidR="016DF8D0" w:rsidRPr="00CE058E">
        <w:rPr>
          <w:rFonts w:eastAsia="Fira Sans regular" w:cs="Arial"/>
          <w:color w:val="auto"/>
        </w:rPr>
        <w:t xml:space="preserve"> and assessment only</w:t>
      </w:r>
      <w:r w:rsidRPr="00CE058E">
        <w:rPr>
          <w:rFonts w:eastAsia="Fira Sans regular" w:cs="Arial"/>
          <w:color w:val="auto"/>
        </w:rPr>
        <w:t>. Due to separate methods for the linking of episodes and phases, the linked numbers and linking</w:t>
      </w:r>
      <w:r w:rsidR="00EE76DB">
        <w:rPr>
          <w:rFonts w:eastAsia="Fira Sans regular" w:cs="Arial"/>
          <w:color w:val="auto"/>
        </w:rPr>
        <w:t xml:space="preserve"> percentages</w:t>
      </w:r>
      <w:r w:rsidRPr="00CE058E">
        <w:rPr>
          <w:rFonts w:eastAsia="Fira Sans regular" w:cs="Arial"/>
          <w:color w:val="auto"/>
        </w:rPr>
        <w:t xml:space="preserve"> for episodes and phases are presented separately in all circumstances.</w:t>
      </w:r>
      <w:r w:rsidR="00020C8A" w:rsidRPr="00CE058E">
        <w:rPr>
          <w:rFonts w:cs="Arial"/>
          <w:color w:val="auto"/>
        </w:rPr>
        <w:t xml:space="preserve"> The Australian Mental Health Care Classification (AMHCC) v1.0.1 was used to prepare</w:t>
      </w:r>
      <w:r w:rsidR="000A63CC" w:rsidRPr="00CE058E">
        <w:rPr>
          <w:rFonts w:cs="Arial"/>
          <w:color w:val="auto"/>
        </w:rPr>
        <w:t xml:space="preserve"> results for phase and episode level data in</w:t>
      </w:r>
      <w:r w:rsidR="00020C8A" w:rsidRPr="00CE058E">
        <w:rPr>
          <w:rFonts w:cs="Arial"/>
          <w:color w:val="auto"/>
        </w:rPr>
        <w:t xml:space="preserve"> this chapter.</w:t>
      </w:r>
      <w:bookmarkStart w:id="434" w:name="_Hlk148533689"/>
      <w:r w:rsidR="00BD5DEA">
        <w:rPr>
          <w:rFonts w:cs="Arial"/>
          <w:color w:val="auto"/>
        </w:rPr>
        <w:t xml:space="preserve"> </w:t>
      </w:r>
      <w:r w:rsidR="00CB65C0">
        <w:rPr>
          <w:rFonts w:cs="Arial"/>
          <w:color w:val="auto"/>
        </w:rPr>
        <w:t>Note that</w:t>
      </w:r>
      <w:r w:rsidR="00CB65C0" w:rsidRPr="00CE058E">
        <w:rPr>
          <w:rFonts w:cs="Arial"/>
          <w:color w:val="auto"/>
        </w:rPr>
        <w:t xml:space="preserve"> </w:t>
      </w:r>
      <w:r w:rsidR="00CB65C0">
        <w:rPr>
          <w:rFonts w:cs="Arial"/>
          <w:color w:val="auto"/>
        </w:rPr>
        <w:t xml:space="preserve">a community mental health episode of care can be </w:t>
      </w:r>
      <w:r w:rsidR="00BD5DEA">
        <w:rPr>
          <w:rFonts w:cs="Arial"/>
          <w:color w:val="auto"/>
        </w:rPr>
        <w:t>split</w:t>
      </w:r>
      <w:r w:rsidR="00CB65C0">
        <w:rPr>
          <w:rFonts w:cs="Arial"/>
          <w:color w:val="auto"/>
        </w:rPr>
        <w:t xml:space="preserve"> into </w:t>
      </w:r>
      <w:r w:rsidR="00CB65C0" w:rsidRPr="00CB65C0">
        <w:rPr>
          <w:rFonts w:cs="Arial"/>
          <w:color w:val="auto"/>
        </w:rPr>
        <w:t>defined mental health phases of</w:t>
      </w:r>
      <w:r w:rsidR="00CB65C0">
        <w:rPr>
          <w:rFonts w:cs="Arial"/>
          <w:color w:val="auto"/>
        </w:rPr>
        <w:t xml:space="preserve"> </w:t>
      </w:r>
      <w:r w:rsidR="00CB65C0" w:rsidRPr="00CB65C0">
        <w:rPr>
          <w:rFonts w:cs="Arial"/>
          <w:color w:val="auto"/>
        </w:rPr>
        <w:t>care.</w:t>
      </w:r>
      <w:r w:rsidR="00CB65C0">
        <w:rPr>
          <w:rFonts w:cs="Arial"/>
          <w:color w:val="auto"/>
        </w:rPr>
        <w:t xml:space="preserve"> </w:t>
      </w:r>
    </w:p>
    <w:p w14:paraId="510147AA" w14:textId="15806C48" w:rsidR="00020C8A" w:rsidRPr="00CE058E" w:rsidRDefault="00333FE9" w:rsidP="00333FE9">
      <w:pPr>
        <w:spacing w:line="276" w:lineRule="auto"/>
        <w:rPr>
          <w:rFonts w:cs="Arial"/>
          <w:color w:val="auto"/>
          <w:highlight w:val="yellow"/>
        </w:rPr>
      </w:pPr>
      <w:r w:rsidRPr="00CE058E">
        <w:rPr>
          <w:rFonts w:cs="Arial"/>
          <w:color w:val="auto"/>
        </w:rPr>
        <w:t xml:space="preserve">In 2021-22, </w:t>
      </w:r>
      <w:r w:rsidR="00F80BDE" w:rsidRPr="00CE058E">
        <w:rPr>
          <w:rFonts w:cs="Arial"/>
          <w:color w:val="auto"/>
        </w:rPr>
        <w:t>there were 555,828 community mental health phases nationally in 2021-22, a 37</w:t>
      </w:r>
      <w:r w:rsidR="00897090">
        <w:rPr>
          <w:rFonts w:cs="Arial"/>
          <w:color w:val="auto"/>
        </w:rPr>
        <w:t>%</w:t>
      </w:r>
      <w:r w:rsidR="00F80BDE" w:rsidRPr="00CE058E">
        <w:rPr>
          <w:rFonts w:cs="Arial"/>
          <w:color w:val="auto"/>
        </w:rPr>
        <w:t xml:space="preserve"> increase to the 2020-21 figure of 405,815. T</w:t>
      </w:r>
      <w:r w:rsidRPr="00CE058E">
        <w:rPr>
          <w:rFonts w:cs="Arial"/>
          <w:color w:val="auto"/>
        </w:rPr>
        <w:t>here were 219,032 community mental health episodes nationally, a 4</w:t>
      </w:r>
      <w:r w:rsidR="00897090">
        <w:rPr>
          <w:rFonts w:cs="Arial"/>
          <w:color w:val="auto"/>
        </w:rPr>
        <w:t>%</w:t>
      </w:r>
      <w:r w:rsidRPr="00CE058E">
        <w:rPr>
          <w:rFonts w:cs="Arial"/>
          <w:color w:val="auto"/>
        </w:rPr>
        <w:t xml:space="preserve"> decrease to the 2020-21 figure of 228,356. </w:t>
      </w:r>
    </w:p>
    <w:bookmarkEnd w:id="434"/>
    <w:p w14:paraId="5C2C6CCD" w14:textId="567CEDC9" w:rsidR="00020C8A" w:rsidRPr="00CE058E" w:rsidRDefault="00333FE9" w:rsidP="00333FE9">
      <w:pPr>
        <w:spacing w:line="276" w:lineRule="auto"/>
        <w:rPr>
          <w:rFonts w:cs="Arial"/>
          <w:color w:val="auto"/>
        </w:rPr>
      </w:pPr>
      <w:r w:rsidRPr="00CE058E">
        <w:rPr>
          <w:rFonts w:cs="Arial"/>
          <w:color w:val="auto"/>
        </w:rPr>
        <w:t xml:space="preserve">In 2021-22, </w:t>
      </w:r>
      <w:r w:rsidR="005E0D3F" w:rsidRPr="00CE058E">
        <w:rPr>
          <w:rFonts w:cs="Arial"/>
          <w:color w:val="auto"/>
        </w:rPr>
        <w:t>the</w:t>
      </w:r>
      <w:r w:rsidR="005F5A2E" w:rsidRPr="00CE058E">
        <w:rPr>
          <w:rFonts w:cs="Arial"/>
          <w:color w:val="auto"/>
        </w:rPr>
        <w:t xml:space="preserve"> cost of community mental health phases was $1.5 billion nationally in 2021-22, a 29</w:t>
      </w:r>
      <w:r w:rsidR="00897090">
        <w:rPr>
          <w:rFonts w:cs="Arial"/>
          <w:color w:val="auto"/>
        </w:rPr>
        <w:t>%</w:t>
      </w:r>
      <w:r w:rsidR="005F5A2E" w:rsidRPr="00CE058E">
        <w:rPr>
          <w:rFonts w:cs="Arial"/>
          <w:color w:val="auto"/>
        </w:rPr>
        <w:t xml:space="preserve"> increase to the 2020-21 figure of $1.2 billion. T</w:t>
      </w:r>
      <w:r w:rsidRPr="00CE058E">
        <w:rPr>
          <w:rFonts w:cs="Arial"/>
          <w:color w:val="auto"/>
        </w:rPr>
        <w:t>he cost reported for community mental health episodes was $84.1 million nationally, a 22</w:t>
      </w:r>
      <w:r w:rsidR="00897090">
        <w:rPr>
          <w:rFonts w:cs="Arial"/>
          <w:color w:val="auto"/>
        </w:rPr>
        <w:t>%</w:t>
      </w:r>
      <w:r w:rsidRPr="00CE058E">
        <w:rPr>
          <w:rFonts w:cs="Arial"/>
          <w:color w:val="auto"/>
        </w:rPr>
        <w:t xml:space="preserve"> decrease to the 2020-21 figure of $107.2 million. </w:t>
      </w:r>
    </w:p>
    <w:p w14:paraId="319CED79" w14:textId="50E833BF" w:rsidR="00CB65C0" w:rsidRDefault="005F5A2E" w:rsidP="00333FE9">
      <w:pPr>
        <w:spacing w:line="276" w:lineRule="auto"/>
        <w:rPr>
          <w:rFonts w:cs="Arial"/>
          <w:color w:val="auto"/>
        </w:rPr>
      </w:pPr>
      <w:r w:rsidRPr="00CE058E">
        <w:rPr>
          <w:rFonts w:cs="Arial"/>
          <w:color w:val="auto"/>
        </w:rPr>
        <w:t>The national average cost per community mental health phase was $2,718 for 2021-22, a 6</w:t>
      </w:r>
      <w:r w:rsidR="00897090">
        <w:rPr>
          <w:rFonts w:cs="Arial"/>
          <w:color w:val="auto"/>
        </w:rPr>
        <w:t>%</w:t>
      </w:r>
      <w:r w:rsidRPr="00CE058E">
        <w:rPr>
          <w:rFonts w:cs="Arial"/>
          <w:color w:val="auto"/>
        </w:rPr>
        <w:t xml:space="preserve"> decrease to the 2020-21 national average of $2,882. </w:t>
      </w:r>
      <w:r w:rsidR="00333FE9" w:rsidRPr="00CE058E">
        <w:rPr>
          <w:rFonts w:cs="Arial"/>
          <w:color w:val="auto"/>
        </w:rPr>
        <w:t>The national average cost per community mental health episode was $384 for 2021-22, a</w:t>
      </w:r>
      <w:r w:rsidR="00020C8A" w:rsidRPr="00CE058E">
        <w:rPr>
          <w:rFonts w:cs="Arial"/>
          <w:color w:val="auto"/>
        </w:rPr>
        <w:t>n</w:t>
      </w:r>
      <w:r w:rsidR="00333FE9" w:rsidRPr="00CE058E">
        <w:rPr>
          <w:rFonts w:cs="Arial"/>
          <w:color w:val="auto"/>
        </w:rPr>
        <w:t xml:space="preserve"> </w:t>
      </w:r>
      <w:r w:rsidR="00020C8A" w:rsidRPr="00CE058E">
        <w:rPr>
          <w:rFonts w:cs="Arial"/>
          <w:color w:val="auto"/>
        </w:rPr>
        <w:t>18</w:t>
      </w:r>
      <w:r w:rsidR="00897090">
        <w:rPr>
          <w:rFonts w:cs="Arial"/>
          <w:color w:val="auto"/>
        </w:rPr>
        <w:t>%</w:t>
      </w:r>
      <w:r w:rsidR="00020C8A" w:rsidRPr="00CE058E">
        <w:rPr>
          <w:rFonts w:cs="Arial"/>
          <w:color w:val="auto"/>
        </w:rPr>
        <w:t xml:space="preserve"> decrease </w:t>
      </w:r>
      <w:r w:rsidR="00333FE9" w:rsidRPr="00CE058E">
        <w:rPr>
          <w:rFonts w:cs="Arial"/>
          <w:color w:val="auto"/>
        </w:rPr>
        <w:t>to the 2020-21 national average of $</w:t>
      </w:r>
      <w:r w:rsidR="00020C8A" w:rsidRPr="00CE058E">
        <w:rPr>
          <w:rFonts w:cs="Arial"/>
          <w:color w:val="auto"/>
        </w:rPr>
        <w:t>469</w:t>
      </w:r>
      <w:r w:rsidR="00333FE9" w:rsidRPr="00CE058E">
        <w:rPr>
          <w:rFonts w:cs="Arial"/>
          <w:color w:val="auto"/>
        </w:rPr>
        <w:t>.</w:t>
      </w:r>
      <w:r w:rsidR="00997696">
        <w:rPr>
          <w:rFonts w:cs="Arial"/>
          <w:color w:val="auto"/>
        </w:rPr>
        <w:t xml:space="preserve"> </w:t>
      </w:r>
    </w:p>
    <w:p w14:paraId="1A38D9F5" w14:textId="5C1259BB" w:rsidR="00997696" w:rsidRDefault="00997696">
      <w:pPr>
        <w:spacing w:line="259" w:lineRule="auto"/>
        <w:rPr>
          <w:rFonts w:eastAsiaTheme="majorEastAsia" w:cs="Arial"/>
          <w:b/>
          <w:color w:val="auto"/>
          <w:sz w:val="36"/>
          <w:szCs w:val="26"/>
        </w:rPr>
      </w:pPr>
      <w:r>
        <w:rPr>
          <w:color w:val="auto"/>
        </w:rPr>
        <w:br w:type="page"/>
      </w:r>
    </w:p>
    <w:p w14:paraId="6E0F4151" w14:textId="389720A3" w:rsidR="00F21638" w:rsidRPr="00CE058E" w:rsidRDefault="00F21638" w:rsidP="007B41F8">
      <w:pPr>
        <w:pStyle w:val="Heading2"/>
      </w:pPr>
      <w:bookmarkStart w:id="435" w:name="_Toc151129732"/>
      <w:bookmarkStart w:id="436" w:name="_Toc158882583"/>
      <w:bookmarkStart w:id="437" w:name="_Toc158882644"/>
      <w:r w:rsidRPr="00CE058E">
        <w:lastRenderedPageBreak/>
        <w:t>Community mental health cost and activity</w:t>
      </w:r>
      <w:bookmarkEnd w:id="435"/>
      <w:bookmarkEnd w:id="436"/>
      <w:bookmarkEnd w:id="437"/>
    </w:p>
    <w:p w14:paraId="6D402C1C" w14:textId="67849883" w:rsidR="006F23B5" w:rsidRPr="00CE058E" w:rsidRDefault="004D2D3F" w:rsidP="005F5A2E">
      <w:pPr>
        <w:spacing w:line="276" w:lineRule="auto"/>
        <w:rPr>
          <w:rFonts w:cs="Arial"/>
          <w:color w:val="auto"/>
        </w:rPr>
      </w:pPr>
      <w:r w:rsidRPr="00CE058E">
        <w:rPr>
          <w:rFonts w:cs="Arial"/>
          <w:color w:val="auto"/>
        </w:rPr>
        <w:t>Nationally, 100</w:t>
      </w:r>
      <w:r w:rsidR="00897090">
        <w:rPr>
          <w:rFonts w:cs="Arial"/>
          <w:color w:val="auto"/>
        </w:rPr>
        <w:t>%</w:t>
      </w:r>
      <w:r w:rsidRPr="00CE058E">
        <w:rPr>
          <w:rFonts w:cs="Arial"/>
          <w:color w:val="auto"/>
        </w:rPr>
        <w:t xml:space="preserve"> of the submitted NHCDC records</w:t>
      </w:r>
      <w:r w:rsidR="00781BF9" w:rsidRPr="00CE058E">
        <w:rPr>
          <w:rFonts w:cs="Arial"/>
          <w:color w:val="auto"/>
        </w:rPr>
        <w:t xml:space="preserve">, </w:t>
      </w:r>
      <w:r w:rsidR="00EE76DB" w:rsidRPr="00CE058E">
        <w:rPr>
          <w:rFonts w:cs="Arial"/>
          <w:color w:val="auto"/>
        </w:rPr>
        <w:t>episode,</w:t>
      </w:r>
      <w:r w:rsidR="00781BF9" w:rsidRPr="00CE058E">
        <w:rPr>
          <w:rFonts w:cs="Arial"/>
          <w:color w:val="auto"/>
        </w:rPr>
        <w:t xml:space="preserve"> and phase level,</w:t>
      </w:r>
      <w:r w:rsidRPr="00CE058E">
        <w:rPr>
          <w:rFonts w:cs="Arial"/>
          <w:color w:val="auto"/>
        </w:rPr>
        <w:t xml:space="preserve"> were linked to </w:t>
      </w:r>
      <w:r w:rsidR="00B962E9" w:rsidRPr="00CE058E">
        <w:rPr>
          <w:rFonts w:cs="Arial"/>
          <w:color w:val="auto"/>
        </w:rPr>
        <w:t xml:space="preserve">community mental health </w:t>
      </w:r>
      <w:r w:rsidRPr="00CE058E">
        <w:rPr>
          <w:rFonts w:cs="Arial"/>
          <w:color w:val="auto"/>
        </w:rPr>
        <w:t>activity.</w:t>
      </w:r>
      <w:r w:rsidR="00246095" w:rsidRPr="00CE058E">
        <w:rPr>
          <w:rFonts w:cs="Arial"/>
          <w:color w:val="auto"/>
        </w:rPr>
        <w:t xml:space="preserve"> </w:t>
      </w:r>
      <w:r w:rsidR="009937B7" w:rsidRPr="00CE058E">
        <w:rPr>
          <w:rFonts w:cs="Arial"/>
          <w:color w:val="auto"/>
        </w:rPr>
        <w:t xml:space="preserve">Table </w:t>
      </w:r>
      <w:r w:rsidR="005F5A2E" w:rsidRPr="00CE058E">
        <w:rPr>
          <w:rFonts w:cs="Arial"/>
          <w:color w:val="auto"/>
        </w:rPr>
        <w:t xml:space="preserve">22 </w:t>
      </w:r>
      <w:r w:rsidR="009937B7" w:rsidRPr="00CE058E">
        <w:rPr>
          <w:rFonts w:cs="Arial"/>
          <w:color w:val="auto"/>
        </w:rPr>
        <w:t>shows the number of linked NHCDC records as a proportion of the community mental health phase activity</w:t>
      </w:r>
      <w:r w:rsidR="00781BF9" w:rsidRPr="00CE058E">
        <w:rPr>
          <w:rFonts w:cs="Arial"/>
          <w:color w:val="auto"/>
        </w:rPr>
        <w:t>,</w:t>
      </w:r>
      <w:r w:rsidR="009937B7" w:rsidRPr="00CE058E">
        <w:rPr>
          <w:rFonts w:cs="Arial"/>
          <w:color w:val="auto"/>
        </w:rPr>
        <w:t xml:space="preserve"> by jurisdiction from 2019-20 to 2021-22. </w:t>
      </w:r>
      <w:r w:rsidR="00781BF9" w:rsidRPr="00CE058E">
        <w:rPr>
          <w:rFonts w:cs="Arial"/>
          <w:color w:val="auto"/>
        </w:rPr>
        <w:t>Nationally, the</w:t>
      </w:r>
      <w:r w:rsidR="009937B7" w:rsidRPr="00CE058E">
        <w:rPr>
          <w:rFonts w:cs="Arial"/>
          <w:color w:val="auto"/>
        </w:rPr>
        <w:t xml:space="preserve"> linked NHCDC </w:t>
      </w:r>
      <w:r w:rsidR="00781BF9" w:rsidRPr="00CE058E">
        <w:rPr>
          <w:rFonts w:cs="Arial"/>
          <w:color w:val="auto"/>
        </w:rPr>
        <w:t xml:space="preserve">phase </w:t>
      </w:r>
      <w:r w:rsidR="009937B7" w:rsidRPr="00CE058E">
        <w:rPr>
          <w:rFonts w:cs="Arial"/>
          <w:color w:val="auto"/>
        </w:rPr>
        <w:t xml:space="preserve">records </w:t>
      </w:r>
      <w:r w:rsidR="002A435B" w:rsidRPr="00CE058E">
        <w:rPr>
          <w:rFonts w:cs="Arial"/>
          <w:color w:val="auto"/>
        </w:rPr>
        <w:t>increased</w:t>
      </w:r>
      <w:r w:rsidR="009937B7" w:rsidRPr="00CE058E">
        <w:rPr>
          <w:rFonts w:cs="Arial"/>
          <w:color w:val="auto"/>
        </w:rPr>
        <w:t xml:space="preserve"> by </w:t>
      </w:r>
      <w:r w:rsidR="00781BF9" w:rsidRPr="00CE058E">
        <w:rPr>
          <w:rFonts w:cs="Arial"/>
          <w:color w:val="auto"/>
        </w:rPr>
        <w:t>150,013</w:t>
      </w:r>
      <w:r w:rsidR="009937B7" w:rsidRPr="00CE058E">
        <w:rPr>
          <w:rFonts w:cs="Arial"/>
          <w:color w:val="auto"/>
        </w:rPr>
        <w:t xml:space="preserve"> (</w:t>
      </w:r>
      <w:r w:rsidR="00781BF9" w:rsidRPr="00CE058E">
        <w:rPr>
          <w:rFonts w:cs="Arial"/>
          <w:color w:val="auto"/>
        </w:rPr>
        <w:t>37</w:t>
      </w:r>
      <w:r w:rsidR="00897090">
        <w:rPr>
          <w:rFonts w:cs="Arial"/>
          <w:color w:val="auto"/>
        </w:rPr>
        <w:t>%</w:t>
      </w:r>
      <w:r w:rsidR="009937B7" w:rsidRPr="00CE058E">
        <w:rPr>
          <w:rFonts w:cs="Arial"/>
          <w:color w:val="auto"/>
        </w:rPr>
        <w:t xml:space="preserve">) and activity </w:t>
      </w:r>
      <w:r w:rsidR="002A435B" w:rsidRPr="00CE058E">
        <w:rPr>
          <w:rFonts w:cs="Arial"/>
          <w:color w:val="auto"/>
        </w:rPr>
        <w:t>increased</w:t>
      </w:r>
      <w:r w:rsidR="009937B7" w:rsidRPr="00CE058E">
        <w:rPr>
          <w:rFonts w:cs="Arial"/>
          <w:color w:val="auto"/>
        </w:rPr>
        <w:t xml:space="preserve"> by</w:t>
      </w:r>
      <w:r w:rsidR="005A2199" w:rsidRPr="00CE058E">
        <w:rPr>
          <w:rFonts w:cs="Arial"/>
          <w:color w:val="auto"/>
        </w:rPr>
        <w:t xml:space="preserve"> </w:t>
      </w:r>
      <w:r w:rsidR="00781BF9" w:rsidRPr="00CE058E">
        <w:rPr>
          <w:rFonts w:cs="Arial"/>
          <w:color w:val="auto"/>
        </w:rPr>
        <w:t>24,393</w:t>
      </w:r>
      <w:r w:rsidR="009937B7" w:rsidRPr="00CE058E">
        <w:rPr>
          <w:rFonts w:cs="Arial"/>
          <w:color w:val="auto"/>
        </w:rPr>
        <w:t xml:space="preserve"> (</w:t>
      </w:r>
      <w:r w:rsidR="00781BF9" w:rsidRPr="00CE058E">
        <w:rPr>
          <w:rFonts w:cs="Arial"/>
          <w:color w:val="auto"/>
        </w:rPr>
        <w:t>3</w:t>
      </w:r>
      <w:r w:rsidR="00897090">
        <w:rPr>
          <w:rFonts w:cs="Arial"/>
          <w:color w:val="auto"/>
        </w:rPr>
        <w:t>%</w:t>
      </w:r>
      <w:r w:rsidR="009937B7" w:rsidRPr="00CE058E">
        <w:rPr>
          <w:rFonts w:cs="Arial"/>
          <w:color w:val="auto"/>
        </w:rPr>
        <w:t xml:space="preserve">) from 2019-20 to 2021-22. Nationally, the linked NHCDC records as a proportion of activity decreased by </w:t>
      </w:r>
      <w:r w:rsidR="005A2199" w:rsidRPr="00CE058E">
        <w:rPr>
          <w:rFonts w:cs="Arial"/>
          <w:color w:val="auto"/>
        </w:rPr>
        <w:t>6</w:t>
      </w:r>
      <w:r w:rsidR="00897090">
        <w:rPr>
          <w:rFonts w:cs="Arial"/>
          <w:color w:val="auto"/>
        </w:rPr>
        <w:t>%</w:t>
      </w:r>
      <w:r w:rsidR="009937B7" w:rsidRPr="00CE058E">
        <w:rPr>
          <w:rFonts w:cs="Arial"/>
          <w:color w:val="auto"/>
        </w:rPr>
        <w:t xml:space="preserve"> from </w:t>
      </w:r>
      <w:r w:rsidR="005A2199" w:rsidRPr="00CE058E">
        <w:rPr>
          <w:rFonts w:cs="Arial"/>
          <w:color w:val="auto"/>
        </w:rPr>
        <w:t>56</w:t>
      </w:r>
      <w:r w:rsidR="00897090">
        <w:rPr>
          <w:rFonts w:cs="Arial"/>
          <w:color w:val="auto"/>
        </w:rPr>
        <w:t>%</w:t>
      </w:r>
      <w:r w:rsidR="009937B7" w:rsidRPr="00CE058E">
        <w:rPr>
          <w:rFonts w:cs="Arial"/>
          <w:color w:val="auto"/>
        </w:rPr>
        <w:t xml:space="preserve"> in 2019-20 to </w:t>
      </w:r>
      <w:r w:rsidR="005A2199" w:rsidRPr="00CE058E">
        <w:rPr>
          <w:rFonts w:cs="Arial"/>
          <w:color w:val="auto"/>
        </w:rPr>
        <w:t>50</w:t>
      </w:r>
      <w:r w:rsidR="00897090">
        <w:rPr>
          <w:rFonts w:cs="Arial"/>
          <w:color w:val="auto"/>
        </w:rPr>
        <w:t>%</w:t>
      </w:r>
      <w:r w:rsidR="009937B7" w:rsidRPr="00CE058E">
        <w:rPr>
          <w:rFonts w:cs="Arial"/>
          <w:color w:val="auto"/>
        </w:rPr>
        <w:t xml:space="preserve"> in 2021-22.</w:t>
      </w:r>
    </w:p>
    <w:p w14:paraId="6F9F41F3" w14:textId="64DBD2F9" w:rsidR="00B67CE3" w:rsidRPr="00CE058E" w:rsidRDefault="002F162B" w:rsidP="00B42434">
      <w:pPr>
        <w:pStyle w:val="TableFigureheading"/>
      </w:pPr>
      <w:bookmarkStart w:id="438" w:name="_Toc149650924"/>
      <w:bookmarkStart w:id="439" w:name="_Toc151370048"/>
      <w:r w:rsidRPr="00CE058E">
        <w:t xml:space="preserve">Table </w:t>
      </w:r>
      <w:r>
        <w:fldChar w:fldCharType="begin"/>
      </w:r>
      <w:r>
        <w:instrText xml:space="preserve"> SEQ Table \* ARABIC </w:instrText>
      </w:r>
      <w:r>
        <w:fldChar w:fldCharType="separate"/>
      </w:r>
      <w:r w:rsidR="00B42434">
        <w:rPr>
          <w:noProof/>
        </w:rPr>
        <w:t>22</w:t>
      </w:r>
      <w:r>
        <w:rPr>
          <w:noProof/>
        </w:rPr>
        <w:fldChar w:fldCharType="end"/>
      </w:r>
      <w:r w:rsidR="00BB2DE2" w:rsidRPr="00CE058E">
        <w:t>: Proportion of linked NHCDC records to phase</w:t>
      </w:r>
      <w:r w:rsidR="000A63CC" w:rsidRPr="00CE058E">
        <w:t xml:space="preserve"> (AMHCC)</w:t>
      </w:r>
      <w:r w:rsidR="00BB2DE2" w:rsidRPr="00CE058E">
        <w:t xml:space="preserve"> activity, 2019-20 to 2021-22</w:t>
      </w:r>
      <w:bookmarkEnd w:id="438"/>
      <w:bookmarkEnd w:id="439"/>
    </w:p>
    <w:tbl>
      <w:tblPr>
        <w:tblStyle w:val="GridTable4-Accent2"/>
        <w:tblW w:w="11367" w:type="dxa"/>
        <w:jc w:val="center"/>
        <w:tblLook w:val="04A0" w:firstRow="1" w:lastRow="0" w:firstColumn="1" w:lastColumn="0" w:noHBand="0" w:noVBand="1"/>
      </w:tblPr>
      <w:tblGrid>
        <w:gridCol w:w="1237"/>
        <w:gridCol w:w="1137"/>
        <w:gridCol w:w="1117"/>
        <w:gridCol w:w="1136"/>
        <w:gridCol w:w="1117"/>
        <w:gridCol w:w="1117"/>
        <w:gridCol w:w="1136"/>
        <w:gridCol w:w="1117"/>
        <w:gridCol w:w="1117"/>
        <w:gridCol w:w="1136"/>
      </w:tblGrid>
      <w:tr w:rsidR="00DD3CB5" w:rsidRPr="00CE058E" w14:paraId="62F28D4A" w14:textId="77777777" w:rsidTr="00E52B92">
        <w:trPr>
          <w:cnfStyle w:val="100000000000" w:firstRow="1" w:lastRow="0" w:firstColumn="0" w:lastColumn="0" w:oddVBand="0" w:evenVBand="0" w:oddHBand="0"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1237"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78CE08D6" w14:textId="4136259E" w:rsidR="00DD3CB5" w:rsidRPr="00CE058E" w:rsidRDefault="001E4784" w:rsidP="00E52B92">
            <w:pPr>
              <w:spacing w:line="240" w:lineRule="auto"/>
              <w:jc w:val="center"/>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Jurisdiction</w:t>
            </w:r>
          </w:p>
        </w:tc>
        <w:tc>
          <w:tcPr>
            <w:tcW w:w="339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1336045D" w14:textId="77777777" w:rsidR="00DD3CB5" w:rsidRPr="00CE058E" w:rsidRDefault="00DD3CB5" w:rsidP="00E52B9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2019-20</w:t>
            </w:r>
          </w:p>
        </w:tc>
        <w:tc>
          <w:tcPr>
            <w:tcW w:w="337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1A5218C3" w14:textId="77777777" w:rsidR="00DD3CB5" w:rsidRPr="00CE058E" w:rsidRDefault="00DD3CB5" w:rsidP="00E52B9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2020-21</w:t>
            </w:r>
          </w:p>
        </w:tc>
        <w:tc>
          <w:tcPr>
            <w:tcW w:w="337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5A8CB46D" w14:textId="77777777" w:rsidR="00DD3CB5" w:rsidRPr="00CE058E" w:rsidRDefault="00DD3CB5" w:rsidP="00E52B9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2021-22</w:t>
            </w:r>
          </w:p>
        </w:tc>
      </w:tr>
      <w:tr w:rsidR="001E4784" w:rsidRPr="00CE058E" w14:paraId="1A6000AD" w14:textId="77777777" w:rsidTr="00E52B92">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1237"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tcPr>
          <w:p w14:paraId="0E234BF8" w14:textId="77777777" w:rsidR="00DD3CB5" w:rsidRPr="00CE058E" w:rsidRDefault="00DD3CB5" w:rsidP="00E52B92">
            <w:pPr>
              <w:spacing w:line="240" w:lineRule="auto"/>
              <w:jc w:val="center"/>
              <w:rPr>
                <w:rFonts w:eastAsia="Times New Roman" w:cs="Arial"/>
                <w:b w:val="0"/>
                <w:bCs w:val="0"/>
                <w:color w:val="FFFFFF" w:themeColor="background2"/>
                <w:sz w:val="18"/>
                <w:szCs w:val="18"/>
                <w:lang w:eastAsia="en-AU"/>
              </w:rPr>
            </w:pPr>
          </w:p>
        </w:tc>
        <w:tc>
          <w:tcPr>
            <w:tcW w:w="113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7B2614C6" w14:textId="2799CC70" w:rsidR="00DD3CB5" w:rsidRPr="00CE058E" w:rsidRDefault="00E52B92"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Linked NHCDC records</w:t>
            </w:r>
          </w:p>
        </w:tc>
        <w:tc>
          <w:tcPr>
            <w:tcW w:w="11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7EF7EC28" w14:textId="38253BDA" w:rsidR="00DD3CB5" w:rsidRPr="00CE058E" w:rsidRDefault="00C33282"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Pr>
                <w:rFonts w:eastAsia="Times New Roman" w:cs="Arial"/>
                <w:b/>
                <w:bCs/>
                <w:color w:val="FFFFFF" w:themeColor="background2"/>
                <w:sz w:val="18"/>
                <w:szCs w:val="18"/>
                <w:lang w:eastAsia="en-AU"/>
              </w:rPr>
              <w:t>A</w:t>
            </w:r>
            <w:r w:rsidR="00DD3CB5" w:rsidRPr="00CE058E">
              <w:rPr>
                <w:rFonts w:eastAsia="Times New Roman" w:cs="Arial"/>
                <w:b/>
                <w:bCs/>
                <w:color w:val="FFFFFF" w:themeColor="background2"/>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082BC108" w14:textId="77777777" w:rsidR="00DD3CB5" w:rsidRPr="00CE058E" w:rsidRDefault="00DD3CB5"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 (%)</w:t>
            </w:r>
          </w:p>
        </w:tc>
        <w:tc>
          <w:tcPr>
            <w:tcW w:w="11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1199052F" w14:textId="327930C7" w:rsidR="00DD3CB5" w:rsidRPr="00CE058E" w:rsidRDefault="00E52B92"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Linked NHCDC records</w:t>
            </w:r>
          </w:p>
        </w:tc>
        <w:tc>
          <w:tcPr>
            <w:tcW w:w="11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3668952C" w14:textId="0775E175" w:rsidR="00DD3CB5" w:rsidRPr="00CE058E" w:rsidRDefault="00C33282"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Pr>
                <w:rFonts w:eastAsia="Times New Roman" w:cs="Arial"/>
                <w:b/>
                <w:bCs/>
                <w:color w:val="FFFFFF" w:themeColor="background2"/>
                <w:sz w:val="18"/>
                <w:szCs w:val="18"/>
                <w:lang w:eastAsia="en-AU"/>
              </w:rPr>
              <w:t>A</w:t>
            </w:r>
            <w:r w:rsidR="00DD3CB5" w:rsidRPr="00CE058E">
              <w:rPr>
                <w:rFonts w:eastAsia="Times New Roman" w:cs="Arial"/>
                <w:b/>
                <w:bCs/>
                <w:color w:val="FFFFFF" w:themeColor="background2"/>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52F7C31" w14:textId="77777777" w:rsidR="00DD3CB5" w:rsidRPr="00CE058E" w:rsidRDefault="00DD3CB5"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 (%)</w:t>
            </w:r>
          </w:p>
        </w:tc>
        <w:tc>
          <w:tcPr>
            <w:tcW w:w="11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9BC6161" w14:textId="351C1F48" w:rsidR="00DD3CB5" w:rsidRPr="00CE058E" w:rsidRDefault="00E52B92"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Linked NHCDC records</w:t>
            </w:r>
          </w:p>
        </w:tc>
        <w:tc>
          <w:tcPr>
            <w:tcW w:w="11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7AF0B08F" w14:textId="5056EF03" w:rsidR="00DD3CB5" w:rsidRPr="00CE058E" w:rsidRDefault="00C33282"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Pr>
                <w:rFonts w:eastAsia="Times New Roman" w:cs="Arial"/>
                <w:b/>
                <w:bCs/>
                <w:color w:val="FFFFFF" w:themeColor="background2"/>
                <w:sz w:val="18"/>
                <w:szCs w:val="18"/>
                <w:lang w:eastAsia="en-AU"/>
              </w:rPr>
              <w:t>A</w:t>
            </w:r>
            <w:r w:rsidR="00DD3CB5" w:rsidRPr="00CE058E">
              <w:rPr>
                <w:rFonts w:eastAsia="Times New Roman" w:cs="Arial"/>
                <w:b/>
                <w:bCs/>
                <w:color w:val="FFFFFF" w:themeColor="background2"/>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7EB2547B" w14:textId="77777777" w:rsidR="00DD3CB5" w:rsidRPr="00CE058E" w:rsidRDefault="00DD3CB5" w:rsidP="00E52B9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 (%)</w:t>
            </w:r>
          </w:p>
        </w:tc>
      </w:tr>
      <w:tr w:rsidR="00FC10EE" w:rsidRPr="00CE058E" w14:paraId="505EAE72" w14:textId="77777777" w:rsidTr="0061419D">
        <w:trPr>
          <w:trHeight w:val="6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FFFFFF" w:themeColor="background2"/>
            </w:tcBorders>
            <w:noWrap/>
            <w:vAlign w:val="center"/>
            <w:hideMark/>
          </w:tcPr>
          <w:p w14:paraId="7006A86A" w14:textId="77777777" w:rsidR="00FC10EE" w:rsidRPr="00CE058E" w:rsidRDefault="00FC10EE" w:rsidP="00E52B92">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NSW</w:t>
            </w:r>
          </w:p>
        </w:tc>
        <w:tc>
          <w:tcPr>
            <w:tcW w:w="0" w:type="dxa"/>
            <w:tcBorders>
              <w:top w:val="single" w:sz="4" w:space="0" w:color="FFFFFF" w:themeColor="background2"/>
            </w:tcBorders>
            <w:noWrap/>
            <w:vAlign w:val="center"/>
          </w:tcPr>
          <w:p w14:paraId="4A77D3DB" w14:textId="12E1DDBB"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187,015</w:t>
            </w:r>
          </w:p>
        </w:tc>
        <w:tc>
          <w:tcPr>
            <w:tcW w:w="0" w:type="dxa"/>
            <w:tcBorders>
              <w:top w:val="single" w:sz="4" w:space="0" w:color="FFFFFF" w:themeColor="background2"/>
            </w:tcBorders>
            <w:noWrap/>
            <w:vAlign w:val="center"/>
          </w:tcPr>
          <w:p w14:paraId="72076161" w14:textId="7C836E0D"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218,690</w:t>
            </w:r>
          </w:p>
        </w:tc>
        <w:tc>
          <w:tcPr>
            <w:tcW w:w="0" w:type="dxa"/>
            <w:tcBorders>
              <w:top w:val="single" w:sz="4" w:space="0" w:color="FFFFFF" w:themeColor="background2"/>
            </w:tcBorders>
            <w:noWrap/>
            <w:vAlign w:val="center"/>
          </w:tcPr>
          <w:p w14:paraId="202FCADD" w14:textId="1678B8E2"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86</w:t>
            </w:r>
          </w:p>
        </w:tc>
        <w:tc>
          <w:tcPr>
            <w:tcW w:w="0" w:type="dxa"/>
            <w:tcBorders>
              <w:top w:val="single" w:sz="4" w:space="0" w:color="FFFFFF" w:themeColor="background2"/>
            </w:tcBorders>
            <w:noWrap/>
            <w:vAlign w:val="center"/>
          </w:tcPr>
          <w:p w14:paraId="6486473E" w14:textId="5AF6BDE8"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200</w:t>
            </w:r>
            <w:r w:rsidR="00DC3889" w:rsidRPr="00CE058E">
              <w:rPr>
                <w:rFonts w:cs="Arial"/>
                <w:sz w:val="18"/>
                <w:szCs w:val="18"/>
              </w:rPr>
              <w:t>,</w:t>
            </w:r>
            <w:r w:rsidRPr="00CE058E">
              <w:rPr>
                <w:rFonts w:cs="Arial"/>
                <w:sz w:val="18"/>
                <w:szCs w:val="18"/>
              </w:rPr>
              <w:t>186</w:t>
            </w:r>
          </w:p>
        </w:tc>
        <w:tc>
          <w:tcPr>
            <w:tcW w:w="0" w:type="dxa"/>
            <w:tcBorders>
              <w:top w:val="single" w:sz="4" w:space="0" w:color="FFFFFF" w:themeColor="background2"/>
            </w:tcBorders>
            <w:noWrap/>
            <w:vAlign w:val="center"/>
          </w:tcPr>
          <w:p w14:paraId="0E67EFE4" w14:textId="09DD4B29"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236,491</w:t>
            </w:r>
          </w:p>
        </w:tc>
        <w:tc>
          <w:tcPr>
            <w:tcW w:w="0" w:type="dxa"/>
            <w:tcBorders>
              <w:top w:val="single" w:sz="4" w:space="0" w:color="FFFFFF" w:themeColor="background2"/>
            </w:tcBorders>
            <w:noWrap/>
            <w:vAlign w:val="center"/>
          </w:tcPr>
          <w:p w14:paraId="446AB38D" w14:textId="0DFD57A9"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85</w:t>
            </w:r>
          </w:p>
        </w:tc>
        <w:tc>
          <w:tcPr>
            <w:tcW w:w="0" w:type="dxa"/>
            <w:tcBorders>
              <w:top w:val="single" w:sz="4" w:space="0" w:color="FFFFFF" w:themeColor="background2"/>
            </w:tcBorders>
            <w:noWrap/>
            <w:vAlign w:val="center"/>
          </w:tcPr>
          <w:p w14:paraId="4C770B21" w14:textId="67ECECD2" w:rsidR="00FC10EE" w:rsidRPr="00CE058E" w:rsidRDefault="00781BF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192,668</w:t>
            </w:r>
          </w:p>
        </w:tc>
        <w:tc>
          <w:tcPr>
            <w:tcW w:w="0" w:type="dxa"/>
            <w:tcBorders>
              <w:top w:val="single" w:sz="4" w:space="0" w:color="FFFFFF" w:themeColor="background2"/>
            </w:tcBorders>
            <w:noWrap/>
            <w:vAlign w:val="center"/>
          </w:tcPr>
          <w:p w14:paraId="0DF2C1D7" w14:textId="20FA0E75"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221,779</w:t>
            </w:r>
          </w:p>
        </w:tc>
        <w:tc>
          <w:tcPr>
            <w:tcW w:w="0" w:type="dxa"/>
            <w:tcBorders>
              <w:top w:val="single" w:sz="4" w:space="0" w:color="FFFFFF" w:themeColor="background2"/>
            </w:tcBorders>
            <w:noWrap/>
            <w:vAlign w:val="center"/>
          </w:tcPr>
          <w:p w14:paraId="35030835" w14:textId="4572E212" w:rsidR="00FC10EE" w:rsidRPr="00CE058E" w:rsidRDefault="00781BF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87</w:t>
            </w:r>
          </w:p>
        </w:tc>
      </w:tr>
      <w:tr w:rsidR="00FC10EE" w:rsidRPr="00CE058E" w14:paraId="524ACC26" w14:textId="77777777" w:rsidTr="0061419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B573968" w14:textId="6101D64D" w:rsidR="00FC10EE" w:rsidRPr="00CE058E" w:rsidRDefault="00FC10EE" w:rsidP="00E52B92">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V</w:t>
            </w:r>
            <w:r w:rsidR="00E52B92" w:rsidRPr="00CE058E">
              <w:rPr>
                <w:rFonts w:eastAsia="Times New Roman" w:cs="Arial"/>
                <w:color w:val="auto"/>
                <w:sz w:val="18"/>
                <w:szCs w:val="18"/>
                <w:lang w:eastAsia="en-AU"/>
              </w:rPr>
              <w:t>ic</w:t>
            </w:r>
          </w:p>
        </w:tc>
        <w:tc>
          <w:tcPr>
            <w:tcW w:w="0" w:type="dxa"/>
            <w:noWrap/>
            <w:vAlign w:val="center"/>
          </w:tcPr>
          <w:p w14:paraId="3C423D7F" w14:textId="7E041031" w:rsidR="00FC10EE" w:rsidRPr="00CE058E" w:rsidRDefault="00FC10EE"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131,828</w:t>
            </w:r>
          </w:p>
        </w:tc>
        <w:tc>
          <w:tcPr>
            <w:tcW w:w="0" w:type="dxa"/>
            <w:noWrap/>
            <w:vAlign w:val="center"/>
          </w:tcPr>
          <w:p w14:paraId="543E0E7F" w14:textId="5921F177" w:rsidR="00FC10EE" w:rsidRPr="00CE058E" w:rsidRDefault="00FC10EE"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235,099</w:t>
            </w:r>
          </w:p>
        </w:tc>
        <w:tc>
          <w:tcPr>
            <w:tcW w:w="0" w:type="dxa"/>
            <w:noWrap/>
            <w:vAlign w:val="center"/>
          </w:tcPr>
          <w:p w14:paraId="6BBF0469" w14:textId="305969E1" w:rsidR="00FC10EE" w:rsidRPr="00CE058E" w:rsidRDefault="00FC10EE"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56</w:t>
            </w:r>
          </w:p>
        </w:tc>
        <w:tc>
          <w:tcPr>
            <w:tcW w:w="0" w:type="dxa"/>
            <w:noWrap/>
            <w:vAlign w:val="center"/>
          </w:tcPr>
          <w:p w14:paraId="1A192E07" w14:textId="191360E4" w:rsidR="00FC10EE" w:rsidRPr="00CE058E" w:rsidRDefault="00FC10EE"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119</w:t>
            </w:r>
            <w:r w:rsidR="00DC3889" w:rsidRPr="00CE058E">
              <w:rPr>
                <w:rFonts w:cs="Arial"/>
                <w:sz w:val="18"/>
                <w:szCs w:val="18"/>
              </w:rPr>
              <w:t>,</w:t>
            </w:r>
            <w:r w:rsidRPr="00CE058E">
              <w:rPr>
                <w:rFonts w:cs="Arial"/>
                <w:sz w:val="18"/>
                <w:szCs w:val="18"/>
              </w:rPr>
              <w:t>841</w:t>
            </w:r>
          </w:p>
        </w:tc>
        <w:tc>
          <w:tcPr>
            <w:tcW w:w="0" w:type="dxa"/>
            <w:noWrap/>
            <w:vAlign w:val="center"/>
          </w:tcPr>
          <w:p w14:paraId="53077C03" w14:textId="09991B0C" w:rsidR="00FC10EE" w:rsidRPr="00CE058E" w:rsidRDefault="00FC10EE"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233,530</w:t>
            </w:r>
          </w:p>
        </w:tc>
        <w:tc>
          <w:tcPr>
            <w:tcW w:w="0" w:type="dxa"/>
            <w:noWrap/>
            <w:vAlign w:val="center"/>
          </w:tcPr>
          <w:p w14:paraId="612D6524" w14:textId="29FA9A47" w:rsidR="00FC10EE" w:rsidRPr="00CE058E" w:rsidRDefault="00FC10EE"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51</w:t>
            </w:r>
          </w:p>
        </w:tc>
        <w:tc>
          <w:tcPr>
            <w:tcW w:w="0" w:type="dxa"/>
            <w:noWrap/>
            <w:vAlign w:val="center"/>
          </w:tcPr>
          <w:p w14:paraId="258DFF0E" w14:textId="64B44765" w:rsidR="00FC10EE" w:rsidRPr="00CE058E" w:rsidRDefault="00FC10EE"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223,996</w:t>
            </w:r>
          </w:p>
        </w:tc>
        <w:tc>
          <w:tcPr>
            <w:tcW w:w="0" w:type="dxa"/>
            <w:noWrap/>
            <w:vAlign w:val="center"/>
          </w:tcPr>
          <w:p w14:paraId="537E81EB" w14:textId="34095C9F" w:rsidR="00FC10EE" w:rsidRPr="00CE058E" w:rsidRDefault="00FC10EE"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270,156</w:t>
            </w:r>
          </w:p>
        </w:tc>
        <w:tc>
          <w:tcPr>
            <w:tcW w:w="0" w:type="dxa"/>
            <w:noWrap/>
            <w:vAlign w:val="center"/>
          </w:tcPr>
          <w:p w14:paraId="374AF94D" w14:textId="665C2D1C" w:rsidR="00FC10EE" w:rsidRPr="00CE058E" w:rsidRDefault="00FC10EE"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83</w:t>
            </w:r>
          </w:p>
        </w:tc>
      </w:tr>
      <w:tr w:rsidR="00FC10EE" w:rsidRPr="00CE058E" w14:paraId="1731AACC" w14:textId="77777777" w:rsidTr="0061419D">
        <w:trPr>
          <w:trHeight w:val="6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A86AB18" w14:textId="0FCE0B8F" w:rsidR="00FC10EE" w:rsidRPr="00CE058E" w:rsidRDefault="00FC10EE" w:rsidP="00E52B92">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Q</w:t>
            </w:r>
            <w:r w:rsidR="00E52B92" w:rsidRPr="00CE058E">
              <w:rPr>
                <w:rFonts w:eastAsia="Times New Roman" w:cs="Arial"/>
                <w:color w:val="auto"/>
                <w:sz w:val="18"/>
                <w:szCs w:val="18"/>
                <w:lang w:eastAsia="en-AU"/>
              </w:rPr>
              <w:t>ld</w:t>
            </w:r>
          </w:p>
        </w:tc>
        <w:tc>
          <w:tcPr>
            <w:tcW w:w="0" w:type="dxa"/>
            <w:noWrap/>
            <w:vAlign w:val="center"/>
          </w:tcPr>
          <w:p w14:paraId="3B5E70AA" w14:textId="7CEE3004"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126,405</w:t>
            </w:r>
          </w:p>
        </w:tc>
        <w:tc>
          <w:tcPr>
            <w:tcW w:w="0" w:type="dxa"/>
            <w:noWrap/>
            <w:vAlign w:val="center"/>
          </w:tcPr>
          <w:p w14:paraId="31150565" w14:textId="06394F1B"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183,818</w:t>
            </w:r>
          </w:p>
        </w:tc>
        <w:tc>
          <w:tcPr>
            <w:tcW w:w="0" w:type="dxa"/>
            <w:noWrap/>
            <w:vAlign w:val="center"/>
          </w:tcPr>
          <w:p w14:paraId="0E7CD327" w14:textId="713FA3EB"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69</w:t>
            </w:r>
          </w:p>
        </w:tc>
        <w:tc>
          <w:tcPr>
            <w:tcW w:w="0" w:type="dxa"/>
            <w:noWrap/>
            <w:vAlign w:val="center"/>
          </w:tcPr>
          <w:p w14:paraId="65BD4260" w14:textId="22A2873B"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82</w:t>
            </w:r>
            <w:r w:rsidR="00DC3889" w:rsidRPr="00CE058E">
              <w:rPr>
                <w:rFonts w:cs="Arial"/>
                <w:sz w:val="18"/>
                <w:szCs w:val="18"/>
              </w:rPr>
              <w:t>,</w:t>
            </w:r>
            <w:r w:rsidRPr="00CE058E">
              <w:rPr>
                <w:rFonts w:cs="Arial"/>
                <w:sz w:val="18"/>
                <w:szCs w:val="18"/>
              </w:rPr>
              <w:t>904</w:t>
            </w:r>
          </w:p>
        </w:tc>
        <w:tc>
          <w:tcPr>
            <w:tcW w:w="0" w:type="dxa"/>
            <w:noWrap/>
            <w:vAlign w:val="center"/>
          </w:tcPr>
          <w:p w14:paraId="28A85A75" w14:textId="51AF42D9"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214,448</w:t>
            </w:r>
          </w:p>
        </w:tc>
        <w:tc>
          <w:tcPr>
            <w:tcW w:w="0" w:type="dxa"/>
            <w:noWrap/>
            <w:vAlign w:val="center"/>
          </w:tcPr>
          <w:p w14:paraId="5DA2FE76" w14:textId="7F884637"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39</w:t>
            </w:r>
          </w:p>
        </w:tc>
        <w:tc>
          <w:tcPr>
            <w:tcW w:w="0" w:type="dxa"/>
            <w:noWrap/>
            <w:vAlign w:val="center"/>
          </w:tcPr>
          <w:p w14:paraId="5108EB67" w14:textId="3FEC6F98"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135,181</w:t>
            </w:r>
          </w:p>
        </w:tc>
        <w:tc>
          <w:tcPr>
            <w:tcW w:w="0" w:type="dxa"/>
            <w:noWrap/>
            <w:vAlign w:val="center"/>
          </w:tcPr>
          <w:p w14:paraId="5E3BB5E4" w14:textId="6633097D"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202,344</w:t>
            </w:r>
          </w:p>
        </w:tc>
        <w:tc>
          <w:tcPr>
            <w:tcW w:w="0" w:type="dxa"/>
            <w:noWrap/>
            <w:vAlign w:val="center"/>
          </w:tcPr>
          <w:p w14:paraId="33BDE61D" w14:textId="48545560"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67</w:t>
            </w:r>
          </w:p>
        </w:tc>
      </w:tr>
      <w:tr w:rsidR="001E4784" w:rsidRPr="00CE058E" w14:paraId="4B0B8221" w14:textId="77777777" w:rsidTr="0061419D">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77219CA" w14:textId="77777777" w:rsidR="001E4784" w:rsidRPr="00CE058E" w:rsidRDefault="001E4784" w:rsidP="00E52B92">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SA</w:t>
            </w:r>
          </w:p>
        </w:tc>
        <w:tc>
          <w:tcPr>
            <w:tcW w:w="0" w:type="dxa"/>
            <w:noWrap/>
            <w:vAlign w:val="center"/>
          </w:tcPr>
          <w:p w14:paraId="1F5457BD" w14:textId="048584C0"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01B6C315" w14:textId="5F9C6F5C"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51,927</w:t>
            </w:r>
          </w:p>
        </w:tc>
        <w:tc>
          <w:tcPr>
            <w:tcW w:w="0" w:type="dxa"/>
            <w:noWrap/>
            <w:vAlign w:val="center"/>
          </w:tcPr>
          <w:p w14:paraId="5B66B2CD" w14:textId="11425D45"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0DE648D5" w14:textId="3A00D74A"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5684BC24" w14:textId="4BA44E1B"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63,633</w:t>
            </w:r>
          </w:p>
        </w:tc>
        <w:tc>
          <w:tcPr>
            <w:tcW w:w="0" w:type="dxa"/>
            <w:noWrap/>
            <w:vAlign w:val="center"/>
          </w:tcPr>
          <w:p w14:paraId="3D3283B9" w14:textId="4D5006B3"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55F43775" w14:textId="121DF28C"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150068E3" w14:textId="4EFFF66C"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66,836</w:t>
            </w:r>
          </w:p>
        </w:tc>
        <w:tc>
          <w:tcPr>
            <w:tcW w:w="0" w:type="dxa"/>
            <w:noWrap/>
            <w:vAlign w:val="center"/>
          </w:tcPr>
          <w:p w14:paraId="4BC476B9" w14:textId="21EE9F75"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r>
      <w:tr w:rsidR="001E4784" w:rsidRPr="00CE058E" w14:paraId="1222BA6D" w14:textId="77777777" w:rsidTr="0061419D">
        <w:trPr>
          <w:trHeight w:val="4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38C0D8C" w14:textId="77777777" w:rsidR="001E4784" w:rsidRPr="00CE058E" w:rsidRDefault="001E4784" w:rsidP="00E52B92">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WA</w:t>
            </w:r>
          </w:p>
        </w:tc>
        <w:tc>
          <w:tcPr>
            <w:tcW w:w="0" w:type="dxa"/>
            <w:noWrap/>
            <w:vAlign w:val="center"/>
          </w:tcPr>
          <w:p w14:paraId="7EF07A5D" w14:textId="5A6800A0"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6A933F10" w14:textId="0F69113D"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84,370</w:t>
            </w:r>
          </w:p>
        </w:tc>
        <w:tc>
          <w:tcPr>
            <w:tcW w:w="0" w:type="dxa"/>
            <w:noWrap/>
            <w:vAlign w:val="center"/>
          </w:tcPr>
          <w:p w14:paraId="2DE73DA1" w14:textId="62ECF202"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1B3403C9" w14:textId="370D288B"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3581F5A2" w14:textId="79554263"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85,649</w:t>
            </w:r>
          </w:p>
        </w:tc>
        <w:tc>
          <w:tcPr>
            <w:tcW w:w="0" w:type="dxa"/>
            <w:noWrap/>
            <w:vAlign w:val="center"/>
          </w:tcPr>
          <w:p w14:paraId="55B929DB" w14:textId="0ED932F7"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3B87A6E0" w14:textId="3D84F8BC"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5E19C3ED" w14:textId="4C9D6A4B"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79,848</w:t>
            </w:r>
          </w:p>
        </w:tc>
        <w:tc>
          <w:tcPr>
            <w:tcW w:w="0" w:type="dxa"/>
            <w:noWrap/>
            <w:vAlign w:val="center"/>
          </w:tcPr>
          <w:p w14:paraId="1D7E5229" w14:textId="31471752"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r>
      <w:tr w:rsidR="001E4784" w:rsidRPr="00CE058E" w14:paraId="03544BDA" w14:textId="77777777" w:rsidTr="0061419D">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9569EAB" w14:textId="5DC40901" w:rsidR="001E4784" w:rsidRPr="00CE058E" w:rsidRDefault="001E4784" w:rsidP="00E52B92">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T</w:t>
            </w:r>
            <w:r w:rsidR="00E52B92" w:rsidRPr="00CE058E">
              <w:rPr>
                <w:rFonts w:eastAsia="Times New Roman" w:cs="Arial"/>
                <w:color w:val="auto"/>
                <w:sz w:val="18"/>
                <w:szCs w:val="18"/>
                <w:lang w:eastAsia="en-AU"/>
              </w:rPr>
              <w:t>as</w:t>
            </w:r>
          </w:p>
        </w:tc>
        <w:tc>
          <w:tcPr>
            <w:tcW w:w="0" w:type="dxa"/>
            <w:noWrap/>
            <w:vAlign w:val="center"/>
          </w:tcPr>
          <w:p w14:paraId="6B11F35D" w14:textId="0F566229"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2AB2308C" w14:textId="4CC70B74"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5,203</w:t>
            </w:r>
          </w:p>
        </w:tc>
        <w:tc>
          <w:tcPr>
            <w:tcW w:w="0" w:type="dxa"/>
            <w:noWrap/>
            <w:vAlign w:val="center"/>
          </w:tcPr>
          <w:p w14:paraId="10FD24C8" w14:textId="0000694F"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5A78CFCA" w14:textId="0F48E900"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w:t>
            </w:r>
            <w:r w:rsidR="00DC3889" w:rsidRPr="00CE058E">
              <w:rPr>
                <w:rFonts w:cs="Arial"/>
                <w:sz w:val="18"/>
                <w:szCs w:val="18"/>
              </w:rPr>
              <w:t>,</w:t>
            </w:r>
            <w:r w:rsidRPr="00CE058E">
              <w:rPr>
                <w:rFonts w:cs="Arial"/>
                <w:sz w:val="18"/>
                <w:szCs w:val="18"/>
              </w:rPr>
              <w:t>884</w:t>
            </w:r>
          </w:p>
        </w:tc>
        <w:tc>
          <w:tcPr>
            <w:tcW w:w="0" w:type="dxa"/>
            <w:noWrap/>
            <w:vAlign w:val="center"/>
          </w:tcPr>
          <w:p w14:paraId="67C86EFE" w14:textId="56E0D556"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8,707</w:t>
            </w:r>
          </w:p>
        </w:tc>
        <w:tc>
          <w:tcPr>
            <w:tcW w:w="0" w:type="dxa"/>
            <w:noWrap/>
            <w:vAlign w:val="center"/>
          </w:tcPr>
          <w:p w14:paraId="0F56F4B9" w14:textId="0FA31C7B"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33</w:t>
            </w:r>
          </w:p>
        </w:tc>
        <w:tc>
          <w:tcPr>
            <w:tcW w:w="0" w:type="dxa"/>
            <w:noWrap/>
            <w:vAlign w:val="center"/>
          </w:tcPr>
          <w:p w14:paraId="15F706A5" w14:textId="50B3512B"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3,983</w:t>
            </w:r>
          </w:p>
        </w:tc>
        <w:tc>
          <w:tcPr>
            <w:tcW w:w="0" w:type="dxa"/>
            <w:noWrap/>
            <w:vAlign w:val="center"/>
          </w:tcPr>
          <w:p w14:paraId="40C6AC93" w14:textId="4E03B003"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5,849</w:t>
            </w:r>
          </w:p>
        </w:tc>
        <w:tc>
          <w:tcPr>
            <w:tcW w:w="0" w:type="dxa"/>
            <w:noWrap/>
            <w:vAlign w:val="center"/>
          </w:tcPr>
          <w:p w14:paraId="20D76BEE" w14:textId="7BEB5EDC"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68</w:t>
            </w:r>
          </w:p>
        </w:tc>
      </w:tr>
      <w:tr w:rsidR="001E4784" w:rsidRPr="00CE058E" w14:paraId="647A9C83" w14:textId="77777777" w:rsidTr="0061419D">
        <w:trPr>
          <w:trHeight w:val="4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3EE9B1F" w14:textId="77777777" w:rsidR="001E4784" w:rsidRPr="00CE058E" w:rsidRDefault="001E4784" w:rsidP="00E52B92">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NT</w:t>
            </w:r>
          </w:p>
        </w:tc>
        <w:tc>
          <w:tcPr>
            <w:tcW w:w="0" w:type="dxa"/>
            <w:noWrap/>
            <w:vAlign w:val="center"/>
          </w:tcPr>
          <w:p w14:paraId="03C1E58F" w14:textId="2AD4A7D5"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40905BA4" w14:textId="3B376FB2"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7D18815C" w14:textId="58C4D4B5"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30279E02" w14:textId="122103D1"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7AE588AB" w14:textId="0A652A5F"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5,323</w:t>
            </w:r>
          </w:p>
        </w:tc>
        <w:tc>
          <w:tcPr>
            <w:tcW w:w="0" w:type="dxa"/>
            <w:noWrap/>
            <w:vAlign w:val="center"/>
          </w:tcPr>
          <w:p w14:paraId="52B8EF12" w14:textId="179C1729"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1BB8758F" w14:textId="5A313624"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0E82B7A2" w14:textId="7E844B16"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4,284</w:t>
            </w:r>
          </w:p>
        </w:tc>
        <w:tc>
          <w:tcPr>
            <w:tcW w:w="0" w:type="dxa"/>
            <w:noWrap/>
            <w:vAlign w:val="center"/>
          </w:tcPr>
          <w:p w14:paraId="47CB7CAC" w14:textId="2CF6F066" w:rsidR="001E4784" w:rsidRPr="00CE058E" w:rsidRDefault="001E4784"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r>
      <w:tr w:rsidR="001E4784" w:rsidRPr="00CE058E" w14:paraId="46EDF46E" w14:textId="77777777" w:rsidTr="0061419D">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ED3391D" w14:textId="77777777" w:rsidR="001E4784" w:rsidRPr="00CE058E" w:rsidRDefault="001E4784" w:rsidP="00E52B92">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ACT</w:t>
            </w:r>
          </w:p>
        </w:tc>
        <w:tc>
          <w:tcPr>
            <w:tcW w:w="0" w:type="dxa"/>
            <w:noWrap/>
            <w:vAlign w:val="center"/>
          </w:tcPr>
          <w:p w14:paraId="1842DA1D" w14:textId="1871536C"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57B65670" w14:textId="64282BE7"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12,247</w:t>
            </w:r>
          </w:p>
        </w:tc>
        <w:tc>
          <w:tcPr>
            <w:tcW w:w="0" w:type="dxa"/>
            <w:noWrap/>
            <w:vAlign w:val="center"/>
          </w:tcPr>
          <w:p w14:paraId="091EE09B" w14:textId="4E9A0BF5"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009B4C97" w14:textId="06C998EA"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60D5EBC2" w14:textId="66174817"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11,921</w:t>
            </w:r>
          </w:p>
        </w:tc>
        <w:tc>
          <w:tcPr>
            <w:tcW w:w="0" w:type="dxa"/>
            <w:noWrap/>
            <w:vAlign w:val="center"/>
          </w:tcPr>
          <w:p w14:paraId="09C26672" w14:textId="7EFBF37D"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01E0D0C0" w14:textId="22B9023D"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0" w:type="dxa"/>
            <w:noWrap/>
            <w:vAlign w:val="center"/>
          </w:tcPr>
          <w:p w14:paraId="28B5051B" w14:textId="34418FB1"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32,999</w:t>
            </w:r>
          </w:p>
        </w:tc>
        <w:tc>
          <w:tcPr>
            <w:tcW w:w="0" w:type="dxa"/>
            <w:noWrap/>
            <w:vAlign w:val="center"/>
          </w:tcPr>
          <w:p w14:paraId="4391AEDC" w14:textId="2E97B381" w:rsidR="001E4784" w:rsidRPr="00CE058E" w:rsidRDefault="001E4784" w:rsidP="0061419D">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r>
      <w:tr w:rsidR="00FC10EE" w:rsidRPr="00CE058E" w14:paraId="0A42C7AF" w14:textId="77777777" w:rsidTr="0061419D">
        <w:trPr>
          <w:trHeight w:val="4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1C6F6E1" w14:textId="77777777" w:rsidR="00FC10EE" w:rsidRPr="00CE058E" w:rsidRDefault="00FC10EE" w:rsidP="00E52B92">
            <w:pPr>
              <w:spacing w:line="240" w:lineRule="auto"/>
              <w:jc w:val="center"/>
              <w:rPr>
                <w:rFonts w:eastAsia="Times New Roman" w:cs="Arial"/>
                <w:b w:val="0"/>
                <w:bCs w:val="0"/>
                <w:color w:val="auto"/>
                <w:sz w:val="18"/>
                <w:szCs w:val="18"/>
                <w:lang w:eastAsia="en-AU"/>
              </w:rPr>
            </w:pPr>
            <w:r w:rsidRPr="00CE058E">
              <w:rPr>
                <w:rFonts w:eastAsia="Times New Roman" w:cs="Arial"/>
                <w:color w:val="auto"/>
                <w:sz w:val="18"/>
                <w:szCs w:val="18"/>
                <w:lang w:eastAsia="en-AU"/>
              </w:rPr>
              <w:t>National</w:t>
            </w:r>
          </w:p>
        </w:tc>
        <w:tc>
          <w:tcPr>
            <w:tcW w:w="0" w:type="dxa"/>
            <w:noWrap/>
            <w:vAlign w:val="center"/>
          </w:tcPr>
          <w:p w14:paraId="38F9E430" w14:textId="7D346E0C"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445,248</w:t>
            </w:r>
          </w:p>
        </w:tc>
        <w:tc>
          <w:tcPr>
            <w:tcW w:w="0" w:type="dxa"/>
            <w:noWrap/>
            <w:vAlign w:val="center"/>
          </w:tcPr>
          <w:p w14:paraId="65B3E618" w14:textId="74292D3C"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791,354</w:t>
            </w:r>
          </w:p>
        </w:tc>
        <w:tc>
          <w:tcPr>
            <w:tcW w:w="0" w:type="dxa"/>
            <w:noWrap/>
            <w:vAlign w:val="center"/>
          </w:tcPr>
          <w:p w14:paraId="418F0CB2" w14:textId="31805DA4"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56</w:t>
            </w:r>
          </w:p>
        </w:tc>
        <w:tc>
          <w:tcPr>
            <w:tcW w:w="0" w:type="dxa"/>
            <w:noWrap/>
            <w:vAlign w:val="center"/>
          </w:tcPr>
          <w:p w14:paraId="27E6EAAC" w14:textId="09157010"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405</w:t>
            </w:r>
            <w:r w:rsidR="00BB26D7" w:rsidRPr="00CE058E">
              <w:rPr>
                <w:rFonts w:cs="Arial"/>
                <w:b/>
                <w:bCs/>
                <w:color w:val="auto"/>
                <w:sz w:val="18"/>
                <w:szCs w:val="18"/>
              </w:rPr>
              <w:t>,</w:t>
            </w:r>
            <w:r w:rsidRPr="00CE058E">
              <w:rPr>
                <w:rFonts w:cs="Arial"/>
                <w:b/>
                <w:bCs/>
                <w:color w:val="auto"/>
                <w:sz w:val="18"/>
                <w:szCs w:val="18"/>
              </w:rPr>
              <w:t>815</w:t>
            </w:r>
          </w:p>
        </w:tc>
        <w:tc>
          <w:tcPr>
            <w:tcW w:w="0" w:type="dxa"/>
            <w:noWrap/>
            <w:vAlign w:val="center"/>
          </w:tcPr>
          <w:p w14:paraId="60C59270" w14:textId="2635826F"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859,702</w:t>
            </w:r>
          </w:p>
        </w:tc>
        <w:tc>
          <w:tcPr>
            <w:tcW w:w="0" w:type="dxa"/>
            <w:noWrap/>
            <w:vAlign w:val="center"/>
          </w:tcPr>
          <w:p w14:paraId="168FB73E" w14:textId="4B1894E8"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47</w:t>
            </w:r>
          </w:p>
        </w:tc>
        <w:tc>
          <w:tcPr>
            <w:tcW w:w="0" w:type="dxa"/>
            <w:noWrap/>
            <w:vAlign w:val="center"/>
          </w:tcPr>
          <w:p w14:paraId="22759639" w14:textId="3525A94E" w:rsidR="00FC10EE" w:rsidRPr="00CE058E" w:rsidRDefault="00781BF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b/>
                <w:bCs/>
                <w:color w:val="auto"/>
                <w:sz w:val="18"/>
                <w:szCs w:val="18"/>
              </w:rPr>
              <w:t>555,828</w:t>
            </w:r>
          </w:p>
        </w:tc>
        <w:tc>
          <w:tcPr>
            <w:tcW w:w="0" w:type="dxa"/>
            <w:noWrap/>
            <w:vAlign w:val="center"/>
          </w:tcPr>
          <w:p w14:paraId="1410D43D" w14:textId="52324727" w:rsidR="00FC10EE" w:rsidRPr="00CE058E" w:rsidRDefault="00FC10EE"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884,095</w:t>
            </w:r>
          </w:p>
        </w:tc>
        <w:tc>
          <w:tcPr>
            <w:tcW w:w="0" w:type="dxa"/>
            <w:noWrap/>
            <w:vAlign w:val="center"/>
          </w:tcPr>
          <w:p w14:paraId="64AADF3B" w14:textId="574F69DE" w:rsidR="00FC10EE" w:rsidRPr="00CE058E" w:rsidRDefault="00781BF9" w:rsidP="0061419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63</w:t>
            </w:r>
          </w:p>
        </w:tc>
      </w:tr>
    </w:tbl>
    <w:p w14:paraId="34C99F1F" w14:textId="7C8F887F" w:rsidR="005F5A2E" w:rsidRPr="00CE058E" w:rsidRDefault="005F5A2E" w:rsidP="000A63CC">
      <w:pPr>
        <w:spacing w:before="160" w:line="276" w:lineRule="auto"/>
        <w:rPr>
          <w:rFonts w:cs="Arial"/>
          <w:color w:val="auto"/>
        </w:rPr>
      </w:pPr>
      <w:r w:rsidRPr="00CE058E">
        <w:rPr>
          <w:rFonts w:cs="Arial"/>
          <w:color w:val="auto"/>
        </w:rPr>
        <w:t>Table 23 shows the number of linked NHCDC records as a proportion of the activity for community mental health episodes, by jurisdiction from 2019-20 to 2021-22. Nationally, the linked NHCDC episode records decreased by 32,417 (or 13</w:t>
      </w:r>
      <w:r w:rsidR="00897090">
        <w:rPr>
          <w:rFonts w:cs="Arial"/>
          <w:color w:val="auto"/>
        </w:rPr>
        <w:t>%</w:t>
      </w:r>
      <w:r w:rsidRPr="00CE058E">
        <w:rPr>
          <w:rFonts w:cs="Arial"/>
          <w:color w:val="auto"/>
        </w:rPr>
        <w:t>) and activity decreased by 18,001 (or 2</w:t>
      </w:r>
      <w:r w:rsidR="00897090">
        <w:rPr>
          <w:rFonts w:cs="Arial"/>
          <w:color w:val="auto"/>
        </w:rPr>
        <w:t>%</w:t>
      </w:r>
      <w:r w:rsidRPr="00CE058E">
        <w:rPr>
          <w:rFonts w:cs="Arial"/>
          <w:color w:val="auto"/>
        </w:rPr>
        <w:t>) from 2019-20 to 2021-22. Nationally, the linked NHCDC records as a proportion of activity decreased by 3</w:t>
      </w:r>
      <w:r w:rsidR="00897090">
        <w:rPr>
          <w:rFonts w:cs="Arial"/>
          <w:color w:val="auto"/>
        </w:rPr>
        <w:t>%</w:t>
      </w:r>
      <w:r w:rsidRPr="00CE058E">
        <w:rPr>
          <w:rFonts w:cs="Arial"/>
          <w:color w:val="auto"/>
        </w:rPr>
        <w:t xml:space="preserve"> from 23</w:t>
      </w:r>
      <w:r w:rsidR="00897090">
        <w:rPr>
          <w:rFonts w:cs="Arial"/>
          <w:color w:val="auto"/>
        </w:rPr>
        <w:t>%</w:t>
      </w:r>
      <w:r w:rsidRPr="00CE058E">
        <w:rPr>
          <w:rFonts w:cs="Arial"/>
          <w:color w:val="auto"/>
        </w:rPr>
        <w:t xml:space="preserve"> in 2019-20 to 20</w:t>
      </w:r>
      <w:r w:rsidR="00897090">
        <w:rPr>
          <w:rFonts w:cs="Arial"/>
          <w:color w:val="auto"/>
        </w:rPr>
        <w:t>%</w:t>
      </w:r>
      <w:r w:rsidRPr="00CE058E">
        <w:rPr>
          <w:rFonts w:cs="Arial"/>
          <w:color w:val="auto"/>
        </w:rPr>
        <w:t xml:space="preserve"> in 2021-22.</w:t>
      </w:r>
    </w:p>
    <w:p w14:paraId="35EA28A0" w14:textId="29747669" w:rsidR="005F5A2E" w:rsidRPr="00B42434" w:rsidRDefault="00B42434" w:rsidP="00B42434">
      <w:pPr>
        <w:pStyle w:val="TableFigureheading"/>
      </w:pPr>
      <w:bookmarkStart w:id="440" w:name="_Toc151370049"/>
      <w:r w:rsidRPr="00B42434">
        <w:t xml:space="preserve">Table </w:t>
      </w:r>
      <w:r>
        <w:fldChar w:fldCharType="begin"/>
      </w:r>
      <w:r>
        <w:instrText xml:space="preserve"> SEQ Table \* ARABIC </w:instrText>
      </w:r>
      <w:r>
        <w:fldChar w:fldCharType="separate"/>
      </w:r>
      <w:r w:rsidRPr="00B42434">
        <w:rPr>
          <w:noProof/>
        </w:rPr>
        <w:t>23</w:t>
      </w:r>
      <w:r>
        <w:rPr>
          <w:noProof/>
        </w:rPr>
        <w:fldChar w:fldCharType="end"/>
      </w:r>
      <w:r w:rsidRPr="00B42434">
        <w:t>:</w:t>
      </w:r>
      <w:r w:rsidR="005F5A2E" w:rsidRPr="00B42434">
        <w:t xml:space="preserve"> Proportion of linked NHCDC records to episode</w:t>
      </w:r>
      <w:r w:rsidR="000A63CC" w:rsidRPr="00B42434">
        <w:t xml:space="preserve"> (AMHCC)</w:t>
      </w:r>
      <w:r w:rsidR="005F5A2E" w:rsidRPr="00B42434">
        <w:t xml:space="preserve"> activity, 2019-20 to 2021-22</w:t>
      </w:r>
      <w:bookmarkEnd w:id="440"/>
    </w:p>
    <w:tbl>
      <w:tblPr>
        <w:tblStyle w:val="GridTable4-Accent2"/>
        <w:tblW w:w="11367" w:type="dxa"/>
        <w:jc w:val="center"/>
        <w:tblLook w:val="04A0" w:firstRow="1" w:lastRow="0" w:firstColumn="1" w:lastColumn="0" w:noHBand="0" w:noVBand="1"/>
      </w:tblPr>
      <w:tblGrid>
        <w:gridCol w:w="1237"/>
        <w:gridCol w:w="1137"/>
        <w:gridCol w:w="1117"/>
        <w:gridCol w:w="1136"/>
        <w:gridCol w:w="1117"/>
        <w:gridCol w:w="1117"/>
        <w:gridCol w:w="1136"/>
        <w:gridCol w:w="1117"/>
        <w:gridCol w:w="1117"/>
        <w:gridCol w:w="1136"/>
      </w:tblGrid>
      <w:tr w:rsidR="005F5A2E" w:rsidRPr="00CE058E" w14:paraId="1DEAACA6" w14:textId="77777777" w:rsidTr="00C768FB">
        <w:trPr>
          <w:cnfStyle w:val="100000000000" w:firstRow="1" w:lastRow="0" w:firstColumn="0" w:lastColumn="0" w:oddVBand="0" w:evenVBand="0" w:oddHBand="0"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1237" w:type="dxa"/>
            <w:vMerge w:val="restart"/>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noWrap/>
            <w:vAlign w:val="center"/>
          </w:tcPr>
          <w:p w14:paraId="73255D16" w14:textId="77777777" w:rsidR="005F5A2E" w:rsidRPr="00CE058E" w:rsidRDefault="005F5A2E" w:rsidP="00C768FB">
            <w:pPr>
              <w:spacing w:line="240" w:lineRule="auto"/>
              <w:jc w:val="center"/>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Jurisdiction</w:t>
            </w:r>
          </w:p>
        </w:tc>
        <w:tc>
          <w:tcPr>
            <w:tcW w:w="339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7B710276" w14:textId="77777777" w:rsidR="005F5A2E" w:rsidRPr="00CE058E" w:rsidRDefault="005F5A2E" w:rsidP="00C768F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2019-20</w:t>
            </w:r>
          </w:p>
        </w:tc>
        <w:tc>
          <w:tcPr>
            <w:tcW w:w="337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3978513E" w14:textId="77777777" w:rsidR="005F5A2E" w:rsidRPr="00CE058E" w:rsidRDefault="005F5A2E" w:rsidP="00C768F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2020-21</w:t>
            </w:r>
          </w:p>
        </w:tc>
        <w:tc>
          <w:tcPr>
            <w:tcW w:w="3370" w:type="dxa"/>
            <w:gridSpan w:val="3"/>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vAlign w:val="center"/>
          </w:tcPr>
          <w:p w14:paraId="57D19269" w14:textId="77777777" w:rsidR="005F5A2E" w:rsidRPr="00CE058E" w:rsidRDefault="005F5A2E" w:rsidP="00C768F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2"/>
                <w:sz w:val="18"/>
                <w:szCs w:val="18"/>
                <w:lang w:eastAsia="en-AU"/>
              </w:rPr>
            </w:pPr>
            <w:r w:rsidRPr="00CE058E">
              <w:rPr>
                <w:rFonts w:eastAsia="Times New Roman" w:cs="Arial"/>
                <w:color w:val="FFFFFF" w:themeColor="background2"/>
                <w:sz w:val="18"/>
                <w:szCs w:val="18"/>
                <w:lang w:eastAsia="en-AU"/>
              </w:rPr>
              <w:t>2021-22</w:t>
            </w:r>
          </w:p>
        </w:tc>
      </w:tr>
      <w:tr w:rsidR="005F5A2E" w:rsidRPr="00CE058E" w14:paraId="4E27184C" w14:textId="77777777" w:rsidTr="00C768FB">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1237" w:type="dxa"/>
            <w:vMerge/>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noWrap/>
            <w:vAlign w:val="center"/>
          </w:tcPr>
          <w:p w14:paraId="4EEE225D" w14:textId="77777777" w:rsidR="005F5A2E" w:rsidRPr="00CE058E" w:rsidRDefault="005F5A2E" w:rsidP="00C768FB">
            <w:pPr>
              <w:spacing w:line="240" w:lineRule="auto"/>
              <w:jc w:val="center"/>
              <w:rPr>
                <w:rFonts w:eastAsia="Times New Roman" w:cs="Arial"/>
                <w:b w:val="0"/>
                <w:bCs w:val="0"/>
                <w:color w:val="FFFFFF" w:themeColor="background2"/>
                <w:sz w:val="18"/>
                <w:szCs w:val="18"/>
                <w:lang w:eastAsia="en-AU"/>
              </w:rPr>
            </w:pPr>
          </w:p>
        </w:tc>
        <w:tc>
          <w:tcPr>
            <w:tcW w:w="113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20A91D42" w14:textId="77777777" w:rsidR="005F5A2E" w:rsidRPr="00CE058E" w:rsidRDefault="005F5A2E" w:rsidP="00C768F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Linked NHCDC records</w:t>
            </w:r>
          </w:p>
        </w:tc>
        <w:tc>
          <w:tcPr>
            <w:tcW w:w="11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12D42DCB" w14:textId="48E0EB5B" w:rsidR="005F5A2E" w:rsidRPr="00CE058E" w:rsidRDefault="00C33282" w:rsidP="00C768F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Pr>
                <w:rFonts w:eastAsia="Times New Roman" w:cs="Arial"/>
                <w:b/>
                <w:bCs/>
                <w:color w:val="FFFFFF" w:themeColor="background2"/>
                <w:sz w:val="18"/>
                <w:szCs w:val="18"/>
                <w:lang w:eastAsia="en-AU"/>
              </w:rPr>
              <w:t>A</w:t>
            </w:r>
            <w:r w:rsidR="005F5A2E" w:rsidRPr="00CE058E">
              <w:rPr>
                <w:rFonts w:eastAsia="Times New Roman" w:cs="Arial"/>
                <w:b/>
                <w:bCs/>
                <w:color w:val="FFFFFF" w:themeColor="background2"/>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70ED7CCA" w14:textId="77777777" w:rsidR="005F5A2E" w:rsidRPr="00CE058E" w:rsidRDefault="005F5A2E" w:rsidP="00C768F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 (%)</w:t>
            </w:r>
          </w:p>
        </w:tc>
        <w:tc>
          <w:tcPr>
            <w:tcW w:w="11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1D94C7D" w14:textId="77777777" w:rsidR="005F5A2E" w:rsidRPr="00CE058E" w:rsidRDefault="005F5A2E" w:rsidP="00C768F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Linked NHCDC records</w:t>
            </w:r>
          </w:p>
        </w:tc>
        <w:tc>
          <w:tcPr>
            <w:tcW w:w="11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8584208" w14:textId="77B1D8BF" w:rsidR="005F5A2E" w:rsidRPr="00CE058E" w:rsidRDefault="00C33282" w:rsidP="00C768F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Pr>
                <w:rFonts w:eastAsia="Times New Roman" w:cs="Arial"/>
                <w:b/>
                <w:bCs/>
                <w:color w:val="FFFFFF" w:themeColor="background2"/>
                <w:sz w:val="18"/>
                <w:szCs w:val="18"/>
                <w:lang w:eastAsia="en-AU"/>
              </w:rPr>
              <w:t>A</w:t>
            </w:r>
            <w:r w:rsidR="005F5A2E" w:rsidRPr="00CE058E">
              <w:rPr>
                <w:rFonts w:eastAsia="Times New Roman" w:cs="Arial"/>
                <w:b/>
                <w:bCs/>
                <w:color w:val="FFFFFF" w:themeColor="background2"/>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1CEA18F5" w14:textId="77777777" w:rsidR="005F5A2E" w:rsidRPr="00CE058E" w:rsidRDefault="005F5A2E" w:rsidP="00C768F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 (%)</w:t>
            </w:r>
          </w:p>
        </w:tc>
        <w:tc>
          <w:tcPr>
            <w:tcW w:w="11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5BCC1FA2" w14:textId="77777777" w:rsidR="005F5A2E" w:rsidRPr="00CE058E" w:rsidRDefault="005F5A2E" w:rsidP="00C768F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Linked NHCDC records</w:t>
            </w:r>
          </w:p>
        </w:tc>
        <w:tc>
          <w:tcPr>
            <w:tcW w:w="111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40E65F45" w14:textId="7CD51DA8" w:rsidR="005F5A2E" w:rsidRPr="00CE058E" w:rsidRDefault="00C33282" w:rsidP="00C768F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Pr>
                <w:rFonts w:eastAsia="Times New Roman" w:cs="Arial"/>
                <w:b/>
                <w:bCs/>
                <w:color w:val="FFFFFF" w:themeColor="background2"/>
                <w:sz w:val="18"/>
                <w:szCs w:val="18"/>
                <w:lang w:eastAsia="en-AU"/>
              </w:rPr>
              <w:t>A</w:t>
            </w:r>
            <w:r w:rsidR="005F5A2E" w:rsidRPr="00CE058E">
              <w:rPr>
                <w:rFonts w:eastAsia="Times New Roman" w:cs="Arial"/>
                <w:b/>
                <w:bCs/>
                <w:color w:val="FFFFFF" w:themeColor="background2"/>
                <w:sz w:val="18"/>
                <w:szCs w:val="18"/>
                <w:lang w:eastAsia="en-AU"/>
              </w:rPr>
              <w:t>ctivity</w:t>
            </w:r>
          </w:p>
        </w:tc>
        <w:tc>
          <w:tcPr>
            <w:tcW w:w="113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104F99" w:themeFill="accent2"/>
            <w:vAlign w:val="center"/>
          </w:tcPr>
          <w:p w14:paraId="60E1B69A" w14:textId="77777777" w:rsidR="005F5A2E" w:rsidRPr="00CE058E" w:rsidRDefault="005F5A2E" w:rsidP="00C768F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themeColor="background2"/>
                <w:sz w:val="18"/>
                <w:szCs w:val="18"/>
                <w:lang w:eastAsia="en-AU"/>
              </w:rPr>
            </w:pPr>
            <w:r w:rsidRPr="00CE058E">
              <w:rPr>
                <w:rFonts w:eastAsia="Times New Roman" w:cs="Arial"/>
                <w:b/>
                <w:bCs/>
                <w:color w:val="FFFFFF" w:themeColor="background2"/>
                <w:sz w:val="18"/>
                <w:szCs w:val="18"/>
                <w:lang w:eastAsia="en-AU"/>
              </w:rPr>
              <w:t>Proportion (%)</w:t>
            </w:r>
          </w:p>
        </w:tc>
      </w:tr>
      <w:tr w:rsidR="005F5A2E" w:rsidRPr="00CE058E" w14:paraId="1C8EAE63" w14:textId="77777777" w:rsidTr="00C768FB">
        <w:trPr>
          <w:trHeight w:val="60"/>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4" w:space="0" w:color="FFFFFF" w:themeColor="background2"/>
            </w:tcBorders>
            <w:noWrap/>
            <w:vAlign w:val="center"/>
            <w:hideMark/>
          </w:tcPr>
          <w:p w14:paraId="4CDBFA18" w14:textId="77777777" w:rsidR="005F5A2E" w:rsidRPr="00CE058E" w:rsidRDefault="005F5A2E" w:rsidP="00C768FB">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NSW</w:t>
            </w:r>
          </w:p>
        </w:tc>
        <w:tc>
          <w:tcPr>
            <w:tcW w:w="1137" w:type="dxa"/>
            <w:tcBorders>
              <w:top w:val="single" w:sz="4" w:space="0" w:color="FFFFFF" w:themeColor="background2"/>
            </w:tcBorders>
            <w:noWrap/>
            <w:vAlign w:val="center"/>
          </w:tcPr>
          <w:p w14:paraId="2E16466F"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tcBorders>
              <w:top w:val="single" w:sz="4" w:space="0" w:color="FFFFFF" w:themeColor="background2"/>
            </w:tcBorders>
            <w:noWrap/>
            <w:vAlign w:val="center"/>
          </w:tcPr>
          <w:p w14:paraId="2798D064"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208,279</w:t>
            </w:r>
          </w:p>
        </w:tc>
        <w:tc>
          <w:tcPr>
            <w:tcW w:w="1136" w:type="dxa"/>
            <w:tcBorders>
              <w:top w:val="single" w:sz="4" w:space="0" w:color="FFFFFF" w:themeColor="background2"/>
            </w:tcBorders>
            <w:noWrap/>
            <w:vAlign w:val="center"/>
          </w:tcPr>
          <w:p w14:paraId="2C7F4B6B"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c>
          <w:tcPr>
            <w:tcW w:w="1117" w:type="dxa"/>
            <w:tcBorders>
              <w:top w:val="single" w:sz="4" w:space="0" w:color="FFFFFF" w:themeColor="background2"/>
            </w:tcBorders>
            <w:noWrap/>
            <w:vAlign w:val="center"/>
          </w:tcPr>
          <w:p w14:paraId="2A7D1F77"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tcBorders>
              <w:top w:val="single" w:sz="4" w:space="0" w:color="FFFFFF" w:themeColor="background2"/>
            </w:tcBorders>
            <w:noWrap/>
            <w:vAlign w:val="center"/>
          </w:tcPr>
          <w:p w14:paraId="1D2CD8AC"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225,711</w:t>
            </w:r>
          </w:p>
        </w:tc>
        <w:tc>
          <w:tcPr>
            <w:tcW w:w="1136" w:type="dxa"/>
            <w:tcBorders>
              <w:top w:val="single" w:sz="4" w:space="0" w:color="FFFFFF" w:themeColor="background2"/>
            </w:tcBorders>
            <w:noWrap/>
            <w:vAlign w:val="center"/>
          </w:tcPr>
          <w:p w14:paraId="5C80FA0D"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c>
          <w:tcPr>
            <w:tcW w:w="1117" w:type="dxa"/>
            <w:tcBorders>
              <w:top w:val="single" w:sz="4" w:space="0" w:color="FFFFFF" w:themeColor="background2"/>
            </w:tcBorders>
            <w:noWrap/>
            <w:vAlign w:val="center"/>
          </w:tcPr>
          <w:p w14:paraId="5B05AE12"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tcBorders>
              <w:top w:val="single" w:sz="4" w:space="0" w:color="FFFFFF" w:themeColor="background2"/>
            </w:tcBorders>
            <w:noWrap/>
            <w:vAlign w:val="center"/>
          </w:tcPr>
          <w:p w14:paraId="03F3D138"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212,685</w:t>
            </w:r>
          </w:p>
        </w:tc>
        <w:tc>
          <w:tcPr>
            <w:tcW w:w="1136" w:type="dxa"/>
            <w:tcBorders>
              <w:top w:val="single" w:sz="4" w:space="0" w:color="FFFFFF" w:themeColor="background2"/>
            </w:tcBorders>
            <w:noWrap/>
            <w:vAlign w:val="center"/>
          </w:tcPr>
          <w:p w14:paraId="3BADFB4E"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r>
      <w:tr w:rsidR="005F5A2E" w:rsidRPr="00CE058E" w14:paraId="3EF51FE9" w14:textId="77777777" w:rsidTr="00C768F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28C4D7A5" w14:textId="77777777" w:rsidR="005F5A2E" w:rsidRPr="00CE058E" w:rsidRDefault="005F5A2E" w:rsidP="00C768FB">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Vic</w:t>
            </w:r>
          </w:p>
        </w:tc>
        <w:tc>
          <w:tcPr>
            <w:tcW w:w="1137" w:type="dxa"/>
            <w:noWrap/>
            <w:vAlign w:val="center"/>
          </w:tcPr>
          <w:p w14:paraId="229199F4"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234,517</w:t>
            </w:r>
          </w:p>
        </w:tc>
        <w:tc>
          <w:tcPr>
            <w:tcW w:w="1117" w:type="dxa"/>
            <w:noWrap/>
            <w:vAlign w:val="center"/>
          </w:tcPr>
          <w:p w14:paraId="46CBE448"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568,235</w:t>
            </w:r>
          </w:p>
        </w:tc>
        <w:tc>
          <w:tcPr>
            <w:tcW w:w="1136" w:type="dxa"/>
            <w:noWrap/>
            <w:vAlign w:val="center"/>
          </w:tcPr>
          <w:p w14:paraId="1701724E"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41</w:t>
            </w:r>
          </w:p>
        </w:tc>
        <w:tc>
          <w:tcPr>
            <w:tcW w:w="1117" w:type="dxa"/>
            <w:noWrap/>
            <w:vAlign w:val="center"/>
          </w:tcPr>
          <w:p w14:paraId="2D8ACD24"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205,750</w:t>
            </w:r>
          </w:p>
        </w:tc>
        <w:tc>
          <w:tcPr>
            <w:tcW w:w="1117" w:type="dxa"/>
            <w:noWrap/>
            <w:vAlign w:val="center"/>
          </w:tcPr>
          <w:p w14:paraId="40EC9766"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547,678</w:t>
            </w:r>
          </w:p>
        </w:tc>
        <w:tc>
          <w:tcPr>
            <w:tcW w:w="1136" w:type="dxa"/>
            <w:noWrap/>
            <w:vAlign w:val="center"/>
          </w:tcPr>
          <w:p w14:paraId="4F78FC2B"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38</w:t>
            </w:r>
          </w:p>
        </w:tc>
        <w:tc>
          <w:tcPr>
            <w:tcW w:w="1117" w:type="dxa"/>
            <w:noWrap/>
            <w:vAlign w:val="center"/>
          </w:tcPr>
          <w:p w14:paraId="6F6EEED6"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205,348</w:t>
            </w:r>
          </w:p>
        </w:tc>
        <w:tc>
          <w:tcPr>
            <w:tcW w:w="1117" w:type="dxa"/>
            <w:noWrap/>
            <w:vAlign w:val="center"/>
          </w:tcPr>
          <w:p w14:paraId="0DCD7331"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508,424</w:t>
            </w:r>
          </w:p>
        </w:tc>
        <w:tc>
          <w:tcPr>
            <w:tcW w:w="1136" w:type="dxa"/>
            <w:noWrap/>
            <w:vAlign w:val="center"/>
          </w:tcPr>
          <w:p w14:paraId="1DC8E490"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40</w:t>
            </w:r>
          </w:p>
        </w:tc>
      </w:tr>
      <w:tr w:rsidR="005F5A2E" w:rsidRPr="00CE058E" w14:paraId="3A496DFF" w14:textId="77777777" w:rsidTr="00C768FB">
        <w:trPr>
          <w:trHeight w:val="6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5CD5FEF1" w14:textId="77777777" w:rsidR="005F5A2E" w:rsidRPr="00CE058E" w:rsidRDefault="005F5A2E" w:rsidP="00C768FB">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Qld</w:t>
            </w:r>
          </w:p>
        </w:tc>
        <w:tc>
          <w:tcPr>
            <w:tcW w:w="1137" w:type="dxa"/>
            <w:noWrap/>
            <w:vAlign w:val="center"/>
          </w:tcPr>
          <w:p w14:paraId="18A24077"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8,860</w:t>
            </w:r>
          </w:p>
        </w:tc>
        <w:tc>
          <w:tcPr>
            <w:tcW w:w="1117" w:type="dxa"/>
            <w:noWrap/>
            <w:vAlign w:val="center"/>
          </w:tcPr>
          <w:p w14:paraId="238FD1B3"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184,109</w:t>
            </w:r>
          </w:p>
        </w:tc>
        <w:tc>
          <w:tcPr>
            <w:tcW w:w="1136" w:type="dxa"/>
            <w:noWrap/>
            <w:vAlign w:val="center"/>
          </w:tcPr>
          <w:p w14:paraId="5F6C89E8"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5</w:t>
            </w:r>
          </w:p>
        </w:tc>
        <w:tc>
          <w:tcPr>
            <w:tcW w:w="1117" w:type="dxa"/>
            <w:noWrap/>
            <w:vAlign w:val="center"/>
          </w:tcPr>
          <w:p w14:paraId="61F366DD"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9,266</w:t>
            </w:r>
          </w:p>
        </w:tc>
        <w:tc>
          <w:tcPr>
            <w:tcW w:w="1117" w:type="dxa"/>
            <w:noWrap/>
            <w:vAlign w:val="center"/>
          </w:tcPr>
          <w:p w14:paraId="51BE2777"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214,009</w:t>
            </w:r>
          </w:p>
        </w:tc>
        <w:tc>
          <w:tcPr>
            <w:tcW w:w="1136" w:type="dxa"/>
            <w:noWrap/>
            <w:vAlign w:val="center"/>
          </w:tcPr>
          <w:p w14:paraId="06FCF1C0"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4</w:t>
            </w:r>
          </w:p>
        </w:tc>
        <w:tc>
          <w:tcPr>
            <w:tcW w:w="1117" w:type="dxa"/>
            <w:noWrap/>
            <w:vAlign w:val="center"/>
          </w:tcPr>
          <w:p w14:paraId="30D30D58"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6,681</w:t>
            </w:r>
          </w:p>
        </w:tc>
        <w:tc>
          <w:tcPr>
            <w:tcW w:w="1117" w:type="dxa"/>
            <w:noWrap/>
            <w:vAlign w:val="center"/>
          </w:tcPr>
          <w:p w14:paraId="2BB3C475"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203,500</w:t>
            </w:r>
          </w:p>
        </w:tc>
        <w:tc>
          <w:tcPr>
            <w:tcW w:w="1136" w:type="dxa"/>
            <w:noWrap/>
            <w:vAlign w:val="center"/>
          </w:tcPr>
          <w:p w14:paraId="2A848E07"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3</w:t>
            </w:r>
          </w:p>
        </w:tc>
      </w:tr>
      <w:tr w:rsidR="005F5A2E" w:rsidRPr="00CE058E" w14:paraId="2A8BB658" w14:textId="77777777" w:rsidTr="00C768F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2E0DA61B" w14:textId="77777777" w:rsidR="005F5A2E" w:rsidRPr="00CE058E" w:rsidRDefault="005F5A2E" w:rsidP="00C768FB">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SA</w:t>
            </w:r>
          </w:p>
        </w:tc>
        <w:tc>
          <w:tcPr>
            <w:tcW w:w="1137" w:type="dxa"/>
            <w:noWrap/>
            <w:vAlign w:val="center"/>
          </w:tcPr>
          <w:p w14:paraId="5CAA24CF"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noWrap/>
            <w:vAlign w:val="center"/>
          </w:tcPr>
          <w:p w14:paraId="06531296"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45,895</w:t>
            </w:r>
          </w:p>
        </w:tc>
        <w:tc>
          <w:tcPr>
            <w:tcW w:w="1136" w:type="dxa"/>
            <w:noWrap/>
            <w:vAlign w:val="center"/>
          </w:tcPr>
          <w:p w14:paraId="3BFCC1DC"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c>
          <w:tcPr>
            <w:tcW w:w="1117" w:type="dxa"/>
            <w:noWrap/>
            <w:vAlign w:val="center"/>
          </w:tcPr>
          <w:p w14:paraId="6AA5E5B1"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noWrap/>
            <w:vAlign w:val="center"/>
          </w:tcPr>
          <w:p w14:paraId="7969B028"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58,153</w:t>
            </w:r>
          </w:p>
        </w:tc>
        <w:tc>
          <w:tcPr>
            <w:tcW w:w="1136" w:type="dxa"/>
            <w:noWrap/>
            <w:vAlign w:val="center"/>
          </w:tcPr>
          <w:p w14:paraId="6697EE35"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c>
          <w:tcPr>
            <w:tcW w:w="1117" w:type="dxa"/>
            <w:noWrap/>
            <w:vAlign w:val="center"/>
          </w:tcPr>
          <w:p w14:paraId="6D9A54DF"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noWrap/>
            <w:vAlign w:val="center"/>
          </w:tcPr>
          <w:p w14:paraId="54B6E53F"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60,122</w:t>
            </w:r>
          </w:p>
        </w:tc>
        <w:tc>
          <w:tcPr>
            <w:tcW w:w="1136" w:type="dxa"/>
            <w:noWrap/>
            <w:vAlign w:val="center"/>
          </w:tcPr>
          <w:p w14:paraId="07859402"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r>
      <w:tr w:rsidR="005F5A2E" w:rsidRPr="00CE058E" w14:paraId="5104C72C" w14:textId="77777777" w:rsidTr="00C768FB">
        <w:trPr>
          <w:trHeight w:val="6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4CDF087D" w14:textId="77777777" w:rsidR="005F5A2E" w:rsidRPr="00CE058E" w:rsidRDefault="005F5A2E" w:rsidP="00C768FB">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WA</w:t>
            </w:r>
          </w:p>
        </w:tc>
        <w:tc>
          <w:tcPr>
            <w:tcW w:w="1137" w:type="dxa"/>
            <w:noWrap/>
            <w:vAlign w:val="center"/>
          </w:tcPr>
          <w:p w14:paraId="235577EE"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noWrap/>
            <w:vAlign w:val="center"/>
          </w:tcPr>
          <w:p w14:paraId="20E6BB1B"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86,027</w:t>
            </w:r>
          </w:p>
        </w:tc>
        <w:tc>
          <w:tcPr>
            <w:tcW w:w="1136" w:type="dxa"/>
            <w:noWrap/>
            <w:vAlign w:val="center"/>
          </w:tcPr>
          <w:p w14:paraId="4EA4C5E3"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c>
          <w:tcPr>
            <w:tcW w:w="1117" w:type="dxa"/>
            <w:noWrap/>
            <w:vAlign w:val="center"/>
          </w:tcPr>
          <w:p w14:paraId="22486F75"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noWrap/>
            <w:vAlign w:val="center"/>
          </w:tcPr>
          <w:p w14:paraId="4FE894C0"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88,272</w:t>
            </w:r>
          </w:p>
        </w:tc>
        <w:tc>
          <w:tcPr>
            <w:tcW w:w="1136" w:type="dxa"/>
            <w:noWrap/>
            <w:vAlign w:val="center"/>
          </w:tcPr>
          <w:p w14:paraId="289F5AE6"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c>
          <w:tcPr>
            <w:tcW w:w="1117" w:type="dxa"/>
            <w:noWrap/>
            <w:vAlign w:val="center"/>
          </w:tcPr>
          <w:p w14:paraId="046EF888"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noWrap/>
            <w:vAlign w:val="center"/>
          </w:tcPr>
          <w:p w14:paraId="30413E1E"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81,599</w:t>
            </w:r>
          </w:p>
        </w:tc>
        <w:tc>
          <w:tcPr>
            <w:tcW w:w="1136" w:type="dxa"/>
            <w:noWrap/>
            <w:vAlign w:val="center"/>
          </w:tcPr>
          <w:p w14:paraId="51F8CE07"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r>
      <w:tr w:rsidR="005F5A2E" w:rsidRPr="00CE058E" w14:paraId="0EC8A872" w14:textId="77777777" w:rsidTr="00C768F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3F59BAA7" w14:textId="77777777" w:rsidR="005F5A2E" w:rsidRPr="00CE058E" w:rsidRDefault="005F5A2E" w:rsidP="00C768FB">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Tas</w:t>
            </w:r>
          </w:p>
        </w:tc>
        <w:tc>
          <w:tcPr>
            <w:tcW w:w="1137" w:type="dxa"/>
            <w:noWrap/>
            <w:vAlign w:val="center"/>
          </w:tcPr>
          <w:p w14:paraId="705A6012"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8,072</w:t>
            </w:r>
          </w:p>
        </w:tc>
        <w:tc>
          <w:tcPr>
            <w:tcW w:w="1117" w:type="dxa"/>
            <w:noWrap/>
            <w:vAlign w:val="center"/>
          </w:tcPr>
          <w:p w14:paraId="562496B6"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10,163</w:t>
            </w:r>
          </w:p>
        </w:tc>
        <w:tc>
          <w:tcPr>
            <w:tcW w:w="1136" w:type="dxa"/>
            <w:noWrap/>
            <w:vAlign w:val="center"/>
          </w:tcPr>
          <w:p w14:paraId="54B6ADD7"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79</w:t>
            </w:r>
          </w:p>
        </w:tc>
        <w:tc>
          <w:tcPr>
            <w:tcW w:w="1117" w:type="dxa"/>
            <w:noWrap/>
            <w:vAlign w:val="center"/>
          </w:tcPr>
          <w:p w14:paraId="7F37F641"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6,483</w:t>
            </w:r>
          </w:p>
        </w:tc>
        <w:tc>
          <w:tcPr>
            <w:tcW w:w="1117" w:type="dxa"/>
            <w:noWrap/>
            <w:vAlign w:val="center"/>
          </w:tcPr>
          <w:p w14:paraId="20EF240F"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11,893</w:t>
            </w:r>
          </w:p>
        </w:tc>
        <w:tc>
          <w:tcPr>
            <w:tcW w:w="1136" w:type="dxa"/>
            <w:noWrap/>
            <w:vAlign w:val="center"/>
          </w:tcPr>
          <w:p w14:paraId="11472473"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55</w:t>
            </w:r>
          </w:p>
        </w:tc>
        <w:tc>
          <w:tcPr>
            <w:tcW w:w="1117" w:type="dxa"/>
            <w:noWrap/>
            <w:vAlign w:val="center"/>
          </w:tcPr>
          <w:p w14:paraId="714E10D0"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7,003</w:t>
            </w:r>
          </w:p>
        </w:tc>
        <w:tc>
          <w:tcPr>
            <w:tcW w:w="1117" w:type="dxa"/>
            <w:noWrap/>
            <w:vAlign w:val="center"/>
          </w:tcPr>
          <w:p w14:paraId="5AE7EEE0"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11,648</w:t>
            </w:r>
          </w:p>
        </w:tc>
        <w:tc>
          <w:tcPr>
            <w:tcW w:w="1136" w:type="dxa"/>
            <w:noWrap/>
            <w:vAlign w:val="center"/>
          </w:tcPr>
          <w:p w14:paraId="0EC3F633"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60</w:t>
            </w:r>
          </w:p>
        </w:tc>
      </w:tr>
      <w:tr w:rsidR="005F5A2E" w:rsidRPr="00CE058E" w14:paraId="11B912FF" w14:textId="77777777" w:rsidTr="00C768FB">
        <w:trPr>
          <w:trHeight w:val="6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42F2CD71" w14:textId="77777777" w:rsidR="005F5A2E" w:rsidRPr="00CE058E" w:rsidRDefault="005F5A2E" w:rsidP="00C768FB">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NT</w:t>
            </w:r>
          </w:p>
        </w:tc>
        <w:tc>
          <w:tcPr>
            <w:tcW w:w="1137" w:type="dxa"/>
            <w:noWrap/>
            <w:vAlign w:val="center"/>
          </w:tcPr>
          <w:p w14:paraId="77C05272"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noWrap/>
            <w:vAlign w:val="center"/>
          </w:tcPr>
          <w:p w14:paraId="2827DCEC"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36" w:type="dxa"/>
            <w:noWrap/>
            <w:vAlign w:val="center"/>
          </w:tcPr>
          <w:p w14:paraId="1C5306CE"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c>
          <w:tcPr>
            <w:tcW w:w="1117" w:type="dxa"/>
            <w:noWrap/>
            <w:vAlign w:val="center"/>
          </w:tcPr>
          <w:p w14:paraId="3838C1BC"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noWrap/>
            <w:vAlign w:val="center"/>
          </w:tcPr>
          <w:p w14:paraId="746D2C46"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4,060</w:t>
            </w:r>
          </w:p>
        </w:tc>
        <w:tc>
          <w:tcPr>
            <w:tcW w:w="1136" w:type="dxa"/>
            <w:noWrap/>
            <w:vAlign w:val="center"/>
          </w:tcPr>
          <w:p w14:paraId="1B48779D"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c>
          <w:tcPr>
            <w:tcW w:w="1117" w:type="dxa"/>
            <w:noWrap/>
            <w:vAlign w:val="center"/>
          </w:tcPr>
          <w:p w14:paraId="46217104"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noWrap/>
            <w:vAlign w:val="center"/>
          </w:tcPr>
          <w:p w14:paraId="0BF97C06"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4,203</w:t>
            </w:r>
          </w:p>
        </w:tc>
        <w:tc>
          <w:tcPr>
            <w:tcW w:w="1136" w:type="dxa"/>
            <w:noWrap/>
            <w:vAlign w:val="center"/>
          </w:tcPr>
          <w:p w14:paraId="7D17B649"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r>
      <w:tr w:rsidR="005F5A2E" w:rsidRPr="00CE058E" w14:paraId="5A5D7A2C" w14:textId="77777777" w:rsidTr="00C768F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041A7983" w14:textId="77777777" w:rsidR="005F5A2E" w:rsidRPr="00CE058E" w:rsidRDefault="005F5A2E" w:rsidP="00C768FB">
            <w:pPr>
              <w:spacing w:line="240" w:lineRule="auto"/>
              <w:jc w:val="center"/>
              <w:rPr>
                <w:rFonts w:eastAsia="Times New Roman" w:cs="Arial"/>
                <w:color w:val="auto"/>
                <w:sz w:val="18"/>
                <w:szCs w:val="18"/>
                <w:lang w:eastAsia="en-AU"/>
              </w:rPr>
            </w:pPr>
            <w:r w:rsidRPr="00CE058E">
              <w:rPr>
                <w:rFonts w:eastAsia="Times New Roman" w:cs="Arial"/>
                <w:color w:val="auto"/>
                <w:sz w:val="18"/>
                <w:szCs w:val="18"/>
                <w:lang w:eastAsia="en-AU"/>
              </w:rPr>
              <w:t>ACT</w:t>
            </w:r>
          </w:p>
        </w:tc>
        <w:tc>
          <w:tcPr>
            <w:tcW w:w="1137" w:type="dxa"/>
            <w:noWrap/>
            <w:vAlign w:val="center"/>
          </w:tcPr>
          <w:p w14:paraId="06B444E6"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noWrap/>
            <w:vAlign w:val="center"/>
          </w:tcPr>
          <w:p w14:paraId="4CC3E8C5"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9,922</w:t>
            </w:r>
          </w:p>
        </w:tc>
        <w:tc>
          <w:tcPr>
            <w:tcW w:w="1136" w:type="dxa"/>
            <w:noWrap/>
            <w:vAlign w:val="center"/>
          </w:tcPr>
          <w:p w14:paraId="12C5B6C5"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c>
          <w:tcPr>
            <w:tcW w:w="1117" w:type="dxa"/>
            <w:noWrap/>
            <w:vAlign w:val="center"/>
          </w:tcPr>
          <w:p w14:paraId="460157F1"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6,857</w:t>
            </w:r>
          </w:p>
        </w:tc>
        <w:tc>
          <w:tcPr>
            <w:tcW w:w="1117" w:type="dxa"/>
            <w:noWrap/>
            <w:vAlign w:val="center"/>
          </w:tcPr>
          <w:p w14:paraId="3C97911E"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9,165</w:t>
            </w:r>
          </w:p>
        </w:tc>
        <w:tc>
          <w:tcPr>
            <w:tcW w:w="1136" w:type="dxa"/>
            <w:noWrap/>
            <w:vAlign w:val="center"/>
          </w:tcPr>
          <w:p w14:paraId="1DA6FA33"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75</w:t>
            </w:r>
          </w:p>
        </w:tc>
        <w:tc>
          <w:tcPr>
            <w:tcW w:w="1117" w:type="dxa"/>
            <w:noWrap/>
            <w:vAlign w:val="center"/>
          </w:tcPr>
          <w:p w14:paraId="29D94940"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w:t>
            </w:r>
          </w:p>
        </w:tc>
        <w:tc>
          <w:tcPr>
            <w:tcW w:w="1117" w:type="dxa"/>
            <w:noWrap/>
            <w:vAlign w:val="center"/>
          </w:tcPr>
          <w:p w14:paraId="0FDBE41C"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sz w:val="18"/>
                <w:szCs w:val="18"/>
              </w:rPr>
              <w:t>12,448</w:t>
            </w:r>
          </w:p>
        </w:tc>
        <w:tc>
          <w:tcPr>
            <w:tcW w:w="1136" w:type="dxa"/>
            <w:noWrap/>
            <w:vAlign w:val="center"/>
          </w:tcPr>
          <w:p w14:paraId="01CAC112" w14:textId="77777777" w:rsidR="005F5A2E" w:rsidRPr="00CE058E" w:rsidRDefault="005F5A2E" w:rsidP="00C768F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CE058E">
              <w:rPr>
                <w:rFonts w:cs="Arial"/>
                <w:color w:val="15272F"/>
                <w:sz w:val="18"/>
                <w:szCs w:val="18"/>
              </w:rPr>
              <w:t>-</w:t>
            </w:r>
          </w:p>
        </w:tc>
      </w:tr>
      <w:tr w:rsidR="005F5A2E" w:rsidRPr="00CE058E" w14:paraId="480D3684" w14:textId="77777777" w:rsidTr="00C768FB">
        <w:trPr>
          <w:trHeight w:val="60"/>
          <w:jc w:val="center"/>
        </w:trPr>
        <w:tc>
          <w:tcPr>
            <w:cnfStyle w:val="001000000000" w:firstRow="0" w:lastRow="0" w:firstColumn="1" w:lastColumn="0" w:oddVBand="0" w:evenVBand="0" w:oddHBand="0" w:evenHBand="0" w:firstRowFirstColumn="0" w:firstRowLastColumn="0" w:lastRowFirstColumn="0" w:lastRowLastColumn="0"/>
            <w:tcW w:w="1237" w:type="dxa"/>
            <w:noWrap/>
            <w:vAlign w:val="center"/>
            <w:hideMark/>
          </w:tcPr>
          <w:p w14:paraId="4F24D163" w14:textId="77777777" w:rsidR="005F5A2E" w:rsidRPr="00CE058E" w:rsidRDefault="005F5A2E" w:rsidP="00C768FB">
            <w:pPr>
              <w:spacing w:line="240" w:lineRule="auto"/>
              <w:jc w:val="center"/>
              <w:rPr>
                <w:rFonts w:eastAsia="Times New Roman" w:cs="Arial"/>
                <w:b w:val="0"/>
                <w:bCs w:val="0"/>
                <w:color w:val="auto"/>
                <w:sz w:val="18"/>
                <w:szCs w:val="18"/>
                <w:lang w:eastAsia="en-AU"/>
              </w:rPr>
            </w:pPr>
            <w:r w:rsidRPr="00CE058E">
              <w:rPr>
                <w:rFonts w:eastAsia="Times New Roman" w:cs="Arial"/>
                <w:color w:val="auto"/>
                <w:sz w:val="18"/>
                <w:szCs w:val="18"/>
                <w:lang w:eastAsia="en-AU"/>
              </w:rPr>
              <w:t>National</w:t>
            </w:r>
          </w:p>
        </w:tc>
        <w:tc>
          <w:tcPr>
            <w:tcW w:w="1137" w:type="dxa"/>
            <w:noWrap/>
            <w:vAlign w:val="center"/>
          </w:tcPr>
          <w:p w14:paraId="5281A6EB"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251,449</w:t>
            </w:r>
          </w:p>
        </w:tc>
        <w:tc>
          <w:tcPr>
            <w:tcW w:w="1117" w:type="dxa"/>
            <w:noWrap/>
            <w:vAlign w:val="center"/>
          </w:tcPr>
          <w:p w14:paraId="52ED6B0C"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1,112,630</w:t>
            </w:r>
          </w:p>
        </w:tc>
        <w:tc>
          <w:tcPr>
            <w:tcW w:w="1136" w:type="dxa"/>
            <w:noWrap/>
            <w:vAlign w:val="center"/>
          </w:tcPr>
          <w:p w14:paraId="793097DA"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23</w:t>
            </w:r>
          </w:p>
        </w:tc>
        <w:tc>
          <w:tcPr>
            <w:tcW w:w="1117" w:type="dxa"/>
            <w:noWrap/>
            <w:vAlign w:val="center"/>
          </w:tcPr>
          <w:p w14:paraId="583E86FF"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228,356</w:t>
            </w:r>
          </w:p>
        </w:tc>
        <w:tc>
          <w:tcPr>
            <w:tcW w:w="1117" w:type="dxa"/>
            <w:noWrap/>
            <w:vAlign w:val="center"/>
          </w:tcPr>
          <w:p w14:paraId="71CDC7C4"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1,158,941</w:t>
            </w:r>
          </w:p>
        </w:tc>
        <w:tc>
          <w:tcPr>
            <w:tcW w:w="1136" w:type="dxa"/>
            <w:noWrap/>
            <w:vAlign w:val="center"/>
          </w:tcPr>
          <w:p w14:paraId="7E758FF4"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20</w:t>
            </w:r>
          </w:p>
        </w:tc>
        <w:tc>
          <w:tcPr>
            <w:tcW w:w="1117" w:type="dxa"/>
            <w:noWrap/>
            <w:vAlign w:val="center"/>
          </w:tcPr>
          <w:p w14:paraId="7F207740"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CE058E">
              <w:rPr>
                <w:rFonts w:cs="Arial"/>
                <w:b/>
                <w:bCs/>
                <w:color w:val="auto"/>
                <w:sz w:val="18"/>
                <w:szCs w:val="18"/>
              </w:rPr>
              <w:t>219,032</w:t>
            </w:r>
          </w:p>
        </w:tc>
        <w:tc>
          <w:tcPr>
            <w:tcW w:w="1117" w:type="dxa"/>
            <w:noWrap/>
            <w:vAlign w:val="center"/>
          </w:tcPr>
          <w:p w14:paraId="1B8BDCF2"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1,094,629</w:t>
            </w:r>
          </w:p>
        </w:tc>
        <w:tc>
          <w:tcPr>
            <w:tcW w:w="1136" w:type="dxa"/>
            <w:noWrap/>
            <w:vAlign w:val="center"/>
          </w:tcPr>
          <w:p w14:paraId="5FA7EBC8" w14:textId="77777777" w:rsidR="005F5A2E" w:rsidRPr="00CE058E" w:rsidRDefault="005F5A2E" w:rsidP="00C768F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8"/>
                <w:szCs w:val="18"/>
                <w:lang w:eastAsia="en-AU"/>
              </w:rPr>
            </w:pPr>
            <w:r w:rsidRPr="00CE058E">
              <w:rPr>
                <w:rFonts w:cs="Arial"/>
                <w:b/>
                <w:bCs/>
                <w:color w:val="auto"/>
                <w:sz w:val="18"/>
                <w:szCs w:val="18"/>
              </w:rPr>
              <w:t>20</w:t>
            </w:r>
          </w:p>
        </w:tc>
      </w:tr>
    </w:tbl>
    <w:p w14:paraId="04854B1D" w14:textId="1CC76335" w:rsidR="00F21638" w:rsidRPr="00CE058E" w:rsidRDefault="00F21638" w:rsidP="007B41F8">
      <w:pPr>
        <w:pStyle w:val="Heading2"/>
      </w:pPr>
      <w:bookmarkStart w:id="441" w:name="_Toc151129733"/>
      <w:bookmarkStart w:id="442" w:name="_Toc158882584"/>
      <w:bookmarkStart w:id="443" w:name="_Toc158882645"/>
      <w:r w:rsidRPr="00CE058E">
        <w:t xml:space="preserve">Community mental health </w:t>
      </w:r>
      <w:r w:rsidR="005F5A2E" w:rsidRPr="00CE058E">
        <w:t>phases and episodes</w:t>
      </w:r>
      <w:bookmarkEnd w:id="441"/>
      <w:bookmarkEnd w:id="442"/>
      <w:bookmarkEnd w:id="443"/>
    </w:p>
    <w:p w14:paraId="64FCE7F5" w14:textId="1C7F0EA7" w:rsidR="00621475" w:rsidRDefault="00E72DAE" w:rsidP="00A47745">
      <w:pPr>
        <w:spacing w:line="276" w:lineRule="auto"/>
        <w:rPr>
          <w:rFonts w:cs="Arial"/>
          <w:color w:val="auto"/>
        </w:rPr>
      </w:pPr>
      <w:r w:rsidRPr="00CE058E">
        <w:rPr>
          <w:rFonts w:cs="Arial"/>
          <w:color w:val="auto"/>
        </w:rPr>
        <w:t xml:space="preserve">Figure </w:t>
      </w:r>
      <w:r w:rsidR="005F5A2E" w:rsidRPr="00CE058E">
        <w:rPr>
          <w:rFonts w:cs="Arial"/>
          <w:color w:val="auto"/>
        </w:rPr>
        <w:t>3</w:t>
      </w:r>
      <w:r w:rsidR="00CB65C0">
        <w:rPr>
          <w:rFonts w:cs="Arial"/>
          <w:color w:val="auto"/>
        </w:rPr>
        <w:t>0</w:t>
      </w:r>
      <w:r w:rsidR="005F5A2E" w:rsidRPr="00CE058E">
        <w:rPr>
          <w:rFonts w:cs="Arial"/>
          <w:color w:val="auto"/>
        </w:rPr>
        <w:t xml:space="preserve"> </w:t>
      </w:r>
      <w:r w:rsidRPr="00CE058E">
        <w:rPr>
          <w:rFonts w:cs="Arial"/>
          <w:color w:val="auto"/>
        </w:rPr>
        <w:t xml:space="preserve">shows the number of community mental health phases reported in the cost data from 2019-20 to 2021-22. In 2021-22, there were </w:t>
      </w:r>
      <w:r w:rsidR="0023757F" w:rsidRPr="00CE058E">
        <w:rPr>
          <w:rFonts w:cs="Arial"/>
          <w:color w:val="auto"/>
        </w:rPr>
        <w:t>555,828</w:t>
      </w:r>
      <w:r w:rsidRPr="00CE058E">
        <w:rPr>
          <w:rFonts w:cs="Arial"/>
          <w:color w:val="auto"/>
        </w:rPr>
        <w:t xml:space="preserve"> community mental health phases nationally, a </w:t>
      </w:r>
      <w:r w:rsidR="0023757F" w:rsidRPr="00CE058E">
        <w:rPr>
          <w:rFonts w:cs="Arial"/>
          <w:color w:val="auto"/>
        </w:rPr>
        <w:t>37</w:t>
      </w:r>
      <w:r w:rsidR="00897090">
        <w:rPr>
          <w:rFonts w:cs="Arial"/>
          <w:color w:val="auto"/>
        </w:rPr>
        <w:t>%</w:t>
      </w:r>
      <w:r w:rsidRPr="00CE058E">
        <w:rPr>
          <w:rFonts w:cs="Arial"/>
          <w:color w:val="auto"/>
        </w:rPr>
        <w:t xml:space="preserve"> increase to the 2020-21 figure of 405,815. The national increase in community mental health phases was driven </w:t>
      </w:r>
      <w:r w:rsidR="0045132E" w:rsidRPr="00CE058E">
        <w:rPr>
          <w:rFonts w:cs="Arial"/>
          <w:color w:val="auto"/>
        </w:rPr>
        <w:t>by Victoria, increasing 104,155 records (87</w:t>
      </w:r>
      <w:r w:rsidR="00897090">
        <w:rPr>
          <w:rFonts w:cs="Arial"/>
          <w:color w:val="auto"/>
        </w:rPr>
        <w:t>%</w:t>
      </w:r>
      <w:r w:rsidR="0045132E" w:rsidRPr="00CE058E">
        <w:rPr>
          <w:rFonts w:cs="Arial"/>
          <w:color w:val="auto"/>
        </w:rPr>
        <w:t xml:space="preserve">) </w:t>
      </w:r>
      <w:r w:rsidRPr="00CE058E">
        <w:rPr>
          <w:rFonts w:cs="Arial"/>
          <w:color w:val="auto"/>
        </w:rPr>
        <w:t>from 2020-21 to 2021-22. In 2021-22, t</w:t>
      </w:r>
      <w:r w:rsidR="00621475" w:rsidRPr="00CE058E">
        <w:rPr>
          <w:rFonts w:cs="Arial"/>
          <w:bCs/>
          <w:color w:val="auto"/>
        </w:rPr>
        <w:t xml:space="preserve">he number of phases at the jurisdictional level ranges from 3,983 (Tasmania) to 223,996 (Victoria). </w:t>
      </w:r>
      <w:r w:rsidRPr="00CE058E">
        <w:rPr>
          <w:rFonts w:cs="Arial"/>
          <w:bCs/>
          <w:color w:val="auto"/>
        </w:rPr>
        <w:t>Not</w:t>
      </w:r>
      <w:r w:rsidR="00621475" w:rsidRPr="00CE058E">
        <w:rPr>
          <w:rFonts w:cs="Arial"/>
          <w:color w:val="auto"/>
        </w:rPr>
        <w:t>e South Australia, Western Australia, Northern Territory, and the Australian Capital Territory did not submit phase level cost data in 2019-20 to 2021-22.</w:t>
      </w:r>
    </w:p>
    <w:p w14:paraId="4665E5DA" w14:textId="2F528A8C" w:rsidR="00A82091" w:rsidRPr="00CE058E" w:rsidRDefault="00DD29C5" w:rsidP="00DD29C5">
      <w:pPr>
        <w:pStyle w:val="TableFigureheading"/>
      </w:pPr>
      <w:bookmarkStart w:id="444" w:name="_Toc151370079"/>
      <w:r>
        <w:lastRenderedPageBreak/>
        <w:t xml:space="preserve">Figure </w:t>
      </w:r>
      <w:r>
        <w:fldChar w:fldCharType="begin"/>
      </w:r>
      <w:r>
        <w:instrText xml:space="preserve"> SEQ Figure \* ARABIC </w:instrText>
      </w:r>
      <w:r>
        <w:fldChar w:fldCharType="separate"/>
      </w:r>
      <w:r>
        <w:rPr>
          <w:noProof/>
        </w:rPr>
        <w:t>30</w:t>
      </w:r>
      <w:r>
        <w:rPr>
          <w:noProof/>
        </w:rPr>
        <w:fldChar w:fldCharType="end"/>
      </w:r>
      <w:r>
        <w:t>:</w:t>
      </w:r>
      <w:r w:rsidR="00A82091" w:rsidRPr="00CE058E">
        <w:t xml:space="preserve"> Community </w:t>
      </w:r>
      <w:r w:rsidR="00183B32" w:rsidRPr="00CE058E">
        <w:t>m</w:t>
      </w:r>
      <w:r w:rsidR="00A82091" w:rsidRPr="00CE058E">
        <w:t xml:space="preserve">ental </w:t>
      </w:r>
      <w:r w:rsidR="00183B32" w:rsidRPr="00CE058E">
        <w:t>h</w:t>
      </w:r>
      <w:r w:rsidR="00A82091" w:rsidRPr="00CE058E">
        <w:t>ealth phases, 2019-20 to 2021-22</w:t>
      </w:r>
      <w:bookmarkEnd w:id="444"/>
    </w:p>
    <w:p w14:paraId="7A511823" w14:textId="5161E9D8" w:rsidR="005F5A2E" w:rsidRDefault="00CF6612" w:rsidP="005F5A2E">
      <w:pPr>
        <w:spacing w:line="276" w:lineRule="auto"/>
        <w:rPr>
          <w:rFonts w:cs="Arial"/>
          <w:color w:val="auto"/>
        </w:rPr>
      </w:pPr>
      <w:r w:rsidRPr="00CE058E">
        <w:rPr>
          <w:rFonts w:cs="Arial"/>
          <w:noProof/>
        </w:rPr>
        <w:drawing>
          <wp:inline distT="0" distB="0" distL="0" distR="0" wp14:anchorId="5E48A1AF" wp14:editId="44F6377A">
            <wp:extent cx="6188710" cy="2396490"/>
            <wp:effectExtent l="0" t="0" r="0" b="0"/>
            <wp:docPr id="1987605774" name="Chart 1987605774">
              <a:extLst xmlns:a="http://schemas.openxmlformats.org/drawingml/2006/main">
                <a:ext uri="{FF2B5EF4-FFF2-40B4-BE49-F238E27FC236}">
                  <a16:creationId xmlns:a16="http://schemas.microsoft.com/office/drawing/2014/main" id="{29E9A63B-FACE-E1C6-CF28-02760E1A0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5F5A2E" w:rsidRPr="00CE058E">
        <w:rPr>
          <w:rFonts w:cs="Arial"/>
          <w:color w:val="auto"/>
        </w:rPr>
        <w:t xml:space="preserve"> Figure 3</w:t>
      </w:r>
      <w:r w:rsidR="00CB65C0">
        <w:rPr>
          <w:rFonts w:cs="Arial"/>
          <w:color w:val="auto"/>
        </w:rPr>
        <w:t>1</w:t>
      </w:r>
      <w:r w:rsidR="005F5A2E" w:rsidRPr="00CE058E">
        <w:rPr>
          <w:rFonts w:cs="Arial"/>
          <w:color w:val="auto"/>
        </w:rPr>
        <w:t xml:space="preserve"> shows the number of community mental health episodes reported in the cost data from 2019-20 to 2021-22. In 2021-22, there were 219,032 community mental health episodes nationally, a 4</w:t>
      </w:r>
      <w:r w:rsidR="00897090">
        <w:rPr>
          <w:rFonts w:cs="Arial"/>
          <w:color w:val="auto"/>
        </w:rPr>
        <w:t>%</w:t>
      </w:r>
      <w:r w:rsidR="005F5A2E" w:rsidRPr="00CE058E">
        <w:rPr>
          <w:rFonts w:cs="Arial"/>
          <w:color w:val="auto"/>
        </w:rPr>
        <w:t xml:space="preserve"> decrease to the 2020-21 figure of 228,356. The national decrease in community mental health episodes was driven by the Australian Capital Territory who submitted community mental health episodes in 2020-21, but not in 2021-22. In 2021-22, the number of episodes at the jurisdictional level ranged from 6,681 (Queensland) to 205,348 (Victoria).</w:t>
      </w:r>
    </w:p>
    <w:p w14:paraId="1417E982" w14:textId="77E46B8B" w:rsidR="005F5A2E" w:rsidRPr="00CE058E" w:rsidRDefault="00DD29C5" w:rsidP="00DD29C5">
      <w:pPr>
        <w:pStyle w:val="TableFigureheading"/>
      </w:pPr>
      <w:bookmarkStart w:id="445" w:name="_Toc151370080"/>
      <w:r>
        <w:t xml:space="preserve">Figure </w:t>
      </w:r>
      <w:r>
        <w:fldChar w:fldCharType="begin"/>
      </w:r>
      <w:r>
        <w:instrText xml:space="preserve"> SEQ Figure \* ARABIC </w:instrText>
      </w:r>
      <w:r>
        <w:fldChar w:fldCharType="separate"/>
      </w:r>
      <w:r>
        <w:rPr>
          <w:noProof/>
        </w:rPr>
        <w:t>31</w:t>
      </w:r>
      <w:r>
        <w:rPr>
          <w:noProof/>
        </w:rPr>
        <w:fldChar w:fldCharType="end"/>
      </w:r>
      <w:r>
        <w:t>:</w:t>
      </w:r>
      <w:r w:rsidR="005F5A2E" w:rsidRPr="00CE058E">
        <w:t xml:space="preserve"> Community mental health episodes, 2019-20 to 2021-22</w:t>
      </w:r>
      <w:bookmarkEnd w:id="445"/>
    </w:p>
    <w:p w14:paraId="7465DE30" w14:textId="77777777" w:rsidR="005F5A2E" w:rsidRPr="00CE058E" w:rsidRDefault="005F5A2E" w:rsidP="005F5A2E">
      <w:pPr>
        <w:ind w:left="-1080" w:right="-1027"/>
        <w:jc w:val="center"/>
        <w:rPr>
          <w:rFonts w:cs="Arial"/>
        </w:rPr>
      </w:pPr>
      <w:r w:rsidRPr="00CE058E">
        <w:rPr>
          <w:rFonts w:cs="Arial"/>
          <w:noProof/>
        </w:rPr>
        <w:drawing>
          <wp:inline distT="0" distB="0" distL="0" distR="0" wp14:anchorId="2CE1920C" wp14:editId="72296157">
            <wp:extent cx="6227445" cy="2412000"/>
            <wp:effectExtent l="0" t="0" r="0" b="0"/>
            <wp:docPr id="4" name="Chart 4">
              <a:extLst xmlns:a="http://schemas.openxmlformats.org/drawingml/2006/main">
                <a:ext uri="{FF2B5EF4-FFF2-40B4-BE49-F238E27FC236}">
                  <a16:creationId xmlns:a16="http://schemas.microsoft.com/office/drawing/2014/main" id="{81F9A1C6-48D6-4643-80C4-C44869F425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F4E3B07" w14:textId="2BE30D71" w:rsidR="00F21638" w:rsidRPr="00CE058E" w:rsidRDefault="00F21638" w:rsidP="007B41F8">
      <w:pPr>
        <w:pStyle w:val="Heading2"/>
      </w:pPr>
      <w:bookmarkStart w:id="446" w:name="_Toc151129734"/>
      <w:bookmarkStart w:id="447" w:name="_Toc158882585"/>
      <w:bookmarkStart w:id="448" w:name="_Toc158882646"/>
      <w:r w:rsidRPr="00CE058E">
        <w:t xml:space="preserve">Community </w:t>
      </w:r>
      <w:r w:rsidR="002E31BC" w:rsidRPr="00CE058E">
        <w:t>m</w:t>
      </w:r>
      <w:r w:rsidRPr="00CE058E">
        <w:t xml:space="preserve">ental </w:t>
      </w:r>
      <w:r w:rsidR="002E31BC" w:rsidRPr="00CE058E">
        <w:t>h</w:t>
      </w:r>
      <w:r w:rsidRPr="00CE058E">
        <w:t>ealth cost</w:t>
      </w:r>
      <w:bookmarkEnd w:id="446"/>
      <w:bookmarkEnd w:id="447"/>
      <w:bookmarkEnd w:id="448"/>
    </w:p>
    <w:p w14:paraId="2CF6DD93" w14:textId="2082C85A" w:rsidR="008206C9" w:rsidRDefault="008206C9" w:rsidP="008206C9">
      <w:pPr>
        <w:spacing w:line="276" w:lineRule="auto"/>
        <w:rPr>
          <w:rFonts w:cs="Arial"/>
          <w:color w:val="auto"/>
        </w:rPr>
      </w:pPr>
      <w:r w:rsidRPr="00CE058E">
        <w:rPr>
          <w:rFonts w:cs="Arial"/>
          <w:color w:val="auto"/>
        </w:rPr>
        <w:t xml:space="preserve">In 2021-22, </w:t>
      </w:r>
      <w:r w:rsidR="00AF2519">
        <w:rPr>
          <w:rFonts w:cs="Arial"/>
          <w:color w:val="auto"/>
        </w:rPr>
        <w:t xml:space="preserve">the </w:t>
      </w:r>
      <w:r w:rsidRPr="00CE058E">
        <w:rPr>
          <w:rFonts w:cs="Arial"/>
          <w:color w:val="auto"/>
        </w:rPr>
        <w:t>community mental health phases</w:t>
      </w:r>
      <w:r w:rsidR="00AF2519">
        <w:rPr>
          <w:rFonts w:cs="Arial"/>
          <w:color w:val="auto"/>
        </w:rPr>
        <w:t xml:space="preserve"> expenditure reported in the NHCDC was </w:t>
      </w:r>
      <w:r w:rsidRPr="00CE058E">
        <w:rPr>
          <w:rFonts w:cs="Arial"/>
          <w:color w:val="auto"/>
        </w:rPr>
        <w:t>approximately $1.</w:t>
      </w:r>
      <w:r w:rsidR="00CF6612" w:rsidRPr="00CE058E">
        <w:rPr>
          <w:rFonts w:cs="Arial"/>
          <w:color w:val="auto"/>
        </w:rPr>
        <w:t>5</w:t>
      </w:r>
      <w:r w:rsidRPr="00CE058E">
        <w:rPr>
          <w:rFonts w:cs="Arial"/>
          <w:color w:val="auto"/>
        </w:rPr>
        <w:t xml:space="preserve"> billion</w:t>
      </w:r>
      <w:r w:rsidR="00AF2519">
        <w:rPr>
          <w:rFonts w:cs="Arial"/>
          <w:color w:val="auto"/>
        </w:rPr>
        <w:t xml:space="preserve"> nationally</w:t>
      </w:r>
      <w:r w:rsidRPr="00CE058E">
        <w:rPr>
          <w:rFonts w:cs="Arial"/>
          <w:color w:val="auto"/>
        </w:rPr>
        <w:t>. Figure 3</w:t>
      </w:r>
      <w:r w:rsidR="00CB65C0">
        <w:rPr>
          <w:rFonts w:cs="Arial"/>
          <w:color w:val="auto"/>
        </w:rPr>
        <w:t>2</w:t>
      </w:r>
      <w:r w:rsidRPr="00CE058E">
        <w:rPr>
          <w:rFonts w:cs="Arial"/>
          <w:color w:val="auto"/>
        </w:rPr>
        <w:t xml:space="preserve"> shows the cost of community mental health </w:t>
      </w:r>
      <w:r w:rsidR="0040478F" w:rsidRPr="00CE058E">
        <w:rPr>
          <w:rFonts w:cs="Arial"/>
          <w:color w:val="auto"/>
        </w:rPr>
        <w:t>phases</w:t>
      </w:r>
      <w:r w:rsidRPr="00CE058E">
        <w:rPr>
          <w:rFonts w:cs="Arial"/>
          <w:color w:val="auto"/>
        </w:rPr>
        <w:t xml:space="preserve"> by jurisdiction from 2019-20 to 2021-22. From 2020-21 to 2021-22, the cost of community mental health </w:t>
      </w:r>
      <w:r w:rsidR="0040478F" w:rsidRPr="00CE058E">
        <w:rPr>
          <w:rFonts w:cs="Arial"/>
          <w:color w:val="auto"/>
        </w:rPr>
        <w:t>phases</w:t>
      </w:r>
      <w:r w:rsidRPr="00CE058E">
        <w:rPr>
          <w:rFonts w:cs="Arial"/>
          <w:color w:val="auto"/>
        </w:rPr>
        <w:t xml:space="preserve"> </w:t>
      </w:r>
      <w:r w:rsidR="00CF6612" w:rsidRPr="00CE058E">
        <w:rPr>
          <w:rFonts w:cs="Arial"/>
          <w:color w:val="auto"/>
        </w:rPr>
        <w:t>in</w:t>
      </w:r>
      <w:r w:rsidRPr="00CE058E">
        <w:rPr>
          <w:rFonts w:cs="Arial"/>
          <w:color w:val="auto"/>
        </w:rPr>
        <w:t>creased $</w:t>
      </w:r>
      <w:r w:rsidR="00CF6612" w:rsidRPr="00CE058E">
        <w:rPr>
          <w:rFonts w:cs="Arial"/>
          <w:color w:val="auto"/>
        </w:rPr>
        <w:t>341.5</w:t>
      </w:r>
      <w:r w:rsidRPr="00CE058E">
        <w:rPr>
          <w:rFonts w:cs="Arial"/>
          <w:color w:val="auto"/>
        </w:rPr>
        <w:t xml:space="preserve"> million nationally, a </w:t>
      </w:r>
      <w:r w:rsidR="00CF6612" w:rsidRPr="00CE058E">
        <w:rPr>
          <w:rFonts w:cs="Arial"/>
          <w:color w:val="auto"/>
        </w:rPr>
        <w:t>29</w:t>
      </w:r>
      <w:r w:rsidR="00897090">
        <w:rPr>
          <w:rFonts w:cs="Arial"/>
          <w:color w:val="auto"/>
        </w:rPr>
        <w:t>%</w:t>
      </w:r>
      <w:r w:rsidRPr="00CE058E">
        <w:rPr>
          <w:rFonts w:cs="Arial"/>
          <w:color w:val="auto"/>
        </w:rPr>
        <w:t xml:space="preserve"> </w:t>
      </w:r>
      <w:r w:rsidR="00CF6612" w:rsidRPr="00CE058E">
        <w:rPr>
          <w:rFonts w:cs="Arial"/>
          <w:color w:val="auto"/>
        </w:rPr>
        <w:t>in</w:t>
      </w:r>
      <w:r w:rsidRPr="00CE058E">
        <w:rPr>
          <w:rFonts w:cs="Arial"/>
          <w:color w:val="auto"/>
        </w:rPr>
        <w:t>crease to the 2020-21 figure of $</w:t>
      </w:r>
      <w:r w:rsidR="0040478F" w:rsidRPr="00CE058E">
        <w:rPr>
          <w:rFonts w:cs="Arial"/>
          <w:color w:val="auto"/>
        </w:rPr>
        <w:t>1.2</w:t>
      </w:r>
      <w:r w:rsidRPr="00CE058E">
        <w:rPr>
          <w:rFonts w:cs="Arial"/>
          <w:color w:val="auto"/>
        </w:rPr>
        <w:t xml:space="preserve"> </w:t>
      </w:r>
      <w:r w:rsidR="0040478F" w:rsidRPr="00CE058E">
        <w:rPr>
          <w:rFonts w:cs="Arial"/>
          <w:color w:val="auto"/>
        </w:rPr>
        <w:t>b</w:t>
      </w:r>
      <w:r w:rsidRPr="00CE058E">
        <w:rPr>
          <w:rFonts w:cs="Arial"/>
          <w:color w:val="auto"/>
        </w:rPr>
        <w:t xml:space="preserve">illion. The national </w:t>
      </w:r>
      <w:r w:rsidR="00CF6612" w:rsidRPr="00CE058E">
        <w:rPr>
          <w:rFonts w:cs="Arial"/>
          <w:color w:val="auto"/>
        </w:rPr>
        <w:t>in</w:t>
      </w:r>
      <w:r w:rsidRPr="00CE058E">
        <w:rPr>
          <w:rFonts w:cs="Arial"/>
          <w:color w:val="auto"/>
        </w:rPr>
        <w:t xml:space="preserve">crease in the cost of community mental health </w:t>
      </w:r>
      <w:r w:rsidR="0040478F" w:rsidRPr="00CE058E">
        <w:rPr>
          <w:rFonts w:cs="Arial"/>
          <w:color w:val="auto"/>
        </w:rPr>
        <w:t>phases</w:t>
      </w:r>
      <w:r w:rsidRPr="00CE058E">
        <w:rPr>
          <w:rFonts w:cs="Arial"/>
          <w:color w:val="auto"/>
        </w:rPr>
        <w:t xml:space="preserve"> was driven by </w:t>
      </w:r>
      <w:r w:rsidR="00CF6612" w:rsidRPr="00CE058E">
        <w:rPr>
          <w:rFonts w:cs="Arial"/>
          <w:color w:val="auto"/>
        </w:rPr>
        <w:t>Victoria, in</w:t>
      </w:r>
      <w:r w:rsidR="0040478F" w:rsidRPr="00CE058E">
        <w:rPr>
          <w:rFonts w:cs="Arial"/>
          <w:color w:val="auto"/>
        </w:rPr>
        <w:t>creasing $</w:t>
      </w:r>
      <w:r w:rsidR="00CF6612" w:rsidRPr="00CE058E">
        <w:rPr>
          <w:rFonts w:cs="Arial"/>
          <w:color w:val="auto"/>
        </w:rPr>
        <w:t>263.4</w:t>
      </w:r>
      <w:r w:rsidR="0040478F" w:rsidRPr="00CE058E">
        <w:rPr>
          <w:rFonts w:cs="Arial"/>
          <w:color w:val="auto"/>
        </w:rPr>
        <w:t xml:space="preserve"> million (</w:t>
      </w:r>
      <w:r w:rsidR="00CF6612" w:rsidRPr="00CE058E">
        <w:rPr>
          <w:rFonts w:cs="Arial"/>
          <w:color w:val="auto"/>
        </w:rPr>
        <w:t>98</w:t>
      </w:r>
      <w:r w:rsidR="00897090">
        <w:rPr>
          <w:rFonts w:cs="Arial"/>
          <w:color w:val="auto"/>
        </w:rPr>
        <w:t>%</w:t>
      </w:r>
      <w:r w:rsidR="0040478F" w:rsidRPr="00CE058E">
        <w:rPr>
          <w:rFonts w:cs="Arial"/>
          <w:color w:val="auto"/>
        </w:rPr>
        <w:t xml:space="preserve">) from </w:t>
      </w:r>
      <w:r w:rsidRPr="00CE058E">
        <w:rPr>
          <w:rFonts w:cs="Arial"/>
          <w:color w:val="auto"/>
        </w:rPr>
        <w:t>2020-21</w:t>
      </w:r>
      <w:r w:rsidR="0040478F" w:rsidRPr="00CE058E">
        <w:rPr>
          <w:rFonts w:cs="Arial"/>
          <w:color w:val="auto"/>
        </w:rPr>
        <w:t xml:space="preserve"> to 2021-22</w:t>
      </w:r>
      <w:r w:rsidRPr="00CE058E">
        <w:rPr>
          <w:rFonts w:cs="Arial"/>
          <w:color w:val="auto"/>
        </w:rPr>
        <w:t>. In 2021-22, the cost at the jurisdictional level ranged from $</w:t>
      </w:r>
      <w:r w:rsidR="0040478F" w:rsidRPr="00CE058E">
        <w:rPr>
          <w:rFonts w:cs="Arial"/>
          <w:color w:val="auto"/>
        </w:rPr>
        <w:t xml:space="preserve">153,155 </w:t>
      </w:r>
      <w:r w:rsidRPr="00CE058E">
        <w:rPr>
          <w:rFonts w:cs="Arial"/>
          <w:color w:val="auto"/>
        </w:rPr>
        <w:t xml:space="preserve">(Tasmania) to </w:t>
      </w:r>
      <w:r w:rsidRPr="00CE058E">
        <w:rPr>
          <w:rFonts w:eastAsia="Times New Roman" w:cs="Arial"/>
          <w:color w:val="auto"/>
          <w:lang w:eastAsia="en-AU"/>
        </w:rPr>
        <w:t>$</w:t>
      </w:r>
      <w:r w:rsidR="00CF6612" w:rsidRPr="00CE058E">
        <w:rPr>
          <w:rFonts w:eastAsia="Times New Roman" w:cs="Arial"/>
          <w:color w:val="auto"/>
          <w:lang w:eastAsia="en-AU"/>
        </w:rPr>
        <w:t>705.9</w:t>
      </w:r>
      <w:r w:rsidRPr="00CE058E">
        <w:rPr>
          <w:rFonts w:eastAsia="Times New Roman" w:cs="Arial"/>
          <w:color w:val="auto"/>
          <w:lang w:eastAsia="en-AU"/>
        </w:rPr>
        <w:t xml:space="preserve"> million </w:t>
      </w:r>
      <w:r w:rsidRPr="00CE058E">
        <w:rPr>
          <w:rFonts w:cs="Arial"/>
          <w:color w:val="auto"/>
        </w:rPr>
        <w:t>(</w:t>
      </w:r>
      <w:r w:rsidR="00CF6612" w:rsidRPr="00CE058E">
        <w:rPr>
          <w:rFonts w:cs="Arial"/>
          <w:color w:val="auto"/>
        </w:rPr>
        <w:t>New South Wales</w:t>
      </w:r>
      <w:r w:rsidRPr="00CE058E">
        <w:rPr>
          <w:rFonts w:cs="Arial"/>
          <w:color w:val="auto"/>
        </w:rPr>
        <w:t xml:space="preserve">). Note </w:t>
      </w:r>
      <w:r w:rsidR="0040478F" w:rsidRPr="00CE058E">
        <w:rPr>
          <w:rFonts w:cs="Arial"/>
          <w:color w:val="auto"/>
        </w:rPr>
        <w:t xml:space="preserve">South Australia, </w:t>
      </w:r>
      <w:r w:rsidRPr="00CE058E">
        <w:rPr>
          <w:rFonts w:cs="Arial"/>
          <w:color w:val="auto"/>
        </w:rPr>
        <w:t xml:space="preserve">Western Australia, Northern Territory, and the Australian Capital Territory have not submitted </w:t>
      </w:r>
      <w:r w:rsidR="0040478F" w:rsidRPr="00CE058E">
        <w:rPr>
          <w:rFonts w:cs="Arial"/>
          <w:color w:val="auto"/>
        </w:rPr>
        <w:t xml:space="preserve">community mental health phase </w:t>
      </w:r>
      <w:r w:rsidRPr="00CE058E">
        <w:rPr>
          <w:rFonts w:cs="Arial"/>
          <w:color w:val="auto"/>
        </w:rPr>
        <w:t>cost data from 2019-20 to 2021-22.</w:t>
      </w:r>
    </w:p>
    <w:p w14:paraId="4E6E59B8" w14:textId="66C1F4AB" w:rsidR="00CB65C0" w:rsidRDefault="00DD29C5" w:rsidP="00DD29C5">
      <w:pPr>
        <w:pStyle w:val="TableFigureheading"/>
      </w:pPr>
      <w:bookmarkStart w:id="449" w:name="_Toc151370081"/>
      <w:r>
        <w:lastRenderedPageBreak/>
        <w:t xml:space="preserve">Figure </w:t>
      </w:r>
      <w:r>
        <w:fldChar w:fldCharType="begin"/>
      </w:r>
      <w:r>
        <w:instrText xml:space="preserve"> SEQ Figure \* ARABIC </w:instrText>
      </w:r>
      <w:r>
        <w:fldChar w:fldCharType="separate"/>
      </w:r>
      <w:r>
        <w:rPr>
          <w:noProof/>
        </w:rPr>
        <w:t>32</w:t>
      </w:r>
      <w:r>
        <w:rPr>
          <w:noProof/>
        </w:rPr>
        <w:fldChar w:fldCharType="end"/>
      </w:r>
      <w:r>
        <w:t>:</w:t>
      </w:r>
      <w:bookmarkStart w:id="450" w:name="_Toc151116365"/>
      <w:r w:rsidR="00A82091" w:rsidRPr="00CE058E">
        <w:t xml:space="preserve"> Community </w:t>
      </w:r>
      <w:r w:rsidR="00183B32" w:rsidRPr="00CE058E">
        <w:t>m</w:t>
      </w:r>
      <w:r w:rsidR="00A82091" w:rsidRPr="00CE058E">
        <w:t xml:space="preserve">ental </w:t>
      </w:r>
      <w:r w:rsidR="00183B32" w:rsidRPr="00CE058E">
        <w:t>h</w:t>
      </w:r>
      <w:r w:rsidR="00A82091" w:rsidRPr="00CE058E">
        <w:t xml:space="preserve">ealth </w:t>
      </w:r>
      <w:r w:rsidR="009B604F" w:rsidRPr="00CE058E">
        <w:t>phases</w:t>
      </w:r>
      <w:r w:rsidR="009B604F" w:rsidRPr="00CE058E" w:rsidDel="00183B32">
        <w:t xml:space="preserve"> </w:t>
      </w:r>
      <w:r w:rsidR="00A82091" w:rsidRPr="00CE058E">
        <w:t>cost, 2019-20 to 2021-22</w:t>
      </w:r>
      <w:bookmarkEnd w:id="449"/>
      <w:bookmarkEnd w:id="450"/>
    </w:p>
    <w:p w14:paraId="25BE8277" w14:textId="37AEF80A" w:rsidR="005E0D3F" w:rsidRPr="00CE058E" w:rsidRDefault="00CF6612" w:rsidP="005E0D3F">
      <w:pPr>
        <w:spacing w:line="276" w:lineRule="auto"/>
        <w:jc w:val="center"/>
        <w:rPr>
          <w:rFonts w:cs="Arial"/>
          <w:color w:val="auto"/>
        </w:rPr>
      </w:pPr>
      <w:r w:rsidRPr="00CE058E">
        <w:rPr>
          <w:rFonts w:cs="Arial"/>
          <w:noProof/>
        </w:rPr>
        <w:drawing>
          <wp:inline distT="0" distB="0" distL="0" distR="0" wp14:anchorId="7B9B27D6" wp14:editId="587842D8">
            <wp:extent cx="6188710" cy="2808000"/>
            <wp:effectExtent l="0" t="0" r="0" b="0"/>
            <wp:docPr id="1987605775" name="Chart 1987605775">
              <a:extLst xmlns:a="http://schemas.openxmlformats.org/drawingml/2006/main">
                <a:ext uri="{FF2B5EF4-FFF2-40B4-BE49-F238E27FC236}">
                  <a16:creationId xmlns:a16="http://schemas.microsoft.com/office/drawing/2014/main" id="{AFF11F79-0EE9-0D94-186C-D48B721587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005F5A2E" w:rsidRPr="00CE058E">
        <w:rPr>
          <w:rFonts w:cs="Arial"/>
          <w:color w:val="auto"/>
        </w:rPr>
        <w:t xml:space="preserve"> </w:t>
      </w:r>
    </w:p>
    <w:p w14:paraId="08520C11" w14:textId="369480A8" w:rsidR="005F5A2E" w:rsidRPr="00CE058E" w:rsidRDefault="005F5A2E" w:rsidP="005E0D3F">
      <w:pPr>
        <w:spacing w:line="276" w:lineRule="auto"/>
        <w:rPr>
          <w:rFonts w:cs="Arial"/>
          <w:color w:val="auto"/>
        </w:rPr>
      </w:pPr>
      <w:r w:rsidRPr="00CE058E">
        <w:rPr>
          <w:rFonts w:cs="Arial"/>
          <w:color w:val="auto"/>
        </w:rPr>
        <w:t>In 2021-22,</w:t>
      </w:r>
      <w:r w:rsidR="00AF2519">
        <w:rPr>
          <w:rFonts w:cs="Arial"/>
          <w:color w:val="auto"/>
        </w:rPr>
        <w:t xml:space="preserve"> the</w:t>
      </w:r>
      <w:r w:rsidRPr="00CE058E">
        <w:rPr>
          <w:rFonts w:cs="Arial"/>
          <w:color w:val="auto"/>
        </w:rPr>
        <w:t xml:space="preserve"> community mental health episodes</w:t>
      </w:r>
      <w:r w:rsidR="00AF2519">
        <w:rPr>
          <w:rFonts w:cs="Arial"/>
          <w:color w:val="auto"/>
        </w:rPr>
        <w:t xml:space="preserve"> expenditure reported in the NHCDC was</w:t>
      </w:r>
      <w:r w:rsidRPr="00CE058E">
        <w:rPr>
          <w:rFonts w:cs="Arial"/>
          <w:color w:val="auto"/>
        </w:rPr>
        <w:t xml:space="preserve"> approximately $84.1 million</w:t>
      </w:r>
      <w:r w:rsidR="00AF2519">
        <w:rPr>
          <w:rFonts w:cs="Arial"/>
          <w:color w:val="auto"/>
        </w:rPr>
        <w:t xml:space="preserve"> nationally</w:t>
      </w:r>
      <w:r w:rsidRPr="00CE058E">
        <w:rPr>
          <w:rFonts w:cs="Arial"/>
          <w:color w:val="auto"/>
        </w:rPr>
        <w:t>. Figure 3</w:t>
      </w:r>
      <w:r w:rsidR="00CB65C0">
        <w:rPr>
          <w:rFonts w:cs="Arial"/>
          <w:color w:val="auto"/>
        </w:rPr>
        <w:t>3</w:t>
      </w:r>
      <w:r w:rsidRPr="00CE058E">
        <w:rPr>
          <w:rFonts w:cs="Arial"/>
          <w:color w:val="auto"/>
        </w:rPr>
        <w:t xml:space="preserve"> shows the cost of community mental health episodes by jurisdiction from 2019-20 to 2021-22. From 2020-21 to 2021-22, the cost of community mental health episodes decreased $23.1 million nationally, a 22</w:t>
      </w:r>
      <w:r w:rsidR="00897090">
        <w:rPr>
          <w:rFonts w:cs="Arial"/>
          <w:color w:val="auto"/>
        </w:rPr>
        <w:t>%</w:t>
      </w:r>
      <w:r w:rsidRPr="00CE058E">
        <w:rPr>
          <w:rFonts w:cs="Arial"/>
          <w:color w:val="auto"/>
        </w:rPr>
        <w:t xml:space="preserve"> decrease to the 2020-21 figure of $107.2 million. The national decrease in the cost of community mental health episodes was driven by the Australia Capital Territory as there was no cost data submitted in 2021-22, but $33.8 million submitted in 2020-21. In 2021-22, the cost at the jurisdictional level ranged from $9.0 million (Tasmania) to </w:t>
      </w:r>
      <w:r w:rsidRPr="00CE058E">
        <w:rPr>
          <w:rFonts w:eastAsia="Times New Roman" w:cs="Arial"/>
          <w:color w:val="auto"/>
          <w:lang w:eastAsia="en-AU"/>
        </w:rPr>
        <w:t xml:space="preserve">$49.0 million </w:t>
      </w:r>
      <w:r w:rsidRPr="00CE058E">
        <w:rPr>
          <w:rFonts w:cs="Arial"/>
          <w:color w:val="auto"/>
        </w:rPr>
        <w:t>(Victoria).</w:t>
      </w:r>
    </w:p>
    <w:p w14:paraId="4EA5B02E" w14:textId="7430CB9B" w:rsidR="005F5A2E" w:rsidRDefault="005F5A2E" w:rsidP="005E0D3F">
      <w:pPr>
        <w:spacing w:line="276" w:lineRule="auto"/>
        <w:rPr>
          <w:rFonts w:cs="Arial"/>
          <w:color w:val="auto"/>
        </w:rPr>
      </w:pPr>
      <w:r w:rsidRPr="00CE058E">
        <w:rPr>
          <w:rFonts w:cs="Arial"/>
          <w:color w:val="auto"/>
        </w:rPr>
        <w:t>Note New South Wales, South Australia, Western Australia, and the Northern Territory have not submitted community mental health episode cost data from 2019-20 to 2021-22.</w:t>
      </w:r>
    </w:p>
    <w:p w14:paraId="4564C3E8" w14:textId="401CCE67" w:rsidR="005F5A2E" w:rsidRPr="00CE058E" w:rsidRDefault="00DD29C5" w:rsidP="00DD29C5">
      <w:pPr>
        <w:pStyle w:val="TableFigureheading"/>
      </w:pPr>
      <w:bookmarkStart w:id="451" w:name="_Toc151370082"/>
      <w:r>
        <w:t xml:space="preserve">Figure </w:t>
      </w:r>
      <w:r>
        <w:fldChar w:fldCharType="begin"/>
      </w:r>
      <w:r>
        <w:instrText xml:space="preserve"> SEQ Figure \* ARABIC </w:instrText>
      </w:r>
      <w:r>
        <w:fldChar w:fldCharType="separate"/>
      </w:r>
      <w:r>
        <w:rPr>
          <w:noProof/>
        </w:rPr>
        <w:t>33</w:t>
      </w:r>
      <w:r>
        <w:rPr>
          <w:noProof/>
        </w:rPr>
        <w:fldChar w:fldCharType="end"/>
      </w:r>
      <w:r>
        <w:t xml:space="preserve">: </w:t>
      </w:r>
      <w:bookmarkStart w:id="452" w:name="_Toc151116366"/>
      <w:r w:rsidR="005F5A2E" w:rsidRPr="00CE058E">
        <w:t>Community mental health episodes</w:t>
      </w:r>
      <w:r w:rsidR="005F5A2E" w:rsidRPr="00CE058E" w:rsidDel="00183B32">
        <w:t xml:space="preserve"> </w:t>
      </w:r>
      <w:r w:rsidR="005F5A2E" w:rsidRPr="00CE058E">
        <w:t>cost, 2019-20 to 2021-22</w:t>
      </w:r>
      <w:bookmarkEnd w:id="451"/>
      <w:bookmarkEnd w:id="452"/>
    </w:p>
    <w:p w14:paraId="5B27BFD7" w14:textId="3085AE0F" w:rsidR="00A82091" w:rsidRPr="00CE058E" w:rsidRDefault="005F5A2E" w:rsidP="005E0D3F">
      <w:pPr>
        <w:spacing w:line="259" w:lineRule="auto"/>
        <w:ind w:left="-1080" w:right="-1027"/>
        <w:jc w:val="center"/>
        <w:rPr>
          <w:rFonts w:cs="Arial"/>
        </w:rPr>
      </w:pPr>
      <w:r w:rsidRPr="00CE058E">
        <w:rPr>
          <w:rFonts w:cs="Arial"/>
          <w:noProof/>
        </w:rPr>
        <w:drawing>
          <wp:inline distT="0" distB="0" distL="0" distR="0" wp14:anchorId="7FAF1624" wp14:editId="7167530C">
            <wp:extent cx="6228000" cy="3456000"/>
            <wp:effectExtent l="0" t="0" r="0" b="0"/>
            <wp:docPr id="5" name="Chart 5">
              <a:extLst xmlns:a="http://schemas.openxmlformats.org/drawingml/2006/main">
                <a:ext uri="{FF2B5EF4-FFF2-40B4-BE49-F238E27FC236}">
                  <a16:creationId xmlns:a16="http://schemas.microsoft.com/office/drawing/2014/main" id="{EB89F56B-A471-5E56-A12D-13DAE8A33F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112CB88C" w14:textId="2F02789B" w:rsidR="00F21638" w:rsidRPr="00CE058E" w:rsidRDefault="00F21638" w:rsidP="007B41F8">
      <w:pPr>
        <w:pStyle w:val="Heading2"/>
      </w:pPr>
      <w:bookmarkStart w:id="453" w:name="_Toc151129735"/>
      <w:bookmarkStart w:id="454" w:name="_Toc158882586"/>
      <w:bookmarkStart w:id="455" w:name="_Toc158882647"/>
      <w:r w:rsidRPr="00CE058E">
        <w:lastRenderedPageBreak/>
        <w:t xml:space="preserve">Community </w:t>
      </w:r>
      <w:r w:rsidR="00DD3CB5" w:rsidRPr="00CE058E">
        <w:t>m</w:t>
      </w:r>
      <w:r w:rsidRPr="00CE058E">
        <w:t xml:space="preserve">ental </w:t>
      </w:r>
      <w:r w:rsidR="00DD3CB5" w:rsidRPr="00CE058E">
        <w:t>h</w:t>
      </w:r>
      <w:r w:rsidRPr="00CE058E">
        <w:t>ealth average cost</w:t>
      </w:r>
      <w:bookmarkEnd w:id="453"/>
      <w:bookmarkEnd w:id="454"/>
      <w:bookmarkEnd w:id="455"/>
    </w:p>
    <w:p w14:paraId="50D539C2" w14:textId="161B374E" w:rsidR="005E7EFB" w:rsidRDefault="00323A65" w:rsidP="00AC453F">
      <w:pPr>
        <w:spacing w:line="276" w:lineRule="auto"/>
        <w:rPr>
          <w:rFonts w:cs="Arial"/>
          <w:color w:val="auto"/>
        </w:rPr>
      </w:pPr>
      <w:r w:rsidRPr="00CE058E">
        <w:rPr>
          <w:rFonts w:cs="Arial"/>
          <w:color w:val="auto"/>
        </w:rPr>
        <w:t xml:space="preserve">Figure </w:t>
      </w:r>
      <w:r w:rsidR="005F5A2E" w:rsidRPr="00CE058E">
        <w:rPr>
          <w:rFonts w:cs="Arial"/>
          <w:color w:val="auto"/>
        </w:rPr>
        <w:t>3</w:t>
      </w:r>
      <w:r w:rsidR="00CB65C0">
        <w:rPr>
          <w:rFonts w:cs="Arial"/>
          <w:color w:val="auto"/>
        </w:rPr>
        <w:t>4</w:t>
      </w:r>
      <w:r w:rsidR="005F5A2E" w:rsidRPr="00CE058E">
        <w:rPr>
          <w:rFonts w:cs="Arial"/>
          <w:color w:val="auto"/>
        </w:rPr>
        <w:t xml:space="preserve"> </w:t>
      </w:r>
      <w:r w:rsidRPr="00CE058E">
        <w:rPr>
          <w:rFonts w:cs="Arial"/>
          <w:color w:val="auto"/>
        </w:rPr>
        <w:t xml:space="preserve">shows the average cost of community mental health phase reported in the cost data from 2019-20 to 2021-22. In 2021-22, the national average cost per </w:t>
      </w:r>
      <w:r w:rsidR="00DB471D" w:rsidRPr="00CE058E">
        <w:rPr>
          <w:rFonts w:cs="Arial"/>
          <w:color w:val="auto"/>
        </w:rPr>
        <w:t>phase</w:t>
      </w:r>
      <w:r w:rsidRPr="00CE058E">
        <w:rPr>
          <w:rFonts w:cs="Arial"/>
          <w:color w:val="auto"/>
        </w:rPr>
        <w:t xml:space="preserve"> was $</w:t>
      </w:r>
      <w:r w:rsidR="00DB471D" w:rsidRPr="00CE058E">
        <w:rPr>
          <w:rFonts w:cs="Arial"/>
          <w:color w:val="auto"/>
        </w:rPr>
        <w:t>2,</w:t>
      </w:r>
      <w:r w:rsidR="00AC453F" w:rsidRPr="00CE058E">
        <w:rPr>
          <w:rFonts w:cs="Arial"/>
          <w:color w:val="auto"/>
        </w:rPr>
        <w:t>718</w:t>
      </w:r>
      <w:r w:rsidRPr="00CE058E">
        <w:rPr>
          <w:rFonts w:cs="Arial"/>
          <w:color w:val="auto"/>
        </w:rPr>
        <w:t xml:space="preserve">, </w:t>
      </w:r>
      <w:r w:rsidR="00AF684E" w:rsidRPr="00CE058E">
        <w:rPr>
          <w:rFonts w:cs="Arial"/>
          <w:color w:val="auto"/>
        </w:rPr>
        <w:t>a</w:t>
      </w:r>
      <w:r w:rsidRPr="00CE058E">
        <w:rPr>
          <w:rFonts w:cs="Arial"/>
          <w:color w:val="auto"/>
        </w:rPr>
        <w:t xml:space="preserve"> </w:t>
      </w:r>
      <w:r w:rsidR="00AC453F" w:rsidRPr="00CE058E">
        <w:rPr>
          <w:rFonts w:cs="Arial"/>
          <w:color w:val="auto"/>
        </w:rPr>
        <w:t>6</w:t>
      </w:r>
      <w:r w:rsidR="00897090">
        <w:rPr>
          <w:rFonts w:cs="Arial"/>
          <w:color w:val="auto"/>
        </w:rPr>
        <w:t>%</w:t>
      </w:r>
      <w:r w:rsidRPr="00CE058E">
        <w:rPr>
          <w:rFonts w:cs="Arial"/>
          <w:color w:val="auto"/>
        </w:rPr>
        <w:t xml:space="preserve"> decrease from the 2020-21 figure of $</w:t>
      </w:r>
      <w:r w:rsidR="00DB471D" w:rsidRPr="00CE058E">
        <w:rPr>
          <w:rFonts w:cs="Arial"/>
          <w:color w:val="auto"/>
        </w:rPr>
        <w:t>2,882</w:t>
      </w:r>
      <w:r w:rsidRPr="00CE058E">
        <w:rPr>
          <w:rFonts w:cs="Arial"/>
          <w:color w:val="auto"/>
        </w:rPr>
        <w:t xml:space="preserve">. In 2021-22, the average cost per </w:t>
      </w:r>
      <w:r w:rsidR="00301519" w:rsidRPr="00CE058E">
        <w:rPr>
          <w:rFonts w:cs="Arial"/>
          <w:color w:val="auto"/>
        </w:rPr>
        <w:t>phase</w:t>
      </w:r>
      <w:r w:rsidRPr="00CE058E">
        <w:rPr>
          <w:rFonts w:cs="Arial"/>
          <w:color w:val="auto"/>
        </w:rPr>
        <w:t xml:space="preserve"> at the jurisdictional level ranged from $38 (</w:t>
      </w:r>
      <w:r w:rsidR="00AF684E" w:rsidRPr="00CE058E">
        <w:rPr>
          <w:rFonts w:cs="Arial"/>
          <w:color w:val="auto"/>
        </w:rPr>
        <w:t>Tasmania</w:t>
      </w:r>
      <w:r w:rsidRPr="00CE058E">
        <w:rPr>
          <w:rFonts w:cs="Arial"/>
          <w:color w:val="auto"/>
        </w:rPr>
        <w:t>) to $</w:t>
      </w:r>
      <w:r w:rsidR="00AF684E" w:rsidRPr="00CE058E">
        <w:rPr>
          <w:rFonts w:cs="Arial"/>
          <w:color w:val="auto"/>
        </w:rPr>
        <w:t>3,66</w:t>
      </w:r>
      <w:r w:rsidR="00AC453F" w:rsidRPr="00CE058E">
        <w:rPr>
          <w:rFonts w:cs="Arial"/>
          <w:color w:val="auto"/>
        </w:rPr>
        <w:t>4</w:t>
      </w:r>
      <w:r w:rsidR="00AF684E" w:rsidRPr="00CE058E">
        <w:rPr>
          <w:rFonts w:cs="Arial"/>
          <w:color w:val="auto"/>
        </w:rPr>
        <w:t xml:space="preserve"> </w:t>
      </w:r>
      <w:r w:rsidRPr="00CE058E">
        <w:rPr>
          <w:rFonts w:cs="Arial"/>
          <w:color w:val="auto"/>
        </w:rPr>
        <w:t>(</w:t>
      </w:r>
      <w:r w:rsidR="00AF684E" w:rsidRPr="00CE058E">
        <w:rPr>
          <w:rFonts w:cs="Arial"/>
          <w:color w:val="auto"/>
        </w:rPr>
        <w:t>New South Wales</w:t>
      </w:r>
      <w:r w:rsidRPr="00CE058E">
        <w:rPr>
          <w:rFonts w:cs="Arial"/>
          <w:color w:val="auto"/>
        </w:rPr>
        <w:t>).</w:t>
      </w:r>
    </w:p>
    <w:p w14:paraId="5490124D" w14:textId="5C572497" w:rsidR="00A82091" w:rsidRPr="00CE058E" w:rsidRDefault="00DD29C5" w:rsidP="00DD29C5">
      <w:pPr>
        <w:pStyle w:val="TableFigureheading"/>
      </w:pPr>
      <w:bookmarkStart w:id="456" w:name="_Toc151370083"/>
      <w:r>
        <w:t xml:space="preserve">Figure </w:t>
      </w:r>
      <w:r>
        <w:fldChar w:fldCharType="begin"/>
      </w:r>
      <w:r>
        <w:instrText xml:space="preserve"> SEQ Figure \* ARABIC </w:instrText>
      </w:r>
      <w:r>
        <w:fldChar w:fldCharType="separate"/>
      </w:r>
      <w:r>
        <w:rPr>
          <w:noProof/>
        </w:rPr>
        <w:t>34</w:t>
      </w:r>
      <w:r>
        <w:rPr>
          <w:noProof/>
        </w:rPr>
        <w:fldChar w:fldCharType="end"/>
      </w:r>
      <w:r>
        <w:t>:</w:t>
      </w:r>
      <w:bookmarkStart w:id="457" w:name="_Toc151116367"/>
      <w:r w:rsidR="00A82091" w:rsidRPr="00CE058E">
        <w:t xml:space="preserve"> Community </w:t>
      </w:r>
      <w:r w:rsidR="00183B32" w:rsidRPr="00CE058E">
        <w:t>m</w:t>
      </w:r>
      <w:r w:rsidR="00A82091" w:rsidRPr="00CE058E">
        <w:t xml:space="preserve">ental </w:t>
      </w:r>
      <w:r w:rsidR="00183B32" w:rsidRPr="00CE058E">
        <w:t>h</w:t>
      </w:r>
      <w:r w:rsidR="00A82091" w:rsidRPr="00CE058E">
        <w:t>ealth average cost</w:t>
      </w:r>
      <w:r w:rsidR="00AC453F" w:rsidRPr="00CE058E">
        <w:t xml:space="preserve"> per phase</w:t>
      </w:r>
      <w:r w:rsidR="00A82091" w:rsidRPr="00CE058E">
        <w:t>, 2019-20 to 2021-22</w:t>
      </w:r>
      <w:bookmarkEnd w:id="456"/>
      <w:bookmarkEnd w:id="457"/>
    </w:p>
    <w:p w14:paraId="6A1E1B58" w14:textId="2D2560C3" w:rsidR="005F5A2E" w:rsidRDefault="00AC453F" w:rsidP="005F5A2E">
      <w:pPr>
        <w:spacing w:line="276" w:lineRule="auto"/>
        <w:rPr>
          <w:rFonts w:cs="Arial"/>
          <w:color w:val="auto"/>
        </w:rPr>
      </w:pPr>
      <w:r w:rsidRPr="00CE058E">
        <w:rPr>
          <w:rFonts w:cs="Arial"/>
          <w:noProof/>
        </w:rPr>
        <w:drawing>
          <wp:inline distT="0" distB="0" distL="0" distR="0" wp14:anchorId="7864C340" wp14:editId="60DD6239">
            <wp:extent cx="6188710" cy="3060000"/>
            <wp:effectExtent l="0" t="0" r="0" b="0"/>
            <wp:docPr id="1987605776" name="Chart 1987605776">
              <a:extLst xmlns:a="http://schemas.openxmlformats.org/drawingml/2006/main">
                <a:ext uri="{FF2B5EF4-FFF2-40B4-BE49-F238E27FC236}">
                  <a16:creationId xmlns:a16="http://schemas.microsoft.com/office/drawing/2014/main" id="{21F613A8-EF41-1544-9393-0B81D1D20E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5F5A2E" w:rsidRPr="00CE058E">
        <w:rPr>
          <w:rFonts w:cs="Arial"/>
          <w:color w:val="auto"/>
        </w:rPr>
        <w:t xml:space="preserve"> Figure 3</w:t>
      </w:r>
      <w:r w:rsidR="00CB65C0">
        <w:rPr>
          <w:rFonts w:cs="Arial"/>
          <w:color w:val="auto"/>
        </w:rPr>
        <w:t>5</w:t>
      </w:r>
      <w:r w:rsidR="005F5A2E" w:rsidRPr="00CE058E">
        <w:rPr>
          <w:rFonts w:cs="Arial"/>
          <w:color w:val="auto"/>
        </w:rPr>
        <w:t xml:space="preserve"> shows the average cost of community mental health episodes reported in the cost data from 2019-20 to 2021-22. In 2021-22, the national average cost per community mental health episode was $384, an 18</w:t>
      </w:r>
      <w:r w:rsidR="00897090">
        <w:rPr>
          <w:rFonts w:cs="Arial"/>
          <w:color w:val="auto"/>
        </w:rPr>
        <w:t>%</w:t>
      </w:r>
      <w:r w:rsidR="005F5A2E" w:rsidRPr="00CE058E">
        <w:rPr>
          <w:rFonts w:cs="Arial"/>
          <w:color w:val="auto"/>
        </w:rPr>
        <w:t xml:space="preserve"> decrease from the 2020-21 figure of $469. In 2021-22, the average cost per episode at the jurisdictional level ranged from $238 (Victoria) to $3,909 (Queensland).</w:t>
      </w:r>
    </w:p>
    <w:p w14:paraId="200BDD02" w14:textId="4EBE32C8" w:rsidR="005F5A2E" w:rsidRPr="00CE058E" w:rsidRDefault="00DD29C5" w:rsidP="00DD29C5">
      <w:pPr>
        <w:pStyle w:val="TableFigureheading"/>
      </w:pPr>
      <w:bookmarkStart w:id="458" w:name="_Toc151370084"/>
      <w:r>
        <w:t xml:space="preserve">Figure </w:t>
      </w:r>
      <w:r>
        <w:fldChar w:fldCharType="begin"/>
      </w:r>
      <w:r>
        <w:instrText xml:space="preserve"> SEQ Figure \* ARABIC </w:instrText>
      </w:r>
      <w:r>
        <w:fldChar w:fldCharType="separate"/>
      </w:r>
      <w:r>
        <w:rPr>
          <w:noProof/>
        </w:rPr>
        <w:t>35</w:t>
      </w:r>
      <w:r>
        <w:rPr>
          <w:noProof/>
        </w:rPr>
        <w:fldChar w:fldCharType="end"/>
      </w:r>
      <w:r>
        <w:t xml:space="preserve">: </w:t>
      </w:r>
      <w:bookmarkStart w:id="459" w:name="_Toc151116368"/>
      <w:r w:rsidR="005F5A2E" w:rsidRPr="00CE058E">
        <w:t>Community mental health average cost per episode, 2019-20 to 2021-22</w:t>
      </w:r>
      <w:bookmarkEnd w:id="458"/>
      <w:bookmarkEnd w:id="459"/>
    </w:p>
    <w:p w14:paraId="022A47A2" w14:textId="77777777" w:rsidR="005F5A2E" w:rsidRPr="00CE058E" w:rsidRDefault="005F5A2E" w:rsidP="005F5A2E">
      <w:pPr>
        <w:ind w:left="-993" w:right="-1027"/>
        <w:jc w:val="center"/>
        <w:rPr>
          <w:rFonts w:cs="Arial"/>
          <w:highlight w:val="yellow"/>
        </w:rPr>
      </w:pPr>
      <w:r w:rsidRPr="00CE058E">
        <w:rPr>
          <w:rFonts w:cs="Arial"/>
          <w:noProof/>
        </w:rPr>
        <w:drawing>
          <wp:inline distT="0" distB="0" distL="0" distR="0" wp14:anchorId="5718BB00" wp14:editId="2DFCB3E7">
            <wp:extent cx="6228000" cy="3060000"/>
            <wp:effectExtent l="0" t="0" r="0" b="0"/>
            <wp:docPr id="8" name="Chart 8">
              <a:extLst xmlns:a="http://schemas.openxmlformats.org/drawingml/2006/main">
                <a:ext uri="{FF2B5EF4-FFF2-40B4-BE49-F238E27FC236}">
                  <a16:creationId xmlns:a16="http://schemas.microsoft.com/office/drawing/2014/main" id="{766DA259-BEA2-4B1B-CF76-57DAA3C701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F5D71B8" w14:textId="223DF5B0" w:rsidR="00F21638" w:rsidRPr="00CE058E" w:rsidRDefault="00DD3CB5" w:rsidP="00975EF6">
      <w:pPr>
        <w:pStyle w:val="Heading3"/>
      </w:pPr>
      <w:bookmarkStart w:id="460" w:name="_Toc151129736"/>
      <w:bookmarkStart w:id="461" w:name="_Toc158882648"/>
      <w:r w:rsidRPr="00CE058E">
        <w:lastRenderedPageBreak/>
        <w:t>Community mental health c</w:t>
      </w:r>
      <w:r w:rsidR="00F21638" w:rsidRPr="00CE058E">
        <w:t xml:space="preserve">ost </w:t>
      </w:r>
      <w:r w:rsidRPr="00CE058E">
        <w:t>buckets</w:t>
      </w:r>
      <w:bookmarkEnd w:id="460"/>
      <w:bookmarkEnd w:id="461"/>
    </w:p>
    <w:p w14:paraId="02D66362" w14:textId="7352461A" w:rsidR="00BD5500" w:rsidRDefault="00BD5500" w:rsidP="005F5A2E">
      <w:pPr>
        <w:rPr>
          <w:rFonts w:cs="Arial"/>
          <w:color w:val="auto"/>
        </w:rPr>
      </w:pPr>
      <w:r w:rsidRPr="00CE058E">
        <w:rPr>
          <w:rFonts w:cs="Arial"/>
          <w:color w:val="auto"/>
        </w:rPr>
        <w:t xml:space="preserve">Figure </w:t>
      </w:r>
      <w:r w:rsidR="005F5A2E" w:rsidRPr="00CE058E">
        <w:rPr>
          <w:rFonts w:cs="Arial"/>
          <w:color w:val="auto"/>
        </w:rPr>
        <w:t>3</w:t>
      </w:r>
      <w:r w:rsidR="00CB65C0">
        <w:rPr>
          <w:rFonts w:cs="Arial"/>
          <w:color w:val="auto"/>
        </w:rPr>
        <w:t>6</w:t>
      </w:r>
      <w:r w:rsidR="005F5A2E" w:rsidRPr="00CE058E">
        <w:rPr>
          <w:rFonts w:cs="Arial"/>
          <w:color w:val="auto"/>
        </w:rPr>
        <w:t xml:space="preserve"> </w:t>
      </w:r>
      <w:r w:rsidRPr="00CE058E">
        <w:rPr>
          <w:rFonts w:cs="Arial"/>
          <w:color w:val="auto"/>
        </w:rPr>
        <w:t xml:space="preserve">shows the community mental health national average cost per phase by cost bucket reported in the cost data from 2019-20 to 2021-22. In 2021-22, the national average cost per </w:t>
      </w:r>
      <w:r w:rsidR="0001783C" w:rsidRPr="00CE058E">
        <w:rPr>
          <w:rFonts w:cs="Arial"/>
          <w:color w:val="auto"/>
        </w:rPr>
        <w:t>phase</w:t>
      </w:r>
      <w:r w:rsidRPr="00CE058E">
        <w:rPr>
          <w:rFonts w:cs="Arial"/>
          <w:color w:val="auto"/>
        </w:rPr>
        <w:t xml:space="preserve"> was $</w:t>
      </w:r>
      <w:r w:rsidR="0001783C" w:rsidRPr="00CE058E">
        <w:rPr>
          <w:rFonts w:cs="Arial"/>
          <w:color w:val="auto"/>
        </w:rPr>
        <w:t>2,</w:t>
      </w:r>
      <w:r w:rsidR="00AC453F" w:rsidRPr="00CE058E">
        <w:rPr>
          <w:rFonts w:cs="Arial"/>
          <w:color w:val="auto"/>
        </w:rPr>
        <w:t>718</w:t>
      </w:r>
      <w:r w:rsidRPr="00CE058E">
        <w:rPr>
          <w:rFonts w:cs="Arial"/>
          <w:color w:val="auto"/>
        </w:rPr>
        <w:t xml:space="preserve">, a </w:t>
      </w:r>
      <w:r w:rsidR="00AC453F" w:rsidRPr="00CE058E">
        <w:rPr>
          <w:rFonts w:cs="Arial"/>
          <w:color w:val="auto"/>
        </w:rPr>
        <w:t>6</w:t>
      </w:r>
      <w:r w:rsidR="00897090">
        <w:rPr>
          <w:rFonts w:cs="Arial"/>
          <w:color w:val="auto"/>
        </w:rPr>
        <w:t>%</w:t>
      </w:r>
      <w:r w:rsidRPr="00CE058E">
        <w:rPr>
          <w:rFonts w:cs="Arial"/>
          <w:color w:val="auto"/>
        </w:rPr>
        <w:t xml:space="preserve"> decrease from the 2020-21 figure of $</w:t>
      </w:r>
      <w:r w:rsidR="00242469" w:rsidRPr="00CE058E">
        <w:rPr>
          <w:rFonts w:cs="Arial"/>
          <w:color w:val="auto"/>
        </w:rPr>
        <w:t>2,882</w:t>
      </w:r>
      <w:r w:rsidRPr="00CE058E">
        <w:rPr>
          <w:rFonts w:cs="Arial"/>
          <w:color w:val="auto"/>
        </w:rPr>
        <w:t xml:space="preserve">. The allied health, </w:t>
      </w:r>
      <w:r w:rsidR="00EB144B" w:rsidRPr="00CE058E">
        <w:rPr>
          <w:rFonts w:cs="Arial"/>
          <w:color w:val="auto"/>
        </w:rPr>
        <w:t>ward supplies</w:t>
      </w:r>
      <w:r w:rsidRPr="00CE058E">
        <w:rPr>
          <w:rFonts w:cs="Arial"/>
          <w:color w:val="auto"/>
        </w:rPr>
        <w:t xml:space="preserve"> </w:t>
      </w:r>
      <w:r w:rsidR="00EE31DC" w:rsidRPr="00CE058E">
        <w:rPr>
          <w:rFonts w:cs="Arial"/>
          <w:color w:val="auto"/>
        </w:rPr>
        <w:t xml:space="preserve">and depreciation </w:t>
      </w:r>
      <w:r w:rsidRPr="00CE058E">
        <w:rPr>
          <w:rFonts w:cs="Arial"/>
          <w:color w:val="auto"/>
        </w:rPr>
        <w:t xml:space="preserve">cost buckets accounted for </w:t>
      </w:r>
      <w:r w:rsidR="00EE31DC" w:rsidRPr="00CE058E">
        <w:rPr>
          <w:rFonts w:cs="Arial"/>
          <w:color w:val="auto"/>
        </w:rPr>
        <w:t>83</w:t>
      </w:r>
      <w:r w:rsidR="00897090">
        <w:rPr>
          <w:rFonts w:cs="Arial"/>
          <w:color w:val="auto"/>
        </w:rPr>
        <w:t>%</w:t>
      </w:r>
      <w:r w:rsidRPr="00CE058E">
        <w:rPr>
          <w:rFonts w:cs="Arial"/>
          <w:color w:val="auto"/>
        </w:rPr>
        <w:t xml:space="preserve"> of the decrease in the average cost per community mental health </w:t>
      </w:r>
      <w:r w:rsidR="00006161" w:rsidRPr="00CE058E">
        <w:rPr>
          <w:rFonts w:cs="Arial"/>
          <w:color w:val="auto"/>
        </w:rPr>
        <w:t>phase</w:t>
      </w:r>
      <w:r w:rsidRPr="00CE058E">
        <w:rPr>
          <w:rFonts w:cs="Arial"/>
          <w:color w:val="auto"/>
        </w:rPr>
        <w:t xml:space="preserve"> from 2020-21 to 2021-22.</w:t>
      </w:r>
    </w:p>
    <w:p w14:paraId="04529297" w14:textId="3B40D75A" w:rsidR="00F21638" w:rsidRPr="00CE058E" w:rsidRDefault="00DD29C5" w:rsidP="00DD29C5">
      <w:pPr>
        <w:pStyle w:val="TableFigureheading"/>
      </w:pPr>
      <w:bookmarkStart w:id="462" w:name="_Toc151370085"/>
      <w:r>
        <w:t xml:space="preserve">Figure </w:t>
      </w:r>
      <w:r>
        <w:fldChar w:fldCharType="begin"/>
      </w:r>
      <w:r>
        <w:instrText xml:space="preserve"> SEQ Figure \* ARABIC </w:instrText>
      </w:r>
      <w:r>
        <w:fldChar w:fldCharType="separate"/>
      </w:r>
      <w:r>
        <w:rPr>
          <w:noProof/>
        </w:rPr>
        <w:t>36</w:t>
      </w:r>
      <w:r>
        <w:rPr>
          <w:noProof/>
        </w:rPr>
        <w:fldChar w:fldCharType="end"/>
      </w:r>
      <w:r>
        <w:t xml:space="preserve">: </w:t>
      </w:r>
      <w:bookmarkStart w:id="463" w:name="_Toc151116369"/>
      <w:r w:rsidR="00F21638" w:rsidRPr="00CE058E">
        <w:t xml:space="preserve">Community </w:t>
      </w:r>
      <w:r w:rsidR="00183B32" w:rsidRPr="00CE058E">
        <w:t>m</w:t>
      </w:r>
      <w:r w:rsidR="00F21638" w:rsidRPr="00CE058E">
        <w:t xml:space="preserve">ental </w:t>
      </w:r>
      <w:r w:rsidR="00183B32" w:rsidRPr="00CE058E">
        <w:t>h</w:t>
      </w:r>
      <w:r w:rsidR="00F21638" w:rsidRPr="00CE058E">
        <w:t xml:space="preserve">ealth </w:t>
      </w:r>
      <w:r w:rsidR="009B604F" w:rsidRPr="00CE058E">
        <w:t xml:space="preserve">phases </w:t>
      </w:r>
      <w:r w:rsidR="00F21638" w:rsidRPr="00CE058E">
        <w:t>cost bucket</w:t>
      </w:r>
      <w:r w:rsidR="009B604F" w:rsidRPr="00CE058E">
        <w:t>s national</w:t>
      </w:r>
      <w:r w:rsidR="00F21638" w:rsidRPr="00CE058E">
        <w:t>, 2019-20 to 2021-22</w:t>
      </w:r>
      <w:bookmarkEnd w:id="462"/>
      <w:bookmarkEnd w:id="463"/>
    </w:p>
    <w:p w14:paraId="65AD4022" w14:textId="1471E25A" w:rsidR="00133439" w:rsidRPr="00CE058E" w:rsidRDefault="00AC453F">
      <w:pPr>
        <w:spacing w:line="259" w:lineRule="auto"/>
        <w:rPr>
          <w:rFonts w:cs="Arial"/>
          <w:highlight w:val="yellow"/>
        </w:rPr>
      </w:pPr>
      <w:r w:rsidRPr="00CE058E">
        <w:rPr>
          <w:rFonts w:cs="Arial"/>
          <w:noProof/>
        </w:rPr>
        <w:drawing>
          <wp:inline distT="0" distB="0" distL="0" distR="0" wp14:anchorId="70054393" wp14:editId="46BD4C7A">
            <wp:extent cx="6188710" cy="7344000"/>
            <wp:effectExtent l="0" t="0" r="0" b="0"/>
            <wp:docPr id="1987605777" name="Chart 1987605777">
              <a:extLst xmlns:a="http://schemas.openxmlformats.org/drawingml/2006/main">
                <a:ext uri="{FF2B5EF4-FFF2-40B4-BE49-F238E27FC236}">
                  <a16:creationId xmlns:a16="http://schemas.microsoft.com/office/drawing/2014/main" id="{DB3ACE7A-75AC-1E22-5B89-E50A684F12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A2CB103" w14:textId="6DDAB477" w:rsidR="005F5A2E" w:rsidRDefault="005F5A2E" w:rsidP="005F5A2E">
      <w:pPr>
        <w:spacing w:line="276" w:lineRule="auto"/>
        <w:rPr>
          <w:rFonts w:cs="Arial"/>
        </w:rPr>
      </w:pPr>
      <w:r w:rsidRPr="00CE058E">
        <w:rPr>
          <w:rFonts w:cs="Arial"/>
          <w:color w:val="auto"/>
        </w:rPr>
        <w:lastRenderedPageBreak/>
        <w:t>Figure 3</w:t>
      </w:r>
      <w:r w:rsidR="00CB65C0">
        <w:rPr>
          <w:rFonts w:cs="Arial"/>
          <w:color w:val="auto"/>
        </w:rPr>
        <w:t>7</w:t>
      </w:r>
      <w:r w:rsidRPr="00CE058E">
        <w:rPr>
          <w:rFonts w:cs="Arial"/>
          <w:color w:val="auto"/>
        </w:rPr>
        <w:t xml:space="preserve"> shows the community mental health national average cost per episode by cost bucket reported in the cost data from 2019-20 to 2021-22. In 2021-22, the national average cost per </w:t>
      </w:r>
      <w:r w:rsidRPr="00CE058E">
        <w:rPr>
          <w:rFonts w:cs="Arial"/>
        </w:rPr>
        <w:t>community mental health episode was $384, an 18</w:t>
      </w:r>
      <w:r w:rsidR="00897090">
        <w:rPr>
          <w:rFonts w:cs="Arial"/>
        </w:rPr>
        <w:t>%</w:t>
      </w:r>
      <w:r w:rsidRPr="00CE058E">
        <w:rPr>
          <w:rFonts w:cs="Arial"/>
        </w:rPr>
        <w:t xml:space="preserve"> decrease from the 2020-21 figure of $469. The allied health, ward medical, and ward nursing cost buckets accounted for 88</w:t>
      </w:r>
      <w:r w:rsidR="00897090">
        <w:rPr>
          <w:rFonts w:cs="Arial"/>
        </w:rPr>
        <w:t>%</w:t>
      </w:r>
      <w:r w:rsidRPr="00CE058E">
        <w:rPr>
          <w:rFonts w:cs="Arial"/>
        </w:rPr>
        <w:t xml:space="preserve"> of the decrease in the average cost per community mental health episode from 2020-21 to 2021-22.</w:t>
      </w:r>
    </w:p>
    <w:p w14:paraId="4F8FA697" w14:textId="26E39990" w:rsidR="005F5A2E" w:rsidRPr="00CE058E" w:rsidRDefault="00DD29C5" w:rsidP="00DD29C5">
      <w:pPr>
        <w:pStyle w:val="TableFigureheading"/>
      </w:pPr>
      <w:bookmarkStart w:id="464" w:name="_Toc151370086"/>
      <w:r>
        <w:t xml:space="preserve">Figure </w:t>
      </w:r>
      <w:r>
        <w:fldChar w:fldCharType="begin"/>
      </w:r>
      <w:r>
        <w:instrText xml:space="preserve"> SEQ Figure \* ARABIC </w:instrText>
      </w:r>
      <w:r>
        <w:fldChar w:fldCharType="separate"/>
      </w:r>
      <w:r>
        <w:rPr>
          <w:noProof/>
        </w:rPr>
        <w:t>37</w:t>
      </w:r>
      <w:r>
        <w:rPr>
          <w:noProof/>
        </w:rPr>
        <w:fldChar w:fldCharType="end"/>
      </w:r>
      <w:r>
        <w:t xml:space="preserve">: </w:t>
      </w:r>
      <w:bookmarkStart w:id="465" w:name="_Toc151116370"/>
      <w:r w:rsidR="005F5A2E" w:rsidRPr="00CE058E">
        <w:t>Community mental health episodes cost buckets national, 2019-20 to 2021-22</w:t>
      </w:r>
      <w:bookmarkEnd w:id="464"/>
      <w:bookmarkEnd w:id="465"/>
    </w:p>
    <w:p w14:paraId="6C1F80DC" w14:textId="54F6DB47" w:rsidR="00B75A29" w:rsidRPr="00037328" w:rsidRDefault="005F5A2E" w:rsidP="005F5A2E">
      <w:pPr>
        <w:rPr>
          <w:rFonts w:cs="Arial"/>
          <w:highlight w:val="yellow"/>
        </w:rPr>
        <w:sectPr w:rsidR="00B75A29" w:rsidRPr="00037328" w:rsidSect="00B962E9">
          <w:headerReference w:type="even" r:id="rId57"/>
          <w:headerReference w:type="default" r:id="rId58"/>
          <w:footerReference w:type="default" r:id="rId59"/>
          <w:headerReference w:type="first" r:id="rId60"/>
          <w:pgSz w:w="11906" w:h="16838" w:code="9"/>
          <w:pgMar w:top="1418" w:right="1080" w:bottom="1134" w:left="1080" w:header="708" w:footer="708" w:gutter="0"/>
          <w:cols w:space="708"/>
          <w:docGrid w:linePitch="360"/>
        </w:sectPr>
      </w:pPr>
      <w:r>
        <w:rPr>
          <w:noProof/>
        </w:rPr>
        <w:drawing>
          <wp:inline distT="0" distB="0" distL="0" distR="0" wp14:anchorId="1D470644" wp14:editId="4D0D086F">
            <wp:extent cx="6300000" cy="7560000"/>
            <wp:effectExtent l="0" t="0" r="0" b="0"/>
            <wp:docPr id="9" name="Chart 9">
              <a:extLst xmlns:a="http://schemas.openxmlformats.org/drawingml/2006/main">
                <a:ext uri="{FF2B5EF4-FFF2-40B4-BE49-F238E27FC236}">
                  <a16:creationId xmlns:a16="http://schemas.microsoft.com/office/drawing/2014/main" id="{D4988959-E723-3930-B7B7-1504E5EC10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6F9F6A4A" w14:textId="77777777" w:rsidR="00502A09" w:rsidRPr="00037328" w:rsidRDefault="00502A09" w:rsidP="00502A09">
      <w:pPr>
        <w:spacing w:after="360"/>
        <w:rPr>
          <w:rFonts w:cs="Arial"/>
          <w:color w:val="FFFFFF" w:themeColor="background2"/>
        </w:rPr>
      </w:pPr>
      <w:r w:rsidRPr="00037328">
        <w:rPr>
          <w:rFonts w:cs="Arial"/>
          <w:noProof/>
          <w:color w:val="FFFFFF" w:themeColor="background2"/>
        </w:rPr>
        <w:lastRenderedPageBreak/>
        <w:drawing>
          <wp:inline distT="0" distB="0" distL="0" distR="0" wp14:anchorId="454DB0C1" wp14:editId="5082B68D">
            <wp:extent cx="1764880" cy="396484"/>
            <wp:effectExtent l="0" t="0" r="6985"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bwMode="auto">
                    <a:xfrm>
                      <a:off x="0" y="0"/>
                      <a:ext cx="1764880" cy="396484"/>
                    </a:xfrm>
                    <a:prstGeom prst="rect">
                      <a:avLst/>
                    </a:prstGeom>
                  </pic:spPr>
                </pic:pic>
              </a:graphicData>
            </a:graphic>
          </wp:inline>
        </w:drawing>
      </w:r>
    </w:p>
    <w:p w14:paraId="51BD9D94" w14:textId="77777777" w:rsidR="00502A09" w:rsidRPr="00037328" w:rsidRDefault="00502A09" w:rsidP="00502A09">
      <w:pPr>
        <w:spacing w:after="360"/>
        <w:rPr>
          <w:rFonts w:cs="Arial"/>
        </w:rPr>
      </w:pPr>
      <w:r w:rsidRPr="00037328">
        <w:rPr>
          <w:rFonts w:cs="Arial"/>
        </w:rPr>
        <w:t>Independent Health and Aged Care Pricing Authority</w:t>
      </w:r>
    </w:p>
    <w:p w14:paraId="72532AFA" w14:textId="77777777" w:rsidR="00502A09" w:rsidRPr="00037328" w:rsidRDefault="00335758" w:rsidP="00502A09">
      <w:pPr>
        <w:spacing w:after="360"/>
        <w:rPr>
          <w:rFonts w:cs="Arial"/>
          <w:color w:val="104F99" w:themeColor="accent2"/>
        </w:rPr>
      </w:pPr>
      <w:r w:rsidRPr="00037328">
        <w:rPr>
          <w:rFonts w:cs="Arial"/>
          <w:color w:val="104F99" w:themeColor="accent2"/>
        </w:rPr>
        <w:t xml:space="preserve">Eora Nation, </w:t>
      </w:r>
      <w:r w:rsidR="00502A09" w:rsidRPr="00037328">
        <w:rPr>
          <w:rFonts w:cs="Arial"/>
          <w:color w:val="104F99" w:themeColor="accent2"/>
        </w:rPr>
        <w:t xml:space="preserve">Level </w:t>
      </w:r>
      <w:r w:rsidR="00B64398" w:rsidRPr="00037328">
        <w:rPr>
          <w:rFonts w:cs="Arial"/>
          <w:color w:val="104F99" w:themeColor="accent2"/>
        </w:rPr>
        <w:t>12</w:t>
      </w:r>
      <w:r w:rsidR="00502A09" w:rsidRPr="00037328">
        <w:rPr>
          <w:rFonts w:cs="Arial"/>
          <w:color w:val="104F99" w:themeColor="accent2"/>
        </w:rPr>
        <w:t>, 1 Oxford Street</w:t>
      </w:r>
      <w:r w:rsidR="00502A09" w:rsidRPr="00037328">
        <w:rPr>
          <w:rFonts w:cs="Arial"/>
          <w:color w:val="104F99" w:themeColor="accent2"/>
        </w:rPr>
        <w:br/>
        <w:t>Sydney NSW 2000</w:t>
      </w:r>
    </w:p>
    <w:p w14:paraId="7BA4AE74" w14:textId="77777777" w:rsidR="00502A09" w:rsidRPr="00037328" w:rsidRDefault="00502A09" w:rsidP="00502A09">
      <w:pPr>
        <w:spacing w:after="360"/>
        <w:rPr>
          <w:rFonts w:cs="Arial"/>
        </w:rPr>
      </w:pPr>
      <w:r w:rsidRPr="00037328">
        <w:rPr>
          <w:rFonts w:cs="Arial"/>
        </w:rPr>
        <w:t xml:space="preserve">Phone </w:t>
      </w:r>
      <w:r w:rsidRPr="00037328">
        <w:rPr>
          <w:rFonts w:cs="Arial"/>
          <w:color w:val="104F99" w:themeColor="accent2"/>
        </w:rPr>
        <w:t>02 8215 1100</w:t>
      </w:r>
      <w:r w:rsidRPr="00037328">
        <w:rPr>
          <w:rFonts w:cs="Arial"/>
        </w:rPr>
        <w:br/>
        <w:t xml:space="preserve">Email </w:t>
      </w:r>
      <w:hyperlink r:id="rId64" w:history="1">
        <w:r w:rsidR="00DF2CB4" w:rsidRPr="00037328">
          <w:rPr>
            <w:rStyle w:val="Hyperlink"/>
            <w:rFonts w:cs="Arial"/>
          </w:rPr>
          <w:t>enquiries.ihacpa@ihacpa.gov.au</w:t>
        </w:r>
      </w:hyperlink>
      <w:r w:rsidRPr="00037328">
        <w:rPr>
          <w:rFonts w:cs="Arial"/>
        </w:rPr>
        <w:br/>
        <w:t xml:space="preserve">Twitter </w:t>
      </w:r>
      <w:hyperlink r:id="rId65" w:history="1">
        <w:r w:rsidRPr="00037328">
          <w:rPr>
            <w:rStyle w:val="Hyperlink"/>
            <w:rFonts w:cs="Arial"/>
          </w:rPr>
          <w:t>@IH</w:t>
        </w:r>
        <w:r w:rsidR="00B64398" w:rsidRPr="00037328">
          <w:rPr>
            <w:rStyle w:val="Hyperlink"/>
            <w:rFonts w:cs="Arial"/>
          </w:rPr>
          <w:t>AC</w:t>
        </w:r>
        <w:r w:rsidRPr="00037328">
          <w:rPr>
            <w:rStyle w:val="Hyperlink"/>
            <w:rFonts w:cs="Arial"/>
          </w:rPr>
          <w:t>PA</w:t>
        </w:r>
      </w:hyperlink>
    </w:p>
    <w:p w14:paraId="737AADD1" w14:textId="490E4EF6" w:rsidR="00502A09" w:rsidRPr="00037328" w:rsidRDefault="00000000" w:rsidP="00F95700">
      <w:pPr>
        <w:spacing w:after="360"/>
        <w:rPr>
          <w:rFonts w:cs="Arial"/>
          <w:color w:val="104F99" w:themeColor="accent2"/>
        </w:rPr>
      </w:pPr>
      <w:hyperlink r:id="rId66" w:history="1">
        <w:r w:rsidR="00502A09" w:rsidRPr="00037328">
          <w:rPr>
            <w:rStyle w:val="Hyperlink"/>
            <w:rFonts w:cs="Arial"/>
          </w:rPr>
          <w:t>www.ih</w:t>
        </w:r>
        <w:r w:rsidR="00B64398" w:rsidRPr="00037328">
          <w:rPr>
            <w:rStyle w:val="Hyperlink"/>
            <w:rFonts w:cs="Arial"/>
          </w:rPr>
          <w:t>ac</w:t>
        </w:r>
        <w:r w:rsidR="00502A09" w:rsidRPr="00037328">
          <w:rPr>
            <w:rStyle w:val="Hyperlink"/>
            <w:rFonts w:cs="Arial"/>
          </w:rPr>
          <w:t>pa.gov.au</w:t>
        </w:r>
      </w:hyperlink>
    </w:p>
    <w:sectPr w:rsidR="00502A09" w:rsidRPr="00037328" w:rsidSect="00C5503B">
      <w:headerReference w:type="even" r:id="rId67"/>
      <w:headerReference w:type="default" r:id="rId68"/>
      <w:headerReference w:type="first" r:id="rId6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2AB9" w14:textId="77777777" w:rsidR="00CB4B65" w:rsidRDefault="00CB4B65" w:rsidP="00DC0458">
      <w:pPr>
        <w:spacing w:after="0" w:line="240" w:lineRule="auto"/>
      </w:pPr>
      <w:r>
        <w:separator/>
      </w:r>
    </w:p>
    <w:p w14:paraId="49F4AD8F" w14:textId="77777777" w:rsidR="00CB4B65" w:rsidRDefault="00CB4B65"/>
  </w:endnote>
  <w:endnote w:type="continuationSeparator" w:id="0">
    <w:p w14:paraId="5559B2EA" w14:textId="77777777" w:rsidR="00CB4B65" w:rsidRDefault="00CB4B65" w:rsidP="00DC0458">
      <w:pPr>
        <w:spacing w:after="0" w:line="240" w:lineRule="auto"/>
      </w:pPr>
      <w:r>
        <w:continuationSeparator/>
      </w:r>
    </w:p>
    <w:p w14:paraId="6D31A9F9" w14:textId="77777777" w:rsidR="00CB4B65" w:rsidRDefault="00CB4B65"/>
  </w:endnote>
  <w:endnote w:type="continuationNotice" w:id="1">
    <w:p w14:paraId="711E456B" w14:textId="77777777" w:rsidR="00CB4B65" w:rsidRDefault="00CB4B65">
      <w:pPr>
        <w:spacing w:after="0" w:line="240" w:lineRule="auto"/>
      </w:pPr>
    </w:p>
    <w:p w14:paraId="315A0505" w14:textId="77777777" w:rsidR="00CB4B65" w:rsidRDefault="00CB4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regular">
    <w:altName w:val="Cambria"/>
    <w:panose1 w:val="020B05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Josefin Sans Bold">
    <w:panose1 w:val="00000000000000000000"/>
    <w:charset w:val="00"/>
    <w:family w:val="auto"/>
    <w:pitch w:val="variable"/>
    <w:sig w:usb0="A00000F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E53F" w14:textId="7CD22C24" w:rsidR="001F3FD7" w:rsidRDefault="001F3FD7">
    <w:pPr>
      <w:pStyle w:val="Footer"/>
    </w:pPr>
    <w:r>
      <w:rPr>
        <w:noProof/>
      </w:rPr>
      <w:drawing>
        <wp:anchor distT="0" distB="0" distL="114300" distR="114300" simplePos="0" relativeHeight="251658248" behindDoc="0" locked="0" layoutInCell="1" allowOverlap="1" wp14:anchorId="10E82421" wp14:editId="34BED138">
          <wp:simplePos x="0" y="0"/>
          <wp:positionH relativeFrom="column">
            <wp:posOffset>5139706</wp:posOffset>
          </wp:positionH>
          <wp:positionV relativeFrom="paragraph">
            <wp:posOffset>-407035</wp:posOffset>
          </wp:positionV>
          <wp:extent cx="1137783" cy="712585"/>
          <wp:effectExtent l="0" t="0" r="5715" b="0"/>
          <wp:wrapNone/>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137783" cy="712585"/>
                  </a:xfrm>
                  <a:prstGeom prst="rect">
                    <a:avLst/>
                  </a:prstGeom>
                </pic:spPr>
              </pic:pic>
            </a:graphicData>
          </a:graphic>
          <wp14:sizeRelH relativeFrom="margin">
            <wp14:pctWidth>0</wp14:pctWidth>
          </wp14:sizeRelH>
          <wp14:sizeRelV relativeFrom="margin">
            <wp14:pctHeight>0</wp14:pctHeight>
          </wp14:sizeRelV>
        </wp:anchor>
      </w:drawing>
    </w:r>
    <w:r w:rsidR="00EE76DB">
      <w:rPr>
        <w:color w:val="FFFFFF" w:themeColor="background2"/>
      </w:rPr>
      <w:t>March</w:t>
    </w:r>
    <w:r w:rsidR="0067040A">
      <w:rPr>
        <w:color w:val="FFFFFF" w:themeColor="background2"/>
      </w:rPr>
      <w:t xml:space="preserve"> </w:t>
    </w:r>
    <w:r w:rsidR="00EE76DB">
      <w:rPr>
        <w:color w:val="FFFFFF" w:themeColor="background2"/>
      </w:rPr>
      <w:t>2024</w:t>
    </w:r>
    <w:r w:rsidR="00EE76DB">
      <w:t xml:space="preserve"> </w:t>
    </w:r>
    <w:r>
      <w:t>and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9779" w14:textId="53E503CE" w:rsidR="001F3FD7" w:rsidRDefault="00715CCB" w:rsidP="00E24D0E">
    <w:pPr>
      <w:pStyle w:val="Footer"/>
      <w:tabs>
        <w:tab w:val="clear" w:pos="4680"/>
        <w:tab w:val="clear" w:pos="9360"/>
        <w:tab w:val="center" w:pos="9498"/>
        <w:tab w:val="right" w:pos="9746"/>
      </w:tabs>
    </w:pPr>
    <w:r w:rsidRPr="00D20B03">
      <w:rPr>
        <w:b/>
        <w:bCs/>
      </w:rPr>
      <w:t>IHACPA</w:t>
    </w:r>
    <w:r>
      <w:t xml:space="preserve"> </w:t>
    </w:r>
    <w:r w:rsidRPr="00251BAD">
      <w:t>National Hospital Cost Data Collection: Public Sector Report, 202</w:t>
    </w:r>
    <w:r>
      <w:t>1</w:t>
    </w:r>
    <w:r w:rsidRPr="00251BAD">
      <w:t>-2</w:t>
    </w:r>
    <w:r>
      <w:t>2</w:t>
    </w:r>
    <w:r w:rsidR="001F3FD7">
      <w:tab/>
    </w:r>
    <w:r w:rsidR="001F3FD7">
      <w:fldChar w:fldCharType="begin"/>
    </w:r>
    <w:r w:rsidR="001F3FD7">
      <w:instrText xml:space="preserve"> PAGE   \* MERGEFORMAT </w:instrText>
    </w:r>
    <w:r w:rsidR="001F3FD7">
      <w:fldChar w:fldCharType="separate"/>
    </w:r>
    <w:r w:rsidR="001F3FD7">
      <w:rPr>
        <w:noProof/>
      </w:rPr>
      <w:t>1</w:t>
    </w:r>
    <w:r w:rsidR="001F3FD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0A7D" w14:textId="57CA64B4" w:rsidR="0058147F" w:rsidRDefault="001F2735" w:rsidP="006778AE">
    <w:pPr>
      <w:pStyle w:val="Footer"/>
      <w:tabs>
        <w:tab w:val="clear" w:pos="4680"/>
        <w:tab w:val="clear" w:pos="9360"/>
        <w:tab w:val="center" w:pos="9498"/>
        <w:tab w:val="right" w:pos="9746"/>
      </w:tabs>
    </w:pPr>
    <w:r w:rsidRPr="00D20B03">
      <w:rPr>
        <w:b/>
        <w:bCs/>
      </w:rPr>
      <w:t>IHACPA</w:t>
    </w:r>
    <w:r>
      <w:t xml:space="preserve"> </w:t>
    </w:r>
    <w:r w:rsidR="00251BAD" w:rsidRPr="00251BAD">
      <w:t>National Hospital Cost Data Collection Public Sector Report 202</w:t>
    </w:r>
    <w:r w:rsidR="00251BAD">
      <w:t>1</w:t>
    </w:r>
    <w:r w:rsidR="00251BAD" w:rsidRPr="00251BAD">
      <w:t>-2</w:t>
    </w:r>
    <w:r w:rsidR="00251BAD">
      <w:t>2</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C18A" w14:textId="77777777" w:rsidR="00CB4B65" w:rsidRDefault="00CB4B65" w:rsidP="00DC0458">
      <w:pPr>
        <w:spacing w:after="0" w:line="240" w:lineRule="auto"/>
      </w:pPr>
      <w:r>
        <w:separator/>
      </w:r>
    </w:p>
    <w:p w14:paraId="39B596F6" w14:textId="77777777" w:rsidR="00CB4B65" w:rsidRDefault="00CB4B65"/>
  </w:footnote>
  <w:footnote w:type="continuationSeparator" w:id="0">
    <w:p w14:paraId="25968FD3" w14:textId="77777777" w:rsidR="00CB4B65" w:rsidRDefault="00CB4B65" w:rsidP="00DC0458">
      <w:pPr>
        <w:spacing w:after="0" w:line="240" w:lineRule="auto"/>
      </w:pPr>
      <w:r>
        <w:continuationSeparator/>
      </w:r>
    </w:p>
    <w:p w14:paraId="1C18668C" w14:textId="77777777" w:rsidR="00CB4B65" w:rsidRDefault="00CB4B65"/>
  </w:footnote>
  <w:footnote w:type="continuationNotice" w:id="1">
    <w:p w14:paraId="2737AC06" w14:textId="77777777" w:rsidR="00CB4B65" w:rsidRDefault="00CB4B65">
      <w:pPr>
        <w:spacing w:after="0" w:line="240" w:lineRule="auto"/>
      </w:pPr>
    </w:p>
    <w:p w14:paraId="1DCF17C1" w14:textId="77777777" w:rsidR="00CB4B65" w:rsidRDefault="00CB4B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F7C0" w14:textId="77777777" w:rsidR="001F3FD7" w:rsidRDefault="001F3FD7" w:rsidP="001F3FD7">
    <w:pPr>
      <w:pStyle w:val="Header"/>
      <w:numPr>
        <w:ilvl w:val="0"/>
        <w:numId w:val="0"/>
      </w:numPr>
    </w:pPr>
    <w:r>
      <w:rPr>
        <w:noProof/>
      </w:rPr>
      <w:drawing>
        <wp:anchor distT="0" distB="0" distL="114300" distR="114300" simplePos="0" relativeHeight="251658247" behindDoc="1" locked="0" layoutInCell="1" allowOverlap="1" wp14:anchorId="0FBE4F40" wp14:editId="12F30A8B">
          <wp:simplePos x="0" y="0"/>
          <wp:positionH relativeFrom="margin">
            <wp:posOffset>-685800</wp:posOffset>
          </wp:positionH>
          <wp:positionV relativeFrom="paragraph">
            <wp:posOffset>-447422</wp:posOffset>
          </wp:positionV>
          <wp:extent cx="7573925" cy="10707858"/>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078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B540" w14:textId="77777777" w:rsidR="001F3FD7" w:rsidRDefault="001F3FD7" w:rsidP="001F3FD7">
    <w:pPr>
      <w:pStyle w:val="Header"/>
      <w:numPr>
        <w:ilvl w:val="0"/>
        <w:numId w:val="0"/>
      </w:numPr>
      <w:ind w:left="10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EA7B" w14:textId="5C699D7C" w:rsidR="00251BAD" w:rsidRDefault="00251BAD">
    <w:pPr>
      <w:pStyle w:val="Header"/>
    </w:pPr>
  </w:p>
  <w:p w14:paraId="23418441" w14:textId="77777777" w:rsidR="0058147F" w:rsidRDefault="0058147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135B" w14:textId="5ACB799C" w:rsidR="0058147F" w:rsidRDefault="0058147F" w:rsidP="006778AE">
    <w:pPr>
      <w:pStyle w:val="Header"/>
      <w:numPr>
        <w:ilvl w:val="0"/>
        <w:numId w:val="0"/>
      </w:num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DE58" w14:textId="3751E922" w:rsidR="00251BAD" w:rsidRDefault="00251B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89BE" w14:textId="20C8C897" w:rsidR="00251BAD" w:rsidRDefault="00251B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8B15" w14:textId="51C41FB2" w:rsidR="00502A09" w:rsidRDefault="00502A09" w:rsidP="005D33AD">
    <w:pPr>
      <w:pStyle w:val="Header"/>
      <w:numPr>
        <w:ilvl w:val="0"/>
        <w:numId w:val="0"/>
      </w:numPr>
    </w:pPr>
    <w:r>
      <w:rPr>
        <w:noProof/>
      </w:rPr>
      <w:drawing>
        <wp:anchor distT="0" distB="0" distL="114300" distR="114300" simplePos="0" relativeHeight="251658240" behindDoc="1" locked="0" layoutInCell="1" allowOverlap="1" wp14:anchorId="6E5DA513" wp14:editId="1992AFE2">
          <wp:simplePos x="0" y="0"/>
          <wp:positionH relativeFrom="column">
            <wp:posOffset>-684722</wp:posOffset>
          </wp:positionH>
          <wp:positionV relativeFrom="paragraph">
            <wp:posOffset>-449580</wp:posOffset>
          </wp:positionV>
          <wp:extent cx="7565082" cy="10699668"/>
          <wp:effectExtent l="0" t="0" r="0" b="698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082"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5838" w14:textId="4B052E29" w:rsidR="00251BAD" w:rsidRDefault="00251BA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A15"/>
    <w:multiLevelType w:val="hybridMultilevel"/>
    <w:tmpl w:val="CA5CA7E4"/>
    <w:lvl w:ilvl="0" w:tplc="FFFFFFFF">
      <w:numFmt w:val="bullet"/>
      <w:lvlText w:val="–"/>
      <w:lvlJc w:val="left"/>
      <w:pPr>
        <w:ind w:left="928" w:hanging="720"/>
      </w:pPr>
      <w:rPr>
        <w:rFonts w:ascii="Fira Sans regular" w:eastAsiaTheme="minorHAnsi" w:hAnsi="Fira Sans regular" w:cstheme="minorBidi" w:hint="default"/>
      </w:rPr>
    </w:lvl>
    <w:lvl w:ilvl="1" w:tplc="5E622CB2">
      <w:numFmt w:val="bullet"/>
      <w:lvlText w:val="–"/>
      <w:lvlJc w:val="left"/>
      <w:pPr>
        <w:ind w:left="1288" w:hanging="360"/>
      </w:pPr>
      <w:rPr>
        <w:rFonts w:ascii="Fira Sans regular" w:eastAsiaTheme="minorHAnsi" w:hAnsi="Fira Sans regular" w:cstheme="minorBidi" w:hint="default"/>
      </w:rPr>
    </w:lvl>
    <w:lvl w:ilvl="2" w:tplc="FFFFFFFF" w:tentative="1">
      <w:start w:val="1"/>
      <w:numFmt w:val="bullet"/>
      <w:lvlText w:val=""/>
      <w:lvlJc w:val="left"/>
      <w:pPr>
        <w:ind w:left="2008" w:hanging="360"/>
      </w:pPr>
      <w:rPr>
        <w:rFonts w:ascii="Wingdings" w:hAnsi="Wingdings" w:hint="default"/>
      </w:rPr>
    </w:lvl>
    <w:lvl w:ilvl="3" w:tplc="FFFFFFFF" w:tentative="1">
      <w:start w:val="1"/>
      <w:numFmt w:val="bullet"/>
      <w:lvlText w:val=""/>
      <w:lvlJc w:val="left"/>
      <w:pPr>
        <w:ind w:left="2728" w:hanging="360"/>
      </w:pPr>
      <w:rPr>
        <w:rFonts w:ascii="Symbol" w:hAnsi="Symbol" w:hint="default"/>
      </w:rPr>
    </w:lvl>
    <w:lvl w:ilvl="4" w:tplc="FFFFFFFF" w:tentative="1">
      <w:start w:val="1"/>
      <w:numFmt w:val="bullet"/>
      <w:lvlText w:val="o"/>
      <w:lvlJc w:val="left"/>
      <w:pPr>
        <w:ind w:left="3448" w:hanging="360"/>
      </w:pPr>
      <w:rPr>
        <w:rFonts w:ascii="Courier New" w:hAnsi="Courier New" w:cs="Courier New" w:hint="default"/>
      </w:rPr>
    </w:lvl>
    <w:lvl w:ilvl="5" w:tplc="FFFFFFFF" w:tentative="1">
      <w:start w:val="1"/>
      <w:numFmt w:val="bullet"/>
      <w:lvlText w:val=""/>
      <w:lvlJc w:val="left"/>
      <w:pPr>
        <w:ind w:left="4168" w:hanging="360"/>
      </w:pPr>
      <w:rPr>
        <w:rFonts w:ascii="Wingdings" w:hAnsi="Wingdings" w:hint="default"/>
      </w:rPr>
    </w:lvl>
    <w:lvl w:ilvl="6" w:tplc="FFFFFFFF" w:tentative="1">
      <w:start w:val="1"/>
      <w:numFmt w:val="bullet"/>
      <w:lvlText w:val=""/>
      <w:lvlJc w:val="left"/>
      <w:pPr>
        <w:ind w:left="4888" w:hanging="360"/>
      </w:pPr>
      <w:rPr>
        <w:rFonts w:ascii="Symbol" w:hAnsi="Symbol" w:hint="default"/>
      </w:rPr>
    </w:lvl>
    <w:lvl w:ilvl="7" w:tplc="FFFFFFFF" w:tentative="1">
      <w:start w:val="1"/>
      <w:numFmt w:val="bullet"/>
      <w:lvlText w:val="o"/>
      <w:lvlJc w:val="left"/>
      <w:pPr>
        <w:ind w:left="5608" w:hanging="360"/>
      </w:pPr>
      <w:rPr>
        <w:rFonts w:ascii="Courier New" w:hAnsi="Courier New" w:cs="Courier New" w:hint="default"/>
      </w:rPr>
    </w:lvl>
    <w:lvl w:ilvl="8" w:tplc="FFFFFFFF" w:tentative="1">
      <w:start w:val="1"/>
      <w:numFmt w:val="bullet"/>
      <w:lvlText w:val=""/>
      <w:lvlJc w:val="left"/>
      <w:pPr>
        <w:ind w:left="6328" w:hanging="360"/>
      </w:pPr>
      <w:rPr>
        <w:rFonts w:ascii="Wingdings" w:hAnsi="Wingdings" w:hint="default"/>
      </w:rPr>
    </w:lvl>
  </w:abstractNum>
  <w:abstractNum w:abstractNumId="1" w15:restartNumberingAfterBreak="0">
    <w:nsid w:val="004746B8"/>
    <w:multiLevelType w:val="hybridMultilevel"/>
    <w:tmpl w:val="9484F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3497D"/>
    <w:multiLevelType w:val="hybridMultilevel"/>
    <w:tmpl w:val="BA42ED8C"/>
    <w:lvl w:ilvl="0" w:tplc="EA3A3A2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0943FC"/>
    <w:multiLevelType w:val="hybridMultilevel"/>
    <w:tmpl w:val="B992B0A6"/>
    <w:lvl w:ilvl="0" w:tplc="FFFFFFFF">
      <w:numFmt w:val="bullet"/>
      <w:lvlText w:val="–"/>
      <w:lvlJc w:val="left"/>
      <w:pPr>
        <w:ind w:left="720" w:hanging="360"/>
      </w:pPr>
      <w:rPr>
        <w:rFonts w:ascii="Fira Sans regular" w:eastAsiaTheme="minorHAnsi" w:hAnsi="Fira Sans regular"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56900"/>
    <w:multiLevelType w:val="hybridMultilevel"/>
    <w:tmpl w:val="1974CA4C"/>
    <w:lvl w:ilvl="0" w:tplc="FFFFFFFF">
      <w:numFmt w:val="bullet"/>
      <w:lvlText w:val="–"/>
      <w:lvlJc w:val="left"/>
      <w:pPr>
        <w:ind w:left="720" w:hanging="360"/>
      </w:pPr>
      <w:rPr>
        <w:rFonts w:ascii="Fira Sans regular" w:eastAsiaTheme="minorHAnsi" w:hAnsi="Fira Sans regular"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775C68"/>
    <w:multiLevelType w:val="hybridMultilevel"/>
    <w:tmpl w:val="C4E63D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5A27E0"/>
    <w:multiLevelType w:val="hybridMultilevel"/>
    <w:tmpl w:val="CC6E3CBE"/>
    <w:lvl w:ilvl="0" w:tplc="AB6E4BD8">
      <w:start w:val="1"/>
      <w:numFmt w:val="bullet"/>
      <w:lvlText w:val="•"/>
      <w:lvlJc w:val="left"/>
      <w:pPr>
        <w:tabs>
          <w:tab w:val="num" w:pos="720"/>
        </w:tabs>
        <w:ind w:left="720" w:hanging="360"/>
      </w:pPr>
      <w:rPr>
        <w:rFonts w:ascii="Arial" w:hAnsi="Arial" w:hint="default"/>
      </w:rPr>
    </w:lvl>
    <w:lvl w:ilvl="1" w:tplc="185E1D04" w:tentative="1">
      <w:start w:val="1"/>
      <w:numFmt w:val="bullet"/>
      <w:lvlText w:val="•"/>
      <w:lvlJc w:val="left"/>
      <w:pPr>
        <w:tabs>
          <w:tab w:val="num" w:pos="1440"/>
        </w:tabs>
        <w:ind w:left="1440" w:hanging="360"/>
      </w:pPr>
      <w:rPr>
        <w:rFonts w:ascii="Arial" w:hAnsi="Arial" w:hint="default"/>
      </w:rPr>
    </w:lvl>
    <w:lvl w:ilvl="2" w:tplc="83F84274" w:tentative="1">
      <w:start w:val="1"/>
      <w:numFmt w:val="bullet"/>
      <w:lvlText w:val="•"/>
      <w:lvlJc w:val="left"/>
      <w:pPr>
        <w:tabs>
          <w:tab w:val="num" w:pos="2160"/>
        </w:tabs>
        <w:ind w:left="2160" w:hanging="360"/>
      </w:pPr>
      <w:rPr>
        <w:rFonts w:ascii="Arial" w:hAnsi="Arial" w:hint="default"/>
      </w:rPr>
    </w:lvl>
    <w:lvl w:ilvl="3" w:tplc="DA44E3F6" w:tentative="1">
      <w:start w:val="1"/>
      <w:numFmt w:val="bullet"/>
      <w:lvlText w:val="•"/>
      <w:lvlJc w:val="left"/>
      <w:pPr>
        <w:tabs>
          <w:tab w:val="num" w:pos="2880"/>
        </w:tabs>
        <w:ind w:left="2880" w:hanging="360"/>
      </w:pPr>
      <w:rPr>
        <w:rFonts w:ascii="Arial" w:hAnsi="Arial" w:hint="default"/>
      </w:rPr>
    </w:lvl>
    <w:lvl w:ilvl="4" w:tplc="DE9201E6" w:tentative="1">
      <w:start w:val="1"/>
      <w:numFmt w:val="bullet"/>
      <w:lvlText w:val="•"/>
      <w:lvlJc w:val="left"/>
      <w:pPr>
        <w:tabs>
          <w:tab w:val="num" w:pos="3600"/>
        </w:tabs>
        <w:ind w:left="3600" w:hanging="360"/>
      </w:pPr>
      <w:rPr>
        <w:rFonts w:ascii="Arial" w:hAnsi="Arial" w:hint="default"/>
      </w:rPr>
    </w:lvl>
    <w:lvl w:ilvl="5" w:tplc="2F3C7182" w:tentative="1">
      <w:start w:val="1"/>
      <w:numFmt w:val="bullet"/>
      <w:lvlText w:val="•"/>
      <w:lvlJc w:val="left"/>
      <w:pPr>
        <w:tabs>
          <w:tab w:val="num" w:pos="4320"/>
        </w:tabs>
        <w:ind w:left="4320" w:hanging="360"/>
      </w:pPr>
      <w:rPr>
        <w:rFonts w:ascii="Arial" w:hAnsi="Arial" w:hint="default"/>
      </w:rPr>
    </w:lvl>
    <w:lvl w:ilvl="6" w:tplc="219EF16E" w:tentative="1">
      <w:start w:val="1"/>
      <w:numFmt w:val="bullet"/>
      <w:lvlText w:val="•"/>
      <w:lvlJc w:val="left"/>
      <w:pPr>
        <w:tabs>
          <w:tab w:val="num" w:pos="5040"/>
        </w:tabs>
        <w:ind w:left="5040" w:hanging="360"/>
      </w:pPr>
      <w:rPr>
        <w:rFonts w:ascii="Arial" w:hAnsi="Arial" w:hint="default"/>
      </w:rPr>
    </w:lvl>
    <w:lvl w:ilvl="7" w:tplc="A82A074C" w:tentative="1">
      <w:start w:val="1"/>
      <w:numFmt w:val="bullet"/>
      <w:lvlText w:val="•"/>
      <w:lvlJc w:val="left"/>
      <w:pPr>
        <w:tabs>
          <w:tab w:val="num" w:pos="5760"/>
        </w:tabs>
        <w:ind w:left="5760" w:hanging="360"/>
      </w:pPr>
      <w:rPr>
        <w:rFonts w:ascii="Arial" w:hAnsi="Arial" w:hint="default"/>
      </w:rPr>
    </w:lvl>
    <w:lvl w:ilvl="8" w:tplc="5B9252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DC062E"/>
    <w:multiLevelType w:val="hybridMultilevel"/>
    <w:tmpl w:val="7C46F0AE"/>
    <w:lvl w:ilvl="0" w:tplc="D9F40B28">
      <w:start w:val="1"/>
      <w:numFmt w:val="decimal"/>
      <w:lvlText w:val="%1."/>
      <w:lvlJc w:val="left"/>
      <w:pPr>
        <w:ind w:left="1440" w:hanging="360"/>
      </w:pPr>
    </w:lvl>
    <w:lvl w:ilvl="1" w:tplc="53D0ACB8">
      <w:start w:val="1"/>
      <w:numFmt w:val="decimal"/>
      <w:lvlText w:val="%2."/>
      <w:lvlJc w:val="left"/>
      <w:pPr>
        <w:ind w:left="1440" w:hanging="360"/>
      </w:pPr>
    </w:lvl>
    <w:lvl w:ilvl="2" w:tplc="8C10AB48">
      <w:start w:val="1"/>
      <w:numFmt w:val="decimal"/>
      <w:lvlText w:val="%3."/>
      <w:lvlJc w:val="left"/>
      <w:pPr>
        <w:ind w:left="1440" w:hanging="360"/>
      </w:pPr>
    </w:lvl>
    <w:lvl w:ilvl="3" w:tplc="69D0F168">
      <w:start w:val="1"/>
      <w:numFmt w:val="decimal"/>
      <w:lvlText w:val="%4."/>
      <w:lvlJc w:val="left"/>
      <w:pPr>
        <w:ind w:left="1440" w:hanging="360"/>
      </w:pPr>
    </w:lvl>
    <w:lvl w:ilvl="4" w:tplc="A888F96A">
      <w:start w:val="1"/>
      <w:numFmt w:val="decimal"/>
      <w:lvlText w:val="%5."/>
      <w:lvlJc w:val="left"/>
      <w:pPr>
        <w:ind w:left="1440" w:hanging="360"/>
      </w:pPr>
    </w:lvl>
    <w:lvl w:ilvl="5" w:tplc="191A7B04">
      <w:start w:val="1"/>
      <w:numFmt w:val="decimal"/>
      <w:lvlText w:val="%6."/>
      <w:lvlJc w:val="left"/>
      <w:pPr>
        <w:ind w:left="1440" w:hanging="360"/>
      </w:pPr>
    </w:lvl>
    <w:lvl w:ilvl="6" w:tplc="D804B3F2">
      <w:start w:val="1"/>
      <w:numFmt w:val="decimal"/>
      <w:lvlText w:val="%7."/>
      <w:lvlJc w:val="left"/>
      <w:pPr>
        <w:ind w:left="1440" w:hanging="360"/>
      </w:pPr>
    </w:lvl>
    <w:lvl w:ilvl="7" w:tplc="EE7EFC72">
      <w:start w:val="1"/>
      <w:numFmt w:val="decimal"/>
      <w:lvlText w:val="%8."/>
      <w:lvlJc w:val="left"/>
      <w:pPr>
        <w:ind w:left="1440" w:hanging="360"/>
      </w:pPr>
    </w:lvl>
    <w:lvl w:ilvl="8" w:tplc="24787ED8">
      <w:start w:val="1"/>
      <w:numFmt w:val="decimal"/>
      <w:lvlText w:val="%9."/>
      <w:lvlJc w:val="left"/>
      <w:pPr>
        <w:ind w:left="1440" w:hanging="360"/>
      </w:pPr>
    </w:lvl>
  </w:abstractNum>
  <w:abstractNum w:abstractNumId="8" w15:restartNumberingAfterBreak="0">
    <w:nsid w:val="1B182271"/>
    <w:multiLevelType w:val="hybridMultilevel"/>
    <w:tmpl w:val="E13C4B66"/>
    <w:lvl w:ilvl="0" w:tplc="ED2C76FA">
      <w:start w:val="1"/>
      <w:numFmt w:val="bullet"/>
      <w:lvlText w:val=""/>
      <w:lvlJc w:val="left"/>
      <w:pPr>
        <w:ind w:left="1440" w:hanging="360"/>
      </w:pPr>
      <w:rPr>
        <w:rFonts w:ascii="Symbol" w:hAnsi="Symbol"/>
      </w:rPr>
    </w:lvl>
    <w:lvl w:ilvl="1" w:tplc="DE3C5EC2">
      <w:start w:val="1"/>
      <w:numFmt w:val="bullet"/>
      <w:lvlText w:val=""/>
      <w:lvlJc w:val="left"/>
      <w:pPr>
        <w:ind w:left="1440" w:hanging="360"/>
      </w:pPr>
      <w:rPr>
        <w:rFonts w:ascii="Symbol" w:hAnsi="Symbol"/>
      </w:rPr>
    </w:lvl>
    <w:lvl w:ilvl="2" w:tplc="C3BA6350">
      <w:start w:val="1"/>
      <w:numFmt w:val="bullet"/>
      <w:lvlText w:val=""/>
      <w:lvlJc w:val="left"/>
      <w:pPr>
        <w:ind w:left="1440" w:hanging="360"/>
      </w:pPr>
      <w:rPr>
        <w:rFonts w:ascii="Symbol" w:hAnsi="Symbol"/>
      </w:rPr>
    </w:lvl>
    <w:lvl w:ilvl="3" w:tplc="8F80A3CE">
      <w:start w:val="1"/>
      <w:numFmt w:val="bullet"/>
      <w:lvlText w:val=""/>
      <w:lvlJc w:val="left"/>
      <w:pPr>
        <w:ind w:left="1440" w:hanging="360"/>
      </w:pPr>
      <w:rPr>
        <w:rFonts w:ascii="Symbol" w:hAnsi="Symbol"/>
      </w:rPr>
    </w:lvl>
    <w:lvl w:ilvl="4" w:tplc="867E2A8C">
      <w:start w:val="1"/>
      <w:numFmt w:val="bullet"/>
      <w:lvlText w:val=""/>
      <w:lvlJc w:val="left"/>
      <w:pPr>
        <w:ind w:left="1440" w:hanging="360"/>
      </w:pPr>
      <w:rPr>
        <w:rFonts w:ascii="Symbol" w:hAnsi="Symbol"/>
      </w:rPr>
    </w:lvl>
    <w:lvl w:ilvl="5" w:tplc="9A563F3C">
      <w:start w:val="1"/>
      <w:numFmt w:val="bullet"/>
      <w:lvlText w:val=""/>
      <w:lvlJc w:val="left"/>
      <w:pPr>
        <w:ind w:left="1440" w:hanging="360"/>
      </w:pPr>
      <w:rPr>
        <w:rFonts w:ascii="Symbol" w:hAnsi="Symbol"/>
      </w:rPr>
    </w:lvl>
    <w:lvl w:ilvl="6" w:tplc="4AFE88A6">
      <w:start w:val="1"/>
      <w:numFmt w:val="bullet"/>
      <w:lvlText w:val=""/>
      <w:lvlJc w:val="left"/>
      <w:pPr>
        <w:ind w:left="1440" w:hanging="360"/>
      </w:pPr>
      <w:rPr>
        <w:rFonts w:ascii="Symbol" w:hAnsi="Symbol"/>
      </w:rPr>
    </w:lvl>
    <w:lvl w:ilvl="7" w:tplc="F244AC30">
      <w:start w:val="1"/>
      <w:numFmt w:val="bullet"/>
      <w:lvlText w:val=""/>
      <w:lvlJc w:val="left"/>
      <w:pPr>
        <w:ind w:left="1440" w:hanging="360"/>
      </w:pPr>
      <w:rPr>
        <w:rFonts w:ascii="Symbol" w:hAnsi="Symbol"/>
      </w:rPr>
    </w:lvl>
    <w:lvl w:ilvl="8" w:tplc="20A6E7F4">
      <w:start w:val="1"/>
      <w:numFmt w:val="bullet"/>
      <w:lvlText w:val=""/>
      <w:lvlJc w:val="left"/>
      <w:pPr>
        <w:ind w:left="1440" w:hanging="360"/>
      </w:pPr>
      <w:rPr>
        <w:rFonts w:ascii="Symbol" w:hAnsi="Symbol"/>
      </w:rPr>
    </w:lvl>
  </w:abstractNum>
  <w:abstractNum w:abstractNumId="9" w15:restartNumberingAfterBreak="0">
    <w:nsid w:val="26913E50"/>
    <w:multiLevelType w:val="hybridMultilevel"/>
    <w:tmpl w:val="359E7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77077F"/>
    <w:multiLevelType w:val="hybridMultilevel"/>
    <w:tmpl w:val="73D891E4"/>
    <w:lvl w:ilvl="0" w:tplc="5AB6879A">
      <w:start w:val="1"/>
      <w:numFmt w:val="bullet"/>
      <w:lvlText w:val="•"/>
      <w:lvlJc w:val="left"/>
      <w:pPr>
        <w:tabs>
          <w:tab w:val="num" w:pos="720"/>
        </w:tabs>
        <w:ind w:left="720" w:hanging="360"/>
      </w:pPr>
      <w:rPr>
        <w:rFonts w:ascii="Arial" w:hAnsi="Arial" w:hint="default"/>
      </w:rPr>
    </w:lvl>
    <w:lvl w:ilvl="1" w:tplc="9020A200" w:tentative="1">
      <w:start w:val="1"/>
      <w:numFmt w:val="bullet"/>
      <w:lvlText w:val="•"/>
      <w:lvlJc w:val="left"/>
      <w:pPr>
        <w:tabs>
          <w:tab w:val="num" w:pos="1440"/>
        </w:tabs>
        <w:ind w:left="1440" w:hanging="360"/>
      </w:pPr>
      <w:rPr>
        <w:rFonts w:ascii="Arial" w:hAnsi="Arial" w:hint="default"/>
      </w:rPr>
    </w:lvl>
    <w:lvl w:ilvl="2" w:tplc="4FCE2438" w:tentative="1">
      <w:start w:val="1"/>
      <w:numFmt w:val="bullet"/>
      <w:lvlText w:val="•"/>
      <w:lvlJc w:val="left"/>
      <w:pPr>
        <w:tabs>
          <w:tab w:val="num" w:pos="2160"/>
        </w:tabs>
        <w:ind w:left="2160" w:hanging="360"/>
      </w:pPr>
      <w:rPr>
        <w:rFonts w:ascii="Arial" w:hAnsi="Arial" w:hint="default"/>
      </w:rPr>
    </w:lvl>
    <w:lvl w:ilvl="3" w:tplc="D66A53CE" w:tentative="1">
      <w:start w:val="1"/>
      <w:numFmt w:val="bullet"/>
      <w:lvlText w:val="•"/>
      <w:lvlJc w:val="left"/>
      <w:pPr>
        <w:tabs>
          <w:tab w:val="num" w:pos="2880"/>
        </w:tabs>
        <w:ind w:left="2880" w:hanging="360"/>
      </w:pPr>
      <w:rPr>
        <w:rFonts w:ascii="Arial" w:hAnsi="Arial" w:hint="default"/>
      </w:rPr>
    </w:lvl>
    <w:lvl w:ilvl="4" w:tplc="90AA39F8" w:tentative="1">
      <w:start w:val="1"/>
      <w:numFmt w:val="bullet"/>
      <w:lvlText w:val="•"/>
      <w:lvlJc w:val="left"/>
      <w:pPr>
        <w:tabs>
          <w:tab w:val="num" w:pos="3600"/>
        </w:tabs>
        <w:ind w:left="3600" w:hanging="360"/>
      </w:pPr>
      <w:rPr>
        <w:rFonts w:ascii="Arial" w:hAnsi="Arial" w:hint="default"/>
      </w:rPr>
    </w:lvl>
    <w:lvl w:ilvl="5" w:tplc="5932432E" w:tentative="1">
      <w:start w:val="1"/>
      <w:numFmt w:val="bullet"/>
      <w:lvlText w:val="•"/>
      <w:lvlJc w:val="left"/>
      <w:pPr>
        <w:tabs>
          <w:tab w:val="num" w:pos="4320"/>
        </w:tabs>
        <w:ind w:left="4320" w:hanging="360"/>
      </w:pPr>
      <w:rPr>
        <w:rFonts w:ascii="Arial" w:hAnsi="Arial" w:hint="default"/>
      </w:rPr>
    </w:lvl>
    <w:lvl w:ilvl="6" w:tplc="BE4629E2" w:tentative="1">
      <w:start w:val="1"/>
      <w:numFmt w:val="bullet"/>
      <w:lvlText w:val="•"/>
      <w:lvlJc w:val="left"/>
      <w:pPr>
        <w:tabs>
          <w:tab w:val="num" w:pos="5040"/>
        </w:tabs>
        <w:ind w:left="5040" w:hanging="360"/>
      </w:pPr>
      <w:rPr>
        <w:rFonts w:ascii="Arial" w:hAnsi="Arial" w:hint="default"/>
      </w:rPr>
    </w:lvl>
    <w:lvl w:ilvl="7" w:tplc="0DDC1F5E" w:tentative="1">
      <w:start w:val="1"/>
      <w:numFmt w:val="bullet"/>
      <w:lvlText w:val="•"/>
      <w:lvlJc w:val="left"/>
      <w:pPr>
        <w:tabs>
          <w:tab w:val="num" w:pos="5760"/>
        </w:tabs>
        <w:ind w:left="5760" w:hanging="360"/>
      </w:pPr>
      <w:rPr>
        <w:rFonts w:ascii="Arial" w:hAnsi="Arial" w:hint="default"/>
      </w:rPr>
    </w:lvl>
    <w:lvl w:ilvl="8" w:tplc="E0D87C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9643EA"/>
    <w:multiLevelType w:val="hybridMultilevel"/>
    <w:tmpl w:val="36F23992"/>
    <w:lvl w:ilvl="0" w:tplc="FFFFFFFF">
      <w:numFmt w:val="bullet"/>
      <w:lvlText w:val="–"/>
      <w:lvlJc w:val="left"/>
      <w:pPr>
        <w:ind w:left="720" w:hanging="360"/>
      </w:pPr>
      <w:rPr>
        <w:rFonts w:ascii="Fira Sans regular" w:eastAsiaTheme="minorHAnsi" w:hAnsi="Fira Sans regular"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1A68EE"/>
    <w:multiLevelType w:val="hybridMultilevel"/>
    <w:tmpl w:val="BF221AE2"/>
    <w:lvl w:ilvl="0" w:tplc="22602102">
      <w:start w:val="20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8A50E7"/>
    <w:multiLevelType w:val="hybridMultilevel"/>
    <w:tmpl w:val="B696124C"/>
    <w:lvl w:ilvl="0" w:tplc="4FE09E7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25125"/>
    <w:multiLevelType w:val="hybridMultilevel"/>
    <w:tmpl w:val="86DACE5E"/>
    <w:lvl w:ilvl="0" w:tplc="FFFFFFFF">
      <w:numFmt w:val="bullet"/>
      <w:lvlText w:val="–"/>
      <w:lvlJc w:val="left"/>
      <w:pPr>
        <w:ind w:left="360" w:hanging="360"/>
      </w:pPr>
      <w:rPr>
        <w:rFonts w:ascii="Fira Sans regular" w:eastAsiaTheme="minorHAnsi" w:hAnsi="Fira Sans regular"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D04F02"/>
    <w:multiLevelType w:val="hybridMultilevel"/>
    <w:tmpl w:val="7F28C8DE"/>
    <w:lvl w:ilvl="0" w:tplc="93082726">
      <w:start w:val="1"/>
      <w:numFmt w:val="bullet"/>
      <w:lvlText w:val="•"/>
      <w:lvlJc w:val="left"/>
      <w:pPr>
        <w:tabs>
          <w:tab w:val="num" w:pos="720"/>
        </w:tabs>
        <w:ind w:left="720" w:hanging="360"/>
      </w:pPr>
      <w:rPr>
        <w:rFonts w:ascii="Arial" w:hAnsi="Arial" w:hint="default"/>
      </w:rPr>
    </w:lvl>
    <w:lvl w:ilvl="1" w:tplc="316EA936" w:tentative="1">
      <w:start w:val="1"/>
      <w:numFmt w:val="bullet"/>
      <w:lvlText w:val="•"/>
      <w:lvlJc w:val="left"/>
      <w:pPr>
        <w:tabs>
          <w:tab w:val="num" w:pos="1440"/>
        </w:tabs>
        <w:ind w:left="1440" w:hanging="360"/>
      </w:pPr>
      <w:rPr>
        <w:rFonts w:ascii="Arial" w:hAnsi="Arial" w:hint="default"/>
      </w:rPr>
    </w:lvl>
    <w:lvl w:ilvl="2" w:tplc="E87C9BF8" w:tentative="1">
      <w:start w:val="1"/>
      <w:numFmt w:val="bullet"/>
      <w:lvlText w:val="•"/>
      <w:lvlJc w:val="left"/>
      <w:pPr>
        <w:tabs>
          <w:tab w:val="num" w:pos="2160"/>
        </w:tabs>
        <w:ind w:left="2160" w:hanging="360"/>
      </w:pPr>
      <w:rPr>
        <w:rFonts w:ascii="Arial" w:hAnsi="Arial" w:hint="default"/>
      </w:rPr>
    </w:lvl>
    <w:lvl w:ilvl="3" w:tplc="21227716" w:tentative="1">
      <w:start w:val="1"/>
      <w:numFmt w:val="bullet"/>
      <w:lvlText w:val="•"/>
      <w:lvlJc w:val="left"/>
      <w:pPr>
        <w:tabs>
          <w:tab w:val="num" w:pos="2880"/>
        </w:tabs>
        <w:ind w:left="2880" w:hanging="360"/>
      </w:pPr>
      <w:rPr>
        <w:rFonts w:ascii="Arial" w:hAnsi="Arial" w:hint="default"/>
      </w:rPr>
    </w:lvl>
    <w:lvl w:ilvl="4" w:tplc="F3FCA5D8" w:tentative="1">
      <w:start w:val="1"/>
      <w:numFmt w:val="bullet"/>
      <w:lvlText w:val="•"/>
      <w:lvlJc w:val="left"/>
      <w:pPr>
        <w:tabs>
          <w:tab w:val="num" w:pos="3600"/>
        </w:tabs>
        <w:ind w:left="3600" w:hanging="360"/>
      </w:pPr>
      <w:rPr>
        <w:rFonts w:ascii="Arial" w:hAnsi="Arial" w:hint="default"/>
      </w:rPr>
    </w:lvl>
    <w:lvl w:ilvl="5" w:tplc="E4F29CA4" w:tentative="1">
      <w:start w:val="1"/>
      <w:numFmt w:val="bullet"/>
      <w:lvlText w:val="•"/>
      <w:lvlJc w:val="left"/>
      <w:pPr>
        <w:tabs>
          <w:tab w:val="num" w:pos="4320"/>
        </w:tabs>
        <w:ind w:left="4320" w:hanging="360"/>
      </w:pPr>
      <w:rPr>
        <w:rFonts w:ascii="Arial" w:hAnsi="Arial" w:hint="default"/>
      </w:rPr>
    </w:lvl>
    <w:lvl w:ilvl="6" w:tplc="E09070C6" w:tentative="1">
      <w:start w:val="1"/>
      <w:numFmt w:val="bullet"/>
      <w:lvlText w:val="•"/>
      <w:lvlJc w:val="left"/>
      <w:pPr>
        <w:tabs>
          <w:tab w:val="num" w:pos="5040"/>
        </w:tabs>
        <w:ind w:left="5040" w:hanging="360"/>
      </w:pPr>
      <w:rPr>
        <w:rFonts w:ascii="Arial" w:hAnsi="Arial" w:hint="default"/>
      </w:rPr>
    </w:lvl>
    <w:lvl w:ilvl="7" w:tplc="C6D0D4EE" w:tentative="1">
      <w:start w:val="1"/>
      <w:numFmt w:val="bullet"/>
      <w:lvlText w:val="•"/>
      <w:lvlJc w:val="left"/>
      <w:pPr>
        <w:tabs>
          <w:tab w:val="num" w:pos="5760"/>
        </w:tabs>
        <w:ind w:left="5760" w:hanging="360"/>
      </w:pPr>
      <w:rPr>
        <w:rFonts w:ascii="Arial" w:hAnsi="Arial" w:hint="default"/>
      </w:rPr>
    </w:lvl>
    <w:lvl w:ilvl="8" w:tplc="479207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FD0885"/>
    <w:multiLevelType w:val="hybridMultilevel"/>
    <w:tmpl w:val="00C85DCA"/>
    <w:lvl w:ilvl="0" w:tplc="A484DBC0">
      <w:start w:val="1"/>
      <w:numFmt w:val="bullet"/>
      <w:lvlText w:val="•"/>
      <w:lvlJc w:val="left"/>
      <w:pPr>
        <w:tabs>
          <w:tab w:val="num" w:pos="720"/>
        </w:tabs>
        <w:ind w:left="720" w:hanging="360"/>
      </w:pPr>
      <w:rPr>
        <w:rFonts w:ascii="Arial" w:hAnsi="Arial" w:hint="default"/>
      </w:rPr>
    </w:lvl>
    <w:lvl w:ilvl="1" w:tplc="0D688D7C" w:tentative="1">
      <w:start w:val="1"/>
      <w:numFmt w:val="bullet"/>
      <w:lvlText w:val="•"/>
      <w:lvlJc w:val="left"/>
      <w:pPr>
        <w:tabs>
          <w:tab w:val="num" w:pos="1440"/>
        </w:tabs>
        <w:ind w:left="1440" w:hanging="360"/>
      </w:pPr>
      <w:rPr>
        <w:rFonts w:ascii="Arial" w:hAnsi="Arial" w:hint="default"/>
      </w:rPr>
    </w:lvl>
    <w:lvl w:ilvl="2" w:tplc="38D234F6" w:tentative="1">
      <w:start w:val="1"/>
      <w:numFmt w:val="bullet"/>
      <w:lvlText w:val="•"/>
      <w:lvlJc w:val="left"/>
      <w:pPr>
        <w:tabs>
          <w:tab w:val="num" w:pos="2160"/>
        </w:tabs>
        <w:ind w:left="2160" w:hanging="360"/>
      </w:pPr>
      <w:rPr>
        <w:rFonts w:ascii="Arial" w:hAnsi="Arial" w:hint="default"/>
      </w:rPr>
    </w:lvl>
    <w:lvl w:ilvl="3" w:tplc="4678C07E" w:tentative="1">
      <w:start w:val="1"/>
      <w:numFmt w:val="bullet"/>
      <w:lvlText w:val="•"/>
      <w:lvlJc w:val="left"/>
      <w:pPr>
        <w:tabs>
          <w:tab w:val="num" w:pos="2880"/>
        </w:tabs>
        <w:ind w:left="2880" w:hanging="360"/>
      </w:pPr>
      <w:rPr>
        <w:rFonts w:ascii="Arial" w:hAnsi="Arial" w:hint="default"/>
      </w:rPr>
    </w:lvl>
    <w:lvl w:ilvl="4" w:tplc="49D498BE" w:tentative="1">
      <w:start w:val="1"/>
      <w:numFmt w:val="bullet"/>
      <w:lvlText w:val="•"/>
      <w:lvlJc w:val="left"/>
      <w:pPr>
        <w:tabs>
          <w:tab w:val="num" w:pos="3600"/>
        </w:tabs>
        <w:ind w:left="3600" w:hanging="360"/>
      </w:pPr>
      <w:rPr>
        <w:rFonts w:ascii="Arial" w:hAnsi="Arial" w:hint="default"/>
      </w:rPr>
    </w:lvl>
    <w:lvl w:ilvl="5" w:tplc="4C18A4AE" w:tentative="1">
      <w:start w:val="1"/>
      <w:numFmt w:val="bullet"/>
      <w:lvlText w:val="•"/>
      <w:lvlJc w:val="left"/>
      <w:pPr>
        <w:tabs>
          <w:tab w:val="num" w:pos="4320"/>
        </w:tabs>
        <w:ind w:left="4320" w:hanging="360"/>
      </w:pPr>
      <w:rPr>
        <w:rFonts w:ascii="Arial" w:hAnsi="Arial" w:hint="default"/>
      </w:rPr>
    </w:lvl>
    <w:lvl w:ilvl="6" w:tplc="241A6CD8" w:tentative="1">
      <w:start w:val="1"/>
      <w:numFmt w:val="bullet"/>
      <w:lvlText w:val="•"/>
      <w:lvlJc w:val="left"/>
      <w:pPr>
        <w:tabs>
          <w:tab w:val="num" w:pos="5040"/>
        </w:tabs>
        <w:ind w:left="5040" w:hanging="360"/>
      </w:pPr>
      <w:rPr>
        <w:rFonts w:ascii="Arial" w:hAnsi="Arial" w:hint="default"/>
      </w:rPr>
    </w:lvl>
    <w:lvl w:ilvl="7" w:tplc="26225832" w:tentative="1">
      <w:start w:val="1"/>
      <w:numFmt w:val="bullet"/>
      <w:lvlText w:val="•"/>
      <w:lvlJc w:val="left"/>
      <w:pPr>
        <w:tabs>
          <w:tab w:val="num" w:pos="5760"/>
        </w:tabs>
        <w:ind w:left="5760" w:hanging="360"/>
      </w:pPr>
      <w:rPr>
        <w:rFonts w:ascii="Arial" w:hAnsi="Arial" w:hint="default"/>
      </w:rPr>
    </w:lvl>
    <w:lvl w:ilvl="8" w:tplc="FC4A2F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983834"/>
    <w:multiLevelType w:val="hybridMultilevel"/>
    <w:tmpl w:val="29E8077A"/>
    <w:lvl w:ilvl="0" w:tplc="EB3E590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8829C1"/>
    <w:multiLevelType w:val="hybridMultilevel"/>
    <w:tmpl w:val="F1FE21D2"/>
    <w:lvl w:ilvl="0" w:tplc="FFFFFFFF">
      <w:numFmt w:val="bullet"/>
      <w:lvlText w:val="–"/>
      <w:lvlJc w:val="left"/>
      <w:pPr>
        <w:ind w:left="720" w:hanging="360"/>
      </w:pPr>
      <w:rPr>
        <w:rFonts w:ascii="Fira Sans regular" w:eastAsiaTheme="minorHAnsi" w:hAnsi="Fira Sans regular"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CC684A"/>
    <w:multiLevelType w:val="hybridMultilevel"/>
    <w:tmpl w:val="83ACC11A"/>
    <w:lvl w:ilvl="0" w:tplc="2DFEF6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AE1ABE"/>
    <w:multiLevelType w:val="hybridMultilevel"/>
    <w:tmpl w:val="52FE714A"/>
    <w:lvl w:ilvl="0" w:tplc="7EF88A9C">
      <w:start w:val="1"/>
      <w:numFmt w:val="bullet"/>
      <w:lvlText w:val="•"/>
      <w:lvlJc w:val="left"/>
      <w:pPr>
        <w:tabs>
          <w:tab w:val="num" w:pos="720"/>
        </w:tabs>
        <w:ind w:left="720" w:hanging="360"/>
      </w:pPr>
      <w:rPr>
        <w:rFonts w:ascii="Arial" w:hAnsi="Arial" w:hint="default"/>
      </w:rPr>
    </w:lvl>
    <w:lvl w:ilvl="1" w:tplc="E81C297E" w:tentative="1">
      <w:start w:val="1"/>
      <w:numFmt w:val="bullet"/>
      <w:lvlText w:val="•"/>
      <w:lvlJc w:val="left"/>
      <w:pPr>
        <w:tabs>
          <w:tab w:val="num" w:pos="1440"/>
        </w:tabs>
        <w:ind w:left="1440" w:hanging="360"/>
      </w:pPr>
      <w:rPr>
        <w:rFonts w:ascii="Arial" w:hAnsi="Arial" w:hint="default"/>
      </w:rPr>
    </w:lvl>
    <w:lvl w:ilvl="2" w:tplc="462A0FAA" w:tentative="1">
      <w:start w:val="1"/>
      <w:numFmt w:val="bullet"/>
      <w:lvlText w:val="•"/>
      <w:lvlJc w:val="left"/>
      <w:pPr>
        <w:tabs>
          <w:tab w:val="num" w:pos="2160"/>
        </w:tabs>
        <w:ind w:left="2160" w:hanging="360"/>
      </w:pPr>
      <w:rPr>
        <w:rFonts w:ascii="Arial" w:hAnsi="Arial" w:hint="default"/>
      </w:rPr>
    </w:lvl>
    <w:lvl w:ilvl="3" w:tplc="6212E84C" w:tentative="1">
      <w:start w:val="1"/>
      <w:numFmt w:val="bullet"/>
      <w:lvlText w:val="•"/>
      <w:lvlJc w:val="left"/>
      <w:pPr>
        <w:tabs>
          <w:tab w:val="num" w:pos="2880"/>
        </w:tabs>
        <w:ind w:left="2880" w:hanging="360"/>
      </w:pPr>
      <w:rPr>
        <w:rFonts w:ascii="Arial" w:hAnsi="Arial" w:hint="default"/>
      </w:rPr>
    </w:lvl>
    <w:lvl w:ilvl="4" w:tplc="5874E9A8" w:tentative="1">
      <w:start w:val="1"/>
      <w:numFmt w:val="bullet"/>
      <w:lvlText w:val="•"/>
      <w:lvlJc w:val="left"/>
      <w:pPr>
        <w:tabs>
          <w:tab w:val="num" w:pos="3600"/>
        </w:tabs>
        <w:ind w:left="3600" w:hanging="360"/>
      </w:pPr>
      <w:rPr>
        <w:rFonts w:ascii="Arial" w:hAnsi="Arial" w:hint="default"/>
      </w:rPr>
    </w:lvl>
    <w:lvl w:ilvl="5" w:tplc="641ABE5E" w:tentative="1">
      <w:start w:val="1"/>
      <w:numFmt w:val="bullet"/>
      <w:lvlText w:val="•"/>
      <w:lvlJc w:val="left"/>
      <w:pPr>
        <w:tabs>
          <w:tab w:val="num" w:pos="4320"/>
        </w:tabs>
        <w:ind w:left="4320" w:hanging="360"/>
      </w:pPr>
      <w:rPr>
        <w:rFonts w:ascii="Arial" w:hAnsi="Arial" w:hint="default"/>
      </w:rPr>
    </w:lvl>
    <w:lvl w:ilvl="6" w:tplc="C908D768" w:tentative="1">
      <w:start w:val="1"/>
      <w:numFmt w:val="bullet"/>
      <w:lvlText w:val="•"/>
      <w:lvlJc w:val="left"/>
      <w:pPr>
        <w:tabs>
          <w:tab w:val="num" w:pos="5040"/>
        </w:tabs>
        <w:ind w:left="5040" w:hanging="360"/>
      </w:pPr>
      <w:rPr>
        <w:rFonts w:ascii="Arial" w:hAnsi="Arial" w:hint="default"/>
      </w:rPr>
    </w:lvl>
    <w:lvl w:ilvl="7" w:tplc="739467DA" w:tentative="1">
      <w:start w:val="1"/>
      <w:numFmt w:val="bullet"/>
      <w:lvlText w:val="•"/>
      <w:lvlJc w:val="left"/>
      <w:pPr>
        <w:tabs>
          <w:tab w:val="num" w:pos="5760"/>
        </w:tabs>
        <w:ind w:left="5760" w:hanging="360"/>
      </w:pPr>
      <w:rPr>
        <w:rFonts w:ascii="Arial" w:hAnsi="Arial" w:hint="default"/>
      </w:rPr>
    </w:lvl>
    <w:lvl w:ilvl="8" w:tplc="A5C4D1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4B1B0811"/>
    <w:multiLevelType w:val="hybridMultilevel"/>
    <w:tmpl w:val="56044304"/>
    <w:lvl w:ilvl="0" w:tplc="6F20974A">
      <w:start w:val="2020"/>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BB237DB"/>
    <w:multiLevelType w:val="hybridMultilevel"/>
    <w:tmpl w:val="213A1E22"/>
    <w:lvl w:ilvl="0" w:tplc="FFFFFFFF">
      <w:numFmt w:val="bullet"/>
      <w:lvlText w:val="–"/>
      <w:lvlJc w:val="left"/>
      <w:pPr>
        <w:ind w:left="720" w:hanging="360"/>
      </w:pPr>
      <w:rPr>
        <w:rFonts w:ascii="Fira Sans regular" w:eastAsiaTheme="minorHAnsi" w:hAnsi="Fira Sans regular"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7F4591"/>
    <w:multiLevelType w:val="hybridMultilevel"/>
    <w:tmpl w:val="E806E546"/>
    <w:lvl w:ilvl="0" w:tplc="9EFA7C32">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484989"/>
    <w:multiLevelType w:val="hybridMultilevel"/>
    <w:tmpl w:val="16669AEA"/>
    <w:lvl w:ilvl="0" w:tplc="FFFFFFFF">
      <w:numFmt w:val="bullet"/>
      <w:lvlText w:val="–"/>
      <w:lvlJc w:val="left"/>
      <w:pPr>
        <w:ind w:left="360" w:hanging="360"/>
      </w:pPr>
      <w:rPr>
        <w:rFonts w:ascii="Fira Sans regular" w:eastAsiaTheme="minorHAnsi" w:hAnsi="Fira Sans regular"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C746AC"/>
    <w:multiLevelType w:val="hybridMultilevel"/>
    <w:tmpl w:val="FE023CC0"/>
    <w:lvl w:ilvl="0" w:tplc="07EADA0C">
      <w:start w:val="1"/>
      <w:numFmt w:val="bullet"/>
      <w:lvlText w:val="•"/>
      <w:lvlJc w:val="left"/>
      <w:pPr>
        <w:tabs>
          <w:tab w:val="num" w:pos="720"/>
        </w:tabs>
        <w:ind w:left="720" w:hanging="360"/>
      </w:pPr>
      <w:rPr>
        <w:rFonts w:ascii="Arial" w:hAnsi="Arial" w:hint="default"/>
      </w:rPr>
    </w:lvl>
    <w:lvl w:ilvl="1" w:tplc="82EAB008" w:tentative="1">
      <w:start w:val="1"/>
      <w:numFmt w:val="bullet"/>
      <w:lvlText w:val="•"/>
      <w:lvlJc w:val="left"/>
      <w:pPr>
        <w:tabs>
          <w:tab w:val="num" w:pos="1440"/>
        </w:tabs>
        <w:ind w:left="1440" w:hanging="360"/>
      </w:pPr>
      <w:rPr>
        <w:rFonts w:ascii="Arial" w:hAnsi="Arial" w:hint="default"/>
      </w:rPr>
    </w:lvl>
    <w:lvl w:ilvl="2" w:tplc="D4B6F374" w:tentative="1">
      <w:start w:val="1"/>
      <w:numFmt w:val="bullet"/>
      <w:lvlText w:val="•"/>
      <w:lvlJc w:val="left"/>
      <w:pPr>
        <w:tabs>
          <w:tab w:val="num" w:pos="2160"/>
        </w:tabs>
        <w:ind w:left="2160" w:hanging="360"/>
      </w:pPr>
      <w:rPr>
        <w:rFonts w:ascii="Arial" w:hAnsi="Arial" w:hint="default"/>
      </w:rPr>
    </w:lvl>
    <w:lvl w:ilvl="3" w:tplc="3E0A790E" w:tentative="1">
      <w:start w:val="1"/>
      <w:numFmt w:val="bullet"/>
      <w:lvlText w:val="•"/>
      <w:lvlJc w:val="left"/>
      <w:pPr>
        <w:tabs>
          <w:tab w:val="num" w:pos="2880"/>
        </w:tabs>
        <w:ind w:left="2880" w:hanging="360"/>
      </w:pPr>
      <w:rPr>
        <w:rFonts w:ascii="Arial" w:hAnsi="Arial" w:hint="default"/>
      </w:rPr>
    </w:lvl>
    <w:lvl w:ilvl="4" w:tplc="AE243BFA" w:tentative="1">
      <w:start w:val="1"/>
      <w:numFmt w:val="bullet"/>
      <w:lvlText w:val="•"/>
      <w:lvlJc w:val="left"/>
      <w:pPr>
        <w:tabs>
          <w:tab w:val="num" w:pos="3600"/>
        </w:tabs>
        <w:ind w:left="3600" w:hanging="360"/>
      </w:pPr>
      <w:rPr>
        <w:rFonts w:ascii="Arial" w:hAnsi="Arial" w:hint="default"/>
      </w:rPr>
    </w:lvl>
    <w:lvl w:ilvl="5" w:tplc="399A3F6C" w:tentative="1">
      <w:start w:val="1"/>
      <w:numFmt w:val="bullet"/>
      <w:lvlText w:val="•"/>
      <w:lvlJc w:val="left"/>
      <w:pPr>
        <w:tabs>
          <w:tab w:val="num" w:pos="4320"/>
        </w:tabs>
        <w:ind w:left="4320" w:hanging="360"/>
      </w:pPr>
      <w:rPr>
        <w:rFonts w:ascii="Arial" w:hAnsi="Arial" w:hint="default"/>
      </w:rPr>
    </w:lvl>
    <w:lvl w:ilvl="6" w:tplc="93C8CC8C" w:tentative="1">
      <w:start w:val="1"/>
      <w:numFmt w:val="bullet"/>
      <w:lvlText w:val="•"/>
      <w:lvlJc w:val="left"/>
      <w:pPr>
        <w:tabs>
          <w:tab w:val="num" w:pos="5040"/>
        </w:tabs>
        <w:ind w:left="5040" w:hanging="360"/>
      </w:pPr>
      <w:rPr>
        <w:rFonts w:ascii="Arial" w:hAnsi="Arial" w:hint="default"/>
      </w:rPr>
    </w:lvl>
    <w:lvl w:ilvl="7" w:tplc="9EEE9C00" w:tentative="1">
      <w:start w:val="1"/>
      <w:numFmt w:val="bullet"/>
      <w:lvlText w:val="•"/>
      <w:lvlJc w:val="left"/>
      <w:pPr>
        <w:tabs>
          <w:tab w:val="num" w:pos="5760"/>
        </w:tabs>
        <w:ind w:left="5760" w:hanging="360"/>
      </w:pPr>
      <w:rPr>
        <w:rFonts w:ascii="Arial" w:hAnsi="Arial" w:hint="default"/>
      </w:rPr>
    </w:lvl>
    <w:lvl w:ilvl="8" w:tplc="28E8D1C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4A5030"/>
    <w:multiLevelType w:val="hybridMultilevel"/>
    <w:tmpl w:val="A4B428F8"/>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Header"/>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8" w15:restartNumberingAfterBreak="0">
    <w:nsid w:val="5BEF3970"/>
    <w:multiLevelType w:val="hybridMultilevel"/>
    <w:tmpl w:val="1290710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5BC2F35"/>
    <w:multiLevelType w:val="hybridMultilevel"/>
    <w:tmpl w:val="A18E51AA"/>
    <w:lvl w:ilvl="0" w:tplc="FFFFFFFF">
      <w:numFmt w:val="bullet"/>
      <w:lvlText w:val="–"/>
      <w:lvlJc w:val="left"/>
      <w:pPr>
        <w:ind w:left="720" w:hanging="360"/>
      </w:pPr>
      <w:rPr>
        <w:rFonts w:ascii="Fira Sans regular" w:eastAsiaTheme="minorHAnsi" w:hAnsi="Fira Sans regular"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752E60"/>
    <w:multiLevelType w:val="hybridMultilevel"/>
    <w:tmpl w:val="7B32B0CE"/>
    <w:lvl w:ilvl="0" w:tplc="6F20974A">
      <w:start w:val="202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956E8"/>
    <w:multiLevelType w:val="hybridMultilevel"/>
    <w:tmpl w:val="8B167168"/>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17C6B39"/>
    <w:multiLevelType w:val="hybridMultilevel"/>
    <w:tmpl w:val="57BE9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AE674E"/>
    <w:multiLevelType w:val="hybridMultilevel"/>
    <w:tmpl w:val="98161D06"/>
    <w:lvl w:ilvl="0" w:tplc="0C09000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785767DE"/>
    <w:multiLevelType w:val="hybridMultilevel"/>
    <w:tmpl w:val="8C983BC4"/>
    <w:lvl w:ilvl="0" w:tplc="63CE339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364300"/>
    <w:multiLevelType w:val="hybridMultilevel"/>
    <w:tmpl w:val="15E451C8"/>
    <w:lvl w:ilvl="0" w:tplc="72F48DDE">
      <w:start w:val="2020"/>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ED34497"/>
    <w:multiLevelType w:val="hybridMultilevel"/>
    <w:tmpl w:val="2F7AAF9E"/>
    <w:lvl w:ilvl="0" w:tplc="C016BDA4">
      <w:start w:val="1"/>
      <w:numFmt w:val="bullet"/>
      <w:lvlText w:val=""/>
      <w:lvlJc w:val="left"/>
      <w:pPr>
        <w:ind w:left="1440" w:hanging="360"/>
      </w:pPr>
      <w:rPr>
        <w:rFonts w:ascii="Symbol" w:hAnsi="Symbol"/>
      </w:rPr>
    </w:lvl>
    <w:lvl w:ilvl="1" w:tplc="E0A83FB6">
      <w:start w:val="1"/>
      <w:numFmt w:val="bullet"/>
      <w:lvlText w:val=""/>
      <w:lvlJc w:val="left"/>
      <w:pPr>
        <w:ind w:left="1440" w:hanging="360"/>
      </w:pPr>
      <w:rPr>
        <w:rFonts w:ascii="Symbol" w:hAnsi="Symbol"/>
      </w:rPr>
    </w:lvl>
    <w:lvl w:ilvl="2" w:tplc="839A3D00">
      <w:start w:val="1"/>
      <w:numFmt w:val="bullet"/>
      <w:lvlText w:val=""/>
      <w:lvlJc w:val="left"/>
      <w:pPr>
        <w:ind w:left="1440" w:hanging="360"/>
      </w:pPr>
      <w:rPr>
        <w:rFonts w:ascii="Symbol" w:hAnsi="Symbol"/>
      </w:rPr>
    </w:lvl>
    <w:lvl w:ilvl="3" w:tplc="8BE8DA6C">
      <w:start w:val="1"/>
      <w:numFmt w:val="bullet"/>
      <w:lvlText w:val=""/>
      <w:lvlJc w:val="left"/>
      <w:pPr>
        <w:ind w:left="1440" w:hanging="360"/>
      </w:pPr>
      <w:rPr>
        <w:rFonts w:ascii="Symbol" w:hAnsi="Symbol"/>
      </w:rPr>
    </w:lvl>
    <w:lvl w:ilvl="4" w:tplc="11D4598E">
      <w:start w:val="1"/>
      <w:numFmt w:val="bullet"/>
      <w:lvlText w:val=""/>
      <w:lvlJc w:val="left"/>
      <w:pPr>
        <w:ind w:left="1440" w:hanging="360"/>
      </w:pPr>
      <w:rPr>
        <w:rFonts w:ascii="Symbol" w:hAnsi="Symbol"/>
      </w:rPr>
    </w:lvl>
    <w:lvl w:ilvl="5" w:tplc="28A47E3E">
      <w:start w:val="1"/>
      <w:numFmt w:val="bullet"/>
      <w:lvlText w:val=""/>
      <w:lvlJc w:val="left"/>
      <w:pPr>
        <w:ind w:left="1440" w:hanging="360"/>
      </w:pPr>
      <w:rPr>
        <w:rFonts w:ascii="Symbol" w:hAnsi="Symbol"/>
      </w:rPr>
    </w:lvl>
    <w:lvl w:ilvl="6" w:tplc="86ACEB62">
      <w:start w:val="1"/>
      <w:numFmt w:val="bullet"/>
      <w:lvlText w:val=""/>
      <w:lvlJc w:val="left"/>
      <w:pPr>
        <w:ind w:left="1440" w:hanging="360"/>
      </w:pPr>
      <w:rPr>
        <w:rFonts w:ascii="Symbol" w:hAnsi="Symbol"/>
      </w:rPr>
    </w:lvl>
    <w:lvl w:ilvl="7" w:tplc="D05C07AA">
      <w:start w:val="1"/>
      <w:numFmt w:val="bullet"/>
      <w:lvlText w:val=""/>
      <w:lvlJc w:val="left"/>
      <w:pPr>
        <w:ind w:left="1440" w:hanging="360"/>
      </w:pPr>
      <w:rPr>
        <w:rFonts w:ascii="Symbol" w:hAnsi="Symbol"/>
      </w:rPr>
    </w:lvl>
    <w:lvl w:ilvl="8" w:tplc="45DED92A">
      <w:start w:val="1"/>
      <w:numFmt w:val="bullet"/>
      <w:lvlText w:val=""/>
      <w:lvlJc w:val="left"/>
      <w:pPr>
        <w:ind w:left="1440" w:hanging="360"/>
      </w:pPr>
      <w:rPr>
        <w:rFonts w:ascii="Symbol" w:hAnsi="Symbol"/>
      </w:rPr>
    </w:lvl>
  </w:abstractNum>
  <w:num w:numId="1" w16cid:durableId="1930232719">
    <w:abstractNumId w:val="21"/>
  </w:num>
  <w:num w:numId="2" w16cid:durableId="2059232785">
    <w:abstractNumId w:val="27"/>
  </w:num>
  <w:num w:numId="3" w16cid:durableId="147526640">
    <w:abstractNumId w:val="0"/>
  </w:num>
  <w:num w:numId="4" w16cid:durableId="2094811010">
    <w:abstractNumId w:val="27"/>
  </w:num>
  <w:num w:numId="5" w16cid:durableId="558706306">
    <w:abstractNumId w:val="0"/>
  </w:num>
  <w:num w:numId="6" w16cid:durableId="1733650641">
    <w:abstractNumId w:val="27"/>
  </w:num>
  <w:num w:numId="7" w16cid:durableId="1407386415">
    <w:abstractNumId w:val="0"/>
  </w:num>
  <w:num w:numId="8" w16cid:durableId="59791492">
    <w:abstractNumId w:val="9"/>
  </w:num>
  <w:num w:numId="9" w16cid:durableId="14311764">
    <w:abstractNumId w:val="23"/>
  </w:num>
  <w:num w:numId="10" w16cid:durableId="1652638781">
    <w:abstractNumId w:val="11"/>
  </w:num>
  <w:num w:numId="11" w16cid:durableId="337392454">
    <w:abstractNumId w:val="14"/>
  </w:num>
  <w:num w:numId="12" w16cid:durableId="479200469">
    <w:abstractNumId w:val="5"/>
  </w:num>
  <w:num w:numId="13" w16cid:durableId="999381570">
    <w:abstractNumId w:val="29"/>
  </w:num>
  <w:num w:numId="14" w16cid:durableId="1790586584">
    <w:abstractNumId w:val="28"/>
  </w:num>
  <w:num w:numId="15" w16cid:durableId="1382288774">
    <w:abstractNumId w:val="1"/>
  </w:num>
  <w:num w:numId="16" w16cid:durableId="1865166957">
    <w:abstractNumId w:val="4"/>
  </w:num>
  <w:num w:numId="17" w16cid:durableId="1918124077">
    <w:abstractNumId w:val="25"/>
  </w:num>
  <w:num w:numId="18" w16cid:durableId="1599562613">
    <w:abstractNumId w:val="32"/>
  </w:num>
  <w:num w:numId="19" w16cid:durableId="1358190985">
    <w:abstractNumId w:val="34"/>
  </w:num>
  <w:num w:numId="20" w16cid:durableId="1888099856">
    <w:abstractNumId w:val="26"/>
  </w:num>
  <w:num w:numId="21" w16cid:durableId="624308001">
    <w:abstractNumId w:val="6"/>
  </w:num>
  <w:num w:numId="22" w16cid:durableId="257182724">
    <w:abstractNumId w:val="3"/>
  </w:num>
  <w:num w:numId="23" w16cid:durableId="1949658364">
    <w:abstractNumId w:val="24"/>
  </w:num>
  <w:num w:numId="24" w16cid:durableId="1579364368">
    <w:abstractNumId w:val="7"/>
  </w:num>
  <w:num w:numId="25" w16cid:durableId="1587609845">
    <w:abstractNumId w:val="17"/>
  </w:num>
  <w:num w:numId="26" w16cid:durableId="1737973933">
    <w:abstractNumId w:val="10"/>
  </w:num>
  <w:num w:numId="27" w16cid:durableId="488912903">
    <w:abstractNumId w:val="20"/>
  </w:num>
  <w:num w:numId="28" w16cid:durableId="2129395809">
    <w:abstractNumId w:val="16"/>
  </w:num>
  <w:num w:numId="29" w16cid:durableId="1432897803">
    <w:abstractNumId w:val="15"/>
  </w:num>
  <w:num w:numId="30" w16cid:durableId="859858223">
    <w:abstractNumId w:val="30"/>
  </w:num>
  <w:num w:numId="31" w16cid:durableId="941496259">
    <w:abstractNumId w:val="18"/>
  </w:num>
  <w:num w:numId="32" w16cid:durableId="1628319476">
    <w:abstractNumId w:val="12"/>
  </w:num>
  <w:num w:numId="33" w16cid:durableId="1105423812">
    <w:abstractNumId w:val="35"/>
  </w:num>
  <w:num w:numId="34" w16cid:durableId="1223980153">
    <w:abstractNumId w:val="19"/>
  </w:num>
  <w:num w:numId="35" w16cid:durableId="1611080971">
    <w:abstractNumId w:val="33"/>
  </w:num>
  <w:num w:numId="36" w16cid:durableId="73401590">
    <w:abstractNumId w:val="22"/>
  </w:num>
  <w:num w:numId="37" w16cid:durableId="997923766">
    <w:abstractNumId w:val="31"/>
  </w:num>
  <w:num w:numId="38" w16cid:durableId="1682119622">
    <w:abstractNumId w:val="13"/>
  </w:num>
  <w:num w:numId="39" w16cid:durableId="1077509254">
    <w:abstractNumId w:val="2"/>
  </w:num>
  <w:num w:numId="40" w16cid:durableId="156264568">
    <w:abstractNumId w:val="8"/>
  </w:num>
  <w:num w:numId="41" w16cid:durableId="17340449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38"/>
    <w:rsid w:val="000005FE"/>
    <w:rsid w:val="00000628"/>
    <w:rsid w:val="00000C47"/>
    <w:rsid w:val="0000176D"/>
    <w:rsid w:val="00002016"/>
    <w:rsid w:val="000025F2"/>
    <w:rsid w:val="00002F99"/>
    <w:rsid w:val="00003546"/>
    <w:rsid w:val="00003882"/>
    <w:rsid w:val="0000415E"/>
    <w:rsid w:val="0000428A"/>
    <w:rsid w:val="0000444A"/>
    <w:rsid w:val="000047B1"/>
    <w:rsid w:val="00005802"/>
    <w:rsid w:val="00005E8E"/>
    <w:rsid w:val="00006161"/>
    <w:rsid w:val="000063FC"/>
    <w:rsid w:val="00006557"/>
    <w:rsid w:val="00006AE7"/>
    <w:rsid w:val="00007488"/>
    <w:rsid w:val="00007621"/>
    <w:rsid w:val="00007CD8"/>
    <w:rsid w:val="00007FF4"/>
    <w:rsid w:val="00010011"/>
    <w:rsid w:val="0001049B"/>
    <w:rsid w:val="00010BE1"/>
    <w:rsid w:val="00010DBE"/>
    <w:rsid w:val="00010F9A"/>
    <w:rsid w:val="00011103"/>
    <w:rsid w:val="00011CEF"/>
    <w:rsid w:val="00012C3A"/>
    <w:rsid w:val="00013133"/>
    <w:rsid w:val="00013B91"/>
    <w:rsid w:val="00013C37"/>
    <w:rsid w:val="00013F15"/>
    <w:rsid w:val="00013FC1"/>
    <w:rsid w:val="000141D7"/>
    <w:rsid w:val="00015400"/>
    <w:rsid w:val="00016291"/>
    <w:rsid w:val="00016346"/>
    <w:rsid w:val="00016799"/>
    <w:rsid w:val="00016E90"/>
    <w:rsid w:val="00017700"/>
    <w:rsid w:val="0001783C"/>
    <w:rsid w:val="00020C8A"/>
    <w:rsid w:val="00020CD9"/>
    <w:rsid w:val="000210B7"/>
    <w:rsid w:val="00021F27"/>
    <w:rsid w:val="00022961"/>
    <w:rsid w:val="00023E8A"/>
    <w:rsid w:val="0002460E"/>
    <w:rsid w:val="000246BF"/>
    <w:rsid w:val="000257CC"/>
    <w:rsid w:val="00025A2A"/>
    <w:rsid w:val="000262AA"/>
    <w:rsid w:val="00026A8C"/>
    <w:rsid w:val="00026F45"/>
    <w:rsid w:val="00027427"/>
    <w:rsid w:val="000303D0"/>
    <w:rsid w:val="00030B11"/>
    <w:rsid w:val="00030D82"/>
    <w:rsid w:val="00031431"/>
    <w:rsid w:val="00032115"/>
    <w:rsid w:val="00032D62"/>
    <w:rsid w:val="00033467"/>
    <w:rsid w:val="00033497"/>
    <w:rsid w:val="000334B2"/>
    <w:rsid w:val="000334BC"/>
    <w:rsid w:val="0003374A"/>
    <w:rsid w:val="000346B4"/>
    <w:rsid w:val="0003476F"/>
    <w:rsid w:val="00034C84"/>
    <w:rsid w:val="00034DAF"/>
    <w:rsid w:val="00034E54"/>
    <w:rsid w:val="000355FF"/>
    <w:rsid w:val="0003561E"/>
    <w:rsid w:val="000357A1"/>
    <w:rsid w:val="00035ECD"/>
    <w:rsid w:val="00036741"/>
    <w:rsid w:val="00037328"/>
    <w:rsid w:val="0003758F"/>
    <w:rsid w:val="00037FB9"/>
    <w:rsid w:val="00040667"/>
    <w:rsid w:val="00040865"/>
    <w:rsid w:val="00042BB2"/>
    <w:rsid w:val="000431E0"/>
    <w:rsid w:val="0004334D"/>
    <w:rsid w:val="000433A6"/>
    <w:rsid w:val="000433B4"/>
    <w:rsid w:val="0004362B"/>
    <w:rsid w:val="000436C9"/>
    <w:rsid w:val="00044692"/>
    <w:rsid w:val="00044B73"/>
    <w:rsid w:val="00044BAC"/>
    <w:rsid w:val="0004526A"/>
    <w:rsid w:val="0004598C"/>
    <w:rsid w:val="000459C8"/>
    <w:rsid w:val="00045E37"/>
    <w:rsid w:val="00046957"/>
    <w:rsid w:val="00046C70"/>
    <w:rsid w:val="000472EF"/>
    <w:rsid w:val="000474A1"/>
    <w:rsid w:val="0004763B"/>
    <w:rsid w:val="00047A6A"/>
    <w:rsid w:val="0005025D"/>
    <w:rsid w:val="000502C4"/>
    <w:rsid w:val="00050609"/>
    <w:rsid w:val="00050A84"/>
    <w:rsid w:val="00050F9B"/>
    <w:rsid w:val="00051C61"/>
    <w:rsid w:val="000545F1"/>
    <w:rsid w:val="0005475D"/>
    <w:rsid w:val="00055772"/>
    <w:rsid w:val="000558CA"/>
    <w:rsid w:val="00055B27"/>
    <w:rsid w:val="0005623B"/>
    <w:rsid w:val="00056A8B"/>
    <w:rsid w:val="00056EE5"/>
    <w:rsid w:val="00057269"/>
    <w:rsid w:val="00060C80"/>
    <w:rsid w:val="00060CB9"/>
    <w:rsid w:val="00060E45"/>
    <w:rsid w:val="000612C2"/>
    <w:rsid w:val="0006247E"/>
    <w:rsid w:val="00062670"/>
    <w:rsid w:val="00062E0C"/>
    <w:rsid w:val="00064277"/>
    <w:rsid w:val="000643D3"/>
    <w:rsid w:val="00064ABE"/>
    <w:rsid w:val="000656F4"/>
    <w:rsid w:val="000658C5"/>
    <w:rsid w:val="00065D4B"/>
    <w:rsid w:val="00066198"/>
    <w:rsid w:val="00066397"/>
    <w:rsid w:val="00066DAE"/>
    <w:rsid w:val="000671E4"/>
    <w:rsid w:val="000677C6"/>
    <w:rsid w:val="0007025A"/>
    <w:rsid w:val="00070481"/>
    <w:rsid w:val="00070896"/>
    <w:rsid w:val="00070F64"/>
    <w:rsid w:val="0007188A"/>
    <w:rsid w:val="000718FF"/>
    <w:rsid w:val="00072526"/>
    <w:rsid w:val="0007295E"/>
    <w:rsid w:val="00072E8F"/>
    <w:rsid w:val="00073EB3"/>
    <w:rsid w:val="000743D6"/>
    <w:rsid w:val="00074BA3"/>
    <w:rsid w:val="00076FCF"/>
    <w:rsid w:val="00077119"/>
    <w:rsid w:val="00077CF5"/>
    <w:rsid w:val="00077E22"/>
    <w:rsid w:val="0007CE67"/>
    <w:rsid w:val="000809EF"/>
    <w:rsid w:val="00080C43"/>
    <w:rsid w:val="000816EB"/>
    <w:rsid w:val="00081A41"/>
    <w:rsid w:val="00082E2A"/>
    <w:rsid w:val="000838DA"/>
    <w:rsid w:val="00084A35"/>
    <w:rsid w:val="00084C8B"/>
    <w:rsid w:val="00085C9A"/>
    <w:rsid w:val="00086484"/>
    <w:rsid w:val="0008779B"/>
    <w:rsid w:val="00087B82"/>
    <w:rsid w:val="00090825"/>
    <w:rsid w:val="0009092E"/>
    <w:rsid w:val="00090DB6"/>
    <w:rsid w:val="000910C8"/>
    <w:rsid w:val="00092108"/>
    <w:rsid w:val="00092299"/>
    <w:rsid w:val="00092690"/>
    <w:rsid w:val="00092718"/>
    <w:rsid w:val="00092808"/>
    <w:rsid w:val="00092830"/>
    <w:rsid w:val="00092F7E"/>
    <w:rsid w:val="00092FFA"/>
    <w:rsid w:val="00093300"/>
    <w:rsid w:val="00093362"/>
    <w:rsid w:val="00093445"/>
    <w:rsid w:val="000940FF"/>
    <w:rsid w:val="00094898"/>
    <w:rsid w:val="0009497D"/>
    <w:rsid w:val="000955A9"/>
    <w:rsid w:val="000956C9"/>
    <w:rsid w:val="00095F47"/>
    <w:rsid w:val="000969F3"/>
    <w:rsid w:val="00096AE1"/>
    <w:rsid w:val="0009710D"/>
    <w:rsid w:val="000A079B"/>
    <w:rsid w:val="000A1964"/>
    <w:rsid w:val="000A214C"/>
    <w:rsid w:val="000A2E10"/>
    <w:rsid w:val="000A3A21"/>
    <w:rsid w:val="000A3BAE"/>
    <w:rsid w:val="000A40AA"/>
    <w:rsid w:val="000A40F7"/>
    <w:rsid w:val="000A59CB"/>
    <w:rsid w:val="000A5C96"/>
    <w:rsid w:val="000A6319"/>
    <w:rsid w:val="000A63CC"/>
    <w:rsid w:val="000A6687"/>
    <w:rsid w:val="000A7D68"/>
    <w:rsid w:val="000B0499"/>
    <w:rsid w:val="000B0F9F"/>
    <w:rsid w:val="000B137D"/>
    <w:rsid w:val="000B1E90"/>
    <w:rsid w:val="000B31EA"/>
    <w:rsid w:val="000B34D1"/>
    <w:rsid w:val="000B382B"/>
    <w:rsid w:val="000B3A88"/>
    <w:rsid w:val="000B3C9B"/>
    <w:rsid w:val="000B412F"/>
    <w:rsid w:val="000B4DD6"/>
    <w:rsid w:val="000B53E7"/>
    <w:rsid w:val="000B5951"/>
    <w:rsid w:val="000B5FB9"/>
    <w:rsid w:val="000B6151"/>
    <w:rsid w:val="000B7088"/>
    <w:rsid w:val="000C01BF"/>
    <w:rsid w:val="000C0450"/>
    <w:rsid w:val="000C10A9"/>
    <w:rsid w:val="000C12FF"/>
    <w:rsid w:val="000C1990"/>
    <w:rsid w:val="000C2951"/>
    <w:rsid w:val="000C2A55"/>
    <w:rsid w:val="000C34F1"/>
    <w:rsid w:val="000C38C2"/>
    <w:rsid w:val="000C39D8"/>
    <w:rsid w:val="000C3EEB"/>
    <w:rsid w:val="000C498B"/>
    <w:rsid w:val="000C4FAF"/>
    <w:rsid w:val="000C5F63"/>
    <w:rsid w:val="000C6083"/>
    <w:rsid w:val="000C6C31"/>
    <w:rsid w:val="000C703F"/>
    <w:rsid w:val="000C7E4F"/>
    <w:rsid w:val="000C7FA4"/>
    <w:rsid w:val="000D09D5"/>
    <w:rsid w:val="000D0A62"/>
    <w:rsid w:val="000D0E21"/>
    <w:rsid w:val="000D14D6"/>
    <w:rsid w:val="000D1B0F"/>
    <w:rsid w:val="000D1BFF"/>
    <w:rsid w:val="000D2127"/>
    <w:rsid w:val="000D2367"/>
    <w:rsid w:val="000D242D"/>
    <w:rsid w:val="000D3463"/>
    <w:rsid w:val="000D383A"/>
    <w:rsid w:val="000D3B1E"/>
    <w:rsid w:val="000D3BD9"/>
    <w:rsid w:val="000D3EC3"/>
    <w:rsid w:val="000D3FE1"/>
    <w:rsid w:val="000D43DA"/>
    <w:rsid w:val="000D4C16"/>
    <w:rsid w:val="000D4E7D"/>
    <w:rsid w:val="000D4ED5"/>
    <w:rsid w:val="000D6AEC"/>
    <w:rsid w:val="000D7079"/>
    <w:rsid w:val="000D70C1"/>
    <w:rsid w:val="000D73A0"/>
    <w:rsid w:val="000D763E"/>
    <w:rsid w:val="000D7683"/>
    <w:rsid w:val="000E129F"/>
    <w:rsid w:val="000E1396"/>
    <w:rsid w:val="000E148F"/>
    <w:rsid w:val="000E248B"/>
    <w:rsid w:val="000E292D"/>
    <w:rsid w:val="000E2B0E"/>
    <w:rsid w:val="000E2D1A"/>
    <w:rsid w:val="000E3172"/>
    <w:rsid w:val="000E35D8"/>
    <w:rsid w:val="000E3675"/>
    <w:rsid w:val="000E3A0D"/>
    <w:rsid w:val="000E41A7"/>
    <w:rsid w:val="000E481C"/>
    <w:rsid w:val="000E559E"/>
    <w:rsid w:val="000E6087"/>
    <w:rsid w:val="000E63E9"/>
    <w:rsid w:val="000E659F"/>
    <w:rsid w:val="000E667B"/>
    <w:rsid w:val="000E6780"/>
    <w:rsid w:val="000E697A"/>
    <w:rsid w:val="000E6EAE"/>
    <w:rsid w:val="000E71F1"/>
    <w:rsid w:val="000F0CBD"/>
    <w:rsid w:val="000F1388"/>
    <w:rsid w:val="000F18DE"/>
    <w:rsid w:val="000F1D1E"/>
    <w:rsid w:val="000F2C40"/>
    <w:rsid w:val="000F3DE8"/>
    <w:rsid w:val="000F401D"/>
    <w:rsid w:val="000F462B"/>
    <w:rsid w:val="000F4889"/>
    <w:rsid w:val="000F5771"/>
    <w:rsid w:val="000F683B"/>
    <w:rsid w:val="000F7C4C"/>
    <w:rsid w:val="00100239"/>
    <w:rsid w:val="001006DC"/>
    <w:rsid w:val="00100CAE"/>
    <w:rsid w:val="001014C4"/>
    <w:rsid w:val="0010159F"/>
    <w:rsid w:val="001024C5"/>
    <w:rsid w:val="0010284A"/>
    <w:rsid w:val="001029AE"/>
    <w:rsid w:val="00102F5E"/>
    <w:rsid w:val="001035A0"/>
    <w:rsid w:val="00103B4F"/>
    <w:rsid w:val="001047C8"/>
    <w:rsid w:val="0010487E"/>
    <w:rsid w:val="00104AF0"/>
    <w:rsid w:val="00104C61"/>
    <w:rsid w:val="00105574"/>
    <w:rsid w:val="001059B9"/>
    <w:rsid w:val="00105BAB"/>
    <w:rsid w:val="00106072"/>
    <w:rsid w:val="0010623F"/>
    <w:rsid w:val="00106583"/>
    <w:rsid w:val="001067E3"/>
    <w:rsid w:val="00107204"/>
    <w:rsid w:val="0010795C"/>
    <w:rsid w:val="00107D0E"/>
    <w:rsid w:val="00107DEC"/>
    <w:rsid w:val="001101A7"/>
    <w:rsid w:val="00111033"/>
    <w:rsid w:val="001114CE"/>
    <w:rsid w:val="001118E1"/>
    <w:rsid w:val="00111FA9"/>
    <w:rsid w:val="0011253C"/>
    <w:rsid w:val="00112865"/>
    <w:rsid w:val="00112D9F"/>
    <w:rsid w:val="0011333E"/>
    <w:rsid w:val="0011338A"/>
    <w:rsid w:val="001136E1"/>
    <w:rsid w:val="00113D27"/>
    <w:rsid w:val="001147F5"/>
    <w:rsid w:val="001148A8"/>
    <w:rsid w:val="0011499A"/>
    <w:rsid w:val="00115599"/>
    <w:rsid w:val="00115614"/>
    <w:rsid w:val="001157D5"/>
    <w:rsid w:val="00115B71"/>
    <w:rsid w:val="0011632F"/>
    <w:rsid w:val="00116CD2"/>
    <w:rsid w:val="00116F97"/>
    <w:rsid w:val="00117455"/>
    <w:rsid w:val="001177F5"/>
    <w:rsid w:val="00117E70"/>
    <w:rsid w:val="00120199"/>
    <w:rsid w:val="00120739"/>
    <w:rsid w:val="00120880"/>
    <w:rsid w:val="001213C3"/>
    <w:rsid w:val="0012168E"/>
    <w:rsid w:val="001216E2"/>
    <w:rsid w:val="0012204D"/>
    <w:rsid w:val="001230BB"/>
    <w:rsid w:val="00123641"/>
    <w:rsid w:val="001236E5"/>
    <w:rsid w:val="00123CEC"/>
    <w:rsid w:val="00123D3A"/>
    <w:rsid w:val="001248A9"/>
    <w:rsid w:val="00125094"/>
    <w:rsid w:val="001255A2"/>
    <w:rsid w:val="00125FAB"/>
    <w:rsid w:val="00125FFF"/>
    <w:rsid w:val="00126BC8"/>
    <w:rsid w:val="00126D25"/>
    <w:rsid w:val="00126F59"/>
    <w:rsid w:val="00130777"/>
    <w:rsid w:val="00131A41"/>
    <w:rsid w:val="00131E1E"/>
    <w:rsid w:val="001326C2"/>
    <w:rsid w:val="00132F5C"/>
    <w:rsid w:val="00133439"/>
    <w:rsid w:val="00133598"/>
    <w:rsid w:val="00134528"/>
    <w:rsid w:val="00134A8C"/>
    <w:rsid w:val="00134B1F"/>
    <w:rsid w:val="00135A9F"/>
    <w:rsid w:val="00136A3A"/>
    <w:rsid w:val="001377C9"/>
    <w:rsid w:val="00140B8C"/>
    <w:rsid w:val="00140F94"/>
    <w:rsid w:val="00141835"/>
    <w:rsid w:val="00141D50"/>
    <w:rsid w:val="001421B1"/>
    <w:rsid w:val="00142451"/>
    <w:rsid w:val="00142711"/>
    <w:rsid w:val="0014284F"/>
    <w:rsid w:val="001439D2"/>
    <w:rsid w:val="00143B6B"/>
    <w:rsid w:val="00143DE4"/>
    <w:rsid w:val="00143E1E"/>
    <w:rsid w:val="00144323"/>
    <w:rsid w:val="0014619E"/>
    <w:rsid w:val="001466BF"/>
    <w:rsid w:val="001469CC"/>
    <w:rsid w:val="00147179"/>
    <w:rsid w:val="00147964"/>
    <w:rsid w:val="00147AC2"/>
    <w:rsid w:val="001508A0"/>
    <w:rsid w:val="00150FC2"/>
    <w:rsid w:val="00151235"/>
    <w:rsid w:val="00151262"/>
    <w:rsid w:val="00151825"/>
    <w:rsid w:val="001519EA"/>
    <w:rsid w:val="00151A26"/>
    <w:rsid w:val="00151FB4"/>
    <w:rsid w:val="001520CE"/>
    <w:rsid w:val="00152148"/>
    <w:rsid w:val="00153141"/>
    <w:rsid w:val="001531A6"/>
    <w:rsid w:val="001535E2"/>
    <w:rsid w:val="001539F6"/>
    <w:rsid w:val="00153ED7"/>
    <w:rsid w:val="00153FC9"/>
    <w:rsid w:val="00155139"/>
    <w:rsid w:val="001578F0"/>
    <w:rsid w:val="00160311"/>
    <w:rsid w:val="00160BDA"/>
    <w:rsid w:val="00160C03"/>
    <w:rsid w:val="00160C3D"/>
    <w:rsid w:val="00160CE1"/>
    <w:rsid w:val="00161352"/>
    <w:rsid w:val="00161EDD"/>
    <w:rsid w:val="0016203C"/>
    <w:rsid w:val="00162E39"/>
    <w:rsid w:val="001650A8"/>
    <w:rsid w:val="0016545D"/>
    <w:rsid w:val="00165D3D"/>
    <w:rsid w:val="00166E04"/>
    <w:rsid w:val="001678BC"/>
    <w:rsid w:val="00170105"/>
    <w:rsid w:val="001706F8"/>
    <w:rsid w:val="00170864"/>
    <w:rsid w:val="0017097D"/>
    <w:rsid w:val="00171066"/>
    <w:rsid w:val="00171437"/>
    <w:rsid w:val="0017376D"/>
    <w:rsid w:val="0017416F"/>
    <w:rsid w:val="0017463B"/>
    <w:rsid w:val="001747F3"/>
    <w:rsid w:val="00174918"/>
    <w:rsid w:val="00174CBF"/>
    <w:rsid w:val="00174D8D"/>
    <w:rsid w:val="00174ED2"/>
    <w:rsid w:val="0017537F"/>
    <w:rsid w:val="0017557F"/>
    <w:rsid w:val="0017582D"/>
    <w:rsid w:val="0017599C"/>
    <w:rsid w:val="00176F41"/>
    <w:rsid w:val="00176F5F"/>
    <w:rsid w:val="00177F82"/>
    <w:rsid w:val="00180A15"/>
    <w:rsid w:val="0018106C"/>
    <w:rsid w:val="00181596"/>
    <w:rsid w:val="00181CD9"/>
    <w:rsid w:val="001825F3"/>
    <w:rsid w:val="001829AA"/>
    <w:rsid w:val="00182DFA"/>
    <w:rsid w:val="00182FBD"/>
    <w:rsid w:val="00182FD4"/>
    <w:rsid w:val="0018307E"/>
    <w:rsid w:val="00183B32"/>
    <w:rsid w:val="00183FF9"/>
    <w:rsid w:val="00184066"/>
    <w:rsid w:val="00184974"/>
    <w:rsid w:val="00184B28"/>
    <w:rsid w:val="00185C3D"/>
    <w:rsid w:val="001862CC"/>
    <w:rsid w:val="00186D2F"/>
    <w:rsid w:val="00187273"/>
    <w:rsid w:val="00187704"/>
    <w:rsid w:val="00187758"/>
    <w:rsid w:val="001900A2"/>
    <w:rsid w:val="00190282"/>
    <w:rsid w:val="0019045F"/>
    <w:rsid w:val="00190567"/>
    <w:rsid w:val="00190655"/>
    <w:rsid w:val="00191B3D"/>
    <w:rsid w:val="00191FD0"/>
    <w:rsid w:val="00192C9A"/>
    <w:rsid w:val="00193BCC"/>
    <w:rsid w:val="00193E41"/>
    <w:rsid w:val="001950A0"/>
    <w:rsid w:val="0019579D"/>
    <w:rsid w:val="001957F6"/>
    <w:rsid w:val="001959B2"/>
    <w:rsid w:val="00195CA3"/>
    <w:rsid w:val="00195F5D"/>
    <w:rsid w:val="00196523"/>
    <w:rsid w:val="00196854"/>
    <w:rsid w:val="00196EE5"/>
    <w:rsid w:val="00196F75"/>
    <w:rsid w:val="001A06CA"/>
    <w:rsid w:val="001A075C"/>
    <w:rsid w:val="001A0B8C"/>
    <w:rsid w:val="001A10A0"/>
    <w:rsid w:val="001A233E"/>
    <w:rsid w:val="001A2682"/>
    <w:rsid w:val="001A2714"/>
    <w:rsid w:val="001A36B6"/>
    <w:rsid w:val="001A377A"/>
    <w:rsid w:val="001A3958"/>
    <w:rsid w:val="001A3B2F"/>
    <w:rsid w:val="001A3DC6"/>
    <w:rsid w:val="001A3ED8"/>
    <w:rsid w:val="001A3EF6"/>
    <w:rsid w:val="001A461A"/>
    <w:rsid w:val="001A4C46"/>
    <w:rsid w:val="001A4CBC"/>
    <w:rsid w:val="001A4D1E"/>
    <w:rsid w:val="001A4E73"/>
    <w:rsid w:val="001A4EB8"/>
    <w:rsid w:val="001A6137"/>
    <w:rsid w:val="001A775B"/>
    <w:rsid w:val="001A77FC"/>
    <w:rsid w:val="001A792D"/>
    <w:rsid w:val="001A7CAB"/>
    <w:rsid w:val="001B02B0"/>
    <w:rsid w:val="001B0448"/>
    <w:rsid w:val="001B08C4"/>
    <w:rsid w:val="001B0D63"/>
    <w:rsid w:val="001B15F0"/>
    <w:rsid w:val="001B261C"/>
    <w:rsid w:val="001B29EE"/>
    <w:rsid w:val="001B2DB8"/>
    <w:rsid w:val="001B3DC4"/>
    <w:rsid w:val="001B4E61"/>
    <w:rsid w:val="001B5D1C"/>
    <w:rsid w:val="001B6A7F"/>
    <w:rsid w:val="001B6BBA"/>
    <w:rsid w:val="001B7302"/>
    <w:rsid w:val="001B7746"/>
    <w:rsid w:val="001B7772"/>
    <w:rsid w:val="001B7B15"/>
    <w:rsid w:val="001C0251"/>
    <w:rsid w:val="001C0D73"/>
    <w:rsid w:val="001C1731"/>
    <w:rsid w:val="001C1A16"/>
    <w:rsid w:val="001C1FE6"/>
    <w:rsid w:val="001C2087"/>
    <w:rsid w:val="001C25C6"/>
    <w:rsid w:val="001C26D2"/>
    <w:rsid w:val="001C2925"/>
    <w:rsid w:val="001C29D3"/>
    <w:rsid w:val="001C2B2A"/>
    <w:rsid w:val="001C2BF9"/>
    <w:rsid w:val="001C34C4"/>
    <w:rsid w:val="001C381B"/>
    <w:rsid w:val="001C3837"/>
    <w:rsid w:val="001C4035"/>
    <w:rsid w:val="001C46E6"/>
    <w:rsid w:val="001C4AB8"/>
    <w:rsid w:val="001C4EE3"/>
    <w:rsid w:val="001C5274"/>
    <w:rsid w:val="001C53FD"/>
    <w:rsid w:val="001C5F94"/>
    <w:rsid w:val="001C610A"/>
    <w:rsid w:val="001C610B"/>
    <w:rsid w:val="001C6410"/>
    <w:rsid w:val="001C6869"/>
    <w:rsid w:val="001C68C3"/>
    <w:rsid w:val="001C7BB5"/>
    <w:rsid w:val="001D013F"/>
    <w:rsid w:val="001D09DD"/>
    <w:rsid w:val="001D207F"/>
    <w:rsid w:val="001D251E"/>
    <w:rsid w:val="001D30AC"/>
    <w:rsid w:val="001D3C38"/>
    <w:rsid w:val="001D4ADE"/>
    <w:rsid w:val="001D4C2E"/>
    <w:rsid w:val="001D4CD8"/>
    <w:rsid w:val="001D5BBA"/>
    <w:rsid w:val="001D7C7D"/>
    <w:rsid w:val="001D7EE8"/>
    <w:rsid w:val="001E08F4"/>
    <w:rsid w:val="001E12CC"/>
    <w:rsid w:val="001E21BF"/>
    <w:rsid w:val="001E2B8A"/>
    <w:rsid w:val="001E2C93"/>
    <w:rsid w:val="001E2CFC"/>
    <w:rsid w:val="001E2FEF"/>
    <w:rsid w:val="001E39B6"/>
    <w:rsid w:val="001E3C6D"/>
    <w:rsid w:val="001E4784"/>
    <w:rsid w:val="001E4C6A"/>
    <w:rsid w:val="001E4EF3"/>
    <w:rsid w:val="001E5841"/>
    <w:rsid w:val="001E64D8"/>
    <w:rsid w:val="001E675D"/>
    <w:rsid w:val="001F0568"/>
    <w:rsid w:val="001F05B1"/>
    <w:rsid w:val="001F093A"/>
    <w:rsid w:val="001F1037"/>
    <w:rsid w:val="001F1848"/>
    <w:rsid w:val="001F1DAE"/>
    <w:rsid w:val="001F1EBE"/>
    <w:rsid w:val="001F1F05"/>
    <w:rsid w:val="001F2735"/>
    <w:rsid w:val="001F2AF1"/>
    <w:rsid w:val="001F2F16"/>
    <w:rsid w:val="001F34B0"/>
    <w:rsid w:val="001F375E"/>
    <w:rsid w:val="001F3FD7"/>
    <w:rsid w:val="001F4259"/>
    <w:rsid w:val="001F4298"/>
    <w:rsid w:val="001F435E"/>
    <w:rsid w:val="001F4434"/>
    <w:rsid w:val="001F495E"/>
    <w:rsid w:val="001F5338"/>
    <w:rsid w:val="001F594F"/>
    <w:rsid w:val="001F6EB3"/>
    <w:rsid w:val="001F7F82"/>
    <w:rsid w:val="00200318"/>
    <w:rsid w:val="00200604"/>
    <w:rsid w:val="00201498"/>
    <w:rsid w:val="00201BB9"/>
    <w:rsid w:val="00202457"/>
    <w:rsid w:val="00202E21"/>
    <w:rsid w:val="00202F38"/>
    <w:rsid w:val="00203687"/>
    <w:rsid w:val="00203CEE"/>
    <w:rsid w:val="002044DC"/>
    <w:rsid w:val="00204C95"/>
    <w:rsid w:val="00204D2D"/>
    <w:rsid w:val="00204E67"/>
    <w:rsid w:val="00205397"/>
    <w:rsid w:val="00205681"/>
    <w:rsid w:val="00205A92"/>
    <w:rsid w:val="00206BA4"/>
    <w:rsid w:val="00207161"/>
    <w:rsid w:val="00207306"/>
    <w:rsid w:val="0021004F"/>
    <w:rsid w:val="00211546"/>
    <w:rsid w:val="00211CF7"/>
    <w:rsid w:val="0021358A"/>
    <w:rsid w:val="0021361B"/>
    <w:rsid w:val="00213AD2"/>
    <w:rsid w:val="00213E12"/>
    <w:rsid w:val="00214107"/>
    <w:rsid w:val="002145FD"/>
    <w:rsid w:val="0021496D"/>
    <w:rsid w:val="002149E1"/>
    <w:rsid w:val="0021547C"/>
    <w:rsid w:val="00217846"/>
    <w:rsid w:val="0021796D"/>
    <w:rsid w:val="00217C94"/>
    <w:rsid w:val="00217CDC"/>
    <w:rsid w:val="00217DDE"/>
    <w:rsid w:val="00217FA4"/>
    <w:rsid w:val="0022024F"/>
    <w:rsid w:val="00220608"/>
    <w:rsid w:val="00220953"/>
    <w:rsid w:val="00220C80"/>
    <w:rsid w:val="00220E54"/>
    <w:rsid w:val="002214CA"/>
    <w:rsid w:val="002227E8"/>
    <w:rsid w:val="00222D95"/>
    <w:rsid w:val="002233D2"/>
    <w:rsid w:val="00223C51"/>
    <w:rsid w:val="00223E9D"/>
    <w:rsid w:val="0022450C"/>
    <w:rsid w:val="00224594"/>
    <w:rsid w:val="00224637"/>
    <w:rsid w:val="00224AB4"/>
    <w:rsid w:val="00224EEC"/>
    <w:rsid w:val="00230DDB"/>
    <w:rsid w:val="00231F9C"/>
    <w:rsid w:val="002324FE"/>
    <w:rsid w:val="00232DFB"/>
    <w:rsid w:val="00233836"/>
    <w:rsid w:val="00233B52"/>
    <w:rsid w:val="00233D00"/>
    <w:rsid w:val="00233EE2"/>
    <w:rsid w:val="0023492F"/>
    <w:rsid w:val="00234DA5"/>
    <w:rsid w:val="002358E9"/>
    <w:rsid w:val="00236090"/>
    <w:rsid w:val="0023609B"/>
    <w:rsid w:val="00236287"/>
    <w:rsid w:val="00236A73"/>
    <w:rsid w:val="00236AE5"/>
    <w:rsid w:val="0023757F"/>
    <w:rsid w:val="0023770F"/>
    <w:rsid w:val="0023791F"/>
    <w:rsid w:val="002379DE"/>
    <w:rsid w:val="00237E08"/>
    <w:rsid w:val="00240270"/>
    <w:rsid w:val="0024057E"/>
    <w:rsid w:val="00240C3D"/>
    <w:rsid w:val="00242469"/>
    <w:rsid w:val="00242C86"/>
    <w:rsid w:val="0024367F"/>
    <w:rsid w:val="0024375A"/>
    <w:rsid w:val="0024392A"/>
    <w:rsid w:val="002441B9"/>
    <w:rsid w:val="0024493E"/>
    <w:rsid w:val="002450ED"/>
    <w:rsid w:val="0024573B"/>
    <w:rsid w:val="00246095"/>
    <w:rsid w:val="00246CE1"/>
    <w:rsid w:val="00247249"/>
    <w:rsid w:val="002501B6"/>
    <w:rsid w:val="00250A13"/>
    <w:rsid w:val="00250E40"/>
    <w:rsid w:val="00251001"/>
    <w:rsid w:val="00251BAD"/>
    <w:rsid w:val="00252538"/>
    <w:rsid w:val="002529B8"/>
    <w:rsid w:val="00252AAA"/>
    <w:rsid w:val="0025377E"/>
    <w:rsid w:val="002539AC"/>
    <w:rsid w:val="0025437E"/>
    <w:rsid w:val="002546F4"/>
    <w:rsid w:val="00254BEF"/>
    <w:rsid w:val="00254E41"/>
    <w:rsid w:val="00254EA6"/>
    <w:rsid w:val="002556D8"/>
    <w:rsid w:val="0025656A"/>
    <w:rsid w:val="0025680D"/>
    <w:rsid w:val="002570D2"/>
    <w:rsid w:val="00257596"/>
    <w:rsid w:val="00257DA4"/>
    <w:rsid w:val="00257DF2"/>
    <w:rsid w:val="002600F8"/>
    <w:rsid w:val="0026028D"/>
    <w:rsid w:val="00261359"/>
    <w:rsid w:val="002619B0"/>
    <w:rsid w:val="00261C37"/>
    <w:rsid w:val="00261F9B"/>
    <w:rsid w:val="00262243"/>
    <w:rsid w:val="00262B64"/>
    <w:rsid w:val="00262D84"/>
    <w:rsid w:val="0026352E"/>
    <w:rsid w:val="002636C7"/>
    <w:rsid w:val="00263E4A"/>
    <w:rsid w:val="0026443A"/>
    <w:rsid w:val="00264647"/>
    <w:rsid w:val="00264D19"/>
    <w:rsid w:val="00265423"/>
    <w:rsid w:val="0026646C"/>
    <w:rsid w:val="00266687"/>
    <w:rsid w:val="00267354"/>
    <w:rsid w:val="002673CC"/>
    <w:rsid w:val="00270491"/>
    <w:rsid w:val="002705B6"/>
    <w:rsid w:val="00270CE3"/>
    <w:rsid w:val="00271022"/>
    <w:rsid w:val="0027118E"/>
    <w:rsid w:val="00271348"/>
    <w:rsid w:val="00271D78"/>
    <w:rsid w:val="00272852"/>
    <w:rsid w:val="00272959"/>
    <w:rsid w:val="0027350B"/>
    <w:rsid w:val="00273CB5"/>
    <w:rsid w:val="00273EA7"/>
    <w:rsid w:val="00274247"/>
    <w:rsid w:val="002749E8"/>
    <w:rsid w:val="00274C51"/>
    <w:rsid w:val="00275494"/>
    <w:rsid w:val="002759C0"/>
    <w:rsid w:val="0027614A"/>
    <w:rsid w:val="00276270"/>
    <w:rsid w:val="0027648E"/>
    <w:rsid w:val="002765AB"/>
    <w:rsid w:val="002767C2"/>
    <w:rsid w:val="00276845"/>
    <w:rsid w:val="00276F14"/>
    <w:rsid w:val="00277057"/>
    <w:rsid w:val="0027739E"/>
    <w:rsid w:val="002803EC"/>
    <w:rsid w:val="00280469"/>
    <w:rsid w:val="00280CC0"/>
    <w:rsid w:val="00280E38"/>
    <w:rsid w:val="00280FE8"/>
    <w:rsid w:val="00281225"/>
    <w:rsid w:val="00281650"/>
    <w:rsid w:val="0028185A"/>
    <w:rsid w:val="00281E9E"/>
    <w:rsid w:val="00281F04"/>
    <w:rsid w:val="00282073"/>
    <w:rsid w:val="00282687"/>
    <w:rsid w:val="00282B1E"/>
    <w:rsid w:val="00284793"/>
    <w:rsid w:val="00284C73"/>
    <w:rsid w:val="00284CF9"/>
    <w:rsid w:val="002853E8"/>
    <w:rsid w:val="002855E3"/>
    <w:rsid w:val="00285963"/>
    <w:rsid w:val="00286051"/>
    <w:rsid w:val="00286B32"/>
    <w:rsid w:val="00286B67"/>
    <w:rsid w:val="00290567"/>
    <w:rsid w:val="00290AC6"/>
    <w:rsid w:val="00290ED7"/>
    <w:rsid w:val="002918F2"/>
    <w:rsid w:val="00292077"/>
    <w:rsid w:val="00292934"/>
    <w:rsid w:val="0029387E"/>
    <w:rsid w:val="002942DF"/>
    <w:rsid w:val="002944BF"/>
    <w:rsid w:val="00294EED"/>
    <w:rsid w:val="002955E7"/>
    <w:rsid w:val="00295836"/>
    <w:rsid w:val="00296192"/>
    <w:rsid w:val="002970AC"/>
    <w:rsid w:val="00297164"/>
    <w:rsid w:val="002974AF"/>
    <w:rsid w:val="002A10B3"/>
    <w:rsid w:val="002A1495"/>
    <w:rsid w:val="002A26BA"/>
    <w:rsid w:val="002A2991"/>
    <w:rsid w:val="002A2E4F"/>
    <w:rsid w:val="002A435B"/>
    <w:rsid w:val="002A49EF"/>
    <w:rsid w:val="002A4A65"/>
    <w:rsid w:val="002A555C"/>
    <w:rsid w:val="002A5A18"/>
    <w:rsid w:val="002A633A"/>
    <w:rsid w:val="002A63F6"/>
    <w:rsid w:val="002A67B3"/>
    <w:rsid w:val="002A6930"/>
    <w:rsid w:val="002B1CBD"/>
    <w:rsid w:val="002B2337"/>
    <w:rsid w:val="002B2897"/>
    <w:rsid w:val="002B2E7E"/>
    <w:rsid w:val="002B31F7"/>
    <w:rsid w:val="002B349E"/>
    <w:rsid w:val="002B4AA7"/>
    <w:rsid w:val="002B4B61"/>
    <w:rsid w:val="002B53F4"/>
    <w:rsid w:val="002B55DE"/>
    <w:rsid w:val="002B567D"/>
    <w:rsid w:val="002B5A51"/>
    <w:rsid w:val="002B65E4"/>
    <w:rsid w:val="002C0528"/>
    <w:rsid w:val="002C1026"/>
    <w:rsid w:val="002C1397"/>
    <w:rsid w:val="002C1669"/>
    <w:rsid w:val="002C2798"/>
    <w:rsid w:val="002C2E2E"/>
    <w:rsid w:val="002C3164"/>
    <w:rsid w:val="002C32DC"/>
    <w:rsid w:val="002C33E7"/>
    <w:rsid w:val="002C48EE"/>
    <w:rsid w:val="002C54BD"/>
    <w:rsid w:val="002C5774"/>
    <w:rsid w:val="002C6E99"/>
    <w:rsid w:val="002C7AB9"/>
    <w:rsid w:val="002D044E"/>
    <w:rsid w:val="002D1937"/>
    <w:rsid w:val="002D205C"/>
    <w:rsid w:val="002D20DD"/>
    <w:rsid w:val="002D21B0"/>
    <w:rsid w:val="002D29F3"/>
    <w:rsid w:val="002D2A1C"/>
    <w:rsid w:val="002D2A36"/>
    <w:rsid w:val="002D2D92"/>
    <w:rsid w:val="002D3074"/>
    <w:rsid w:val="002D30B2"/>
    <w:rsid w:val="002D3514"/>
    <w:rsid w:val="002D5200"/>
    <w:rsid w:val="002D5D02"/>
    <w:rsid w:val="002D5DE3"/>
    <w:rsid w:val="002D6CE3"/>
    <w:rsid w:val="002D747A"/>
    <w:rsid w:val="002D7AA4"/>
    <w:rsid w:val="002E0006"/>
    <w:rsid w:val="002E0B5C"/>
    <w:rsid w:val="002E11DB"/>
    <w:rsid w:val="002E1344"/>
    <w:rsid w:val="002E1D1E"/>
    <w:rsid w:val="002E2744"/>
    <w:rsid w:val="002E312D"/>
    <w:rsid w:val="002E317F"/>
    <w:rsid w:val="002E31BC"/>
    <w:rsid w:val="002E3D75"/>
    <w:rsid w:val="002E3D85"/>
    <w:rsid w:val="002E3EDF"/>
    <w:rsid w:val="002E45BF"/>
    <w:rsid w:val="002E494A"/>
    <w:rsid w:val="002E4BE6"/>
    <w:rsid w:val="002E5481"/>
    <w:rsid w:val="002E5E71"/>
    <w:rsid w:val="002E67E4"/>
    <w:rsid w:val="002E6A1C"/>
    <w:rsid w:val="002E6AAB"/>
    <w:rsid w:val="002E6CFD"/>
    <w:rsid w:val="002E792F"/>
    <w:rsid w:val="002F073B"/>
    <w:rsid w:val="002F0B92"/>
    <w:rsid w:val="002F0BC3"/>
    <w:rsid w:val="002F162B"/>
    <w:rsid w:val="002F174B"/>
    <w:rsid w:val="002F1865"/>
    <w:rsid w:val="002F18BD"/>
    <w:rsid w:val="002F2172"/>
    <w:rsid w:val="002F21B6"/>
    <w:rsid w:val="002F2311"/>
    <w:rsid w:val="002F2779"/>
    <w:rsid w:val="002F3F75"/>
    <w:rsid w:val="002F4510"/>
    <w:rsid w:val="002F467A"/>
    <w:rsid w:val="002F46B1"/>
    <w:rsid w:val="002F4A99"/>
    <w:rsid w:val="002F4FB7"/>
    <w:rsid w:val="002F5637"/>
    <w:rsid w:val="002F7D34"/>
    <w:rsid w:val="002F7D50"/>
    <w:rsid w:val="00300507"/>
    <w:rsid w:val="00300BA2"/>
    <w:rsid w:val="00300D94"/>
    <w:rsid w:val="00300DB8"/>
    <w:rsid w:val="0030121A"/>
    <w:rsid w:val="00301519"/>
    <w:rsid w:val="00301527"/>
    <w:rsid w:val="00301F51"/>
    <w:rsid w:val="003021A8"/>
    <w:rsid w:val="00302C96"/>
    <w:rsid w:val="00302CEF"/>
    <w:rsid w:val="003034FB"/>
    <w:rsid w:val="00304EFF"/>
    <w:rsid w:val="003070BE"/>
    <w:rsid w:val="0030716A"/>
    <w:rsid w:val="00307B5A"/>
    <w:rsid w:val="00307F1A"/>
    <w:rsid w:val="00310DAD"/>
    <w:rsid w:val="00310E6B"/>
    <w:rsid w:val="00311790"/>
    <w:rsid w:val="00311F41"/>
    <w:rsid w:val="003133DD"/>
    <w:rsid w:val="00313633"/>
    <w:rsid w:val="0031403E"/>
    <w:rsid w:val="0031428A"/>
    <w:rsid w:val="003145B1"/>
    <w:rsid w:val="0031514C"/>
    <w:rsid w:val="00315E3F"/>
    <w:rsid w:val="00317087"/>
    <w:rsid w:val="003176C8"/>
    <w:rsid w:val="0032009A"/>
    <w:rsid w:val="003213EC"/>
    <w:rsid w:val="00321DFD"/>
    <w:rsid w:val="00321FAA"/>
    <w:rsid w:val="00322708"/>
    <w:rsid w:val="00322A27"/>
    <w:rsid w:val="00322A52"/>
    <w:rsid w:val="0032358C"/>
    <w:rsid w:val="003239A8"/>
    <w:rsid w:val="00323A65"/>
    <w:rsid w:val="00323FEF"/>
    <w:rsid w:val="00325613"/>
    <w:rsid w:val="003257CF"/>
    <w:rsid w:val="00325D02"/>
    <w:rsid w:val="00327566"/>
    <w:rsid w:val="00327D89"/>
    <w:rsid w:val="003300B7"/>
    <w:rsid w:val="00330A6A"/>
    <w:rsid w:val="00330B51"/>
    <w:rsid w:val="00330B5D"/>
    <w:rsid w:val="00330ED8"/>
    <w:rsid w:val="00330FDB"/>
    <w:rsid w:val="0033185E"/>
    <w:rsid w:val="00331A30"/>
    <w:rsid w:val="0033251F"/>
    <w:rsid w:val="00333534"/>
    <w:rsid w:val="0033398D"/>
    <w:rsid w:val="00333B4E"/>
    <w:rsid w:val="00333BD9"/>
    <w:rsid w:val="00333CD0"/>
    <w:rsid w:val="00333EE3"/>
    <w:rsid w:val="00333FE9"/>
    <w:rsid w:val="00334670"/>
    <w:rsid w:val="00334858"/>
    <w:rsid w:val="003356C9"/>
    <w:rsid w:val="00335758"/>
    <w:rsid w:val="00335CD8"/>
    <w:rsid w:val="0033799C"/>
    <w:rsid w:val="00340418"/>
    <w:rsid w:val="00340758"/>
    <w:rsid w:val="00340A4A"/>
    <w:rsid w:val="00340B3C"/>
    <w:rsid w:val="00340DCD"/>
    <w:rsid w:val="00341CFE"/>
    <w:rsid w:val="0034249F"/>
    <w:rsid w:val="0034284C"/>
    <w:rsid w:val="003438B5"/>
    <w:rsid w:val="003439A0"/>
    <w:rsid w:val="00344561"/>
    <w:rsid w:val="0034491F"/>
    <w:rsid w:val="00344A60"/>
    <w:rsid w:val="00344A6D"/>
    <w:rsid w:val="00344B6C"/>
    <w:rsid w:val="00344CFC"/>
    <w:rsid w:val="00344D45"/>
    <w:rsid w:val="0034514F"/>
    <w:rsid w:val="0034566B"/>
    <w:rsid w:val="003464C5"/>
    <w:rsid w:val="00346B8E"/>
    <w:rsid w:val="00346F5E"/>
    <w:rsid w:val="003471ED"/>
    <w:rsid w:val="00347B92"/>
    <w:rsid w:val="00347DC7"/>
    <w:rsid w:val="00350148"/>
    <w:rsid w:val="00350595"/>
    <w:rsid w:val="003510B1"/>
    <w:rsid w:val="00351B3A"/>
    <w:rsid w:val="003520D6"/>
    <w:rsid w:val="00352658"/>
    <w:rsid w:val="00354CA4"/>
    <w:rsid w:val="00354DC6"/>
    <w:rsid w:val="00355C30"/>
    <w:rsid w:val="003560A9"/>
    <w:rsid w:val="00356765"/>
    <w:rsid w:val="00356855"/>
    <w:rsid w:val="0035686C"/>
    <w:rsid w:val="00357448"/>
    <w:rsid w:val="00360AF8"/>
    <w:rsid w:val="003612B0"/>
    <w:rsid w:val="00361E8B"/>
    <w:rsid w:val="00362382"/>
    <w:rsid w:val="0036294F"/>
    <w:rsid w:val="003639C0"/>
    <w:rsid w:val="00363B33"/>
    <w:rsid w:val="0036423D"/>
    <w:rsid w:val="00365203"/>
    <w:rsid w:val="00365736"/>
    <w:rsid w:val="00365B59"/>
    <w:rsid w:val="00365C17"/>
    <w:rsid w:val="0036711B"/>
    <w:rsid w:val="00367E74"/>
    <w:rsid w:val="00370363"/>
    <w:rsid w:val="00370B08"/>
    <w:rsid w:val="00370C37"/>
    <w:rsid w:val="00371E79"/>
    <w:rsid w:val="00371EAC"/>
    <w:rsid w:val="003721CB"/>
    <w:rsid w:val="00372628"/>
    <w:rsid w:val="00372667"/>
    <w:rsid w:val="003731E4"/>
    <w:rsid w:val="0037456B"/>
    <w:rsid w:val="00375B65"/>
    <w:rsid w:val="00375BE7"/>
    <w:rsid w:val="0037633A"/>
    <w:rsid w:val="003763D6"/>
    <w:rsid w:val="003766F9"/>
    <w:rsid w:val="00377110"/>
    <w:rsid w:val="00377171"/>
    <w:rsid w:val="003773A8"/>
    <w:rsid w:val="003774AE"/>
    <w:rsid w:val="00377514"/>
    <w:rsid w:val="00377C2D"/>
    <w:rsid w:val="0038041E"/>
    <w:rsid w:val="003816A5"/>
    <w:rsid w:val="00381AC7"/>
    <w:rsid w:val="00381EBC"/>
    <w:rsid w:val="00383730"/>
    <w:rsid w:val="00383CCD"/>
    <w:rsid w:val="00383FC7"/>
    <w:rsid w:val="00384797"/>
    <w:rsid w:val="00384BB4"/>
    <w:rsid w:val="00384FC6"/>
    <w:rsid w:val="003850D4"/>
    <w:rsid w:val="0038523A"/>
    <w:rsid w:val="00385648"/>
    <w:rsid w:val="00385ADB"/>
    <w:rsid w:val="00385EE8"/>
    <w:rsid w:val="003863AF"/>
    <w:rsid w:val="0038667A"/>
    <w:rsid w:val="00386BA2"/>
    <w:rsid w:val="00386F3D"/>
    <w:rsid w:val="003874ED"/>
    <w:rsid w:val="00387CB1"/>
    <w:rsid w:val="00387D73"/>
    <w:rsid w:val="00391C57"/>
    <w:rsid w:val="0039228F"/>
    <w:rsid w:val="00392568"/>
    <w:rsid w:val="00392765"/>
    <w:rsid w:val="00392A69"/>
    <w:rsid w:val="00393246"/>
    <w:rsid w:val="00393EF0"/>
    <w:rsid w:val="003947BF"/>
    <w:rsid w:val="00394CEE"/>
    <w:rsid w:val="003951ED"/>
    <w:rsid w:val="00395283"/>
    <w:rsid w:val="003952F6"/>
    <w:rsid w:val="003954D0"/>
    <w:rsid w:val="003957C4"/>
    <w:rsid w:val="00395C40"/>
    <w:rsid w:val="0039625E"/>
    <w:rsid w:val="00396333"/>
    <w:rsid w:val="00396F82"/>
    <w:rsid w:val="003977DD"/>
    <w:rsid w:val="003A00C3"/>
    <w:rsid w:val="003A04A3"/>
    <w:rsid w:val="003A060B"/>
    <w:rsid w:val="003A0A5F"/>
    <w:rsid w:val="003A19D5"/>
    <w:rsid w:val="003A1A6C"/>
    <w:rsid w:val="003A1C72"/>
    <w:rsid w:val="003A28F6"/>
    <w:rsid w:val="003A2F84"/>
    <w:rsid w:val="003A3101"/>
    <w:rsid w:val="003A3468"/>
    <w:rsid w:val="003A371A"/>
    <w:rsid w:val="003A3A70"/>
    <w:rsid w:val="003A3EB4"/>
    <w:rsid w:val="003A43C4"/>
    <w:rsid w:val="003A485C"/>
    <w:rsid w:val="003A4C14"/>
    <w:rsid w:val="003A4DC0"/>
    <w:rsid w:val="003A4FF9"/>
    <w:rsid w:val="003A5197"/>
    <w:rsid w:val="003A5388"/>
    <w:rsid w:val="003A5C2B"/>
    <w:rsid w:val="003A5CDF"/>
    <w:rsid w:val="003A5EE5"/>
    <w:rsid w:val="003A6308"/>
    <w:rsid w:val="003A6652"/>
    <w:rsid w:val="003A6CF2"/>
    <w:rsid w:val="003A75F5"/>
    <w:rsid w:val="003B0620"/>
    <w:rsid w:val="003B07D8"/>
    <w:rsid w:val="003B16B9"/>
    <w:rsid w:val="003B225E"/>
    <w:rsid w:val="003B24B2"/>
    <w:rsid w:val="003B3AF2"/>
    <w:rsid w:val="003B414E"/>
    <w:rsid w:val="003B4733"/>
    <w:rsid w:val="003B5118"/>
    <w:rsid w:val="003B52E1"/>
    <w:rsid w:val="003B5A13"/>
    <w:rsid w:val="003B5C66"/>
    <w:rsid w:val="003B5CE6"/>
    <w:rsid w:val="003B60F2"/>
    <w:rsid w:val="003B62EE"/>
    <w:rsid w:val="003B63C4"/>
    <w:rsid w:val="003B6695"/>
    <w:rsid w:val="003B69EA"/>
    <w:rsid w:val="003C05F0"/>
    <w:rsid w:val="003C069A"/>
    <w:rsid w:val="003C0D23"/>
    <w:rsid w:val="003C14CA"/>
    <w:rsid w:val="003C1577"/>
    <w:rsid w:val="003C2038"/>
    <w:rsid w:val="003C2B94"/>
    <w:rsid w:val="003C2BA9"/>
    <w:rsid w:val="003C2D6B"/>
    <w:rsid w:val="003C33E8"/>
    <w:rsid w:val="003C360C"/>
    <w:rsid w:val="003C3623"/>
    <w:rsid w:val="003C3A04"/>
    <w:rsid w:val="003C3D4C"/>
    <w:rsid w:val="003C3EEE"/>
    <w:rsid w:val="003C41D2"/>
    <w:rsid w:val="003C49BC"/>
    <w:rsid w:val="003C5EDC"/>
    <w:rsid w:val="003C5EF2"/>
    <w:rsid w:val="003C647A"/>
    <w:rsid w:val="003C69CB"/>
    <w:rsid w:val="003C6B32"/>
    <w:rsid w:val="003C70A7"/>
    <w:rsid w:val="003C76F2"/>
    <w:rsid w:val="003D0146"/>
    <w:rsid w:val="003D0329"/>
    <w:rsid w:val="003D0B49"/>
    <w:rsid w:val="003D14D1"/>
    <w:rsid w:val="003D167F"/>
    <w:rsid w:val="003D1B22"/>
    <w:rsid w:val="003D216B"/>
    <w:rsid w:val="003D3393"/>
    <w:rsid w:val="003D3C2B"/>
    <w:rsid w:val="003D3EC5"/>
    <w:rsid w:val="003D4247"/>
    <w:rsid w:val="003D50C8"/>
    <w:rsid w:val="003D5375"/>
    <w:rsid w:val="003D5816"/>
    <w:rsid w:val="003D58D6"/>
    <w:rsid w:val="003D61D4"/>
    <w:rsid w:val="003D733E"/>
    <w:rsid w:val="003D7746"/>
    <w:rsid w:val="003D7891"/>
    <w:rsid w:val="003D7A00"/>
    <w:rsid w:val="003E06DB"/>
    <w:rsid w:val="003E0807"/>
    <w:rsid w:val="003E0A10"/>
    <w:rsid w:val="003E0EB3"/>
    <w:rsid w:val="003E27A6"/>
    <w:rsid w:val="003E2B9A"/>
    <w:rsid w:val="003E2C1E"/>
    <w:rsid w:val="003E2EF1"/>
    <w:rsid w:val="003E35D9"/>
    <w:rsid w:val="003E37A7"/>
    <w:rsid w:val="003E3CA9"/>
    <w:rsid w:val="003E4C40"/>
    <w:rsid w:val="003E54D4"/>
    <w:rsid w:val="003E5E00"/>
    <w:rsid w:val="003E67BF"/>
    <w:rsid w:val="003E6905"/>
    <w:rsid w:val="003E6A2A"/>
    <w:rsid w:val="003E778A"/>
    <w:rsid w:val="003E7AB7"/>
    <w:rsid w:val="003E7F9C"/>
    <w:rsid w:val="003F1497"/>
    <w:rsid w:val="003F274F"/>
    <w:rsid w:val="003F2CF2"/>
    <w:rsid w:val="003F2F76"/>
    <w:rsid w:val="003F359E"/>
    <w:rsid w:val="003F37E7"/>
    <w:rsid w:val="003F400C"/>
    <w:rsid w:val="003F408F"/>
    <w:rsid w:val="003F41D6"/>
    <w:rsid w:val="003F42D1"/>
    <w:rsid w:val="003F4811"/>
    <w:rsid w:val="003F5431"/>
    <w:rsid w:val="003F548F"/>
    <w:rsid w:val="003F60F0"/>
    <w:rsid w:val="003F6731"/>
    <w:rsid w:val="003F74C4"/>
    <w:rsid w:val="003F77D6"/>
    <w:rsid w:val="003F7C8C"/>
    <w:rsid w:val="003F7FA1"/>
    <w:rsid w:val="004004AC"/>
    <w:rsid w:val="004004CB"/>
    <w:rsid w:val="004011E2"/>
    <w:rsid w:val="004011E6"/>
    <w:rsid w:val="004015D0"/>
    <w:rsid w:val="0040196A"/>
    <w:rsid w:val="00402099"/>
    <w:rsid w:val="00403253"/>
    <w:rsid w:val="0040353E"/>
    <w:rsid w:val="0040374E"/>
    <w:rsid w:val="0040478F"/>
    <w:rsid w:val="0040556A"/>
    <w:rsid w:val="00405A9D"/>
    <w:rsid w:val="00405C85"/>
    <w:rsid w:val="00405F99"/>
    <w:rsid w:val="00407075"/>
    <w:rsid w:val="00407B68"/>
    <w:rsid w:val="00407E6E"/>
    <w:rsid w:val="00411018"/>
    <w:rsid w:val="0041260C"/>
    <w:rsid w:val="00412F3E"/>
    <w:rsid w:val="004137C8"/>
    <w:rsid w:val="004140CF"/>
    <w:rsid w:val="0041474D"/>
    <w:rsid w:val="00414B5F"/>
    <w:rsid w:val="0041593C"/>
    <w:rsid w:val="00415C14"/>
    <w:rsid w:val="00416847"/>
    <w:rsid w:val="0041687D"/>
    <w:rsid w:val="004178CC"/>
    <w:rsid w:val="004179D7"/>
    <w:rsid w:val="00417BAA"/>
    <w:rsid w:val="00417D5C"/>
    <w:rsid w:val="00417EC0"/>
    <w:rsid w:val="00420D61"/>
    <w:rsid w:val="00422008"/>
    <w:rsid w:val="00422B1A"/>
    <w:rsid w:val="00422E33"/>
    <w:rsid w:val="00422FB6"/>
    <w:rsid w:val="004231AE"/>
    <w:rsid w:val="00424F85"/>
    <w:rsid w:val="0042546F"/>
    <w:rsid w:val="004256EE"/>
    <w:rsid w:val="0042595C"/>
    <w:rsid w:val="00425991"/>
    <w:rsid w:val="00425B14"/>
    <w:rsid w:val="00426C84"/>
    <w:rsid w:val="0042707F"/>
    <w:rsid w:val="004271E5"/>
    <w:rsid w:val="004279C4"/>
    <w:rsid w:val="00430263"/>
    <w:rsid w:val="00430400"/>
    <w:rsid w:val="004305AE"/>
    <w:rsid w:val="0043069B"/>
    <w:rsid w:val="00430878"/>
    <w:rsid w:val="004309D5"/>
    <w:rsid w:val="00430ED4"/>
    <w:rsid w:val="00430EDE"/>
    <w:rsid w:val="00430FF0"/>
    <w:rsid w:val="00431BD3"/>
    <w:rsid w:val="004321B5"/>
    <w:rsid w:val="00434020"/>
    <w:rsid w:val="004350FC"/>
    <w:rsid w:val="0043589A"/>
    <w:rsid w:val="00435F4F"/>
    <w:rsid w:val="004369A8"/>
    <w:rsid w:val="0043756E"/>
    <w:rsid w:val="004376B9"/>
    <w:rsid w:val="00437BAB"/>
    <w:rsid w:val="00437F59"/>
    <w:rsid w:val="00440141"/>
    <w:rsid w:val="00440415"/>
    <w:rsid w:val="00440620"/>
    <w:rsid w:val="00440B47"/>
    <w:rsid w:val="00440E5E"/>
    <w:rsid w:val="00440FC6"/>
    <w:rsid w:val="004416B6"/>
    <w:rsid w:val="00441AAD"/>
    <w:rsid w:val="00441AE4"/>
    <w:rsid w:val="00441FC3"/>
    <w:rsid w:val="004421BD"/>
    <w:rsid w:val="00442844"/>
    <w:rsid w:val="004428B2"/>
    <w:rsid w:val="00442D14"/>
    <w:rsid w:val="00442F53"/>
    <w:rsid w:val="004462F2"/>
    <w:rsid w:val="00446D47"/>
    <w:rsid w:val="004478DF"/>
    <w:rsid w:val="0045028F"/>
    <w:rsid w:val="00450A17"/>
    <w:rsid w:val="00450D1C"/>
    <w:rsid w:val="0045132E"/>
    <w:rsid w:val="00451341"/>
    <w:rsid w:val="00451B01"/>
    <w:rsid w:val="004521DC"/>
    <w:rsid w:val="0045258D"/>
    <w:rsid w:val="004527ED"/>
    <w:rsid w:val="00452E2B"/>
    <w:rsid w:val="00452EB8"/>
    <w:rsid w:val="00452ECB"/>
    <w:rsid w:val="0045327F"/>
    <w:rsid w:val="004538EF"/>
    <w:rsid w:val="0045432B"/>
    <w:rsid w:val="00454A00"/>
    <w:rsid w:val="00455026"/>
    <w:rsid w:val="004552EC"/>
    <w:rsid w:val="0045582A"/>
    <w:rsid w:val="00455E4E"/>
    <w:rsid w:val="00456515"/>
    <w:rsid w:val="0045740F"/>
    <w:rsid w:val="00457B4D"/>
    <w:rsid w:val="00457C6F"/>
    <w:rsid w:val="004603A2"/>
    <w:rsid w:val="00460A5C"/>
    <w:rsid w:val="00460FEF"/>
    <w:rsid w:val="00461685"/>
    <w:rsid w:val="00461A30"/>
    <w:rsid w:val="00463445"/>
    <w:rsid w:val="004637D5"/>
    <w:rsid w:val="00463BBE"/>
    <w:rsid w:val="0046453A"/>
    <w:rsid w:val="00464B19"/>
    <w:rsid w:val="004653D2"/>
    <w:rsid w:val="00465440"/>
    <w:rsid w:val="00465C26"/>
    <w:rsid w:val="004661F9"/>
    <w:rsid w:val="00466F57"/>
    <w:rsid w:val="004672AB"/>
    <w:rsid w:val="0046759A"/>
    <w:rsid w:val="00470659"/>
    <w:rsid w:val="00470737"/>
    <w:rsid w:val="00471324"/>
    <w:rsid w:val="00471A96"/>
    <w:rsid w:val="00473520"/>
    <w:rsid w:val="004739A5"/>
    <w:rsid w:val="00473BA1"/>
    <w:rsid w:val="00473C44"/>
    <w:rsid w:val="004742F7"/>
    <w:rsid w:val="0047494E"/>
    <w:rsid w:val="004759AF"/>
    <w:rsid w:val="00475B5C"/>
    <w:rsid w:val="004770C1"/>
    <w:rsid w:val="00477673"/>
    <w:rsid w:val="004779FF"/>
    <w:rsid w:val="00477DDD"/>
    <w:rsid w:val="0048080C"/>
    <w:rsid w:val="00481EA0"/>
    <w:rsid w:val="00482154"/>
    <w:rsid w:val="0048266C"/>
    <w:rsid w:val="00482A8F"/>
    <w:rsid w:val="00483803"/>
    <w:rsid w:val="00483A5B"/>
    <w:rsid w:val="0048445F"/>
    <w:rsid w:val="0048471A"/>
    <w:rsid w:val="004849B6"/>
    <w:rsid w:val="00484B5D"/>
    <w:rsid w:val="00485A73"/>
    <w:rsid w:val="00485F46"/>
    <w:rsid w:val="004874AD"/>
    <w:rsid w:val="00487C16"/>
    <w:rsid w:val="00487C19"/>
    <w:rsid w:val="00487C3A"/>
    <w:rsid w:val="00490251"/>
    <w:rsid w:val="00490C46"/>
    <w:rsid w:val="00490ED3"/>
    <w:rsid w:val="00490F1E"/>
    <w:rsid w:val="00491063"/>
    <w:rsid w:val="004915C1"/>
    <w:rsid w:val="004919FD"/>
    <w:rsid w:val="0049212E"/>
    <w:rsid w:val="00492BAA"/>
    <w:rsid w:val="00492BEA"/>
    <w:rsid w:val="00492C60"/>
    <w:rsid w:val="00492E23"/>
    <w:rsid w:val="004930EE"/>
    <w:rsid w:val="004937F4"/>
    <w:rsid w:val="00493FA6"/>
    <w:rsid w:val="0049502A"/>
    <w:rsid w:val="00495CA4"/>
    <w:rsid w:val="00495D3E"/>
    <w:rsid w:val="004963B8"/>
    <w:rsid w:val="00496C60"/>
    <w:rsid w:val="00497DA5"/>
    <w:rsid w:val="004A01F1"/>
    <w:rsid w:val="004A0B73"/>
    <w:rsid w:val="004A0E83"/>
    <w:rsid w:val="004A1742"/>
    <w:rsid w:val="004A1A4D"/>
    <w:rsid w:val="004A2ABE"/>
    <w:rsid w:val="004A2C2C"/>
    <w:rsid w:val="004A3375"/>
    <w:rsid w:val="004A33D0"/>
    <w:rsid w:val="004A3564"/>
    <w:rsid w:val="004A3B6F"/>
    <w:rsid w:val="004A3BCC"/>
    <w:rsid w:val="004A3C95"/>
    <w:rsid w:val="004A46B7"/>
    <w:rsid w:val="004A5047"/>
    <w:rsid w:val="004A53E5"/>
    <w:rsid w:val="004A5AF7"/>
    <w:rsid w:val="004A6FE3"/>
    <w:rsid w:val="004A709D"/>
    <w:rsid w:val="004A74D5"/>
    <w:rsid w:val="004A7520"/>
    <w:rsid w:val="004A76DB"/>
    <w:rsid w:val="004A7C39"/>
    <w:rsid w:val="004B0EC5"/>
    <w:rsid w:val="004B1490"/>
    <w:rsid w:val="004B1A64"/>
    <w:rsid w:val="004B1F82"/>
    <w:rsid w:val="004B28E6"/>
    <w:rsid w:val="004B296F"/>
    <w:rsid w:val="004B3A73"/>
    <w:rsid w:val="004B3EE5"/>
    <w:rsid w:val="004B4321"/>
    <w:rsid w:val="004B4DB4"/>
    <w:rsid w:val="004B5062"/>
    <w:rsid w:val="004B52B8"/>
    <w:rsid w:val="004B5377"/>
    <w:rsid w:val="004B53EB"/>
    <w:rsid w:val="004B55E9"/>
    <w:rsid w:val="004B5A2A"/>
    <w:rsid w:val="004B5CD9"/>
    <w:rsid w:val="004B5E6A"/>
    <w:rsid w:val="004B6A8C"/>
    <w:rsid w:val="004B72C6"/>
    <w:rsid w:val="004B7E5B"/>
    <w:rsid w:val="004C10CB"/>
    <w:rsid w:val="004C1B50"/>
    <w:rsid w:val="004C20C2"/>
    <w:rsid w:val="004C296F"/>
    <w:rsid w:val="004C29D0"/>
    <w:rsid w:val="004C2C09"/>
    <w:rsid w:val="004C356F"/>
    <w:rsid w:val="004C3E0E"/>
    <w:rsid w:val="004C3ED7"/>
    <w:rsid w:val="004C469C"/>
    <w:rsid w:val="004C474E"/>
    <w:rsid w:val="004C586C"/>
    <w:rsid w:val="004C59CB"/>
    <w:rsid w:val="004C5DA6"/>
    <w:rsid w:val="004C61D5"/>
    <w:rsid w:val="004C636C"/>
    <w:rsid w:val="004C6D39"/>
    <w:rsid w:val="004C6D70"/>
    <w:rsid w:val="004D05D4"/>
    <w:rsid w:val="004D0EF5"/>
    <w:rsid w:val="004D100F"/>
    <w:rsid w:val="004D153D"/>
    <w:rsid w:val="004D2BA4"/>
    <w:rsid w:val="004D2D3F"/>
    <w:rsid w:val="004D3244"/>
    <w:rsid w:val="004D350C"/>
    <w:rsid w:val="004D3B51"/>
    <w:rsid w:val="004D3D10"/>
    <w:rsid w:val="004D44ED"/>
    <w:rsid w:val="004D55EE"/>
    <w:rsid w:val="004D5D8B"/>
    <w:rsid w:val="004D6AFE"/>
    <w:rsid w:val="004D7DD4"/>
    <w:rsid w:val="004E0CCF"/>
    <w:rsid w:val="004E1037"/>
    <w:rsid w:val="004E1A74"/>
    <w:rsid w:val="004E1CA9"/>
    <w:rsid w:val="004E1EEF"/>
    <w:rsid w:val="004E2673"/>
    <w:rsid w:val="004E2E22"/>
    <w:rsid w:val="004E36EC"/>
    <w:rsid w:val="004E3E72"/>
    <w:rsid w:val="004E4F08"/>
    <w:rsid w:val="004E5B1B"/>
    <w:rsid w:val="004E5DBD"/>
    <w:rsid w:val="004E678E"/>
    <w:rsid w:val="004E6BE6"/>
    <w:rsid w:val="004E6DD4"/>
    <w:rsid w:val="004EB201"/>
    <w:rsid w:val="004F02D3"/>
    <w:rsid w:val="004F0DFD"/>
    <w:rsid w:val="004F13BA"/>
    <w:rsid w:val="004F1BEE"/>
    <w:rsid w:val="004F1DD5"/>
    <w:rsid w:val="004F2E67"/>
    <w:rsid w:val="004F3A39"/>
    <w:rsid w:val="004F4001"/>
    <w:rsid w:val="004F44BC"/>
    <w:rsid w:val="004F4645"/>
    <w:rsid w:val="004F4A88"/>
    <w:rsid w:val="004F607F"/>
    <w:rsid w:val="004F67E0"/>
    <w:rsid w:val="004F6936"/>
    <w:rsid w:val="004F7784"/>
    <w:rsid w:val="004F7F69"/>
    <w:rsid w:val="004F7F76"/>
    <w:rsid w:val="005002FB"/>
    <w:rsid w:val="00500353"/>
    <w:rsid w:val="0050079D"/>
    <w:rsid w:val="005010FA"/>
    <w:rsid w:val="00501CF1"/>
    <w:rsid w:val="0050205D"/>
    <w:rsid w:val="0050235A"/>
    <w:rsid w:val="00502737"/>
    <w:rsid w:val="00502A09"/>
    <w:rsid w:val="005033D5"/>
    <w:rsid w:val="005038F1"/>
    <w:rsid w:val="005040F7"/>
    <w:rsid w:val="00504239"/>
    <w:rsid w:val="00504AE9"/>
    <w:rsid w:val="0050518F"/>
    <w:rsid w:val="005054B0"/>
    <w:rsid w:val="00505617"/>
    <w:rsid w:val="00505D43"/>
    <w:rsid w:val="00505F25"/>
    <w:rsid w:val="0050607E"/>
    <w:rsid w:val="005067B7"/>
    <w:rsid w:val="005078A5"/>
    <w:rsid w:val="00511078"/>
    <w:rsid w:val="005117E6"/>
    <w:rsid w:val="00511A97"/>
    <w:rsid w:val="005123E0"/>
    <w:rsid w:val="00512D4C"/>
    <w:rsid w:val="00512DFE"/>
    <w:rsid w:val="00513082"/>
    <w:rsid w:val="005136C1"/>
    <w:rsid w:val="005138BB"/>
    <w:rsid w:val="00513E6D"/>
    <w:rsid w:val="00514C9F"/>
    <w:rsid w:val="00514F6F"/>
    <w:rsid w:val="00515182"/>
    <w:rsid w:val="0051598C"/>
    <w:rsid w:val="00515E25"/>
    <w:rsid w:val="0051602E"/>
    <w:rsid w:val="005173BB"/>
    <w:rsid w:val="00517501"/>
    <w:rsid w:val="00520340"/>
    <w:rsid w:val="005206D1"/>
    <w:rsid w:val="00520D7A"/>
    <w:rsid w:val="00520DB7"/>
    <w:rsid w:val="00521282"/>
    <w:rsid w:val="005213E5"/>
    <w:rsid w:val="005218E1"/>
    <w:rsid w:val="00521F5D"/>
    <w:rsid w:val="00521FEC"/>
    <w:rsid w:val="00522539"/>
    <w:rsid w:val="005233BE"/>
    <w:rsid w:val="00523555"/>
    <w:rsid w:val="0052379D"/>
    <w:rsid w:val="005237C9"/>
    <w:rsid w:val="00524152"/>
    <w:rsid w:val="00524BC6"/>
    <w:rsid w:val="005250DC"/>
    <w:rsid w:val="005251B0"/>
    <w:rsid w:val="00526313"/>
    <w:rsid w:val="00526B9D"/>
    <w:rsid w:val="00527CC5"/>
    <w:rsid w:val="005304E1"/>
    <w:rsid w:val="005307EB"/>
    <w:rsid w:val="00531031"/>
    <w:rsid w:val="0053111E"/>
    <w:rsid w:val="00532215"/>
    <w:rsid w:val="00533831"/>
    <w:rsid w:val="00533B04"/>
    <w:rsid w:val="00534978"/>
    <w:rsid w:val="00534A95"/>
    <w:rsid w:val="00534F51"/>
    <w:rsid w:val="005366BB"/>
    <w:rsid w:val="00536CDF"/>
    <w:rsid w:val="0054011D"/>
    <w:rsid w:val="00540FBB"/>
    <w:rsid w:val="00541011"/>
    <w:rsid w:val="00541222"/>
    <w:rsid w:val="00541278"/>
    <w:rsid w:val="00541CC1"/>
    <w:rsid w:val="00543703"/>
    <w:rsid w:val="005439EE"/>
    <w:rsid w:val="005442D0"/>
    <w:rsid w:val="00544A24"/>
    <w:rsid w:val="00544A6B"/>
    <w:rsid w:val="00545411"/>
    <w:rsid w:val="00545F22"/>
    <w:rsid w:val="00546675"/>
    <w:rsid w:val="00546BA9"/>
    <w:rsid w:val="00547269"/>
    <w:rsid w:val="0055041A"/>
    <w:rsid w:val="00550E70"/>
    <w:rsid w:val="005524E1"/>
    <w:rsid w:val="00552E52"/>
    <w:rsid w:val="0055304F"/>
    <w:rsid w:val="005531DE"/>
    <w:rsid w:val="005536BF"/>
    <w:rsid w:val="005539B5"/>
    <w:rsid w:val="005540CB"/>
    <w:rsid w:val="00555621"/>
    <w:rsid w:val="005557DE"/>
    <w:rsid w:val="0055590A"/>
    <w:rsid w:val="00556810"/>
    <w:rsid w:val="005569D8"/>
    <w:rsid w:val="00556FCC"/>
    <w:rsid w:val="00560C77"/>
    <w:rsid w:val="005619C0"/>
    <w:rsid w:val="00562262"/>
    <w:rsid w:val="00562877"/>
    <w:rsid w:val="00563256"/>
    <w:rsid w:val="005648CB"/>
    <w:rsid w:val="005648F7"/>
    <w:rsid w:val="005652D0"/>
    <w:rsid w:val="00565CEF"/>
    <w:rsid w:val="00565DE4"/>
    <w:rsid w:val="005669E3"/>
    <w:rsid w:val="00566FEE"/>
    <w:rsid w:val="00567211"/>
    <w:rsid w:val="00567242"/>
    <w:rsid w:val="00567B3C"/>
    <w:rsid w:val="00567F22"/>
    <w:rsid w:val="005708CD"/>
    <w:rsid w:val="005709C7"/>
    <w:rsid w:val="00570AE4"/>
    <w:rsid w:val="00570C64"/>
    <w:rsid w:val="00570D02"/>
    <w:rsid w:val="00571C75"/>
    <w:rsid w:val="00572040"/>
    <w:rsid w:val="00573B95"/>
    <w:rsid w:val="005743E4"/>
    <w:rsid w:val="00574633"/>
    <w:rsid w:val="00574CE6"/>
    <w:rsid w:val="005751F7"/>
    <w:rsid w:val="00576147"/>
    <w:rsid w:val="0057665F"/>
    <w:rsid w:val="00576AC3"/>
    <w:rsid w:val="00577819"/>
    <w:rsid w:val="0058147F"/>
    <w:rsid w:val="00581C30"/>
    <w:rsid w:val="00581E82"/>
    <w:rsid w:val="00582684"/>
    <w:rsid w:val="005826AF"/>
    <w:rsid w:val="005826EF"/>
    <w:rsid w:val="005847C1"/>
    <w:rsid w:val="00585FD4"/>
    <w:rsid w:val="005879C9"/>
    <w:rsid w:val="00587A2E"/>
    <w:rsid w:val="00587E90"/>
    <w:rsid w:val="00590305"/>
    <w:rsid w:val="005904DD"/>
    <w:rsid w:val="00590533"/>
    <w:rsid w:val="00590C4F"/>
    <w:rsid w:val="005914D9"/>
    <w:rsid w:val="00591695"/>
    <w:rsid w:val="00593FDC"/>
    <w:rsid w:val="00594068"/>
    <w:rsid w:val="005941CC"/>
    <w:rsid w:val="005945D8"/>
    <w:rsid w:val="00594C8A"/>
    <w:rsid w:val="00594E42"/>
    <w:rsid w:val="00594F70"/>
    <w:rsid w:val="00596FDF"/>
    <w:rsid w:val="00597B50"/>
    <w:rsid w:val="00597E7B"/>
    <w:rsid w:val="005A00B5"/>
    <w:rsid w:val="005A0115"/>
    <w:rsid w:val="005A019D"/>
    <w:rsid w:val="005A07F0"/>
    <w:rsid w:val="005A0D6B"/>
    <w:rsid w:val="005A0DBF"/>
    <w:rsid w:val="005A0DCC"/>
    <w:rsid w:val="005A14F5"/>
    <w:rsid w:val="005A16FB"/>
    <w:rsid w:val="005A18F5"/>
    <w:rsid w:val="005A2199"/>
    <w:rsid w:val="005A21B0"/>
    <w:rsid w:val="005A238B"/>
    <w:rsid w:val="005A26BD"/>
    <w:rsid w:val="005A3BE5"/>
    <w:rsid w:val="005A4772"/>
    <w:rsid w:val="005A4921"/>
    <w:rsid w:val="005A4AD2"/>
    <w:rsid w:val="005A506B"/>
    <w:rsid w:val="005A5C9A"/>
    <w:rsid w:val="005A5E13"/>
    <w:rsid w:val="005A5EE1"/>
    <w:rsid w:val="005A723F"/>
    <w:rsid w:val="005A7C8D"/>
    <w:rsid w:val="005B0495"/>
    <w:rsid w:val="005B06DD"/>
    <w:rsid w:val="005B089E"/>
    <w:rsid w:val="005B0A34"/>
    <w:rsid w:val="005B17DB"/>
    <w:rsid w:val="005B182F"/>
    <w:rsid w:val="005B23AE"/>
    <w:rsid w:val="005B26D5"/>
    <w:rsid w:val="005B2B04"/>
    <w:rsid w:val="005B30AC"/>
    <w:rsid w:val="005B3127"/>
    <w:rsid w:val="005B379B"/>
    <w:rsid w:val="005B3F52"/>
    <w:rsid w:val="005B3FF9"/>
    <w:rsid w:val="005B485C"/>
    <w:rsid w:val="005B4919"/>
    <w:rsid w:val="005B6550"/>
    <w:rsid w:val="005B67DB"/>
    <w:rsid w:val="005B68E6"/>
    <w:rsid w:val="005B6EC9"/>
    <w:rsid w:val="005B764D"/>
    <w:rsid w:val="005B776B"/>
    <w:rsid w:val="005B7DFD"/>
    <w:rsid w:val="005C049F"/>
    <w:rsid w:val="005C063D"/>
    <w:rsid w:val="005C0B9A"/>
    <w:rsid w:val="005C156A"/>
    <w:rsid w:val="005C1712"/>
    <w:rsid w:val="005C1D7F"/>
    <w:rsid w:val="005C2065"/>
    <w:rsid w:val="005C2FC8"/>
    <w:rsid w:val="005C3293"/>
    <w:rsid w:val="005C38A1"/>
    <w:rsid w:val="005C3AB2"/>
    <w:rsid w:val="005C3CF1"/>
    <w:rsid w:val="005C3D0A"/>
    <w:rsid w:val="005C4293"/>
    <w:rsid w:val="005C5926"/>
    <w:rsid w:val="005C67B3"/>
    <w:rsid w:val="005C6AE6"/>
    <w:rsid w:val="005C73B0"/>
    <w:rsid w:val="005C7FD8"/>
    <w:rsid w:val="005D027F"/>
    <w:rsid w:val="005D03A1"/>
    <w:rsid w:val="005D1889"/>
    <w:rsid w:val="005D2CA6"/>
    <w:rsid w:val="005D33AD"/>
    <w:rsid w:val="005D37BD"/>
    <w:rsid w:val="005D39F0"/>
    <w:rsid w:val="005D39F7"/>
    <w:rsid w:val="005D3AC2"/>
    <w:rsid w:val="005D3C1B"/>
    <w:rsid w:val="005D4C1B"/>
    <w:rsid w:val="005D5137"/>
    <w:rsid w:val="005D6025"/>
    <w:rsid w:val="005D6089"/>
    <w:rsid w:val="005D6595"/>
    <w:rsid w:val="005D698C"/>
    <w:rsid w:val="005D6DA7"/>
    <w:rsid w:val="005D79C7"/>
    <w:rsid w:val="005D7E9C"/>
    <w:rsid w:val="005E0D3F"/>
    <w:rsid w:val="005E14DD"/>
    <w:rsid w:val="005E1C2A"/>
    <w:rsid w:val="005E1FEE"/>
    <w:rsid w:val="005E2021"/>
    <w:rsid w:val="005E3FB0"/>
    <w:rsid w:val="005E423D"/>
    <w:rsid w:val="005E5DAC"/>
    <w:rsid w:val="005E60A4"/>
    <w:rsid w:val="005E60CE"/>
    <w:rsid w:val="005E68E1"/>
    <w:rsid w:val="005E6E4E"/>
    <w:rsid w:val="005E7009"/>
    <w:rsid w:val="005E72FD"/>
    <w:rsid w:val="005E7398"/>
    <w:rsid w:val="005E7589"/>
    <w:rsid w:val="005E758A"/>
    <w:rsid w:val="005E7C0B"/>
    <w:rsid w:val="005E7E44"/>
    <w:rsid w:val="005E7EFB"/>
    <w:rsid w:val="005F0179"/>
    <w:rsid w:val="005F03CA"/>
    <w:rsid w:val="005F042D"/>
    <w:rsid w:val="005F0462"/>
    <w:rsid w:val="005F0592"/>
    <w:rsid w:val="005F0C3D"/>
    <w:rsid w:val="005F11BC"/>
    <w:rsid w:val="005F1A3B"/>
    <w:rsid w:val="005F2B04"/>
    <w:rsid w:val="005F2E13"/>
    <w:rsid w:val="005F30B6"/>
    <w:rsid w:val="005F37E7"/>
    <w:rsid w:val="005F45F5"/>
    <w:rsid w:val="005F46FF"/>
    <w:rsid w:val="005F4907"/>
    <w:rsid w:val="005F4A26"/>
    <w:rsid w:val="005F4BE5"/>
    <w:rsid w:val="005F5A2E"/>
    <w:rsid w:val="005F5D10"/>
    <w:rsid w:val="005F5E6B"/>
    <w:rsid w:val="005F61B6"/>
    <w:rsid w:val="005F69C6"/>
    <w:rsid w:val="005F7854"/>
    <w:rsid w:val="00600009"/>
    <w:rsid w:val="00600777"/>
    <w:rsid w:val="00601012"/>
    <w:rsid w:val="006014DA"/>
    <w:rsid w:val="00601710"/>
    <w:rsid w:val="00601A18"/>
    <w:rsid w:val="00602DC3"/>
    <w:rsid w:val="00603AAB"/>
    <w:rsid w:val="00603ABF"/>
    <w:rsid w:val="00603C77"/>
    <w:rsid w:val="006040EE"/>
    <w:rsid w:val="006058CF"/>
    <w:rsid w:val="00605922"/>
    <w:rsid w:val="00605A75"/>
    <w:rsid w:val="00605EBF"/>
    <w:rsid w:val="006064D5"/>
    <w:rsid w:val="006064E2"/>
    <w:rsid w:val="00606991"/>
    <w:rsid w:val="00606A05"/>
    <w:rsid w:val="00606E7F"/>
    <w:rsid w:val="00607009"/>
    <w:rsid w:val="00610290"/>
    <w:rsid w:val="00610609"/>
    <w:rsid w:val="006116A0"/>
    <w:rsid w:val="0061275C"/>
    <w:rsid w:val="00612BA4"/>
    <w:rsid w:val="0061306B"/>
    <w:rsid w:val="00613B83"/>
    <w:rsid w:val="0061419D"/>
    <w:rsid w:val="006144D7"/>
    <w:rsid w:val="00614E92"/>
    <w:rsid w:val="006152AD"/>
    <w:rsid w:val="00616160"/>
    <w:rsid w:val="006161FA"/>
    <w:rsid w:val="00616C3F"/>
    <w:rsid w:val="006208A8"/>
    <w:rsid w:val="00620915"/>
    <w:rsid w:val="00620A8D"/>
    <w:rsid w:val="00620EEC"/>
    <w:rsid w:val="00621421"/>
    <w:rsid w:val="00621475"/>
    <w:rsid w:val="00621849"/>
    <w:rsid w:val="00622360"/>
    <w:rsid w:val="00622C90"/>
    <w:rsid w:val="00622F0D"/>
    <w:rsid w:val="00623458"/>
    <w:rsid w:val="006238FE"/>
    <w:rsid w:val="00623932"/>
    <w:rsid w:val="00623ED4"/>
    <w:rsid w:val="00625BBD"/>
    <w:rsid w:val="00625BC2"/>
    <w:rsid w:val="006267D7"/>
    <w:rsid w:val="00626D11"/>
    <w:rsid w:val="006272A2"/>
    <w:rsid w:val="00627983"/>
    <w:rsid w:val="0063077E"/>
    <w:rsid w:val="006308A2"/>
    <w:rsid w:val="00630A55"/>
    <w:rsid w:val="00630C7F"/>
    <w:rsid w:val="006333E6"/>
    <w:rsid w:val="00633B2F"/>
    <w:rsid w:val="00633EA9"/>
    <w:rsid w:val="00635062"/>
    <w:rsid w:val="00636229"/>
    <w:rsid w:val="006363F9"/>
    <w:rsid w:val="00636846"/>
    <w:rsid w:val="00636E2F"/>
    <w:rsid w:val="00636ED5"/>
    <w:rsid w:val="006403A3"/>
    <w:rsid w:val="006407C8"/>
    <w:rsid w:val="00640971"/>
    <w:rsid w:val="00640A4E"/>
    <w:rsid w:val="00640F87"/>
    <w:rsid w:val="00642AE5"/>
    <w:rsid w:val="006432FE"/>
    <w:rsid w:val="00643312"/>
    <w:rsid w:val="006434D9"/>
    <w:rsid w:val="006438E6"/>
    <w:rsid w:val="00644229"/>
    <w:rsid w:val="00646BDE"/>
    <w:rsid w:val="00646F33"/>
    <w:rsid w:val="006473E8"/>
    <w:rsid w:val="00647611"/>
    <w:rsid w:val="00651928"/>
    <w:rsid w:val="0065195F"/>
    <w:rsid w:val="0065237B"/>
    <w:rsid w:val="00652A1C"/>
    <w:rsid w:val="00652E23"/>
    <w:rsid w:val="0065311A"/>
    <w:rsid w:val="00654252"/>
    <w:rsid w:val="00654286"/>
    <w:rsid w:val="00654DC8"/>
    <w:rsid w:val="006554E1"/>
    <w:rsid w:val="00655E81"/>
    <w:rsid w:val="00656648"/>
    <w:rsid w:val="0065688E"/>
    <w:rsid w:val="006569DA"/>
    <w:rsid w:val="00656B12"/>
    <w:rsid w:val="00657436"/>
    <w:rsid w:val="0066055E"/>
    <w:rsid w:val="00660A37"/>
    <w:rsid w:val="006613D0"/>
    <w:rsid w:val="00661826"/>
    <w:rsid w:val="0066189F"/>
    <w:rsid w:val="00661AC2"/>
    <w:rsid w:val="006620DE"/>
    <w:rsid w:val="00662449"/>
    <w:rsid w:val="00663335"/>
    <w:rsid w:val="006649F1"/>
    <w:rsid w:val="00664A23"/>
    <w:rsid w:val="00665322"/>
    <w:rsid w:val="0066558B"/>
    <w:rsid w:val="00665DDE"/>
    <w:rsid w:val="00666835"/>
    <w:rsid w:val="00666968"/>
    <w:rsid w:val="00666DAB"/>
    <w:rsid w:val="006674A7"/>
    <w:rsid w:val="00667588"/>
    <w:rsid w:val="006679DD"/>
    <w:rsid w:val="0067012E"/>
    <w:rsid w:val="0067040A"/>
    <w:rsid w:val="006704BF"/>
    <w:rsid w:val="00670613"/>
    <w:rsid w:val="00671DB1"/>
    <w:rsid w:val="006723F7"/>
    <w:rsid w:val="0067311E"/>
    <w:rsid w:val="0067399E"/>
    <w:rsid w:val="00673FC2"/>
    <w:rsid w:val="00675161"/>
    <w:rsid w:val="006757AC"/>
    <w:rsid w:val="00675A34"/>
    <w:rsid w:val="00675CF6"/>
    <w:rsid w:val="0067601B"/>
    <w:rsid w:val="006766F9"/>
    <w:rsid w:val="00676B6D"/>
    <w:rsid w:val="00677407"/>
    <w:rsid w:val="006778AE"/>
    <w:rsid w:val="00677A7A"/>
    <w:rsid w:val="006817AE"/>
    <w:rsid w:val="00681AFF"/>
    <w:rsid w:val="0068216B"/>
    <w:rsid w:val="00682281"/>
    <w:rsid w:val="00683596"/>
    <w:rsid w:val="00685375"/>
    <w:rsid w:val="00685E62"/>
    <w:rsid w:val="00687039"/>
    <w:rsid w:val="00687076"/>
    <w:rsid w:val="00687290"/>
    <w:rsid w:val="00687C8D"/>
    <w:rsid w:val="00687D09"/>
    <w:rsid w:val="0069046D"/>
    <w:rsid w:val="006906CB"/>
    <w:rsid w:val="00690F1A"/>
    <w:rsid w:val="00691ABE"/>
    <w:rsid w:val="00692243"/>
    <w:rsid w:val="0069298A"/>
    <w:rsid w:val="00692A7A"/>
    <w:rsid w:val="00692C79"/>
    <w:rsid w:val="00693076"/>
    <w:rsid w:val="0069308F"/>
    <w:rsid w:val="006954C5"/>
    <w:rsid w:val="0069596D"/>
    <w:rsid w:val="00696803"/>
    <w:rsid w:val="0069710D"/>
    <w:rsid w:val="006A121D"/>
    <w:rsid w:val="006A15C4"/>
    <w:rsid w:val="006A2122"/>
    <w:rsid w:val="006A2E5D"/>
    <w:rsid w:val="006A4F8A"/>
    <w:rsid w:val="006A50C4"/>
    <w:rsid w:val="006A6185"/>
    <w:rsid w:val="006A6611"/>
    <w:rsid w:val="006B0F12"/>
    <w:rsid w:val="006B0FB9"/>
    <w:rsid w:val="006B18C3"/>
    <w:rsid w:val="006B1C9F"/>
    <w:rsid w:val="006B2376"/>
    <w:rsid w:val="006B2AD3"/>
    <w:rsid w:val="006B2E28"/>
    <w:rsid w:val="006B31AB"/>
    <w:rsid w:val="006B352F"/>
    <w:rsid w:val="006B3946"/>
    <w:rsid w:val="006B42DB"/>
    <w:rsid w:val="006B4EDF"/>
    <w:rsid w:val="006B53DD"/>
    <w:rsid w:val="006B5F40"/>
    <w:rsid w:val="006B7096"/>
    <w:rsid w:val="006B719F"/>
    <w:rsid w:val="006B72FE"/>
    <w:rsid w:val="006B7462"/>
    <w:rsid w:val="006B74ED"/>
    <w:rsid w:val="006B7951"/>
    <w:rsid w:val="006C0B31"/>
    <w:rsid w:val="006C0C5B"/>
    <w:rsid w:val="006C118F"/>
    <w:rsid w:val="006C139F"/>
    <w:rsid w:val="006C1908"/>
    <w:rsid w:val="006C19E2"/>
    <w:rsid w:val="006C1E71"/>
    <w:rsid w:val="006C20D2"/>
    <w:rsid w:val="006C2AC9"/>
    <w:rsid w:val="006C3039"/>
    <w:rsid w:val="006C322F"/>
    <w:rsid w:val="006C4BC1"/>
    <w:rsid w:val="006C517F"/>
    <w:rsid w:val="006C52EA"/>
    <w:rsid w:val="006C5DE8"/>
    <w:rsid w:val="006C5F8C"/>
    <w:rsid w:val="006C611F"/>
    <w:rsid w:val="006C63FF"/>
    <w:rsid w:val="006C7035"/>
    <w:rsid w:val="006C715D"/>
    <w:rsid w:val="006C7873"/>
    <w:rsid w:val="006C7D86"/>
    <w:rsid w:val="006C7DB8"/>
    <w:rsid w:val="006D0657"/>
    <w:rsid w:val="006D07BF"/>
    <w:rsid w:val="006D0DF9"/>
    <w:rsid w:val="006D1F09"/>
    <w:rsid w:val="006D2F05"/>
    <w:rsid w:val="006D36E2"/>
    <w:rsid w:val="006D3B16"/>
    <w:rsid w:val="006D4769"/>
    <w:rsid w:val="006D513E"/>
    <w:rsid w:val="006D53ED"/>
    <w:rsid w:val="006D5517"/>
    <w:rsid w:val="006D58B5"/>
    <w:rsid w:val="006D6BE1"/>
    <w:rsid w:val="006D71CF"/>
    <w:rsid w:val="006D7424"/>
    <w:rsid w:val="006D7568"/>
    <w:rsid w:val="006D7682"/>
    <w:rsid w:val="006D7CC5"/>
    <w:rsid w:val="006E033B"/>
    <w:rsid w:val="006E0416"/>
    <w:rsid w:val="006E091B"/>
    <w:rsid w:val="006E13FC"/>
    <w:rsid w:val="006E158B"/>
    <w:rsid w:val="006E167A"/>
    <w:rsid w:val="006E1CA6"/>
    <w:rsid w:val="006E2013"/>
    <w:rsid w:val="006E25DC"/>
    <w:rsid w:val="006E2AE7"/>
    <w:rsid w:val="006E2D7D"/>
    <w:rsid w:val="006E3169"/>
    <w:rsid w:val="006E351D"/>
    <w:rsid w:val="006E3709"/>
    <w:rsid w:val="006E437A"/>
    <w:rsid w:val="006E4B54"/>
    <w:rsid w:val="006E569A"/>
    <w:rsid w:val="006E5C58"/>
    <w:rsid w:val="006E62D0"/>
    <w:rsid w:val="006E746A"/>
    <w:rsid w:val="006EAB18"/>
    <w:rsid w:val="006F000D"/>
    <w:rsid w:val="006F00DB"/>
    <w:rsid w:val="006F1254"/>
    <w:rsid w:val="006F1499"/>
    <w:rsid w:val="006F17E9"/>
    <w:rsid w:val="006F23B5"/>
    <w:rsid w:val="006F2607"/>
    <w:rsid w:val="006F2EFC"/>
    <w:rsid w:val="006F47D1"/>
    <w:rsid w:val="006F57AC"/>
    <w:rsid w:val="006F5CE5"/>
    <w:rsid w:val="006F5F62"/>
    <w:rsid w:val="006F6A4B"/>
    <w:rsid w:val="006F6BFD"/>
    <w:rsid w:val="006F6D1B"/>
    <w:rsid w:val="006F740D"/>
    <w:rsid w:val="006F7975"/>
    <w:rsid w:val="006F7D10"/>
    <w:rsid w:val="00700D41"/>
    <w:rsid w:val="00701657"/>
    <w:rsid w:val="00701F59"/>
    <w:rsid w:val="00702105"/>
    <w:rsid w:val="007026F7"/>
    <w:rsid w:val="007037C6"/>
    <w:rsid w:val="00703C37"/>
    <w:rsid w:val="00704243"/>
    <w:rsid w:val="00704A23"/>
    <w:rsid w:val="0070510F"/>
    <w:rsid w:val="0070536D"/>
    <w:rsid w:val="00705C15"/>
    <w:rsid w:val="00705C9B"/>
    <w:rsid w:val="007063E0"/>
    <w:rsid w:val="00706931"/>
    <w:rsid w:val="00707A91"/>
    <w:rsid w:val="00707B77"/>
    <w:rsid w:val="00707FF7"/>
    <w:rsid w:val="0071034D"/>
    <w:rsid w:val="00710361"/>
    <w:rsid w:val="0071086C"/>
    <w:rsid w:val="00710A92"/>
    <w:rsid w:val="00710B63"/>
    <w:rsid w:val="0071147F"/>
    <w:rsid w:val="00711D0C"/>
    <w:rsid w:val="00711FB2"/>
    <w:rsid w:val="00712A8B"/>
    <w:rsid w:val="00713934"/>
    <w:rsid w:val="0071401F"/>
    <w:rsid w:val="00715185"/>
    <w:rsid w:val="007157D9"/>
    <w:rsid w:val="00715CCB"/>
    <w:rsid w:val="00716ABE"/>
    <w:rsid w:val="00716E20"/>
    <w:rsid w:val="00717F60"/>
    <w:rsid w:val="007200E1"/>
    <w:rsid w:val="0072090A"/>
    <w:rsid w:val="00721134"/>
    <w:rsid w:val="00721242"/>
    <w:rsid w:val="007212DE"/>
    <w:rsid w:val="0072138C"/>
    <w:rsid w:val="007219C4"/>
    <w:rsid w:val="00721A98"/>
    <w:rsid w:val="00721CC5"/>
    <w:rsid w:val="00721CCC"/>
    <w:rsid w:val="00722EB8"/>
    <w:rsid w:val="00723082"/>
    <w:rsid w:val="007233BC"/>
    <w:rsid w:val="00724271"/>
    <w:rsid w:val="007244D6"/>
    <w:rsid w:val="00724861"/>
    <w:rsid w:val="00724D08"/>
    <w:rsid w:val="007250A0"/>
    <w:rsid w:val="007255BF"/>
    <w:rsid w:val="00725D5F"/>
    <w:rsid w:val="007261EA"/>
    <w:rsid w:val="0072659F"/>
    <w:rsid w:val="00727EC7"/>
    <w:rsid w:val="0073078F"/>
    <w:rsid w:val="007310AF"/>
    <w:rsid w:val="0073185A"/>
    <w:rsid w:val="007323C6"/>
    <w:rsid w:val="0073241B"/>
    <w:rsid w:val="007328D8"/>
    <w:rsid w:val="00732A9C"/>
    <w:rsid w:val="007333CE"/>
    <w:rsid w:val="00733E54"/>
    <w:rsid w:val="007342E6"/>
    <w:rsid w:val="007342EE"/>
    <w:rsid w:val="00734750"/>
    <w:rsid w:val="00734B30"/>
    <w:rsid w:val="00735169"/>
    <w:rsid w:val="007358D7"/>
    <w:rsid w:val="00735C78"/>
    <w:rsid w:val="0073615B"/>
    <w:rsid w:val="00736872"/>
    <w:rsid w:val="00736F09"/>
    <w:rsid w:val="00737108"/>
    <w:rsid w:val="00740FDB"/>
    <w:rsid w:val="00741D5B"/>
    <w:rsid w:val="00741E1B"/>
    <w:rsid w:val="00742657"/>
    <w:rsid w:val="0074313E"/>
    <w:rsid w:val="007431EE"/>
    <w:rsid w:val="0074356E"/>
    <w:rsid w:val="007448FF"/>
    <w:rsid w:val="00744DC0"/>
    <w:rsid w:val="00745107"/>
    <w:rsid w:val="0074536A"/>
    <w:rsid w:val="00745EA2"/>
    <w:rsid w:val="0074615C"/>
    <w:rsid w:val="00746AE8"/>
    <w:rsid w:val="00746BAE"/>
    <w:rsid w:val="00746F1C"/>
    <w:rsid w:val="00746F2F"/>
    <w:rsid w:val="007476A5"/>
    <w:rsid w:val="00747B9A"/>
    <w:rsid w:val="007506C6"/>
    <w:rsid w:val="007506F6"/>
    <w:rsid w:val="00750DAB"/>
    <w:rsid w:val="00751553"/>
    <w:rsid w:val="00751B1F"/>
    <w:rsid w:val="00752103"/>
    <w:rsid w:val="0075221A"/>
    <w:rsid w:val="00752FAD"/>
    <w:rsid w:val="00753806"/>
    <w:rsid w:val="007538E2"/>
    <w:rsid w:val="007546AB"/>
    <w:rsid w:val="007547B1"/>
    <w:rsid w:val="00754FD8"/>
    <w:rsid w:val="0075525A"/>
    <w:rsid w:val="00756DC5"/>
    <w:rsid w:val="0075734D"/>
    <w:rsid w:val="00757692"/>
    <w:rsid w:val="00760168"/>
    <w:rsid w:val="007601AC"/>
    <w:rsid w:val="0076055E"/>
    <w:rsid w:val="007607D2"/>
    <w:rsid w:val="0076096B"/>
    <w:rsid w:val="00761600"/>
    <w:rsid w:val="00762474"/>
    <w:rsid w:val="00762506"/>
    <w:rsid w:val="007629D4"/>
    <w:rsid w:val="00763509"/>
    <w:rsid w:val="00763557"/>
    <w:rsid w:val="00763E3F"/>
    <w:rsid w:val="0076616F"/>
    <w:rsid w:val="00766F39"/>
    <w:rsid w:val="00767D60"/>
    <w:rsid w:val="007703A6"/>
    <w:rsid w:val="007710F9"/>
    <w:rsid w:val="0077238B"/>
    <w:rsid w:val="0077245A"/>
    <w:rsid w:val="00773813"/>
    <w:rsid w:val="00773A52"/>
    <w:rsid w:val="00775C45"/>
    <w:rsid w:val="00775E50"/>
    <w:rsid w:val="007761CA"/>
    <w:rsid w:val="007764A7"/>
    <w:rsid w:val="007764C1"/>
    <w:rsid w:val="00777371"/>
    <w:rsid w:val="00780266"/>
    <w:rsid w:val="00780579"/>
    <w:rsid w:val="007806DB"/>
    <w:rsid w:val="0078100E"/>
    <w:rsid w:val="0078165A"/>
    <w:rsid w:val="00781BF9"/>
    <w:rsid w:val="00781C49"/>
    <w:rsid w:val="00781DAD"/>
    <w:rsid w:val="0078213D"/>
    <w:rsid w:val="007821FD"/>
    <w:rsid w:val="00782F86"/>
    <w:rsid w:val="00783281"/>
    <w:rsid w:val="00783418"/>
    <w:rsid w:val="0078354A"/>
    <w:rsid w:val="00784BD0"/>
    <w:rsid w:val="007851BE"/>
    <w:rsid w:val="0078565C"/>
    <w:rsid w:val="00785DE3"/>
    <w:rsid w:val="007861EC"/>
    <w:rsid w:val="007874CC"/>
    <w:rsid w:val="007876E6"/>
    <w:rsid w:val="00787C7C"/>
    <w:rsid w:val="00790B99"/>
    <w:rsid w:val="00790C57"/>
    <w:rsid w:val="00790C87"/>
    <w:rsid w:val="00791D01"/>
    <w:rsid w:val="00792D13"/>
    <w:rsid w:val="00792DEC"/>
    <w:rsid w:val="00793004"/>
    <w:rsid w:val="007937AE"/>
    <w:rsid w:val="007941AB"/>
    <w:rsid w:val="00794AF0"/>
    <w:rsid w:val="00794FAA"/>
    <w:rsid w:val="007951B6"/>
    <w:rsid w:val="007955C5"/>
    <w:rsid w:val="007958F2"/>
    <w:rsid w:val="00795D11"/>
    <w:rsid w:val="0079738E"/>
    <w:rsid w:val="007979C9"/>
    <w:rsid w:val="00797B1F"/>
    <w:rsid w:val="00797C7D"/>
    <w:rsid w:val="007A0BE5"/>
    <w:rsid w:val="007A1527"/>
    <w:rsid w:val="007A1D0F"/>
    <w:rsid w:val="007A2AD0"/>
    <w:rsid w:val="007A2B9B"/>
    <w:rsid w:val="007A32E0"/>
    <w:rsid w:val="007A3D72"/>
    <w:rsid w:val="007A46CF"/>
    <w:rsid w:val="007A46D5"/>
    <w:rsid w:val="007A4C4A"/>
    <w:rsid w:val="007A4C52"/>
    <w:rsid w:val="007A4DD0"/>
    <w:rsid w:val="007A5A48"/>
    <w:rsid w:val="007A5DFE"/>
    <w:rsid w:val="007A6080"/>
    <w:rsid w:val="007A7A04"/>
    <w:rsid w:val="007A7DED"/>
    <w:rsid w:val="007B01B0"/>
    <w:rsid w:val="007B01C0"/>
    <w:rsid w:val="007B039A"/>
    <w:rsid w:val="007B040C"/>
    <w:rsid w:val="007B04E8"/>
    <w:rsid w:val="007B060F"/>
    <w:rsid w:val="007B066A"/>
    <w:rsid w:val="007B0742"/>
    <w:rsid w:val="007B09AA"/>
    <w:rsid w:val="007B0CF3"/>
    <w:rsid w:val="007B13CF"/>
    <w:rsid w:val="007B16B1"/>
    <w:rsid w:val="007B19AF"/>
    <w:rsid w:val="007B1E6F"/>
    <w:rsid w:val="007B293B"/>
    <w:rsid w:val="007B366F"/>
    <w:rsid w:val="007B41F8"/>
    <w:rsid w:val="007B49ED"/>
    <w:rsid w:val="007B4A6E"/>
    <w:rsid w:val="007B600A"/>
    <w:rsid w:val="007B6F59"/>
    <w:rsid w:val="007B7458"/>
    <w:rsid w:val="007B7515"/>
    <w:rsid w:val="007C0060"/>
    <w:rsid w:val="007C0AEF"/>
    <w:rsid w:val="007C0DB3"/>
    <w:rsid w:val="007C2DC2"/>
    <w:rsid w:val="007C41BB"/>
    <w:rsid w:val="007C4962"/>
    <w:rsid w:val="007C49B4"/>
    <w:rsid w:val="007C4EA9"/>
    <w:rsid w:val="007C500D"/>
    <w:rsid w:val="007C5A4C"/>
    <w:rsid w:val="007C5BB7"/>
    <w:rsid w:val="007C6514"/>
    <w:rsid w:val="007C66D0"/>
    <w:rsid w:val="007C6927"/>
    <w:rsid w:val="007D00B9"/>
    <w:rsid w:val="007D0B74"/>
    <w:rsid w:val="007D0BE4"/>
    <w:rsid w:val="007D1B90"/>
    <w:rsid w:val="007D3190"/>
    <w:rsid w:val="007D3D0B"/>
    <w:rsid w:val="007D3DC4"/>
    <w:rsid w:val="007D4535"/>
    <w:rsid w:val="007D5B7B"/>
    <w:rsid w:val="007D6014"/>
    <w:rsid w:val="007D6078"/>
    <w:rsid w:val="007D6B57"/>
    <w:rsid w:val="007E02FF"/>
    <w:rsid w:val="007E03C0"/>
    <w:rsid w:val="007E130E"/>
    <w:rsid w:val="007E1625"/>
    <w:rsid w:val="007E1654"/>
    <w:rsid w:val="007E1C55"/>
    <w:rsid w:val="007E287D"/>
    <w:rsid w:val="007E2D7B"/>
    <w:rsid w:val="007E327E"/>
    <w:rsid w:val="007E32CC"/>
    <w:rsid w:val="007E339D"/>
    <w:rsid w:val="007E362E"/>
    <w:rsid w:val="007E3C8C"/>
    <w:rsid w:val="007E4723"/>
    <w:rsid w:val="007E4FF2"/>
    <w:rsid w:val="007E61B8"/>
    <w:rsid w:val="007E68D2"/>
    <w:rsid w:val="007E73C6"/>
    <w:rsid w:val="007E751F"/>
    <w:rsid w:val="007E758A"/>
    <w:rsid w:val="007E7EDB"/>
    <w:rsid w:val="007F0073"/>
    <w:rsid w:val="007F0655"/>
    <w:rsid w:val="007F0846"/>
    <w:rsid w:val="007F0C62"/>
    <w:rsid w:val="007F0D6D"/>
    <w:rsid w:val="007F0F18"/>
    <w:rsid w:val="007F148D"/>
    <w:rsid w:val="007F22C5"/>
    <w:rsid w:val="007F26C8"/>
    <w:rsid w:val="007F321A"/>
    <w:rsid w:val="007F3890"/>
    <w:rsid w:val="007F3DB8"/>
    <w:rsid w:val="007F3FF1"/>
    <w:rsid w:val="007F4005"/>
    <w:rsid w:val="007F487B"/>
    <w:rsid w:val="007F52B3"/>
    <w:rsid w:val="007F53C5"/>
    <w:rsid w:val="007F63CA"/>
    <w:rsid w:val="007F644C"/>
    <w:rsid w:val="007F68F0"/>
    <w:rsid w:val="007F6D5F"/>
    <w:rsid w:val="007F736A"/>
    <w:rsid w:val="007F7C42"/>
    <w:rsid w:val="007F7C76"/>
    <w:rsid w:val="00800225"/>
    <w:rsid w:val="00800A49"/>
    <w:rsid w:val="00800F9B"/>
    <w:rsid w:val="00801B78"/>
    <w:rsid w:val="00801BCC"/>
    <w:rsid w:val="00803143"/>
    <w:rsid w:val="00803605"/>
    <w:rsid w:val="00803D78"/>
    <w:rsid w:val="00804950"/>
    <w:rsid w:val="008053CB"/>
    <w:rsid w:val="008058AC"/>
    <w:rsid w:val="00805FC4"/>
    <w:rsid w:val="0080733C"/>
    <w:rsid w:val="008075B5"/>
    <w:rsid w:val="00807CB0"/>
    <w:rsid w:val="00807F22"/>
    <w:rsid w:val="008105CE"/>
    <w:rsid w:val="008106E6"/>
    <w:rsid w:val="00811B27"/>
    <w:rsid w:val="008129BB"/>
    <w:rsid w:val="00813576"/>
    <w:rsid w:val="00815565"/>
    <w:rsid w:val="00815741"/>
    <w:rsid w:val="00815B1F"/>
    <w:rsid w:val="00815DED"/>
    <w:rsid w:val="00816A87"/>
    <w:rsid w:val="00816B01"/>
    <w:rsid w:val="00817872"/>
    <w:rsid w:val="008200E1"/>
    <w:rsid w:val="008206C9"/>
    <w:rsid w:val="008216A7"/>
    <w:rsid w:val="00821D49"/>
    <w:rsid w:val="00822ACC"/>
    <w:rsid w:val="00822C4C"/>
    <w:rsid w:val="00822DFF"/>
    <w:rsid w:val="00823009"/>
    <w:rsid w:val="0082345B"/>
    <w:rsid w:val="00823C5B"/>
    <w:rsid w:val="00823F60"/>
    <w:rsid w:val="008241E8"/>
    <w:rsid w:val="00824BCB"/>
    <w:rsid w:val="008255F7"/>
    <w:rsid w:val="008268B0"/>
    <w:rsid w:val="00826956"/>
    <w:rsid w:val="00826DCF"/>
    <w:rsid w:val="00827A06"/>
    <w:rsid w:val="00827B8D"/>
    <w:rsid w:val="0083025F"/>
    <w:rsid w:val="0083035E"/>
    <w:rsid w:val="00830622"/>
    <w:rsid w:val="0083078F"/>
    <w:rsid w:val="00832788"/>
    <w:rsid w:val="0083370D"/>
    <w:rsid w:val="008338DE"/>
    <w:rsid w:val="00833A01"/>
    <w:rsid w:val="00834398"/>
    <w:rsid w:val="00834990"/>
    <w:rsid w:val="00835BC4"/>
    <w:rsid w:val="008360EB"/>
    <w:rsid w:val="0083613D"/>
    <w:rsid w:val="0083618D"/>
    <w:rsid w:val="008373F5"/>
    <w:rsid w:val="008378B3"/>
    <w:rsid w:val="00837D67"/>
    <w:rsid w:val="008409A5"/>
    <w:rsid w:val="008410EB"/>
    <w:rsid w:val="008413DE"/>
    <w:rsid w:val="00842691"/>
    <w:rsid w:val="008429EA"/>
    <w:rsid w:val="00842D6E"/>
    <w:rsid w:val="008446CF"/>
    <w:rsid w:val="008458A5"/>
    <w:rsid w:val="00845C15"/>
    <w:rsid w:val="00845FB8"/>
    <w:rsid w:val="008474A3"/>
    <w:rsid w:val="00847D7C"/>
    <w:rsid w:val="00847F32"/>
    <w:rsid w:val="008504EB"/>
    <w:rsid w:val="00850D85"/>
    <w:rsid w:val="008511BD"/>
    <w:rsid w:val="00851409"/>
    <w:rsid w:val="00852AFC"/>
    <w:rsid w:val="00853425"/>
    <w:rsid w:val="00853854"/>
    <w:rsid w:val="00854018"/>
    <w:rsid w:val="00855D9E"/>
    <w:rsid w:val="00855FC1"/>
    <w:rsid w:val="00856588"/>
    <w:rsid w:val="008567AB"/>
    <w:rsid w:val="00856D6E"/>
    <w:rsid w:val="00857591"/>
    <w:rsid w:val="0086082B"/>
    <w:rsid w:val="00860FE0"/>
    <w:rsid w:val="00861817"/>
    <w:rsid w:val="00861C26"/>
    <w:rsid w:val="0086213F"/>
    <w:rsid w:val="0086242A"/>
    <w:rsid w:val="008629FA"/>
    <w:rsid w:val="00862B17"/>
    <w:rsid w:val="008634E5"/>
    <w:rsid w:val="00863612"/>
    <w:rsid w:val="00863ED7"/>
    <w:rsid w:val="00863F4A"/>
    <w:rsid w:val="00864058"/>
    <w:rsid w:val="0086464A"/>
    <w:rsid w:val="00864C43"/>
    <w:rsid w:val="00864F63"/>
    <w:rsid w:val="008661D8"/>
    <w:rsid w:val="00867860"/>
    <w:rsid w:val="008705F9"/>
    <w:rsid w:val="008707F7"/>
    <w:rsid w:val="00870C76"/>
    <w:rsid w:val="008718D8"/>
    <w:rsid w:val="008720C8"/>
    <w:rsid w:val="00872748"/>
    <w:rsid w:val="00872AC8"/>
    <w:rsid w:val="008738B6"/>
    <w:rsid w:val="00873F89"/>
    <w:rsid w:val="00874C62"/>
    <w:rsid w:val="00874F71"/>
    <w:rsid w:val="00875D4C"/>
    <w:rsid w:val="00875FEE"/>
    <w:rsid w:val="008762C4"/>
    <w:rsid w:val="00876FC8"/>
    <w:rsid w:val="008770F3"/>
    <w:rsid w:val="00877B5C"/>
    <w:rsid w:val="008802C8"/>
    <w:rsid w:val="008802D6"/>
    <w:rsid w:val="00880BA5"/>
    <w:rsid w:val="00880E06"/>
    <w:rsid w:val="008812C6"/>
    <w:rsid w:val="008815B7"/>
    <w:rsid w:val="00881ACF"/>
    <w:rsid w:val="008825B7"/>
    <w:rsid w:val="00882F30"/>
    <w:rsid w:val="00884906"/>
    <w:rsid w:val="00885224"/>
    <w:rsid w:val="00886349"/>
    <w:rsid w:val="00890588"/>
    <w:rsid w:val="00890A64"/>
    <w:rsid w:val="00891C3D"/>
    <w:rsid w:val="00891D75"/>
    <w:rsid w:val="00892143"/>
    <w:rsid w:val="0089262A"/>
    <w:rsid w:val="00892D88"/>
    <w:rsid w:val="00892EBB"/>
    <w:rsid w:val="008933C3"/>
    <w:rsid w:val="00893A90"/>
    <w:rsid w:val="00893B07"/>
    <w:rsid w:val="00893FFD"/>
    <w:rsid w:val="008949ED"/>
    <w:rsid w:val="00894FC1"/>
    <w:rsid w:val="00894FF2"/>
    <w:rsid w:val="008953C8"/>
    <w:rsid w:val="00895B3F"/>
    <w:rsid w:val="00896782"/>
    <w:rsid w:val="00896DC6"/>
    <w:rsid w:val="00897090"/>
    <w:rsid w:val="008A0C8B"/>
    <w:rsid w:val="008A0DF2"/>
    <w:rsid w:val="008A1CB6"/>
    <w:rsid w:val="008A4078"/>
    <w:rsid w:val="008A4B1D"/>
    <w:rsid w:val="008A4F4F"/>
    <w:rsid w:val="008A6CDE"/>
    <w:rsid w:val="008A7C57"/>
    <w:rsid w:val="008B0A67"/>
    <w:rsid w:val="008B0E4D"/>
    <w:rsid w:val="008B1498"/>
    <w:rsid w:val="008B23F8"/>
    <w:rsid w:val="008B2C61"/>
    <w:rsid w:val="008B2EE5"/>
    <w:rsid w:val="008B310B"/>
    <w:rsid w:val="008B4032"/>
    <w:rsid w:val="008B4DED"/>
    <w:rsid w:val="008B4E36"/>
    <w:rsid w:val="008B5441"/>
    <w:rsid w:val="008B5D3C"/>
    <w:rsid w:val="008B6184"/>
    <w:rsid w:val="008B6650"/>
    <w:rsid w:val="008B6C9D"/>
    <w:rsid w:val="008B6D13"/>
    <w:rsid w:val="008B716E"/>
    <w:rsid w:val="008B7180"/>
    <w:rsid w:val="008B7354"/>
    <w:rsid w:val="008B7A8B"/>
    <w:rsid w:val="008C0B9B"/>
    <w:rsid w:val="008C0BD8"/>
    <w:rsid w:val="008C1596"/>
    <w:rsid w:val="008C19D7"/>
    <w:rsid w:val="008C1E42"/>
    <w:rsid w:val="008C266D"/>
    <w:rsid w:val="008C2ED4"/>
    <w:rsid w:val="008C3224"/>
    <w:rsid w:val="008C3730"/>
    <w:rsid w:val="008C3C0C"/>
    <w:rsid w:val="008C56E8"/>
    <w:rsid w:val="008C5720"/>
    <w:rsid w:val="008C5BB0"/>
    <w:rsid w:val="008C5E6B"/>
    <w:rsid w:val="008C6256"/>
    <w:rsid w:val="008C6A08"/>
    <w:rsid w:val="008C6C14"/>
    <w:rsid w:val="008C7358"/>
    <w:rsid w:val="008C7596"/>
    <w:rsid w:val="008C7764"/>
    <w:rsid w:val="008C7E37"/>
    <w:rsid w:val="008D01FF"/>
    <w:rsid w:val="008D1643"/>
    <w:rsid w:val="008D244E"/>
    <w:rsid w:val="008D246A"/>
    <w:rsid w:val="008D26FE"/>
    <w:rsid w:val="008D29C3"/>
    <w:rsid w:val="008D3054"/>
    <w:rsid w:val="008D38DE"/>
    <w:rsid w:val="008D39C7"/>
    <w:rsid w:val="008D3CE9"/>
    <w:rsid w:val="008D4040"/>
    <w:rsid w:val="008D5AC7"/>
    <w:rsid w:val="008D6A45"/>
    <w:rsid w:val="008D6AC2"/>
    <w:rsid w:val="008D6F46"/>
    <w:rsid w:val="008E01AA"/>
    <w:rsid w:val="008E0864"/>
    <w:rsid w:val="008E11A2"/>
    <w:rsid w:val="008E12D4"/>
    <w:rsid w:val="008E1F9E"/>
    <w:rsid w:val="008E3133"/>
    <w:rsid w:val="008E39E0"/>
    <w:rsid w:val="008E4100"/>
    <w:rsid w:val="008E4134"/>
    <w:rsid w:val="008E422F"/>
    <w:rsid w:val="008E50D1"/>
    <w:rsid w:val="008E51C2"/>
    <w:rsid w:val="008E59E7"/>
    <w:rsid w:val="008E5F95"/>
    <w:rsid w:val="008E6214"/>
    <w:rsid w:val="008E65D4"/>
    <w:rsid w:val="008E66DA"/>
    <w:rsid w:val="008E7739"/>
    <w:rsid w:val="008E775E"/>
    <w:rsid w:val="008E7923"/>
    <w:rsid w:val="008E7D86"/>
    <w:rsid w:val="008F0000"/>
    <w:rsid w:val="008F0297"/>
    <w:rsid w:val="008F0C8E"/>
    <w:rsid w:val="008F0F99"/>
    <w:rsid w:val="008F1020"/>
    <w:rsid w:val="008F19FB"/>
    <w:rsid w:val="008F2A6D"/>
    <w:rsid w:val="008F306D"/>
    <w:rsid w:val="008F39C6"/>
    <w:rsid w:val="008F45A4"/>
    <w:rsid w:val="008F4809"/>
    <w:rsid w:val="008F4A8B"/>
    <w:rsid w:val="008F4D8F"/>
    <w:rsid w:val="008F510C"/>
    <w:rsid w:val="008F5581"/>
    <w:rsid w:val="008F56AA"/>
    <w:rsid w:val="008F5BF2"/>
    <w:rsid w:val="008F6926"/>
    <w:rsid w:val="008F6CB3"/>
    <w:rsid w:val="008F7297"/>
    <w:rsid w:val="0090046A"/>
    <w:rsid w:val="00900BC2"/>
    <w:rsid w:val="00901630"/>
    <w:rsid w:val="00901A28"/>
    <w:rsid w:val="00902479"/>
    <w:rsid w:val="009026E5"/>
    <w:rsid w:val="00902BC7"/>
    <w:rsid w:val="0090392A"/>
    <w:rsid w:val="00903CD6"/>
    <w:rsid w:val="00903F7D"/>
    <w:rsid w:val="00903F8C"/>
    <w:rsid w:val="00904707"/>
    <w:rsid w:val="00904A81"/>
    <w:rsid w:val="0090520A"/>
    <w:rsid w:val="00905640"/>
    <w:rsid w:val="009058E6"/>
    <w:rsid w:val="00905EAE"/>
    <w:rsid w:val="0090655A"/>
    <w:rsid w:val="009069FA"/>
    <w:rsid w:val="00906D2F"/>
    <w:rsid w:val="00907160"/>
    <w:rsid w:val="00907D6E"/>
    <w:rsid w:val="009109F0"/>
    <w:rsid w:val="0091126A"/>
    <w:rsid w:val="009112C7"/>
    <w:rsid w:val="0091172C"/>
    <w:rsid w:val="0091192F"/>
    <w:rsid w:val="00911987"/>
    <w:rsid w:val="00911B35"/>
    <w:rsid w:val="009123F2"/>
    <w:rsid w:val="0091261D"/>
    <w:rsid w:val="00912DD5"/>
    <w:rsid w:val="00912F4D"/>
    <w:rsid w:val="0091305C"/>
    <w:rsid w:val="009144C5"/>
    <w:rsid w:val="0091648D"/>
    <w:rsid w:val="009165A4"/>
    <w:rsid w:val="009174C5"/>
    <w:rsid w:val="00917ABE"/>
    <w:rsid w:val="0092005D"/>
    <w:rsid w:val="00921687"/>
    <w:rsid w:val="00921FF9"/>
    <w:rsid w:val="009222C8"/>
    <w:rsid w:val="0092292C"/>
    <w:rsid w:val="00922A1F"/>
    <w:rsid w:val="00922DE3"/>
    <w:rsid w:val="00922F7B"/>
    <w:rsid w:val="00923681"/>
    <w:rsid w:val="00923930"/>
    <w:rsid w:val="00923AC0"/>
    <w:rsid w:val="00924248"/>
    <w:rsid w:val="009265F5"/>
    <w:rsid w:val="0092662B"/>
    <w:rsid w:val="009269E7"/>
    <w:rsid w:val="00926AFF"/>
    <w:rsid w:val="00926E53"/>
    <w:rsid w:val="00926FCC"/>
    <w:rsid w:val="0092777C"/>
    <w:rsid w:val="00930806"/>
    <w:rsid w:val="00930902"/>
    <w:rsid w:val="00930984"/>
    <w:rsid w:val="0093121F"/>
    <w:rsid w:val="00931419"/>
    <w:rsid w:val="00931A4E"/>
    <w:rsid w:val="00931D4B"/>
    <w:rsid w:val="00932155"/>
    <w:rsid w:val="00932A2C"/>
    <w:rsid w:val="00933564"/>
    <w:rsid w:val="00933AF9"/>
    <w:rsid w:val="00934CBA"/>
    <w:rsid w:val="00934E12"/>
    <w:rsid w:val="00935107"/>
    <w:rsid w:val="0093534E"/>
    <w:rsid w:val="009355A4"/>
    <w:rsid w:val="0093571F"/>
    <w:rsid w:val="00936190"/>
    <w:rsid w:val="00936901"/>
    <w:rsid w:val="00936C01"/>
    <w:rsid w:val="00937115"/>
    <w:rsid w:val="00937223"/>
    <w:rsid w:val="00937AAF"/>
    <w:rsid w:val="00937B06"/>
    <w:rsid w:val="00937CCD"/>
    <w:rsid w:val="00940C6B"/>
    <w:rsid w:val="00941107"/>
    <w:rsid w:val="00941C4F"/>
    <w:rsid w:val="009428A0"/>
    <w:rsid w:val="00942AB0"/>
    <w:rsid w:val="00942BE7"/>
    <w:rsid w:val="0094363A"/>
    <w:rsid w:val="009436C7"/>
    <w:rsid w:val="00943BCF"/>
    <w:rsid w:val="00943F71"/>
    <w:rsid w:val="00944A34"/>
    <w:rsid w:val="009477B5"/>
    <w:rsid w:val="00947D6B"/>
    <w:rsid w:val="00950A1F"/>
    <w:rsid w:val="00951633"/>
    <w:rsid w:val="00952227"/>
    <w:rsid w:val="00952AFF"/>
    <w:rsid w:val="00952BC2"/>
    <w:rsid w:val="00953781"/>
    <w:rsid w:val="00953E58"/>
    <w:rsid w:val="00953E84"/>
    <w:rsid w:val="00954EF5"/>
    <w:rsid w:val="00955064"/>
    <w:rsid w:val="009554BA"/>
    <w:rsid w:val="009558D7"/>
    <w:rsid w:val="00955B00"/>
    <w:rsid w:val="00955E8B"/>
    <w:rsid w:val="00956F62"/>
    <w:rsid w:val="00957CAC"/>
    <w:rsid w:val="00957DD0"/>
    <w:rsid w:val="00957F9B"/>
    <w:rsid w:val="0096053A"/>
    <w:rsid w:val="00960560"/>
    <w:rsid w:val="00961E5A"/>
    <w:rsid w:val="009620E3"/>
    <w:rsid w:val="009627D5"/>
    <w:rsid w:val="00963882"/>
    <w:rsid w:val="00963969"/>
    <w:rsid w:val="00964803"/>
    <w:rsid w:val="00964B3B"/>
    <w:rsid w:val="0096654D"/>
    <w:rsid w:val="00966D75"/>
    <w:rsid w:val="00966F30"/>
    <w:rsid w:val="00967176"/>
    <w:rsid w:val="00967298"/>
    <w:rsid w:val="009675F3"/>
    <w:rsid w:val="00970826"/>
    <w:rsid w:val="00970DA6"/>
    <w:rsid w:val="00971705"/>
    <w:rsid w:val="00971A32"/>
    <w:rsid w:val="009721F9"/>
    <w:rsid w:val="00972B03"/>
    <w:rsid w:val="00972FB0"/>
    <w:rsid w:val="009734BB"/>
    <w:rsid w:val="00973AE0"/>
    <w:rsid w:val="00974497"/>
    <w:rsid w:val="009746D9"/>
    <w:rsid w:val="00974CD7"/>
    <w:rsid w:val="00974F76"/>
    <w:rsid w:val="00975872"/>
    <w:rsid w:val="00975A5B"/>
    <w:rsid w:val="00975C04"/>
    <w:rsid w:val="00975EF6"/>
    <w:rsid w:val="00976060"/>
    <w:rsid w:val="00976BD1"/>
    <w:rsid w:val="00976CAB"/>
    <w:rsid w:val="00981607"/>
    <w:rsid w:val="009816AC"/>
    <w:rsid w:val="00981AF1"/>
    <w:rsid w:val="00983D51"/>
    <w:rsid w:val="00983FCC"/>
    <w:rsid w:val="0098416A"/>
    <w:rsid w:val="00984A71"/>
    <w:rsid w:val="00984FDF"/>
    <w:rsid w:val="00985125"/>
    <w:rsid w:val="00985517"/>
    <w:rsid w:val="00985F09"/>
    <w:rsid w:val="00986070"/>
    <w:rsid w:val="00986CD5"/>
    <w:rsid w:val="00986CF3"/>
    <w:rsid w:val="00987366"/>
    <w:rsid w:val="00987566"/>
    <w:rsid w:val="00987E4C"/>
    <w:rsid w:val="00987F1A"/>
    <w:rsid w:val="00990322"/>
    <w:rsid w:val="00990D5F"/>
    <w:rsid w:val="009917A8"/>
    <w:rsid w:val="00992016"/>
    <w:rsid w:val="009923BF"/>
    <w:rsid w:val="00992822"/>
    <w:rsid w:val="009937B7"/>
    <w:rsid w:val="00993E2E"/>
    <w:rsid w:val="00994D5F"/>
    <w:rsid w:val="0099592D"/>
    <w:rsid w:val="0099703D"/>
    <w:rsid w:val="00997641"/>
    <w:rsid w:val="00997696"/>
    <w:rsid w:val="00997D88"/>
    <w:rsid w:val="00997F61"/>
    <w:rsid w:val="009A049B"/>
    <w:rsid w:val="009A0BCE"/>
    <w:rsid w:val="009A18A6"/>
    <w:rsid w:val="009A1F11"/>
    <w:rsid w:val="009A28D7"/>
    <w:rsid w:val="009A3268"/>
    <w:rsid w:val="009A3643"/>
    <w:rsid w:val="009A36FF"/>
    <w:rsid w:val="009A378F"/>
    <w:rsid w:val="009A3902"/>
    <w:rsid w:val="009A3C50"/>
    <w:rsid w:val="009A3DB7"/>
    <w:rsid w:val="009A42AD"/>
    <w:rsid w:val="009A42D2"/>
    <w:rsid w:val="009A4937"/>
    <w:rsid w:val="009A4E51"/>
    <w:rsid w:val="009A541F"/>
    <w:rsid w:val="009A55BC"/>
    <w:rsid w:val="009A5665"/>
    <w:rsid w:val="009A5BA4"/>
    <w:rsid w:val="009A5FFD"/>
    <w:rsid w:val="009A601C"/>
    <w:rsid w:val="009A637A"/>
    <w:rsid w:val="009A685E"/>
    <w:rsid w:val="009A6CD6"/>
    <w:rsid w:val="009A7255"/>
    <w:rsid w:val="009A747D"/>
    <w:rsid w:val="009A7EF0"/>
    <w:rsid w:val="009B0957"/>
    <w:rsid w:val="009B196B"/>
    <w:rsid w:val="009B1D47"/>
    <w:rsid w:val="009B1DC3"/>
    <w:rsid w:val="009B1EBB"/>
    <w:rsid w:val="009B1F62"/>
    <w:rsid w:val="009B26F1"/>
    <w:rsid w:val="009B26FC"/>
    <w:rsid w:val="009B2707"/>
    <w:rsid w:val="009B2B7F"/>
    <w:rsid w:val="009B3101"/>
    <w:rsid w:val="009B3335"/>
    <w:rsid w:val="009B39F2"/>
    <w:rsid w:val="009B4CDB"/>
    <w:rsid w:val="009B4D81"/>
    <w:rsid w:val="009B563D"/>
    <w:rsid w:val="009B604F"/>
    <w:rsid w:val="009B7135"/>
    <w:rsid w:val="009C0049"/>
    <w:rsid w:val="009C083F"/>
    <w:rsid w:val="009C0B67"/>
    <w:rsid w:val="009C0DB4"/>
    <w:rsid w:val="009C1AF6"/>
    <w:rsid w:val="009C222C"/>
    <w:rsid w:val="009C2D9E"/>
    <w:rsid w:val="009C43FF"/>
    <w:rsid w:val="009C44FC"/>
    <w:rsid w:val="009C4684"/>
    <w:rsid w:val="009C4724"/>
    <w:rsid w:val="009C47AC"/>
    <w:rsid w:val="009C485C"/>
    <w:rsid w:val="009C507B"/>
    <w:rsid w:val="009C58C4"/>
    <w:rsid w:val="009C59E1"/>
    <w:rsid w:val="009C60CA"/>
    <w:rsid w:val="009C68A6"/>
    <w:rsid w:val="009C7007"/>
    <w:rsid w:val="009D03C9"/>
    <w:rsid w:val="009D058C"/>
    <w:rsid w:val="009D0B8F"/>
    <w:rsid w:val="009D119A"/>
    <w:rsid w:val="009D12DE"/>
    <w:rsid w:val="009D2E17"/>
    <w:rsid w:val="009D2EE0"/>
    <w:rsid w:val="009D334D"/>
    <w:rsid w:val="009D3930"/>
    <w:rsid w:val="009D3D88"/>
    <w:rsid w:val="009D3F37"/>
    <w:rsid w:val="009D3FB0"/>
    <w:rsid w:val="009D40FF"/>
    <w:rsid w:val="009D4D2D"/>
    <w:rsid w:val="009D4EB1"/>
    <w:rsid w:val="009D502D"/>
    <w:rsid w:val="009D59E8"/>
    <w:rsid w:val="009D690D"/>
    <w:rsid w:val="009D775B"/>
    <w:rsid w:val="009D7C3E"/>
    <w:rsid w:val="009D7FF6"/>
    <w:rsid w:val="009E02FD"/>
    <w:rsid w:val="009E1122"/>
    <w:rsid w:val="009E223F"/>
    <w:rsid w:val="009E2272"/>
    <w:rsid w:val="009E22A4"/>
    <w:rsid w:val="009E22D2"/>
    <w:rsid w:val="009E27CC"/>
    <w:rsid w:val="009E3098"/>
    <w:rsid w:val="009E32B4"/>
    <w:rsid w:val="009E3554"/>
    <w:rsid w:val="009E386D"/>
    <w:rsid w:val="009E3DA3"/>
    <w:rsid w:val="009E3E39"/>
    <w:rsid w:val="009E5FB4"/>
    <w:rsid w:val="009F01A3"/>
    <w:rsid w:val="009F02D0"/>
    <w:rsid w:val="009F0802"/>
    <w:rsid w:val="009F0A00"/>
    <w:rsid w:val="009F0D39"/>
    <w:rsid w:val="009F1196"/>
    <w:rsid w:val="009F148C"/>
    <w:rsid w:val="009F26EE"/>
    <w:rsid w:val="009F2F88"/>
    <w:rsid w:val="009F3684"/>
    <w:rsid w:val="009F3B8D"/>
    <w:rsid w:val="009F4BD8"/>
    <w:rsid w:val="009F4D46"/>
    <w:rsid w:val="009F4E6C"/>
    <w:rsid w:val="009F4F0A"/>
    <w:rsid w:val="009F4F75"/>
    <w:rsid w:val="009F6597"/>
    <w:rsid w:val="009F68E0"/>
    <w:rsid w:val="009F718F"/>
    <w:rsid w:val="009F77F1"/>
    <w:rsid w:val="009F79E9"/>
    <w:rsid w:val="009F7EA2"/>
    <w:rsid w:val="00A00AAD"/>
    <w:rsid w:val="00A00B32"/>
    <w:rsid w:val="00A00D25"/>
    <w:rsid w:val="00A00DDB"/>
    <w:rsid w:val="00A0141A"/>
    <w:rsid w:val="00A01586"/>
    <w:rsid w:val="00A019FB"/>
    <w:rsid w:val="00A01AE1"/>
    <w:rsid w:val="00A02829"/>
    <w:rsid w:val="00A032BE"/>
    <w:rsid w:val="00A039C5"/>
    <w:rsid w:val="00A03DA7"/>
    <w:rsid w:val="00A03E24"/>
    <w:rsid w:val="00A04781"/>
    <w:rsid w:val="00A04DEF"/>
    <w:rsid w:val="00A04E59"/>
    <w:rsid w:val="00A0527D"/>
    <w:rsid w:val="00A0535D"/>
    <w:rsid w:val="00A05BDF"/>
    <w:rsid w:val="00A0710F"/>
    <w:rsid w:val="00A074B2"/>
    <w:rsid w:val="00A077AB"/>
    <w:rsid w:val="00A105ED"/>
    <w:rsid w:val="00A106BB"/>
    <w:rsid w:val="00A10874"/>
    <w:rsid w:val="00A1089E"/>
    <w:rsid w:val="00A10C42"/>
    <w:rsid w:val="00A10DA4"/>
    <w:rsid w:val="00A11B27"/>
    <w:rsid w:val="00A12251"/>
    <w:rsid w:val="00A12A91"/>
    <w:rsid w:val="00A12ABD"/>
    <w:rsid w:val="00A12D3F"/>
    <w:rsid w:val="00A12F22"/>
    <w:rsid w:val="00A14ACE"/>
    <w:rsid w:val="00A14B4A"/>
    <w:rsid w:val="00A160E6"/>
    <w:rsid w:val="00A168BC"/>
    <w:rsid w:val="00A16D05"/>
    <w:rsid w:val="00A17EA5"/>
    <w:rsid w:val="00A17F10"/>
    <w:rsid w:val="00A20734"/>
    <w:rsid w:val="00A20E26"/>
    <w:rsid w:val="00A2111C"/>
    <w:rsid w:val="00A214E7"/>
    <w:rsid w:val="00A21F78"/>
    <w:rsid w:val="00A2268A"/>
    <w:rsid w:val="00A22722"/>
    <w:rsid w:val="00A2366F"/>
    <w:rsid w:val="00A23B31"/>
    <w:rsid w:val="00A2409D"/>
    <w:rsid w:val="00A241B0"/>
    <w:rsid w:val="00A248F8"/>
    <w:rsid w:val="00A24990"/>
    <w:rsid w:val="00A2501E"/>
    <w:rsid w:val="00A2506D"/>
    <w:rsid w:val="00A264BD"/>
    <w:rsid w:val="00A26CCB"/>
    <w:rsid w:val="00A26ED1"/>
    <w:rsid w:val="00A27307"/>
    <w:rsid w:val="00A27A8D"/>
    <w:rsid w:val="00A301BD"/>
    <w:rsid w:val="00A3146C"/>
    <w:rsid w:val="00A31839"/>
    <w:rsid w:val="00A32B92"/>
    <w:rsid w:val="00A333BB"/>
    <w:rsid w:val="00A333C5"/>
    <w:rsid w:val="00A33B81"/>
    <w:rsid w:val="00A33DBD"/>
    <w:rsid w:val="00A344B3"/>
    <w:rsid w:val="00A35482"/>
    <w:rsid w:val="00A35692"/>
    <w:rsid w:val="00A35836"/>
    <w:rsid w:val="00A36246"/>
    <w:rsid w:val="00A36A90"/>
    <w:rsid w:val="00A372BD"/>
    <w:rsid w:val="00A37910"/>
    <w:rsid w:val="00A403FB"/>
    <w:rsid w:val="00A40458"/>
    <w:rsid w:val="00A40A22"/>
    <w:rsid w:val="00A412DD"/>
    <w:rsid w:val="00A415C9"/>
    <w:rsid w:val="00A41C10"/>
    <w:rsid w:val="00A44118"/>
    <w:rsid w:val="00A44189"/>
    <w:rsid w:val="00A44DCC"/>
    <w:rsid w:val="00A44FEF"/>
    <w:rsid w:val="00A453E1"/>
    <w:rsid w:val="00A45512"/>
    <w:rsid w:val="00A45565"/>
    <w:rsid w:val="00A45C92"/>
    <w:rsid w:val="00A45D07"/>
    <w:rsid w:val="00A45DA7"/>
    <w:rsid w:val="00A45FFD"/>
    <w:rsid w:val="00A46691"/>
    <w:rsid w:val="00A46ABF"/>
    <w:rsid w:val="00A46E18"/>
    <w:rsid w:val="00A471C5"/>
    <w:rsid w:val="00A47745"/>
    <w:rsid w:val="00A477F5"/>
    <w:rsid w:val="00A47BBB"/>
    <w:rsid w:val="00A47E51"/>
    <w:rsid w:val="00A509F1"/>
    <w:rsid w:val="00A51424"/>
    <w:rsid w:val="00A51913"/>
    <w:rsid w:val="00A51D29"/>
    <w:rsid w:val="00A525B3"/>
    <w:rsid w:val="00A52BFE"/>
    <w:rsid w:val="00A52EE8"/>
    <w:rsid w:val="00A54945"/>
    <w:rsid w:val="00A55F5D"/>
    <w:rsid w:val="00A56223"/>
    <w:rsid w:val="00A5626C"/>
    <w:rsid w:val="00A56F87"/>
    <w:rsid w:val="00A575B1"/>
    <w:rsid w:val="00A57821"/>
    <w:rsid w:val="00A60349"/>
    <w:rsid w:val="00A604CC"/>
    <w:rsid w:val="00A60600"/>
    <w:rsid w:val="00A60EBE"/>
    <w:rsid w:val="00A61180"/>
    <w:rsid w:val="00A61808"/>
    <w:rsid w:val="00A6246E"/>
    <w:rsid w:val="00A63B18"/>
    <w:rsid w:val="00A64134"/>
    <w:rsid w:val="00A644AD"/>
    <w:rsid w:val="00A647AF"/>
    <w:rsid w:val="00A66A99"/>
    <w:rsid w:val="00A70DC3"/>
    <w:rsid w:val="00A715DB"/>
    <w:rsid w:val="00A72A70"/>
    <w:rsid w:val="00A73E6F"/>
    <w:rsid w:val="00A7474A"/>
    <w:rsid w:val="00A750DC"/>
    <w:rsid w:val="00A7569D"/>
    <w:rsid w:val="00A759D2"/>
    <w:rsid w:val="00A75F59"/>
    <w:rsid w:val="00A7682F"/>
    <w:rsid w:val="00A77B94"/>
    <w:rsid w:val="00A80137"/>
    <w:rsid w:val="00A80CCC"/>
    <w:rsid w:val="00A81356"/>
    <w:rsid w:val="00A81A07"/>
    <w:rsid w:val="00A82091"/>
    <w:rsid w:val="00A82243"/>
    <w:rsid w:val="00A82F19"/>
    <w:rsid w:val="00A8434F"/>
    <w:rsid w:val="00A8441F"/>
    <w:rsid w:val="00A84E08"/>
    <w:rsid w:val="00A857E7"/>
    <w:rsid w:val="00A8605D"/>
    <w:rsid w:val="00A8620E"/>
    <w:rsid w:val="00A8657D"/>
    <w:rsid w:val="00A86E96"/>
    <w:rsid w:val="00A86FA5"/>
    <w:rsid w:val="00A87318"/>
    <w:rsid w:val="00A87593"/>
    <w:rsid w:val="00A90E97"/>
    <w:rsid w:val="00A916FD"/>
    <w:rsid w:val="00A91ED3"/>
    <w:rsid w:val="00A9264A"/>
    <w:rsid w:val="00A935FD"/>
    <w:rsid w:val="00A9374A"/>
    <w:rsid w:val="00A9426C"/>
    <w:rsid w:val="00A94E3F"/>
    <w:rsid w:val="00A9555E"/>
    <w:rsid w:val="00A96316"/>
    <w:rsid w:val="00A96436"/>
    <w:rsid w:val="00A96683"/>
    <w:rsid w:val="00A966C0"/>
    <w:rsid w:val="00A96ABC"/>
    <w:rsid w:val="00A96C60"/>
    <w:rsid w:val="00A971D8"/>
    <w:rsid w:val="00A97807"/>
    <w:rsid w:val="00A9788C"/>
    <w:rsid w:val="00AA016F"/>
    <w:rsid w:val="00AA0504"/>
    <w:rsid w:val="00AA2A01"/>
    <w:rsid w:val="00AA374F"/>
    <w:rsid w:val="00AA3AB3"/>
    <w:rsid w:val="00AA3FA2"/>
    <w:rsid w:val="00AA5124"/>
    <w:rsid w:val="00AA5A92"/>
    <w:rsid w:val="00AA5AB5"/>
    <w:rsid w:val="00AA5BA7"/>
    <w:rsid w:val="00AA5E4A"/>
    <w:rsid w:val="00AA6FF2"/>
    <w:rsid w:val="00AB0286"/>
    <w:rsid w:val="00AB0ADA"/>
    <w:rsid w:val="00AB1ACD"/>
    <w:rsid w:val="00AB1AF2"/>
    <w:rsid w:val="00AB2212"/>
    <w:rsid w:val="00AB22F5"/>
    <w:rsid w:val="00AB29F8"/>
    <w:rsid w:val="00AB317F"/>
    <w:rsid w:val="00AB3708"/>
    <w:rsid w:val="00AB39F7"/>
    <w:rsid w:val="00AB3F0F"/>
    <w:rsid w:val="00AB4164"/>
    <w:rsid w:val="00AB4337"/>
    <w:rsid w:val="00AB45FE"/>
    <w:rsid w:val="00AB575B"/>
    <w:rsid w:val="00AB5FBC"/>
    <w:rsid w:val="00AB5FF1"/>
    <w:rsid w:val="00AB625F"/>
    <w:rsid w:val="00AB6735"/>
    <w:rsid w:val="00AB6808"/>
    <w:rsid w:val="00AB6D81"/>
    <w:rsid w:val="00AB6F13"/>
    <w:rsid w:val="00AB6FB8"/>
    <w:rsid w:val="00AB7F2F"/>
    <w:rsid w:val="00AC0183"/>
    <w:rsid w:val="00AC03ED"/>
    <w:rsid w:val="00AC09AC"/>
    <w:rsid w:val="00AC2EAD"/>
    <w:rsid w:val="00AC3025"/>
    <w:rsid w:val="00AC3280"/>
    <w:rsid w:val="00AC331D"/>
    <w:rsid w:val="00AC3DF7"/>
    <w:rsid w:val="00AC3EB2"/>
    <w:rsid w:val="00AC453F"/>
    <w:rsid w:val="00AC4557"/>
    <w:rsid w:val="00AC4C66"/>
    <w:rsid w:val="00AC50A0"/>
    <w:rsid w:val="00AC51AC"/>
    <w:rsid w:val="00AC5CDE"/>
    <w:rsid w:val="00AC61E5"/>
    <w:rsid w:val="00AC7BAE"/>
    <w:rsid w:val="00AC7BD7"/>
    <w:rsid w:val="00AC7D7D"/>
    <w:rsid w:val="00AD0193"/>
    <w:rsid w:val="00AD0BCE"/>
    <w:rsid w:val="00AD146A"/>
    <w:rsid w:val="00AD1540"/>
    <w:rsid w:val="00AD22E1"/>
    <w:rsid w:val="00AD3019"/>
    <w:rsid w:val="00AD36A9"/>
    <w:rsid w:val="00AD3834"/>
    <w:rsid w:val="00AD3AAF"/>
    <w:rsid w:val="00AD3D34"/>
    <w:rsid w:val="00AD3F90"/>
    <w:rsid w:val="00AD412C"/>
    <w:rsid w:val="00AD46C2"/>
    <w:rsid w:val="00AD4B53"/>
    <w:rsid w:val="00AD4BB3"/>
    <w:rsid w:val="00AD4CDB"/>
    <w:rsid w:val="00AD4D49"/>
    <w:rsid w:val="00AD4F2A"/>
    <w:rsid w:val="00AD5395"/>
    <w:rsid w:val="00AD5EC9"/>
    <w:rsid w:val="00AD74D1"/>
    <w:rsid w:val="00AD774D"/>
    <w:rsid w:val="00AD7CF8"/>
    <w:rsid w:val="00AD7F4A"/>
    <w:rsid w:val="00AE0D79"/>
    <w:rsid w:val="00AE0F1A"/>
    <w:rsid w:val="00AE0F26"/>
    <w:rsid w:val="00AE0FB2"/>
    <w:rsid w:val="00AE128B"/>
    <w:rsid w:val="00AE17B7"/>
    <w:rsid w:val="00AE1CCF"/>
    <w:rsid w:val="00AE2485"/>
    <w:rsid w:val="00AE2869"/>
    <w:rsid w:val="00AE2D13"/>
    <w:rsid w:val="00AE31BA"/>
    <w:rsid w:val="00AE397F"/>
    <w:rsid w:val="00AE3C84"/>
    <w:rsid w:val="00AE4E40"/>
    <w:rsid w:val="00AE6172"/>
    <w:rsid w:val="00AE617B"/>
    <w:rsid w:val="00AE6B91"/>
    <w:rsid w:val="00AE734A"/>
    <w:rsid w:val="00AF0551"/>
    <w:rsid w:val="00AF069E"/>
    <w:rsid w:val="00AF0928"/>
    <w:rsid w:val="00AF0CD8"/>
    <w:rsid w:val="00AF155F"/>
    <w:rsid w:val="00AF1C3F"/>
    <w:rsid w:val="00AF1E4E"/>
    <w:rsid w:val="00AF2337"/>
    <w:rsid w:val="00AF2519"/>
    <w:rsid w:val="00AF28E8"/>
    <w:rsid w:val="00AF29B0"/>
    <w:rsid w:val="00AF2BA8"/>
    <w:rsid w:val="00AF3468"/>
    <w:rsid w:val="00AF3B3B"/>
    <w:rsid w:val="00AF3F20"/>
    <w:rsid w:val="00AF44DB"/>
    <w:rsid w:val="00AF4646"/>
    <w:rsid w:val="00AF4FD8"/>
    <w:rsid w:val="00AF5418"/>
    <w:rsid w:val="00AF551A"/>
    <w:rsid w:val="00AF59DD"/>
    <w:rsid w:val="00AF684E"/>
    <w:rsid w:val="00AF6C0B"/>
    <w:rsid w:val="00AF6FEB"/>
    <w:rsid w:val="00AF744D"/>
    <w:rsid w:val="00B01144"/>
    <w:rsid w:val="00B01755"/>
    <w:rsid w:val="00B01912"/>
    <w:rsid w:val="00B01D3F"/>
    <w:rsid w:val="00B0211A"/>
    <w:rsid w:val="00B02827"/>
    <w:rsid w:val="00B02A09"/>
    <w:rsid w:val="00B02D0E"/>
    <w:rsid w:val="00B03230"/>
    <w:rsid w:val="00B03276"/>
    <w:rsid w:val="00B03833"/>
    <w:rsid w:val="00B050AE"/>
    <w:rsid w:val="00B05673"/>
    <w:rsid w:val="00B0579E"/>
    <w:rsid w:val="00B05BA7"/>
    <w:rsid w:val="00B06099"/>
    <w:rsid w:val="00B06839"/>
    <w:rsid w:val="00B07CA0"/>
    <w:rsid w:val="00B10529"/>
    <w:rsid w:val="00B105E8"/>
    <w:rsid w:val="00B10E2D"/>
    <w:rsid w:val="00B112F9"/>
    <w:rsid w:val="00B11E69"/>
    <w:rsid w:val="00B120C9"/>
    <w:rsid w:val="00B12725"/>
    <w:rsid w:val="00B12B12"/>
    <w:rsid w:val="00B12E75"/>
    <w:rsid w:val="00B1415C"/>
    <w:rsid w:val="00B14717"/>
    <w:rsid w:val="00B14C84"/>
    <w:rsid w:val="00B14CE6"/>
    <w:rsid w:val="00B151B8"/>
    <w:rsid w:val="00B15520"/>
    <w:rsid w:val="00B174EF"/>
    <w:rsid w:val="00B20020"/>
    <w:rsid w:val="00B200A6"/>
    <w:rsid w:val="00B21CB5"/>
    <w:rsid w:val="00B2240C"/>
    <w:rsid w:val="00B22612"/>
    <w:rsid w:val="00B22CDB"/>
    <w:rsid w:val="00B22E02"/>
    <w:rsid w:val="00B22E97"/>
    <w:rsid w:val="00B238E3"/>
    <w:rsid w:val="00B23B57"/>
    <w:rsid w:val="00B24B83"/>
    <w:rsid w:val="00B24C32"/>
    <w:rsid w:val="00B253DB"/>
    <w:rsid w:val="00B25D0C"/>
    <w:rsid w:val="00B2646F"/>
    <w:rsid w:val="00B26FEA"/>
    <w:rsid w:val="00B27234"/>
    <w:rsid w:val="00B27E51"/>
    <w:rsid w:val="00B27F3A"/>
    <w:rsid w:val="00B3029C"/>
    <w:rsid w:val="00B311E0"/>
    <w:rsid w:val="00B31A22"/>
    <w:rsid w:val="00B31E14"/>
    <w:rsid w:val="00B32F52"/>
    <w:rsid w:val="00B334FC"/>
    <w:rsid w:val="00B3401D"/>
    <w:rsid w:val="00B34350"/>
    <w:rsid w:val="00B34549"/>
    <w:rsid w:val="00B34651"/>
    <w:rsid w:val="00B34B9B"/>
    <w:rsid w:val="00B35613"/>
    <w:rsid w:val="00B35818"/>
    <w:rsid w:val="00B3622D"/>
    <w:rsid w:val="00B362CB"/>
    <w:rsid w:val="00B36AA8"/>
    <w:rsid w:val="00B37414"/>
    <w:rsid w:val="00B401B5"/>
    <w:rsid w:val="00B40421"/>
    <w:rsid w:val="00B40CB5"/>
    <w:rsid w:val="00B41511"/>
    <w:rsid w:val="00B4152A"/>
    <w:rsid w:val="00B41575"/>
    <w:rsid w:val="00B416D2"/>
    <w:rsid w:val="00B4242E"/>
    <w:rsid w:val="00B42434"/>
    <w:rsid w:val="00B432C4"/>
    <w:rsid w:val="00B433D0"/>
    <w:rsid w:val="00B43857"/>
    <w:rsid w:val="00B43D3A"/>
    <w:rsid w:val="00B43E15"/>
    <w:rsid w:val="00B45311"/>
    <w:rsid w:val="00B45F10"/>
    <w:rsid w:val="00B4636B"/>
    <w:rsid w:val="00B4658C"/>
    <w:rsid w:val="00B471BB"/>
    <w:rsid w:val="00B473BD"/>
    <w:rsid w:val="00B477EE"/>
    <w:rsid w:val="00B47821"/>
    <w:rsid w:val="00B51458"/>
    <w:rsid w:val="00B514C9"/>
    <w:rsid w:val="00B519E7"/>
    <w:rsid w:val="00B52EE2"/>
    <w:rsid w:val="00B5314D"/>
    <w:rsid w:val="00B535FE"/>
    <w:rsid w:val="00B53EC2"/>
    <w:rsid w:val="00B53FDF"/>
    <w:rsid w:val="00B540CA"/>
    <w:rsid w:val="00B54157"/>
    <w:rsid w:val="00B55114"/>
    <w:rsid w:val="00B560DC"/>
    <w:rsid w:val="00B563C6"/>
    <w:rsid w:val="00B567A1"/>
    <w:rsid w:val="00B56887"/>
    <w:rsid w:val="00B60274"/>
    <w:rsid w:val="00B6027A"/>
    <w:rsid w:val="00B60297"/>
    <w:rsid w:val="00B603BC"/>
    <w:rsid w:val="00B61C6F"/>
    <w:rsid w:val="00B61CE7"/>
    <w:rsid w:val="00B62DF8"/>
    <w:rsid w:val="00B62EBB"/>
    <w:rsid w:val="00B632F8"/>
    <w:rsid w:val="00B64398"/>
    <w:rsid w:val="00B64B55"/>
    <w:rsid w:val="00B65611"/>
    <w:rsid w:val="00B65A63"/>
    <w:rsid w:val="00B65FB3"/>
    <w:rsid w:val="00B66758"/>
    <w:rsid w:val="00B66E29"/>
    <w:rsid w:val="00B67216"/>
    <w:rsid w:val="00B673E9"/>
    <w:rsid w:val="00B67576"/>
    <w:rsid w:val="00B676DF"/>
    <w:rsid w:val="00B67CE3"/>
    <w:rsid w:val="00B709F4"/>
    <w:rsid w:val="00B70CD0"/>
    <w:rsid w:val="00B71666"/>
    <w:rsid w:val="00B719AD"/>
    <w:rsid w:val="00B7203A"/>
    <w:rsid w:val="00B72EF6"/>
    <w:rsid w:val="00B7300B"/>
    <w:rsid w:val="00B737E2"/>
    <w:rsid w:val="00B73BE3"/>
    <w:rsid w:val="00B7441E"/>
    <w:rsid w:val="00B744FD"/>
    <w:rsid w:val="00B74A01"/>
    <w:rsid w:val="00B759E3"/>
    <w:rsid w:val="00B75A29"/>
    <w:rsid w:val="00B768A0"/>
    <w:rsid w:val="00B76F62"/>
    <w:rsid w:val="00B77107"/>
    <w:rsid w:val="00B7759F"/>
    <w:rsid w:val="00B775B1"/>
    <w:rsid w:val="00B778B0"/>
    <w:rsid w:val="00B80062"/>
    <w:rsid w:val="00B81246"/>
    <w:rsid w:val="00B81366"/>
    <w:rsid w:val="00B815A1"/>
    <w:rsid w:val="00B815D0"/>
    <w:rsid w:val="00B81B47"/>
    <w:rsid w:val="00B81B4B"/>
    <w:rsid w:val="00B81CBE"/>
    <w:rsid w:val="00B83A90"/>
    <w:rsid w:val="00B83CBB"/>
    <w:rsid w:val="00B84372"/>
    <w:rsid w:val="00B846E1"/>
    <w:rsid w:val="00B84A9B"/>
    <w:rsid w:val="00B858D7"/>
    <w:rsid w:val="00B85AFC"/>
    <w:rsid w:val="00B85EAD"/>
    <w:rsid w:val="00B86570"/>
    <w:rsid w:val="00B871AD"/>
    <w:rsid w:val="00B87C91"/>
    <w:rsid w:val="00B904C3"/>
    <w:rsid w:val="00B905D9"/>
    <w:rsid w:val="00B917C5"/>
    <w:rsid w:val="00B91AC1"/>
    <w:rsid w:val="00B91B1C"/>
    <w:rsid w:val="00B928FC"/>
    <w:rsid w:val="00B9402F"/>
    <w:rsid w:val="00B942F6"/>
    <w:rsid w:val="00B94E50"/>
    <w:rsid w:val="00B953FC"/>
    <w:rsid w:val="00B9569C"/>
    <w:rsid w:val="00B956EA"/>
    <w:rsid w:val="00B95BF0"/>
    <w:rsid w:val="00B962E9"/>
    <w:rsid w:val="00B963CF"/>
    <w:rsid w:val="00B96C6D"/>
    <w:rsid w:val="00B970FD"/>
    <w:rsid w:val="00B971FC"/>
    <w:rsid w:val="00B97533"/>
    <w:rsid w:val="00B97914"/>
    <w:rsid w:val="00B97F18"/>
    <w:rsid w:val="00B97F6F"/>
    <w:rsid w:val="00BA0947"/>
    <w:rsid w:val="00BA0F7A"/>
    <w:rsid w:val="00BA179A"/>
    <w:rsid w:val="00BA18CC"/>
    <w:rsid w:val="00BA1C7B"/>
    <w:rsid w:val="00BA1D35"/>
    <w:rsid w:val="00BA1D83"/>
    <w:rsid w:val="00BA27F2"/>
    <w:rsid w:val="00BA2DA9"/>
    <w:rsid w:val="00BA304A"/>
    <w:rsid w:val="00BA30AC"/>
    <w:rsid w:val="00BA345F"/>
    <w:rsid w:val="00BA3B6B"/>
    <w:rsid w:val="00BA6C2D"/>
    <w:rsid w:val="00BA760D"/>
    <w:rsid w:val="00BA7BF1"/>
    <w:rsid w:val="00BA7FEB"/>
    <w:rsid w:val="00BB0221"/>
    <w:rsid w:val="00BB092C"/>
    <w:rsid w:val="00BB0D5D"/>
    <w:rsid w:val="00BB0DE1"/>
    <w:rsid w:val="00BB0E81"/>
    <w:rsid w:val="00BB12D0"/>
    <w:rsid w:val="00BB1712"/>
    <w:rsid w:val="00BB1D5E"/>
    <w:rsid w:val="00BB1FD0"/>
    <w:rsid w:val="00BB2022"/>
    <w:rsid w:val="00BB26D7"/>
    <w:rsid w:val="00BB2DE2"/>
    <w:rsid w:val="00BB48EE"/>
    <w:rsid w:val="00BB4E31"/>
    <w:rsid w:val="00BB51BD"/>
    <w:rsid w:val="00BB5510"/>
    <w:rsid w:val="00BB57D4"/>
    <w:rsid w:val="00BB6DB1"/>
    <w:rsid w:val="00BB6E41"/>
    <w:rsid w:val="00BB7409"/>
    <w:rsid w:val="00BB7ECA"/>
    <w:rsid w:val="00BC01D2"/>
    <w:rsid w:val="00BC16B1"/>
    <w:rsid w:val="00BC2443"/>
    <w:rsid w:val="00BC2518"/>
    <w:rsid w:val="00BC37EF"/>
    <w:rsid w:val="00BC3A93"/>
    <w:rsid w:val="00BC43F1"/>
    <w:rsid w:val="00BC44C7"/>
    <w:rsid w:val="00BC4620"/>
    <w:rsid w:val="00BC4D7B"/>
    <w:rsid w:val="00BC6264"/>
    <w:rsid w:val="00BC7425"/>
    <w:rsid w:val="00BC743A"/>
    <w:rsid w:val="00BD0092"/>
    <w:rsid w:val="00BD09E5"/>
    <w:rsid w:val="00BD1DF4"/>
    <w:rsid w:val="00BD1DFA"/>
    <w:rsid w:val="00BD2114"/>
    <w:rsid w:val="00BD28D9"/>
    <w:rsid w:val="00BD2A78"/>
    <w:rsid w:val="00BD405D"/>
    <w:rsid w:val="00BD4175"/>
    <w:rsid w:val="00BD44CB"/>
    <w:rsid w:val="00BD546A"/>
    <w:rsid w:val="00BD5500"/>
    <w:rsid w:val="00BD5A80"/>
    <w:rsid w:val="00BD5DEA"/>
    <w:rsid w:val="00BD6751"/>
    <w:rsid w:val="00BD67E2"/>
    <w:rsid w:val="00BD6899"/>
    <w:rsid w:val="00BD731A"/>
    <w:rsid w:val="00BD79E9"/>
    <w:rsid w:val="00BD7D8B"/>
    <w:rsid w:val="00BE02FA"/>
    <w:rsid w:val="00BE0909"/>
    <w:rsid w:val="00BE0E12"/>
    <w:rsid w:val="00BE1BBA"/>
    <w:rsid w:val="00BE24B0"/>
    <w:rsid w:val="00BE2F18"/>
    <w:rsid w:val="00BE3BD8"/>
    <w:rsid w:val="00BE3E60"/>
    <w:rsid w:val="00BE3E74"/>
    <w:rsid w:val="00BE5887"/>
    <w:rsid w:val="00BE604B"/>
    <w:rsid w:val="00BE6784"/>
    <w:rsid w:val="00BE69FE"/>
    <w:rsid w:val="00BF0DE0"/>
    <w:rsid w:val="00BF0F93"/>
    <w:rsid w:val="00BF1542"/>
    <w:rsid w:val="00BF20DA"/>
    <w:rsid w:val="00BF2255"/>
    <w:rsid w:val="00BF23E5"/>
    <w:rsid w:val="00BF2474"/>
    <w:rsid w:val="00BF2D14"/>
    <w:rsid w:val="00BF2D72"/>
    <w:rsid w:val="00BF2F93"/>
    <w:rsid w:val="00BF3AE8"/>
    <w:rsid w:val="00BF3DAC"/>
    <w:rsid w:val="00BF4EF7"/>
    <w:rsid w:val="00BF682B"/>
    <w:rsid w:val="00BF7039"/>
    <w:rsid w:val="00BF7BD9"/>
    <w:rsid w:val="00C00358"/>
    <w:rsid w:val="00C0077F"/>
    <w:rsid w:val="00C00C1F"/>
    <w:rsid w:val="00C01004"/>
    <w:rsid w:val="00C01BF0"/>
    <w:rsid w:val="00C01EB8"/>
    <w:rsid w:val="00C02AD3"/>
    <w:rsid w:val="00C02FCD"/>
    <w:rsid w:val="00C03277"/>
    <w:rsid w:val="00C032C3"/>
    <w:rsid w:val="00C05B1A"/>
    <w:rsid w:val="00C06310"/>
    <w:rsid w:val="00C069C4"/>
    <w:rsid w:val="00C07927"/>
    <w:rsid w:val="00C10A6D"/>
    <w:rsid w:val="00C10C8C"/>
    <w:rsid w:val="00C10DE7"/>
    <w:rsid w:val="00C11E70"/>
    <w:rsid w:val="00C1206C"/>
    <w:rsid w:val="00C124C9"/>
    <w:rsid w:val="00C1389D"/>
    <w:rsid w:val="00C13A42"/>
    <w:rsid w:val="00C14166"/>
    <w:rsid w:val="00C15125"/>
    <w:rsid w:val="00C155C7"/>
    <w:rsid w:val="00C15617"/>
    <w:rsid w:val="00C15653"/>
    <w:rsid w:val="00C15661"/>
    <w:rsid w:val="00C15712"/>
    <w:rsid w:val="00C159CD"/>
    <w:rsid w:val="00C161B3"/>
    <w:rsid w:val="00C163F7"/>
    <w:rsid w:val="00C165AE"/>
    <w:rsid w:val="00C16771"/>
    <w:rsid w:val="00C16C05"/>
    <w:rsid w:val="00C16E32"/>
    <w:rsid w:val="00C170C2"/>
    <w:rsid w:val="00C174B1"/>
    <w:rsid w:val="00C17976"/>
    <w:rsid w:val="00C17A64"/>
    <w:rsid w:val="00C17E90"/>
    <w:rsid w:val="00C21CF1"/>
    <w:rsid w:val="00C232F7"/>
    <w:rsid w:val="00C23EE6"/>
    <w:rsid w:val="00C23F88"/>
    <w:rsid w:val="00C243C3"/>
    <w:rsid w:val="00C24653"/>
    <w:rsid w:val="00C252C4"/>
    <w:rsid w:val="00C258C3"/>
    <w:rsid w:val="00C25F13"/>
    <w:rsid w:val="00C26343"/>
    <w:rsid w:val="00C264A4"/>
    <w:rsid w:val="00C26D0D"/>
    <w:rsid w:val="00C26DE0"/>
    <w:rsid w:val="00C27528"/>
    <w:rsid w:val="00C27787"/>
    <w:rsid w:val="00C30A84"/>
    <w:rsid w:val="00C30F33"/>
    <w:rsid w:val="00C31EFC"/>
    <w:rsid w:val="00C32E92"/>
    <w:rsid w:val="00C32F00"/>
    <w:rsid w:val="00C33282"/>
    <w:rsid w:val="00C34364"/>
    <w:rsid w:val="00C359BD"/>
    <w:rsid w:val="00C35BFB"/>
    <w:rsid w:val="00C361E9"/>
    <w:rsid w:val="00C366D9"/>
    <w:rsid w:val="00C36D52"/>
    <w:rsid w:val="00C36DF5"/>
    <w:rsid w:val="00C36FA2"/>
    <w:rsid w:val="00C37658"/>
    <w:rsid w:val="00C37B7C"/>
    <w:rsid w:val="00C37D7B"/>
    <w:rsid w:val="00C40212"/>
    <w:rsid w:val="00C41AF1"/>
    <w:rsid w:val="00C41C54"/>
    <w:rsid w:val="00C41C84"/>
    <w:rsid w:val="00C41DFF"/>
    <w:rsid w:val="00C41E2B"/>
    <w:rsid w:val="00C4281C"/>
    <w:rsid w:val="00C428DD"/>
    <w:rsid w:val="00C43CB5"/>
    <w:rsid w:val="00C43E34"/>
    <w:rsid w:val="00C44118"/>
    <w:rsid w:val="00C44D8E"/>
    <w:rsid w:val="00C44F20"/>
    <w:rsid w:val="00C45BF9"/>
    <w:rsid w:val="00C45D88"/>
    <w:rsid w:val="00C4612C"/>
    <w:rsid w:val="00C46308"/>
    <w:rsid w:val="00C4675D"/>
    <w:rsid w:val="00C471F6"/>
    <w:rsid w:val="00C479FD"/>
    <w:rsid w:val="00C5049D"/>
    <w:rsid w:val="00C50670"/>
    <w:rsid w:val="00C50932"/>
    <w:rsid w:val="00C50F99"/>
    <w:rsid w:val="00C51BB9"/>
    <w:rsid w:val="00C51D89"/>
    <w:rsid w:val="00C51F10"/>
    <w:rsid w:val="00C52055"/>
    <w:rsid w:val="00C5397D"/>
    <w:rsid w:val="00C53B6A"/>
    <w:rsid w:val="00C5401E"/>
    <w:rsid w:val="00C5470F"/>
    <w:rsid w:val="00C54BB4"/>
    <w:rsid w:val="00C5503B"/>
    <w:rsid w:val="00C550C8"/>
    <w:rsid w:val="00C56CC4"/>
    <w:rsid w:val="00C57529"/>
    <w:rsid w:val="00C575A8"/>
    <w:rsid w:val="00C57681"/>
    <w:rsid w:val="00C61A87"/>
    <w:rsid w:val="00C637F1"/>
    <w:rsid w:val="00C64735"/>
    <w:rsid w:val="00C6504C"/>
    <w:rsid w:val="00C65115"/>
    <w:rsid w:val="00C655E7"/>
    <w:rsid w:val="00C65735"/>
    <w:rsid w:val="00C658F2"/>
    <w:rsid w:val="00C65B6D"/>
    <w:rsid w:val="00C65DC2"/>
    <w:rsid w:val="00C661AB"/>
    <w:rsid w:val="00C66D74"/>
    <w:rsid w:val="00C67AA2"/>
    <w:rsid w:val="00C704E1"/>
    <w:rsid w:val="00C70716"/>
    <w:rsid w:val="00C70CA1"/>
    <w:rsid w:val="00C72C92"/>
    <w:rsid w:val="00C72EAB"/>
    <w:rsid w:val="00C730B9"/>
    <w:rsid w:val="00C73390"/>
    <w:rsid w:val="00C73C54"/>
    <w:rsid w:val="00C73D58"/>
    <w:rsid w:val="00C73F4A"/>
    <w:rsid w:val="00C74050"/>
    <w:rsid w:val="00C74DA0"/>
    <w:rsid w:val="00C75A4E"/>
    <w:rsid w:val="00C76A20"/>
    <w:rsid w:val="00C77BD6"/>
    <w:rsid w:val="00C808E6"/>
    <w:rsid w:val="00C80F25"/>
    <w:rsid w:val="00C80FBB"/>
    <w:rsid w:val="00C81CAD"/>
    <w:rsid w:val="00C81F33"/>
    <w:rsid w:val="00C8207D"/>
    <w:rsid w:val="00C825C3"/>
    <w:rsid w:val="00C8277A"/>
    <w:rsid w:val="00C82AE6"/>
    <w:rsid w:val="00C8329E"/>
    <w:rsid w:val="00C833A7"/>
    <w:rsid w:val="00C835AC"/>
    <w:rsid w:val="00C83DC7"/>
    <w:rsid w:val="00C85259"/>
    <w:rsid w:val="00C85603"/>
    <w:rsid w:val="00C8567B"/>
    <w:rsid w:val="00C8599F"/>
    <w:rsid w:val="00C860BF"/>
    <w:rsid w:val="00C86BFF"/>
    <w:rsid w:val="00C86C3A"/>
    <w:rsid w:val="00C8702C"/>
    <w:rsid w:val="00C87AEB"/>
    <w:rsid w:val="00C9044D"/>
    <w:rsid w:val="00C907E2"/>
    <w:rsid w:val="00C90937"/>
    <w:rsid w:val="00C90ECB"/>
    <w:rsid w:val="00C915E2"/>
    <w:rsid w:val="00C91A9D"/>
    <w:rsid w:val="00C91ACF"/>
    <w:rsid w:val="00C91C6D"/>
    <w:rsid w:val="00C91CBA"/>
    <w:rsid w:val="00C91F26"/>
    <w:rsid w:val="00C9291F"/>
    <w:rsid w:val="00C92B27"/>
    <w:rsid w:val="00C92B73"/>
    <w:rsid w:val="00C93748"/>
    <w:rsid w:val="00C93C74"/>
    <w:rsid w:val="00C93CE9"/>
    <w:rsid w:val="00C93E43"/>
    <w:rsid w:val="00C93E68"/>
    <w:rsid w:val="00C9422A"/>
    <w:rsid w:val="00C9437F"/>
    <w:rsid w:val="00C94792"/>
    <w:rsid w:val="00C94F10"/>
    <w:rsid w:val="00C9519B"/>
    <w:rsid w:val="00C95253"/>
    <w:rsid w:val="00C952D4"/>
    <w:rsid w:val="00C95AE8"/>
    <w:rsid w:val="00C9654C"/>
    <w:rsid w:val="00C965D4"/>
    <w:rsid w:val="00C96F62"/>
    <w:rsid w:val="00C97333"/>
    <w:rsid w:val="00C97DE0"/>
    <w:rsid w:val="00CA0536"/>
    <w:rsid w:val="00CA0738"/>
    <w:rsid w:val="00CA0750"/>
    <w:rsid w:val="00CA0F02"/>
    <w:rsid w:val="00CA17A7"/>
    <w:rsid w:val="00CA184F"/>
    <w:rsid w:val="00CA1F1E"/>
    <w:rsid w:val="00CA2159"/>
    <w:rsid w:val="00CA3166"/>
    <w:rsid w:val="00CA3A4C"/>
    <w:rsid w:val="00CA3ABC"/>
    <w:rsid w:val="00CA3C1E"/>
    <w:rsid w:val="00CA4914"/>
    <w:rsid w:val="00CA4C6F"/>
    <w:rsid w:val="00CA5136"/>
    <w:rsid w:val="00CA537A"/>
    <w:rsid w:val="00CA621A"/>
    <w:rsid w:val="00CA6502"/>
    <w:rsid w:val="00CA70ED"/>
    <w:rsid w:val="00CA7213"/>
    <w:rsid w:val="00CA7CFB"/>
    <w:rsid w:val="00CB0412"/>
    <w:rsid w:val="00CB0906"/>
    <w:rsid w:val="00CB12D5"/>
    <w:rsid w:val="00CB167E"/>
    <w:rsid w:val="00CB1B77"/>
    <w:rsid w:val="00CB2E06"/>
    <w:rsid w:val="00CB2E38"/>
    <w:rsid w:val="00CB36E5"/>
    <w:rsid w:val="00CB37CB"/>
    <w:rsid w:val="00CB3B45"/>
    <w:rsid w:val="00CB3FB9"/>
    <w:rsid w:val="00CB4797"/>
    <w:rsid w:val="00CB4B65"/>
    <w:rsid w:val="00CB4D04"/>
    <w:rsid w:val="00CB5624"/>
    <w:rsid w:val="00CB57B3"/>
    <w:rsid w:val="00CB5D5F"/>
    <w:rsid w:val="00CB65C0"/>
    <w:rsid w:val="00CB6DB9"/>
    <w:rsid w:val="00CB6F6B"/>
    <w:rsid w:val="00CB6FB0"/>
    <w:rsid w:val="00CB70B4"/>
    <w:rsid w:val="00CB726C"/>
    <w:rsid w:val="00CB7D5C"/>
    <w:rsid w:val="00CC0792"/>
    <w:rsid w:val="00CC1108"/>
    <w:rsid w:val="00CC126E"/>
    <w:rsid w:val="00CC14A7"/>
    <w:rsid w:val="00CC2417"/>
    <w:rsid w:val="00CC2A22"/>
    <w:rsid w:val="00CC34FF"/>
    <w:rsid w:val="00CC396B"/>
    <w:rsid w:val="00CC3B4E"/>
    <w:rsid w:val="00CC3D77"/>
    <w:rsid w:val="00CC44B5"/>
    <w:rsid w:val="00CC5343"/>
    <w:rsid w:val="00CC5DBE"/>
    <w:rsid w:val="00CC5E92"/>
    <w:rsid w:val="00CC6198"/>
    <w:rsid w:val="00CC6405"/>
    <w:rsid w:val="00CC74FF"/>
    <w:rsid w:val="00CC77E2"/>
    <w:rsid w:val="00CC7C06"/>
    <w:rsid w:val="00CC7C7A"/>
    <w:rsid w:val="00CC7D11"/>
    <w:rsid w:val="00CD0D55"/>
    <w:rsid w:val="00CD14A0"/>
    <w:rsid w:val="00CD1794"/>
    <w:rsid w:val="00CD190C"/>
    <w:rsid w:val="00CD24C0"/>
    <w:rsid w:val="00CD321B"/>
    <w:rsid w:val="00CD3829"/>
    <w:rsid w:val="00CD4449"/>
    <w:rsid w:val="00CD468F"/>
    <w:rsid w:val="00CD4B2C"/>
    <w:rsid w:val="00CD50AF"/>
    <w:rsid w:val="00CD52B6"/>
    <w:rsid w:val="00CD53BA"/>
    <w:rsid w:val="00CD5491"/>
    <w:rsid w:val="00CD5BBD"/>
    <w:rsid w:val="00CD604F"/>
    <w:rsid w:val="00CD66CE"/>
    <w:rsid w:val="00CD6867"/>
    <w:rsid w:val="00CD74BB"/>
    <w:rsid w:val="00CD7603"/>
    <w:rsid w:val="00CD7725"/>
    <w:rsid w:val="00CE04C5"/>
    <w:rsid w:val="00CE058E"/>
    <w:rsid w:val="00CE0902"/>
    <w:rsid w:val="00CE2041"/>
    <w:rsid w:val="00CE295C"/>
    <w:rsid w:val="00CE5278"/>
    <w:rsid w:val="00CE569C"/>
    <w:rsid w:val="00CE5D73"/>
    <w:rsid w:val="00CE5E54"/>
    <w:rsid w:val="00CE6D31"/>
    <w:rsid w:val="00CE74F6"/>
    <w:rsid w:val="00CE7FBC"/>
    <w:rsid w:val="00CF0172"/>
    <w:rsid w:val="00CF05F9"/>
    <w:rsid w:val="00CF15C2"/>
    <w:rsid w:val="00CF1C2B"/>
    <w:rsid w:val="00CF25FA"/>
    <w:rsid w:val="00CF26C0"/>
    <w:rsid w:val="00CF3308"/>
    <w:rsid w:val="00CF3B81"/>
    <w:rsid w:val="00CF536B"/>
    <w:rsid w:val="00CF5517"/>
    <w:rsid w:val="00CF58EB"/>
    <w:rsid w:val="00CF6612"/>
    <w:rsid w:val="00CF678A"/>
    <w:rsid w:val="00CF6CAF"/>
    <w:rsid w:val="00CF6EF6"/>
    <w:rsid w:val="00CF735C"/>
    <w:rsid w:val="00CF76A9"/>
    <w:rsid w:val="00CF770E"/>
    <w:rsid w:val="00CF7C4A"/>
    <w:rsid w:val="00D000A2"/>
    <w:rsid w:val="00D00D87"/>
    <w:rsid w:val="00D0131F"/>
    <w:rsid w:val="00D043FB"/>
    <w:rsid w:val="00D04D59"/>
    <w:rsid w:val="00D0529E"/>
    <w:rsid w:val="00D06036"/>
    <w:rsid w:val="00D06F65"/>
    <w:rsid w:val="00D070B9"/>
    <w:rsid w:val="00D07371"/>
    <w:rsid w:val="00D11701"/>
    <w:rsid w:val="00D125BE"/>
    <w:rsid w:val="00D12BB8"/>
    <w:rsid w:val="00D12D22"/>
    <w:rsid w:val="00D132AD"/>
    <w:rsid w:val="00D134A2"/>
    <w:rsid w:val="00D14A72"/>
    <w:rsid w:val="00D15CFF"/>
    <w:rsid w:val="00D16605"/>
    <w:rsid w:val="00D1685E"/>
    <w:rsid w:val="00D16952"/>
    <w:rsid w:val="00D16CA7"/>
    <w:rsid w:val="00D17605"/>
    <w:rsid w:val="00D2059F"/>
    <w:rsid w:val="00D20B03"/>
    <w:rsid w:val="00D213A5"/>
    <w:rsid w:val="00D2197A"/>
    <w:rsid w:val="00D21A8D"/>
    <w:rsid w:val="00D22CC9"/>
    <w:rsid w:val="00D23F83"/>
    <w:rsid w:val="00D244C1"/>
    <w:rsid w:val="00D24ACA"/>
    <w:rsid w:val="00D25879"/>
    <w:rsid w:val="00D262FA"/>
    <w:rsid w:val="00D26346"/>
    <w:rsid w:val="00D265B7"/>
    <w:rsid w:val="00D26971"/>
    <w:rsid w:val="00D274D7"/>
    <w:rsid w:val="00D2759B"/>
    <w:rsid w:val="00D27911"/>
    <w:rsid w:val="00D27D04"/>
    <w:rsid w:val="00D27E17"/>
    <w:rsid w:val="00D30043"/>
    <w:rsid w:val="00D30812"/>
    <w:rsid w:val="00D3184C"/>
    <w:rsid w:val="00D32102"/>
    <w:rsid w:val="00D325F1"/>
    <w:rsid w:val="00D33245"/>
    <w:rsid w:val="00D334D4"/>
    <w:rsid w:val="00D3353F"/>
    <w:rsid w:val="00D3364F"/>
    <w:rsid w:val="00D34193"/>
    <w:rsid w:val="00D34FFE"/>
    <w:rsid w:val="00D35193"/>
    <w:rsid w:val="00D35B81"/>
    <w:rsid w:val="00D3690A"/>
    <w:rsid w:val="00D3766C"/>
    <w:rsid w:val="00D37929"/>
    <w:rsid w:val="00D402C5"/>
    <w:rsid w:val="00D4077B"/>
    <w:rsid w:val="00D40A60"/>
    <w:rsid w:val="00D413F9"/>
    <w:rsid w:val="00D41BEA"/>
    <w:rsid w:val="00D41D35"/>
    <w:rsid w:val="00D41D80"/>
    <w:rsid w:val="00D4216F"/>
    <w:rsid w:val="00D42B5A"/>
    <w:rsid w:val="00D42BA7"/>
    <w:rsid w:val="00D42D7F"/>
    <w:rsid w:val="00D43198"/>
    <w:rsid w:val="00D4324E"/>
    <w:rsid w:val="00D43506"/>
    <w:rsid w:val="00D43AC7"/>
    <w:rsid w:val="00D44A74"/>
    <w:rsid w:val="00D450A7"/>
    <w:rsid w:val="00D450BF"/>
    <w:rsid w:val="00D4598D"/>
    <w:rsid w:val="00D45B43"/>
    <w:rsid w:val="00D4636F"/>
    <w:rsid w:val="00D46B90"/>
    <w:rsid w:val="00D4714F"/>
    <w:rsid w:val="00D47C1E"/>
    <w:rsid w:val="00D47E8C"/>
    <w:rsid w:val="00D50052"/>
    <w:rsid w:val="00D51287"/>
    <w:rsid w:val="00D52CFF"/>
    <w:rsid w:val="00D536F1"/>
    <w:rsid w:val="00D53D55"/>
    <w:rsid w:val="00D54069"/>
    <w:rsid w:val="00D546B8"/>
    <w:rsid w:val="00D54B86"/>
    <w:rsid w:val="00D54BB1"/>
    <w:rsid w:val="00D55692"/>
    <w:rsid w:val="00D55D65"/>
    <w:rsid w:val="00D56ECD"/>
    <w:rsid w:val="00D57372"/>
    <w:rsid w:val="00D577E2"/>
    <w:rsid w:val="00D57842"/>
    <w:rsid w:val="00D57E9C"/>
    <w:rsid w:val="00D60471"/>
    <w:rsid w:val="00D60A37"/>
    <w:rsid w:val="00D60A79"/>
    <w:rsid w:val="00D60D3C"/>
    <w:rsid w:val="00D61848"/>
    <w:rsid w:val="00D61B48"/>
    <w:rsid w:val="00D6236A"/>
    <w:rsid w:val="00D62E28"/>
    <w:rsid w:val="00D640DF"/>
    <w:rsid w:val="00D6424A"/>
    <w:rsid w:val="00D6436E"/>
    <w:rsid w:val="00D644BF"/>
    <w:rsid w:val="00D646B4"/>
    <w:rsid w:val="00D64C6D"/>
    <w:rsid w:val="00D6596A"/>
    <w:rsid w:val="00D65A78"/>
    <w:rsid w:val="00D65AC3"/>
    <w:rsid w:val="00D66FD9"/>
    <w:rsid w:val="00D67338"/>
    <w:rsid w:val="00D67878"/>
    <w:rsid w:val="00D70B9E"/>
    <w:rsid w:val="00D70CB8"/>
    <w:rsid w:val="00D70D9A"/>
    <w:rsid w:val="00D724B6"/>
    <w:rsid w:val="00D72716"/>
    <w:rsid w:val="00D72CC4"/>
    <w:rsid w:val="00D73342"/>
    <w:rsid w:val="00D7360E"/>
    <w:rsid w:val="00D736E8"/>
    <w:rsid w:val="00D75231"/>
    <w:rsid w:val="00D75363"/>
    <w:rsid w:val="00D75EAA"/>
    <w:rsid w:val="00D765AE"/>
    <w:rsid w:val="00D766AD"/>
    <w:rsid w:val="00D766FA"/>
    <w:rsid w:val="00D771F8"/>
    <w:rsid w:val="00D77276"/>
    <w:rsid w:val="00D775C2"/>
    <w:rsid w:val="00D77FDE"/>
    <w:rsid w:val="00D80070"/>
    <w:rsid w:val="00D8033E"/>
    <w:rsid w:val="00D807BF"/>
    <w:rsid w:val="00D81208"/>
    <w:rsid w:val="00D81AA4"/>
    <w:rsid w:val="00D821A7"/>
    <w:rsid w:val="00D82A16"/>
    <w:rsid w:val="00D82B4B"/>
    <w:rsid w:val="00D82DD9"/>
    <w:rsid w:val="00D84C99"/>
    <w:rsid w:val="00D84CAB"/>
    <w:rsid w:val="00D8514A"/>
    <w:rsid w:val="00D85339"/>
    <w:rsid w:val="00D8579F"/>
    <w:rsid w:val="00D85C2C"/>
    <w:rsid w:val="00D860A2"/>
    <w:rsid w:val="00D862AB"/>
    <w:rsid w:val="00D8680B"/>
    <w:rsid w:val="00D86B99"/>
    <w:rsid w:val="00D87A4E"/>
    <w:rsid w:val="00D9124B"/>
    <w:rsid w:val="00D91DD4"/>
    <w:rsid w:val="00D9201D"/>
    <w:rsid w:val="00D92264"/>
    <w:rsid w:val="00D92453"/>
    <w:rsid w:val="00D93836"/>
    <w:rsid w:val="00D93AF6"/>
    <w:rsid w:val="00D93C11"/>
    <w:rsid w:val="00D93E16"/>
    <w:rsid w:val="00D94BB9"/>
    <w:rsid w:val="00D95B20"/>
    <w:rsid w:val="00D96614"/>
    <w:rsid w:val="00D96910"/>
    <w:rsid w:val="00D97BB3"/>
    <w:rsid w:val="00DA1178"/>
    <w:rsid w:val="00DA1B7B"/>
    <w:rsid w:val="00DA31E2"/>
    <w:rsid w:val="00DA369D"/>
    <w:rsid w:val="00DA3747"/>
    <w:rsid w:val="00DA3BEF"/>
    <w:rsid w:val="00DA4BF4"/>
    <w:rsid w:val="00DA503E"/>
    <w:rsid w:val="00DA50CE"/>
    <w:rsid w:val="00DA51B5"/>
    <w:rsid w:val="00DA5654"/>
    <w:rsid w:val="00DA5D07"/>
    <w:rsid w:val="00DA6489"/>
    <w:rsid w:val="00DA6507"/>
    <w:rsid w:val="00DA6A86"/>
    <w:rsid w:val="00DA6B5A"/>
    <w:rsid w:val="00DA6F67"/>
    <w:rsid w:val="00DA7581"/>
    <w:rsid w:val="00DA7FA0"/>
    <w:rsid w:val="00DAB056"/>
    <w:rsid w:val="00DB1CC6"/>
    <w:rsid w:val="00DB2878"/>
    <w:rsid w:val="00DB3878"/>
    <w:rsid w:val="00DB471D"/>
    <w:rsid w:val="00DB4889"/>
    <w:rsid w:val="00DB5C58"/>
    <w:rsid w:val="00DB5D7E"/>
    <w:rsid w:val="00DB5F3A"/>
    <w:rsid w:val="00DB66D8"/>
    <w:rsid w:val="00DB6A86"/>
    <w:rsid w:val="00DB7065"/>
    <w:rsid w:val="00DB7083"/>
    <w:rsid w:val="00DB73FE"/>
    <w:rsid w:val="00DB7D8C"/>
    <w:rsid w:val="00DC01CC"/>
    <w:rsid w:val="00DC0458"/>
    <w:rsid w:val="00DC111D"/>
    <w:rsid w:val="00DC11EE"/>
    <w:rsid w:val="00DC1C11"/>
    <w:rsid w:val="00DC2506"/>
    <w:rsid w:val="00DC2933"/>
    <w:rsid w:val="00DC2CA5"/>
    <w:rsid w:val="00DC2DC9"/>
    <w:rsid w:val="00DC3116"/>
    <w:rsid w:val="00DC3141"/>
    <w:rsid w:val="00DC3284"/>
    <w:rsid w:val="00DC3889"/>
    <w:rsid w:val="00DC3CBA"/>
    <w:rsid w:val="00DC3D57"/>
    <w:rsid w:val="00DC4EAE"/>
    <w:rsid w:val="00DC5D8C"/>
    <w:rsid w:val="00DC609B"/>
    <w:rsid w:val="00DC657F"/>
    <w:rsid w:val="00DC69BF"/>
    <w:rsid w:val="00DC69F6"/>
    <w:rsid w:val="00DC6C2B"/>
    <w:rsid w:val="00DC6E7C"/>
    <w:rsid w:val="00DC71C2"/>
    <w:rsid w:val="00DC761C"/>
    <w:rsid w:val="00DD03DF"/>
    <w:rsid w:val="00DD1176"/>
    <w:rsid w:val="00DD17BE"/>
    <w:rsid w:val="00DD18A3"/>
    <w:rsid w:val="00DD1AE0"/>
    <w:rsid w:val="00DD29C5"/>
    <w:rsid w:val="00DD2C10"/>
    <w:rsid w:val="00DD3CB5"/>
    <w:rsid w:val="00DD3F86"/>
    <w:rsid w:val="00DD4E16"/>
    <w:rsid w:val="00DD54A4"/>
    <w:rsid w:val="00DD5851"/>
    <w:rsid w:val="00DD5995"/>
    <w:rsid w:val="00DD5AD9"/>
    <w:rsid w:val="00DD61C4"/>
    <w:rsid w:val="00DD6F6D"/>
    <w:rsid w:val="00DD6FFB"/>
    <w:rsid w:val="00DD7805"/>
    <w:rsid w:val="00DD7FE3"/>
    <w:rsid w:val="00DE0082"/>
    <w:rsid w:val="00DE1536"/>
    <w:rsid w:val="00DE1F1C"/>
    <w:rsid w:val="00DE2AA7"/>
    <w:rsid w:val="00DE2B16"/>
    <w:rsid w:val="00DE2CCE"/>
    <w:rsid w:val="00DE334C"/>
    <w:rsid w:val="00DE4002"/>
    <w:rsid w:val="00DE4C31"/>
    <w:rsid w:val="00DE5200"/>
    <w:rsid w:val="00DE65CF"/>
    <w:rsid w:val="00DE76EA"/>
    <w:rsid w:val="00DE79B1"/>
    <w:rsid w:val="00DE7BAA"/>
    <w:rsid w:val="00DF01B4"/>
    <w:rsid w:val="00DF1EC4"/>
    <w:rsid w:val="00DF2CB4"/>
    <w:rsid w:val="00DF38E9"/>
    <w:rsid w:val="00DF5046"/>
    <w:rsid w:val="00DF5D4F"/>
    <w:rsid w:val="00DF64A3"/>
    <w:rsid w:val="00DF6AA7"/>
    <w:rsid w:val="00DF6AC2"/>
    <w:rsid w:val="00DF6B82"/>
    <w:rsid w:val="00DF779F"/>
    <w:rsid w:val="00DF7AE9"/>
    <w:rsid w:val="00DF7AF6"/>
    <w:rsid w:val="00E00D32"/>
    <w:rsid w:val="00E013D4"/>
    <w:rsid w:val="00E01BD1"/>
    <w:rsid w:val="00E02F0C"/>
    <w:rsid w:val="00E037FC"/>
    <w:rsid w:val="00E03EB7"/>
    <w:rsid w:val="00E03EDA"/>
    <w:rsid w:val="00E042CB"/>
    <w:rsid w:val="00E04C4D"/>
    <w:rsid w:val="00E04E12"/>
    <w:rsid w:val="00E0523A"/>
    <w:rsid w:val="00E05629"/>
    <w:rsid w:val="00E059A7"/>
    <w:rsid w:val="00E059B6"/>
    <w:rsid w:val="00E05CAB"/>
    <w:rsid w:val="00E0607B"/>
    <w:rsid w:val="00E07A65"/>
    <w:rsid w:val="00E07B55"/>
    <w:rsid w:val="00E07CBE"/>
    <w:rsid w:val="00E07E3D"/>
    <w:rsid w:val="00E1006A"/>
    <w:rsid w:val="00E106E0"/>
    <w:rsid w:val="00E10873"/>
    <w:rsid w:val="00E11922"/>
    <w:rsid w:val="00E11A56"/>
    <w:rsid w:val="00E11D99"/>
    <w:rsid w:val="00E12118"/>
    <w:rsid w:val="00E122C7"/>
    <w:rsid w:val="00E1486E"/>
    <w:rsid w:val="00E151F5"/>
    <w:rsid w:val="00E15266"/>
    <w:rsid w:val="00E1550E"/>
    <w:rsid w:val="00E155DA"/>
    <w:rsid w:val="00E169EF"/>
    <w:rsid w:val="00E17663"/>
    <w:rsid w:val="00E17D66"/>
    <w:rsid w:val="00E17DFB"/>
    <w:rsid w:val="00E17F51"/>
    <w:rsid w:val="00E206F4"/>
    <w:rsid w:val="00E20A21"/>
    <w:rsid w:val="00E20F8F"/>
    <w:rsid w:val="00E20FA4"/>
    <w:rsid w:val="00E21218"/>
    <w:rsid w:val="00E213DD"/>
    <w:rsid w:val="00E216AA"/>
    <w:rsid w:val="00E21B6A"/>
    <w:rsid w:val="00E2207C"/>
    <w:rsid w:val="00E22505"/>
    <w:rsid w:val="00E22711"/>
    <w:rsid w:val="00E23327"/>
    <w:rsid w:val="00E23664"/>
    <w:rsid w:val="00E23BBC"/>
    <w:rsid w:val="00E23E83"/>
    <w:rsid w:val="00E23E8F"/>
    <w:rsid w:val="00E24D0E"/>
    <w:rsid w:val="00E27316"/>
    <w:rsid w:val="00E27498"/>
    <w:rsid w:val="00E275F3"/>
    <w:rsid w:val="00E27C6C"/>
    <w:rsid w:val="00E31918"/>
    <w:rsid w:val="00E319A4"/>
    <w:rsid w:val="00E31BBB"/>
    <w:rsid w:val="00E32148"/>
    <w:rsid w:val="00E32C16"/>
    <w:rsid w:val="00E33A29"/>
    <w:rsid w:val="00E340B7"/>
    <w:rsid w:val="00E341FF"/>
    <w:rsid w:val="00E3443C"/>
    <w:rsid w:val="00E3452D"/>
    <w:rsid w:val="00E353BC"/>
    <w:rsid w:val="00E35CF3"/>
    <w:rsid w:val="00E360B3"/>
    <w:rsid w:val="00E36197"/>
    <w:rsid w:val="00E36773"/>
    <w:rsid w:val="00E36C4E"/>
    <w:rsid w:val="00E36E9A"/>
    <w:rsid w:val="00E37444"/>
    <w:rsid w:val="00E37658"/>
    <w:rsid w:val="00E40CCE"/>
    <w:rsid w:val="00E414DA"/>
    <w:rsid w:val="00E41893"/>
    <w:rsid w:val="00E41EE5"/>
    <w:rsid w:val="00E426C6"/>
    <w:rsid w:val="00E43532"/>
    <w:rsid w:val="00E4366C"/>
    <w:rsid w:val="00E43B5D"/>
    <w:rsid w:val="00E4449D"/>
    <w:rsid w:val="00E44903"/>
    <w:rsid w:val="00E44C03"/>
    <w:rsid w:val="00E456F3"/>
    <w:rsid w:val="00E457F4"/>
    <w:rsid w:val="00E45C67"/>
    <w:rsid w:val="00E4651F"/>
    <w:rsid w:val="00E4658D"/>
    <w:rsid w:val="00E46852"/>
    <w:rsid w:val="00E47181"/>
    <w:rsid w:val="00E4786A"/>
    <w:rsid w:val="00E478D2"/>
    <w:rsid w:val="00E5043A"/>
    <w:rsid w:val="00E50CF5"/>
    <w:rsid w:val="00E51069"/>
    <w:rsid w:val="00E52752"/>
    <w:rsid w:val="00E52B92"/>
    <w:rsid w:val="00E53296"/>
    <w:rsid w:val="00E534C9"/>
    <w:rsid w:val="00E535B2"/>
    <w:rsid w:val="00E53930"/>
    <w:rsid w:val="00E53AC7"/>
    <w:rsid w:val="00E5450F"/>
    <w:rsid w:val="00E5457D"/>
    <w:rsid w:val="00E546AD"/>
    <w:rsid w:val="00E54847"/>
    <w:rsid w:val="00E55AEB"/>
    <w:rsid w:val="00E55DA7"/>
    <w:rsid w:val="00E5610E"/>
    <w:rsid w:val="00E56145"/>
    <w:rsid w:val="00E6059E"/>
    <w:rsid w:val="00E6086C"/>
    <w:rsid w:val="00E6089B"/>
    <w:rsid w:val="00E61013"/>
    <w:rsid w:val="00E61047"/>
    <w:rsid w:val="00E611DB"/>
    <w:rsid w:val="00E61270"/>
    <w:rsid w:val="00E6169B"/>
    <w:rsid w:val="00E61859"/>
    <w:rsid w:val="00E6197E"/>
    <w:rsid w:val="00E61D69"/>
    <w:rsid w:val="00E61EC6"/>
    <w:rsid w:val="00E623B6"/>
    <w:rsid w:val="00E628B1"/>
    <w:rsid w:val="00E62B67"/>
    <w:rsid w:val="00E653AD"/>
    <w:rsid w:val="00E65A82"/>
    <w:rsid w:val="00E65B0C"/>
    <w:rsid w:val="00E66174"/>
    <w:rsid w:val="00E66A72"/>
    <w:rsid w:val="00E67541"/>
    <w:rsid w:val="00E67BF8"/>
    <w:rsid w:val="00E7098F"/>
    <w:rsid w:val="00E715FC"/>
    <w:rsid w:val="00E71A74"/>
    <w:rsid w:val="00E71C75"/>
    <w:rsid w:val="00E71EAD"/>
    <w:rsid w:val="00E725F0"/>
    <w:rsid w:val="00E72DAE"/>
    <w:rsid w:val="00E72FC1"/>
    <w:rsid w:val="00E733D2"/>
    <w:rsid w:val="00E73979"/>
    <w:rsid w:val="00E73AA4"/>
    <w:rsid w:val="00E73D69"/>
    <w:rsid w:val="00E73F0E"/>
    <w:rsid w:val="00E73F66"/>
    <w:rsid w:val="00E74ED0"/>
    <w:rsid w:val="00E75804"/>
    <w:rsid w:val="00E75DDA"/>
    <w:rsid w:val="00E763A5"/>
    <w:rsid w:val="00E77157"/>
    <w:rsid w:val="00E80686"/>
    <w:rsid w:val="00E806D9"/>
    <w:rsid w:val="00E8107A"/>
    <w:rsid w:val="00E8116C"/>
    <w:rsid w:val="00E815E5"/>
    <w:rsid w:val="00E81BE2"/>
    <w:rsid w:val="00E83134"/>
    <w:rsid w:val="00E83866"/>
    <w:rsid w:val="00E839B6"/>
    <w:rsid w:val="00E84356"/>
    <w:rsid w:val="00E84FD9"/>
    <w:rsid w:val="00E8501F"/>
    <w:rsid w:val="00E8503C"/>
    <w:rsid w:val="00E850FD"/>
    <w:rsid w:val="00E85231"/>
    <w:rsid w:val="00E852E0"/>
    <w:rsid w:val="00E8567E"/>
    <w:rsid w:val="00E85B0B"/>
    <w:rsid w:val="00E85CC1"/>
    <w:rsid w:val="00E8675C"/>
    <w:rsid w:val="00E86A0D"/>
    <w:rsid w:val="00E879F5"/>
    <w:rsid w:val="00E87AF2"/>
    <w:rsid w:val="00E87F5F"/>
    <w:rsid w:val="00E90801"/>
    <w:rsid w:val="00E90975"/>
    <w:rsid w:val="00E90A33"/>
    <w:rsid w:val="00E913A9"/>
    <w:rsid w:val="00E91862"/>
    <w:rsid w:val="00E91BBB"/>
    <w:rsid w:val="00E92DF5"/>
    <w:rsid w:val="00E946E5"/>
    <w:rsid w:val="00E949F6"/>
    <w:rsid w:val="00E957AB"/>
    <w:rsid w:val="00E95812"/>
    <w:rsid w:val="00E964D8"/>
    <w:rsid w:val="00E96BCF"/>
    <w:rsid w:val="00E96CFA"/>
    <w:rsid w:val="00E97052"/>
    <w:rsid w:val="00E970A3"/>
    <w:rsid w:val="00EA0041"/>
    <w:rsid w:val="00EA070A"/>
    <w:rsid w:val="00EA0B92"/>
    <w:rsid w:val="00EA0CC8"/>
    <w:rsid w:val="00EA2780"/>
    <w:rsid w:val="00EA34C9"/>
    <w:rsid w:val="00EA4114"/>
    <w:rsid w:val="00EA48D2"/>
    <w:rsid w:val="00EA49A4"/>
    <w:rsid w:val="00EA4BD2"/>
    <w:rsid w:val="00EA4BDF"/>
    <w:rsid w:val="00EA4F31"/>
    <w:rsid w:val="00EA56BB"/>
    <w:rsid w:val="00EA5EA4"/>
    <w:rsid w:val="00EA65E7"/>
    <w:rsid w:val="00EA6C1F"/>
    <w:rsid w:val="00EA72B7"/>
    <w:rsid w:val="00EA7CBE"/>
    <w:rsid w:val="00EB0A96"/>
    <w:rsid w:val="00EB0B05"/>
    <w:rsid w:val="00EB0BC5"/>
    <w:rsid w:val="00EB0DBC"/>
    <w:rsid w:val="00EB12B6"/>
    <w:rsid w:val="00EB144B"/>
    <w:rsid w:val="00EB167B"/>
    <w:rsid w:val="00EB1F8B"/>
    <w:rsid w:val="00EB380A"/>
    <w:rsid w:val="00EB3D18"/>
    <w:rsid w:val="00EB40B0"/>
    <w:rsid w:val="00EB4736"/>
    <w:rsid w:val="00EB4A1E"/>
    <w:rsid w:val="00EB4B8F"/>
    <w:rsid w:val="00EB4F6E"/>
    <w:rsid w:val="00EB5193"/>
    <w:rsid w:val="00EB555D"/>
    <w:rsid w:val="00EB5FA7"/>
    <w:rsid w:val="00EB65D6"/>
    <w:rsid w:val="00EB6E35"/>
    <w:rsid w:val="00EB744C"/>
    <w:rsid w:val="00EC06DA"/>
    <w:rsid w:val="00EC099A"/>
    <w:rsid w:val="00EC0F39"/>
    <w:rsid w:val="00EC121C"/>
    <w:rsid w:val="00EC2095"/>
    <w:rsid w:val="00EC219B"/>
    <w:rsid w:val="00EC2503"/>
    <w:rsid w:val="00EC39B7"/>
    <w:rsid w:val="00EC3A09"/>
    <w:rsid w:val="00EC3D8D"/>
    <w:rsid w:val="00EC446A"/>
    <w:rsid w:val="00EC4537"/>
    <w:rsid w:val="00EC496E"/>
    <w:rsid w:val="00EC50A3"/>
    <w:rsid w:val="00EC50E7"/>
    <w:rsid w:val="00EC5D97"/>
    <w:rsid w:val="00EC6253"/>
    <w:rsid w:val="00EC725D"/>
    <w:rsid w:val="00EC758B"/>
    <w:rsid w:val="00EC769C"/>
    <w:rsid w:val="00EC79DA"/>
    <w:rsid w:val="00ED000C"/>
    <w:rsid w:val="00ED0297"/>
    <w:rsid w:val="00ED0ACA"/>
    <w:rsid w:val="00ED0C8D"/>
    <w:rsid w:val="00ED1334"/>
    <w:rsid w:val="00ED1586"/>
    <w:rsid w:val="00ED1AC6"/>
    <w:rsid w:val="00ED1ED0"/>
    <w:rsid w:val="00ED2CE9"/>
    <w:rsid w:val="00ED33C7"/>
    <w:rsid w:val="00ED3887"/>
    <w:rsid w:val="00ED3FD3"/>
    <w:rsid w:val="00ED4260"/>
    <w:rsid w:val="00ED4F7D"/>
    <w:rsid w:val="00ED568D"/>
    <w:rsid w:val="00ED6156"/>
    <w:rsid w:val="00ED67C6"/>
    <w:rsid w:val="00ED6FFC"/>
    <w:rsid w:val="00ED7042"/>
    <w:rsid w:val="00ED73E7"/>
    <w:rsid w:val="00ED7513"/>
    <w:rsid w:val="00EE1987"/>
    <w:rsid w:val="00EE31DC"/>
    <w:rsid w:val="00EE381D"/>
    <w:rsid w:val="00EE4F25"/>
    <w:rsid w:val="00EE5564"/>
    <w:rsid w:val="00EE5644"/>
    <w:rsid w:val="00EE5A5B"/>
    <w:rsid w:val="00EE76DB"/>
    <w:rsid w:val="00EF00F2"/>
    <w:rsid w:val="00EF1814"/>
    <w:rsid w:val="00EF2771"/>
    <w:rsid w:val="00EF3017"/>
    <w:rsid w:val="00EF3221"/>
    <w:rsid w:val="00EF32BF"/>
    <w:rsid w:val="00EF3875"/>
    <w:rsid w:val="00EF4AF8"/>
    <w:rsid w:val="00EF5E62"/>
    <w:rsid w:val="00EF6158"/>
    <w:rsid w:val="00EF61F7"/>
    <w:rsid w:val="00EF643F"/>
    <w:rsid w:val="00EF65D1"/>
    <w:rsid w:val="00EF696A"/>
    <w:rsid w:val="00EF6DC8"/>
    <w:rsid w:val="00EF751B"/>
    <w:rsid w:val="00EF7898"/>
    <w:rsid w:val="00EF7E79"/>
    <w:rsid w:val="00EF7EB0"/>
    <w:rsid w:val="00F000D9"/>
    <w:rsid w:val="00F0020A"/>
    <w:rsid w:val="00F016EC"/>
    <w:rsid w:val="00F01A31"/>
    <w:rsid w:val="00F01AF4"/>
    <w:rsid w:val="00F01FA7"/>
    <w:rsid w:val="00F021B3"/>
    <w:rsid w:val="00F02D85"/>
    <w:rsid w:val="00F030A4"/>
    <w:rsid w:val="00F030E3"/>
    <w:rsid w:val="00F03933"/>
    <w:rsid w:val="00F04251"/>
    <w:rsid w:val="00F044C6"/>
    <w:rsid w:val="00F052A7"/>
    <w:rsid w:val="00F0602A"/>
    <w:rsid w:val="00F0630C"/>
    <w:rsid w:val="00F071FA"/>
    <w:rsid w:val="00F074AA"/>
    <w:rsid w:val="00F075C1"/>
    <w:rsid w:val="00F1137F"/>
    <w:rsid w:val="00F11E54"/>
    <w:rsid w:val="00F11E76"/>
    <w:rsid w:val="00F1208A"/>
    <w:rsid w:val="00F1262B"/>
    <w:rsid w:val="00F13C06"/>
    <w:rsid w:val="00F13E8A"/>
    <w:rsid w:val="00F1419B"/>
    <w:rsid w:val="00F1471C"/>
    <w:rsid w:val="00F15649"/>
    <w:rsid w:val="00F156F4"/>
    <w:rsid w:val="00F16389"/>
    <w:rsid w:val="00F16C30"/>
    <w:rsid w:val="00F1711E"/>
    <w:rsid w:val="00F173FA"/>
    <w:rsid w:val="00F1760D"/>
    <w:rsid w:val="00F177E7"/>
    <w:rsid w:val="00F20004"/>
    <w:rsid w:val="00F205AD"/>
    <w:rsid w:val="00F20C2E"/>
    <w:rsid w:val="00F21638"/>
    <w:rsid w:val="00F216A0"/>
    <w:rsid w:val="00F21C6D"/>
    <w:rsid w:val="00F21E27"/>
    <w:rsid w:val="00F227D3"/>
    <w:rsid w:val="00F22B3A"/>
    <w:rsid w:val="00F2396E"/>
    <w:rsid w:val="00F23CE2"/>
    <w:rsid w:val="00F23CFF"/>
    <w:rsid w:val="00F249E6"/>
    <w:rsid w:val="00F256DB"/>
    <w:rsid w:val="00F25CC7"/>
    <w:rsid w:val="00F26337"/>
    <w:rsid w:val="00F2633E"/>
    <w:rsid w:val="00F2688B"/>
    <w:rsid w:val="00F278BF"/>
    <w:rsid w:val="00F3019D"/>
    <w:rsid w:val="00F3042D"/>
    <w:rsid w:val="00F308D2"/>
    <w:rsid w:val="00F30B63"/>
    <w:rsid w:val="00F314E7"/>
    <w:rsid w:val="00F321F8"/>
    <w:rsid w:val="00F3237C"/>
    <w:rsid w:val="00F32A68"/>
    <w:rsid w:val="00F331BE"/>
    <w:rsid w:val="00F33240"/>
    <w:rsid w:val="00F335B5"/>
    <w:rsid w:val="00F33B9C"/>
    <w:rsid w:val="00F33E2A"/>
    <w:rsid w:val="00F33E7E"/>
    <w:rsid w:val="00F342B7"/>
    <w:rsid w:val="00F344F1"/>
    <w:rsid w:val="00F35F2E"/>
    <w:rsid w:val="00F36C36"/>
    <w:rsid w:val="00F36CD0"/>
    <w:rsid w:val="00F37C97"/>
    <w:rsid w:val="00F40597"/>
    <w:rsid w:val="00F40831"/>
    <w:rsid w:val="00F40E81"/>
    <w:rsid w:val="00F41931"/>
    <w:rsid w:val="00F41E40"/>
    <w:rsid w:val="00F41F01"/>
    <w:rsid w:val="00F421EF"/>
    <w:rsid w:val="00F423C3"/>
    <w:rsid w:val="00F42496"/>
    <w:rsid w:val="00F42996"/>
    <w:rsid w:val="00F437F2"/>
    <w:rsid w:val="00F44342"/>
    <w:rsid w:val="00F44C76"/>
    <w:rsid w:val="00F451F7"/>
    <w:rsid w:val="00F45A11"/>
    <w:rsid w:val="00F45F58"/>
    <w:rsid w:val="00F466D2"/>
    <w:rsid w:val="00F46C13"/>
    <w:rsid w:val="00F46D7A"/>
    <w:rsid w:val="00F46E66"/>
    <w:rsid w:val="00F47DF5"/>
    <w:rsid w:val="00F5046D"/>
    <w:rsid w:val="00F507D2"/>
    <w:rsid w:val="00F5159D"/>
    <w:rsid w:val="00F51EC6"/>
    <w:rsid w:val="00F52998"/>
    <w:rsid w:val="00F530F9"/>
    <w:rsid w:val="00F53192"/>
    <w:rsid w:val="00F5345A"/>
    <w:rsid w:val="00F5428B"/>
    <w:rsid w:val="00F54A23"/>
    <w:rsid w:val="00F55AE1"/>
    <w:rsid w:val="00F564BE"/>
    <w:rsid w:val="00F56C1D"/>
    <w:rsid w:val="00F56DF5"/>
    <w:rsid w:val="00F56E96"/>
    <w:rsid w:val="00F57071"/>
    <w:rsid w:val="00F57F74"/>
    <w:rsid w:val="00F605FD"/>
    <w:rsid w:val="00F606A1"/>
    <w:rsid w:val="00F60CD2"/>
    <w:rsid w:val="00F60FFB"/>
    <w:rsid w:val="00F61875"/>
    <w:rsid w:val="00F6291C"/>
    <w:rsid w:val="00F62986"/>
    <w:rsid w:val="00F633C7"/>
    <w:rsid w:val="00F63447"/>
    <w:rsid w:val="00F63D69"/>
    <w:rsid w:val="00F64150"/>
    <w:rsid w:val="00F64269"/>
    <w:rsid w:val="00F64B05"/>
    <w:rsid w:val="00F64C64"/>
    <w:rsid w:val="00F64DB0"/>
    <w:rsid w:val="00F65231"/>
    <w:rsid w:val="00F653DF"/>
    <w:rsid w:val="00F658CE"/>
    <w:rsid w:val="00F65972"/>
    <w:rsid w:val="00F65BE9"/>
    <w:rsid w:val="00F65F22"/>
    <w:rsid w:val="00F6640D"/>
    <w:rsid w:val="00F66FF6"/>
    <w:rsid w:val="00F671F9"/>
    <w:rsid w:val="00F67821"/>
    <w:rsid w:val="00F67B87"/>
    <w:rsid w:val="00F67C37"/>
    <w:rsid w:val="00F67F88"/>
    <w:rsid w:val="00F706E4"/>
    <w:rsid w:val="00F70878"/>
    <w:rsid w:val="00F72362"/>
    <w:rsid w:val="00F72BF7"/>
    <w:rsid w:val="00F72C5F"/>
    <w:rsid w:val="00F72C9E"/>
    <w:rsid w:val="00F72D16"/>
    <w:rsid w:val="00F7405B"/>
    <w:rsid w:val="00F74C2D"/>
    <w:rsid w:val="00F7566E"/>
    <w:rsid w:val="00F75AAA"/>
    <w:rsid w:val="00F769F3"/>
    <w:rsid w:val="00F76C8A"/>
    <w:rsid w:val="00F8035C"/>
    <w:rsid w:val="00F80BDE"/>
    <w:rsid w:val="00F810BA"/>
    <w:rsid w:val="00F8116E"/>
    <w:rsid w:val="00F82BF1"/>
    <w:rsid w:val="00F82CBA"/>
    <w:rsid w:val="00F82FEE"/>
    <w:rsid w:val="00F830B0"/>
    <w:rsid w:val="00F830DB"/>
    <w:rsid w:val="00F835F4"/>
    <w:rsid w:val="00F83E13"/>
    <w:rsid w:val="00F8449F"/>
    <w:rsid w:val="00F84771"/>
    <w:rsid w:val="00F84860"/>
    <w:rsid w:val="00F84B0E"/>
    <w:rsid w:val="00F84E0E"/>
    <w:rsid w:val="00F85420"/>
    <w:rsid w:val="00F86A6A"/>
    <w:rsid w:val="00F86E25"/>
    <w:rsid w:val="00F86E77"/>
    <w:rsid w:val="00F8725C"/>
    <w:rsid w:val="00F87F2B"/>
    <w:rsid w:val="00F87F97"/>
    <w:rsid w:val="00F90E4D"/>
    <w:rsid w:val="00F91B99"/>
    <w:rsid w:val="00F91DAC"/>
    <w:rsid w:val="00F91E34"/>
    <w:rsid w:val="00F92076"/>
    <w:rsid w:val="00F925A0"/>
    <w:rsid w:val="00F92AC8"/>
    <w:rsid w:val="00F9317E"/>
    <w:rsid w:val="00F932B9"/>
    <w:rsid w:val="00F9362A"/>
    <w:rsid w:val="00F93998"/>
    <w:rsid w:val="00F93FA5"/>
    <w:rsid w:val="00F940B5"/>
    <w:rsid w:val="00F94342"/>
    <w:rsid w:val="00F94ECB"/>
    <w:rsid w:val="00F95700"/>
    <w:rsid w:val="00F95E90"/>
    <w:rsid w:val="00F96123"/>
    <w:rsid w:val="00F96930"/>
    <w:rsid w:val="00F96B54"/>
    <w:rsid w:val="00F96DD8"/>
    <w:rsid w:val="00F97296"/>
    <w:rsid w:val="00F97796"/>
    <w:rsid w:val="00F978DA"/>
    <w:rsid w:val="00FA04F1"/>
    <w:rsid w:val="00FA0581"/>
    <w:rsid w:val="00FA09A0"/>
    <w:rsid w:val="00FA0B55"/>
    <w:rsid w:val="00FA0FE1"/>
    <w:rsid w:val="00FA149E"/>
    <w:rsid w:val="00FA2BFC"/>
    <w:rsid w:val="00FA2F87"/>
    <w:rsid w:val="00FA3332"/>
    <w:rsid w:val="00FA38CD"/>
    <w:rsid w:val="00FA3B2F"/>
    <w:rsid w:val="00FA3F6A"/>
    <w:rsid w:val="00FA481B"/>
    <w:rsid w:val="00FA4994"/>
    <w:rsid w:val="00FA4A10"/>
    <w:rsid w:val="00FA6EEB"/>
    <w:rsid w:val="00FA71CC"/>
    <w:rsid w:val="00FA7289"/>
    <w:rsid w:val="00FA7350"/>
    <w:rsid w:val="00FA7AFE"/>
    <w:rsid w:val="00FAA5A5"/>
    <w:rsid w:val="00FB07C1"/>
    <w:rsid w:val="00FB0BD9"/>
    <w:rsid w:val="00FB0F05"/>
    <w:rsid w:val="00FB10BD"/>
    <w:rsid w:val="00FB13D3"/>
    <w:rsid w:val="00FB16D1"/>
    <w:rsid w:val="00FB2010"/>
    <w:rsid w:val="00FB27F5"/>
    <w:rsid w:val="00FB287A"/>
    <w:rsid w:val="00FB295F"/>
    <w:rsid w:val="00FB3466"/>
    <w:rsid w:val="00FB476C"/>
    <w:rsid w:val="00FB48B1"/>
    <w:rsid w:val="00FB4EF3"/>
    <w:rsid w:val="00FB5AEA"/>
    <w:rsid w:val="00FB64B7"/>
    <w:rsid w:val="00FB6C30"/>
    <w:rsid w:val="00FB7FC1"/>
    <w:rsid w:val="00FC020E"/>
    <w:rsid w:val="00FC0254"/>
    <w:rsid w:val="00FC08A0"/>
    <w:rsid w:val="00FC09FA"/>
    <w:rsid w:val="00FC0A43"/>
    <w:rsid w:val="00FC10EE"/>
    <w:rsid w:val="00FC1C7D"/>
    <w:rsid w:val="00FC1F4B"/>
    <w:rsid w:val="00FC3804"/>
    <w:rsid w:val="00FC3883"/>
    <w:rsid w:val="00FC3951"/>
    <w:rsid w:val="00FC3F77"/>
    <w:rsid w:val="00FC462C"/>
    <w:rsid w:val="00FC47A7"/>
    <w:rsid w:val="00FC490F"/>
    <w:rsid w:val="00FC4B2D"/>
    <w:rsid w:val="00FC4F71"/>
    <w:rsid w:val="00FC52B9"/>
    <w:rsid w:val="00FC58EB"/>
    <w:rsid w:val="00FC664C"/>
    <w:rsid w:val="00FC6ACA"/>
    <w:rsid w:val="00FC6FF0"/>
    <w:rsid w:val="00FC74A6"/>
    <w:rsid w:val="00FC7B5A"/>
    <w:rsid w:val="00FD01BF"/>
    <w:rsid w:val="00FD0A03"/>
    <w:rsid w:val="00FD106D"/>
    <w:rsid w:val="00FD1801"/>
    <w:rsid w:val="00FD1E53"/>
    <w:rsid w:val="00FD2648"/>
    <w:rsid w:val="00FD3960"/>
    <w:rsid w:val="00FD3FCA"/>
    <w:rsid w:val="00FD53FD"/>
    <w:rsid w:val="00FD547D"/>
    <w:rsid w:val="00FD57D5"/>
    <w:rsid w:val="00FD5FB9"/>
    <w:rsid w:val="00FD607C"/>
    <w:rsid w:val="00FD63FC"/>
    <w:rsid w:val="00FD7152"/>
    <w:rsid w:val="00FD72A3"/>
    <w:rsid w:val="00FD7318"/>
    <w:rsid w:val="00FD7721"/>
    <w:rsid w:val="00FD79E1"/>
    <w:rsid w:val="00FE061F"/>
    <w:rsid w:val="00FE09AD"/>
    <w:rsid w:val="00FE0A1D"/>
    <w:rsid w:val="00FE1E68"/>
    <w:rsid w:val="00FE2285"/>
    <w:rsid w:val="00FE3103"/>
    <w:rsid w:val="00FE3380"/>
    <w:rsid w:val="00FE365F"/>
    <w:rsid w:val="00FE3BA4"/>
    <w:rsid w:val="00FE44F3"/>
    <w:rsid w:val="00FE483E"/>
    <w:rsid w:val="00FE4A2D"/>
    <w:rsid w:val="00FE50B6"/>
    <w:rsid w:val="00FE5A6D"/>
    <w:rsid w:val="00FE5EE3"/>
    <w:rsid w:val="00FE640A"/>
    <w:rsid w:val="00FE6A9D"/>
    <w:rsid w:val="00FE7337"/>
    <w:rsid w:val="00FE7828"/>
    <w:rsid w:val="00FE7B9D"/>
    <w:rsid w:val="00FF05A8"/>
    <w:rsid w:val="00FF0B0B"/>
    <w:rsid w:val="00FF0CFC"/>
    <w:rsid w:val="00FF1759"/>
    <w:rsid w:val="00FF1A99"/>
    <w:rsid w:val="00FF275C"/>
    <w:rsid w:val="00FF2D7D"/>
    <w:rsid w:val="00FF3758"/>
    <w:rsid w:val="00FF4707"/>
    <w:rsid w:val="00FF4941"/>
    <w:rsid w:val="00FF4E17"/>
    <w:rsid w:val="00FF5808"/>
    <w:rsid w:val="00FF7052"/>
    <w:rsid w:val="015226F5"/>
    <w:rsid w:val="016DF8D0"/>
    <w:rsid w:val="01998EE9"/>
    <w:rsid w:val="01CEE2AB"/>
    <w:rsid w:val="02A481C2"/>
    <w:rsid w:val="02BC69CC"/>
    <w:rsid w:val="02BE0622"/>
    <w:rsid w:val="02CE1373"/>
    <w:rsid w:val="02D177FD"/>
    <w:rsid w:val="03096756"/>
    <w:rsid w:val="03101D53"/>
    <w:rsid w:val="03319A1F"/>
    <w:rsid w:val="0342CCA6"/>
    <w:rsid w:val="03B7BEBF"/>
    <w:rsid w:val="04B145B5"/>
    <w:rsid w:val="04D1668F"/>
    <w:rsid w:val="0534FBA1"/>
    <w:rsid w:val="05AF965C"/>
    <w:rsid w:val="05C636FB"/>
    <w:rsid w:val="05CEDEA7"/>
    <w:rsid w:val="05D4CD85"/>
    <w:rsid w:val="061CEEDF"/>
    <w:rsid w:val="061D1E73"/>
    <w:rsid w:val="07C76587"/>
    <w:rsid w:val="07D9C0A4"/>
    <w:rsid w:val="07DEDA8E"/>
    <w:rsid w:val="0810073F"/>
    <w:rsid w:val="081EBFCA"/>
    <w:rsid w:val="084CF3FF"/>
    <w:rsid w:val="0879608E"/>
    <w:rsid w:val="08EB0F29"/>
    <w:rsid w:val="09007D63"/>
    <w:rsid w:val="0959E1DE"/>
    <w:rsid w:val="0A45EA1C"/>
    <w:rsid w:val="0A486F0D"/>
    <w:rsid w:val="0A73B0EC"/>
    <w:rsid w:val="0A81436D"/>
    <w:rsid w:val="0AA8888E"/>
    <w:rsid w:val="0AA8D789"/>
    <w:rsid w:val="0AB25907"/>
    <w:rsid w:val="0AD76739"/>
    <w:rsid w:val="0B1AD596"/>
    <w:rsid w:val="0B635E0B"/>
    <w:rsid w:val="0B83CE02"/>
    <w:rsid w:val="0B8E3791"/>
    <w:rsid w:val="0B8F9F4E"/>
    <w:rsid w:val="0C2563A5"/>
    <w:rsid w:val="0C73379A"/>
    <w:rsid w:val="0CCD964F"/>
    <w:rsid w:val="0CDB2F68"/>
    <w:rsid w:val="0CFCD245"/>
    <w:rsid w:val="0D1625BD"/>
    <w:rsid w:val="0D6DDAC2"/>
    <w:rsid w:val="0D961192"/>
    <w:rsid w:val="0E041EBD"/>
    <w:rsid w:val="0E0F07FB"/>
    <w:rsid w:val="0E22E7AA"/>
    <w:rsid w:val="0E353F8C"/>
    <w:rsid w:val="0E3908CA"/>
    <w:rsid w:val="0E7064B1"/>
    <w:rsid w:val="0E784FAC"/>
    <w:rsid w:val="0EAC85A4"/>
    <w:rsid w:val="0EB96D8E"/>
    <w:rsid w:val="0EC4FA79"/>
    <w:rsid w:val="0EDB3DDE"/>
    <w:rsid w:val="0F323C89"/>
    <w:rsid w:val="0F961E79"/>
    <w:rsid w:val="0FC5ECE6"/>
    <w:rsid w:val="0FFF9FD0"/>
    <w:rsid w:val="109E9B4F"/>
    <w:rsid w:val="10D86AE2"/>
    <w:rsid w:val="10F6BC90"/>
    <w:rsid w:val="1100CEA9"/>
    <w:rsid w:val="111B60D4"/>
    <w:rsid w:val="11B3205F"/>
    <w:rsid w:val="11F8398A"/>
    <w:rsid w:val="126535CD"/>
    <w:rsid w:val="126C6677"/>
    <w:rsid w:val="128B1B93"/>
    <w:rsid w:val="12A327C1"/>
    <w:rsid w:val="1366DA93"/>
    <w:rsid w:val="13EC3D0D"/>
    <w:rsid w:val="1455C7EE"/>
    <w:rsid w:val="148CD58D"/>
    <w:rsid w:val="1491C090"/>
    <w:rsid w:val="14B75A28"/>
    <w:rsid w:val="14FA47FC"/>
    <w:rsid w:val="1560F347"/>
    <w:rsid w:val="15F6FFAD"/>
    <w:rsid w:val="160BD658"/>
    <w:rsid w:val="1641EFA0"/>
    <w:rsid w:val="16460FA8"/>
    <w:rsid w:val="1646DD36"/>
    <w:rsid w:val="165E49C3"/>
    <w:rsid w:val="16A4065F"/>
    <w:rsid w:val="16BEB2E9"/>
    <w:rsid w:val="16C107A3"/>
    <w:rsid w:val="16C23233"/>
    <w:rsid w:val="16D2B219"/>
    <w:rsid w:val="16E86A72"/>
    <w:rsid w:val="175BCF43"/>
    <w:rsid w:val="17A18DCA"/>
    <w:rsid w:val="17B3C26F"/>
    <w:rsid w:val="17B5ACB3"/>
    <w:rsid w:val="17BFD247"/>
    <w:rsid w:val="17D73DC2"/>
    <w:rsid w:val="17DBC3BD"/>
    <w:rsid w:val="17FABB48"/>
    <w:rsid w:val="184927E0"/>
    <w:rsid w:val="186F2D73"/>
    <w:rsid w:val="1885CE6A"/>
    <w:rsid w:val="18BB9D35"/>
    <w:rsid w:val="18D53021"/>
    <w:rsid w:val="191C66C4"/>
    <w:rsid w:val="192A7F97"/>
    <w:rsid w:val="19457D22"/>
    <w:rsid w:val="195D0F01"/>
    <w:rsid w:val="199D7027"/>
    <w:rsid w:val="19C39270"/>
    <w:rsid w:val="19DF25C8"/>
    <w:rsid w:val="19FA7EBF"/>
    <w:rsid w:val="1A779853"/>
    <w:rsid w:val="1A8BF520"/>
    <w:rsid w:val="1AA6079B"/>
    <w:rsid w:val="1AE5C8F3"/>
    <w:rsid w:val="1B1C8A69"/>
    <w:rsid w:val="1B250CDD"/>
    <w:rsid w:val="1B2AB654"/>
    <w:rsid w:val="1B4D50F5"/>
    <w:rsid w:val="1B63EE73"/>
    <w:rsid w:val="1B646E55"/>
    <w:rsid w:val="1BEF7515"/>
    <w:rsid w:val="1BFBCCE1"/>
    <w:rsid w:val="1C2571B5"/>
    <w:rsid w:val="1C56CE83"/>
    <w:rsid w:val="1C8F80E3"/>
    <w:rsid w:val="1CCEFD94"/>
    <w:rsid w:val="1CD05FFF"/>
    <w:rsid w:val="1CD60650"/>
    <w:rsid w:val="1CDE2EA6"/>
    <w:rsid w:val="1CED2B63"/>
    <w:rsid w:val="1CF4C74D"/>
    <w:rsid w:val="1D0FA134"/>
    <w:rsid w:val="1D2ECC66"/>
    <w:rsid w:val="1D7D1E57"/>
    <w:rsid w:val="1D9DA83F"/>
    <w:rsid w:val="1DE4C85D"/>
    <w:rsid w:val="1E992DA9"/>
    <w:rsid w:val="1F00CC1A"/>
    <w:rsid w:val="1F16C114"/>
    <w:rsid w:val="1F2728BF"/>
    <w:rsid w:val="1F37257F"/>
    <w:rsid w:val="1F4F09E4"/>
    <w:rsid w:val="1FAA00DF"/>
    <w:rsid w:val="1FAED6B8"/>
    <w:rsid w:val="1FE65475"/>
    <w:rsid w:val="20047B71"/>
    <w:rsid w:val="20C09B56"/>
    <w:rsid w:val="20C43F9A"/>
    <w:rsid w:val="20EEF4E7"/>
    <w:rsid w:val="20FB1A0B"/>
    <w:rsid w:val="21384075"/>
    <w:rsid w:val="213F18DA"/>
    <w:rsid w:val="2167D2E0"/>
    <w:rsid w:val="21EF252C"/>
    <w:rsid w:val="228CFA10"/>
    <w:rsid w:val="22C866A1"/>
    <w:rsid w:val="22D73956"/>
    <w:rsid w:val="22F0049B"/>
    <w:rsid w:val="233544E7"/>
    <w:rsid w:val="234D9451"/>
    <w:rsid w:val="236D2CE3"/>
    <w:rsid w:val="23D698DE"/>
    <w:rsid w:val="2443BDC0"/>
    <w:rsid w:val="244AAFD1"/>
    <w:rsid w:val="24556B27"/>
    <w:rsid w:val="245CF9DB"/>
    <w:rsid w:val="24C9BCF8"/>
    <w:rsid w:val="24D46039"/>
    <w:rsid w:val="25160804"/>
    <w:rsid w:val="25209540"/>
    <w:rsid w:val="256B71E8"/>
    <w:rsid w:val="257ED99A"/>
    <w:rsid w:val="25EDD73E"/>
    <w:rsid w:val="26001A06"/>
    <w:rsid w:val="261EDCA1"/>
    <w:rsid w:val="26205C3E"/>
    <w:rsid w:val="2630AAD4"/>
    <w:rsid w:val="26ADAC98"/>
    <w:rsid w:val="26C9208F"/>
    <w:rsid w:val="26DDB119"/>
    <w:rsid w:val="26F91166"/>
    <w:rsid w:val="271225F8"/>
    <w:rsid w:val="271646A4"/>
    <w:rsid w:val="272858FD"/>
    <w:rsid w:val="27371AF9"/>
    <w:rsid w:val="27612BEE"/>
    <w:rsid w:val="2793CD3C"/>
    <w:rsid w:val="27C852A2"/>
    <w:rsid w:val="27D3FB91"/>
    <w:rsid w:val="28312CAF"/>
    <w:rsid w:val="283ABA94"/>
    <w:rsid w:val="28826530"/>
    <w:rsid w:val="28FDA3BA"/>
    <w:rsid w:val="29271722"/>
    <w:rsid w:val="2937BAC8"/>
    <w:rsid w:val="2979E38C"/>
    <w:rsid w:val="29AEF899"/>
    <w:rsid w:val="29C0A3EA"/>
    <w:rsid w:val="29D81BE8"/>
    <w:rsid w:val="29FD8550"/>
    <w:rsid w:val="2A46EB65"/>
    <w:rsid w:val="2A84FBCB"/>
    <w:rsid w:val="2A9CE54C"/>
    <w:rsid w:val="2AC65B47"/>
    <w:rsid w:val="2B99E98B"/>
    <w:rsid w:val="2C4BEC3C"/>
    <w:rsid w:val="2C4F96C3"/>
    <w:rsid w:val="2C5869CF"/>
    <w:rsid w:val="2CA03458"/>
    <w:rsid w:val="2CC662BB"/>
    <w:rsid w:val="2CDEF733"/>
    <w:rsid w:val="2CEFBFE4"/>
    <w:rsid w:val="2D11A57A"/>
    <w:rsid w:val="2D15D455"/>
    <w:rsid w:val="2D5DC222"/>
    <w:rsid w:val="2D644A70"/>
    <w:rsid w:val="2D8D28D8"/>
    <w:rsid w:val="2DD06D72"/>
    <w:rsid w:val="2E3B84A2"/>
    <w:rsid w:val="2E48AF02"/>
    <w:rsid w:val="2E4C42EF"/>
    <w:rsid w:val="2E6DDCB7"/>
    <w:rsid w:val="2EFE7050"/>
    <w:rsid w:val="2F14945B"/>
    <w:rsid w:val="2F628980"/>
    <w:rsid w:val="2FBC709B"/>
    <w:rsid w:val="2FCB5BC3"/>
    <w:rsid w:val="2FDD1347"/>
    <w:rsid w:val="30290E6F"/>
    <w:rsid w:val="302E683D"/>
    <w:rsid w:val="30546863"/>
    <w:rsid w:val="3059CEF6"/>
    <w:rsid w:val="306B2568"/>
    <w:rsid w:val="3096DA08"/>
    <w:rsid w:val="30A07FAF"/>
    <w:rsid w:val="30A129F5"/>
    <w:rsid w:val="3109D8D5"/>
    <w:rsid w:val="3122E2EE"/>
    <w:rsid w:val="315B18CC"/>
    <w:rsid w:val="315D978A"/>
    <w:rsid w:val="316F1C1C"/>
    <w:rsid w:val="319E66DB"/>
    <w:rsid w:val="3229B564"/>
    <w:rsid w:val="32501BDC"/>
    <w:rsid w:val="326F2E0C"/>
    <w:rsid w:val="3294097A"/>
    <w:rsid w:val="32A093E6"/>
    <w:rsid w:val="32C4B03F"/>
    <w:rsid w:val="32DA73C0"/>
    <w:rsid w:val="33197D99"/>
    <w:rsid w:val="33276A64"/>
    <w:rsid w:val="33383175"/>
    <w:rsid w:val="337D4863"/>
    <w:rsid w:val="339FB1A9"/>
    <w:rsid w:val="33B19C0C"/>
    <w:rsid w:val="33CBA05F"/>
    <w:rsid w:val="34068494"/>
    <w:rsid w:val="34525860"/>
    <w:rsid w:val="347F1AC9"/>
    <w:rsid w:val="348198C9"/>
    <w:rsid w:val="34C0BF6F"/>
    <w:rsid w:val="34E50BC1"/>
    <w:rsid w:val="3544C841"/>
    <w:rsid w:val="35E31B61"/>
    <w:rsid w:val="361F8D52"/>
    <w:rsid w:val="3643AB30"/>
    <w:rsid w:val="3650694E"/>
    <w:rsid w:val="37309E08"/>
    <w:rsid w:val="3763FD6C"/>
    <w:rsid w:val="376AC746"/>
    <w:rsid w:val="379887E1"/>
    <w:rsid w:val="37F5FF9F"/>
    <w:rsid w:val="38225AF2"/>
    <w:rsid w:val="3839B54D"/>
    <w:rsid w:val="38633A1A"/>
    <w:rsid w:val="3865972B"/>
    <w:rsid w:val="38BB2031"/>
    <w:rsid w:val="38C25F4E"/>
    <w:rsid w:val="3919D03D"/>
    <w:rsid w:val="392974F3"/>
    <w:rsid w:val="3989F76F"/>
    <w:rsid w:val="3A3196D4"/>
    <w:rsid w:val="3A486151"/>
    <w:rsid w:val="3ADE8E68"/>
    <w:rsid w:val="3B133EC2"/>
    <w:rsid w:val="3B1677A2"/>
    <w:rsid w:val="3B1741EB"/>
    <w:rsid w:val="3B874467"/>
    <w:rsid w:val="3B890172"/>
    <w:rsid w:val="3BA0A5F2"/>
    <w:rsid w:val="3BA6B80F"/>
    <w:rsid w:val="3BBD5565"/>
    <w:rsid w:val="3BD47E27"/>
    <w:rsid w:val="3C053A25"/>
    <w:rsid w:val="3C404DDD"/>
    <w:rsid w:val="3C4C752B"/>
    <w:rsid w:val="3C7D2D16"/>
    <w:rsid w:val="3C8CA3A7"/>
    <w:rsid w:val="3CBD8E8F"/>
    <w:rsid w:val="3DAD2010"/>
    <w:rsid w:val="3DB3723A"/>
    <w:rsid w:val="3DECFCA1"/>
    <w:rsid w:val="3DFA4960"/>
    <w:rsid w:val="3E2804DF"/>
    <w:rsid w:val="3E5CC576"/>
    <w:rsid w:val="3E6A630D"/>
    <w:rsid w:val="3E6A6C22"/>
    <w:rsid w:val="3EB6066F"/>
    <w:rsid w:val="3F248948"/>
    <w:rsid w:val="3F2F6815"/>
    <w:rsid w:val="4007A7E1"/>
    <w:rsid w:val="4095BDED"/>
    <w:rsid w:val="40BD9A09"/>
    <w:rsid w:val="40FA26FA"/>
    <w:rsid w:val="40FD2DFF"/>
    <w:rsid w:val="412CF0BB"/>
    <w:rsid w:val="4140F5FE"/>
    <w:rsid w:val="416D854D"/>
    <w:rsid w:val="416D94FD"/>
    <w:rsid w:val="41757EA1"/>
    <w:rsid w:val="419E9DCE"/>
    <w:rsid w:val="41B7B309"/>
    <w:rsid w:val="41EB5506"/>
    <w:rsid w:val="42037F9A"/>
    <w:rsid w:val="421557C9"/>
    <w:rsid w:val="421BC6A2"/>
    <w:rsid w:val="422B9520"/>
    <w:rsid w:val="42A62279"/>
    <w:rsid w:val="4309655E"/>
    <w:rsid w:val="432D43D7"/>
    <w:rsid w:val="43984A6F"/>
    <w:rsid w:val="43A945F1"/>
    <w:rsid w:val="43E69044"/>
    <w:rsid w:val="43EC3955"/>
    <w:rsid w:val="447F5662"/>
    <w:rsid w:val="4482827D"/>
    <w:rsid w:val="4497793A"/>
    <w:rsid w:val="44AD6815"/>
    <w:rsid w:val="44DB786F"/>
    <w:rsid w:val="45355BAF"/>
    <w:rsid w:val="4571A53B"/>
    <w:rsid w:val="45A14134"/>
    <w:rsid w:val="46094B12"/>
    <w:rsid w:val="464146C7"/>
    <w:rsid w:val="464EAEFE"/>
    <w:rsid w:val="46B42065"/>
    <w:rsid w:val="47381F30"/>
    <w:rsid w:val="4761011F"/>
    <w:rsid w:val="4796C8CE"/>
    <w:rsid w:val="47C7C7AB"/>
    <w:rsid w:val="47CAE078"/>
    <w:rsid w:val="47F59655"/>
    <w:rsid w:val="483F5C03"/>
    <w:rsid w:val="48577CAE"/>
    <w:rsid w:val="48A070E2"/>
    <w:rsid w:val="48B45F6A"/>
    <w:rsid w:val="4931CD84"/>
    <w:rsid w:val="4933A46F"/>
    <w:rsid w:val="4937ED18"/>
    <w:rsid w:val="4994987C"/>
    <w:rsid w:val="49A6B5C2"/>
    <w:rsid w:val="49E977F5"/>
    <w:rsid w:val="4A03EE6C"/>
    <w:rsid w:val="4A2FF402"/>
    <w:rsid w:val="4A6EA94D"/>
    <w:rsid w:val="4AB4C6D9"/>
    <w:rsid w:val="4AE54BCB"/>
    <w:rsid w:val="4B7EFA54"/>
    <w:rsid w:val="4B9E9410"/>
    <w:rsid w:val="4BA7D714"/>
    <w:rsid w:val="4BAB822B"/>
    <w:rsid w:val="4BEA095B"/>
    <w:rsid w:val="4C0ABABD"/>
    <w:rsid w:val="4C11B73D"/>
    <w:rsid w:val="4C1E04B2"/>
    <w:rsid w:val="4C20A893"/>
    <w:rsid w:val="4C2C86FC"/>
    <w:rsid w:val="4C3B505C"/>
    <w:rsid w:val="4C4FA9CE"/>
    <w:rsid w:val="4C80147A"/>
    <w:rsid w:val="4CA54324"/>
    <w:rsid w:val="4D3A71BE"/>
    <w:rsid w:val="4D412E4E"/>
    <w:rsid w:val="4DB7D1E5"/>
    <w:rsid w:val="4DCBCEE2"/>
    <w:rsid w:val="4DFA93A8"/>
    <w:rsid w:val="4E6A00A7"/>
    <w:rsid w:val="4E938FD1"/>
    <w:rsid w:val="4EBAC26D"/>
    <w:rsid w:val="4F09BBD7"/>
    <w:rsid w:val="4F16701D"/>
    <w:rsid w:val="4F1856D7"/>
    <w:rsid w:val="4F49EFAB"/>
    <w:rsid w:val="4F56D32E"/>
    <w:rsid w:val="4FA08618"/>
    <w:rsid w:val="4FEB12A0"/>
    <w:rsid w:val="4FEC1B3A"/>
    <w:rsid w:val="4FFB28F6"/>
    <w:rsid w:val="4FFD0D21"/>
    <w:rsid w:val="502A167A"/>
    <w:rsid w:val="5070FD44"/>
    <w:rsid w:val="50815071"/>
    <w:rsid w:val="50B82B12"/>
    <w:rsid w:val="50C78598"/>
    <w:rsid w:val="5112A025"/>
    <w:rsid w:val="517C2269"/>
    <w:rsid w:val="51A09865"/>
    <w:rsid w:val="5209B23E"/>
    <w:rsid w:val="525EDC21"/>
    <w:rsid w:val="527B27F6"/>
    <w:rsid w:val="52A300BF"/>
    <w:rsid w:val="52F3AE64"/>
    <w:rsid w:val="530F88F9"/>
    <w:rsid w:val="533F9AD7"/>
    <w:rsid w:val="53582EF4"/>
    <w:rsid w:val="536ACE0D"/>
    <w:rsid w:val="537CA6AA"/>
    <w:rsid w:val="53B13459"/>
    <w:rsid w:val="53E4A828"/>
    <w:rsid w:val="5429859D"/>
    <w:rsid w:val="54A2312C"/>
    <w:rsid w:val="54AA84FA"/>
    <w:rsid w:val="5506186F"/>
    <w:rsid w:val="555A3DFD"/>
    <w:rsid w:val="55D20C66"/>
    <w:rsid w:val="55EB1DF1"/>
    <w:rsid w:val="56105F14"/>
    <w:rsid w:val="565CB49D"/>
    <w:rsid w:val="565FCA15"/>
    <w:rsid w:val="5662653D"/>
    <w:rsid w:val="566432FA"/>
    <w:rsid w:val="566CC04E"/>
    <w:rsid w:val="56F64249"/>
    <w:rsid w:val="5819EC73"/>
    <w:rsid w:val="5827A2D2"/>
    <w:rsid w:val="5882387E"/>
    <w:rsid w:val="588E121B"/>
    <w:rsid w:val="58D98DA8"/>
    <w:rsid w:val="58E6A82F"/>
    <w:rsid w:val="58EC7C5B"/>
    <w:rsid w:val="5925F33A"/>
    <w:rsid w:val="59849DC7"/>
    <w:rsid w:val="59FCE7AB"/>
    <w:rsid w:val="5A15530B"/>
    <w:rsid w:val="5A82E8AE"/>
    <w:rsid w:val="5AEED56C"/>
    <w:rsid w:val="5B273E27"/>
    <w:rsid w:val="5B36E1CC"/>
    <w:rsid w:val="5B510416"/>
    <w:rsid w:val="5B5FFA2D"/>
    <w:rsid w:val="5B63BB5A"/>
    <w:rsid w:val="5B7758F0"/>
    <w:rsid w:val="5C2476A4"/>
    <w:rsid w:val="5CC63688"/>
    <w:rsid w:val="5D0B2A63"/>
    <w:rsid w:val="5D41AB44"/>
    <w:rsid w:val="5DA10604"/>
    <w:rsid w:val="5DB894C7"/>
    <w:rsid w:val="5E0E9ED4"/>
    <w:rsid w:val="5EAB8BD3"/>
    <w:rsid w:val="5EE28726"/>
    <w:rsid w:val="5F09343A"/>
    <w:rsid w:val="5F16055F"/>
    <w:rsid w:val="5F3AAF49"/>
    <w:rsid w:val="5F96DBA5"/>
    <w:rsid w:val="5F9824B0"/>
    <w:rsid w:val="5F9AF25D"/>
    <w:rsid w:val="5FB77C92"/>
    <w:rsid w:val="5FC1C92E"/>
    <w:rsid w:val="5FE6D686"/>
    <w:rsid w:val="6022AA06"/>
    <w:rsid w:val="6066AD2C"/>
    <w:rsid w:val="6087BDF7"/>
    <w:rsid w:val="609CC86B"/>
    <w:rsid w:val="60C1CECA"/>
    <w:rsid w:val="61465252"/>
    <w:rsid w:val="61A4B040"/>
    <w:rsid w:val="61DA3C47"/>
    <w:rsid w:val="61EB1C55"/>
    <w:rsid w:val="625F702B"/>
    <w:rsid w:val="626B1B5C"/>
    <w:rsid w:val="627FCCDE"/>
    <w:rsid w:val="62AB60E8"/>
    <w:rsid w:val="6304D1B6"/>
    <w:rsid w:val="631B23CF"/>
    <w:rsid w:val="63ABB341"/>
    <w:rsid w:val="63C235FE"/>
    <w:rsid w:val="64163BD5"/>
    <w:rsid w:val="642447B7"/>
    <w:rsid w:val="643E1536"/>
    <w:rsid w:val="645769D3"/>
    <w:rsid w:val="646DFE4B"/>
    <w:rsid w:val="6487E16E"/>
    <w:rsid w:val="64CC45C9"/>
    <w:rsid w:val="6503975A"/>
    <w:rsid w:val="6518F5C4"/>
    <w:rsid w:val="65676DD0"/>
    <w:rsid w:val="65795509"/>
    <w:rsid w:val="657BA61C"/>
    <w:rsid w:val="658D9B1D"/>
    <w:rsid w:val="65B20C36"/>
    <w:rsid w:val="65C960AC"/>
    <w:rsid w:val="65D95CC4"/>
    <w:rsid w:val="65E0CC4A"/>
    <w:rsid w:val="65F79938"/>
    <w:rsid w:val="6616B4A4"/>
    <w:rsid w:val="6619E8EE"/>
    <w:rsid w:val="663206D1"/>
    <w:rsid w:val="66836385"/>
    <w:rsid w:val="66CBA687"/>
    <w:rsid w:val="66CCCADF"/>
    <w:rsid w:val="67223F8C"/>
    <w:rsid w:val="672275D3"/>
    <w:rsid w:val="672C9676"/>
    <w:rsid w:val="67334BC6"/>
    <w:rsid w:val="676A4B58"/>
    <w:rsid w:val="677174C2"/>
    <w:rsid w:val="67BDCCD2"/>
    <w:rsid w:val="67C70E19"/>
    <w:rsid w:val="67C8AC33"/>
    <w:rsid w:val="67FB249E"/>
    <w:rsid w:val="68050788"/>
    <w:rsid w:val="68320E19"/>
    <w:rsid w:val="6869FC06"/>
    <w:rsid w:val="6899C6A7"/>
    <w:rsid w:val="68DB6F06"/>
    <w:rsid w:val="68DF9779"/>
    <w:rsid w:val="68F052C2"/>
    <w:rsid w:val="68F0972C"/>
    <w:rsid w:val="68F43130"/>
    <w:rsid w:val="68F7D063"/>
    <w:rsid w:val="690B3F2C"/>
    <w:rsid w:val="6928B615"/>
    <w:rsid w:val="6949EEEF"/>
    <w:rsid w:val="69D46782"/>
    <w:rsid w:val="6A243EA7"/>
    <w:rsid w:val="6A7209F4"/>
    <w:rsid w:val="6A73CF61"/>
    <w:rsid w:val="6A9027FC"/>
    <w:rsid w:val="6B294E43"/>
    <w:rsid w:val="6B45A43B"/>
    <w:rsid w:val="6B6C556F"/>
    <w:rsid w:val="6B8A3745"/>
    <w:rsid w:val="6B920020"/>
    <w:rsid w:val="6BABCC51"/>
    <w:rsid w:val="6BD19A3A"/>
    <w:rsid w:val="6BD2414C"/>
    <w:rsid w:val="6BD258C7"/>
    <w:rsid w:val="6C5292B4"/>
    <w:rsid w:val="6C7FDBDB"/>
    <w:rsid w:val="6C83157C"/>
    <w:rsid w:val="6C8CFB8E"/>
    <w:rsid w:val="6CB21E85"/>
    <w:rsid w:val="6D0825D0"/>
    <w:rsid w:val="6D0D4879"/>
    <w:rsid w:val="6D3CF02D"/>
    <w:rsid w:val="6D91ED7C"/>
    <w:rsid w:val="6DA3F5BE"/>
    <w:rsid w:val="6DEAD76C"/>
    <w:rsid w:val="6E05BCA3"/>
    <w:rsid w:val="6E1D0012"/>
    <w:rsid w:val="6EB8F0D8"/>
    <w:rsid w:val="6EDC4F94"/>
    <w:rsid w:val="6F97B924"/>
    <w:rsid w:val="6FBB05F5"/>
    <w:rsid w:val="6FCA0B25"/>
    <w:rsid w:val="702168A3"/>
    <w:rsid w:val="703C7E1D"/>
    <w:rsid w:val="704E64FD"/>
    <w:rsid w:val="70710DDF"/>
    <w:rsid w:val="7082DD5F"/>
    <w:rsid w:val="71364C0C"/>
    <w:rsid w:val="7167D4BF"/>
    <w:rsid w:val="71C96526"/>
    <w:rsid w:val="71DB8012"/>
    <w:rsid w:val="7211109E"/>
    <w:rsid w:val="7211A3A4"/>
    <w:rsid w:val="721DAAA2"/>
    <w:rsid w:val="721F2582"/>
    <w:rsid w:val="7230F8D8"/>
    <w:rsid w:val="7241A84B"/>
    <w:rsid w:val="731B79FA"/>
    <w:rsid w:val="73C079E7"/>
    <w:rsid w:val="73CDB78C"/>
    <w:rsid w:val="73D036A5"/>
    <w:rsid w:val="73E1E63B"/>
    <w:rsid w:val="74378106"/>
    <w:rsid w:val="74589899"/>
    <w:rsid w:val="74591BF6"/>
    <w:rsid w:val="7467770E"/>
    <w:rsid w:val="746F4FD6"/>
    <w:rsid w:val="748828BC"/>
    <w:rsid w:val="75225AC3"/>
    <w:rsid w:val="75BAA650"/>
    <w:rsid w:val="760A56E9"/>
    <w:rsid w:val="76F2D015"/>
    <w:rsid w:val="77081F4B"/>
    <w:rsid w:val="7770F30B"/>
    <w:rsid w:val="77E8ECAA"/>
    <w:rsid w:val="7814F05A"/>
    <w:rsid w:val="784E6998"/>
    <w:rsid w:val="7932E739"/>
    <w:rsid w:val="79724CFB"/>
    <w:rsid w:val="7978AD2C"/>
    <w:rsid w:val="797EC3F1"/>
    <w:rsid w:val="79BD0797"/>
    <w:rsid w:val="7AC43621"/>
    <w:rsid w:val="7AE649CD"/>
    <w:rsid w:val="7BDEDFC2"/>
    <w:rsid w:val="7C373A96"/>
    <w:rsid w:val="7D148E51"/>
    <w:rsid w:val="7D157A65"/>
    <w:rsid w:val="7D4C3D47"/>
    <w:rsid w:val="7D5C8530"/>
    <w:rsid w:val="7D749D48"/>
    <w:rsid w:val="7DA60413"/>
    <w:rsid w:val="7DCCE60A"/>
    <w:rsid w:val="7E0D4635"/>
    <w:rsid w:val="7E17610C"/>
    <w:rsid w:val="7E192314"/>
    <w:rsid w:val="7E32982A"/>
    <w:rsid w:val="7E7FD55B"/>
    <w:rsid w:val="7E962655"/>
    <w:rsid w:val="7EABFF5D"/>
    <w:rsid w:val="7EAF9009"/>
    <w:rsid w:val="7FC781A4"/>
    <w:rsid w:val="7FE8E29F"/>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2729"/>
  <w15:chartTrackingRefBased/>
  <w15:docId w15:val="{9F5B3C70-471D-4419-B106-3B4F1992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67C37"/>
    <w:pPr>
      <w:spacing w:line="288" w:lineRule="auto"/>
    </w:pPr>
    <w:rPr>
      <w:rFonts w:ascii="Arial" w:hAnsi="Arial"/>
      <w:color w:val="15272F" w:themeColor="text1"/>
      <w:lang w:val="en-AU"/>
    </w:rPr>
  </w:style>
  <w:style w:type="paragraph" w:styleId="Heading1">
    <w:name w:val="heading 1"/>
    <w:basedOn w:val="Normal"/>
    <w:next w:val="Normal"/>
    <w:link w:val="Heading1Char"/>
    <w:uiPriority w:val="9"/>
    <w:qFormat/>
    <w:rsid w:val="009355A4"/>
    <w:pPr>
      <w:keepNext/>
      <w:keepLines/>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7B41F8"/>
    <w:pPr>
      <w:keepNext/>
      <w:keepLines/>
      <w:spacing w:before="240" w:after="240"/>
      <w:outlineLvl w:val="1"/>
    </w:pPr>
    <w:rPr>
      <w:rFonts w:eastAsiaTheme="majorEastAsia" w:cs="Arial"/>
      <w:b/>
      <w:color w:val="104F99" w:themeColor="accent2"/>
      <w:sz w:val="36"/>
      <w:szCs w:val="26"/>
    </w:rPr>
  </w:style>
  <w:style w:type="paragraph" w:styleId="Heading3">
    <w:name w:val="heading 3"/>
    <w:basedOn w:val="Normal"/>
    <w:next w:val="Normal"/>
    <w:link w:val="Heading3Char"/>
    <w:uiPriority w:val="9"/>
    <w:unhideWhenUsed/>
    <w:qFormat/>
    <w:rsid w:val="007861EC"/>
    <w:pPr>
      <w:keepNext/>
      <w:keepLines/>
      <w:spacing w:before="240" w:after="240"/>
      <w:outlineLvl w:val="2"/>
    </w:pPr>
    <w:rPr>
      <w:rFonts w:eastAsiaTheme="majorEastAsia" w:cs="Arial"/>
      <w:b/>
      <w:color w:val="008F55" w:themeColor="accent4"/>
      <w:sz w:val="26"/>
      <w:szCs w:val="24"/>
    </w:rPr>
  </w:style>
  <w:style w:type="paragraph" w:styleId="Heading4">
    <w:name w:val="heading 4"/>
    <w:basedOn w:val="Normal"/>
    <w:next w:val="Normal"/>
    <w:link w:val="Heading4Char"/>
    <w:uiPriority w:val="9"/>
    <w:unhideWhenUsed/>
    <w:qFormat/>
    <w:rsid w:val="009355A4"/>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9355A4"/>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A4"/>
    <w:rPr>
      <w:rFonts w:ascii="Arial" w:eastAsiaTheme="majorEastAsia" w:hAnsi="Arial" w:cstheme="majorBidi"/>
      <w:b/>
      <w:color w:val="15272F" w:themeColor="text1"/>
      <w:sz w:val="72"/>
      <w:szCs w:val="32"/>
    </w:rPr>
  </w:style>
  <w:style w:type="paragraph" w:styleId="Title">
    <w:name w:val="Title"/>
    <w:basedOn w:val="Normal"/>
    <w:next w:val="Normal"/>
    <w:link w:val="TitleChar"/>
    <w:uiPriority w:val="10"/>
    <w:qFormat/>
    <w:rsid w:val="009355A4"/>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9355A4"/>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7B41F8"/>
    <w:rPr>
      <w:rFonts w:ascii="Arial" w:eastAsiaTheme="majorEastAsia" w:hAnsi="Arial" w:cs="Arial"/>
      <w:b/>
      <w:color w:val="104F99" w:themeColor="accent2"/>
      <w:sz w:val="36"/>
      <w:szCs w:val="26"/>
      <w:lang w:val="en-AU"/>
    </w:rPr>
  </w:style>
  <w:style w:type="character" w:customStyle="1" w:styleId="Heading3Char">
    <w:name w:val="Heading 3 Char"/>
    <w:basedOn w:val="DefaultParagraphFont"/>
    <w:link w:val="Heading3"/>
    <w:uiPriority w:val="9"/>
    <w:rsid w:val="007861EC"/>
    <w:rPr>
      <w:rFonts w:ascii="Arial" w:eastAsiaTheme="majorEastAsia" w:hAnsi="Arial" w:cs="Arial"/>
      <w:b/>
      <w:color w:val="008F55" w:themeColor="accent4"/>
      <w:sz w:val="26"/>
      <w:szCs w:val="24"/>
      <w:lang w:val="en-AU"/>
    </w:rPr>
  </w:style>
  <w:style w:type="character" w:customStyle="1" w:styleId="Heading4Char">
    <w:name w:val="Heading 4 Char"/>
    <w:basedOn w:val="DefaultParagraphFont"/>
    <w:link w:val="Heading4"/>
    <w:uiPriority w:val="9"/>
    <w:rsid w:val="009355A4"/>
    <w:rPr>
      <w:rFonts w:ascii="Arial" w:eastAsiaTheme="majorEastAsia" w:hAnsi="Arial" w:cstheme="majorBidi"/>
      <w:b/>
      <w:iCs/>
      <w:color w:val="15272F" w:themeColor="text1"/>
    </w:rPr>
  </w:style>
  <w:style w:type="paragraph" w:customStyle="1" w:styleId="ListLevel1">
    <w:name w:val="List Level 1"/>
    <w:basedOn w:val="ListLevel2"/>
    <w:link w:val="ListLevel1Char"/>
    <w:qFormat/>
    <w:rsid w:val="009355A4"/>
  </w:style>
  <w:style w:type="paragraph" w:customStyle="1" w:styleId="ListLevel2">
    <w:name w:val="List Level 2"/>
    <w:basedOn w:val="Normal"/>
    <w:link w:val="ListLevel2Char"/>
    <w:qFormat/>
    <w:rsid w:val="009355A4"/>
    <w:pPr>
      <w:ind w:left="1080" w:hanging="360"/>
      <w:contextualSpacing/>
    </w:pPr>
  </w:style>
  <w:style w:type="paragraph" w:styleId="Header">
    <w:name w:val="header"/>
    <w:basedOn w:val="Normal"/>
    <w:link w:val="HeaderChar"/>
    <w:uiPriority w:val="99"/>
    <w:unhideWhenUsed/>
    <w:rsid w:val="009355A4"/>
    <w:pPr>
      <w:numPr>
        <w:ilvl w:val="1"/>
        <w:numId w:val="2"/>
      </w:numPr>
      <w:tabs>
        <w:tab w:val="center" w:pos="4680"/>
        <w:tab w:val="right" w:pos="9360"/>
      </w:tabs>
      <w:spacing w:after="0" w:line="240" w:lineRule="auto"/>
    </w:pPr>
  </w:style>
  <w:style w:type="character" w:customStyle="1" w:styleId="ListLevel1Char">
    <w:name w:val="List Level 1 Char"/>
    <w:basedOn w:val="ListLevel2Char"/>
    <w:link w:val="ListLevel1"/>
    <w:rsid w:val="009355A4"/>
    <w:rPr>
      <w:rFonts w:ascii="Arial" w:hAnsi="Arial"/>
      <w:color w:val="15272F" w:themeColor="text1"/>
      <w:lang w:val="en-AU"/>
    </w:rPr>
  </w:style>
  <w:style w:type="character" w:customStyle="1" w:styleId="ListLevel2Char">
    <w:name w:val="List Level 2 Char"/>
    <w:basedOn w:val="DefaultParagraphFont"/>
    <w:link w:val="ListLevel2"/>
    <w:rsid w:val="009355A4"/>
    <w:rPr>
      <w:rFonts w:ascii="Arial" w:hAnsi="Arial"/>
      <w:color w:val="15272F" w:themeColor="text1"/>
      <w:lang w:val="en-AU"/>
    </w:rPr>
  </w:style>
  <w:style w:type="character" w:customStyle="1" w:styleId="HeaderChar">
    <w:name w:val="Header Char"/>
    <w:basedOn w:val="DefaultParagraphFont"/>
    <w:link w:val="Header"/>
    <w:uiPriority w:val="99"/>
    <w:rsid w:val="009355A4"/>
    <w:rPr>
      <w:rFonts w:ascii="Arial" w:hAnsi="Arial"/>
      <w:color w:val="15272F" w:themeColor="text1"/>
      <w:lang w:val="en-AU"/>
    </w:rPr>
  </w:style>
  <w:style w:type="paragraph" w:styleId="Footer">
    <w:name w:val="footer"/>
    <w:basedOn w:val="Normal"/>
    <w:link w:val="FooterChar"/>
    <w:uiPriority w:val="99"/>
    <w:unhideWhenUsed/>
    <w:rsid w:val="0093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5A4"/>
    <w:rPr>
      <w:rFonts w:ascii="Arial" w:hAnsi="Arial"/>
      <w:color w:val="15272F" w:themeColor="text1"/>
    </w:rPr>
  </w:style>
  <w:style w:type="paragraph" w:styleId="ListParagraph">
    <w:name w:val="List Paragraph"/>
    <w:basedOn w:val="Normal"/>
    <w:uiPriority w:val="34"/>
    <w:rsid w:val="009355A4"/>
    <w:pPr>
      <w:ind w:left="720"/>
      <w:contextualSpacing/>
    </w:pPr>
  </w:style>
  <w:style w:type="paragraph" w:customStyle="1" w:styleId="TableFigureheading">
    <w:name w:val="Table/Figure heading"/>
    <w:basedOn w:val="Heading4"/>
    <w:link w:val="TableFigureheadingChar"/>
    <w:qFormat/>
    <w:rsid w:val="00B42434"/>
    <w:pPr>
      <w:spacing w:after="120"/>
      <w:jc w:val="center"/>
    </w:pPr>
    <w:rPr>
      <w:rFonts w:cs="Arial"/>
      <w:b w:val="0"/>
      <w:color w:val="008F55" w:themeColor="accent4"/>
      <w:sz w:val="20"/>
      <w:szCs w:val="20"/>
    </w:rPr>
  </w:style>
  <w:style w:type="table" w:customStyle="1" w:styleId="IHACPATable">
    <w:name w:val="IHACPA Table"/>
    <w:basedOn w:val="TableNormal"/>
    <w:uiPriority w:val="99"/>
    <w:rsid w:val="009355A4"/>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B42434"/>
    <w:rPr>
      <w:rFonts w:ascii="Arial" w:eastAsiaTheme="majorEastAsia" w:hAnsi="Arial" w:cs="Arial"/>
      <w:b w:val="0"/>
      <w:iCs/>
      <w:color w:val="008F55" w:themeColor="accent4"/>
      <w:sz w:val="20"/>
      <w:szCs w:val="20"/>
      <w:lang w:val="en-AU"/>
    </w:rPr>
  </w:style>
  <w:style w:type="table" w:styleId="TableGrid">
    <w:name w:val="Table Grid"/>
    <w:basedOn w:val="TableNormal"/>
    <w:uiPriority w:val="39"/>
    <w:rsid w:val="0093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9355A4"/>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9355A4"/>
    <w:pPr>
      <w:spacing w:after="120"/>
    </w:pPr>
    <w:rPr>
      <w:sz w:val="16"/>
      <w:szCs w:val="15"/>
    </w:rPr>
  </w:style>
  <w:style w:type="character" w:customStyle="1" w:styleId="FootnoteChar">
    <w:name w:val="Footnote Char"/>
    <w:basedOn w:val="DefaultParagraphFont"/>
    <w:link w:val="Footnote"/>
    <w:rsid w:val="009355A4"/>
    <w:rPr>
      <w:rFonts w:ascii="Arial" w:hAnsi="Arial"/>
      <w:color w:val="15272F" w:themeColor="text1"/>
      <w:sz w:val="16"/>
      <w:szCs w:val="15"/>
    </w:rPr>
  </w:style>
  <w:style w:type="character" w:styleId="Hyperlink">
    <w:name w:val="Hyperlink"/>
    <w:basedOn w:val="DefaultParagraphFont"/>
    <w:uiPriority w:val="99"/>
    <w:unhideWhenUsed/>
    <w:rsid w:val="009355A4"/>
    <w:rPr>
      <w:color w:val="0080C4" w:themeColor="hyperlink"/>
      <w:u w:val="single"/>
    </w:rPr>
  </w:style>
  <w:style w:type="paragraph" w:styleId="TOC1">
    <w:name w:val="toc 1"/>
    <w:basedOn w:val="Normal"/>
    <w:next w:val="Normal"/>
    <w:autoRedefine/>
    <w:uiPriority w:val="39"/>
    <w:unhideWhenUsed/>
    <w:rsid w:val="00B45F10"/>
    <w:pPr>
      <w:tabs>
        <w:tab w:val="left" w:pos="660"/>
        <w:tab w:val="right" w:leader="dot" w:pos="9736"/>
      </w:tabs>
      <w:spacing w:after="360"/>
    </w:pPr>
    <w:rPr>
      <w:b/>
      <w:sz w:val="28"/>
    </w:rPr>
  </w:style>
  <w:style w:type="paragraph" w:customStyle="1" w:styleId="CoverTitle">
    <w:name w:val="Cover Title"/>
    <w:basedOn w:val="Title"/>
    <w:link w:val="CoverTitleChar"/>
    <w:qFormat/>
    <w:rsid w:val="009355A4"/>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9355A4"/>
    <w:rPr>
      <w:color w:val="54C1AF" w:themeColor="accent5"/>
      <w:sz w:val="48"/>
      <w:szCs w:val="48"/>
    </w:rPr>
  </w:style>
  <w:style w:type="character" w:customStyle="1" w:styleId="CoverTitleChar">
    <w:name w:val="Cover Title Char"/>
    <w:basedOn w:val="TitleChar"/>
    <w:link w:val="CoverTitle"/>
    <w:rsid w:val="009355A4"/>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9355A4"/>
    <w:rPr>
      <w:color w:val="605E5C"/>
      <w:shd w:val="clear" w:color="auto" w:fill="E1DFDD"/>
    </w:rPr>
  </w:style>
  <w:style w:type="character" w:customStyle="1" w:styleId="CoversubtitleChar">
    <w:name w:val="Cover subtitle Char"/>
    <w:basedOn w:val="CoverTitleChar"/>
    <w:link w:val="Coversubtitle"/>
    <w:rsid w:val="009355A4"/>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9355A4"/>
    <w:pPr>
      <w:ind w:right="4064"/>
    </w:pPr>
    <w:rPr>
      <w:sz w:val="18"/>
    </w:rPr>
  </w:style>
  <w:style w:type="paragraph" w:customStyle="1" w:styleId="Copyrightheading">
    <w:name w:val="Copyright heading"/>
    <w:basedOn w:val="Heading4"/>
    <w:next w:val="Normal"/>
    <w:qFormat/>
    <w:rsid w:val="009355A4"/>
  </w:style>
  <w:style w:type="character" w:customStyle="1" w:styleId="Heading5Char">
    <w:name w:val="Heading 5 Char"/>
    <w:basedOn w:val="DefaultParagraphFont"/>
    <w:link w:val="Heading5"/>
    <w:uiPriority w:val="9"/>
    <w:semiHidden/>
    <w:rsid w:val="009355A4"/>
    <w:rPr>
      <w:rFonts w:ascii="Arial" w:eastAsiaTheme="majorEastAsia" w:hAnsi="Arial" w:cstheme="majorBidi"/>
      <w:b/>
      <w:color w:val="0F1D23" w:themeColor="accent1" w:themeShade="BF"/>
    </w:rPr>
  </w:style>
  <w:style w:type="paragraph" w:styleId="NoSpacing">
    <w:name w:val="No Spacing"/>
    <w:uiPriority w:val="1"/>
    <w:rsid w:val="009355A4"/>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9355A4"/>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9355A4"/>
    <w:rPr>
      <w:rFonts w:ascii="Arial" w:eastAsiaTheme="minorEastAsia" w:hAnsi="Arial"/>
      <w:color w:val="45809A" w:themeColor="text1" w:themeTint="A5"/>
      <w:spacing w:val="15"/>
    </w:rPr>
  </w:style>
  <w:style w:type="character" w:styleId="FollowedHyperlink">
    <w:name w:val="FollowedHyperlink"/>
    <w:basedOn w:val="DefaultParagraphFont"/>
    <w:uiPriority w:val="99"/>
    <w:semiHidden/>
    <w:unhideWhenUsed/>
    <w:rsid w:val="00DF2CB4"/>
    <w:rPr>
      <w:color w:val="104F99" w:themeColor="followedHyperlink"/>
      <w:u w:val="single"/>
    </w:rPr>
  </w:style>
  <w:style w:type="character" w:styleId="CommentReference">
    <w:name w:val="annotation reference"/>
    <w:basedOn w:val="DefaultParagraphFont"/>
    <w:uiPriority w:val="99"/>
    <w:semiHidden/>
    <w:unhideWhenUsed/>
    <w:rsid w:val="002501B6"/>
    <w:rPr>
      <w:sz w:val="16"/>
      <w:szCs w:val="16"/>
    </w:rPr>
  </w:style>
  <w:style w:type="paragraph" w:styleId="CommentText">
    <w:name w:val="annotation text"/>
    <w:basedOn w:val="Normal"/>
    <w:link w:val="CommentTextChar"/>
    <w:uiPriority w:val="99"/>
    <w:unhideWhenUsed/>
    <w:rsid w:val="002501B6"/>
    <w:pPr>
      <w:spacing w:line="240" w:lineRule="auto"/>
    </w:pPr>
    <w:rPr>
      <w:sz w:val="20"/>
      <w:szCs w:val="20"/>
    </w:rPr>
  </w:style>
  <w:style w:type="character" w:customStyle="1" w:styleId="CommentTextChar">
    <w:name w:val="Comment Text Char"/>
    <w:basedOn w:val="DefaultParagraphFont"/>
    <w:link w:val="CommentText"/>
    <w:uiPriority w:val="99"/>
    <w:rsid w:val="002501B6"/>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2501B6"/>
    <w:rPr>
      <w:b/>
      <w:bCs/>
    </w:rPr>
  </w:style>
  <w:style w:type="character" w:customStyle="1" w:styleId="CommentSubjectChar">
    <w:name w:val="Comment Subject Char"/>
    <w:basedOn w:val="CommentTextChar"/>
    <w:link w:val="CommentSubject"/>
    <w:uiPriority w:val="99"/>
    <w:semiHidden/>
    <w:rsid w:val="002501B6"/>
    <w:rPr>
      <w:rFonts w:ascii="Arial" w:hAnsi="Arial"/>
      <w:b/>
      <w:bCs/>
      <w:color w:val="15272F" w:themeColor="text1"/>
      <w:sz w:val="20"/>
      <w:szCs w:val="20"/>
    </w:rPr>
  </w:style>
  <w:style w:type="paragraph" w:styleId="TOCHeading">
    <w:name w:val="TOC Heading"/>
    <w:basedOn w:val="Heading1"/>
    <w:next w:val="Normal"/>
    <w:uiPriority w:val="39"/>
    <w:unhideWhenUsed/>
    <w:qFormat/>
    <w:rsid w:val="006B31AB"/>
    <w:pPr>
      <w:spacing w:before="240" w:after="0" w:line="259" w:lineRule="auto"/>
      <w:outlineLvl w:val="9"/>
    </w:pPr>
    <w:rPr>
      <w:rFonts w:asciiTheme="majorHAnsi" w:hAnsiTheme="majorHAnsi"/>
      <w:b w:val="0"/>
      <w:color w:val="0F1D23" w:themeColor="accent1" w:themeShade="BF"/>
      <w:sz w:val="32"/>
      <w:lang w:val="en-US"/>
    </w:rPr>
  </w:style>
  <w:style w:type="paragraph" w:styleId="TOC3">
    <w:name w:val="toc 3"/>
    <w:basedOn w:val="Normal"/>
    <w:next w:val="Normal"/>
    <w:autoRedefine/>
    <w:uiPriority w:val="39"/>
    <w:unhideWhenUsed/>
    <w:rsid w:val="00B45F10"/>
    <w:pPr>
      <w:tabs>
        <w:tab w:val="right" w:leader="dot" w:pos="9735"/>
      </w:tabs>
      <w:spacing w:after="100"/>
      <w:ind w:left="440"/>
    </w:pPr>
    <w:rPr>
      <w:color w:val="auto"/>
    </w:rPr>
  </w:style>
  <w:style w:type="paragraph" w:styleId="TOC2">
    <w:name w:val="toc 2"/>
    <w:basedOn w:val="Normal"/>
    <w:next w:val="Normal"/>
    <w:autoRedefine/>
    <w:uiPriority w:val="39"/>
    <w:unhideWhenUsed/>
    <w:rsid w:val="005F11BC"/>
    <w:pPr>
      <w:tabs>
        <w:tab w:val="right" w:leader="dot" w:pos="9736"/>
      </w:tabs>
      <w:spacing w:after="100"/>
      <w:ind w:left="220"/>
    </w:pPr>
  </w:style>
  <w:style w:type="paragraph" w:styleId="Caption">
    <w:name w:val="caption"/>
    <w:basedOn w:val="Normal"/>
    <w:next w:val="Normal"/>
    <w:uiPriority w:val="35"/>
    <w:unhideWhenUsed/>
    <w:qFormat/>
    <w:rsid w:val="00A8441F"/>
    <w:pPr>
      <w:spacing w:after="120" w:line="240" w:lineRule="auto"/>
    </w:pPr>
    <w:rPr>
      <w:rFonts w:asciiTheme="minorHAnsi" w:hAnsiTheme="minorHAnsi"/>
      <w:bCs/>
      <w:color w:val="15272F" w:themeColor="accent1"/>
      <w:szCs w:val="18"/>
    </w:rPr>
  </w:style>
  <w:style w:type="table" w:customStyle="1" w:styleId="TableGrid1">
    <w:name w:val="Table Grid1"/>
    <w:basedOn w:val="TableNormal"/>
    <w:next w:val="TableGrid"/>
    <w:uiPriority w:val="59"/>
    <w:rsid w:val="00A8441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62B67"/>
    <w:pPr>
      <w:spacing w:after="0"/>
    </w:pPr>
  </w:style>
  <w:style w:type="paragraph" w:styleId="FootnoteText">
    <w:name w:val="footnote text"/>
    <w:basedOn w:val="Normal"/>
    <w:link w:val="FootnoteTextChar"/>
    <w:autoRedefine/>
    <w:uiPriority w:val="99"/>
    <w:unhideWhenUsed/>
    <w:rsid w:val="007157D9"/>
    <w:pPr>
      <w:keepLines/>
      <w:spacing w:after="0" w:line="240" w:lineRule="auto"/>
      <w:ind w:left="142" w:hanging="142"/>
    </w:pPr>
    <w:rPr>
      <w:rFonts w:eastAsia="Times New Roman" w:cs="Times New Roman"/>
      <w:color w:val="auto"/>
      <w:sz w:val="18"/>
      <w:szCs w:val="20"/>
      <w:lang w:eastAsia="en-AU"/>
    </w:rPr>
  </w:style>
  <w:style w:type="character" w:customStyle="1" w:styleId="FootnoteTextChar">
    <w:name w:val="Footnote Text Char"/>
    <w:basedOn w:val="DefaultParagraphFont"/>
    <w:link w:val="FootnoteText"/>
    <w:uiPriority w:val="99"/>
    <w:rsid w:val="007157D9"/>
    <w:rPr>
      <w:rFonts w:ascii="Arial" w:eastAsia="Times New Roman" w:hAnsi="Arial" w:cs="Times New Roman"/>
      <w:sz w:val="18"/>
      <w:szCs w:val="20"/>
      <w:lang w:val="en-AU" w:eastAsia="en-AU"/>
    </w:rPr>
  </w:style>
  <w:style w:type="character" w:styleId="FootnoteReference">
    <w:name w:val="footnote reference"/>
    <w:basedOn w:val="DefaultParagraphFont"/>
    <w:uiPriority w:val="99"/>
    <w:unhideWhenUsed/>
    <w:rsid w:val="00074BA3"/>
    <w:rPr>
      <w:vertAlign w:val="superscript"/>
    </w:rPr>
  </w:style>
  <w:style w:type="paragraph" w:styleId="Revision">
    <w:name w:val="Revision"/>
    <w:hidden/>
    <w:uiPriority w:val="99"/>
    <w:semiHidden/>
    <w:rsid w:val="00E21B6A"/>
    <w:pPr>
      <w:spacing w:after="0" w:line="240" w:lineRule="auto"/>
    </w:pPr>
    <w:rPr>
      <w:rFonts w:ascii="Arial" w:hAnsi="Arial"/>
      <w:color w:val="15272F" w:themeColor="text1"/>
    </w:rPr>
  </w:style>
  <w:style w:type="character" w:customStyle="1" w:styleId="cf01">
    <w:name w:val="cf01"/>
    <w:basedOn w:val="DefaultParagraphFont"/>
    <w:rsid w:val="00BB6E41"/>
    <w:rPr>
      <w:rFonts w:ascii="Segoe UI" w:hAnsi="Segoe UI" w:cs="Segoe UI" w:hint="default"/>
      <w:color w:val="15272F"/>
      <w:sz w:val="18"/>
      <w:szCs w:val="18"/>
    </w:rPr>
  </w:style>
  <w:style w:type="paragraph" w:styleId="NormalWeb">
    <w:name w:val="Normal (Web)"/>
    <w:basedOn w:val="Normal"/>
    <w:uiPriority w:val="99"/>
    <w:unhideWhenUsed/>
    <w:rsid w:val="00D807B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TOC4">
    <w:name w:val="toc 4"/>
    <w:basedOn w:val="Normal"/>
    <w:next w:val="Normal"/>
    <w:autoRedefine/>
    <w:uiPriority w:val="39"/>
    <w:unhideWhenUsed/>
    <w:rsid w:val="00E07B55"/>
    <w:pPr>
      <w:spacing w:after="100" w:line="259" w:lineRule="auto"/>
      <w:ind w:left="660"/>
    </w:pPr>
    <w:rPr>
      <w:rFonts w:asciiTheme="minorHAnsi" w:eastAsiaTheme="minorEastAsia" w:hAnsiTheme="minorHAnsi"/>
      <w:color w:val="auto"/>
      <w:lang w:eastAsia="en-AU"/>
    </w:rPr>
  </w:style>
  <w:style w:type="paragraph" w:styleId="TOC5">
    <w:name w:val="toc 5"/>
    <w:basedOn w:val="Normal"/>
    <w:next w:val="Normal"/>
    <w:autoRedefine/>
    <w:uiPriority w:val="39"/>
    <w:unhideWhenUsed/>
    <w:rsid w:val="00E07B55"/>
    <w:pPr>
      <w:spacing w:after="100" w:line="259" w:lineRule="auto"/>
      <w:ind w:left="880"/>
    </w:pPr>
    <w:rPr>
      <w:rFonts w:asciiTheme="minorHAnsi" w:eastAsiaTheme="minorEastAsia" w:hAnsiTheme="minorHAnsi"/>
      <w:color w:val="auto"/>
      <w:lang w:eastAsia="en-AU"/>
    </w:rPr>
  </w:style>
  <w:style w:type="paragraph" w:styleId="TOC6">
    <w:name w:val="toc 6"/>
    <w:basedOn w:val="Normal"/>
    <w:next w:val="Normal"/>
    <w:autoRedefine/>
    <w:uiPriority w:val="39"/>
    <w:unhideWhenUsed/>
    <w:rsid w:val="00E07B55"/>
    <w:pPr>
      <w:spacing w:after="100" w:line="259" w:lineRule="auto"/>
      <w:ind w:left="1100"/>
    </w:pPr>
    <w:rPr>
      <w:rFonts w:asciiTheme="minorHAnsi" w:eastAsiaTheme="minorEastAsia" w:hAnsiTheme="minorHAnsi"/>
      <w:color w:val="auto"/>
      <w:lang w:eastAsia="en-AU"/>
    </w:rPr>
  </w:style>
  <w:style w:type="paragraph" w:styleId="TOC7">
    <w:name w:val="toc 7"/>
    <w:basedOn w:val="Normal"/>
    <w:next w:val="Normal"/>
    <w:autoRedefine/>
    <w:uiPriority w:val="39"/>
    <w:unhideWhenUsed/>
    <w:rsid w:val="00E07B55"/>
    <w:pPr>
      <w:spacing w:after="100" w:line="259" w:lineRule="auto"/>
      <w:ind w:left="1320"/>
    </w:pPr>
    <w:rPr>
      <w:rFonts w:asciiTheme="minorHAnsi" w:eastAsiaTheme="minorEastAsia" w:hAnsiTheme="minorHAnsi"/>
      <w:color w:val="auto"/>
      <w:lang w:eastAsia="en-AU"/>
    </w:rPr>
  </w:style>
  <w:style w:type="paragraph" w:styleId="TOC8">
    <w:name w:val="toc 8"/>
    <w:basedOn w:val="Normal"/>
    <w:next w:val="Normal"/>
    <w:autoRedefine/>
    <w:uiPriority w:val="39"/>
    <w:unhideWhenUsed/>
    <w:rsid w:val="00E07B55"/>
    <w:pPr>
      <w:spacing w:after="100" w:line="259" w:lineRule="auto"/>
      <w:ind w:left="1540"/>
    </w:pPr>
    <w:rPr>
      <w:rFonts w:asciiTheme="minorHAnsi" w:eastAsiaTheme="minorEastAsia" w:hAnsiTheme="minorHAnsi"/>
      <w:color w:val="auto"/>
      <w:lang w:eastAsia="en-AU"/>
    </w:rPr>
  </w:style>
  <w:style w:type="paragraph" w:styleId="TOC9">
    <w:name w:val="toc 9"/>
    <w:basedOn w:val="Normal"/>
    <w:next w:val="Normal"/>
    <w:autoRedefine/>
    <w:uiPriority w:val="39"/>
    <w:unhideWhenUsed/>
    <w:rsid w:val="00E07B55"/>
    <w:pPr>
      <w:spacing w:after="100" w:line="259" w:lineRule="auto"/>
      <w:ind w:left="1760"/>
    </w:pPr>
    <w:rPr>
      <w:rFonts w:asciiTheme="minorHAnsi" w:eastAsiaTheme="minorEastAsia" w:hAnsiTheme="minorHAnsi"/>
      <w:color w:val="auto"/>
      <w:lang w:eastAsia="en-AU"/>
    </w:rPr>
  </w:style>
  <w:style w:type="table" w:styleId="ListTable1Light-Accent3">
    <w:name w:val="List Table 1 Light Accent 3"/>
    <w:basedOn w:val="TableNormal"/>
    <w:uiPriority w:val="46"/>
    <w:rsid w:val="00930984"/>
    <w:pPr>
      <w:spacing w:after="0" w:line="240" w:lineRule="auto"/>
    </w:pPr>
    <w:tblPr>
      <w:tblStyleRowBandSize w:val="1"/>
      <w:tblStyleColBandSize w:val="1"/>
    </w:tblPr>
    <w:tblStylePr w:type="firstRow">
      <w:rPr>
        <w:b/>
        <w:bCs/>
      </w:rPr>
      <w:tblPr/>
      <w:tcPr>
        <w:tcBorders>
          <w:bottom w:val="single" w:sz="4" w:space="0" w:color="42BDFF" w:themeColor="accent3" w:themeTint="99"/>
        </w:tcBorders>
      </w:tcPr>
    </w:tblStylePr>
    <w:tblStylePr w:type="lastRow">
      <w:rPr>
        <w:b/>
        <w:bCs/>
      </w:rPr>
      <w:tblPr/>
      <w:tcPr>
        <w:tcBorders>
          <w:top w:val="single" w:sz="4" w:space="0" w:color="42BDFF" w:themeColor="accent3" w:themeTint="99"/>
        </w:tcBorders>
      </w:tcPr>
    </w:tblStylePr>
    <w:tblStylePr w:type="firstCol">
      <w:rPr>
        <w:b/>
        <w:bCs/>
      </w:rPr>
    </w:tblStylePr>
    <w:tblStylePr w:type="lastCol">
      <w:rPr>
        <w:b/>
        <w:bCs/>
      </w:rPr>
    </w:tblStylePr>
    <w:tblStylePr w:type="band1Vert">
      <w:tblPr/>
      <w:tcPr>
        <w:shd w:val="clear" w:color="auto" w:fill="C0E9FF" w:themeFill="accent3" w:themeFillTint="33"/>
      </w:tcPr>
    </w:tblStylePr>
    <w:tblStylePr w:type="band1Horz">
      <w:tblPr/>
      <w:tcPr>
        <w:shd w:val="clear" w:color="auto" w:fill="C0E9FF" w:themeFill="accent3" w:themeFillTint="33"/>
      </w:tcPr>
    </w:tblStylePr>
  </w:style>
  <w:style w:type="table" w:styleId="GridTable5Dark-Accent3">
    <w:name w:val="Grid Table 5 Dark Accent 3"/>
    <w:basedOn w:val="TableNormal"/>
    <w:uiPriority w:val="50"/>
    <w:rsid w:val="00930984"/>
    <w:pPr>
      <w:spacing w:after="0" w:line="240" w:lineRule="auto"/>
    </w:pPr>
    <w:tblPr>
      <w:tblStyleRowBandSize w:val="1"/>
      <w:tblStyleColBandSize w:val="1"/>
      <w:tblBorders>
        <w:top w:val="single" w:sz="4" w:space="0" w:color="54C1AF" w:themeColor="background1"/>
        <w:left w:val="single" w:sz="4" w:space="0" w:color="54C1AF" w:themeColor="background1"/>
        <w:bottom w:val="single" w:sz="4" w:space="0" w:color="54C1AF" w:themeColor="background1"/>
        <w:right w:val="single" w:sz="4" w:space="0" w:color="54C1AF" w:themeColor="background1"/>
        <w:insideH w:val="single" w:sz="4" w:space="0" w:color="54C1AF" w:themeColor="background1"/>
        <w:insideV w:val="single" w:sz="4" w:space="0" w:color="54C1AF" w:themeColor="background1"/>
      </w:tblBorders>
    </w:tblPr>
    <w:tcPr>
      <w:shd w:val="clear" w:color="auto" w:fill="C0E9FF" w:themeFill="accent3" w:themeFillTint="33"/>
    </w:tcPr>
    <w:tblStylePr w:type="firstRow">
      <w:rPr>
        <w:b/>
        <w:bCs/>
        <w:color w:val="54C1AF" w:themeColor="background1"/>
      </w:rPr>
      <w:tblPr/>
      <w:tcPr>
        <w:tcBorders>
          <w:top w:val="single" w:sz="4" w:space="0" w:color="54C1AF" w:themeColor="background1"/>
          <w:left w:val="single" w:sz="4" w:space="0" w:color="54C1AF" w:themeColor="background1"/>
          <w:right w:val="single" w:sz="4" w:space="0" w:color="54C1AF" w:themeColor="background1"/>
          <w:insideH w:val="nil"/>
          <w:insideV w:val="nil"/>
        </w:tcBorders>
        <w:shd w:val="clear" w:color="auto" w:fill="0080C4" w:themeFill="accent3"/>
      </w:tcPr>
    </w:tblStylePr>
    <w:tblStylePr w:type="lastRow">
      <w:rPr>
        <w:b/>
        <w:bCs/>
        <w:color w:val="54C1AF" w:themeColor="background1"/>
      </w:rPr>
      <w:tblPr/>
      <w:tcPr>
        <w:tcBorders>
          <w:left w:val="single" w:sz="4" w:space="0" w:color="54C1AF" w:themeColor="background1"/>
          <w:bottom w:val="single" w:sz="4" w:space="0" w:color="54C1AF" w:themeColor="background1"/>
          <w:right w:val="single" w:sz="4" w:space="0" w:color="54C1AF" w:themeColor="background1"/>
          <w:insideH w:val="nil"/>
          <w:insideV w:val="nil"/>
        </w:tcBorders>
        <w:shd w:val="clear" w:color="auto" w:fill="0080C4" w:themeFill="accent3"/>
      </w:tcPr>
    </w:tblStylePr>
    <w:tblStylePr w:type="firstCol">
      <w:rPr>
        <w:b/>
        <w:bCs/>
        <w:color w:val="54C1AF" w:themeColor="background1"/>
      </w:rPr>
      <w:tblPr/>
      <w:tcPr>
        <w:tcBorders>
          <w:top w:val="single" w:sz="4" w:space="0" w:color="54C1AF" w:themeColor="background1"/>
          <w:left w:val="single" w:sz="4" w:space="0" w:color="54C1AF" w:themeColor="background1"/>
          <w:bottom w:val="single" w:sz="4" w:space="0" w:color="54C1AF" w:themeColor="background1"/>
          <w:insideV w:val="nil"/>
        </w:tcBorders>
        <w:shd w:val="clear" w:color="auto" w:fill="0080C4" w:themeFill="accent3"/>
      </w:tcPr>
    </w:tblStylePr>
    <w:tblStylePr w:type="lastCol">
      <w:rPr>
        <w:b/>
        <w:bCs/>
        <w:color w:val="54C1AF" w:themeColor="background1"/>
      </w:rPr>
      <w:tblPr/>
      <w:tcPr>
        <w:tcBorders>
          <w:top w:val="single" w:sz="4" w:space="0" w:color="54C1AF" w:themeColor="background1"/>
          <w:bottom w:val="single" w:sz="4" w:space="0" w:color="54C1AF" w:themeColor="background1"/>
          <w:right w:val="single" w:sz="4" w:space="0" w:color="54C1AF" w:themeColor="background1"/>
          <w:insideV w:val="nil"/>
        </w:tcBorders>
        <w:shd w:val="clear" w:color="auto" w:fill="0080C4" w:themeFill="accent3"/>
      </w:tcPr>
    </w:tblStylePr>
    <w:tblStylePr w:type="band1Vert">
      <w:tblPr/>
      <w:tcPr>
        <w:shd w:val="clear" w:color="auto" w:fill="81D3FF" w:themeFill="accent3" w:themeFillTint="66"/>
      </w:tcPr>
    </w:tblStylePr>
    <w:tblStylePr w:type="band1Horz">
      <w:tblPr/>
      <w:tcPr>
        <w:shd w:val="clear" w:color="auto" w:fill="81D3FF" w:themeFill="accent3" w:themeFillTint="66"/>
      </w:tcPr>
    </w:tblStylePr>
  </w:style>
  <w:style w:type="table" w:styleId="GridTable4-Accent2">
    <w:name w:val="Grid Table 4 Accent 2"/>
    <w:basedOn w:val="TableNormal"/>
    <w:uiPriority w:val="49"/>
    <w:rsid w:val="00930984"/>
    <w:pPr>
      <w:spacing w:after="0" w:line="240" w:lineRule="auto"/>
    </w:pPr>
    <w:tblPr>
      <w:tblStyleRowBandSize w:val="1"/>
      <w:tblStyleColBandSize w:val="1"/>
      <w:tblBorders>
        <w:top w:val="single" w:sz="4" w:space="0" w:color="4591EB" w:themeColor="accent2" w:themeTint="99"/>
        <w:left w:val="single" w:sz="4" w:space="0" w:color="4591EB" w:themeColor="accent2" w:themeTint="99"/>
        <w:bottom w:val="single" w:sz="4" w:space="0" w:color="4591EB" w:themeColor="accent2" w:themeTint="99"/>
        <w:right w:val="single" w:sz="4" w:space="0" w:color="4591EB" w:themeColor="accent2" w:themeTint="99"/>
        <w:insideH w:val="single" w:sz="4" w:space="0" w:color="4591EB" w:themeColor="accent2" w:themeTint="99"/>
        <w:insideV w:val="single" w:sz="4" w:space="0" w:color="4591EB" w:themeColor="accent2" w:themeTint="99"/>
      </w:tblBorders>
    </w:tblPr>
    <w:tblStylePr w:type="firstRow">
      <w:rPr>
        <w:b/>
        <w:bCs/>
        <w:color w:val="54C1AF" w:themeColor="background1"/>
      </w:rPr>
      <w:tblPr/>
      <w:tcPr>
        <w:tcBorders>
          <w:top w:val="single" w:sz="4" w:space="0" w:color="104F99" w:themeColor="accent2"/>
          <w:left w:val="single" w:sz="4" w:space="0" w:color="104F99" w:themeColor="accent2"/>
          <w:bottom w:val="single" w:sz="4" w:space="0" w:color="104F99" w:themeColor="accent2"/>
          <w:right w:val="single" w:sz="4" w:space="0" w:color="104F99" w:themeColor="accent2"/>
          <w:insideH w:val="nil"/>
          <w:insideV w:val="nil"/>
        </w:tcBorders>
        <w:shd w:val="clear" w:color="auto" w:fill="104F99" w:themeFill="accent2"/>
      </w:tcPr>
    </w:tblStylePr>
    <w:tblStylePr w:type="lastRow">
      <w:rPr>
        <w:b/>
        <w:bCs/>
      </w:rPr>
      <w:tblPr/>
      <w:tcPr>
        <w:tcBorders>
          <w:top w:val="double" w:sz="4" w:space="0" w:color="104F99" w:themeColor="accent2"/>
        </w:tcBorders>
      </w:tcPr>
    </w:tblStylePr>
    <w:tblStylePr w:type="firstCol">
      <w:rPr>
        <w:b/>
        <w:bCs/>
      </w:rPr>
    </w:tblStylePr>
    <w:tblStylePr w:type="lastCol">
      <w:rPr>
        <w:b/>
        <w:bCs/>
      </w:rPr>
    </w:tblStylePr>
    <w:tblStylePr w:type="band1Vert">
      <w:tblPr/>
      <w:tcPr>
        <w:shd w:val="clear" w:color="auto" w:fill="C1DAF8" w:themeFill="accent2" w:themeFillTint="33"/>
      </w:tcPr>
    </w:tblStylePr>
    <w:tblStylePr w:type="band1Horz">
      <w:tblPr/>
      <w:tcPr>
        <w:shd w:val="clear" w:color="auto" w:fill="C1DAF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3151">
      <w:bodyDiv w:val="1"/>
      <w:marLeft w:val="0"/>
      <w:marRight w:val="0"/>
      <w:marTop w:val="0"/>
      <w:marBottom w:val="0"/>
      <w:divBdr>
        <w:top w:val="none" w:sz="0" w:space="0" w:color="auto"/>
        <w:left w:val="none" w:sz="0" w:space="0" w:color="auto"/>
        <w:bottom w:val="none" w:sz="0" w:space="0" w:color="auto"/>
        <w:right w:val="none" w:sz="0" w:space="0" w:color="auto"/>
      </w:divBdr>
    </w:div>
    <w:div w:id="88895058">
      <w:bodyDiv w:val="1"/>
      <w:marLeft w:val="0"/>
      <w:marRight w:val="0"/>
      <w:marTop w:val="0"/>
      <w:marBottom w:val="0"/>
      <w:divBdr>
        <w:top w:val="none" w:sz="0" w:space="0" w:color="auto"/>
        <w:left w:val="none" w:sz="0" w:space="0" w:color="auto"/>
        <w:bottom w:val="none" w:sz="0" w:space="0" w:color="auto"/>
        <w:right w:val="none" w:sz="0" w:space="0" w:color="auto"/>
      </w:divBdr>
      <w:divsChild>
        <w:div w:id="1365981992">
          <w:marLeft w:val="547"/>
          <w:marRight w:val="0"/>
          <w:marTop w:val="0"/>
          <w:marBottom w:val="0"/>
          <w:divBdr>
            <w:top w:val="none" w:sz="0" w:space="0" w:color="auto"/>
            <w:left w:val="none" w:sz="0" w:space="0" w:color="auto"/>
            <w:bottom w:val="none" w:sz="0" w:space="0" w:color="auto"/>
            <w:right w:val="none" w:sz="0" w:space="0" w:color="auto"/>
          </w:divBdr>
        </w:div>
      </w:divsChild>
    </w:div>
    <w:div w:id="115566425">
      <w:bodyDiv w:val="1"/>
      <w:marLeft w:val="0"/>
      <w:marRight w:val="0"/>
      <w:marTop w:val="0"/>
      <w:marBottom w:val="0"/>
      <w:divBdr>
        <w:top w:val="none" w:sz="0" w:space="0" w:color="auto"/>
        <w:left w:val="none" w:sz="0" w:space="0" w:color="auto"/>
        <w:bottom w:val="none" w:sz="0" w:space="0" w:color="auto"/>
        <w:right w:val="none" w:sz="0" w:space="0" w:color="auto"/>
      </w:divBdr>
    </w:div>
    <w:div w:id="139420958">
      <w:bodyDiv w:val="1"/>
      <w:marLeft w:val="0"/>
      <w:marRight w:val="0"/>
      <w:marTop w:val="0"/>
      <w:marBottom w:val="0"/>
      <w:divBdr>
        <w:top w:val="none" w:sz="0" w:space="0" w:color="auto"/>
        <w:left w:val="none" w:sz="0" w:space="0" w:color="auto"/>
        <w:bottom w:val="none" w:sz="0" w:space="0" w:color="auto"/>
        <w:right w:val="none" w:sz="0" w:space="0" w:color="auto"/>
      </w:divBdr>
    </w:div>
    <w:div w:id="140004351">
      <w:bodyDiv w:val="1"/>
      <w:marLeft w:val="0"/>
      <w:marRight w:val="0"/>
      <w:marTop w:val="0"/>
      <w:marBottom w:val="0"/>
      <w:divBdr>
        <w:top w:val="none" w:sz="0" w:space="0" w:color="auto"/>
        <w:left w:val="none" w:sz="0" w:space="0" w:color="auto"/>
        <w:bottom w:val="none" w:sz="0" w:space="0" w:color="auto"/>
        <w:right w:val="none" w:sz="0" w:space="0" w:color="auto"/>
      </w:divBdr>
    </w:div>
    <w:div w:id="141311112">
      <w:bodyDiv w:val="1"/>
      <w:marLeft w:val="0"/>
      <w:marRight w:val="0"/>
      <w:marTop w:val="0"/>
      <w:marBottom w:val="0"/>
      <w:divBdr>
        <w:top w:val="none" w:sz="0" w:space="0" w:color="auto"/>
        <w:left w:val="none" w:sz="0" w:space="0" w:color="auto"/>
        <w:bottom w:val="none" w:sz="0" w:space="0" w:color="auto"/>
        <w:right w:val="none" w:sz="0" w:space="0" w:color="auto"/>
      </w:divBdr>
      <w:divsChild>
        <w:div w:id="1892887518">
          <w:marLeft w:val="547"/>
          <w:marRight w:val="0"/>
          <w:marTop w:val="0"/>
          <w:marBottom w:val="0"/>
          <w:divBdr>
            <w:top w:val="none" w:sz="0" w:space="0" w:color="auto"/>
            <w:left w:val="none" w:sz="0" w:space="0" w:color="auto"/>
            <w:bottom w:val="none" w:sz="0" w:space="0" w:color="auto"/>
            <w:right w:val="none" w:sz="0" w:space="0" w:color="auto"/>
          </w:divBdr>
        </w:div>
      </w:divsChild>
    </w:div>
    <w:div w:id="151723976">
      <w:bodyDiv w:val="1"/>
      <w:marLeft w:val="0"/>
      <w:marRight w:val="0"/>
      <w:marTop w:val="0"/>
      <w:marBottom w:val="0"/>
      <w:divBdr>
        <w:top w:val="none" w:sz="0" w:space="0" w:color="auto"/>
        <w:left w:val="none" w:sz="0" w:space="0" w:color="auto"/>
        <w:bottom w:val="none" w:sz="0" w:space="0" w:color="auto"/>
        <w:right w:val="none" w:sz="0" w:space="0" w:color="auto"/>
      </w:divBdr>
    </w:div>
    <w:div w:id="166285574">
      <w:bodyDiv w:val="1"/>
      <w:marLeft w:val="0"/>
      <w:marRight w:val="0"/>
      <w:marTop w:val="0"/>
      <w:marBottom w:val="0"/>
      <w:divBdr>
        <w:top w:val="none" w:sz="0" w:space="0" w:color="auto"/>
        <w:left w:val="none" w:sz="0" w:space="0" w:color="auto"/>
        <w:bottom w:val="none" w:sz="0" w:space="0" w:color="auto"/>
        <w:right w:val="none" w:sz="0" w:space="0" w:color="auto"/>
      </w:divBdr>
    </w:div>
    <w:div w:id="178205643">
      <w:bodyDiv w:val="1"/>
      <w:marLeft w:val="0"/>
      <w:marRight w:val="0"/>
      <w:marTop w:val="0"/>
      <w:marBottom w:val="0"/>
      <w:divBdr>
        <w:top w:val="none" w:sz="0" w:space="0" w:color="auto"/>
        <w:left w:val="none" w:sz="0" w:space="0" w:color="auto"/>
        <w:bottom w:val="none" w:sz="0" w:space="0" w:color="auto"/>
        <w:right w:val="none" w:sz="0" w:space="0" w:color="auto"/>
      </w:divBdr>
    </w:div>
    <w:div w:id="243804519">
      <w:bodyDiv w:val="1"/>
      <w:marLeft w:val="0"/>
      <w:marRight w:val="0"/>
      <w:marTop w:val="0"/>
      <w:marBottom w:val="0"/>
      <w:divBdr>
        <w:top w:val="none" w:sz="0" w:space="0" w:color="auto"/>
        <w:left w:val="none" w:sz="0" w:space="0" w:color="auto"/>
        <w:bottom w:val="none" w:sz="0" w:space="0" w:color="auto"/>
        <w:right w:val="none" w:sz="0" w:space="0" w:color="auto"/>
      </w:divBdr>
    </w:div>
    <w:div w:id="25836868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416563365">
      <w:bodyDiv w:val="1"/>
      <w:marLeft w:val="0"/>
      <w:marRight w:val="0"/>
      <w:marTop w:val="0"/>
      <w:marBottom w:val="0"/>
      <w:divBdr>
        <w:top w:val="none" w:sz="0" w:space="0" w:color="auto"/>
        <w:left w:val="none" w:sz="0" w:space="0" w:color="auto"/>
        <w:bottom w:val="none" w:sz="0" w:space="0" w:color="auto"/>
        <w:right w:val="none" w:sz="0" w:space="0" w:color="auto"/>
      </w:divBdr>
    </w:div>
    <w:div w:id="431360084">
      <w:bodyDiv w:val="1"/>
      <w:marLeft w:val="0"/>
      <w:marRight w:val="0"/>
      <w:marTop w:val="0"/>
      <w:marBottom w:val="0"/>
      <w:divBdr>
        <w:top w:val="none" w:sz="0" w:space="0" w:color="auto"/>
        <w:left w:val="none" w:sz="0" w:space="0" w:color="auto"/>
        <w:bottom w:val="none" w:sz="0" w:space="0" w:color="auto"/>
        <w:right w:val="none" w:sz="0" w:space="0" w:color="auto"/>
      </w:divBdr>
      <w:divsChild>
        <w:div w:id="406004435">
          <w:marLeft w:val="547"/>
          <w:marRight w:val="0"/>
          <w:marTop w:val="0"/>
          <w:marBottom w:val="0"/>
          <w:divBdr>
            <w:top w:val="none" w:sz="0" w:space="0" w:color="auto"/>
            <w:left w:val="none" w:sz="0" w:space="0" w:color="auto"/>
            <w:bottom w:val="none" w:sz="0" w:space="0" w:color="auto"/>
            <w:right w:val="none" w:sz="0" w:space="0" w:color="auto"/>
          </w:divBdr>
        </w:div>
      </w:divsChild>
    </w:div>
    <w:div w:id="432089153">
      <w:bodyDiv w:val="1"/>
      <w:marLeft w:val="0"/>
      <w:marRight w:val="0"/>
      <w:marTop w:val="0"/>
      <w:marBottom w:val="0"/>
      <w:divBdr>
        <w:top w:val="none" w:sz="0" w:space="0" w:color="auto"/>
        <w:left w:val="none" w:sz="0" w:space="0" w:color="auto"/>
        <w:bottom w:val="none" w:sz="0" w:space="0" w:color="auto"/>
        <w:right w:val="none" w:sz="0" w:space="0" w:color="auto"/>
      </w:divBdr>
    </w:div>
    <w:div w:id="478037200">
      <w:bodyDiv w:val="1"/>
      <w:marLeft w:val="0"/>
      <w:marRight w:val="0"/>
      <w:marTop w:val="0"/>
      <w:marBottom w:val="0"/>
      <w:divBdr>
        <w:top w:val="none" w:sz="0" w:space="0" w:color="auto"/>
        <w:left w:val="none" w:sz="0" w:space="0" w:color="auto"/>
        <w:bottom w:val="none" w:sz="0" w:space="0" w:color="auto"/>
        <w:right w:val="none" w:sz="0" w:space="0" w:color="auto"/>
      </w:divBdr>
    </w:div>
    <w:div w:id="563683898">
      <w:bodyDiv w:val="1"/>
      <w:marLeft w:val="0"/>
      <w:marRight w:val="0"/>
      <w:marTop w:val="0"/>
      <w:marBottom w:val="0"/>
      <w:divBdr>
        <w:top w:val="none" w:sz="0" w:space="0" w:color="auto"/>
        <w:left w:val="none" w:sz="0" w:space="0" w:color="auto"/>
        <w:bottom w:val="none" w:sz="0" w:space="0" w:color="auto"/>
        <w:right w:val="none" w:sz="0" w:space="0" w:color="auto"/>
      </w:divBdr>
    </w:div>
    <w:div w:id="585577541">
      <w:bodyDiv w:val="1"/>
      <w:marLeft w:val="0"/>
      <w:marRight w:val="0"/>
      <w:marTop w:val="0"/>
      <w:marBottom w:val="0"/>
      <w:divBdr>
        <w:top w:val="none" w:sz="0" w:space="0" w:color="auto"/>
        <w:left w:val="none" w:sz="0" w:space="0" w:color="auto"/>
        <w:bottom w:val="none" w:sz="0" w:space="0" w:color="auto"/>
        <w:right w:val="none" w:sz="0" w:space="0" w:color="auto"/>
      </w:divBdr>
    </w:div>
    <w:div w:id="592864043">
      <w:bodyDiv w:val="1"/>
      <w:marLeft w:val="0"/>
      <w:marRight w:val="0"/>
      <w:marTop w:val="0"/>
      <w:marBottom w:val="0"/>
      <w:divBdr>
        <w:top w:val="none" w:sz="0" w:space="0" w:color="auto"/>
        <w:left w:val="none" w:sz="0" w:space="0" w:color="auto"/>
        <w:bottom w:val="none" w:sz="0" w:space="0" w:color="auto"/>
        <w:right w:val="none" w:sz="0" w:space="0" w:color="auto"/>
      </w:divBdr>
    </w:div>
    <w:div w:id="608585195">
      <w:bodyDiv w:val="1"/>
      <w:marLeft w:val="0"/>
      <w:marRight w:val="0"/>
      <w:marTop w:val="0"/>
      <w:marBottom w:val="0"/>
      <w:divBdr>
        <w:top w:val="none" w:sz="0" w:space="0" w:color="auto"/>
        <w:left w:val="none" w:sz="0" w:space="0" w:color="auto"/>
        <w:bottom w:val="none" w:sz="0" w:space="0" w:color="auto"/>
        <w:right w:val="none" w:sz="0" w:space="0" w:color="auto"/>
      </w:divBdr>
    </w:div>
    <w:div w:id="641927121">
      <w:bodyDiv w:val="1"/>
      <w:marLeft w:val="0"/>
      <w:marRight w:val="0"/>
      <w:marTop w:val="0"/>
      <w:marBottom w:val="0"/>
      <w:divBdr>
        <w:top w:val="none" w:sz="0" w:space="0" w:color="auto"/>
        <w:left w:val="none" w:sz="0" w:space="0" w:color="auto"/>
        <w:bottom w:val="none" w:sz="0" w:space="0" w:color="auto"/>
        <w:right w:val="none" w:sz="0" w:space="0" w:color="auto"/>
      </w:divBdr>
    </w:div>
    <w:div w:id="658657745">
      <w:bodyDiv w:val="1"/>
      <w:marLeft w:val="0"/>
      <w:marRight w:val="0"/>
      <w:marTop w:val="0"/>
      <w:marBottom w:val="0"/>
      <w:divBdr>
        <w:top w:val="none" w:sz="0" w:space="0" w:color="auto"/>
        <w:left w:val="none" w:sz="0" w:space="0" w:color="auto"/>
        <w:bottom w:val="none" w:sz="0" w:space="0" w:color="auto"/>
        <w:right w:val="none" w:sz="0" w:space="0" w:color="auto"/>
      </w:divBdr>
    </w:div>
    <w:div w:id="688290950">
      <w:bodyDiv w:val="1"/>
      <w:marLeft w:val="0"/>
      <w:marRight w:val="0"/>
      <w:marTop w:val="0"/>
      <w:marBottom w:val="0"/>
      <w:divBdr>
        <w:top w:val="none" w:sz="0" w:space="0" w:color="auto"/>
        <w:left w:val="none" w:sz="0" w:space="0" w:color="auto"/>
        <w:bottom w:val="none" w:sz="0" w:space="0" w:color="auto"/>
        <w:right w:val="none" w:sz="0" w:space="0" w:color="auto"/>
      </w:divBdr>
    </w:div>
    <w:div w:id="807013423">
      <w:bodyDiv w:val="1"/>
      <w:marLeft w:val="0"/>
      <w:marRight w:val="0"/>
      <w:marTop w:val="0"/>
      <w:marBottom w:val="0"/>
      <w:divBdr>
        <w:top w:val="none" w:sz="0" w:space="0" w:color="auto"/>
        <w:left w:val="none" w:sz="0" w:space="0" w:color="auto"/>
        <w:bottom w:val="none" w:sz="0" w:space="0" w:color="auto"/>
        <w:right w:val="none" w:sz="0" w:space="0" w:color="auto"/>
      </w:divBdr>
    </w:div>
    <w:div w:id="843785272">
      <w:bodyDiv w:val="1"/>
      <w:marLeft w:val="0"/>
      <w:marRight w:val="0"/>
      <w:marTop w:val="0"/>
      <w:marBottom w:val="0"/>
      <w:divBdr>
        <w:top w:val="none" w:sz="0" w:space="0" w:color="auto"/>
        <w:left w:val="none" w:sz="0" w:space="0" w:color="auto"/>
        <w:bottom w:val="none" w:sz="0" w:space="0" w:color="auto"/>
        <w:right w:val="none" w:sz="0" w:space="0" w:color="auto"/>
      </w:divBdr>
    </w:div>
    <w:div w:id="846796807">
      <w:bodyDiv w:val="1"/>
      <w:marLeft w:val="0"/>
      <w:marRight w:val="0"/>
      <w:marTop w:val="0"/>
      <w:marBottom w:val="0"/>
      <w:divBdr>
        <w:top w:val="none" w:sz="0" w:space="0" w:color="auto"/>
        <w:left w:val="none" w:sz="0" w:space="0" w:color="auto"/>
        <w:bottom w:val="none" w:sz="0" w:space="0" w:color="auto"/>
        <w:right w:val="none" w:sz="0" w:space="0" w:color="auto"/>
      </w:divBdr>
    </w:div>
    <w:div w:id="889270213">
      <w:bodyDiv w:val="1"/>
      <w:marLeft w:val="0"/>
      <w:marRight w:val="0"/>
      <w:marTop w:val="0"/>
      <w:marBottom w:val="0"/>
      <w:divBdr>
        <w:top w:val="none" w:sz="0" w:space="0" w:color="auto"/>
        <w:left w:val="none" w:sz="0" w:space="0" w:color="auto"/>
        <w:bottom w:val="none" w:sz="0" w:space="0" w:color="auto"/>
        <w:right w:val="none" w:sz="0" w:space="0" w:color="auto"/>
      </w:divBdr>
    </w:div>
    <w:div w:id="941571396">
      <w:bodyDiv w:val="1"/>
      <w:marLeft w:val="0"/>
      <w:marRight w:val="0"/>
      <w:marTop w:val="0"/>
      <w:marBottom w:val="0"/>
      <w:divBdr>
        <w:top w:val="none" w:sz="0" w:space="0" w:color="auto"/>
        <w:left w:val="none" w:sz="0" w:space="0" w:color="auto"/>
        <w:bottom w:val="none" w:sz="0" w:space="0" w:color="auto"/>
        <w:right w:val="none" w:sz="0" w:space="0" w:color="auto"/>
      </w:divBdr>
    </w:div>
    <w:div w:id="989675449">
      <w:bodyDiv w:val="1"/>
      <w:marLeft w:val="0"/>
      <w:marRight w:val="0"/>
      <w:marTop w:val="0"/>
      <w:marBottom w:val="0"/>
      <w:divBdr>
        <w:top w:val="none" w:sz="0" w:space="0" w:color="auto"/>
        <w:left w:val="none" w:sz="0" w:space="0" w:color="auto"/>
        <w:bottom w:val="none" w:sz="0" w:space="0" w:color="auto"/>
        <w:right w:val="none" w:sz="0" w:space="0" w:color="auto"/>
      </w:divBdr>
    </w:div>
    <w:div w:id="1036733221">
      <w:bodyDiv w:val="1"/>
      <w:marLeft w:val="0"/>
      <w:marRight w:val="0"/>
      <w:marTop w:val="0"/>
      <w:marBottom w:val="0"/>
      <w:divBdr>
        <w:top w:val="none" w:sz="0" w:space="0" w:color="auto"/>
        <w:left w:val="none" w:sz="0" w:space="0" w:color="auto"/>
        <w:bottom w:val="none" w:sz="0" w:space="0" w:color="auto"/>
        <w:right w:val="none" w:sz="0" w:space="0" w:color="auto"/>
      </w:divBdr>
    </w:div>
    <w:div w:id="1041594896">
      <w:bodyDiv w:val="1"/>
      <w:marLeft w:val="0"/>
      <w:marRight w:val="0"/>
      <w:marTop w:val="0"/>
      <w:marBottom w:val="0"/>
      <w:divBdr>
        <w:top w:val="none" w:sz="0" w:space="0" w:color="auto"/>
        <w:left w:val="none" w:sz="0" w:space="0" w:color="auto"/>
        <w:bottom w:val="none" w:sz="0" w:space="0" w:color="auto"/>
        <w:right w:val="none" w:sz="0" w:space="0" w:color="auto"/>
      </w:divBdr>
    </w:div>
    <w:div w:id="1074887834">
      <w:bodyDiv w:val="1"/>
      <w:marLeft w:val="0"/>
      <w:marRight w:val="0"/>
      <w:marTop w:val="0"/>
      <w:marBottom w:val="0"/>
      <w:divBdr>
        <w:top w:val="none" w:sz="0" w:space="0" w:color="auto"/>
        <w:left w:val="none" w:sz="0" w:space="0" w:color="auto"/>
        <w:bottom w:val="none" w:sz="0" w:space="0" w:color="auto"/>
        <w:right w:val="none" w:sz="0" w:space="0" w:color="auto"/>
      </w:divBdr>
    </w:div>
    <w:div w:id="1089693352">
      <w:bodyDiv w:val="1"/>
      <w:marLeft w:val="0"/>
      <w:marRight w:val="0"/>
      <w:marTop w:val="0"/>
      <w:marBottom w:val="0"/>
      <w:divBdr>
        <w:top w:val="none" w:sz="0" w:space="0" w:color="auto"/>
        <w:left w:val="none" w:sz="0" w:space="0" w:color="auto"/>
        <w:bottom w:val="none" w:sz="0" w:space="0" w:color="auto"/>
        <w:right w:val="none" w:sz="0" w:space="0" w:color="auto"/>
      </w:divBdr>
      <w:divsChild>
        <w:div w:id="1052383128">
          <w:marLeft w:val="547"/>
          <w:marRight w:val="0"/>
          <w:marTop w:val="0"/>
          <w:marBottom w:val="0"/>
          <w:divBdr>
            <w:top w:val="none" w:sz="0" w:space="0" w:color="auto"/>
            <w:left w:val="none" w:sz="0" w:space="0" w:color="auto"/>
            <w:bottom w:val="none" w:sz="0" w:space="0" w:color="auto"/>
            <w:right w:val="none" w:sz="0" w:space="0" w:color="auto"/>
          </w:divBdr>
        </w:div>
      </w:divsChild>
    </w:div>
    <w:div w:id="1091858593">
      <w:bodyDiv w:val="1"/>
      <w:marLeft w:val="0"/>
      <w:marRight w:val="0"/>
      <w:marTop w:val="0"/>
      <w:marBottom w:val="0"/>
      <w:divBdr>
        <w:top w:val="none" w:sz="0" w:space="0" w:color="auto"/>
        <w:left w:val="none" w:sz="0" w:space="0" w:color="auto"/>
        <w:bottom w:val="none" w:sz="0" w:space="0" w:color="auto"/>
        <w:right w:val="none" w:sz="0" w:space="0" w:color="auto"/>
      </w:divBdr>
    </w:div>
    <w:div w:id="1097407869">
      <w:bodyDiv w:val="1"/>
      <w:marLeft w:val="0"/>
      <w:marRight w:val="0"/>
      <w:marTop w:val="0"/>
      <w:marBottom w:val="0"/>
      <w:divBdr>
        <w:top w:val="none" w:sz="0" w:space="0" w:color="auto"/>
        <w:left w:val="none" w:sz="0" w:space="0" w:color="auto"/>
        <w:bottom w:val="none" w:sz="0" w:space="0" w:color="auto"/>
        <w:right w:val="none" w:sz="0" w:space="0" w:color="auto"/>
      </w:divBdr>
    </w:div>
    <w:div w:id="1157266415">
      <w:bodyDiv w:val="1"/>
      <w:marLeft w:val="0"/>
      <w:marRight w:val="0"/>
      <w:marTop w:val="0"/>
      <w:marBottom w:val="0"/>
      <w:divBdr>
        <w:top w:val="none" w:sz="0" w:space="0" w:color="auto"/>
        <w:left w:val="none" w:sz="0" w:space="0" w:color="auto"/>
        <w:bottom w:val="none" w:sz="0" w:space="0" w:color="auto"/>
        <w:right w:val="none" w:sz="0" w:space="0" w:color="auto"/>
      </w:divBdr>
    </w:div>
    <w:div w:id="1217620587">
      <w:bodyDiv w:val="1"/>
      <w:marLeft w:val="0"/>
      <w:marRight w:val="0"/>
      <w:marTop w:val="0"/>
      <w:marBottom w:val="0"/>
      <w:divBdr>
        <w:top w:val="none" w:sz="0" w:space="0" w:color="auto"/>
        <w:left w:val="none" w:sz="0" w:space="0" w:color="auto"/>
        <w:bottom w:val="none" w:sz="0" w:space="0" w:color="auto"/>
        <w:right w:val="none" w:sz="0" w:space="0" w:color="auto"/>
      </w:divBdr>
    </w:div>
    <w:div w:id="1237664244">
      <w:bodyDiv w:val="1"/>
      <w:marLeft w:val="0"/>
      <w:marRight w:val="0"/>
      <w:marTop w:val="0"/>
      <w:marBottom w:val="0"/>
      <w:divBdr>
        <w:top w:val="none" w:sz="0" w:space="0" w:color="auto"/>
        <w:left w:val="none" w:sz="0" w:space="0" w:color="auto"/>
        <w:bottom w:val="none" w:sz="0" w:space="0" w:color="auto"/>
        <w:right w:val="none" w:sz="0" w:space="0" w:color="auto"/>
      </w:divBdr>
    </w:div>
    <w:div w:id="1251307270">
      <w:bodyDiv w:val="1"/>
      <w:marLeft w:val="0"/>
      <w:marRight w:val="0"/>
      <w:marTop w:val="0"/>
      <w:marBottom w:val="0"/>
      <w:divBdr>
        <w:top w:val="none" w:sz="0" w:space="0" w:color="auto"/>
        <w:left w:val="none" w:sz="0" w:space="0" w:color="auto"/>
        <w:bottom w:val="none" w:sz="0" w:space="0" w:color="auto"/>
        <w:right w:val="none" w:sz="0" w:space="0" w:color="auto"/>
      </w:divBdr>
    </w:div>
    <w:div w:id="1260874045">
      <w:bodyDiv w:val="1"/>
      <w:marLeft w:val="0"/>
      <w:marRight w:val="0"/>
      <w:marTop w:val="0"/>
      <w:marBottom w:val="0"/>
      <w:divBdr>
        <w:top w:val="none" w:sz="0" w:space="0" w:color="auto"/>
        <w:left w:val="none" w:sz="0" w:space="0" w:color="auto"/>
        <w:bottom w:val="none" w:sz="0" w:space="0" w:color="auto"/>
        <w:right w:val="none" w:sz="0" w:space="0" w:color="auto"/>
      </w:divBdr>
    </w:div>
    <w:div w:id="1290934293">
      <w:bodyDiv w:val="1"/>
      <w:marLeft w:val="0"/>
      <w:marRight w:val="0"/>
      <w:marTop w:val="0"/>
      <w:marBottom w:val="0"/>
      <w:divBdr>
        <w:top w:val="none" w:sz="0" w:space="0" w:color="auto"/>
        <w:left w:val="none" w:sz="0" w:space="0" w:color="auto"/>
        <w:bottom w:val="none" w:sz="0" w:space="0" w:color="auto"/>
        <w:right w:val="none" w:sz="0" w:space="0" w:color="auto"/>
      </w:divBdr>
    </w:div>
    <w:div w:id="1304237902">
      <w:bodyDiv w:val="1"/>
      <w:marLeft w:val="0"/>
      <w:marRight w:val="0"/>
      <w:marTop w:val="0"/>
      <w:marBottom w:val="0"/>
      <w:divBdr>
        <w:top w:val="none" w:sz="0" w:space="0" w:color="auto"/>
        <w:left w:val="none" w:sz="0" w:space="0" w:color="auto"/>
        <w:bottom w:val="none" w:sz="0" w:space="0" w:color="auto"/>
        <w:right w:val="none" w:sz="0" w:space="0" w:color="auto"/>
      </w:divBdr>
    </w:div>
    <w:div w:id="1353068393">
      <w:bodyDiv w:val="1"/>
      <w:marLeft w:val="0"/>
      <w:marRight w:val="0"/>
      <w:marTop w:val="0"/>
      <w:marBottom w:val="0"/>
      <w:divBdr>
        <w:top w:val="none" w:sz="0" w:space="0" w:color="auto"/>
        <w:left w:val="none" w:sz="0" w:space="0" w:color="auto"/>
        <w:bottom w:val="none" w:sz="0" w:space="0" w:color="auto"/>
        <w:right w:val="none" w:sz="0" w:space="0" w:color="auto"/>
      </w:divBdr>
    </w:div>
    <w:div w:id="1382826557">
      <w:bodyDiv w:val="1"/>
      <w:marLeft w:val="0"/>
      <w:marRight w:val="0"/>
      <w:marTop w:val="0"/>
      <w:marBottom w:val="0"/>
      <w:divBdr>
        <w:top w:val="none" w:sz="0" w:space="0" w:color="auto"/>
        <w:left w:val="none" w:sz="0" w:space="0" w:color="auto"/>
        <w:bottom w:val="none" w:sz="0" w:space="0" w:color="auto"/>
        <w:right w:val="none" w:sz="0" w:space="0" w:color="auto"/>
      </w:divBdr>
    </w:div>
    <w:div w:id="1447965206">
      <w:bodyDiv w:val="1"/>
      <w:marLeft w:val="0"/>
      <w:marRight w:val="0"/>
      <w:marTop w:val="0"/>
      <w:marBottom w:val="0"/>
      <w:divBdr>
        <w:top w:val="none" w:sz="0" w:space="0" w:color="auto"/>
        <w:left w:val="none" w:sz="0" w:space="0" w:color="auto"/>
        <w:bottom w:val="none" w:sz="0" w:space="0" w:color="auto"/>
        <w:right w:val="none" w:sz="0" w:space="0" w:color="auto"/>
      </w:divBdr>
    </w:div>
    <w:div w:id="1467041613">
      <w:bodyDiv w:val="1"/>
      <w:marLeft w:val="0"/>
      <w:marRight w:val="0"/>
      <w:marTop w:val="0"/>
      <w:marBottom w:val="0"/>
      <w:divBdr>
        <w:top w:val="none" w:sz="0" w:space="0" w:color="auto"/>
        <w:left w:val="none" w:sz="0" w:space="0" w:color="auto"/>
        <w:bottom w:val="none" w:sz="0" w:space="0" w:color="auto"/>
        <w:right w:val="none" w:sz="0" w:space="0" w:color="auto"/>
      </w:divBdr>
    </w:div>
    <w:div w:id="1491409054">
      <w:bodyDiv w:val="1"/>
      <w:marLeft w:val="0"/>
      <w:marRight w:val="0"/>
      <w:marTop w:val="0"/>
      <w:marBottom w:val="0"/>
      <w:divBdr>
        <w:top w:val="none" w:sz="0" w:space="0" w:color="auto"/>
        <w:left w:val="none" w:sz="0" w:space="0" w:color="auto"/>
        <w:bottom w:val="none" w:sz="0" w:space="0" w:color="auto"/>
        <w:right w:val="none" w:sz="0" w:space="0" w:color="auto"/>
      </w:divBdr>
    </w:div>
    <w:div w:id="1651054693">
      <w:bodyDiv w:val="1"/>
      <w:marLeft w:val="0"/>
      <w:marRight w:val="0"/>
      <w:marTop w:val="0"/>
      <w:marBottom w:val="0"/>
      <w:divBdr>
        <w:top w:val="none" w:sz="0" w:space="0" w:color="auto"/>
        <w:left w:val="none" w:sz="0" w:space="0" w:color="auto"/>
        <w:bottom w:val="none" w:sz="0" w:space="0" w:color="auto"/>
        <w:right w:val="none" w:sz="0" w:space="0" w:color="auto"/>
      </w:divBdr>
    </w:div>
    <w:div w:id="1700886965">
      <w:bodyDiv w:val="1"/>
      <w:marLeft w:val="0"/>
      <w:marRight w:val="0"/>
      <w:marTop w:val="0"/>
      <w:marBottom w:val="0"/>
      <w:divBdr>
        <w:top w:val="none" w:sz="0" w:space="0" w:color="auto"/>
        <w:left w:val="none" w:sz="0" w:space="0" w:color="auto"/>
        <w:bottom w:val="none" w:sz="0" w:space="0" w:color="auto"/>
        <w:right w:val="none" w:sz="0" w:space="0" w:color="auto"/>
      </w:divBdr>
    </w:div>
    <w:div w:id="1728451796">
      <w:bodyDiv w:val="1"/>
      <w:marLeft w:val="0"/>
      <w:marRight w:val="0"/>
      <w:marTop w:val="0"/>
      <w:marBottom w:val="0"/>
      <w:divBdr>
        <w:top w:val="none" w:sz="0" w:space="0" w:color="auto"/>
        <w:left w:val="none" w:sz="0" w:space="0" w:color="auto"/>
        <w:bottom w:val="none" w:sz="0" w:space="0" w:color="auto"/>
        <w:right w:val="none" w:sz="0" w:space="0" w:color="auto"/>
      </w:divBdr>
    </w:div>
    <w:div w:id="1738243871">
      <w:bodyDiv w:val="1"/>
      <w:marLeft w:val="0"/>
      <w:marRight w:val="0"/>
      <w:marTop w:val="0"/>
      <w:marBottom w:val="0"/>
      <w:divBdr>
        <w:top w:val="none" w:sz="0" w:space="0" w:color="auto"/>
        <w:left w:val="none" w:sz="0" w:space="0" w:color="auto"/>
        <w:bottom w:val="none" w:sz="0" w:space="0" w:color="auto"/>
        <w:right w:val="none" w:sz="0" w:space="0" w:color="auto"/>
      </w:divBdr>
    </w:div>
    <w:div w:id="1760904761">
      <w:bodyDiv w:val="1"/>
      <w:marLeft w:val="0"/>
      <w:marRight w:val="0"/>
      <w:marTop w:val="0"/>
      <w:marBottom w:val="0"/>
      <w:divBdr>
        <w:top w:val="none" w:sz="0" w:space="0" w:color="auto"/>
        <w:left w:val="none" w:sz="0" w:space="0" w:color="auto"/>
        <w:bottom w:val="none" w:sz="0" w:space="0" w:color="auto"/>
        <w:right w:val="none" w:sz="0" w:space="0" w:color="auto"/>
      </w:divBdr>
    </w:div>
    <w:div w:id="1835491134">
      <w:bodyDiv w:val="1"/>
      <w:marLeft w:val="0"/>
      <w:marRight w:val="0"/>
      <w:marTop w:val="0"/>
      <w:marBottom w:val="0"/>
      <w:divBdr>
        <w:top w:val="none" w:sz="0" w:space="0" w:color="auto"/>
        <w:left w:val="none" w:sz="0" w:space="0" w:color="auto"/>
        <w:bottom w:val="none" w:sz="0" w:space="0" w:color="auto"/>
        <w:right w:val="none" w:sz="0" w:space="0" w:color="auto"/>
      </w:divBdr>
    </w:div>
    <w:div w:id="1845977947">
      <w:bodyDiv w:val="1"/>
      <w:marLeft w:val="0"/>
      <w:marRight w:val="0"/>
      <w:marTop w:val="0"/>
      <w:marBottom w:val="0"/>
      <w:divBdr>
        <w:top w:val="none" w:sz="0" w:space="0" w:color="auto"/>
        <w:left w:val="none" w:sz="0" w:space="0" w:color="auto"/>
        <w:bottom w:val="none" w:sz="0" w:space="0" w:color="auto"/>
        <w:right w:val="none" w:sz="0" w:space="0" w:color="auto"/>
      </w:divBdr>
    </w:div>
    <w:div w:id="1900941192">
      <w:bodyDiv w:val="1"/>
      <w:marLeft w:val="0"/>
      <w:marRight w:val="0"/>
      <w:marTop w:val="0"/>
      <w:marBottom w:val="0"/>
      <w:divBdr>
        <w:top w:val="none" w:sz="0" w:space="0" w:color="auto"/>
        <w:left w:val="none" w:sz="0" w:space="0" w:color="auto"/>
        <w:bottom w:val="none" w:sz="0" w:space="0" w:color="auto"/>
        <w:right w:val="none" w:sz="0" w:space="0" w:color="auto"/>
      </w:divBdr>
    </w:div>
    <w:div w:id="1951815090">
      <w:bodyDiv w:val="1"/>
      <w:marLeft w:val="0"/>
      <w:marRight w:val="0"/>
      <w:marTop w:val="0"/>
      <w:marBottom w:val="0"/>
      <w:divBdr>
        <w:top w:val="none" w:sz="0" w:space="0" w:color="auto"/>
        <w:left w:val="none" w:sz="0" w:space="0" w:color="auto"/>
        <w:bottom w:val="none" w:sz="0" w:space="0" w:color="auto"/>
        <w:right w:val="none" w:sz="0" w:space="0" w:color="auto"/>
      </w:divBdr>
    </w:div>
    <w:div w:id="1962882231">
      <w:bodyDiv w:val="1"/>
      <w:marLeft w:val="0"/>
      <w:marRight w:val="0"/>
      <w:marTop w:val="0"/>
      <w:marBottom w:val="0"/>
      <w:divBdr>
        <w:top w:val="none" w:sz="0" w:space="0" w:color="auto"/>
        <w:left w:val="none" w:sz="0" w:space="0" w:color="auto"/>
        <w:bottom w:val="none" w:sz="0" w:space="0" w:color="auto"/>
        <w:right w:val="none" w:sz="0" w:space="0" w:color="auto"/>
      </w:divBdr>
    </w:div>
    <w:div w:id="1970822504">
      <w:bodyDiv w:val="1"/>
      <w:marLeft w:val="0"/>
      <w:marRight w:val="0"/>
      <w:marTop w:val="0"/>
      <w:marBottom w:val="0"/>
      <w:divBdr>
        <w:top w:val="none" w:sz="0" w:space="0" w:color="auto"/>
        <w:left w:val="none" w:sz="0" w:space="0" w:color="auto"/>
        <w:bottom w:val="none" w:sz="0" w:space="0" w:color="auto"/>
        <w:right w:val="none" w:sz="0" w:space="0" w:color="auto"/>
      </w:divBdr>
    </w:div>
    <w:div w:id="1992253848">
      <w:bodyDiv w:val="1"/>
      <w:marLeft w:val="0"/>
      <w:marRight w:val="0"/>
      <w:marTop w:val="0"/>
      <w:marBottom w:val="0"/>
      <w:divBdr>
        <w:top w:val="none" w:sz="0" w:space="0" w:color="auto"/>
        <w:left w:val="none" w:sz="0" w:space="0" w:color="auto"/>
        <w:bottom w:val="none" w:sz="0" w:space="0" w:color="auto"/>
        <w:right w:val="none" w:sz="0" w:space="0" w:color="auto"/>
      </w:divBdr>
    </w:div>
    <w:div w:id="2059815894">
      <w:bodyDiv w:val="1"/>
      <w:marLeft w:val="0"/>
      <w:marRight w:val="0"/>
      <w:marTop w:val="0"/>
      <w:marBottom w:val="0"/>
      <w:divBdr>
        <w:top w:val="none" w:sz="0" w:space="0" w:color="auto"/>
        <w:left w:val="none" w:sz="0" w:space="0" w:color="auto"/>
        <w:bottom w:val="none" w:sz="0" w:space="0" w:color="auto"/>
        <w:right w:val="none" w:sz="0" w:space="0" w:color="auto"/>
      </w:divBdr>
    </w:div>
    <w:div w:id="2078701679">
      <w:bodyDiv w:val="1"/>
      <w:marLeft w:val="0"/>
      <w:marRight w:val="0"/>
      <w:marTop w:val="0"/>
      <w:marBottom w:val="0"/>
      <w:divBdr>
        <w:top w:val="none" w:sz="0" w:space="0" w:color="auto"/>
        <w:left w:val="none" w:sz="0" w:space="0" w:color="auto"/>
        <w:bottom w:val="none" w:sz="0" w:space="0" w:color="auto"/>
        <w:right w:val="none" w:sz="0" w:space="0" w:color="auto"/>
      </w:divBdr>
    </w:div>
    <w:div w:id="2090495351">
      <w:bodyDiv w:val="1"/>
      <w:marLeft w:val="0"/>
      <w:marRight w:val="0"/>
      <w:marTop w:val="0"/>
      <w:marBottom w:val="0"/>
      <w:divBdr>
        <w:top w:val="none" w:sz="0" w:space="0" w:color="auto"/>
        <w:left w:val="none" w:sz="0" w:space="0" w:color="auto"/>
        <w:bottom w:val="none" w:sz="0" w:space="0" w:color="auto"/>
        <w:right w:val="none" w:sz="0" w:space="0" w:color="auto"/>
      </w:divBdr>
    </w:div>
    <w:div w:id="2104295451">
      <w:bodyDiv w:val="1"/>
      <w:marLeft w:val="0"/>
      <w:marRight w:val="0"/>
      <w:marTop w:val="0"/>
      <w:marBottom w:val="0"/>
      <w:divBdr>
        <w:top w:val="none" w:sz="0" w:space="0" w:color="auto"/>
        <w:left w:val="none" w:sz="0" w:space="0" w:color="auto"/>
        <w:bottom w:val="none" w:sz="0" w:space="0" w:color="auto"/>
        <w:right w:val="none" w:sz="0" w:space="0" w:color="auto"/>
      </w:divBdr>
    </w:div>
    <w:div w:id="2111125686">
      <w:bodyDiv w:val="1"/>
      <w:marLeft w:val="0"/>
      <w:marRight w:val="0"/>
      <w:marTop w:val="0"/>
      <w:marBottom w:val="0"/>
      <w:divBdr>
        <w:top w:val="none" w:sz="0" w:space="0" w:color="auto"/>
        <w:left w:val="none" w:sz="0" w:space="0" w:color="auto"/>
        <w:bottom w:val="none" w:sz="0" w:space="0" w:color="auto"/>
        <w:right w:val="none" w:sz="0" w:space="0" w:color="auto"/>
      </w:divBdr>
    </w:div>
    <w:div w:id="2134404161">
      <w:bodyDiv w:val="1"/>
      <w:marLeft w:val="0"/>
      <w:marRight w:val="0"/>
      <w:marTop w:val="0"/>
      <w:marBottom w:val="0"/>
      <w:divBdr>
        <w:top w:val="none" w:sz="0" w:space="0" w:color="auto"/>
        <w:left w:val="none" w:sz="0" w:space="0" w:color="auto"/>
        <w:bottom w:val="none" w:sz="0" w:space="0" w:color="auto"/>
        <w:right w:val="none" w:sz="0" w:space="0" w:color="auto"/>
      </w:divBdr>
    </w:div>
    <w:div w:id="21458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s://www.ihacpa.gov.au/health-care/data/national-benchmarking-portal" TargetMode="External"/><Relationship Id="rId26" Type="http://schemas.openxmlformats.org/officeDocument/2006/relationships/chart" Target="charts/chart7.xml"/><Relationship Id="rId39" Type="http://schemas.openxmlformats.org/officeDocument/2006/relationships/chart" Target="charts/chart19.xml"/><Relationship Id="rId21" Type="http://schemas.openxmlformats.org/officeDocument/2006/relationships/chart" Target="charts/chart3.xml"/><Relationship Id="rId34" Type="http://schemas.openxmlformats.org/officeDocument/2006/relationships/hyperlink" Target="https://www.ihacpa.gov.au/health-care/classifications/emergency-care" TargetMode="External"/><Relationship Id="rId42" Type="http://schemas.openxmlformats.org/officeDocument/2006/relationships/chart" Target="charts/chart22.xml"/><Relationship Id="rId47" Type="http://schemas.openxmlformats.org/officeDocument/2006/relationships/chart" Target="charts/chart27.xml"/><Relationship Id="rId50" Type="http://schemas.openxmlformats.org/officeDocument/2006/relationships/chart" Target="charts/chart30.xml"/><Relationship Id="rId55" Type="http://schemas.openxmlformats.org/officeDocument/2006/relationships/chart" Target="charts/chart35.xml"/><Relationship Id="rId63" Type="http://schemas.openxmlformats.org/officeDocument/2006/relationships/image" Target="media/image6.svg"/><Relationship Id="rId68" Type="http://schemas.openxmlformats.org/officeDocument/2006/relationships/header" Target="header7.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hacpa.gov.au/resources/australian-hospital-patient-costing-standards-version-41" TargetMode="Externa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chart" Target="charts/chart17.xml"/><Relationship Id="rId40" Type="http://schemas.openxmlformats.org/officeDocument/2006/relationships/chart" Target="charts/chart20.xml"/><Relationship Id="rId45" Type="http://schemas.openxmlformats.org/officeDocument/2006/relationships/chart" Target="charts/chart25.xml"/><Relationship Id="rId53" Type="http://schemas.openxmlformats.org/officeDocument/2006/relationships/chart" Target="charts/chart33.xml"/><Relationship Id="rId58" Type="http://schemas.openxmlformats.org/officeDocument/2006/relationships/header" Target="header4.xml"/><Relationship Id="rId66" Type="http://schemas.openxmlformats.org/officeDocument/2006/relationships/hyperlink" Target="http://www.ihacpa.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chart" Target="charts/chart16.xml"/><Relationship Id="rId49" Type="http://schemas.openxmlformats.org/officeDocument/2006/relationships/chart" Target="charts/chart29.xml"/><Relationship Id="rId57" Type="http://schemas.openxmlformats.org/officeDocument/2006/relationships/header" Target="header3.xml"/><Relationship Id="rId61" Type="http://schemas.openxmlformats.org/officeDocument/2006/relationships/chart" Target="charts/chart37.xml"/><Relationship Id="rId10" Type="http://schemas.openxmlformats.org/officeDocument/2006/relationships/endnotes" Target="endnotes.xml"/><Relationship Id="rId19" Type="http://schemas.openxmlformats.org/officeDocument/2006/relationships/hyperlink" Target="https://www.ihacpa.gov.au/health-care/classification/admitted-acute-care" TargetMode="External"/><Relationship Id="rId31" Type="http://schemas.openxmlformats.org/officeDocument/2006/relationships/chart" Target="charts/chart12.xml"/><Relationship Id="rId44" Type="http://schemas.openxmlformats.org/officeDocument/2006/relationships/chart" Target="charts/chart24.xml"/><Relationship Id="rId52" Type="http://schemas.openxmlformats.org/officeDocument/2006/relationships/chart" Target="charts/chart32.xml"/><Relationship Id="rId60" Type="http://schemas.openxmlformats.org/officeDocument/2006/relationships/header" Target="header5.xml"/><Relationship Id="rId65" Type="http://schemas.openxmlformats.org/officeDocument/2006/relationships/hyperlink" Target="https://twitter.com/IHACP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5.xml"/><Relationship Id="rId43" Type="http://schemas.openxmlformats.org/officeDocument/2006/relationships/chart" Target="charts/chart23.xml"/><Relationship Id="rId48" Type="http://schemas.openxmlformats.org/officeDocument/2006/relationships/chart" Target="charts/chart28.xml"/><Relationship Id="rId56" Type="http://schemas.openxmlformats.org/officeDocument/2006/relationships/chart" Target="charts/chart36.xml"/><Relationship Id="rId64" Type="http://schemas.openxmlformats.org/officeDocument/2006/relationships/hyperlink" Target="mailto:enquiries.ihacpa@ihacpa.gov.au" TargetMode="External"/><Relationship Id="rId69"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chart" Target="charts/chart31.xm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s://www.ihacpa.gov.au/resources/national-hospital-cost-data-collection-nhcdc-public-sector-2021-22" TargetMode="External"/><Relationship Id="rId33" Type="http://schemas.openxmlformats.org/officeDocument/2006/relationships/chart" Target="charts/chart14.xml"/><Relationship Id="rId38" Type="http://schemas.openxmlformats.org/officeDocument/2006/relationships/chart" Target="charts/chart18.xml"/><Relationship Id="rId46" Type="http://schemas.openxmlformats.org/officeDocument/2006/relationships/chart" Target="charts/chart26.xml"/><Relationship Id="rId59" Type="http://schemas.openxmlformats.org/officeDocument/2006/relationships/footer" Target="footer3.xml"/><Relationship Id="rId67" Type="http://schemas.openxmlformats.org/officeDocument/2006/relationships/header" Target="header6.xml"/><Relationship Id="rId20" Type="http://schemas.openxmlformats.org/officeDocument/2006/relationships/chart" Target="charts/chart2.xml"/><Relationship Id="rId41" Type="http://schemas.openxmlformats.org/officeDocument/2006/relationships/chart" Target="charts/chart21.xml"/><Relationship Id="rId54" Type="http://schemas.openxmlformats.org/officeDocument/2006/relationships/chart" Target="charts/chart34.xml"/><Relationship Id="rId62" Type="http://schemas.openxmlformats.org/officeDocument/2006/relationships/image" Target="media/image5.png"/><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https://healthgov-my.sharepoint.com/personal/molly_farmiloe_ihacpa_gov_au/Documents/Desktop/13%20October%20Cost%20Report%20Table%20Templates%20updated%20-%20final.xlsm"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FARMIM\AppData\Local\Hewlett-Packard\HP%20TRIM\TEMP\HPTRIM.21452\D23-17276%20%20Cost%20Report%20Table%20Templates%20updated%20-%20final.XLSM"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FARMIM\AppData\Local\Hewlett-Packard\HP%20TRIM\TEMP\HPTRIM.21452\D23-17276%20%20Cost%20Report%20Table%20Templates%20updated%20-%20final.XLSM"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FARMIM\AppData\Local\Hewlett-Packard\HP%20TRIM\TEMP\HPTRIM.21452\D23-17276%20%20Cost%20Report%20Table%20Templates%20updated%20-%20final.XLSM"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BESHAL\AppData\Roaming\Hewlett-Packard\HP%20TRIM\Offline%20Records%20(P6)\Cost%20~%20&amp;%20AGED%20CARE%20PRICING%20-%20Hospital%20Costing(2)\Cost%20Report%20Table%20Templates%20updated%20-%20final.XLSM"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FARMIM\AppData\Local\Hewlett-Packard\HP%20TRIM\TEMP\HPTRIM.18744\D23-17276%20%20Cost%20Report%20Table%20Templates%20updated%20-%20final.XLSM"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FARMIM\AppData\Local\Hewlett-Packard\HP%20TRIM\TEMP\HPTRIM.18744\D23-17276%20%20Cost%20Report%20Table%20Templates%20updated%20-%20final.XLSM"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FARMIM\AppData\Local\Hewlett-Packard\HP%20TRIM\TEMP\HPTRIM.21452\D23-17276%20%20Cost%20Report%20Table%20Templates%20updated%20-%20final.XLSM"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FARMIM\AppData\Local\Hewlett-Packard\HP%20TRIM\TEMP\HPTRIM.18744\D23-17276%20%20Cost%20Report%20Table%20Templates%20updated%20-%20final.XLSM"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FARMIM\AppData\Local\Hewlett-Packard\HP%20TRIM\TEMP\HPTRIM.18744\D23-17276%20%20Cost%20Report%20Table%20Templates%20updated%20-%20final.XLSM"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ARMIM\AppData\Local\Hewlett-Packard\HP%20TRIM\TEMP\HPTRIM.21452\D23-17276%20%20Cost%20Report%20Table%20Templates%20updated%20-%20final.XLSM"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FARMIM\AppData\Local\Hewlett-Packard\HP%20TRIM\TEMP\HPTRIM.18744\D23-17276%20%20Cost%20Report%20Table%20Templates%20updated%20-%20final.XLSM"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BESHAL\AppData\Roaming\Hewlett-Packard\HP%20TRIM\Offline%20Records%20(P6)\Cost%20~%20&amp;%20AGED%20CARE%20PRICING%20-%20Hospital%20Costing(2)\Cost%20Report%20Table%20Templates%20updated%20-%20final.XLSM"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FARMIM\AppData\Local\Hewlett-Packard\HP%20TRIM\TEMP\HPTRIM.21452\D23-17276%20%20Cost%20Report%20Table%20Templates%20updated%20-%20final.XLSM"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FARMIM\AppData\Local\Hewlett-Packard\HP%20TRIM\TEMP\HPTRIM.21452\D23-17276%20%20Cost%20Report%20Table%20Templates%20updated%20-%20final.XLSM"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FARMIM\AppData\Local\Hewlett-Packard\HP%20TRIM\TEMP\HPTRIM.18744\D23-17276%20%20Cost%20Report%20Table%20Templates%20updated%20-%20final.XLSM"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FARMIM\AppData\Local\Hewlett-Packard\HP%20TRIM\TEMP\HPTRIM.18744\D23-17276%20%20Cost%20Report%20Table%20Templates%20updated%20-%20final.XLSM"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FARMIM\AppData\Local\Hewlett-Packard\HP%20TRIM\TEMP\HPTRIM.18744\D23-17276%20%20Cost%20Report%20Table%20Templates%20updated%20-%20final.XLSM"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FARMIM\AppData\Local\Hewlett-Packard\HP%20TRIM\TEMP\HPTRIM.18744\D23-17276%20%20Cost%20Report%20Table%20Templates%20updated%20-%20final.XLSM"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BESHAL\AppData\Roaming\Hewlett-Packard\HP%20TRIM\Offline%20Records%20(P6)\Cost%20~%20&amp;%20AGED%20CARE%20PRICING%20-%20Hospital%20Costing(2)\Cost%20Report%20Table%20Templates%20updated%20-%20final.XLSM"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BESHAL\AppData\Roaming\Hewlett-Packard\HP%20TRIM\Offline%20Records%20(P6)\Cost%20~%20&amp;%20AGED%20CARE%20PRICING%20-%20Hospital%20Costing(2)\Cost%20Report%20Table%20Templates%20updated%20-%20final.XLSM"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ARMIM\AppData\Local\Hewlett-Packard\HP%20TRIM\TEMP\HPTRIM.21452\D23-17276%20%20Cost%20Report%20Table%20Templates%20updated%20-%20final.XLSM"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healthgov-my.sharepoint.com/personal/molly_farmiloe_ihacpa_gov_au/Documents/Desktop/13%20October%20Cost%20Report%20Table%20Templates%20updated%20-%20final.xlsm"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FARMIM\AppData\Local\Hewlett-Packard\HP%20TRIM\TEMP\HPTRIM.18744\D23-17276%20%20Cost%20Report%20Table%20Templates%20updated%20-%20final.XLSM"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https://healthgov-my.sharepoint.com/personal/molly_farmiloe_ihacpa_gov_au/Documents/Desktop/13%20October%20Cost%20Report%20Table%20Templates%20updated%20-%20final.xlsm"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FARMIM\AppData\Local\Hewlett-Packard\HP%20TRIM\TEMP\HPTRIM.18744\D23-17276%20%20Cost%20Report%20Table%20Templates%20updated%20-%20final.XLSM"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https://healthgov-my.sharepoint.com/personal/molly_farmiloe_ihacpa_gov_au/Documents/Desktop/13%20October%20Cost%20Report%20Table%20Templates%20updated%20-%20final.xlsm"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FARMIM\AppData\Local\Hewlett-Packard\HP%20TRIM\TEMP\HPTRIM.18744\D23-17276%20%20Cost%20Report%20Table%20Templates%20updated%20-%20final.XLSM"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FARMIM\Downloads\Cost%20Report%20Table%20Templates%20updated%20(2).xlsm"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BESHAL\AppData\Roaming\Hewlett-Packard\HP%20TRIM\Offline%20Records%20(P6)\Cost%20~%20&amp;%20AGED%20CARE%20PRICING%20-%20Hospital%20Costing(2)\Cost%20Report%20Table%20Templates%20updated%20-%20final.XLSM" TargetMode="External"/><Relationship Id="rId2" Type="http://schemas.microsoft.com/office/2011/relationships/chartColorStyle" Target="colors37.xml"/><Relationship Id="rId1" Type="http://schemas.microsoft.com/office/2011/relationships/chartStyle" Target="style37.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ARMIM\AppData\Local\Hewlett-Packard\HP%20TRIM\TEMP\HPTRIM.8160\D23-16262%20%20Cost%20Report%20Table%20Templates_%20Acute.XLS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ARMIM\AppData\Local\Hewlett-Packard\HP%20TRIM\TEMP\HPTRIM.8160\D23-16262%20%20Cost%20Report%20Table%20Templates_%20Acute.XLSM"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healthgov-my.sharepoint.com/personal/molly_farmiloe_ihacpa_gov_au/Documents/Desktop/13%20October%20Cost%20Report%20Table%20Templates%20updated%20-%20final.xlsm"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healthgov-my.sharepoint.com/personal/molly_farmiloe_ihacpa_gov_au/Documents/Desktop/13%20October%20Cost%20Report%20Table%20Templates%20updated%20-%20final.xlsm"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FARMIM\AppData\Local\Hewlett-Packard\HP%20TRIM\TEMP\HPTRIM.21452\D23-17276%20%20Cost%20Report%20Table%20Templates%20updated%20-%20final.XLSM"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Sheet2!$C$2</c:f>
              <c:strCache>
                <c:ptCount val="1"/>
                <c:pt idx="0">
                  <c:v>2019-20</c:v>
                </c:pt>
              </c:strCache>
            </c:strRef>
          </c:tx>
          <c:spPr>
            <a:solidFill>
              <a:schemeClr val="accent2"/>
            </a:solidFill>
            <a:ln>
              <a:noFill/>
            </a:ln>
            <a:effectLst/>
          </c:spPr>
          <c:invertIfNegative val="0"/>
          <c:cat>
            <c:strRef>
              <c:f>Sheet2!$B$3:$B$11</c:f>
              <c:strCache>
                <c:ptCount val="9"/>
                <c:pt idx="0">
                  <c:v>NSW</c:v>
                </c:pt>
                <c:pt idx="1">
                  <c:v>Vic</c:v>
                </c:pt>
                <c:pt idx="2">
                  <c:v>Qld</c:v>
                </c:pt>
                <c:pt idx="3">
                  <c:v>SA</c:v>
                </c:pt>
                <c:pt idx="4">
                  <c:v>WA</c:v>
                </c:pt>
                <c:pt idx="5">
                  <c:v>Tas</c:v>
                </c:pt>
                <c:pt idx="6">
                  <c:v>NT</c:v>
                </c:pt>
                <c:pt idx="7">
                  <c:v>ACT</c:v>
                </c:pt>
                <c:pt idx="8">
                  <c:v>National</c:v>
                </c:pt>
              </c:strCache>
            </c:strRef>
          </c:cat>
          <c:val>
            <c:numRef>
              <c:f>Sheet2!$C$3:$C$11</c:f>
              <c:numCache>
                <c:formatCode>0%</c:formatCode>
                <c:ptCount val="9"/>
                <c:pt idx="0">
                  <c:v>0.49305555555555558</c:v>
                </c:pt>
                <c:pt idx="1">
                  <c:v>0.56081081081081086</c:v>
                </c:pt>
                <c:pt idx="2">
                  <c:v>0.63733333333333331</c:v>
                </c:pt>
                <c:pt idx="3">
                  <c:v>0.21590909090909091</c:v>
                </c:pt>
                <c:pt idx="4">
                  <c:v>0.31578947368421051</c:v>
                </c:pt>
                <c:pt idx="5">
                  <c:v>1</c:v>
                </c:pt>
                <c:pt idx="6">
                  <c:v>1</c:v>
                </c:pt>
                <c:pt idx="7">
                  <c:v>0.75</c:v>
                </c:pt>
                <c:pt idx="8">
                  <c:v>0.52722063037249278</c:v>
                </c:pt>
              </c:numCache>
            </c:numRef>
          </c:val>
          <c:extLst>
            <c:ext xmlns:c16="http://schemas.microsoft.com/office/drawing/2014/chart" uri="{C3380CC4-5D6E-409C-BE32-E72D297353CC}">
              <c16:uniqueId val="{00000000-CCAE-4032-A0DF-3020FCFAAF7D}"/>
            </c:ext>
          </c:extLst>
        </c:ser>
        <c:ser>
          <c:idx val="1"/>
          <c:order val="1"/>
          <c:tx>
            <c:strRef>
              <c:f>Sheet2!$D$2</c:f>
              <c:strCache>
                <c:ptCount val="1"/>
                <c:pt idx="0">
                  <c:v>2020-21</c:v>
                </c:pt>
              </c:strCache>
            </c:strRef>
          </c:tx>
          <c:spPr>
            <a:solidFill>
              <a:schemeClr val="accent3"/>
            </a:solidFill>
            <a:ln>
              <a:noFill/>
            </a:ln>
            <a:effectLst/>
          </c:spPr>
          <c:invertIfNegative val="0"/>
          <c:cat>
            <c:strRef>
              <c:f>Sheet2!$B$3:$B$11</c:f>
              <c:strCache>
                <c:ptCount val="9"/>
                <c:pt idx="0">
                  <c:v>NSW</c:v>
                </c:pt>
                <c:pt idx="1">
                  <c:v>Vic</c:v>
                </c:pt>
                <c:pt idx="2">
                  <c:v>Qld</c:v>
                </c:pt>
                <c:pt idx="3">
                  <c:v>SA</c:v>
                </c:pt>
                <c:pt idx="4">
                  <c:v>WA</c:v>
                </c:pt>
                <c:pt idx="5">
                  <c:v>Tas</c:v>
                </c:pt>
                <c:pt idx="6">
                  <c:v>NT</c:v>
                </c:pt>
                <c:pt idx="7">
                  <c:v>ACT</c:v>
                </c:pt>
                <c:pt idx="8">
                  <c:v>National</c:v>
                </c:pt>
              </c:strCache>
            </c:strRef>
          </c:cat>
          <c:val>
            <c:numRef>
              <c:f>Sheet2!$D$3:$D$11</c:f>
              <c:numCache>
                <c:formatCode>0%</c:formatCode>
                <c:ptCount val="9"/>
                <c:pt idx="0">
                  <c:v>0.4863013698630137</c:v>
                </c:pt>
                <c:pt idx="1">
                  <c:v>0.5298013245033113</c:v>
                </c:pt>
                <c:pt idx="2">
                  <c:v>0.8125</c:v>
                </c:pt>
                <c:pt idx="3">
                  <c:v>0.21052631578947367</c:v>
                </c:pt>
                <c:pt idx="4">
                  <c:v>0.31578947368421051</c:v>
                </c:pt>
                <c:pt idx="5">
                  <c:v>0.96</c:v>
                </c:pt>
                <c:pt idx="6">
                  <c:v>1</c:v>
                </c:pt>
                <c:pt idx="7">
                  <c:v>0.75</c:v>
                </c:pt>
                <c:pt idx="8">
                  <c:v>0.58839528558476883</c:v>
                </c:pt>
              </c:numCache>
            </c:numRef>
          </c:val>
          <c:extLst>
            <c:ext xmlns:c16="http://schemas.microsoft.com/office/drawing/2014/chart" uri="{C3380CC4-5D6E-409C-BE32-E72D297353CC}">
              <c16:uniqueId val="{00000001-CCAE-4032-A0DF-3020FCFAAF7D}"/>
            </c:ext>
          </c:extLst>
        </c:ser>
        <c:ser>
          <c:idx val="2"/>
          <c:order val="2"/>
          <c:tx>
            <c:strRef>
              <c:f>Sheet2!$E$2</c:f>
              <c:strCache>
                <c:ptCount val="1"/>
                <c:pt idx="0">
                  <c:v>2021-22</c:v>
                </c:pt>
              </c:strCache>
            </c:strRef>
          </c:tx>
          <c:spPr>
            <a:solidFill>
              <a:schemeClr val="accent4"/>
            </a:solidFill>
            <a:ln>
              <a:noFill/>
            </a:ln>
            <a:effectLst/>
          </c:spPr>
          <c:invertIfNegative val="0"/>
          <c:cat>
            <c:strRef>
              <c:f>Sheet2!$B$3:$B$11</c:f>
              <c:strCache>
                <c:ptCount val="9"/>
                <c:pt idx="0">
                  <c:v>NSW</c:v>
                </c:pt>
                <c:pt idx="1">
                  <c:v>Vic</c:v>
                </c:pt>
                <c:pt idx="2">
                  <c:v>Qld</c:v>
                </c:pt>
                <c:pt idx="3">
                  <c:v>SA</c:v>
                </c:pt>
                <c:pt idx="4">
                  <c:v>WA</c:v>
                </c:pt>
                <c:pt idx="5">
                  <c:v>Tas</c:v>
                </c:pt>
                <c:pt idx="6">
                  <c:v>NT</c:v>
                </c:pt>
                <c:pt idx="7">
                  <c:v>ACT</c:v>
                </c:pt>
                <c:pt idx="8">
                  <c:v>National</c:v>
                </c:pt>
              </c:strCache>
            </c:strRef>
          </c:cat>
          <c:val>
            <c:numRef>
              <c:f>Sheet2!$E$3:$E$11</c:f>
              <c:numCache>
                <c:formatCode>0%</c:formatCode>
                <c:ptCount val="9"/>
                <c:pt idx="0">
                  <c:v>0.47766323024054985</c:v>
                </c:pt>
                <c:pt idx="1">
                  <c:v>0.58552631578947367</c:v>
                </c:pt>
                <c:pt idx="2">
                  <c:v>0.82505910165484631</c:v>
                </c:pt>
                <c:pt idx="3">
                  <c:v>0.21212121212121213</c:v>
                </c:pt>
                <c:pt idx="4">
                  <c:v>0.27480916030534353</c:v>
                </c:pt>
                <c:pt idx="5">
                  <c:v>1</c:v>
                </c:pt>
                <c:pt idx="6">
                  <c:v>1</c:v>
                </c:pt>
                <c:pt idx="7">
                  <c:v>0.75</c:v>
                </c:pt>
                <c:pt idx="8">
                  <c:v>0.5902654867256637</c:v>
                </c:pt>
              </c:numCache>
            </c:numRef>
          </c:val>
          <c:extLst>
            <c:ext xmlns:c16="http://schemas.microsoft.com/office/drawing/2014/chart" uri="{C3380CC4-5D6E-409C-BE32-E72D297353CC}">
              <c16:uniqueId val="{00000002-CCAE-4032-A0DF-3020FCFAAF7D}"/>
            </c:ext>
          </c:extLst>
        </c:ser>
        <c:dLbls>
          <c:showLegendKey val="0"/>
          <c:showVal val="0"/>
          <c:showCatName val="0"/>
          <c:showSerName val="0"/>
          <c:showPercent val="0"/>
          <c:showBubbleSize val="0"/>
        </c:dLbls>
        <c:gapWidth val="219"/>
        <c:axId val="691726968"/>
        <c:axId val="691727688"/>
      </c:barChart>
      <c:catAx>
        <c:axId val="691726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91727688"/>
        <c:crosses val="autoZero"/>
        <c:auto val="1"/>
        <c:lblAlgn val="ctr"/>
        <c:lblOffset val="100"/>
        <c:noMultiLvlLbl val="0"/>
      </c:catAx>
      <c:valAx>
        <c:axId val="691727688"/>
        <c:scaling>
          <c:orientation val="minMax"/>
          <c:max val="1"/>
        </c:scaling>
        <c:delete val="0"/>
        <c:axPos val="l"/>
        <c:majorGridlines>
          <c:spPr>
            <a:ln w="9525" cap="flat" cmpd="sng" algn="ctr">
              <a:solidFill>
                <a:srgbClr val="000000"/>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91726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Sheet2!$H$14</c:f>
              <c:strCache>
                <c:ptCount val="1"/>
                <c:pt idx="0">
                  <c:v>2019-20</c:v>
                </c:pt>
              </c:strCache>
            </c:strRef>
          </c:tx>
          <c:spPr>
            <a:solidFill>
              <a:schemeClr val="accent2"/>
            </a:solidFill>
            <a:ln>
              <a:noFill/>
            </a:ln>
            <a:effectLst/>
          </c:spPr>
          <c:invertIfNegative val="0"/>
          <c:cat>
            <c:strRef>
              <c:f>Sheet2!$G$15:$G$22</c:f>
              <c:strCache>
                <c:ptCount val="8"/>
                <c:pt idx="0">
                  <c:v>NSW</c:v>
                </c:pt>
                <c:pt idx="1">
                  <c:v>Vic</c:v>
                </c:pt>
                <c:pt idx="2">
                  <c:v>Qld</c:v>
                </c:pt>
                <c:pt idx="3">
                  <c:v>SA</c:v>
                </c:pt>
                <c:pt idx="4">
                  <c:v>WA</c:v>
                </c:pt>
                <c:pt idx="5">
                  <c:v>Tas</c:v>
                </c:pt>
                <c:pt idx="6">
                  <c:v>NT</c:v>
                </c:pt>
                <c:pt idx="7">
                  <c:v>ACT</c:v>
                </c:pt>
              </c:strCache>
            </c:strRef>
          </c:cat>
          <c:val>
            <c:numRef>
              <c:f>Sheet2!$H$15:$H$22</c:f>
              <c:numCache>
                <c:formatCode>_-"$"* #,##0_-;\-"$"* #,##0_-;_-"$"* "-"??_-;_-@_-</c:formatCode>
                <c:ptCount val="8"/>
                <c:pt idx="0">
                  <c:v>188.78670625000001</c:v>
                </c:pt>
                <c:pt idx="1">
                  <c:v>100.78744543000001</c:v>
                </c:pt>
                <c:pt idx="2">
                  <c:v>57.805598941</c:v>
                </c:pt>
                <c:pt idx="3">
                  <c:v>19.099585620999999</c:v>
                </c:pt>
                <c:pt idx="4">
                  <c:v>0</c:v>
                </c:pt>
                <c:pt idx="5">
                  <c:v>4.5702020848</c:v>
                </c:pt>
                <c:pt idx="6">
                  <c:v>12.617456265000001</c:v>
                </c:pt>
                <c:pt idx="7">
                  <c:v>0</c:v>
                </c:pt>
              </c:numCache>
            </c:numRef>
          </c:val>
          <c:extLst>
            <c:ext xmlns:c16="http://schemas.microsoft.com/office/drawing/2014/chart" uri="{C3380CC4-5D6E-409C-BE32-E72D297353CC}">
              <c16:uniqueId val="{00000000-7E44-434E-91B0-B3AE577E77C9}"/>
            </c:ext>
          </c:extLst>
        </c:ser>
        <c:ser>
          <c:idx val="1"/>
          <c:order val="1"/>
          <c:tx>
            <c:strRef>
              <c:f>Sheet2!$I$14</c:f>
              <c:strCache>
                <c:ptCount val="1"/>
                <c:pt idx="0">
                  <c:v>2020-21</c:v>
                </c:pt>
              </c:strCache>
            </c:strRef>
          </c:tx>
          <c:spPr>
            <a:solidFill>
              <a:schemeClr val="accent3"/>
            </a:solidFill>
            <a:ln>
              <a:noFill/>
            </a:ln>
            <a:effectLst/>
          </c:spPr>
          <c:invertIfNegative val="0"/>
          <c:cat>
            <c:strRef>
              <c:f>Sheet2!$G$15:$G$22</c:f>
              <c:strCache>
                <c:ptCount val="8"/>
                <c:pt idx="0">
                  <c:v>NSW</c:v>
                </c:pt>
                <c:pt idx="1">
                  <c:v>Vic</c:v>
                </c:pt>
                <c:pt idx="2">
                  <c:v>Qld</c:v>
                </c:pt>
                <c:pt idx="3">
                  <c:v>SA</c:v>
                </c:pt>
                <c:pt idx="4">
                  <c:v>WA</c:v>
                </c:pt>
                <c:pt idx="5">
                  <c:v>Tas</c:v>
                </c:pt>
                <c:pt idx="6">
                  <c:v>NT</c:v>
                </c:pt>
                <c:pt idx="7">
                  <c:v>ACT</c:v>
                </c:pt>
              </c:strCache>
            </c:strRef>
          </c:cat>
          <c:val>
            <c:numRef>
              <c:f>Sheet2!$I$15:$I$22</c:f>
              <c:numCache>
                <c:formatCode>_-"$"* #,##0_-;\-"$"* #,##0_-;_-"$"* "-"??_-;_-@_-</c:formatCode>
                <c:ptCount val="8"/>
                <c:pt idx="0">
                  <c:v>176.72437884999999</c:v>
                </c:pt>
                <c:pt idx="1">
                  <c:v>109.48727945</c:v>
                </c:pt>
                <c:pt idx="2">
                  <c:v>125.62041942</c:v>
                </c:pt>
                <c:pt idx="3">
                  <c:v>0</c:v>
                </c:pt>
                <c:pt idx="4">
                  <c:v>0</c:v>
                </c:pt>
                <c:pt idx="5">
                  <c:v>4.8889986446</c:v>
                </c:pt>
                <c:pt idx="6">
                  <c:v>9.473090127599999</c:v>
                </c:pt>
                <c:pt idx="7">
                  <c:v>0</c:v>
                </c:pt>
              </c:numCache>
            </c:numRef>
          </c:val>
          <c:extLst>
            <c:ext xmlns:c16="http://schemas.microsoft.com/office/drawing/2014/chart" uri="{C3380CC4-5D6E-409C-BE32-E72D297353CC}">
              <c16:uniqueId val="{00000001-7E44-434E-91B0-B3AE577E77C9}"/>
            </c:ext>
          </c:extLst>
        </c:ser>
        <c:ser>
          <c:idx val="2"/>
          <c:order val="2"/>
          <c:tx>
            <c:strRef>
              <c:f>Sheet2!$J$14</c:f>
              <c:strCache>
                <c:ptCount val="1"/>
                <c:pt idx="0">
                  <c:v>2021-22</c:v>
                </c:pt>
              </c:strCache>
            </c:strRef>
          </c:tx>
          <c:spPr>
            <a:solidFill>
              <a:schemeClr val="accent4"/>
            </a:solidFill>
            <a:ln>
              <a:noFill/>
            </a:ln>
            <a:effectLst/>
          </c:spPr>
          <c:invertIfNegative val="0"/>
          <c:cat>
            <c:strRef>
              <c:f>Sheet2!$G$15:$G$22</c:f>
              <c:strCache>
                <c:ptCount val="8"/>
                <c:pt idx="0">
                  <c:v>NSW</c:v>
                </c:pt>
                <c:pt idx="1">
                  <c:v>Vic</c:v>
                </c:pt>
                <c:pt idx="2">
                  <c:v>Qld</c:v>
                </c:pt>
                <c:pt idx="3">
                  <c:v>SA</c:v>
                </c:pt>
                <c:pt idx="4">
                  <c:v>WA</c:v>
                </c:pt>
                <c:pt idx="5">
                  <c:v>Tas</c:v>
                </c:pt>
                <c:pt idx="6">
                  <c:v>NT</c:v>
                </c:pt>
                <c:pt idx="7">
                  <c:v>ACT</c:v>
                </c:pt>
              </c:strCache>
            </c:strRef>
          </c:cat>
          <c:val>
            <c:numRef>
              <c:f>Sheet2!$J$15:$J$22</c:f>
              <c:numCache>
                <c:formatCode>_-"$"* #,##0_-;\-"$"* #,##0_-;_-"$"* "-"??_-;_-@_-</c:formatCode>
                <c:ptCount val="8"/>
                <c:pt idx="0">
                  <c:v>178.54562331</c:v>
                </c:pt>
                <c:pt idx="1">
                  <c:v>120.00422001000001</c:v>
                </c:pt>
                <c:pt idx="2">
                  <c:v>132.00287083000001</c:v>
                </c:pt>
                <c:pt idx="3">
                  <c:v>21.728767657999999</c:v>
                </c:pt>
                <c:pt idx="4">
                  <c:v>0</c:v>
                </c:pt>
                <c:pt idx="5">
                  <c:v>4.3135897247999999</c:v>
                </c:pt>
                <c:pt idx="6">
                  <c:v>11.352404251999999</c:v>
                </c:pt>
                <c:pt idx="7">
                  <c:v>0</c:v>
                </c:pt>
              </c:numCache>
            </c:numRef>
          </c:val>
          <c:extLst>
            <c:ext xmlns:c16="http://schemas.microsoft.com/office/drawing/2014/chart" uri="{C3380CC4-5D6E-409C-BE32-E72D297353CC}">
              <c16:uniqueId val="{00000002-7E44-434E-91B0-B3AE577E77C9}"/>
            </c:ext>
          </c:extLst>
        </c:ser>
        <c:dLbls>
          <c:showLegendKey val="0"/>
          <c:showVal val="0"/>
          <c:showCatName val="0"/>
          <c:showSerName val="0"/>
          <c:showPercent val="0"/>
          <c:showBubbleSize val="0"/>
        </c:dLbls>
        <c:gapWidth val="219"/>
        <c:axId val="705491280"/>
        <c:axId val="456992920"/>
      </c:barChart>
      <c:catAx>
        <c:axId val="70549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56992920"/>
        <c:crosses val="autoZero"/>
        <c:auto val="1"/>
        <c:lblAlgn val="ctr"/>
        <c:lblOffset val="100"/>
        <c:noMultiLvlLbl val="0"/>
      </c:catAx>
      <c:valAx>
        <c:axId val="456992920"/>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Cost (millions)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0549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Sheet4!$C$2</c:f>
              <c:strCache>
                <c:ptCount val="1"/>
                <c:pt idx="0">
                  <c:v>2019-20</c:v>
                </c:pt>
              </c:strCache>
            </c:strRef>
          </c:tx>
          <c:spPr>
            <a:solidFill>
              <a:schemeClr val="accent2"/>
            </a:solidFill>
            <a:ln>
              <a:noFill/>
            </a:ln>
            <a:effectLst/>
          </c:spPr>
          <c:invertIfNegative val="0"/>
          <c:cat>
            <c:strRef>
              <c:f>Sheet4!$B$3:$B$11</c:f>
              <c:strCache>
                <c:ptCount val="9"/>
                <c:pt idx="0">
                  <c:v>NSW</c:v>
                </c:pt>
                <c:pt idx="1">
                  <c:v>Vic</c:v>
                </c:pt>
                <c:pt idx="2">
                  <c:v>Qld</c:v>
                </c:pt>
                <c:pt idx="3">
                  <c:v>SA</c:v>
                </c:pt>
                <c:pt idx="4">
                  <c:v>WA</c:v>
                </c:pt>
                <c:pt idx="5">
                  <c:v>Tas</c:v>
                </c:pt>
                <c:pt idx="6">
                  <c:v>NT</c:v>
                </c:pt>
                <c:pt idx="7">
                  <c:v>ACT</c:v>
                </c:pt>
                <c:pt idx="8">
                  <c:v>National</c:v>
                </c:pt>
              </c:strCache>
            </c:strRef>
          </c:cat>
          <c:val>
            <c:numRef>
              <c:f>Sheet4!$C$3:$C$11</c:f>
              <c:numCache>
                <c:formatCode>_-"$"* #,##0_-;\-"$"* #,##0_-;_-"$"* "-"??_-;_-@_-</c:formatCode>
                <c:ptCount val="9"/>
                <c:pt idx="0">
                  <c:v>15780.786434</c:v>
                </c:pt>
                <c:pt idx="1">
                  <c:v>20786.656617000001</c:v>
                </c:pt>
                <c:pt idx="2">
                  <c:v>18029.191060000001</c:v>
                </c:pt>
                <c:pt idx="3">
                  <c:v>18817.627175000001</c:v>
                </c:pt>
                <c:pt idx="4">
                  <c:v>26744.485591000001</c:v>
                </c:pt>
                <c:pt idx="5">
                  <c:v>20080.133733999999</c:v>
                </c:pt>
                <c:pt idx="6">
                  <c:v>59002.600911000001</c:v>
                </c:pt>
                <c:pt idx="7">
                  <c:v>18160.713076</c:v>
                </c:pt>
                <c:pt idx="8">
                  <c:v>19022.687139566628</c:v>
                </c:pt>
              </c:numCache>
            </c:numRef>
          </c:val>
          <c:extLst>
            <c:ext xmlns:c16="http://schemas.microsoft.com/office/drawing/2014/chart" uri="{C3380CC4-5D6E-409C-BE32-E72D297353CC}">
              <c16:uniqueId val="{00000000-E4C3-4E1E-851F-1B8BC496F928}"/>
            </c:ext>
          </c:extLst>
        </c:ser>
        <c:ser>
          <c:idx val="1"/>
          <c:order val="1"/>
          <c:tx>
            <c:strRef>
              <c:f>Sheet4!$D$2</c:f>
              <c:strCache>
                <c:ptCount val="1"/>
                <c:pt idx="0">
                  <c:v>2020-21</c:v>
                </c:pt>
              </c:strCache>
            </c:strRef>
          </c:tx>
          <c:spPr>
            <a:solidFill>
              <a:schemeClr val="accent3"/>
            </a:solidFill>
            <a:ln>
              <a:noFill/>
            </a:ln>
            <a:effectLst/>
          </c:spPr>
          <c:invertIfNegative val="0"/>
          <c:cat>
            <c:strRef>
              <c:f>Sheet4!$B$3:$B$11</c:f>
              <c:strCache>
                <c:ptCount val="9"/>
                <c:pt idx="0">
                  <c:v>NSW</c:v>
                </c:pt>
                <c:pt idx="1">
                  <c:v>Vic</c:v>
                </c:pt>
                <c:pt idx="2">
                  <c:v>Qld</c:v>
                </c:pt>
                <c:pt idx="3">
                  <c:v>SA</c:v>
                </c:pt>
                <c:pt idx="4">
                  <c:v>WA</c:v>
                </c:pt>
                <c:pt idx="5">
                  <c:v>Tas</c:v>
                </c:pt>
                <c:pt idx="6">
                  <c:v>NT</c:v>
                </c:pt>
                <c:pt idx="7">
                  <c:v>ACT</c:v>
                </c:pt>
                <c:pt idx="8">
                  <c:v>National</c:v>
                </c:pt>
              </c:strCache>
            </c:strRef>
          </c:cat>
          <c:val>
            <c:numRef>
              <c:f>Sheet4!$D$3:$D$11</c:f>
              <c:numCache>
                <c:formatCode>_-"$"* #,##0_-;\-"$"* #,##0_-;_-"$"* "-"??_-;_-@_-</c:formatCode>
                <c:ptCount val="9"/>
                <c:pt idx="0">
                  <c:v>16503.835169999998</c:v>
                </c:pt>
                <c:pt idx="1">
                  <c:v>23332.713699</c:v>
                </c:pt>
                <c:pt idx="2">
                  <c:v>17005.945618999998</c:v>
                </c:pt>
                <c:pt idx="3">
                  <c:v>20354.237753000001</c:v>
                </c:pt>
                <c:pt idx="4">
                  <c:v>25376.548398999999</c:v>
                </c:pt>
                <c:pt idx="5">
                  <c:v>22155.182862000001</c:v>
                </c:pt>
                <c:pt idx="6">
                  <c:v>59995.346644999998</c:v>
                </c:pt>
                <c:pt idx="7">
                  <c:v>18171.064754999999</c:v>
                </c:pt>
                <c:pt idx="8">
                  <c:v>19483.60358028649</c:v>
                </c:pt>
              </c:numCache>
            </c:numRef>
          </c:val>
          <c:extLst>
            <c:ext xmlns:c16="http://schemas.microsoft.com/office/drawing/2014/chart" uri="{C3380CC4-5D6E-409C-BE32-E72D297353CC}">
              <c16:uniqueId val="{00000001-E4C3-4E1E-851F-1B8BC496F928}"/>
            </c:ext>
          </c:extLst>
        </c:ser>
        <c:ser>
          <c:idx val="2"/>
          <c:order val="2"/>
          <c:tx>
            <c:strRef>
              <c:f>Sheet4!$E$2</c:f>
              <c:strCache>
                <c:ptCount val="1"/>
                <c:pt idx="0">
                  <c:v>2021-22</c:v>
                </c:pt>
              </c:strCache>
            </c:strRef>
          </c:tx>
          <c:spPr>
            <a:solidFill>
              <a:schemeClr val="accent4"/>
            </a:solidFill>
            <a:ln>
              <a:noFill/>
            </a:ln>
            <a:effectLst/>
          </c:spPr>
          <c:invertIfNegative val="0"/>
          <c:cat>
            <c:strRef>
              <c:f>Sheet4!$B$3:$B$11</c:f>
              <c:strCache>
                <c:ptCount val="9"/>
                <c:pt idx="0">
                  <c:v>NSW</c:v>
                </c:pt>
                <c:pt idx="1">
                  <c:v>Vic</c:v>
                </c:pt>
                <c:pt idx="2">
                  <c:v>Qld</c:v>
                </c:pt>
                <c:pt idx="3">
                  <c:v>SA</c:v>
                </c:pt>
                <c:pt idx="4">
                  <c:v>WA</c:v>
                </c:pt>
                <c:pt idx="5">
                  <c:v>Tas</c:v>
                </c:pt>
                <c:pt idx="6">
                  <c:v>NT</c:v>
                </c:pt>
                <c:pt idx="7">
                  <c:v>ACT</c:v>
                </c:pt>
                <c:pt idx="8">
                  <c:v>National</c:v>
                </c:pt>
              </c:strCache>
            </c:strRef>
          </c:cat>
          <c:val>
            <c:numRef>
              <c:f>Sheet4!$E$3:$E$11</c:f>
              <c:numCache>
                <c:formatCode>_-"$"* #,##0_-;\-"$"* #,##0_-;_-"$"* "-"??_-;_-@_-</c:formatCode>
                <c:ptCount val="9"/>
                <c:pt idx="0">
                  <c:v>20915.613227000002</c:v>
                </c:pt>
                <c:pt idx="1">
                  <c:v>26251.960776</c:v>
                </c:pt>
                <c:pt idx="2">
                  <c:v>15524.920265999999</c:v>
                </c:pt>
                <c:pt idx="3">
                  <c:v>21987.659078000001</c:v>
                </c:pt>
                <c:pt idx="4">
                  <c:v>30752.824682999999</c:v>
                </c:pt>
                <c:pt idx="5">
                  <c:v>24478.306140000001</c:v>
                </c:pt>
                <c:pt idx="6">
                  <c:v>63268.403572000003</c:v>
                </c:pt>
                <c:pt idx="7">
                  <c:v>24006.154396000002</c:v>
                </c:pt>
                <c:pt idx="8">
                  <c:v>21402.138923622006</c:v>
                </c:pt>
              </c:numCache>
            </c:numRef>
          </c:val>
          <c:extLst>
            <c:ext xmlns:c16="http://schemas.microsoft.com/office/drawing/2014/chart" uri="{C3380CC4-5D6E-409C-BE32-E72D297353CC}">
              <c16:uniqueId val="{00000002-E4C3-4E1E-851F-1B8BC496F928}"/>
            </c:ext>
          </c:extLst>
        </c:ser>
        <c:dLbls>
          <c:showLegendKey val="0"/>
          <c:showVal val="0"/>
          <c:showCatName val="0"/>
          <c:showSerName val="0"/>
          <c:showPercent val="0"/>
          <c:showBubbleSize val="0"/>
        </c:dLbls>
        <c:gapWidth val="219"/>
        <c:axId val="249463096"/>
        <c:axId val="249460936"/>
      </c:barChart>
      <c:catAx>
        <c:axId val="24946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49460936"/>
        <c:crosses val="autoZero"/>
        <c:auto val="1"/>
        <c:lblAlgn val="ctr"/>
        <c:lblOffset val="100"/>
        <c:noMultiLvlLbl val="0"/>
      </c:catAx>
      <c:valAx>
        <c:axId val="249460936"/>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Average cost per episode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49463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Sheet4!$C$14</c:f>
              <c:strCache>
                <c:ptCount val="1"/>
                <c:pt idx="0">
                  <c:v>2019-20</c:v>
                </c:pt>
              </c:strCache>
            </c:strRef>
          </c:tx>
          <c:spPr>
            <a:solidFill>
              <a:schemeClr val="accent2"/>
            </a:solidFill>
            <a:ln>
              <a:noFill/>
            </a:ln>
            <a:effectLst/>
          </c:spPr>
          <c:invertIfNegative val="0"/>
          <c:cat>
            <c:strRef>
              <c:f>Sheet4!$B$15:$B$23</c:f>
              <c:strCache>
                <c:ptCount val="9"/>
                <c:pt idx="0">
                  <c:v>NSW</c:v>
                </c:pt>
                <c:pt idx="1">
                  <c:v>Vic</c:v>
                </c:pt>
                <c:pt idx="2">
                  <c:v>Qld</c:v>
                </c:pt>
                <c:pt idx="3">
                  <c:v>SA</c:v>
                </c:pt>
                <c:pt idx="4">
                  <c:v>WA</c:v>
                </c:pt>
                <c:pt idx="5">
                  <c:v>Tas</c:v>
                </c:pt>
                <c:pt idx="6">
                  <c:v>NT</c:v>
                </c:pt>
                <c:pt idx="7">
                  <c:v>ACT</c:v>
                </c:pt>
                <c:pt idx="8">
                  <c:v>National</c:v>
                </c:pt>
              </c:strCache>
            </c:strRef>
          </c:cat>
          <c:val>
            <c:numRef>
              <c:f>Sheet4!$C$15:$C$23</c:f>
              <c:numCache>
                <c:formatCode>_-"$"* #,##0_-;\-"$"* #,##0_-;_-"$"* "-"??_-;_-@_-</c:formatCode>
                <c:ptCount val="9"/>
                <c:pt idx="0">
                  <c:v>5795.6255371999996</c:v>
                </c:pt>
                <c:pt idx="1">
                  <c:v>6505.7736526999997</c:v>
                </c:pt>
                <c:pt idx="2">
                  <c:v>8517.1060763999994</c:v>
                </c:pt>
                <c:pt idx="3">
                  <c:v>5309.8653382000002</c:v>
                </c:pt>
                <c:pt idx="4">
                  <c:v>0</c:v>
                </c:pt>
                <c:pt idx="5">
                  <c:v>6260.5508010000003</c:v>
                </c:pt>
                <c:pt idx="6">
                  <c:v>12039.557505000001</c:v>
                </c:pt>
                <c:pt idx="7">
                  <c:v>0</c:v>
                </c:pt>
                <c:pt idx="8">
                  <c:v>6370.2429865145778</c:v>
                </c:pt>
              </c:numCache>
            </c:numRef>
          </c:val>
          <c:extLst>
            <c:ext xmlns:c16="http://schemas.microsoft.com/office/drawing/2014/chart" uri="{C3380CC4-5D6E-409C-BE32-E72D297353CC}">
              <c16:uniqueId val="{00000000-E3FA-4BEC-84F4-A11634F8D8CC}"/>
            </c:ext>
          </c:extLst>
        </c:ser>
        <c:ser>
          <c:idx val="1"/>
          <c:order val="1"/>
          <c:tx>
            <c:strRef>
              <c:f>Sheet4!$D$14</c:f>
              <c:strCache>
                <c:ptCount val="1"/>
                <c:pt idx="0">
                  <c:v>2020-21</c:v>
                </c:pt>
              </c:strCache>
            </c:strRef>
          </c:tx>
          <c:spPr>
            <a:solidFill>
              <a:schemeClr val="accent3"/>
            </a:solidFill>
            <a:ln>
              <a:noFill/>
            </a:ln>
            <a:effectLst/>
          </c:spPr>
          <c:invertIfNegative val="0"/>
          <c:cat>
            <c:strRef>
              <c:f>Sheet4!$B$15:$B$23</c:f>
              <c:strCache>
                <c:ptCount val="9"/>
                <c:pt idx="0">
                  <c:v>NSW</c:v>
                </c:pt>
                <c:pt idx="1">
                  <c:v>Vic</c:v>
                </c:pt>
                <c:pt idx="2">
                  <c:v>Qld</c:v>
                </c:pt>
                <c:pt idx="3">
                  <c:v>SA</c:v>
                </c:pt>
                <c:pt idx="4">
                  <c:v>WA</c:v>
                </c:pt>
                <c:pt idx="5">
                  <c:v>Tas</c:v>
                </c:pt>
                <c:pt idx="6">
                  <c:v>NT</c:v>
                </c:pt>
                <c:pt idx="7">
                  <c:v>ACT</c:v>
                </c:pt>
                <c:pt idx="8">
                  <c:v>National</c:v>
                </c:pt>
              </c:strCache>
            </c:strRef>
          </c:cat>
          <c:val>
            <c:numRef>
              <c:f>Sheet4!$D$15:$D$23</c:f>
              <c:numCache>
                <c:formatCode>_-"$"* #,##0_-;\-"$"* #,##0_-;_-"$"* "-"??_-;_-@_-</c:formatCode>
                <c:ptCount val="9"/>
                <c:pt idx="0">
                  <c:v>5758.1824915999996</c:v>
                </c:pt>
                <c:pt idx="1">
                  <c:v>7314.2681172000002</c:v>
                </c:pt>
                <c:pt idx="2">
                  <c:v>12686.368352</c:v>
                </c:pt>
                <c:pt idx="3">
                  <c:v>0</c:v>
                </c:pt>
                <c:pt idx="4">
                  <c:v>0</c:v>
                </c:pt>
                <c:pt idx="5">
                  <c:v>7809.9019882000002</c:v>
                </c:pt>
                <c:pt idx="6">
                  <c:v>7536.2689957000002</c:v>
                </c:pt>
                <c:pt idx="7">
                  <c:v>0</c:v>
                </c:pt>
                <c:pt idx="8">
                  <c:v>7419.1690572234311</c:v>
                </c:pt>
              </c:numCache>
            </c:numRef>
          </c:val>
          <c:extLst>
            <c:ext xmlns:c16="http://schemas.microsoft.com/office/drawing/2014/chart" uri="{C3380CC4-5D6E-409C-BE32-E72D297353CC}">
              <c16:uniqueId val="{00000001-E3FA-4BEC-84F4-A11634F8D8CC}"/>
            </c:ext>
          </c:extLst>
        </c:ser>
        <c:ser>
          <c:idx val="2"/>
          <c:order val="2"/>
          <c:tx>
            <c:strRef>
              <c:f>Sheet4!$E$14</c:f>
              <c:strCache>
                <c:ptCount val="1"/>
                <c:pt idx="0">
                  <c:v>2021-22</c:v>
                </c:pt>
              </c:strCache>
            </c:strRef>
          </c:tx>
          <c:spPr>
            <a:solidFill>
              <a:schemeClr val="accent4"/>
            </a:solidFill>
            <a:ln>
              <a:noFill/>
            </a:ln>
            <a:effectLst/>
          </c:spPr>
          <c:invertIfNegative val="0"/>
          <c:cat>
            <c:strRef>
              <c:f>Sheet4!$B$15:$B$23</c:f>
              <c:strCache>
                <c:ptCount val="9"/>
                <c:pt idx="0">
                  <c:v>NSW</c:v>
                </c:pt>
                <c:pt idx="1">
                  <c:v>Vic</c:v>
                </c:pt>
                <c:pt idx="2">
                  <c:v>Qld</c:v>
                </c:pt>
                <c:pt idx="3">
                  <c:v>SA</c:v>
                </c:pt>
                <c:pt idx="4">
                  <c:v>WA</c:v>
                </c:pt>
                <c:pt idx="5">
                  <c:v>Tas</c:v>
                </c:pt>
                <c:pt idx="6">
                  <c:v>NT</c:v>
                </c:pt>
                <c:pt idx="7">
                  <c:v>ACT</c:v>
                </c:pt>
                <c:pt idx="8">
                  <c:v>National</c:v>
                </c:pt>
              </c:strCache>
            </c:strRef>
          </c:cat>
          <c:val>
            <c:numRef>
              <c:f>Sheet4!$E$15:$E$23</c:f>
              <c:numCache>
                <c:formatCode>_-"$"* #,##0_-;\-"$"* #,##0_-;_-"$"* "-"??_-;_-@_-</c:formatCode>
                <c:ptCount val="9"/>
                <c:pt idx="0">
                  <c:v>6358.0095187999996</c:v>
                </c:pt>
                <c:pt idx="1">
                  <c:v>7623.6719399000003</c:v>
                </c:pt>
                <c:pt idx="2">
                  <c:v>8317.2371516000003</c:v>
                </c:pt>
                <c:pt idx="3">
                  <c:v>7446.4591016000004</c:v>
                </c:pt>
                <c:pt idx="4">
                  <c:v>0</c:v>
                </c:pt>
                <c:pt idx="5">
                  <c:v>6049.9154625000001</c:v>
                </c:pt>
                <c:pt idx="6">
                  <c:v>9854.5175799999997</c:v>
                </c:pt>
                <c:pt idx="7">
                  <c:v>0</c:v>
                </c:pt>
                <c:pt idx="8">
                  <c:v>7257.5876015602453</c:v>
                </c:pt>
              </c:numCache>
            </c:numRef>
          </c:val>
          <c:extLst>
            <c:ext xmlns:c16="http://schemas.microsoft.com/office/drawing/2014/chart" uri="{C3380CC4-5D6E-409C-BE32-E72D297353CC}">
              <c16:uniqueId val="{00000002-E3FA-4BEC-84F4-A11634F8D8CC}"/>
            </c:ext>
          </c:extLst>
        </c:ser>
        <c:dLbls>
          <c:showLegendKey val="0"/>
          <c:showVal val="0"/>
          <c:showCatName val="0"/>
          <c:showSerName val="0"/>
          <c:showPercent val="0"/>
          <c:showBubbleSize val="0"/>
        </c:dLbls>
        <c:gapWidth val="219"/>
        <c:axId val="689432712"/>
        <c:axId val="689431632"/>
      </c:barChart>
      <c:catAx>
        <c:axId val="689432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89431632"/>
        <c:crosses val="autoZero"/>
        <c:auto val="1"/>
        <c:lblAlgn val="ctr"/>
        <c:lblOffset val="100"/>
        <c:noMultiLvlLbl val="0"/>
      </c:catAx>
      <c:valAx>
        <c:axId val="689431632"/>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Average cost per phase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89432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Sheet3!$F$12</c:f>
              <c:strCache>
                <c:ptCount val="1"/>
                <c:pt idx="0">
                  <c:v>2019-20</c:v>
                </c:pt>
              </c:strCache>
            </c:strRef>
          </c:tx>
          <c:spPr>
            <a:solidFill>
              <a:schemeClr val="accent2"/>
            </a:solidFill>
            <a:ln>
              <a:noFill/>
            </a:ln>
            <a:effectLst/>
          </c:spPr>
          <c:invertIfNegative val="0"/>
          <c:cat>
            <c:strRef>
              <c:f>Sheet3!$E$13:$E$29</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Sheet3!$F$13:$F$29</c:f>
              <c:numCache>
                <c:formatCode>0</c:formatCode>
                <c:ptCount val="17"/>
                <c:pt idx="0">
                  <c:v>2372.8932291000001</c:v>
                </c:pt>
                <c:pt idx="1">
                  <c:v>6161.4888485000001</c:v>
                </c:pt>
                <c:pt idx="2">
                  <c:v>2402.7809072</c:v>
                </c:pt>
                <c:pt idx="3">
                  <c:v>2178.4014272999998</c:v>
                </c:pt>
                <c:pt idx="4">
                  <c:v>1654.4756892</c:v>
                </c:pt>
                <c:pt idx="5">
                  <c:v>204.20531215</c:v>
                </c:pt>
                <c:pt idx="6">
                  <c:v>152.25618674</c:v>
                </c:pt>
                <c:pt idx="7">
                  <c:v>11.495023094</c:v>
                </c:pt>
                <c:pt idx="8">
                  <c:v>1805.8281943</c:v>
                </c:pt>
                <c:pt idx="9">
                  <c:v>432.75368076000001</c:v>
                </c:pt>
                <c:pt idx="10">
                  <c:v>12.929334085000001</c:v>
                </c:pt>
                <c:pt idx="11">
                  <c:v>27.528250107000002</c:v>
                </c:pt>
                <c:pt idx="12">
                  <c:v>92.405684254999997</c:v>
                </c:pt>
                <c:pt idx="13">
                  <c:v>11.969464275</c:v>
                </c:pt>
                <c:pt idx="14">
                  <c:v>4.8831066378000001</c:v>
                </c:pt>
                <c:pt idx="15">
                  <c:v>926.83085487999995</c:v>
                </c:pt>
                <c:pt idx="16">
                  <c:v>569.56194683000001</c:v>
                </c:pt>
              </c:numCache>
            </c:numRef>
          </c:val>
          <c:extLst>
            <c:ext xmlns:c16="http://schemas.microsoft.com/office/drawing/2014/chart" uri="{C3380CC4-5D6E-409C-BE32-E72D297353CC}">
              <c16:uniqueId val="{00000000-4AC0-4590-9E01-0AC861815C27}"/>
            </c:ext>
          </c:extLst>
        </c:ser>
        <c:ser>
          <c:idx val="1"/>
          <c:order val="1"/>
          <c:tx>
            <c:strRef>
              <c:f>Sheet3!$G$12</c:f>
              <c:strCache>
                <c:ptCount val="1"/>
                <c:pt idx="0">
                  <c:v>2020-21</c:v>
                </c:pt>
              </c:strCache>
            </c:strRef>
          </c:tx>
          <c:spPr>
            <a:solidFill>
              <a:schemeClr val="accent3"/>
            </a:solidFill>
            <a:ln>
              <a:noFill/>
            </a:ln>
            <a:effectLst/>
          </c:spPr>
          <c:invertIfNegative val="0"/>
          <c:cat>
            <c:strRef>
              <c:f>Sheet3!$E$13:$E$29</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Sheet3!$G$13:$G$29</c:f>
              <c:numCache>
                <c:formatCode>0</c:formatCode>
                <c:ptCount val="17"/>
                <c:pt idx="0">
                  <c:v>2379.8253077999998</c:v>
                </c:pt>
                <c:pt idx="1">
                  <c:v>6263.6162211999999</c:v>
                </c:pt>
                <c:pt idx="2">
                  <c:v>2379.4027317</c:v>
                </c:pt>
                <c:pt idx="3">
                  <c:v>2018.2215748000001</c:v>
                </c:pt>
                <c:pt idx="4">
                  <c:v>1756.4431021</c:v>
                </c:pt>
                <c:pt idx="5">
                  <c:v>203.58879343000001</c:v>
                </c:pt>
                <c:pt idx="6">
                  <c:v>154.00407190000001</c:v>
                </c:pt>
                <c:pt idx="7">
                  <c:v>10.714694411</c:v>
                </c:pt>
                <c:pt idx="8">
                  <c:v>2031.0786596</c:v>
                </c:pt>
                <c:pt idx="9">
                  <c:v>440.05138803</c:v>
                </c:pt>
                <c:pt idx="10">
                  <c:v>17.530877065999999</c:v>
                </c:pt>
                <c:pt idx="11">
                  <c:v>27.188866958999999</c:v>
                </c:pt>
                <c:pt idx="12">
                  <c:v>107.26607421999999</c:v>
                </c:pt>
                <c:pt idx="13">
                  <c:v>5.9872396620000004</c:v>
                </c:pt>
                <c:pt idx="14">
                  <c:v>6.3311562118999998</c:v>
                </c:pt>
                <c:pt idx="15">
                  <c:v>1118.5230701999999</c:v>
                </c:pt>
                <c:pt idx="16">
                  <c:v>563.82975108000005</c:v>
                </c:pt>
              </c:numCache>
            </c:numRef>
          </c:val>
          <c:extLst>
            <c:ext xmlns:c16="http://schemas.microsoft.com/office/drawing/2014/chart" uri="{C3380CC4-5D6E-409C-BE32-E72D297353CC}">
              <c16:uniqueId val="{00000001-4AC0-4590-9E01-0AC861815C27}"/>
            </c:ext>
          </c:extLst>
        </c:ser>
        <c:ser>
          <c:idx val="2"/>
          <c:order val="2"/>
          <c:tx>
            <c:strRef>
              <c:f>Sheet3!$H$12</c:f>
              <c:strCache>
                <c:ptCount val="1"/>
                <c:pt idx="0">
                  <c:v>2021-22</c:v>
                </c:pt>
              </c:strCache>
            </c:strRef>
          </c:tx>
          <c:spPr>
            <a:solidFill>
              <a:schemeClr val="accent4"/>
            </a:solidFill>
            <a:ln>
              <a:noFill/>
            </a:ln>
            <a:effectLst/>
          </c:spPr>
          <c:invertIfNegative val="0"/>
          <c:cat>
            <c:strRef>
              <c:f>Sheet3!$E$13:$E$29</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Sheet3!$H$13:$H$29</c:f>
              <c:numCache>
                <c:formatCode>0</c:formatCode>
                <c:ptCount val="17"/>
                <c:pt idx="0">
                  <c:v>2531.9260875</c:v>
                </c:pt>
                <c:pt idx="1">
                  <c:v>6710.9481427000001</c:v>
                </c:pt>
                <c:pt idx="2">
                  <c:v>2548.5605553999999</c:v>
                </c:pt>
                <c:pt idx="3">
                  <c:v>2207.6942850999999</c:v>
                </c:pt>
                <c:pt idx="4">
                  <c:v>1926.8281953000001</c:v>
                </c:pt>
                <c:pt idx="5">
                  <c:v>254.56528109000001</c:v>
                </c:pt>
                <c:pt idx="6">
                  <c:v>166.21654513999999</c:v>
                </c:pt>
                <c:pt idx="7">
                  <c:v>6.7596111841999997</c:v>
                </c:pt>
                <c:pt idx="8">
                  <c:v>2583.2800541000001</c:v>
                </c:pt>
                <c:pt idx="9">
                  <c:v>500.45880181000001</c:v>
                </c:pt>
                <c:pt idx="10">
                  <c:v>18.200308703000001</c:v>
                </c:pt>
                <c:pt idx="11">
                  <c:v>29.051520856</c:v>
                </c:pt>
                <c:pt idx="12">
                  <c:v>144.56977520000001</c:v>
                </c:pt>
                <c:pt idx="13">
                  <c:v>12.049592973999999</c:v>
                </c:pt>
                <c:pt idx="14">
                  <c:v>6.8796397918999999</c:v>
                </c:pt>
                <c:pt idx="15">
                  <c:v>1192.3644924</c:v>
                </c:pt>
                <c:pt idx="16">
                  <c:v>561.78603446</c:v>
                </c:pt>
              </c:numCache>
            </c:numRef>
          </c:val>
          <c:extLst>
            <c:ext xmlns:c16="http://schemas.microsoft.com/office/drawing/2014/chart" uri="{C3380CC4-5D6E-409C-BE32-E72D297353CC}">
              <c16:uniqueId val="{00000002-4AC0-4590-9E01-0AC861815C27}"/>
            </c:ext>
          </c:extLst>
        </c:ser>
        <c:dLbls>
          <c:showLegendKey val="0"/>
          <c:showVal val="0"/>
          <c:showCatName val="0"/>
          <c:showSerName val="0"/>
          <c:showPercent val="0"/>
          <c:showBubbleSize val="0"/>
        </c:dLbls>
        <c:gapWidth val="182"/>
        <c:axId val="564630224"/>
        <c:axId val="564635624"/>
      </c:barChart>
      <c:catAx>
        <c:axId val="564630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4635624"/>
        <c:crosses val="autoZero"/>
        <c:auto val="1"/>
        <c:lblAlgn val="ctr"/>
        <c:lblOffset val="100"/>
        <c:noMultiLvlLbl val="0"/>
      </c:catAx>
      <c:valAx>
        <c:axId val="564635624"/>
        <c:scaling>
          <c:orientation val="minMax"/>
        </c:scaling>
        <c:delete val="0"/>
        <c:axPos val="b"/>
        <c:majorGridlines>
          <c:spPr>
            <a:ln w="9525" cap="flat" cmpd="sng" algn="ctr">
              <a:solidFill>
                <a:srgbClr val="000000"/>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463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'4. Subacute Summary'!$B$136</c:f>
              <c:strCache>
                <c:ptCount val="1"/>
                <c:pt idx="0">
                  <c:v> 2019-20 </c:v>
                </c:pt>
              </c:strCache>
            </c:strRef>
          </c:tx>
          <c:spPr>
            <a:solidFill>
              <a:schemeClr val="accent2"/>
            </a:solidFill>
            <a:ln>
              <a:noFill/>
            </a:ln>
            <a:effectLst/>
          </c:spPr>
          <c:invertIfNegative val="0"/>
          <c:cat>
            <c:strRef>
              <c:f>'4. Subacute Summary'!$A$137:$A$153</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'4. Subacute Summary'!$B$137:$B$153</c:f>
              <c:numCache>
                <c:formatCode>_-"$"* #,##0_-;\-"$"* #,##0_-;_-"$"* "-"??_-;_-@_-</c:formatCode>
                <c:ptCount val="17"/>
                <c:pt idx="0">
                  <c:v>1009.5935901</c:v>
                </c:pt>
                <c:pt idx="1">
                  <c:v>2185.3337725000001</c:v>
                </c:pt>
                <c:pt idx="2">
                  <c:v>421.86948267000002</c:v>
                </c:pt>
                <c:pt idx="3">
                  <c:v>721.86714586999994</c:v>
                </c:pt>
                <c:pt idx="4">
                  <c:v>533.02064581000002</c:v>
                </c:pt>
                <c:pt idx="5">
                  <c:v>54.037151086000001</c:v>
                </c:pt>
                <c:pt idx="6">
                  <c:v>35.788358498000001</c:v>
                </c:pt>
                <c:pt idx="7">
                  <c:v>1.9636618959000001</c:v>
                </c:pt>
                <c:pt idx="8">
                  <c:v>708.70847804000005</c:v>
                </c:pt>
                <c:pt idx="9">
                  <c:v>200.42571526</c:v>
                </c:pt>
                <c:pt idx="10">
                  <c:v>10.153392007000001</c:v>
                </c:pt>
                <c:pt idx="11">
                  <c:v>9.4929486559999994</c:v>
                </c:pt>
                <c:pt idx="12">
                  <c:v>29.896072686</c:v>
                </c:pt>
                <c:pt idx="13">
                  <c:v>6.3874610508999998</c:v>
                </c:pt>
                <c:pt idx="14">
                  <c:v>0.2737634276</c:v>
                </c:pt>
                <c:pt idx="15">
                  <c:v>265.72726899000003</c:v>
                </c:pt>
                <c:pt idx="16">
                  <c:v>175.70407793000001</c:v>
                </c:pt>
              </c:numCache>
            </c:numRef>
          </c:val>
          <c:extLst>
            <c:ext xmlns:c16="http://schemas.microsoft.com/office/drawing/2014/chart" uri="{C3380CC4-5D6E-409C-BE32-E72D297353CC}">
              <c16:uniqueId val="{00000000-7173-4D92-8384-454664327F05}"/>
            </c:ext>
          </c:extLst>
        </c:ser>
        <c:ser>
          <c:idx val="1"/>
          <c:order val="1"/>
          <c:tx>
            <c:strRef>
              <c:f>'4. Subacute Summary'!$C$136</c:f>
              <c:strCache>
                <c:ptCount val="1"/>
                <c:pt idx="0">
                  <c:v> 2020-21 </c:v>
                </c:pt>
              </c:strCache>
            </c:strRef>
          </c:tx>
          <c:spPr>
            <a:solidFill>
              <a:schemeClr val="accent3"/>
            </a:solidFill>
            <a:ln>
              <a:noFill/>
            </a:ln>
            <a:effectLst/>
          </c:spPr>
          <c:invertIfNegative val="0"/>
          <c:cat>
            <c:strRef>
              <c:f>'4. Subacute Summary'!$A$137:$A$153</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'4. Subacute Summary'!$C$137:$C$153</c:f>
              <c:numCache>
                <c:formatCode>_-"$"* #,##0_-;\-"$"* #,##0_-;_-"$"* "-"??_-;_-@_-</c:formatCode>
                <c:ptCount val="17"/>
                <c:pt idx="0">
                  <c:v>1154.2888937</c:v>
                </c:pt>
                <c:pt idx="1">
                  <c:v>2596.8962393000002</c:v>
                </c:pt>
                <c:pt idx="2">
                  <c:v>451.49005118000002</c:v>
                </c:pt>
                <c:pt idx="3">
                  <c:v>831.83784987000001</c:v>
                </c:pt>
                <c:pt idx="4">
                  <c:v>591.87064974999998</c:v>
                </c:pt>
                <c:pt idx="5">
                  <c:v>51.871177879999998</c:v>
                </c:pt>
                <c:pt idx="6">
                  <c:v>36.955709794000001</c:v>
                </c:pt>
                <c:pt idx="7">
                  <c:v>2.2353784076999998</c:v>
                </c:pt>
                <c:pt idx="8">
                  <c:v>859.33884014</c:v>
                </c:pt>
                <c:pt idx="9">
                  <c:v>244.87996491000001</c:v>
                </c:pt>
                <c:pt idx="10">
                  <c:v>24.957792315999999</c:v>
                </c:pt>
                <c:pt idx="11">
                  <c:v>10.988488937</c:v>
                </c:pt>
                <c:pt idx="12">
                  <c:v>30.320729709999998</c:v>
                </c:pt>
                <c:pt idx="13">
                  <c:v>7.7199752963000003</c:v>
                </c:pt>
                <c:pt idx="14">
                  <c:v>2.6219057441000002</c:v>
                </c:pt>
                <c:pt idx="15">
                  <c:v>322.88493879999999</c:v>
                </c:pt>
                <c:pt idx="16">
                  <c:v>198.01047138999999</c:v>
                </c:pt>
              </c:numCache>
            </c:numRef>
          </c:val>
          <c:extLst>
            <c:ext xmlns:c16="http://schemas.microsoft.com/office/drawing/2014/chart" uri="{C3380CC4-5D6E-409C-BE32-E72D297353CC}">
              <c16:uniqueId val="{00000001-7173-4D92-8384-454664327F05}"/>
            </c:ext>
          </c:extLst>
        </c:ser>
        <c:ser>
          <c:idx val="2"/>
          <c:order val="2"/>
          <c:tx>
            <c:strRef>
              <c:f>'4. Subacute Summary'!$D$136</c:f>
              <c:strCache>
                <c:ptCount val="1"/>
                <c:pt idx="0">
                  <c:v> 2021-22 </c:v>
                </c:pt>
              </c:strCache>
            </c:strRef>
          </c:tx>
          <c:spPr>
            <a:solidFill>
              <a:schemeClr val="accent4"/>
            </a:solidFill>
            <a:ln>
              <a:noFill/>
            </a:ln>
            <a:effectLst/>
          </c:spPr>
          <c:invertIfNegative val="0"/>
          <c:cat>
            <c:strRef>
              <c:f>'4. Subacute Summary'!$A$137:$A$153</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'4. Subacute Summary'!$D$137:$D$153</c:f>
              <c:numCache>
                <c:formatCode>_-"$"* #,##0_-;\-"$"* #,##0_-;_-"$"* "-"??_-;_-@_-</c:formatCode>
                <c:ptCount val="17"/>
                <c:pt idx="0">
                  <c:v>1107.7696171</c:v>
                </c:pt>
                <c:pt idx="1">
                  <c:v>2480.7591860000002</c:v>
                </c:pt>
                <c:pt idx="2">
                  <c:v>457.14094322</c:v>
                </c:pt>
                <c:pt idx="3">
                  <c:v>803.08150813999998</c:v>
                </c:pt>
                <c:pt idx="4">
                  <c:v>624.71075366000002</c:v>
                </c:pt>
                <c:pt idx="5">
                  <c:v>56.906236032000002</c:v>
                </c:pt>
                <c:pt idx="6">
                  <c:v>43.856251784000001</c:v>
                </c:pt>
                <c:pt idx="7">
                  <c:v>2.7340615241999999</c:v>
                </c:pt>
                <c:pt idx="8">
                  <c:v>839.21355814000003</c:v>
                </c:pt>
                <c:pt idx="9">
                  <c:v>245.27875546999999</c:v>
                </c:pt>
                <c:pt idx="10">
                  <c:v>33.806283461</c:v>
                </c:pt>
                <c:pt idx="11">
                  <c:v>10.236481254999999</c:v>
                </c:pt>
                <c:pt idx="12">
                  <c:v>26.283393927999999</c:v>
                </c:pt>
                <c:pt idx="13">
                  <c:v>6.3649910585000002</c:v>
                </c:pt>
                <c:pt idx="14">
                  <c:v>3.285157919</c:v>
                </c:pt>
                <c:pt idx="15">
                  <c:v>309.99006383</c:v>
                </c:pt>
                <c:pt idx="16">
                  <c:v>206.17035906000001</c:v>
                </c:pt>
              </c:numCache>
            </c:numRef>
          </c:val>
          <c:extLst>
            <c:ext xmlns:c16="http://schemas.microsoft.com/office/drawing/2014/chart" uri="{C3380CC4-5D6E-409C-BE32-E72D297353CC}">
              <c16:uniqueId val="{00000002-7173-4D92-8384-454664327F05}"/>
            </c:ext>
          </c:extLst>
        </c:ser>
        <c:dLbls>
          <c:showLegendKey val="0"/>
          <c:showVal val="0"/>
          <c:showCatName val="0"/>
          <c:showSerName val="0"/>
          <c:showPercent val="0"/>
          <c:showBubbleSize val="0"/>
        </c:dLbls>
        <c:gapWidth val="182"/>
        <c:axId val="557434488"/>
        <c:axId val="557444568"/>
      </c:barChart>
      <c:catAx>
        <c:axId val="557434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57444568"/>
        <c:crosses val="autoZero"/>
        <c:auto val="1"/>
        <c:lblAlgn val="ctr"/>
        <c:lblOffset val="100"/>
        <c:noMultiLvlLbl val="0"/>
      </c:catAx>
      <c:valAx>
        <c:axId val="557444568"/>
        <c:scaling>
          <c:orientation val="minMax"/>
        </c:scaling>
        <c:delete val="0"/>
        <c:axPos val="b"/>
        <c:majorGridlines>
          <c:spPr>
            <a:ln w="9525" cap="flat" cmpd="sng" algn="ctr">
              <a:solidFill>
                <a:srgbClr val="000000"/>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57434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'EDandNAP costs'!$AF$15</c:f>
              <c:strCache>
                <c:ptCount val="1"/>
                <c:pt idx="0">
                  <c:v> 2019-20 </c:v>
                </c:pt>
              </c:strCache>
            </c:strRef>
          </c:tx>
          <c:spPr>
            <a:solidFill>
              <a:schemeClr val="accent2"/>
            </a:solidFill>
            <a:ln>
              <a:noFill/>
            </a:ln>
            <a:effectLst/>
          </c:spPr>
          <c:invertIfNegative val="0"/>
          <c:cat>
            <c:strRef>
              <c:f>'EDandNAP costs'!$AE$16:$AE$23</c:f>
              <c:strCache>
                <c:ptCount val="8"/>
                <c:pt idx="0">
                  <c:v>NSW</c:v>
                </c:pt>
                <c:pt idx="1">
                  <c:v>Vic</c:v>
                </c:pt>
                <c:pt idx="2">
                  <c:v>Qld</c:v>
                </c:pt>
                <c:pt idx="3">
                  <c:v>SA</c:v>
                </c:pt>
                <c:pt idx="4">
                  <c:v>WA</c:v>
                </c:pt>
                <c:pt idx="5">
                  <c:v>Tas</c:v>
                </c:pt>
                <c:pt idx="6">
                  <c:v>NT</c:v>
                </c:pt>
                <c:pt idx="7">
                  <c:v>ACT</c:v>
                </c:pt>
              </c:strCache>
            </c:strRef>
          </c:cat>
          <c:val>
            <c:numRef>
              <c:f>'EDandNAP costs'!$AF$16:$AF$23</c:f>
              <c:numCache>
                <c:formatCode>_-* #,##0_-;\-* #,##0_-;_-* "-"??_-;_-@_-</c:formatCode>
                <c:ptCount val="8"/>
                <c:pt idx="0">
                  <c:v>2571.7449999999999</c:v>
                </c:pt>
                <c:pt idx="1">
                  <c:v>1724.2090000000001</c:v>
                </c:pt>
                <c:pt idx="2">
                  <c:v>1947.567</c:v>
                </c:pt>
                <c:pt idx="3">
                  <c:v>530.19500000000005</c:v>
                </c:pt>
                <c:pt idx="4">
                  <c:v>709.20799999999997</c:v>
                </c:pt>
                <c:pt idx="5">
                  <c:v>153.73500000000001</c:v>
                </c:pt>
                <c:pt idx="6">
                  <c:v>164.78299999999999</c:v>
                </c:pt>
                <c:pt idx="7">
                  <c:v>139.67699999999999</c:v>
                </c:pt>
              </c:numCache>
            </c:numRef>
          </c:val>
          <c:extLst>
            <c:ext xmlns:c16="http://schemas.microsoft.com/office/drawing/2014/chart" uri="{C3380CC4-5D6E-409C-BE32-E72D297353CC}">
              <c16:uniqueId val="{00000000-B3B9-4F77-8D8D-DC10217FC4E6}"/>
            </c:ext>
          </c:extLst>
        </c:ser>
        <c:ser>
          <c:idx val="1"/>
          <c:order val="1"/>
          <c:tx>
            <c:strRef>
              <c:f>'EDandNAP costs'!$AG$15</c:f>
              <c:strCache>
                <c:ptCount val="1"/>
                <c:pt idx="0">
                  <c:v>2020-21</c:v>
                </c:pt>
              </c:strCache>
            </c:strRef>
          </c:tx>
          <c:spPr>
            <a:solidFill>
              <a:schemeClr val="accent3"/>
            </a:solidFill>
            <a:ln>
              <a:noFill/>
            </a:ln>
            <a:effectLst/>
          </c:spPr>
          <c:invertIfNegative val="0"/>
          <c:cat>
            <c:strRef>
              <c:f>'EDandNAP costs'!$AE$16:$AE$23</c:f>
              <c:strCache>
                <c:ptCount val="8"/>
                <c:pt idx="0">
                  <c:v>NSW</c:v>
                </c:pt>
                <c:pt idx="1">
                  <c:v>Vic</c:v>
                </c:pt>
                <c:pt idx="2">
                  <c:v>Qld</c:v>
                </c:pt>
                <c:pt idx="3">
                  <c:v>SA</c:v>
                </c:pt>
                <c:pt idx="4">
                  <c:v>WA</c:v>
                </c:pt>
                <c:pt idx="5">
                  <c:v>Tas</c:v>
                </c:pt>
                <c:pt idx="6">
                  <c:v>NT</c:v>
                </c:pt>
                <c:pt idx="7">
                  <c:v>ACT</c:v>
                </c:pt>
              </c:strCache>
            </c:strRef>
          </c:cat>
          <c:val>
            <c:numRef>
              <c:f>'EDandNAP costs'!$AG$16:$AG$23</c:f>
              <c:numCache>
                <c:formatCode>_-* #,##0_-;\-* #,##0_-;_-* "-"??_-;_-@_-</c:formatCode>
                <c:ptCount val="8"/>
                <c:pt idx="0">
                  <c:v>2520.1970000000001</c:v>
                </c:pt>
                <c:pt idx="1">
                  <c:v>1704.0609999999999</c:v>
                </c:pt>
                <c:pt idx="2">
                  <c:v>2297.0349999999999</c:v>
                </c:pt>
                <c:pt idx="3">
                  <c:v>576.70299999999997</c:v>
                </c:pt>
                <c:pt idx="4">
                  <c:v>763.05100000000004</c:v>
                </c:pt>
                <c:pt idx="5">
                  <c:v>170.28700000000001</c:v>
                </c:pt>
                <c:pt idx="6">
                  <c:v>177.65199999999999</c:v>
                </c:pt>
                <c:pt idx="7">
                  <c:v>153.45599999999999</c:v>
                </c:pt>
              </c:numCache>
            </c:numRef>
          </c:val>
          <c:extLst>
            <c:ext xmlns:c16="http://schemas.microsoft.com/office/drawing/2014/chart" uri="{C3380CC4-5D6E-409C-BE32-E72D297353CC}">
              <c16:uniqueId val="{00000001-B3B9-4F77-8D8D-DC10217FC4E6}"/>
            </c:ext>
          </c:extLst>
        </c:ser>
        <c:ser>
          <c:idx val="2"/>
          <c:order val="2"/>
          <c:tx>
            <c:strRef>
              <c:f>'EDandNAP costs'!$AH$15</c:f>
              <c:strCache>
                <c:ptCount val="1"/>
                <c:pt idx="0">
                  <c:v>2021-22</c:v>
                </c:pt>
              </c:strCache>
            </c:strRef>
          </c:tx>
          <c:spPr>
            <a:solidFill>
              <a:schemeClr val="accent4"/>
            </a:solidFill>
            <a:ln>
              <a:noFill/>
            </a:ln>
            <a:effectLst/>
          </c:spPr>
          <c:invertIfNegative val="0"/>
          <c:cat>
            <c:strRef>
              <c:f>'EDandNAP costs'!$AE$16:$AE$23</c:f>
              <c:strCache>
                <c:ptCount val="8"/>
                <c:pt idx="0">
                  <c:v>NSW</c:v>
                </c:pt>
                <c:pt idx="1">
                  <c:v>Vic</c:v>
                </c:pt>
                <c:pt idx="2">
                  <c:v>Qld</c:v>
                </c:pt>
                <c:pt idx="3">
                  <c:v>SA</c:v>
                </c:pt>
                <c:pt idx="4">
                  <c:v>WA</c:v>
                </c:pt>
                <c:pt idx="5">
                  <c:v>Tas</c:v>
                </c:pt>
                <c:pt idx="6">
                  <c:v>NT</c:v>
                </c:pt>
                <c:pt idx="7">
                  <c:v>ACT</c:v>
                </c:pt>
              </c:strCache>
            </c:strRef>
          </c:cat>
          <c:val>
            <c:numRef>
              <c:f>'EDandNAP costs'!$AH$16:$AH$23</c:f>
              <c:numCache>
                <c:formatCode>_-* #,##0_-;\-* #,##0_-;_-* "-"??_-;_-@_-</c:formatCode>
                <c:ptCount val="8"/>
                <c:pt idx="0">
                  <c:v>2463.0749999999998</c:v>
                </c:pt>
                <c:pt idx="1">
                  <c:v>1817.818</c:v>
                </c:pt>
                <c:pt idx="2">
                  <c:v>2163.308</c:v>
                </c:pt>
                <c:pt idx="3">
                  <c:v>572.45500000000004</c:v>
                </c:pt>
                <c:pt idx="4">
                  <c:v>765.47699999999998</c:v>
                </c:pt>
                <c:pt idx="5">
                  <c:v>173.27600000000001</c:v>
                </c:pt>
                <c:pt idx="6">
                  <c:v>171.41499999999999</c:v>
                </c:pt>
                <c:pt idx="7">
                  <c:v>143.351</c:v>
                </c:pt>
              </c:numCache>
            </c:numRef>
          </c:val>
          <c:extLst>
            <c:ext xmlns:c16="http://schemas.microsoft.com/office/drawing/2014/chart" uri="{C3380CC4-5D6E-409C-BE32-E72D297353CC}">
              <c16:uniqueId val="{00000002-B3B9-4F77-8D8D-DC10217FC4E6}"/>
            </c:ext>
          </c:extLst>
        </c:ser>
        <c:dLbls>
          <c:showLegendKey val="0"/>
          <c:showVal val="0"/>
          <c:showCatName val="0"/>
          <c:showSerName val="0"/>
          <c:showPercent val="0"/>
          <c:showBubbleSize val="0"/>
        </c:dLbls>
        <c:gapWidth val="219"/>
        <c:axId val="802015768"/>
        <c:axId val="802024408"/>
      </c:barChart>
      <c:catAx>
        <c:axId val="80201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2024408"/>
        <c:crosses val="autoZero"/>
        <c:auto val="1"/>
        <c:lblAlgn val="ctr"/>
        <c:lblOffset val="100"/>
        <c:noMultiLvlLbl val="0"/>
      </c:catAx>
      <c:valAx>
        <c:axId val="802024408"/>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Presentations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2015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'EDandNAP costs'!$F$2</c:f>
              <c:strCache>
                <c:ptCount val="1"/>
                <c:pt idx="0">
                  <c:v> 2019-20 </c:v>
                </c:pt>
              </c:strCache>
            </c:strRef>
          </c:tx>
          <c:spPr>
            <a:solidFill>
              <a:schemeClr val="accent2"/>
            </a:solidFill>
            <a:ln>
              <a:noFill/>
            </a:ln>
            <a:effectLst/>
          </c:spPr>
          <c:invertIfNegative val="0"/>
          <c:cat>
            <c:strRef>
              <c:f>'EDandNAP costs'!$E$3:$E$10</c:f>
              <c:strCache>
                <c:ptCount val="8"/>
                <c:pt idx="0">
                  <c:v>NSW</c:v>
                </c:pt>
                <c:pt idx="1">
                  <c:v>Vic</c:v>
                </c:pt>
                <c:pt idx="2">
                  <c:v>Qld</c:v>
                </c:pt>
                <c:pt idx="3">
                  <c:v>SA</c:v>
                </c:pt>
                <c:pt idx="4">
                  <c:v>WA</c:v>
                </c:pt>
                <c:pt idx="5">
                  <c:v>Tas</c:v>
                </c:pt>
                <c:pt idx="6">
                  <c:v>NT</c:v>
                </c:pt>
                <c:pt idx="7">
                  <c:v>ACT</c:v>
                </c:pt>
              </c:strCache>
            </c:strRef>
          </c:cat>
          <c:val>
            <c:numRef>
              <c:f>'EDandNAP costs'!$F$3:$F$10</c:f>
              <c:numCache>
                <c:formatCode>_-"$"* #,##0_-;\-"$"* #,##0_-;_-"$"* "-"??_-;_-@_-</c:formatCode>
                <c:ptCount val="8"/>
                <c:pt idx="0">
                  <c:v>1969.2634406</c:v>
                </c:pt>
                <c:pt idx="1">
                  <c:v>1329.4306025999999</c:v>
                </c:pt>
                <c:pt idx="2">
                  <c:v>1440.4007932</c:v>
                </c:pt>
                <c:pt idx="3">
                  <c:v>438.48791609</c:v>
                </c:pt>
                <c:pt idx="4">
                  <c:v>660.42921122000007</c:v>
                </c:pt>
                <c:pt idx="5">
                  <c:v>155.28642578</c:v>
                </c:pt>
                <c:pt idx="6">
                  <c:v>137.908627</c:v>
                </c:pt>
                <c:pt idx="7">
                  <c:v>133.60875919</c:v>
                </c:pt>
              </c:numCache>
            </c:numRef>
          </c:val>
          <c:extLst>
            <c:ext xmlns:c16="http://schemas.microsoft.com/office/drawing/2014/chart" uri="{C3380CC4-5D6E-409C-BE32-E72D297353CC}">
              <c16:uniqueId val="{00000000-3938-483A-9A6A-911475E65F0F}"/>
            </c:ext>
          </c:extLst>
        </c:ser>
        <c:ser>
          <c:idx val="1"/>
          <c:order val="1"/>
          <c:tx>
            <c:strRef>
              <c:f>'EDandNAP costs'!$G$2</c:f>
              <c:strCache>
                <c:ptCount val="1"/>
                <c:pt idx="0">
                  <c:v> 2020-21 </c:v>
                </c:pt>
              </c:strCache>
            </c:strRef>
          </c:tx>
          <c:spPr>
            <a:solidFill>
              <a:schemeClr val="accent3"/>
            </a:solidFill>
            <a:ln>
              <a:noFill/>
            </a:ln>
            <a:effectLst/>
          </c:spPr>
          <c:invertIfNegative val="0"/>
          <c:cat>
            <c:strRef>
              <c:f>'EDandNAP costs'!$E$3:$E$10</c:f>
              <c:strCache>
                <c:ptCount val="8"/>
                <c:pt idx="0">
                  <c:v>NSW</c:v>
                </c:pt>
                <c:pt idx="1">
                  <c:v>Vic</c:v>
                </c:pt>
                <c:pt idx="2">
                  <c:v>Qld</c:v>
                </c:pt>
                <c:pt idx="3">
                  <c:v>SA</c:v>
                </c:pt>
                <c:pt idx="4">
                  <c:v>WA</c:v>
                </c:pt>
                <c:pt idx="5">
                  <c:v>Tas</c:v>
                </c:pt>
                <c:pt idx="6">
                  <c:v>NT</c:v>
                </c:pt>
                <c:pt idx="7">
                  <c:v>ACT</c:v>
                </c:pt>
              </c:strCache>
            </c:strRef>
          </c:cat>
          <c:val>
            <c:numRef>
              <c:f>'EDandNAP costs'!$G$3:$G$10</c:f>
              <c:numCache>
                <c:formatCode>_-"$"* #,##0_-;\-"$"* #,##0_-;_-"$"* "-"??_-;_-@_-</c:formatCode>
                <c:ptCount val="8"/>
                <c:pt idx="0">
                  <c:v>2011.7368142</c:v>
                </c:pt>
                <c:pt idx="1">
                  <c:v>1441.0691707000001</c:v>
                </c:pt>
                <c:pt idx="2">
                  <c:v>1523.9985302999999</c:v>
                </c:pt>
                <c:pt idx="3">
                  <c:v>488.02939674999999</c:v>
                </c:pt>
                <c:pt idx="4">
                  <c:v>689.98092250000002</c:v>
                </c:pt>
                <c:pt idx="5">
                  <c:v>168.48301526</c:v>
                </c:pt>
                <c:pt idx="6">
                  <c:v>166.88143383000002</c:v>
                </c:pt>
                <c:pt idx="7">
                  <c:v>117.7191349</c:v>
                </c:pt>
              </c:numCache>
            </c:numRef>
          </c:val>
          <c:extLst>
            <c:ext xmlns:c16="http://schemas.microsoft.com/office/drawing/2014/chart" uri="{C3380CC4-5D6E-409C-BE32-E72D297353CC}">
              <c16:uniqueId val="{00000001-3938-483A-9A6A-911475E65F0F}"/>
            </c:ext>
          </c:extLst>
        </c:ser>
        <c:ser>
          <c:idx val="2"/>
          <c:order val="2"/>
          <c:tx>
            <c:strRef>
              <c:f>'EDandNAP costs'!$H$2</c:f>
              <c:strCache>
                <c:ptCount val="1"/>
                <c:pt idx="0">
                  <c:v> 2021-22 </c:v>
                </c:pt>
              </c:strCache>
            </c:strRef>
          </c:tx>
          <c:spPr>
            <a:solidFill>
              <a:schemeClr val="accent4"/>
            </a:solidFill>
            <a:ln>
              <a:noFill/>
            </a:ln>
            <a:effectLst/>
          </c:spPr>
          <c:invertIfNegative val="0"/>
          <c:cat>
            <c:strRef>
              <c:f>'EDandNAP costs'!$E$3:$E$10</c:f>
              <c:strCache>
                <c:ptCount val="8"/>
                <c:pt idx="0">
                  <c:v>NSW</c:v>
                </c:pt>
                <c:pt idx="1">
                  <c:v>Vic</c:v>
                </c:pt>
                <c:pt idx="2">
                  <c:v>Qld</c:v>
                </c:pt>
                <c:pt idx="3">
                  <c:v>SA</c:v>
                </c:pt>
                <c:pt idx="4">
                  <c:v>WA</c:v>
                </c:pt>
                <c:pt idx="5">
                  <c:v>Tas</c:v>
                </c:pt>
                <c:pt idx="6">
                  <c:v>NT</c:v>
                </c:pt>
                <c:pt idx="7">
                  <c:v>ACT</c:v>
                </c:pt>
              </c:strCache>
            </c:strRef>
          </c:cat>
          <c:val>
            <c:numRef>
              <c:f>'EDandNAP costs'!$H$3:$H$10</c:f>
              <c:numCache>
                <c:formatCode>_-"$"* #,##0_-;\-"$"* #,##0_-;_-"$"* "-"??_-;_-@_-</c:formatCode>
                <c:ptCount val="8"/>
                <c:pt idx="0">
                  <c:v>2233.8517695</c:v>
                </c:pt>
                <c:pt idx="1">
                  <c:v>1671.3955314000002</c:v>
                </c:pt>
                <c:pt idx="2">
                  <c:v>1624.6304686999999</c:v>
                </c:pt>
                <c:pt idx="3">
                  <c:v>518.02241849999996</c:v>
                </c:pt>
                <c:pt idx="4">
                  <c:v>805.93818608000004</c:v>
                </c:pt>
                <c:pt idx="5">
                  <c:v>197.70249913000001</c:v>
                </c:pt>
                <c:pt idx="6">
                  <c:v>171.11499236</c:v>
                </c:pt>
                <c:pt idx="7">
                  <c:v>144.14323719999999</c:v>
                </c:pt>
              </c:numCache>
            </c:numRef>
          </c:val>
          <c:extLst>
            <c:ext xmlns:c16="http://schemas.microsoft.com/office/drawing/2014/chart" uri="{C3380CC4-5D6E-409C-BE32-E72D297353CC}">
              <c16:uniqueId val="{00000002-3938-483A-9A6A-911475E65F0F}"/>
            </c:ext>
          </c:extLst>
        </c:ser>
        <c:dLbls>
          <c:showLegendKey val="0"/>
          <c:showVal val="0"/>
          <c:showCatName val="0"/>
          <c:showSerName val="0"/>
          <c:showPercent val="0"/>
          <c:showBubbleSize val="0"/>
        </c:dLbls>
        <c:gapWidth val="219"/>
        <c:axId val="374962120"/>
        <c:axId val="374959960"/>
      </c:barChart>
      <c:catAx>
        <c:axId val="37496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4959960"/>
        <c:crosses val="autoZero"/>
        <c:auto val="1"/>
        <c:lblAlgn val="ctr"/>
        <c:lblOffset val="100"/>
        <c:noMultiLvlLbl val="0"/>
      </c:catAx>
      <c:valAx>
        <c:axId val="374959960"/>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Cost (millions)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496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Sheet3!$B$2</c:f>
              <c:strCache>
                <c:ptCount val="1"/>
                <c:pt idx="0">
                  <c:v>2019-20</c:v>
                </c:pt>
              </c:strCache>
            </c:strRef>
          </c:tx>
          <c:spPr>
            <a:solidFill>
              <a:schemeClr val="accent2"/>
            </a:solidFill>
            <a:ln>
              <a:noFill/>
            </a:ln>
            <a:effectLst/>
          </c:spPr>
          <c:invertIfNegative val="0"/>
          <c:cat>
            <c:strRef>
              <c:f>Sheet3!$A$3:$A$11</c:f>
              <c:strCache>
                <c:ptCount val="9"/>
                <c:pt idx="0">
                  <c:v>NSW</c:v>
                </c:pt>
                <c:pt idx="1">
                  <c:v>Vic</c:v>
                </c:pt>
                <c:pt idx="2">
                  <c:v>Qld</c:v>
                </c:pt>
                <c:pt idx="3">
                  <c:v>SA</c:v>
                </c:pt>
                <c:pt idx="4">
                  <c:v>WA</c:v>
                </c:pt>
                <c:pt idx="5">
                  <c:v>Tas</c:v>
                </c:pt>
                <c:pt idx="6">
                  <c:v>NT</c:v>
                </c:pt>
                <c:pt idx="7">
                  <c:v>ACT</c:v>
                </c:pt>
                <c:pt idx="8">
                  <c:v>National</c:v>
                </c:pt>
              </c:strCache>
            </c:strRef>
          </c:cat>
          <c:val>
            <c:numRef>
              <c:f>Sheet3!$B$3:$B$11</c:f>
              <c:numCache>
                <c:formatCode>_-"$"* #,##0_-;\-"$"* #,##0_-;_-"$"* "-"??_-;_-@_-</c:formatCode>
                <c:ptCount val="9"/>
                <c:pt idx="0">
                  <c:v>765.73044397000001</c:v>
                </c:pt>
                <c:pt idx="1">
                  <c:v>771.03796732000001</c:v>
                </c:pt>
                <c:pt idx="2">
                  <c:v>739.58985400999995</c:v>
                </c:pt>
                <c:pt idx="3">
                  <c:v>827.03140558999996</c:v>
                </c:pt>
                <c:pt idx="4">
                  <c:v>931.22075783000003</c:v>
                </c:pt>
                <c:pt idx="5">
                  <c:v>1010.0915588</c:v>
                </c:pt>
                <c:pt idx="6">
                  <c:v>836.91052475000004</c:v>
                </c:pt>
                <c:pt idx="7">
                  <c:v>956.55518939000001</c:v>
                </c:pt>
                <c:pt idx="8">
                  <c:v>788.90843666742671</c:v>
                </c:pt>
              </c:numCache>
            </c:numRef>
          </c:val>
          <c:extLst>
            <c:ext xmlns:c16="http://schemas.microsoft.com/office/drawing/2014/chart" uri="{C3380CC4-5D6E-409C-BE32-E72D297353CC}">
              <c16:uniqueId val="{00000000-1305-42D0-A7CA-087181DDC6D7}"/>
            </c:ext>
          </c:extLst>
        </c:ser>
        <c:ser>
          <c:idx val="1"/>
          <c:order val="1"/>
          <c:tx>
            <c:strRef>
              <c:f>Sheet3!$C$2</c:f>
              <c:strCache>
                <c:ptCount val="1"/>
                <c:pt idx="0">
                  <c:v>2020-21</c:v>
                </c:pt>
              </c:strCache>
            </c:strRef>
          </c:tx>
          <c:spPr>
            <a:solidFill>
              <a:schemeClr val="accent3"/>
            </a:solidFill>
            <a:ln>
              <a:noFill/>
            </a:ln>
            <a:effectLst/>
          </c:spPr>
          <c:invertIfNegative val="0"/>
          <c:cat>
            <c:strRef>
              <c:f>Sheet3!$A$3:$A$11</c:f>
              <c:strCache>
                <c:ptCount val="9"/>
                <c:pt idx="0">
                  <c:v>NSW</c:v>
                </c:pt>
                <c:pt idx="1">
                  <c:v>Vic</c:v>
                </c:pt>
                <c:pt idx="2">
                  <c:v>Qld</c:v>
                </c:pt>
                <c:pt idx="3">
                  <c:v>SA</c:v>
                </c:pt>
                <c:pt idx="4">
                  <c:v>WA</c:v>
                </c:pt>
                <c:pt idx="5">
                  <c:v>Tas</c:v>
                </c:pt>
                <c:pt idx="6">
                  <c:v>NT</c:v>
                </c:pt>
                <c:pt idx="7">
                  <c:v>ACT</c:v>
                </c:pt>
                <c:pt idx="8">
                  <c:v>National</c:v>
                </c:pt>
              </c:strCache>
            </c:strRef>
          </c:cat>
          <c:val>
            <c:numRef>
              <c:f>Sheet3!$C$3:$C$11</c:f>
              <c:numCache>
                <c:formatCode>_-"$"* #,##0_-;\-"$"* #,##0_-;_-"$"* "-"??_-;_-@_-</c:formatCode>
                <c:ptCount val="9"/>
                <c:pt idx="0">
                  <c:v>798.24585703000002</c:v>
                </c:pt>
                <c:pt idx="1">
                  <c:v>845.66759680999996</c:v>
                </c:pt>
                <c:pt idx="2">
                  <c:v>663.46334746000002</c:v>
                </c:pt>
                <c:pt idx="3">
                  <c:v>846.24043355000003</c:v>
                </c:pt>
                <c:pt idx="4">
                  <c:v>904.23958884000001</c:v>
                </c:pt>
                <c:pt idx="5">
                  <c:v>989.40620984999998</c:v>
                </c:pt>
                <c:pt idx="6">
                  <c:v>939.37267142999997</c:v>
                </c:pt>
                <c:pt idx="7">
                  <c:v>767.11979262</c:v>
                </c:pt>
                <c:pt idx="8">
                  <c:v>790.18765313290055</c:v>
                </c:pt>
              </c:numCache>
            </c:numRef>
          </c:val>
          <c:extLst>
            <c:ext xmlns:c16="http://schemas.microsoft.com/office/drawing/2014/chart" uri="{C3380CC4-5D6E-409C-BE32-E72D297353CC}">
              <c16:uniqueId val="{00000001-1305-42D0-A7CA-087181DDC6D7}"/>
            </c:ext>
          </c:extLst>
        </c:ser>
        <c:ser>
          <c:idx val="2"/>
          <c:order val="2"/>
          <c:tx>
            <c:strRef>
              <c:f>Sheet3!$D$2</c:f>
              <c:strCache>
                <c:ptCount val="1"/>
                <c:pt idx="0">
                  <c:v>2021-22</c:v>
                </c:pt>
              </c:strCache>
            </c:strRef>
          </c:tx>
          <c:spPr>
            <a:solidFill>
              <a:schemeClr val="accent4"/>
            </a:solidFill>
            <a:ln>
              <a:noFill/>
            </a:ln>
            <a:effectLst/>
          </c:spPr>
          <c:invertIfNegative val="0"/>
          <c:cat>
            <c:strRef>
              <c:f>Sheet3!$A$3:$A$11</c:f>
              <c:strCache>
                <c:ptCount val="9"/>
                <c:pt idx="0">
                  <c:v>NSW</c:v>
                </c:pt>
                <c:pt idx="1">
                  <c:v>Vic</c:v>
                </c:pt>
                <c:pt idx="2">
                  <c:v>Qld</c:v>
                </c:pt>
                <c:pt idx="3">
                  <c:v>SA</c:v>
                </c:pt>
                <c:pt idx="4">
                  <c:v>WA</c:v>
                </c:pt>
                <c:pt idx="5">
                  <c:v>Tas</c:v>
                </c:pt>
                <c:pt idx="6">
                  <c:v>NT</c:v>
                </c:pt>
                <c:pt idx="7">
                  <c:v>ACT</c:v>
                </c:pt>
                <c:pt idx="8">
                  <c:v>National</c:v>
                </c:pt>
              </c:strCache>
            </c:strRef>
          </c:cat>
          <c:val>
            <c:numRef>
              <c:f>Sheet3!$D$3:$D$11</c:f>
              <c:numCache>
                <c:formatCode>_-"$"* #,##0_-;\-"$"* #,##0_-;_-"$"* "-"??_-;_-@_-</c:formatCode>
                <c:ptCount val="9"/>
                <c:pt idx="0">
                  <c:v>906.93615480000005</c:v>
                </c:pt>
                <c:pt idx="1">
                  <c:v>919.4515245</c:v>
                </c:pt>
                <c:pt idx="2">
                  <c:v>750.99360273000002</c:v>
                </c:pt>
                <c:pt idx="3">
                  <c:v>904.91378098999996</c:v>
                </c:pt>
                <c:pt idx="4">
                  <c:v>1052.8574811000001</c:v>
                </c:pt>
                <c:pt idx="5">
                  <c:v>1140.9687385</c:v>
                </c:pt>
                <c:pt idx="6">
                  <c:v>998.24981685</c:v>
                </c:pt>
                <c:pt idx="7">
                  <c:v>1005.5265551</c:v>
                </c:pt>
                <c:pt idx="8">
                  <c:v>890.7670155552936</c:v>
                </c:pt>
              </c:numCache>
            </c:numRef>
          </c:val>
          <c:extLst>
            <c:ext xmlns:c16="http://schemas.microsoft.com/office/drawing/2014/chart" uri="{C3380CC4-5D6E-409C-BE32-E72D297353CC}">
              <c16:uniqueId val="{00000002-1305-42D0-A7CA-087181DDC6D7}"/>
            </c:ext>
          </c:extLst>
        </c:ser>
        <c:dLbls>
          <c:showLegendKey val="0"/>
          <c:showVal val="0"/>
          <c:showCatName val="0"/>
          <c:showSerName val="0"/>
          <c:showPercent val="0"/>
          <c:showBubbleSize val="0"/>
        </c:dLbls>
        <c:gapWidth val="219"/>
        <c:axId val="704082896"/>
        <c:axId val="704083256"/>
      </c:barChart>
      <c:catAx>
        <c:axId val="70408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04083256"/>
        <c:crosses val="autoZero"/>
        <c:auto val="1"/>
        <c:lblAlgn val="ctr"/>
        <c:lblOffset val="100"/>
        <c:noMultiLvlLbl val="0"/>
      </c:catAx>
      <c:valAx>
        <c:axId val="704083256"/>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Average cost per presentation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0408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Sheet14!$F$2</c:f>
              <c:strCache>
                <c:ptCount val="1"/>
                <c:pt idx="0">
                  <c:v>2019-20</c:v>
                </c:pt>
              </c:strCache>
            </c:strRef>
          </c:tx>
          <c:spPr>
            <a:solidFill>
              <a:schemeClr val="accent2"/>
            </a:solidFill>
            <a:ln>
              <a:noFill/>
            </a:ln>
            <a:effectLst/>
          </c:spPr>
          <c:invertIfNegative val="0"/>
          <c:cat>
            <c:strRef>
              <c:f>Sheet14!$E$3:$E$10</c:f>
              <c:strCache>
                <c:ptCount val="8"/>
                <c:pt idx="0">
                  <c:v>NSW</c:v>
                </c:pt>
                <c:pt idx="1">
                  <c:v>Vic</c:v>
                </c:pt>
                <c:pt idx="2">
                  <c:v>Qld</c:v>
                </c:pt>
                <c:pt idx="3">
                  <c:v>SA</c:v>
                </c:pt>
                <c:pt idx="4">
                  <c:v>WA</c:v>
                </c:pt>
                <c:pt idx="5">
                  <c:v>Tas</c:v>
                </c:pt>
                <c:pt idx="6">
                  <c:v>NT</c:v>
                </c:pt>
                <c:pt idx="7">
                  <c:v>ACT</c:v>
                </c:pt>
              </c:strCache>
            </c:strRef>
          </c:cat>
          <c:val>
            <c:numRef>
              <c:f>Sheet14!$F$3:$F$10</c:f>
              <c:numCache>
                <c:formatCode>_-* #,##0_-;\-* #,##0_-;_-* "-"??_-;_-@_-</c:formatCode>
                <c:ptCount val="8"/>
                <c:pt idx="0">
                  <c:v>7.7039470000000003</c:v>
                </c:pt>
                <c:pt idx="1">
                  <c:v>4.125667</c:v>
                </c:pt>
                <c:pt idx="2">
                  <c:v>6.0747609999999996</c:v>
                </c:pt>
                <c:pt idx="3">
                  <c:v>1.6992290000000001</c:v>
                </c:pt>
                <c:pt idx="4">
                  <c:v>2.2229670000000001</c:v>
                </c:pt>
                <c:pt idx="5">
                  <c:v>0.55632300000000001</c:v>
                </c:pt>
                <c:pt idx="6">
                  <c:v>0.31196299999999999</c:v>
                </c:pt>
                <c:pt idx="7">
                  <c:v>0.81586400000000003</c:v>
                </c:pt>
              </c:numCache>
            </c:numRef>
          </c:val>
          <c:extLst>
            <c:ext xmlns:c16="http://schemas.microsoft.com/office/drawing/2014/chart" uri="{C3380CC4-5D6E-409C-BE32-E72D297353CC}">
              <c16:uniqueId val="{00000000-816C-47BB-907C-7DA426A849C3}"/>
            </c:ext>
          </c:extLst>
        </c:ser>
        <c:ser>
          <c:idx val="1"/>
          <c:order val="1"/>
          <c:tx>
            <c:strRef>
              <c:f>Sheet14!$G$2</c:f>
              <c:strCache>
                <c:ptCount val="1"/>
                <c:pt idx="0">
                  <c:v>2020-21</c:v>
                </c:pt>
              </c:strCache>
            </c:strRef>
          </c:tx>
          <c:spPr>
            <a:solidFill>
              <a:schemeClr val="accent3"/>
            </a:solidFill>
            <a:ln>
              <a:noFill/>
            </a:ln>
            <a:effectLst/>
          </c:spPr>
          <c:invertIfNegative val="0"/>
          <c:cat>
            <c:strRef>
              <c:f>Sheet14!$E$3:$E$10</c:f>
              <c:strCache>
                <c:ptCount val="8"/>
                <c:pt idx="0">
                  <c:v>NSW</c:v>
                </c:pt>
                <c:pt idx="1">
                  <c:v>Vic</c:v>
                </c:pt>
                <c:pt idx="2">
                  <c:v>Qld</c:v>
                </c:pt>
                <c:pt idx="3">
                  <c:v>SA</c:v>
                </c:pt>
                <c:pt idx="4">
                  <c:v>WA</c:v>
                </c:pt>
                <c:pt idx="5">
                  <c:v>Tas</c:v>
                </c:pt>
                <c:pt idx="6">
                  <c:v>NT</c:v>
                </c:pt>
                <c:pt idx="7">
                  <c:v>ACT</c:v>
                </c:pt>
              </c:strCache>
            </c:strRef>
          </c:cat>
          <c:val>
            <c:numRef>
              <c:f>Sheet14!$G$3:$G$10</c:f>
              <c:numCache>
                <c:formatCode>_-* #,##0_-;\-* #,##0_-;_-* "-"??_-;_-@_-</c:formatCode>
                <c:ptCount val="8"/>
                <c:pt idx="0">
                  <c:v>10.36328</c:v>
                </c:pt>
                <c:pt idx="1">
                  <c:v>4.3939599999999999</c:v>
                </c:pt>
                <c:pt idx="2">
                  <c:v>6.7748900000000001</c:v>
                </c:pt>
                <c:pt idx="3">
                  <c:v>1.9600740000000001</c:v>
                </c:pt>
                <c:pt idx="4">
                  <c:v>2.6833339999999999</c:v>
                </c:pt>
                <c:pt idx="5">
                  <c:v>0.699461</c:v>
                </c:pt>
                <c:pt idx="6">
                  <c:v>0.35755999999999999</c:v>
                </c:pt>
                <c:pt idx="7">
                  <c:v>0.96653699999999998</c:v>
                </c:pt>
              </c:numCache>
            </c:numRef>
          </c:val>
          <c:extLst>
            <c:ext xmlns:c16="http://schemas.microsoft.com/office/drawing/2014/chart" uri="{C3380CC4-5D6E-409C-BE32-E72D297353CC}">
              <c16:uniqueId val="{00000001-816C-47BB-907C-7DA426A849C3}"/>
            </c:ext>
          </c:extLst>
        </c:ser>
        <c:ser>
          <c:idx val="2"/>
          <c:order val="2"/>
          <c:tx>
            <c:strRef>
              <c:f>Sheet14!$H$2</c:f>
              <c:strCache>
                <c:ptCount val="1"/>
                <c:pt idx="0">
                  <c:v>2021-22</c:v>
                </c:pt>
              </c:strCache>
            </c:strRef>
          </c:tx>
          <c:spPr>
            <a:solidFill>
              <a:schemeClr val="accent4"/>
            </a:solidFill>
            <a:ln>
              <a:noFill/>
            </a:ln>
            <a:effectLst/>
          </c:spPr>
          <c:invertIfNegative val="0"/>
          <c:cat>
            <c:strRef>
              <c:f>Sheet14!$E$3:$E$10</c:f>
              <c:strCache>
                <c:ptCount val="8"/>
                <c:pt idx="0">
                  <c:v>NSW</c:v>
                </c:pt>
                <c:pt idx="1">
                  <c:v>Vic</c:v>
                </c:pt>
                <c:pt idx="2">
                  <c:v>Qld</c:v>
                </c:pt>
                <c:pt idx="3">
                  <c:v>SA</c:v>
                </c:pt>
                <c:pt idx="4">
                  <c:v>WA</c:v>
                </c:pt>
                <c:pt idx="5">
                  <c:v>Tas</c:v>
                </c:pt>
                <c:pt idx="6">
                  <c:v>NT</c:v>
                </c:pt>
                <c:pt idx="7">
                  <c:v>ACT</c:v>
                </c:pt>
              </c:strCache>
            </c:strRef>
          </c:cat>
          <c:val>
            <c:numRef>
              <c:f>Sheet14!$H$3:$H$10</c:f>
              <c:numCache>
                <c:formatCode>_-* #,##0_-;\-* #,##0_-;_-* "-"??_-;_-@_-</c:formatCode>
                <c:ptCount val="8"/>
                <c:pt idx="0">
                  <c:v>9.923216</c:v>
                </c:pt>
                <c:pt idx="1">
                  <c:v>4.7261819999999997</c:v>
                </c:pt>
                <c:pt idx="2">
                  <c:v>8.5543300000000002</c:v>
                </c:pt>
                <c:pt idx="3">
                  <c:v>3.5343309999999999</c:v>
                </c:pt>
                <c:pt idx="4">
                  <c:v>2.829078</c:v>
                </c:pt>
                <c:pt idx="5">
                  <c:v>0.83525700000000003</c:v>
                </c:pt>
                <c:pt idx="6">
                  <c:v>0.30662899999999998</c:v>
                </c:pt>
                <c:pt idx="7">
                  <c:v>1.6857679999999999</c:v>
                </c:pt>
              </c:numCache>
            </c:numRef>
          </c:val>
          <c:extLst>
            <c:ext xmlns:c16="http://schemas.microsoft.com/office/drawing/2014/chart" uri="{C3380CC4-5D6E-409C-BE32-E72D297353CC}">
              <c16:uniqueId val="{00000002-816C-47BB-907C-7DA426A849C3}"/>
            </c:ext>
          </c:extLst>
        </c:ser>
        <c:dLbls>
          <c:showLegendKey val="0"/>
          <c:showVal val="0"/>
          <c:showCatName val="0"/>
          <c:showSerName val="0"/>
          <c:showPercent val="0"/>
          <c:showBubbleSize val="0"/>
        </c:dLbls>
        <c:gapWidth val="219"/>
        <c:axId val="787075448"/>
        <c:axId val="787072568"/>
      </c:barChart>
      <c:catAx>
        <c:axId val="787075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7072568"/>
        <c:crosses val="autoZero"/>
        <c:auto val="1"/>
        <c:lblAlgn val="ctr"/>
        <c:lblOffset val="100"/>
        <c:noMultiLvlLbl val="0"/>
      </c:catAx>
      <c:valAx>
        <c:axId val="787072568"/>
        <c:scaling>
          <c:orientation val="minMax"/>
        </c:scaling>
        <c:delete val="0"/>
        <c:axPos val="l"/>
        <c:majorGridlines>
          <c:spPr>
            <a:ln w="6350"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Service events (millions)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7075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'EDandNAP costs'!$O$4</c:f>
              <c:strCache>
                <c:ptCount val="1"/>
                <c:pt idx="0">
                  <c:v> 2019-20 </c:v>
                </c:pt>
              </c:strCache>
            </c:strRef>
          </c:tx>
          <c:spPr>
            <a:solidFill>
              <a:schemeClr val="accent2"/>
            </a:solidFill>
            <a:ln>
              <a:noFill/>
            </a:ln>
            <a:effectLst/>
          </c:spPr>
          <c:invertIfNegative val="0"/>
          <c:cat>
            <c:strRef>
              <c:f>'EDandNAP costs'!$N$5:$N$12</c:f>
              <c:strCache>
                <c:ptCount val="8"/>
                <c:pt idx="0">
                  <c:v>NSW</c:v>
                </c:pt>
                <c:pt idx="1">
                  <c:v>Vic</c:v>
                </c:pt>
                <c:pt idx="2">
                  <c:v>Qld</c:v>
                </c:pt>
                <c:pt idx="3">
                  <c:v>SA</c:v>
                </c:pt>
                <c:pt idx="4">
                  <c:v>WA</c:v>
                </c:pt>
                <c:pt idx="5">
                  <c:v>Tas</c:v>
                </c:pt>
                <c:pt idx="6">
                  <c:v>NT</c:v>
                </c:pt>
                <c:pt idx="7">
                  <c:v>ACT</c:v>
                </c:pt>
              </c:strCache>
            </c:strRef>
          </c:cat>
          <c:val>
            <c:numRef>
              <c:f>'EDandNAP costs'!$O$5:$O$12</c:f>
              <c:numCache>
                <c:formatCode>_-"$"* #,##0_-;\-"$"* #,##0_-;_-"$"* "-"??_-;_-@_-</c:formatCode>
                <c:ptCount val="8"/>
                <c:pt idx="0">
                  <c:v>2201.0513898000004</c:v>
                </c:pt>
                <c:pt idx="1">
                  <c:v>1426.0910205999999</c:v>
                </c:pt>
                <c:pt idx="2">
                  <c:v>2335.1321415000002</c:v>
                </c:pt>
                <c:pt idx="3">
                  <c:v>857.20154467999998</c:v>
                </c:pt>
                <c:pt idx="4">
                  <c:v>808.04456574999995</c:v>
                </c:pt>
                <c:pt idx="5">
                  <c:v>210.65893518000001</c:v>
                </c:pt>
                <c:pt idx="6">
                  <c:v>158.47932079</c:v>
                </c:pt>
                <c:pt idx="7">
                  <c:v>246.35978169000001</c:v>
                </c:pt>
              </c:numCache>
            </c:numRef>
          </c:val>
          <c:extLst>
            <c:ext xmlns:c16="http://schemas.microsoft.com/office/drawing/2014/chart" uri="{C3380CC4-5D6E-409C-BE32-E72D297353CC}">
              <c16:uniqueId val="{00000000-2271-44EB-A0A8-A22E7FA8E4F0}"/>
            </c:ext>
          </c:extLst>
        </c:ser>
        <c:ser>
          <c:idx val="1"/>
          <c:order val="1"/>
          <c:tx>
            <c:strRef>
              <c:f>'EDandNAP costs'!$P$4</c:f>
              <c:strCache>
                <c:ptCount val="1"/>
                <c:pt idx="0">
                  <c:v> 2020-21 </c:v>
                </c:pt>
              </c:strCache>
            </c:strRef>
          </c:tx>
          <c:spPr>
            <a:solidFill>
              <a:schemeClr val="accent3"/>
            </a:solidFill>
            <a:ln>
              <a:noFill/>
            </a:ln>
            <a:effectLst/>
          </c:spPr>
          <c:invertIfNegative val="0"/>
          <c:cat>
            <c:strRef>
              <c:f>'EDandNAP costs'!$N$5:$N$12</c:f>
              <c:strCache>
                <c:ptCount val="8"/>
                <c:pt idx="0">
                  <c:v>NSW</c:v>
                </c:pt>
                <c:pt idx="1">
                  <c:v>Vic</c:v>
                </c:pt>
                <c:pt idx="2">
                  <c:v>Qld</c:v>
                </c:pt>
                <c:pt idx="3">
                  <c:v>SA</c:v>
                </c:pt>
                <c:pt idx="4">
                  <c:v>WA</c:v>
                </c:pt>
                <c:pt idx="5">
                  <c:v>Tas</c:v>
                </c:pt>
                <c:pt idx="6">
                  <c:v>NT</c:v>
                </c:pt>
                <c:pt idx="7">
                  <c:v>ACT</c:v>
                </c:pt>
              </c:strCache>
            </c:strRef>
          </c:cat>
          <c:val>
            <c:numRef>
              <c:f>'EDandNAP costs'!$P$5:$P$12</c:f>
              <c:numCache>
                <c:formatCode>_-"$"* #,##0_-;\-"$"* #,##0_-;_-"$"* "-"??_-;_-@_-</c:formatCode>
                <c:ptCount val="8"/>
                <c:pt idx="0">
                  <c:v>3036.2477690000001</c:v>
                </c:pt>
                <c:pt idx="1">
                  <c:v>1609.8907187</c:v>
                </c:pt>
                <c:pt idx="2">
                  <c:v>2462.9501252</c:v>
                </c:pt>
                <c:pt idx="3">
                  <c:v>897.47668965000003</c:v>
                </c:pt>
                <c:pt idx="4">
                  <c:v>902.05321878999996</c:v>
                </c:pt>
                <c:pt idx="5">
                  <c:v>268.90029416000004</c:v>
                </c:pt>
                <c:pt idx="6">
                  <c:v>172.80767786000001</c:v>
                </c:pt>
                <c:pt idx="7">
                  <c:v>277.16496314</c:v>
                </c:pt>
              </c:numCache>
            </c:numRef>
          </c:val>
          <c:extLst>
            <c:ext xmlns:c16="http://schemas.microsoft.com/office/drawing/2014/chart" uri="{C3380CC4-5D6E-409C-BE32-E72D297353CC}">
              <c16:uniqueId val="{00000001-2271-44EB-A0A8-A22E7FA8E4F0}"/>
            </c:ext>
          </c:extLst>
        </c:ser>
        <c:ser>
          <c:idx val="2"/>
          <c:order val="2"/>
          <c:tx>
            <c:strRef>
              <c:f>'EDandNAP costs'!$Q$4</c:f>
              <c:strCache>
                <c:ptCount val="1"/>
                <c:pt idx="0">
                  <c:v> 2021-22 </c:v>
                </c:pt>
              </c:strCache>
            </c:strRef>
          </c:tx>
          <c:spPr>
            <a:solidFill>
              <a:schemeClr val="accent4"/>
            </a:solidFill>
            <a:ln>
              <a:noFill/>
            </a:ln>
            <a:effectLst/>
          </c:spPr>
          <c:invertIfNegative val="0"/>
          <c:cat>
            <c:strRef>
              <c:f>'EDandNAP costs'!$N$5:$N$12</c:f>
              <c:strCache>
                <c:ptCount val="8"/>
                <c:pt idx="0">
                  <c:v>NSW</c:v>
                </c:pt>
                <c:pt idx="1">
                  <c:v>Vic</c:v>
                </c:pt>
                <c:pt idx="2">
                  <c:v>Qld</c:v>
                </c:pt>
                <c:pt idx="3">
                  <c:v>SA</c:v>
                </c:pt>
                <c:pt idx="4">
                  <c:v>WA</c:v>
                </c:pt>
                <c:pt idx="5">
                  <c:v>Tas</c:v>
                </c:pt>
                <c:pt idx="6">
                  <c:v>NT</c:v>
                </c:pt>
                <c:pt idx="7">
                  <c:v>ACT</c:v>
                </c:pt>
              </c:strCache>
            </c:strRef>
          </c:cat>
          <c:val>
            <c:numRef>
              <c:f>'EDandNAP costs'!$Q$5:$Q$12</c:f>
              <c:numCache>
                <c:formatCode>_-"$"* #,##0_-;\-"$"* #,##0_-;_-"$"* "-"??_-;_-@_-</c:formatCode>
                <c:ptCount val="8"/>
                <c:pt idx="0">
                  <c:v>3241.9302054999998</c:v>
                </c:pt>
                <c:pt idx="1">
                  <c:v>1786.7373319999999</c:v>
                </c:pt>
                <c:pt idx="2">
                  <c:v>2714.1486375999998</c:v>
                </c:pt>
                <c:pt idx="3">
                  <c:v>1008.836721</c:v>
                </c:pt>
                <c:pt idx="4">
                  <c:v>1014.5422226000001</c:v>
                </c:pt>
                <c:pt idx="5">
                  <c:v>235.18779916</c:v>
                </c:pt>
                <c:pt idx="6">
                  <c:v>161.65719794999998</c:v>
                </c:pt>
                <c:pt idx="7">
                  <c:v>341.24791182999996</c:v>
                </c:pt>
              </c:numCache>
            </c:numRef>
          </c:val>
          <c:extLst>
            <c:ext xmlns:c16="http://schemas.microsoft.com/office/drawing/2014/chart" uri="{C3380CC4-5D6E-409C-BE32-E72D297353CC}">
              <c16:uniqueId val="{00000002-2271-44EB-A0A8-A22E7FA8E4F0}"/>
            </c:ext>
          </c:extLst>
        </c:ser>
        <c:dLbls>
          <c:showLegendKey val="0"/>
          <c:showVal val="0"/>
          <c:showCatName val="0"/>
          <c:showSerName val="0"/>
          <c:showPercent val="0"/>
          <c:showBubbleSize val="0"/>
        </c:dLbls>
        <c:gapWidth val="219"/>
        <c:axId val="725462888"/>
        <c:axId val="725461088"/>
      </c:barChart>
      <c:catAx>
        <c:axId val="725462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5461088"/>
        <c:crosses val="autoZero"/>
        <c:auto val="1"/>
        <c:lblAlgn val="ctr"/>
        <c:lblOffset val="100"/>
        <c:noMultiLvlLbl val="0"/>
      </c:catAx>
      <c:valAx>
        <c:axId val="725461088"/>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latin typeface="Arial" panose="020B0604020202020204" pitchFamily="34" charset="0"/>
                    <a:cs typeface="Arial" panose="020B0604020202020204" pitchFamily="34" charset="0"/>
                  </a:rPr>
                  <a:t>Cost (millions)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5462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solidFill>
            <a:sysClr val="windowText" lastClr="000000"/>
          </a:solidFill>
          <a:latin typeface=""/>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Sheet1!$B$13</c:f>
              <c:strCache>
                <c:ptCount val="1"/>
                <c:pt idx="0">
                  <c:v>2019-20</c:v>
                </c:pt>
              </c:strCache>
            </c:strRef>
          </c:tx>
          <c:spPr>
            <a:solidFill>
              <a:schemeClr val="accent2"/>
            </a:solidFill>
            <a:ln>
              <a:noFill/>
            </a:ln>
            <a:effectLst/>
          </c:spPr>
          <c:invertIfNegative val="0"/>
          <c:cat>
            <c:strRef>
              <c:f>Sheet1!$A$14:$A$21</c:f>
              <c:strCache>
                <c:ptCount val="8"/>
                <c:pt idx="0">
                  <c:v>NSW</c:v>
                </c:pt>
                <c:pt idx="1">
                  <c:v>Vic</c:v>
                </c:pt>
                <c:pt idx="2">
                  <c:v>Qld</c:v>
                </c:pt>
                <c:pt idx="3">
                  <c:v>SA</c:v>
                </c:pt>
                <c:pt idx="4">
                  <c:v>WA</c:v>
                </c:pt>
                <c:pt idx="5">
                  <c:v>Tas</c:v>
                </c:pt>
                <c:pt idx="6">
                  <c:v>NT</c:v>
                </c:pt>
                <c:pt idx="7">
                  <c:v>ACT</c:v>
                </c:pt>
              </c:strCache>
            </c:strRef>
          </c:cat>
          <c:val>
            <c:numRef>
              <c:f>Sheet1!$B$14:$B$21</c:f>
              <c:numCache>
                <c:formatCode>_-* #,##0_-;\-* #,##0_-;_-* "-"??_-;_-@_-</c:formatCode>
                <c:ptCount val="8"/>
                <c:pt idx="0">
                  <c:v>1598.193</c:v>
                </c:pt>
                <c:pt idx="1">
                  <c:v>1671.68</c:v>
                </c:pt>
                <c:pt idx="2">
                  <c:v>1509.2159999999999</c:v>
                </c:pt>
                <c:pt idx="3">
                  <c:v>387.50599999999997</c:v>
                </c:pt>
                <c:pt idx="4">
                  <c:v>564.9</c:v>
                </c:pt>
                <c:pt idx="5">
                  <c:v>123.544</c:v>
                </c:pt>
                <c:pt idx="6">
                  <c:v>178.875</c:v>
                </c:pt>
                <c:pt idx="7">
                  <c:v>107.934</c:v>
                </c:pt>
              </c:numCache>
            </c:numRef>
          </c:val>
          <c:extLst>
            <c:ext xmlns:c16="http://schemas.microsoft.com/office/drawing/2014/chart" uri="{C3380CC4-5D6E-409C-BE32-E72D297353CC}">
              <c16:uniqueId val="{00000000-0326-412B-A843-AB6F2A168EBA}"/>
            </c:ext>
          </c:extLst>
        </c:ser>
        <c:ser>
          <c:idx val="1"/>
          <c:order val="1"/>
          <c:tx>
            <c:strRef>
              <c:f>Sheet1!$C$13</c:f>
              <c:strCache>
                <c:ptCount val="1"/>
                <c:pt idx="0">
                  <c:v>2020-21</c:v>
                </c:pt>
              </c:strCache>
            </c:strRef>
          </c:tx>
          <c:spPr>
            <a:solidFill>
              <a:schemeClr val="accent3"/>
            </a:solidFill>
            <a:ln>
              <a:noFill/>
            </a:ln>
            <a:effectLst/>
          </c:spPr>
          <c:invertIfNegative val="0"/>
          <c:cat>
            <c:strRef>
              <c:f>Sheet1!$A$14:$A$21</c:f>
              <c:strCache>
                <c:ptCount val="8"/>
                <c:pt idx="0">
                  <c:v>NSW</c:v>
                </c:pt>
                <c:pt idx="1">
                  <c:v>Vic</c:v>
                </c:pt>
                <c:pt idx="2">
                  <c:v>Qld</c:v>
                </c:pt>
                <c:pt idx="3">
                  <c:v>SA</c:v>
                </c:pt>
                <c:pt idx="4">
                  <c:v>WA</c:v>
                </c:pt>
                <c:pt idx="5">
                  <c:v>Tas</c:v>
                </c:pt>
                <c:pt idx="6">
                  <c:v>NT</c:v>
                </c:pt>
                <c:pt idx="7">
                  <c:v>ACT</c:v>
                </c:pt>
              </c:strCache>
            </c:strRef>
          </c:cat>
          <c:val>
            <c:numRef>
              <c:f>Sheet1!$C$14:$C$21</c:f>
              <c:numCache>
                <c:formatCode>_-* #,##0_-;\-* #,##0_-;_-* "-"??_-;_-@_-</c:formatCode>
                <c:ptCount val="8"/>
                <c:pt idx="0">
                  <c:v>1627.5150000000001</c:v>
                </c:pt>
                <c:pt idx="1">
                  <c:v>1659.307</c:v>
                </c:pt>
                <c:pt idx="2">
                  <c:v>1626.3820000000001</c:v>
                </c:pt>
                <c:pt idx="3">
                  <c:v>404.83600000000001</c:v>
                </c:pt>
                <c:pt idx="4">
                  <c:v>609.83900000000006</c:v>
                </c:pt>
                <c:pt idx="5">
                  <c:v>132.792</c:v>
                </c:pt>
                <c:pt idx="6">
                  <c:v>179.773</c:v>
                </c:pt>
                <c:pt idx="7">
                  <c:v>119.815</c:v>
                </c:pt>
              </c:numCache>
            </c:numRef>
          </c:val>
          <c:extLst>
            <c:ext xmlns:c16="http://schemas.microsoft.com/office/drawing/2014/chart" uri="{C3380CC4-5D6E-409C-BE32-E72D297353CC}">
              <c16:uniqueId val="{00000001-0326-412B-A843-AB6F2A168EBA}"/>
            </c:ext>
          </c:extLst>
        </c:ser>
        <c:ser>
          <c:idx val="2"/>
          <c:order val="2"/>
          <c:tx>
            <c:strRef>
              <c:f>Sheet1!$D$13</c:f>
              <c:strCache>
                <c:ptCount val="1"/>
                <c:pt idx="0">
                  <c:v>2021-22</c:v>
                </c:pt>
              </c:strCache>
            </c:strRef>
          </c:tx>
          <c:spPr>
            <a:solidFill>
              <a:schemeClr val="accent4"/>
            </a:solidFill>
            <a:ln>
              <a:noFill/>
            </a:ln>
            <a:effectLst/>
          </c:spPr>
          <c:invertIfNegative val="0"/>
          <c:cat>
            <c:strRef>
              <c:f>Sheet1!$A$14:$A$21</c:f>
              <c:strCache>
                <c:ptCount val="8"/>
                <c:pt idx="0">
                  <c:v>NSW</c:v>
                </c:pt>
                <c:pt idx="1">
                  <c:v>Vic</c:v>
                </c:pt>
                <c:pt idx="2">
                  <c:v>Qld</c:v>
                </c:pt>
                <c:pt idx="3">
                  <c:v>SA</c:v>
                </c:pt>
                <c:pt idx="4">
                  <c:v>WA</c:v>
                </c:pt>
                <c:pt idx="5">
                  <c:v>Tas</c:v>
                </c:pt>
                <c:pt idx="6">
                  <c:v>NT</c:v>
                </c:pt>
                <c:pt idx="7">
                  <c:v>ACT</c:v>
                </c:pt>
              </c:strCache>
            </c:strRef>
          </c:cat>
          <c:val>
            <c:numRef>
              <c:f>Sheet1!$D$14:$D$21</c:f>
              <c:numCache>
                <c:formatCode>_-* #,##0_-;\-* #,##0_-;_-* "-"??_-;_-@_-</c:formatCode>
                <c:ptCount val="8"/>
                <c:pt idx="0">
                  <c:v>1489.598</c:v>
                </c:pt>
                <c:pt idx="1">
                  <c:v>1682.451</c:v>
                </c:pt>
                <c:pt idx="2">
                  <c:v>1622.556</c:v>
                </c:pt>
                <c:pt idx="3">
                  <c:v>409.86500000000001</c:v>
                </c:pt>
                <c:pt idx="4">
                  <c:v>588.30899999999997</c:v>
                </c:pt>
                <c:pt idx="5">
                  <c:v>150.054</c:v>
                </c:pt>
                <c:pt idx="6">
                  <c:v>169.31399999999999</c:v>
                </c:pt>
                <c:pt idx="7">
                  <c:v>112.495</c:v>
                </c:pt>
              </c:numCache>
            </c:numRef>
          </c:val>
          <c:extLst>
            <c:ext xmlns:c16="http://schemas.microsoft.com/office/drawing/2014/chart" uri="{C3380CC4-5D6E-409C-BE32-E72D297353CC}">
              <c16:uniqueId val="{00000002-0326-412B-A843-AB6F2A168EBA}"/>
            </c:ext>
          </c:extLst>
        </c:ser>
        <c:dLbls>
          <c:showLegendKey val="0"/>
          <c:showVal val="0"/>
          <c:showCatName val="0"/>
          <c:showSerName val="0"/>
          <c:showPercent val="0"/>
          <c:showBubbleSize val="0"/>
        </c:dLbls>
        <c:gapWidth val="219"/>
        <c:axId val="469677792"/>
        <c:axId val="469678152"/>
      </c:barChart>
      <c:catAx>
        <c:axId val="46967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9678152"/>
        <c:crosses val="autoZero"/>
        <c:auto val="1"/>
        <c:lblAlgn val="ctr"/>
        <c:lblOffset val="100"/>
        <c:noMultiLvlLbl val="0"/>
      </c:catAx>
      <c:valAx>
        <c:axId val="469678152"/>
        <c:scaling>
          <c:orientation val="minMax"/>
          <c:max val="1700"/>
          <c:min val="0"/>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Separations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9677792"/>
        <c:crosses val="autoZero"/>
        <c:crossBetween val="between"/>
        <c:majorUnit val="17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Sheet14!$M$3</c:f>
              <c:strCache>
                <c:ptCount val="1"/>
                <c:pt idx="0">
                  <c:v> 2019-20 </c:v>
                </c:pt>
              </c:strCache>
            </c:strRef>
          </c:tx>
          <c:spPr>
            <a:solidFill>
              <a:schemeClr val="accent2"/>
            </a:solidFill>
            <a:ln>
              <a:noFill/>
            </a:ln>
            <a:effectLst/>
          </c:spPr>
          <c:invertIfNegative val="0"/>
          <c:cat>
            <c:strRef>
              <c:f>Sheet14!$L$4:$L$12</c:f>
              <c:strCache>
                <c:ptCount val="9"/>
                <c:pt idx="0">
                  <c:v> NSW </c:v>
                </c:pt>
                <c:pt idx="1">
                  <c:v> Vic </c:v>
                </c:pt>
                <c:pt idx="2">
                  <c:v> Qld </c:v>
                </c:pt>
                <c:pt idx="3">
                  <c:v> SA </c:v>
                </c:pt>
                <c:pt idx="4">
                  <c:v> WA </c:v>
                </c:pt>
                <c:pt idx="5">
                  <c:v> Tas </c:v>
                </c:pt>
                <c:pt idx="6">
                  <c:v> NT </c:v>
                </c:pt>
                <c:pt idx="7">
                  <c:v> ACT </c:v>
                </c:pt>
                <c:pt idx="8">
                  <c:v> National </c:v>
                </c:pt>
              </c:strCache>
            </c:strRef>
          </c:cat>
          <c:val>
            <c:numRef>
              <c:f>Sheet14!$M$4:$M$12</c:f>
              <c:numCache>
                <c:formatCode>_-"$"* #,##0_-;\-"$"* #,##0_-;_-"$"* "-"??_-;_-@_-</c:formatCode>
                <c:ptCount val="9"/>
                <c:pt idx="0">
                  <c:v>285.70437851999998</c:v>
                </c:pt>
                <c:pt idx="1">
                  <c:v>345.66314261999997</c:v>
                </c:pt>
                <c:pt idx="2">
                  <c:v>384.39901445999999</c:v>
                </c:pt>
                <c:pt idx="3">
                  <c:v>504.46499246000002</c:v>
                </c:pt>
                <c:pt idx="4">
                  <c:v>363.49822816</c:v>
                </c:pt>
                <c:pt idx="5">
                  <c:v>378.66299825999999</c:v>
                </c:pt>
                <c:pt idx="6">
                  <c:v>508.00678539</c:v>
                </c:pt>
                <c:pt idx="7">
                  <c:v>301.96182413999998</c:v>
                </c:pt>
                <c:pt idx="8">
                  <c:v>350.60680189220909</c:v>
                </c:pt>
              </c:numCache>
            </c:numRef>
          </c:val>
          <c:extLst>
            <c:ext xmlns:c16="http://schemas.microsoft.com/office/drawing/2014/chart" uri="{C3380CC4-5D6E-409C-BE32-E72D297353CC}">
              <c16:uniqueId val="{00000000-C4E0-4BB7-8517-E1B90234B678}"/>
            </c:ext>
          </c:extLst>
        </c:ser>
        <c:ser>
          <c:idx val="1"/>
          <c:order val="1"/>
          <c:tx>
            <c:strRef>
              <c:f>Sheet14!$N$3</c:f>
              <c:strCache>
                <c:ptCount val="1"/>
                <c:pt idx="0">
                  <c:v> 2020-21 </c:v>
                </c:pt>
              </c:strCache>
            </c:strRef>
          </c:tx>
          <c:spPr>
            <a:solidFill>
              <a:schemeClr val="accent3"/>
            </a:solidFill>
            <a:ln>
              <a:noFill/>
            </a:ln>
            <a:effectLst/>
          </c:spPr>
          <c:invertIfNegative val="0"/>
          <c:cat>
            <c:strRef>
              <c:f>Sheet14!$L$4:$L$12</c:f>
              <c:strCache>
                <c:ptCount val="9"/>
                <c:pt idx="0">
                  <c:v> NSW </c:v>
                </c:pt>
                <c:pt idx="1">
                  <c:v> Vic </c:v>
                </c:pt>
                <c:pt idx="2">
                  <c:v> Qld </c:v>
                </c:pt>
                <c:pt idx="3">
                  <c:v> SA </c:v>
                </c:pt>
                <c:pt idx="4">
                  <c:v> WA </c:v>
                </c:pt>
                <c:pt idx="5">
                  <c:v> Tas </c:v>
                </c:pt>
                <c:pt idx="6">
                  <c:v> NT </c:v>
                </c:pt>
                <c:pt idx="7">
                  <c:v> ACT </c:v>
                </c:pt>
                <c:pt idx="8">
                  <c:v> National </c:v>
                </c:pt>
              </c:strCache>
            </c:strRef>
          </c:cat>
          <c:val>
            <c:numRef>
              <c:f>Sheet14!$N$4:$N$12</c:f>
              <c:numCache>
                <c:formatCode>_-"$"* #,##0_-;\-"$"* #,##0_-;_-"$"* "-"??_-;_-@_-</c:formatCode>
                <c:ptCount val="9"/>
                <c:pt idx="0">
                  <c:v>292.9813504</c:v>
                </c:pt>
                <c:pt idx="1">
                  <c:v>366.38720395000001</c:v>
                </c:pt>
                <c:pt idx="2">
                  <c:v>363.54097634999999</c:v>
                </c:pt>
                <c:pt idx="3">
                  <c:v>457.87898295999997</c:v>
                </c:pt>
                <c:pt idx="4">
                  <c:v>336.16881789000001</c:v>
                </c:pt>
                <c:pt idx="5">
                  <c:v>384.43929563</c:v>
                </c:pt>
                <c:pt idx="6">
                  <c:v>483.29700710999998</c:v>
                </c:pt>
                <c:pt idx="7">
                  <c:v>286.76084116999999</c:v>
                </c:pt>
                <c:pt idx="8">
                  <c:v>341.41135079294742</c:v>
                </c:pt>
              </c:numCache>
            </c:numRef>
          </c:val>
          <c:extLst>
            <c:ext xmlns:c16="http://schemas.microsoft.com/office/drawing/2014/chart" uri="{C3380CC4-5D6E-409C-BE32-E72D297353CC}">
              <c16:uniqueId val="{00000001-C4E0-4BB7-8517-E1B90234B678}"/>
            </c:ext>
          </c:extLst>
        </c:ser>
        <c:ser>
          <c:idx val="2"/>
          <c:order val="2"/>
          <c:tx>
            <c:strRef>
              <c:f>Sheet14!$O$3</c:f>
              <c:strCache>
                <c:ptCount val="1"/>
                <c:pt idx="0">
                  <c:v> 2021-22 </c:v>
                </c:pt>
              </c:strCache>
            </c:strRef>
          </c:tx>
          <c:spPr>
            <a:solidFill>
              <a:schemeClr val="accent4"/>
            </a:solidFill>
            <a:ln>
              <a:noFill/>
            </a:ln>
            <a:effectLst/>
          </c:spPr>
          <c:invertIfNegative val="0"/>
          <c:cat>
            <c:strRef>
              <c:f>Sheet14!$L$4:$L$12</c:f>
              <c:strCache>
                <c:ptCount val="9"/>
                <c:pt idx="0">
                  <c:v> NSW </c:v>
                </c:pt>
                <c:pt idx="1">
                  <c:v> Vic </c:v>
                </c:pt>
                <c:pt idx="2">
                  <c:v> Qld </c:v>
                </c:pt>
                <c:pt idx="3">
                  <c:v> SA </c:v>
                </c:pt>
                <c:pt idx="4">
                  <c:v> WA </c:v>
                </c:pt>
                <c:pt idx="5">
                  <c:v> Tas </c:v>
                </c:pt>
                <c:pt idx="6">
                  <c:v> NT </c:v>
                </c:pt>
                <c:pt idx="7">
                  <c:v> ACT </c:v>
                </c:pt>
                <c:pt idx="8">
                  <c:v> National </c:v>
                </c:pt>
              </c:strCache>
            </c:strRef>
          </c:cat>
          <c:val>
            <c:numRef>
              <c:f>Sheet14!$O$4:$O$12</c:f>
              <c:numCache>
                <c:formatCode>_-"$"* #,##0_-;\-"$"* #,##0_-;_-"$"* "-"??_-;_-@_-</c:formatCode>
                <c:ptCount val="9"/>
                <c:pt idx="0">
                  <c:v>326.70156585000001</c:v>
                </c:pt>
                <c:pt idx="1">
                  <c:v>378.05089435999997</c:v>
                </c:pt>
                <c:pt idx="2">
                  <c:v>317.28360228999998</c:v>
                </c:pt>
                <c:pt idx="3">
                  <c:v>285.43923052000002</c:v>
                </c:pt>
                <c:pt idx="4">
                  <c:v>358.61231912</c:v>
                </c:pt>
                <c:pt idx="5">
                  <c:v>281.57537041</c:v>
                </c:pt>
                <c:pt idx="6">
                  <c:v>527.20779164999999</c:v>
                </c:pt>
                <c:pt idx="7">
                  <c:v>202.42875165999999</c:v>
                </c:pt>
                <c:pt idx="8">
                  <c:v>324.25855217402085</c:v>
                </c:pt>
              </c:numCache>
            </c:numRef>
          </c:val>
          <c:extLst>
            <c:ext xmlns:c16="http://schemas.microsoft.com/office/drawing/2014/chart" uri="{C3380CC4-5D6E-409C-BE32-E72D297353CC}">
              <c16:uniqueId val="{00000002-C4E0-4BB7-8517-E1B90234B678}"/>
            </c:ext>
          </c:extLst>
        </c:ser>
        <c:dLbls>
          <c:showLegendKey val="0"/>
          <c:showVal val="0"/>
          <c:showCatName val="0"/>
          <c:showSerName val="0"/>
          <c:showPercent val="0"/>
          <c:showBubbleSize val="0"/>
        </c:dLbls>
        <c:gapWidth val="219"/>
        <c:axId val="726808656"/>
        <c:axId val="726806496"/>
      </c:barChart>
      <c:catAx>
        <c:axId val="72680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6806496"/>
        <c:crosses val="autoZero"/>
        <c:auto val="1"/>
        <c:lblAlgn val="ctr"/>
        <c:lblOffset val="100"/>
        <c:noMultiLvlLbl val="0"/>
      </c:catAx>
      <c:valAx>
        <c:axId val="726806496"/>
        <c:scaling>
          <c:orientation val="minMax"/>
        </c:scaling>
        <c:delete val="0"/>
        <c:axPos val="l"/>
        <c:majorGridlines>
          <c:spPr>
            <a:ln w="6350"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Average cost per service event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680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'6. Non Admitted Summary'!$B$56</c:f>
              <c:strCache>
                <c:ptCount val="1"/>
                <c:pt idx="0">
                  <c:v> 2019-20 </c:v>
                </c:pt>
              </c:strCache>
            </c:strRef>
          </c:tx>
          <c:spPr>
            <a:solidFill>
              <a:schemeClr val="accent2"/>
            </a:solidFill>
            <a:ln>
              <a:noFill/>
            </a:ln>
            <a:effectLst/>
          </c:spPr>
          <c:invertIfNegative val="0"/>
          <c:cat>
            <c:strRef>
              <c:f>'6. Non Admitted Summary'!$A$57:$A$73</c:f>
              <c:strCache>
                <c:ptCount val="17"/>
                <c:pt idx="0">
                  <c:v> Ward Medical </c:v>
                </c:pt>
                <c:pt idx="1">
                  <c:v> Ward Nursing </c:v>
                </c:pt>
                <c:pt idx="2">
                  <c:v> Allied Health </c:v>
                </c:pt>
                <c:pt idx="3">
                  <c:v> Non Clinical </c:v>
                </c:pt>
                <c:pt idx="4">
                  <c:v> On-costs </c:v>
                </c:pt>
                <c:pt idx="5">
                  <c:v> Pathology </c:v>
                </c:pt>
                <c:pt idx="6">
                  <c:v> Imaging </c:v>
                </c:pt>
                <c:pt idx="7">
                  <c:v> Prosthesis </c:v>
                </c:pt>
                <c:pt idx="8">
                  <c:v> Ward Supplies </c:v>
                </c:pt>
                <c:pt idx="9">
                  <c:v> Pharmacy </c:v>
                </c:pt>
                <c:pt idx="10">
                  <c:v> Critical Care </c:v>
                </c:pt>
                <c:pt idx="11">
                  <c:v> Operating Room </c:v>
                </c:pt>
                <c:pt idx="12">
                  <c:v> Patient Travel </c:v>
                </c:pt>
                <c:pt idx="13">
                  <c:v> Special Procedure Suite </c:v>
                </c:pt>
                <c:pt idx="14">
                  <c:v> Emergency Department </c:v>
                </c:pt>
                <c:pt idx="15">
                  <c:v> Hotel </c:v>
                </c:pt>
                <c:pt idx="16">
                  <c:v> Depreciation </c:v>
                </c:pt>
              </c:strCache>
            </c:strRef>
          </c:cat>
          <c:val>
            <c:numRef>
              <c:f>'6. Non Admitted Summary'!$B$57:$B$73</c:f>
              <c:numCache>
                <c:formatCode>_-"$"* #,##0_-;\-"$"* #,##0_-;_-"$"* "-"??_-;_-@_-</c:formatCode>
                <c:ptCount val="17"/>
                <c:pt idx="0">
                  <c:v>60.869103613999997</c:v>
                </c:pt>
                <c:pt idx="1">
                  <c:v>51.376999668000003</c:v>
                </c:pt>
                <c:pt idx="2">
                  <c:v>41.808363165000003</c:v>
                </c:pt>
                <c:pt idx="3">
                  <c:v>36.530202246000002</c:v>
                </c:pt>
                <c:pt idx="4">
                  <c:v>23.297238840999999</c:v>
                </c:pt>
                <c:pt idx="5">
                  <c:v>15.591670326999999</c:v>
                </c:pt>
                <c:pt idx="6">
                  <c:v>15.433324170000001</c:v>
                </c:pt>
                <c:pt idx="7">
                  <c:v>0.84120508469999999</c:v>
                </c:pt>
                <c:pt idx="8">
                  <c:v>34.547037441000001</c:v>
                </c:pt>
                <c:pt idx="9">
                  <c:v>40.926191887999998</c:v>
                </c:pt>
                <c:pt idx="10">
                  <c:v>7.4216049300000003E-2</c:v>
                </c:pt>
                <c:pt idx="11">
                  <c:v>5.5281425155999999</c:v>
                </c:pt>
                <c:pt idx="12">
                  <c:v>0.48727468270000002</c:v>
                </c:pt>
                <c:pt idx="13">
                  <c:v>4.8711792660000004</c:v>
                </c:pt>
                <c:pt idx="14">
                  <c:v>0.22246758180000001</c:v>
                </c:pt>
                <c:pt idx="15">
                  <c:v>4.3010456684999996</c:v>
                </c:pt>
                <c:pt idx="16">
                  <c:v>13.901139686</c:v>
                </c:pt>
              </c:numCache>
            </c:numRef>
          </c:val>
          <c:extLst>
            <c:ext xmlns:c16="http://schemas.microsoft.com/office/drawing/2014/chart" uri="{C3380CC4-5D6E-409C-BE32-E72D297353CC}">
              <c16:uniqueId val="{00000000-D992-4985-8B90-B8A00597046B}"/>
            </c:ext>
          </c:extLst>
        </c:ser>
        <c:ser>
          <c:idx val="1"/>
          <c:order val="1"/>
          <c:tx>
            <c:strRef>
              <c:f>'6. Non Admitted Summary'!$C$56</c:f>
              <c:strCache>
                <c:ptCount val="1"/>
                <c:pt idx="0">
                  <c:v> 2020-21 </c:v>
                </c:pt>
              </c:strCache>
            </c:strRef>
          </c:tx>
          <c:spPr>
            <a:solidFill>
              <a:schemeClr val="accent3"/>
            </a:solidFill>
            <a:ln>
              <a:noFill/>
            </a:ln>
            <a:effectLst/>
          </c:spPr>
          <c:invertIfNegative val="0"/>
          <c:cat>
            <c:strRef>
              <c:f>'6. Non Admitted Summary'!$A$57:$A$73</c:f>
              <c:strCache>
                <c:ptCount val="17"/>
                <c:pt idx="0">
                  <c:v> Ward Medical </c:v>
                </c:pt>
                <c:pt idx="1">
                  <c:v> Ward Nursing </c:v>
                </c:pt>
                <c:pt idx="2">
                  <c:v> Allied Health </c:v>
                </c:pt>
                <c:pt idx="3">
                  <c:v> Non Clinical </c:v>
                </c:pt>
                <c:pt idx="4">
                  <c:v> On-costs </c:v>
                </c:pt>
                <c:pt idx="5">
                  <c:v> Pathology </c:v>
                </c:pt>
                <c:pt idx="6">
                  <c:v> Imaging </c:v>
                </c:pt>
                <c:pt idx="7">
                  <c:v> Prosthesis </c:v>
                </c:pt>
                <c:pt idx="8">
                  <c:v> Ward Supplies </c:v>
                </c:pt>
                <c:pt idx="9">
                  <c:v> Pharmacy </c:v>
                </c:pt>
                <c:pt idx="10">
                  <c:v> Critical Care </c:v>
                </c:pt>
                <c:pt idx="11">
                  <c:v> Operating Room </c:v>
                </c:pt>
                <c:pt idx="12">
                  <c:v> Patient Travel </c:v>
                </c:pt>
                <c:pt idx="13">
                  <c:v> Special Procedure Suite </c:v>
                </c:pt>
                <c:pt idx="14">
                  <c:v> Emergency Department </c:v>
                </c:pt>
                <c:pt idx="15">
                  <c:v> Hotel </c:v>
                </c:pt>
                <c:pt idx="16">
                  <c:v> Depreciation </c:v>
                </c:pt>
              </c:strCache>
            </c:strRef>
          </c:cat>
          <c:val>
            <c:numRef>
              <c:f>'6. Non Admitted Summary'!$C$57:$C$73</c:f>
              <c:numCache>
                <c:formatCode>_-"$"* #,##0_-;\-"$"* #,##0_-;_-"$"* "-"??_-;_-@_-</c:formatCode>
                <c:ptCount val="17"/>
                <c:pt idx="0">
                  <c:v>55.167441877000002</c:v>
                </c:pt>
                <c:pt idx="1">
                  <c:v>47.699703071000002</c:v>
                </c:pt>
                <c:pt idx="2">
                  <c:v>36.302227264999999</c:v>
                </c:pt>
                <c:pt idx="3">
                  <c:v>32.895498013000001</c:v>
                </c:pt>
                <c:pt idx="4">
                  <c:v>22.680503922</c:v>
                </c:pt>
                <c:pt idx="5">
                  <c:v>18.402152963999999</c:v>
                </c:pt>
                <c:pt idx="6">
                  <c:v>13.778258114</c:v>
                </c:pt>
                <c:pt idx="7">
                  <c:v>0.75072489399999998</c:v>
                </c:pt>
                <c:pt idx="8">
                  <c:v>39.772888934999997</c:v>
                </c:pt>
                <c:pt idx="9">
                  <c:v>47.445216553999998</c:v>
                </c:pt>
                <c:pt idx="10">
                  <c:v>7.1616231000000002E-2</c:v>
                </c:pt>
                <c:pt idx="11">
                  <c:v>4.7564596907999999</c:v>
                </c:pt>
                <c:pt idx="12">
                  <c:v>0.59340404479999997</c:v>
                </c:pt>
                <c:pt idx="13">
                  <c:v>4.4528207250999996</c:v>
                </c:pt>
                <c:pt idx="14">
                  <c:v>0.2155424158</c:v>
                </c:pt>
                <c:pt idx="15">
                  <c:v>5.1333548784999996</c:v>
                </c:pt>
                <c:pt idx="16">
                  <c:v>11.293537200999999</c:v>
                </c:pt>
              </c:numCache>
            </c:numRef>
          </c:val>
          <c:extLst>
            <c:ext xmlns:c16="http://schemas.microsoft.com/office/drawing/2014/chart" uri="{C3380CC4-5D6E-409C-BE32-E72D297353CC}">
              <c16:uniqueId val="{00000001-D992-4985-8B90-B8A00597046B}"/>
            </c:ext>
          </c:extLst>
        </c:ser>
        <c:ser>
          <c:idx val="2"/>
          <c:order val="2"/>
          <c:tx>
            <c:strRef>
              <c:f>'6. Non Admitted Summary'!$D$56</c:f>
              <c:strCache>
                <c:ptCount val="1"/>
                <c:pt idx="0">
                  <c:v> 2021-22 </c:v>
                </c:pt>
              </c:strCache>
            </c:strRef>
          </c:tx>
          <c:spPr>
            <a:solidFill>
              <a:schemeClr val="accent4"/>
            </a:solidFill>
            <a:ln>
              <a:noFill/>
            </a:ln>
            <a:effectLst/>
          </c:spPr>
          <c:invertIfNegative val="0"/>
          <c:cat>
            <c:strRef>
              <c:f>'6. Non Admitted Summary'!$A$57:$A$73</c:f>
              <c:strCache>
                <c:ptCount val="17"/>
                <c:pt idx="0">
                  <c:v> Ward Medical </c:v>
                </c:pt>
                <c:pt idx="1">
                  <c:v> Ward Nursing </c:v>
                </c:pt>
                <c:pt idx="2">
                  <c:v> Allied Health </c:v>
                </c:pt>
                <c:pt idx="3">
                  <c:v> Non Clinical </c:v>
                </c:pt>
                <c:pt idx="4">
                  <c:v> On-costs </c:v>
                </c:pt>
                <c:pt idx="5">
                  <c:v> Pathology </c:v>
                </c:pt>
                <c:pt idx="6">
                  <c:v> Imaging </c:v>
                </c:pt>
                <c:pt idx="7">
                  <c:v> Prosthesis </c:v>
                </c:pt>
                <c:pt idx="8">
                  <c:v> Ward Supplies </c:v>
                </c:pt>
                <c:pt idx="9">
                  <c:v> Pharmacy </c:v>
                </c:pt>
                <c:pt idx="10">
                  <c:v> Critical Care </c:v>
                </c:pt>
                <c:pt idx="11">
                  <c:v> Operating Room </c:v>
                </c:pt>
                <c:pt idx="12">
                  <c:v> Patient Travel </c:v>
                </c:pt>
                <c:pt idx="13">
                  <c:v> Special Procedure Suite </c:v>
                </c:pt>
                <c:pt idx="14">
                  <c:v> Emergency Department </c:v>
                </c:pt>
                <c:pt idx="15">
                  <c:v> Hotel </c:v>
                </c:pt>
                <c:pt idx="16">
                  <c:v> Depreciation </c:v>
                </c:pt>
              </c:strCache>
            </c:strRef>
          </c:cat>
          <c:val>
            <c:numRef>
              <c:f>'6. Non Admitted Summary'!$D$57:$D$73</c:f>
              <c:numCache>
                <c:formatCode>_-"$"* #,##0_-;\-"$"* #,##0_-;_-"$"* "-"??_-;_-@_-</c:formatCode>
                <c:ptCount val="17"/>
                <c:pt idx="0">
                  <c:v>52.371716571999997</c:v>
                </c:pt>
                <c:pt idx="1">
                  <c:v>50.182292123000003</c:v>
                </c:pt>
                <c:pt idx="2">
                  <c:v>36.004291383000002</c:v>
                </c:pt>
                <c:pt idx="3">
                  <c:v>32.074140946999997</c:v>
                </c:pt>
                <c:pt idx="4">
                  <c:v>23.765358953</c:v>
                </c:pt>
                <c:pt idx="5">
                  <c:v>12.439719229</c:v>
                </c:pt>
                <c:pt idx="6">
                  <c:v>12.104568162</c:v>
                </c:pt>
                <c:pt idx="7">
                  <c:v>0.52963207919999999</c:v>
                </c:pt>
                <c:pt idx="8">
                  <c:v>36.023183471999999</c:v>
                </c:pt>
                <c:pt idx="9">
                  <c:v>40.776896233999999</c:v>
                </c:pt>
                <c:pt idx="10">
                  <c:v>0.14709683060000001</c:v>
                </c:pt>
                <c:pt idx="11">
                  <c:v>4.3081078158999997</c:v>
                </c:pt>
                <c:pt idx="12">
                  <c:v>0.38403744509999999</c:v>
                </c:pt>
                <c:pt idx="13">
                  <c:v>6.2778816088999996</c:v>
                </c:pt>
                <c:pt idx="14">
                  <c:v>0.2437968449</c:v>
                </c:pt>
                <c:pt idx="15">
                  <c:v>5.1210269912999999</c:v>
                </c:pt>
                <c:pt idx="16">
                  <c:v>11.504805481</c:v>
                </c:pt>
              </c:numCache>
            </c:numRef>
          </c:val>
          <c:extLst>
            <c:ext xmlns:c16="http://schemas.microsoft.com/office/drawing/2014/chart" uri="{C3380CC4-5D6E-409C-BE32-E72D297353CC}">
              <c16:uniqueId val="{00000002-D992-4985-8B90-B8A00597046B}"/>
            </c:ext>
          </c:extLst>
        </c:ser>
        <c:dLbls>
          <c:showLegendKey val="0"/>
          <c:showVal val="0"/>
          <c:showCatName val="0"/>
          <c:showSerName val="0"/>
          <c:showPercent val="0"/>
          <c:showBubbleSize val="0"/>
        </c:dLbls>
        <c:gapWidth val="182"/>
        <c:axId val="555179088"/>
        <c:axId val="345935336"/>
      </c:barChart>
      <c:catAx>
        <c:axId val="555179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5935336"/>
        <c:crosses val="autoZero"/>
        <c:auto val="1"/>
        <c:lblAlgn val="ctr"/>
        <c:lblOffset val="100"/>
        <c:noMultiLvlLbl val="0"/>
      </c:catAx>
      <c:valAx>
        <c:axId val="345935336"/>
        <c:scaling>
          <c:orientation val="minMax"/>
        </c:scaling>
        <c:delete val="0"/>
        <c:axPos val="b"/>
        <c:majorGridlines>
          <c:spPr>
            <a:ln w="9525" cap="flat" cmpd="sng" algn="ctr">
              <a:solidFill>
                <a:srgbClr val="000000"/>
              </a:solidFill>
              <a:round/>
            </a:ln>
            <a:effectLst/>
          </c:spPr>
        </c:majorGridlines>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55179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sz="1000">
          <a:solidFill>
            <a:sysClr val="windowText" lastClr="000000"/>
          </a:solidFill>
          <a:latin typeface=""/>
          <a:cs typeface="Arial" panose="020B0604020202020204" pitchFamily="34"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Sheet5!$C$14</c:f>
              <c:strCache>
                <c:ptCount val="1"/>
                <c:pt idx="0">
                  <c:v>2019-20</c:v>
                </c:pt>
              </c:strCache>
            </c:strRef>
          </c:tx>
          <c:spPr>
            <a:solidFill>
              <a:schemeClr val="accent2"/>
            </a:solidFill>
            <a:ln>
              <a:noFill/>
            </a:ln>
            <a:effectLst/>
          </c:spPr>
          <c:invertIfNegative val="0"/>
          <c:cat>
            <c:strRef>
              <c:f>Sheet5!$B$15:$B$22</c:f>
              <c:strCache>
                <c:ptCount val="8"/>
                <c:pt idx="0">
                  <c:v>NSW</c:v>
                </c:pt>
                <c:pt idx="1">
                  <c:v>Vic</c:v>
                </c:pt>
                <c:pt idx="2">
                  <c:v>Qld</c:v>
                </c:pt>
                <c:pt idx="3">
                  <c:v>SA</c:v>
                </c:pt>
                <c:pt idx="4">
                  <c:v>WA</c:v>
                </c:pt>
                <c:pt idx="5">
                  <c:v>Tas</c:v>
                </c:pt>
                <c:pt idx="6">
                  <c:v>NT</c:v>
                </c:pt>
                <c:pt idx="7">
                  <c:v>ACT</c:v>
                </c:pt>
              </c:strCache>
            </c:strRef>
          </c:cat>
          <c:val>
            <c:numRef>
              <c:f>Sheet5!$C$15:$C$22</c:f>
              <c:numCache>
                <c:formatCode>_-* #,##0_-;\-* #,##0_-;_-* "-"??_-;_-@_-</c:formatCode>
                <c:ptCount val="8"/>
                <c:pt idx="0">
                  <c:v>37523</c:v>
                </c:pt>
                <c:pt idx="1">
                  <c:v>17993</c:v>
                </c:pt>
                <c:pt idx="2">
                  <c:v>10241</c:v>
                </c:pt>
                <c:pt idx="3">
                  <c:v>7271</c:v>
                </c:pt>
                <c:pt idx="4">
                  <c:v>0</c:v>
                </c:pt>
                <c:pt idx="5">
                  <c:v>0</c:v>
                </c:pt>
                <c:pt idx="6">
                  <c:v>0</c:v>
                </c:pt>
                <c:pt idx="7">
                  <c:v>0</c:v>
                </c:pt>
              </c:numCache>
            </c:numRef>
          </c:val>
          <c:extLst>
            <c:ext xmlns:c16="http://schemas.microsoft.com/office/drawing/2014/chart" uri="{C3380CC4-5D6E-409C-BE32-E72D297353CC}">
              <c16:uniqueId val="{00000000-DADF-44E4-8986-A8F5182D3882}"/>
            </c:ext>
          </c:extLst>
        </c:ser>
        <c:ser>
          <c:idx val="1"/>
          <c:order val="1"/>
          <c:tx>
            <c:strRef>
              <c:f>Sheet5!$D$14</c:f>
              <c:strCache>
                <c:ptCount val="1"/>
                <c:pt idx="0">
                  <c:v>2020-21</c:v>
                </c:pt>
              </c:strCache>
            </c:strRef>
          </c:tx>
          <c:spPr>
            <a:solidFill>
              <a:schemeClr val="accent3"/>
            </a:solidFill>
            <a:ln>
              <a:noFill/>
            </a:ln>
            <a:effectLst/>
          </c:spPr>
          <c:invertIfNegative val="0"/>
          <c:cat>
            <c:strRef>
              <c:f>Sheet5!$B$15:$B$22</c:f>
              <c:strCache>
                <c:ptCount val="8"/>
                <c:pt idx="0">
                  <c:v>NSW</c:v>
                </c:pt>
                <c:pt idx="1">
                  <c:v>Vic</c:v>
                </c:pt>
                <c:pt idx="2">
                  <c:v>Qld</c:v>
                </c:pt>
                <c:pt idx="3">
                  <c:v>SA</c:v>
                </c:pt>
                <c:pt idx="4">
                  <c:v>WA</c:v>
                </c:pt>
                <c:pt idx="5">
                  <c:v>Tas</c:v>
                </c:pt>
                <c:pt idx="6">
                  <c:v>NT</c:v>
                </c:pt>
                <c:pt idx="7">
                  <c:v>ACT</c:v>
                </c:pt>
              </c:strCache>
            </c:strRef>
          </c:cat>
          <c:val>
            <c:numRef>
              <c:f>Sheet5!$D$15:$D$22</c:f>
              <c:numCache>
                <c:formatCode>_-* #,##0_-;\-* #,##0_-;_-* "-"??_-;_-@_-</c:formatCode>
                <c:ptCount val="8"/>
                <c:pt idx="0">
                  <c:v>36387</c:v>
                </c:pt>
                <c:pt idx="1">
                  <c:v>26470</c:v>
                </c:pt>
                <c:pt idx="2">
                  <c:v>6562</c:v>
                </c:pt>
                <c:pt idx="3">
                  <c:v>0</c:v>
                </c:pt>
                <c:pt idx="4">
                  <c:v>0</c:v>
                </c:pt>
                <c:pt idx="5">
                  <c:v>0</c:v>
                </c:pt>
                <c:pt idx="6">
                  <c:v>0</c:v>
                </c:pt>
                <c:pt idx="7">
                  <c:v>0</c:v>
                </c:pt>
              </c:numCache>
            </c:numRef>
          </c:val>
          <c:extLst>
            <c:ext xmlns:c16="http://schemas.microsoft.com/office/drawing/2014/chart" uri="{C3380CC4-5D6E-409C-BE32-E72D297353CC}">
              <c16:uniqueId val="{00000001-DADF-44E4-8986-A8F5182D3882}"/>
            </c:ext>
          </c:extLst>
        </c:ser>
        <c:ser>
          <c:idx val="2"/>
          <c:order val="2"/>
          <c:tx>
            <c:strRef>
              <c:f>Sheet5!$E$14</c:f>
              <c:strCache>
                <c:ptCount val="1"/>
                <c:pt idx="0">
                  <c:v>2021-22</c:v>
                </c:pt>
              </c:strCache>
            </c:strRef>
          </c:tx>
          <c:spPr>
            <a:solidFill>
              <a:schemeClr val="accent4"/>
            </a:solidFill>
            <a:ln>
              <a:noFill/>
            </a:ln>
            <a:effectLst/>
          </c:spPr>
          <c:invertIfNegative val="0"/>
          <c:cat>
            <c:strRef>
              <c:f>Sheet5!$B$15:$B$22</c:f>
              <c:strCache>
                <c:ptCount val="8"/>
                <c:pt idx="0">
                  <c:v>NSW</c:v>
                </c:pt>
                <c:pt idx="1">
                  <c:v>Vic</c:v>
                </c:pt>
                <c:pt idx="2">
                  <c:v>Qld</c:v>
                </c:pt>
                <c:pt idx="3">
                  <c:v>SA</c:v>
                </c:pt>
                <c:pt idx="4">
                  <c:v>WA</c:v>
                </c:pt>
                <c:pt idx="5">
                  <c:v>Tas</c:v>
                </c:pt>
                <c:pt idx="6">
                  <c:v>NT</c:v>
                </c:pt>
                <c:pt idx="7">
                  <c:v>ACT</c:v>
                </c:pt>
              </c:strCache>
            </c:strRef>
          </c:cat>
          <c:val>
            <c:numRef>
              <c:f>Sheet5!$E$15:$E$22</c:f>
              <c:numCache>
                <c:formatCode>_-* #,##0_-;\-* #,##0_-;_-* "-"??_-;_-@_-</c:formatCode>
                <c:ptCount val="8"/>
                <c:pt idx="0">
                  <c:v>32181</c:v>
                </c:pt>
                <c:pt idx="1">
                  <c:v>25507</c:v>
                </c:pt>
                <c:pt idx="2">
                  <c:v>15763</c:v>
                </c:pt>
                <c:pt idx="3">
                  <c:v>6484</c:v>
                </c:pt>
                <c:pt idx="4">
                  <c:v>0</c:v>
                </c:pt>
                <c:pt idx="5">
                  <c:v>0</c:v>
                </c:pt>
                <c:pt idx="6">
                  <c:v>0</c:v>
                </c:pt>
                <c:pt idx="7">
                  <c:v>0</c:v>
                </c:pt>
              </c:numCache>
            </c:numRef>
          </c:val>
          <c:extLst>
            <c:ext xmlns:c16="http://schemas.microsoft.com/office/drawing/2014/chart" uri="{C3380CC4-5D6E-409C-BE32-E72D297353CC}">
              <c16:uniqueId val="{00000002-DADF-44E4-8986-A8F5182D3882}"/>
            </c:ext>
          </c:extLst>
        </c:ser>
        <c:dLbls>
          <c:showLegendKey val="0"/>
          <c:showVal val="0"/>
          <c:showCatName val="0"/>
          <c:showSerName val="0"/>
          <c:showPercent val="0"/>
          <c:showBubbleSize val="0"/>
        </c:dLbls>
        <c:gapWidth val="219"/>
        <c:axId val="689420112"/>
        <c:axId val="689416512"/>
      </c:barChart>
      <c:catAx>
        <c:axId val="68942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89416512"/>
        <c:crosses val="autoZero"/>
        <c:auto val="1"/>
        <c:lblAlgn val="ctr"/>
        <c:lblOffset val="100"/>
        <c:noMultiLvlLbl val="0"/>
      </c:catAx>
      <c:valAx>
        <c:axId val="689416512"/>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Phases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8942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Sheet5!$C$2</c:f>
              <c:strCache>
                <c:ptCount val="1"/>
                <c:pt idx="0">
                  <c:v>2019-20</c:v>
                </c:pt>
              </c:strCache>
            </c:strRef>
          </c:tx>
          <c:spPr>
            <a:solidFill>
              <a:schemeClr val="accent2"/>
            </a:solidFill>
            <a:ln>
              <a:noFill/>
            </a:ln>
            <a:effectLst/>
          </c:spPr>
          <c:invertIfNegative val="0"/>
          <c:cat>
            <c:strRef>
              <c:f>Sheet5!$B$3:$B$10</c:f>
              <c:strCache>
                <c:ptCount val="8"/>
                <c:pt idx="0">
                  <c:v>NSW</c:v>
                </c:pt>
                <c:pt idx="1">
                  <c:v>Vic</c:v>
                </c:pt>
                <c:pt idx="2">
                  <c:v>Qld</c:v>
                </c:pt>
                <c:pt idx="3">
                  <c:v>SA</c:v>
                </c:pt>
                <c:pt idx="4">
                  <c:v>WA</c:v>
                </c:pt>
                <c:pt idx="5">
                  <c:v>Tas</c:v>
                </c:pt>
                <c:pt idx="6">
                  <c:v>NT</c:v>
                </c:pt>
                <c:pt idx="7">
                  <c:v>ACT</c:v>
                </c:pt>
              </c:strCache>
            </c:strRef>
          </c:cat>
          <c:val>
            <c:numRef>
              <c:f>Sheet5!$C$3:$C$10</c:f>
              <c:numCache>
                <c:formatCode>_-* #,##0_-;\-* #,##0_-;_-* "-"??_-;_-@_-</c:formatCode>
                <c:ptCount val="8"/>
                <c:pt idx="0">
                  <c:v>15</c:v>
                </c:pt>
                <c:pt idx="1">
                  <c:v>8304</c:v>
                </c:pt>
                <c:pt idx="2">
                  <c:v>10813</c:v>
                </c:pt>
                <c:pt idx="3">
                  <c:v>6260</c:v>
                </c:pt>
                <c:pt idx="4">
                  <c:v>12959</c:v>
                </c:pt>
                <c:pt idx="5">
                  <c:v>3281</c:v>
                </c:pt>
                <c:pt idx="6">
                  <c:v>1346</c:v>
                </c:pt>
                <c:pt idx="7">
                  <c:v>2423</c:v>
                </c:pt>
              </c:numCache>
            </c:numRef>
          </c:val>
          <c:extLst>
            <c:ext xmlns:c16="http://schemas.microsoft.com/office/drawing/2014/chart" uri="{C3380CC4-5D6E-409C-BE32-E72D297353CC}">
              <c16:uniqueId val="{00000000-AE3F-4645-8679-8100FF41206A}"/>
            </c:ext>
          </c:extLst>
        </c:ser>
        <c:ser>
          <c:idx val="1"/>
          <c:order val="1"/>
          <c:tx>
            <c:strRef>
              <c:f>Sheet5!$D$2</c:f>
              <c:strCache>
                <c:ptCount val="1"/>
                <c:pt idx="0">
                  <c:v>2020-21</c:v>
                </c:pt>
              </c:strCache>
            </c:strRef>
          </c:tx>
          <c:spPr>
            <a:solidFill>
              <a:schemeClr val="accent3"/>
            </a:solidFill>
            <a:ln>
              <a:noFill/>
            </a:ln>
            <a:effectLst/>
          </c:spPr>
          <c:invertIfNegative val="0"/>
          <c:cat>
            <c:strRef>
              <c:f>Sheet5!$B$3:$B$10</c:f>
              <c:strCache>
                <c:ptCount val="8"/>
                <c:pt idx="0">
                  <c:v>NSW</c:v>
                </c:pt>
                <c:pt idx="1">
                  <c:v>Vic</c:v>
                </c:pt>
                <c:pt idx="2">
                  <c:v>Qld</c:v>
                </c:pt>
                <c:pt idx="3">
                  <c:v>SA</c:v>
                </c:pt>
                <c:pt idx="4">
                  <c:v>WA</c:v>
                </c:pt>
                <c:pt idx="5">
                  <c:v>Tas</c:v>
                </c:pt>
                <c:pt idx="6">
                  <c:v>NT</c:v>
                </c:pt>
                <c:pt idx="7">
                  <c:v>ACT</c:v>
                </c:pt>
              </c:strCache>
            </c:strRef>
          </c:cat>
          <c:val>
            <c:numRef>
              <c:f>Sheet5!$D$3:$D$10</c:f>
              <c:numCache>
                <c:formatCode>_-* #,##0_-;\-* #,##0_-;_-* "-"??_-;_-@_-</c:formatCode>
                <c:ptCount val="8"/>
                <c:pt idx="0">
                  <c:v>527</c:v>
                </c:pt>
                <c:pt idx="1">
                  <c:v>423</c:v>
                </c:pt>
                <c:pt idx="2">
                  <c:v>17667</c:v>
                </c:pt>
                <c:pt idx="3">
                  <c:v>6344</c:v>
                </c:pt>
                <c:pt idx="4">
                  <c:v>12839</c:v>
                </c:pt>
                <c:pt idx="5">
                  <c:v>3297</c:v>
                </c:pt>
                <c:pt idx="6">
                  <c:v>1377</c:v>
                </c:pt>
                <c:pt idx="7">
                  <c:v>2622</c:v>
                </c:pt>
              </c:numCache>
            </c:numRef>
          </c:val>
          <c:extLst>
            <c:ext xmlns:c16="http://schemas.microsoft.com/office/drawing/2014/chart" uri="{C3380CC4-5D6E-409C-BE32-E72D297353CC}">
              <c16:uniqueId val="{00000001-AE3F-4645-8679-8100FF41206A}"/>
            </c:ext>
          </c:extLst>
        </c:ser>
        <c:ser>
          <c:idx val="2"/>
          <c:order val="2"/>
          <c:tx>
            <c:strRef>
              <c:f>Sheet5!$E$2</c:f>
              <c:strCache>
                <c:ptCount val="1"/>
                <c:pt idx="0">
                  <c:v>2021-22</c:v>
                </c:pt>
              </c:strCache>
            </c:strRef>
          </c:tx>
          <c:spPr>
            <a:solidFill>
              <a:schemeClr val="accent4"/>
            </a:solidFill>
            <a:ln>
              <a:noFill/>
            </a:ln>
            <a:effectLst/>
          </c:spPr>
          <c:invertIfNegative val="0"/>
          <c:cat>
            <c:strRef>
              <c:f>Sheet5!$B$3:$B$10</c:f>
              <c:strCache>
                <c:ptCount val="8"/>
                <c:pt idx="0">
                  <c:v>NSW</c:v>
                </c:pt>
                <c:pt idx="1">
                  <c:v>Vic</c:v>
                </c:pt>
                <c:pt idx="2">
                  <c:v>Qld</c:v>
                </c:pt>
                <c:pt idx="3">
                  <c:v>SA</c:v>
                </c:pt>
                <c:pt idx="4">
                  <c:v>WA</c:v>
                </c:pt>
                <c:pt idx="5">
                  <c:v>Tas</c:v>
                </c:pt>
                <c:pt idx="6">
                  <c:v>NT</c:v>
                </c:pt>
                <c:pt idx="7">
                  <c:v>ACT</c:v>
                </c:pt>
              </c:strCache>
            </c:strRef>
          </c:cat>
          <c:val>
            <c:numRef>
              <c:f>Sheet5!$E$3:$E$10</c:f>
              <c:numCache>
                <c:formatCode>_-* #,##0_-;\-* #,##0_-;_-* "-"??_-;_-@_-</c:formatCode>
                <c:ptCount val="8"/>
                <c:pt idx="0">
                  <c:v>94</c:v>
                </c:pt>
                <c:pt idx="1">
                  <c:v>448</c:v>
                </c:pt>
                <c:pt idx="2">
                  <c:v>7991</c:v>
                </c:pt>
                <c:pt idx="3">
                  <c:v>5</c:v>
                </c:pt>
                <c:pt idx="4">
                  <c:v>12458</c:v>
                </c:pt>
                <c:pt idx="5">
                  <c:v>3133</c:v>
                </c:pt>
                <c:pt idx="6">
                  <c:v>1332</c:v>
                </c:pt>
                <c:pt idx="7">
                  <c:v>2457</c:v>
                </c:pt>
              </c:numCache>
            </c:numRef>
          </c:val>
          <c:extLst>
            <c:ext xmlns:c16="http://schemas.microsoft.com/office/drawing/2014/chart" uri="{C3380CC4-5D6E-409C-BE32-E72D297353CC}">
              <c16:uniqueId val="{00000002-AE3F-4645-8679-8100FF41206A}"/>
            </c:ext>
          </c:extLst>
        </c:ser>
        <c:dLbls>
          <c:showLegendKey val="0"/>
          <c:showVal val="0"/>
          <c:showCatName val="0"/>
          <c:showSerName val="0"/>
          <c:showPercent val="0"/>
          <c:showBubbleSize val="0"/>
        </c:dLbls>
        <c:gapWidth val="219"/>
        <c:axId val="469677432"/>
        <c:axId val="463114856"/>
      </c:barChart>
      <c:catAx>
        <c:axId val="46967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3114856"/>
        <c:crosses val="autoZero"/>
        <c:auto val="1"/>
        <c:lblAlgn val="ctr"/>
        <c:lblOffset val="100"/>
        <c:noMultiLvlLbl val="0"/>
      </c:catAx>
      <c:valAx>
        <c:axId val="463114856"/>
        <c:scaling>
          <c:orientation val="minMax"/>
          <c:max val="18000"/>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Episodes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9677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'EDandNAP costs'!$Z$14</c:f>
              <c:strCache>
                <c:ptCount val="1"/>
                <c:pt idx="0">
                  <c:v>2019-20</c:v>
                </c:pt>
              </c:strCache>
            </c:strRef>
          </c:tx>
          <c:spPr>
            <a:solidFill>
              <a:schemeClr val="accent2"/>
            </a:solidFill>
            <a:ln>
              <a:noFill/>
            </a:ln>
            <a:effectLst/>
          </c:spPr>
          <c:invertIfNegative val="0"/>
          <c:cat>
            <c:strRef>
              <c:f>'EDandNAP costs'!$Y$15:$Y$22</c:f>
              <c:strCache>
                <c:ptCount val="8"/>
                <c:pt idx="0">
                  <c:v>NSW</c:v>
                </c:pt>
                <c:pt idx="1">
                  <c:v>Vic</c:v>
                </c:pt>
                <c:pt idx="2">
                  <c:v>Qld</c:v>
                </c:pt>
                <c:pt idx="3">
                  <c:v>SA</c:v>
                </c:pt>
                <c:pt idx="4">
                  <c:v>WA</c:v>
                </c:pt>
                <c:pt idx="5">
                  <c:v>Tas</c:v>
                </c:pt>
                <c:pt idx="6">
                  <c:v>NT</c:v>
                </c:pt>
                <c:pt idx="7">
                  <c:v>ACT</c:v>
                </c:pt>
              </c:strCache>
            </c:strRef>
          </c:cat>
          <c:val>
            <c:numRef>
              <c:f>'EDandNAP costs'!$Z$15:$Z$22</c:f>
              <c:numCache>
                <c:formatCode>_-"$"* #,##0_-;\-"$"* #,##0_-;_-"$"* "-"??_-;_-@_-</c:formatCode>
                <c:ptCount val="8"/>
                <c:pt idx="0">
                  <c:v>752.18685951999998</c:v>
                </c:pt>
                <c:pt idx="1">
                  <c:v>336.63080638999998</c:v>
                </c:pt>
                <c:pt idx="2">
                  <c:v>195.25449766999998</c:v>
                </c:pt>
                <c:pt idx="3">
                  <c:v>173.9906163</c:v>
                </c:pt>
                <c:pt idx="4">
                  <c:v>0</c:v>
                </c:pt>
                <c:pt idx="5">
                  <c:v>0</c:v>
                </c:pt>
                <c:pt idx="6">
                  <c:v>0</c:v>
                </c:pt>
                <c:pt idx="7">
                  <c:v>0</c:v>
                </c:pt>
              </c:numCache>
            </c:numRef>
          </c:val>
          <c:extLst>
            <c:ext xmlns:c16="http://schemas.microsoft.com/office/drawing/2014/chart" uri="{C3380CC4-5D6E-409C-BE32-E72D297353CC}">
              <c16:uniqueId val="{00000000-747E-4435-A2DA-238EB99F3571}"/>
            </c:ext>
          </c:extLst>
        </c:ser>
        <c:ser>
          <c:idx val="1"/>
          <c:order val="1"/>
          <c:tx>
            <c:strRef>
              <c:f>'EDandNAP costs'!$AA$14</c:f>
              <c:strCache>
                <c:ptCount val="1"/>
                <c:pt idx="0">
                  <c:v>2020-21</c:v>
                </c:pt>
              </c:strCache>
            </c:strRef>
          </c:tx>
          <c:spPr>
            <a:solidFill>
              <a:schemeClr val="accent3"/>
            </a:solidFill>
            <a:ln>
              <a:noFill/>
            </a:ln>
            <a:effectLst/>
          </c:spPr>
          <c:invertIfNegative val="0"/>
          <c:cat>
            <c:strRef>
              <c:f>'EDandNAP costs'!$Y$15:$Y$22</c:f>
              <c:strCache>
                <c:ptCount val="8"/>
                <c:pt idx="0">
                  <c:v>NSW</c:v>
                </c:pt>
                <c:pt idx="1">
                  <c:v>Vic</c:v>
                </c:pt>
                <c:pt idx="2">
                  <c:v>Qld</c:v>
                </c:pt>
                <c:pt idx="3">
                  <c:v>SA</c:v>
                </c:pt>
                <c:pt idx="4">
                  <c:v>WA</c:v>
                </c:pt>
                <c:pt idx="5">
                  <c:v>Tas</c:v>
                </c:pt>
                <c:pt idx="6">
                  <c:v>NT</c:v>
                </c:pt>
                <c:pt idx="7">
                  <c:v>ACT</c:v>
                </c:pt>
              </c:strCache>
            </c:strRef>
          </c:cat>
          <c:val>
            <c:numRef>
              <c:f>'EDandNAP costs'!$AA$15:$AA$22</c:f>
              <c:numCache>
                <c:formatCode>_-"$"* #,##0_-;\-"$"* #,##0_-;_-"$"* "-"??_-;_-@_-</c:formatCode>
                <c:ptCount val="8"/>
                <c:pt idx="0">
                  <c:v>706.78102832000002</c:v>
                </c:pt>
                <c:pt idx="1">
                  <c:v>574.61763076</c:v>
                </c:pt>
                <c:pt idx="2">
                  <c:v>155.51000295</c:v>
                </c:pt>
                <c:pt idx="3">
                  <c:v>0</c:v>
                </c:pt>
                <c:pt idx="4">
                  <c:v>0</c:v>
                </c:pt>
                <c:pt idx="5">
                  <c:v>0</c:v>
                </c:pt>
                <c:pt idx="6">
                  <c:v>0</c:v>
                </c:pt>
                <c:pt idx="7">
                  <c:v>0</c:v>
                </c:pt>
              </c:numCache>
            </c:numRef>
          </c:val>
          <c:extLst>
            <c:ext xmlns:c16="http://schemas.microsoft.com/office/drawing/2014/chart" uri="{C3380CC4-5D6E-409C-BE32-E72D297353CC}">
              <c16:uniqueId val="{00000001-747E-4435-A2DA-238EB99F3571}"/>
            </c:ext>
          </c:extLst>
        </c:ser>
        <c:ser>
          <c:idx val="2"/>
          <c:order val="2"/>
          <c:tx>
            <c:strRef>
              <c:f>'EDandNAP costs'!$AB$14</c:f>
              <c:strCache>
                <c:ptCount val="1"/>
                <c:pt idx="0">
                  <c:v>2021-22</c:v>
                </c:pt>
              </c:strCache>
            </c:strRef>
          </c:tx>
          <c:spPr>
            <a:solidFill>
              <a:schemeClr val="accent4"/>
            </a:solidFill>
            <a:ln>
              <a:noFill/>
            </a:ln>
            <a:effectLst/>
          </c:spPr>
          <c:invertIfNegative val="0"/>
          <c:cat>
            <c:strRef>
              <c:f>'EDandNAP costs'!$Y$15:$Y$22</c:f>
              <c:strCache>
                <c:ptCount val="8"/>
                <c:pt idx="0">
                  <c:v>NSW</c:v>
                </c:pt>
                <c:pt idx="1">
                  <c:v>Vic</c:v>
                </c:pt>
                <c:pt idx="2">
                  <c:v>Qld</c:v>
                </c:pt>
                <c:pt idx="3">
                  <c:v>SA</c:v>
                </c:pt>
                <c:pt idx="4">
                  <c:v>WA</c:v>
                </c:pt>
                <c:pt idx="5">
                  <c:v>Tas</c:v>
                </c:pt>
                <c:pt idx="6">
                  <c:v>NT</c:v>
                </c:pt>
                <c:pt idx="7">
                  <c:v>ACT</c:v>
                </c:pt>
              </c:strCache>
            </c:strRef>
          </c:cat>
          <c:val>
            <c:numRef>
              <c:f>'EDandNAP costs'!$AB$15:$AB$22</c:f>
              <c:numCache>
                <c:formatCode>_-"$"* #,##0_-;\-"$"* #,##0_-;_-"$"* "-"??_-;_-@_-</c:formatCode>
                <c:ptCount val="8"/>
                <c:pt idx="0">
                  <c:v>744.11127296000006</c:v>
                </c:pt>
                <c:pt idx="1">
                  <c:v>593.50575913</c:v>
                </c:pt>
                <c:pt idx="2">
                  <c:v>395.34196200000002</c:v>
                </c:pt>
                <c:pt idx="3">
                  <c:v>176.54708259</c:v>
                </c:pt>
                <c:pt idx="4">
                  <c:v>0</c:v>
                </c:pt>
                <c:pt idx="5">
                  <c:v>0</c:v>
                </c:pt>
                <c:pt idx="6">
                  <c:v>0</c:v>
                </c:pt>
                <c:pt idx="7">
                  <c:v>0</c:v>
                </c:pt>
              </c:numCache>
            </c:numRef>
          </c:val>
          <c:extLst>
            <c:ext xmlns:c16="http://schemas.microsoft.com/office/drawing/2014/chart" uri="{C3380CC4-5D6E-409C-BE32-E72D297353CC}">
              <c16:uniqueId val="{00000002-747E-4435-A2DA-238EB99F3571}"/>
            </c:ext>
          </c:extLst>
        </c:ser>
        <c:dLbls>
          <c:showLegendKey val="0"/>
          <c:showVal val="0"/>
          <c:showCatName val="0"/>
          <c:showSerName val="0"/>
          <c:showPercent val="0"/>
          <c:showBubbleSize val="0"/>
        </c:dLbls>
        <c:gapWidth val="219"/>
        <c:axId val="374952040"/>
        <c:axId val="374956720"/>
      </c:barChart>
      <c:catAx>
        <c:axId val="374952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4956720"/>
        <c:crosses val="autoZero"/>
        <c:auto val="1"/>
        <c:lblAlgn val="ctr"/>
        <c:lblOffset val="100"/>
        <c:noMultiLvlLbl val="0"/>
      </c:catAx>
      <c:valAx>
        <c:axId val="374956720"/>
        <c:scaling>
          <c:orientation val="minMax"/>
        </c:scaling>
        <c:delete val="0"/>
        <c:axPos val="l"/>
        <c:majorGridlines>
          <c:spPr>
            <a:ln w="6350"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baseline="0"/>
                  <a:t>Cost (millions)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4952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'EDandNAP costs'!$U$14</c:f>
              <c:strCache>
                <c:ptCount val="1"/>
                <c:pt idx="0">
                  <c:v>2019-20</c:v>
                </c:pt>
              </c:strCache>
            </c:strRef>
          </c:tx>
          <c:spPr>
            <a:solidFill>
              <a:schemeClr val="accent2"/>
            </a:solidFill>
            <a:ln>
              <a:noFill/>
            </a:ln>
            <a:effectLst/>
          </c:spPr>
          <c:invertIfNegative val="0"/>
          <c:cat>
            <c:strRef>
              <c:f>'EDandNAP costs'!$T$15:$T$22</c:f>
              <c:strCache>
                <c:ptCount val="8"/>
                <c:pt idx="0">
                  <c:v>NSW</c:v>
                </c:pt>
                <c:pt idx="1">
                  <c:v>Vic</c:v>
                </c:pt>
                <c:pt idx="2">
                  <c:v>Qld</c:v>
                </c:pt>
                <c:pt idx="3">
                  <c:v>SA</c:v>
                </c:pt>
                <c:pt idx="4">
                  <c:v>WA</c:v>
                </c:pt>
                <c:pt idx="5">
                  <c:v>Tas</c:v>
                </c:pt>
                <c:pt idx="6">
                  <c:v>NT</c:v>
                </c:pt>
                <c:pt idx="7">
                  <c:v>ACT</c:v>
                </c:pt>
              </c:strCache>
            </c:strRef>
          </c:cat>
          <c:val>
            <c:numRef>
              <c:f>'EDandNAP costs'!$U$15:$U$22</c:f>
              <c:numCache>
                <c:formatCode>_-"$"* #,##0_-;\-"$"* #,##0_-;_-"$"* "-"??_-;_-@_-</c:formatCode>
                <c:ptCount val="8"/>
                <c:pt idx="0">
                  <c:v>6.1002838465000001E-2</c:v>
                </c:pt>
                <c:pt idx="1">
                  <c:v>190.83442921</c:v>
                </c:pt>
                <c:pt idx="2">
                  <c:v>111.52325081999999</c:v>
                </c:pt>
                <c:pt idx="3">
                  <c:v>62.206077321999999</c:v>
                </c:pt>
                <c:pt idx="4">
                  <c:v>303.53134372000005</c:v>
                </c:pt>
                <c:pt idx="5">
                  <c:v>51.067230911999999</c:v>
                </c:pt>
                <c:pt idx="6">
                  <c:v>37.482061784000003</c:v>
                </c:pt>
                <c:pt idx="7">
                  <c:v>58.475526187</c:v>
                </c:pt>
              </c:numCache>
            </c:numRef>
          </c:val>
          <c:extLst>
            <c:ext xmlns:c16="http://schemas.microsoft.com/office/drawing/2014/chart" uri="{C3380CC4-5D6E-409C-BE32-E72D297353CC}">
              <c16:uniqueId val="{00000000-9417-415B-9FA6-9D12DC6CB2B6}"/>
            </c:ext>
          </c:extLst>
        </c:ser>
        <c:ser>
          <c:idx val="1"/>
          <c:order val="1"/>
          <c:tx>
            <c:strRef>
              <c:f>'EDandNAP costs'!$V$14</c:f>
              <c:strCache>
                <c:ptCount val="1"/>
                <c:pt idx="0">
                  <c:v>2020-21</c:v>
                </c:pt>
              </c:strCache>
            </c:strRef>
          </c:tx>
          <c:spPr>
            <a:solidFill>
              <a:schemeClr val="accent3"/>
            </a:solidFill>
            <a:ln>
              <a:noFill/>
            </a:ln>
            <a:effectLst/>
          </c:spPr>
          <c:invertIfNegative val="0"/>
          <c:cat>
            <c:strRef>
              <c:f>'EDandNAP costs'!$T$15:$T$22</c:f>
              <c:strCache>
                <c:ptCount val="8"/>
                <c:pt idx="0">
                  <c:v>NSW</c:v>
                </c:pt>
                <c:pt idx="1">
                  <c:v>Vic</c:v>
                </c:pt>
                <c:pt idx="2">
                  <c:v>Qld</c:v>
                </c:pt>
                <c:pt idx="3">
                  <c:v>SA</c:v>
                </c:pt>
                <c:pt idx="4">
                  <c:v>WA</c:v>
                </c:pt>
                <c:pt idx="5">
                  <c:v>Tas</c:v>
                </c:pt>
                <c:pt idx="6">
                  <c:v>NT</c:v>
                </c:pt>
                <c:pt idx="7">
                  <c:v>ACT</c:v>
                </c:pt>
              </c:strCache>
            </c:strRef>
          </c:cat>
          <c:val>
            <c:numRef>
              <c:f>'EDandNAP costs'!$V$15:$V$22</c:f>
              <c:numCache>
                <c:formatCode>_-"$"* #,##0_-;\-"$"* #,##0_-;_-"$"* "-"??_-;_-@_-</c:formatCode>
                <c:ptCount val="8"/>
                <c:pt idx="0">
                  <c:v>1.3797958859999999</c:v>
                </c:pt>
                <c:pt idx="1">
                  <c:v>37.375413129000002</c:v>
                </c:pt>
                <c:pt idx="2">
                  <c:v>271.56255652999999</c:v>
                </c:pt>
                <c:pt idx="3">
                  <c:v>57.129828501999995</c:v>
                </c:pt>
                <c:pt idx="4">
                  <c:v>325.85867499</c:v>
                </c:pt>
                <c:pt idx="5">
                  <c:v>47.407482537</c:v>
                </c:pt>
                <c:pt idx="6">
                  <c:v>40.500484759000003</c:v>
                </c:pt>
                <c:pt idx="7">
                  <c:v>60.879245424000004</c:v>
                </c:pt>
              </c:numCache>
            </c:numRef>
          </c:val>
          <c:extLst>
            <c:ext xmlns:c16="http://schemas.microsoft.com/office/drawing/2014/chart" uri="{C3380CC4-5D6E-409C-BE32-E72D297353CC}">
              <c16:uniqueId val="{00000001-9417-415B-9FA6-9D12DC6CB2B6}"/>
            </c:ext>
          </c:extLst>
        </c:ser>
        <c:ser>
          <c:idx val="2"/>
          <c:order val="2"/>
          <c:tx>
            <c:strRef>
              <c:f>'EDandNAP costs'!$W$14</c:f>
              <c:strCache>
                <c:ptCount val="1"/>
                <c:pt idx="0">
                  <c:v>2021-22</c:v>
                </c:pt>
              </c:strCache>
            </c:strRef>
          </c:tx>
          <c:spPr>
            <a:solidFill>
              <a:schemeClr val="accent4"/>
            </a:solidFill>
            <a:ln>
              <a:noFill/>
            </a:ln>
            <a:effectLst/>
          </c:spPr>
          <c:invertIfNegative val="0"/>
          <c:cat>
            <c:strRef>
              <c:f>'EDandNAP costs'!$T$15:$T$22</c:f>
              <c:strCache>
                <c:ptCount val="8"/>
                <c:pt idx="0">
                  <c:v>NSW</c:v>
                </c:pt>
                <c:pt idx="1">
                  <c:v>Vic</c:v>
                </c:pt>
                <c:pt idx="2">
                  <c:v>Qld</c:v>
                </c:pt>
                <c:pt idx="3">
                  <c:v>SA</c:v>
                </c:pt>
                <c:pt idx="4">
                  <c:v>WA</c:v>
                </c:pt>
                <c:pt idx="5">
                  <c:v>Tas</c:v>
                </c:pt>
                <c:pt idx="6">
                  <c:v>NT</c:v>
                </c:pt>
                <c:pt idx="7">
                  <c:v>ACT</c:v>
                </c:pt>
              </c:strCache>
            </c:strRef>
          </c:cat>
          <c:val>
            <c:numRef>
              <c:f>'EDandNAP costs'!$W$15:$W$22</c:f>
              <c:numCache>
                <c:formatCode>_-"$"* #,##0_-;\-"$"* #,##0_-;_-"$"* "-"??_-;_-@_-</c:formatCode>
                <c:ptCount val="8"/>
                <c:pt idx="0">
                  <c:v>1.1814718218</c:v>
                </c:pt>
                <c:pt idx="1">
                  <c:v>32.466085897999996</c:v>
                </c:pt>
                <c:pt idx="2">
                  <c:v>114.42366240999999</c:v>
                </c:pt>
                <c:pt idx="3">
                  <c:v>0.67342570229999998</c:v>
                </c:pt>
                <c:pt idx="4">
                  <c:v>348.93334119000002</c:v>
                </c:pt>
                <c:pt idx="5">
                  <c:v>51.426700126999997</c:v>
                </c:pt>
                <c:pt idx="6">
                  <c:v>40.177787009000006</c:v>
                </c:pt>
                <c:pt idx="7">
                  <c:v>78.238515988999993</c:v>
                </c:pt>
              </c:numCache>
            </c:numRef>
          </c:val>
          <c:extLst>
            <c:ext xmlns:c16="http://schemas.microsoft.com/office/drawing/2014/chart" uri="{C3380CC4-5D6E-409C-BE32-E72D297353CC}">
              <c16:uniqueId val="{00000002-9417-415B-9FA6-9D12DC6CB2B6}"/>
            </c:ext>
          </c:extLst>
        </c:ser>
        <c:dLbls>
          <c:showLegendKey val="0"/>
          <c:showVal val="0"/>
          <c:showCatName val="0"/>
          <c:showSerName val="0"/>
          <c:showPercent val="0"/>
          <c:showBubbleSize val="0"/>
        </c:dLbls>
        <c:gapWidth val="219"/>
        <c:axId val="374966800"/>
        <c:axId val="374967160"/>
      </c:barChart>
      <c:catAx>
        <c:axId val="37496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4967160"/>
        <c:crosses val="autoZero"/>
        <c:auto val="1"/>
        <c:lblAlgn val="ctr"/>
        <c:lblOffset val="100"/>
        <c:noMultiLvlLbl val="0"/>
      </c:catAx>
      <c:valAx>
        <c:axId val="374967160"/>
        <c:scaling>
          <c:orientation val="minMax"/>
          <c:max val="350"/>
        </c:scaling>
        <c:delete val="0"/>
        <c:axPos val="l"/>
        <c:majorGridlines>
          <c:spPr>
            <a:ln w="6350"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aseline="0"/>
                  <a:t>Cost (millions)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496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'AMH Av cost '!$B$3</c:f>
              <c:strCache>
                <c:ptCount val="1"/>
                <c:pt idx="0">
                  <c:v>2019-20</c:v>
                </c:pt>
              </c:strCache>
            </c:strRef>
          </c:tx>
          <c:spPr>
            <a:solidFill>
              <a:schemeClr val="accent2"/>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C90A-4129-AE35-F64A9B7A8919}"/>
              </c:ext>
            </c:extLst>
          </c:dPt>
          <c:cat>
            <c:strRef>
              <c:f>'AMH Av cost '!$A$4:$A$12</c:f>
              <c:strCache>
                <c:ptCount val="9"/>
                <c:pt idx="0">
                  <c:v>NSW</c:v>
                </c:pt>
                <c:pt idx="1">
                  <c:v>Vic</c:v>
                </c:pt>
                <c:pt idx="2">
                  <c:v>Qld</c:v>
                </c:pt>
                <c:pt idx="3">
                  <c:v>SA</c:v>
                </c:pt>
                <c:pt idx="4">
                  <c:v>WA</c:v>
                </c:pt>
                <c:pt idx="5">
                  <c:v>Tas</c:v>
                </c:pt>
                <c:pt idx="6">
                  <c:v>NT</c:v>
                </c:pt>
                <c:pt idx="7">
                  <c:v>ACT</c:v>
                </c:pt>
                <c:pt idx="8">
                  <c:v>National</c:v>
                </c:pt>
              </c:strCache>
            </c:strRef>
          </c:cat>
          <c:val>
            <c:numRef>
              <c:f>'AMH Av cost '!$B$4:$B$12</c:f>
              <c:numCache>
                <c:formatCode>_-"$"* #,##0_-;\-"$"* #,##0_-;_-"$"* "-"??_-;_-@_-</c:formatCode>
                <c:ptCount val="9"/>
                <c:pt idx="0">
                  <c:v>20046.021360999999</c:v>
                </c:pt>
                <c:pt idx="1">
                  <c:v>18708.987184000001</c:v>
                </c:pt>
                <c:pt idx="2">
                  <c:v>19065.960127999999</c:v>
                </c:pt>
                <c:pt idx="3">
                  <c:v>23929.392973000002</c:v>
                </c:pt>
                <c:pt idx="4">
                  <c:v>0</c:v>
                </c:pt>
                <c:pt idx="5">
                  <c:v>0</c:v>
                </c:pt>
                <c:pt idx="6">
                  <c:v>0</c:v>
                </c:pt>
                <c:pt idx="7">
                  <c:v>0</c:v>
                </c:pt>
                <c:pt idx="8">
                  <c:v>19965.804621241165</c:v>
                </c:pt>
              </c:numCache>
            </c:numRef>
          </c:val>
          <c:extLst>
            <c:ext xmlns:c16="http://schemas.microsoft.com/office/drawing/2014/chart" uri="{C3380CC4-5D6E-409C-BE32-E72D297353CC}">
              <c16:uniqueId val="{00000002-C90A-4129-AE35-F64A9B7A8919}"/>
            </c:ext>
          </c:extLst>
        </c:ser>
        <c:ser>
          <c:idx val="1"/>
          <c:order val="1"/>
          <c:tx>
            <c:strRef>
              <c:f>'AMH Av cost '!$C$3</c:f>
              <c:strCache>
                <c:ptCount val="1"/>
                <c:pt idx="0">
                  <c:v>2020-21</c:v>
                </c:pt>
              </c:strCache>
            </c:strRef>
          </c:tx>
          <c:spPr>
            <a:solidFill>
              <a:schemeClr val="accent3"/>
            </a:solidFill>
            <a:ln>
              <a:noFill/>
            </a:ln>
            <a:effectLst/>
          </c:spPr>
          <c:invertIfNegative val="0"/>
          <c:cat>
            <c:strRef>
              <c:f>'AMH Av cost '!$A$4:$A$12</c:f>
              <c:strCache>
                <c:ptCount val="9"/>
                <c:pt idx="0">
                  <c:v>NSW</c:v>
                </c:pt>
                <c:pt idx="1">
                  <c:v>Vic</c:v>
                </c:pt>
                <c:pt idx="2">
                  <c:v>Qld</c:v>
                </c:pt>
                <c:pt idx="3">
                  <c:v>SA</c:v>
                </c:pt>
                <c:pt idx="4">
                  <c:v>WA</c:v>
                </c:pt>
                <c:pt idx="5">
                  <c:v>Tas</c:v>
                </c:pt>
                <c:pt idx="6">
                  <c:v>NT</c:v>
                </c:pt>
                <c:pt idx="7">
                  <c:v>ACT</c:v>
                </c:pt>
                <c:pt idx="8">
                  <c:v>National</c:v>
                </c:pt>
              </c:strCache>
            </c:strRef>
          </c:cat>
          <c:val>
            <c:numRef>
              <c:f>'AMH Av cost '!$C$4:$C$12</c:f>
              <c:numCache>
                <c:formatCode>_-"$"* #,##0_-;\-"$"* #,##0_-;_-"$"* "-"??_-;_-@_-</c:formatCode>
                <c:ptCount val="9"/>
                <c:pt idx="0">
                  <c:v>19423.998360000001</c:v>
                </c:pt>
                <c:pt idx="1">
                  <c:v>21708.259568000001</c:v>
                </c:pt>
                <c:pt idx="2">
                  <c:v>23698.56796</c:v>
                </c:pt>
                <c:pt idx="3">
                  <c:v>0</c:v>
                </c:pt>
                <c:pt idx="4">
                  <c:v>0</c:v>
                </c:pt>
                <c:pt idx="5">
                  <c:v>0</c:v>
                </c:pt>
                <c:pt idx="6">
                  <c:v>0</c:v>
                </c:pt>
                <c:pt idx="7">
                  <c:v>0</c:v>
                </c:pt>
                <c:pt idx="8">
                  <c:v>20699.068872066724</c:v>
                </c:pt>
              </c:numCache>
            </c:numRef>
          </c:val>
          <c:extLst>
            <c:ext xmlns:c16="http://schemas.microsoft.com/office/drawing/2014/chart" uri="{C3380CC4-5D6E-409C-BE32-E72D297353CC}">
              <c16:uniqueId val="{00000003-C90A-4129-AE35-F64A9B7A8919}"/>
            </c:ext>
          </c:extLst>
        </c:ser>
        <c:ser>
          <c:idx val="2"/>
          <c:order val="2"/>
          <c:tx>
            <c:strRef>
              <c:f>'AMH Av cost '!$D$3</c:f>
              <c:strCache>
                <c:ptCount val="1"/>
                <c:pt idx="0">
                  <c:v>2021-22</c:v>
                </c:pt>
              </c:strCache>
            </c:strRef>
          </c:tx>
          <c:spPr>
            <a:solidFill>
              <a:schemeClr val="accent4"/>
            </a:solidFill>
            <a:ln>
              <a:noFill/>
            </a:ln>
            <a:effectLst/>
          </c:spPr>
          <c:invertIfNegative val="0"/>
          <c:cat>
            <c:strRef>
              <c:f>'AMH Av cost '!$A$4:$A$12</c:f>
              <c:strCache>
                <c:ptCount val="9"/>
                <c:pt idx="0">
                  <c:v>NSW</c:v>
                </c:pt>
                <c:pt idx="1">
                  <c:v>Vic</c:v>
                </c:pt>
                <c:pt idx="2">
                  <c:v>Qld</c:v>
                </c:pt>
                <c:pt idx="3">
                  <c:v>SA</c:v>
                </c:pt>
                <c:pt idx="4">
                  <c:v>WA</c:v>
                </c:pt>
                <c:pt idx="5">
                  <c:v>Tas</c:v>
                </c:pt>
                <c:pt idx="6">
                  <c:v>NT</c:v>
                </c:pt>
                <c:pt idx="7">
                  <c:v>ACT</c:v>
                </c:pt>
                <c:pt idx="8">
                  <c:v>National</c:v>
                </c:pt>
              </c:strCache>
            </c:strRef>
          </c:cat>
          <c:val>
            <c:numRef>
              <c:f>'AMH Av cost '!$D$4:$D$12</c:f>
              <c:numCache>
                <c:formatCode>_-"$"* #,##0_-;\-"$"* #,##0_-;_-"$"* "-"??_-;_-@_-</c:formatCode>
                <c:ptCount val="9"/>
                <c:pt idx="0">
                  <c:v>23122.689567000001</c:v>
                </c:pt>
                <c:pt idx="1">
                  <c:v>23268.348262</c:v>
                </c:pt>
                <c:pt idx="2">
                  <c:v>25080.375690000001</c:v>
                </c:pt>
                <c:pt idx="3">
                  <c:v>27228.112675</c:v>
                </c:pt>
                <c:pt idx="4">
                  <c:v>0</c:v>
                </c:pt>
                <c:pt idx="5">
                  <c:v>0</c:v>
                </c:pt>
                <c:pt idx="6">
                  <c:v>0</c:v>
                </c:pt>
                <c:pt idx="7">
                  <c:v>0</c:v>
                </c:pt>
                <c:pt idx="8">
                  <c:v>23888.235149559019</c:v>
                </c:pt>
              </c:numCache>
            </c:numRef>
          </c:val>
          <c:extLst>
            <c:ext xmlns:c16="http://schemas.microsoft.com/office/drawing/2014/chart" uri="{C3380CC4-5D6E-409C-BE32-E72D297353CC}">
              <c16:uniqueId val="{00000004-C90A-4129-AE35-F64A9B7A8919}"/>
            </c:ext>
          </c:extLst>
        </c:ser>
        <c:dLbls>
          <c:showLegendKey val="0"/>
          <c:showVal val="0"/>
          <c:showCatName val="0"/>
          <c:showSerName val="0"/>
          <c:showPercent val="0"/>
          <c:showBubbleSize val="0"/>
        </c:dLbls>
        <c:gapWidth val="219"/>
        <c:axId val="725468288"/>
        <c:axId val="725468648"/>
      </c:barChart>
      <c:catAx>
        <c:axId val="72546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5468648"/>
        <c:crosses val="autoZero"/>
        <c:auto val="1"/>
        <c:lblAlgn val="ctr"/>
        <c:lblOffset val="100"/>
        <c:noMultiLvlLbl val="0"/>
      </c:catAx>
      <c:valAx>
        <c:axId val="725468648"/>
        <c:scaling>
          <c:orientation val="minMax"/>
        </c:scaling>
        <c:delete val="0"/>
        <c:axPos val="l"/>
        <c:majorGridlines>
          <c:spPr>
            <a:ln w="6350"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Average cost per phase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546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'AMH Av cost '!$M$3</c:f>
              <c:strCache>
                <c:ptCount val="1"/>
                <c:pt idx="0">
                  <c:v>2019-20</c:v>
                </c:pt>
              </c:strCache>
            </c:strRef>
          </c:tx>
          <c:spPr>
            <a:solidFill>
              <a:schemeClr val="accent2"/>
            </a:solidFill>
            <a:ln>
              <a:noFill/>
            </a:ln>
            <a:effectLst/>
          </c:spPr>
          <c:invertIfNegative val="0"/>
          <c:cat>
            <c:strRef>
              <c:f>'AMH Av cost '!$L$6:$L$14</c:f>
              <c:strCache>
                <c:ptCount val="9"/>
                <c:pt idx="0">
                  <c:v>NSW</c:v>
                </c:pt>
                <c:pt idx="1">
                  <c:v>Vic</c:v>
                </c:pt>
                <c:pt idx="2">
                  <c:v>Qld</c:v>
                </c:pt>
                <c:pt idx="3">
                  <c:v>SA</c:v>
                </c:pt>
                <c:pt idx="4">
                  <c:v>WA</c:v>
                </c:pt>
                <c:pt idx="5">
                  <c:v>Tas</c:v>
                </c:pt>
                <c:pt idx="6">
                  <c:v>NT</c:v>
                </c:pt>
                <c:pt idx="7">
                  <c:v>ACT</c:v>
                </c:pt>
                <c:pt idx="8">
                  <c:v>National</c:v>
                </c:pt>
              </c:strCache>
            </c:strRef>
          </c:cat>
          <c:val>
            <c:numRef>
              <c:f>'AMH Av cost '!$M$6:$M$14</c:f>
              <c:numCache>
                <c:formatCode>_-"$"* #,##0_-;\-"$"* #,##0_-;_-"$"* "-"??_-;_-@_-</c:formatCode>
                <c:ptCount val="9"/>
                <c:pt idx="0">
                  <c:v>4066.8558976999998</c:v>
                </c:pt>
                <c:pt idx="1">
                  <c:v>22981.024712999999</c:v>
                </c:pt>
                <c:pt idx="2">
                  <c:v>10313.812153000001</c:v>
                </c:pt>
                <c:pt idx="3">
                  <c:v>9937.0730547000003</c:v>
                </c:pt>
                <c:pt idx="4">
                  <c:v>23422.435659999999</c:v>
                </c:pt>
                <c:pt idx="5">
                  <c:v>15564.532433</c:v>
                </c:pt>
                <c:pt idx="6">
                  <c:v>27846.99984</c:v>
                </c:pt>
                <c:pt idx="7">
                  <c:v>24133.522982999999</c:v>
                </c:pt>
                <c:pt idx="8">
                  <c:v>17955.131446299973</c:v>
                </c:pt>
              </c:numCache>
            </c:numRef>
          </c:val>
          <c:extLst>
            <c:ext xmlns:c16="http://schemas.microsoft.com/office/drawing/2014/chart" uri="{C3380CC4-5D6E-409C-BE32-E72D297353CC}">
              <c16:uniqueId val="{00000000-6725-4552-B206-0CFE0FC0BBDE}"/>
            </c:ext>
          </c:extLst>
        </c:ser>
        <c:ser>
          <c:idx val="1"/>
          <c:order val="1"/>
          <c:tx>
            <c:strRef>
              <c:f>'AMH Av cost '!$N$3</c:f>
              <c:strCache>
                <c:ptCount val="1"/>
                <c:pt idx="0">
                  <c:v>2020-21</c:v>
                </c:pt>
              </c:strCache>
            </c:strRef>
          </c:tx>
          <c:spPr>
            <a:solidFill>
              <a:schemeClr val="accent3"/>
            </a:solidFill>
            <a:ln>
              <a:noFill/>
            </a:ln>
            <a:effectLst/>
          </c:spPr>
          <c:invertIfNegative val="0"/>
          <c:cat>
            <c:strRef>
              <c:f>'AMH Av cost '!$L$6:$L$14</c:f>
              <c:strCache>
                <c:ptCount val="9"/>
                <c:pt idx="0">
                  <c:v>NSW</c:v>
                </c:pt>
                <c:pt idx="1">
                  <c:v>Vic</c:v>
                </c:pt>
                <c:pt idx="2">
                  <c:v>Qld</c:v>
                </c:pt>
                <c:pt idx="3">
                  <c:v>SA</c:v>
                </c:pt>
                <c:pt idx="4">
                  <c:v>WA</c:v>
                </c:pt>
                <c:pt idx="5">
                  <c:v>Tas</c:v>
                </c:pt>
                <c:pt idx="6">
                  <c:v>NT</c:v>
                </c:pt>
                <c:pt idx="7">
                  <c:v>ACT</c:v>
                </c:pt>
                <c:pt idx="8">
                  <c:v>National</c:v>
                </c:pt>
              </c:strCache>
            </c:strRef>
          </c:cat>
          <c:val>
            <c:numRef>
              <c:f>'AMH Av cost '!$N$6:$N$14</c:f>
              <c:numCache>
                <c:formatCode>_-"$"* #,##0_-;\-"$"* #,##0_-;_-"$"* "-"??_-;_-@_-</c:formatCode>
                <c:ptCount val="9"/>
                <c:pt idx="0">
                  <c:v>2618.2085124</c:v>
                </c:pt>
                <c:pt idx="1">
                  <c:v>88357.950660000002</c:v>
                </c:pt>
                <c:pt idx="2">
                  <c:v>15371.175442</c:v>
                </c:pt>
                <c:pt idx="3">
                  <c:v>9005.3323615999998</c:v>
                </c:pt>
                <c:pt idx="4">
                  <c:v>25380.378143999998</c:v>
                </c:pt>
                <c:pt idx="5">
                  <c:v>14378.975595</c:v>
                </c:pt>
                <c:pt idx="6">
                  <c:v>29412.116746</c:v>
                </c:pt>
                <c:pt idx="7">
                  <c:v>23218.629070999999</c:v>
                </c:pt>
                <c:pt idx="8">
                  <c:v>18673.351999223876</c:v>
                </c:pt>
              </c:numCache>
            </c:numRef>
          </c:val>
          <c:extLst>
            <c:ext xmlns:c16="http://schemas.microsoft.com/office/drawing/2014/chart" uri="{C3380CC4-5D6E-409C-BE32-E72D297353CC}">
              <c16:uniqueId val="{00000001-6725-4552-B206-0CFE0FC0BBDE}"/>
            </c:ext>
          </c:extLst>
        </c:ser>
        <c:ser>
          <c:idx val="2"/>
          <c:order val="2"/>
          <c:tx>
            <c:strRef>
              <c:f>'AMH Av cost '!$O$3</c:f>
              <c:strCache>
                <c:ptCount val="1"/>
                <c:pt idx="0">
                  <c:v>2021-22</c:v>
                </c:pt>
              </c:strCache>
            </c:strRef>
          </c:tx>
          <c:spPr>
            <a:solidFill>
              <a:schemeClr val="accent4"/>
            </a:solidFill>
            <a:ln>
              <a:noFill/>
            </a:ln>
            <a:effectLst/>
          </c:spPr>
          <c:invertIfNegative val="0"/>
          <c:cat>
            <c:strRef>
              <c:f>'AMH Av cost '!$L$6:$L$14</c:f>
              <c:strCache>
                <c:ptCount val="9"/>
                <c:pt idx="0">
                  <c:v>NSW</c:v>
                </c:pt>
                <c:pt idx="1">
                  <c:v>Vic</c:v>
                </c:pt>
                <c:pt idx="2">
                  <c:v>Qld</c:v>
                </c:pt>
                <c:pt idx="3">
                  <c:v>SA</c:v>
                </c:pt>
                <c:pt idx="4">
                  <c:v>WA</c:v>
                </c:pt>
                <c:pt idx="5">
                  <c:v>Tas</c:v>
                </c:pt>
                <c:pt idx="6">
                  <c:v>NT</c:v>
                </c:pt>
                <c:pt idx="7">
                  <c:v>ACT</c:v>
                </c:pt>
                <c:pt idx="8">
                  <c:v>National</c:v>
                </c:pt>
              </c:strCache>
            </c:strRef>
          </c:cat>
          <c:val>
            <c:numRef>
              <c:f>'AMH Av cost '!$O$6:$O$14</c:f>
              <c:numCache>
                <c:formatCode>_-"$"* #,##0_-;\-"$"* #,##0_-;_-"$"* "-"??_-;_-@_-</c:formatCode>
                <c:ptCount val="9"/>
                <c:pt idx="0">
                  <c:v>12568.849168000001</c:v>
                </c:pt>
                <c:pt idx="1">
                  <c:v>72468.941737000001</c:v>
                </c:pt>
                <c:pt idx="2">
                  <c:v>14319.066751</c:v>
                </c:pt>
                <c:pt idx="3">
                  <c:v>134685.14046</c:v>
                </c:pt>
                <c:pt idx="4">
                  <c:v>28008.776784999998</c:v>
                </c:pt>
                <c:pt idx="5">
                  <c:v>16414.522862000002</c:v>
                </c:pt>
                <c:pt idx="6">
                  <c:v>30163.503761</c:v>
                </c:pt>
                <c:pt idx="7">
                  <c:v>31843.107851000001</c:v>
                </c:pt>
                <c:pt idx="8">
                  <c:v>23910.057674156455</c:v>
                </c:pt>
              </c:numCache>
            </c:numRef>
          </c:val>
          <c:extLst>
            <c:ext xmlns:c16="http://schemas.microsoft.com/office/drawing/2014/chart" uri="{C3380CC4-5D6E-409C-BE32-E72D297353CC}">
              <c16:uniqueId val="{00000002-6725-4552-B206-0CFE0FC0BBDE}"/>
            </c:ext>
          </c:extLst>
        </c:ser>
        <c:dLbls>
          <c:showLegendKey val="0"/>
          <c:showVal val="0"/>
          <c:showCatName val="0"/>
          <c:showSerName val="0"/>
          <c:showPercent val="0"/>
          <c:showBubbleSize val="0"/>
        </c:dLbls>
        <c:gapWidth val="219"/>
        <c:axId val="725468288"/>
        <c:axId val="725468648"/>
      </c:barChart>
      <c:catAx>
        <c:axId val="72546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5468648"/>
        <c:crosses val="autoZero"/>
        <c:auto val="1"/>
        <c:lblAlgn val="ctr"/>
        <c:lblOffset val="100"/>
        <c:noMultiLvlLbl val="0"/>
      </c:catAx>
      <c:valAx>
        <c:axId val="725468648"/>
        <c:scaling>
          <c:orientation val="minMax"/>
          <c:max val="140000"/>
        </c:scaling>
        <c:delete val="0"/>
        <c:axPos val="l"/>
        <c:majorGridlines>
          <c:spPr>
            <a:ln w="6350"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Average cost per episode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546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'7. MH Summary admitted'!$B$83</c:f>
              <c:strCache>
                <c:ptCount val="1"/>
                <c:pt idx="0">
                  <c:v> 2019-20 </c:v>
                </c:pt>
              </c:strCache>
            </c:strRef>
          </c:tx>
          <c:spPr>
            <a:solidFill>
              <a:schemeClr val="accent2"/>
            </a:solidFill>
            <a:ln>
              <a:noFill/>
            </a:ln>
            <a:effectLst/>
          </c:spPr>
          <c:invertIfNegative val="0"/>
          <c:cat>
            <c:strRef>
              <c:f>'7. MH Summary admitted'!$A$84:$A$100</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'7. MH Summary admitted'!$B$84:$B$100</c:f>
              <c:numCache>
                <c:formatCode>_-"$"* #,##0_-;\-"$"* #,##0_-;_-"$"* "-"??_-;_-@_-</c:formatCode>
                <c:ptCount val="17"/>
                <c:pt idx="0">
                  <c:v>3125.9924618999999</c:v>
                </c:pt>
                <c:pt idx="1">
                  <c:v>7243.4097959999999</c:v>
                </c:pt>
                <c:pt idx="2">
                  <c:v>1062.4088824</c:v>
                </c:pt>
                <c:pt idx="3">
                  <c:v>2062.7254825</c:v>
                </c:pt>
                <c:pt idx="4">
                  <c:v>1815.0108365999999</c:v>
                </c:pt>
                <c:pt idx="5">
                  <c:v>161.00937812000001</c:v>
                </c:pt>
                <c:pt idx="6">
                  <c:v>62.220903081000003</c:v>
                </c:pt>
                <c:pt idx="7">
                  <c:v>0.72025454590000004</c:v>
                </c:pt>
                <c:pt idx="8">
                  <c:v>1825.9114996000001</c:v>
                </c:pt>
                <c:pt idx="9">
                  <c:v>342.03406031999998</c:v>
                </c:pt>
                <c:pt idx="10">
                  <c:v>308.62546134000002</c:v>
                </c:pt>
                <c:pt idx="11">
                  <c:v>98.105253109000003</c:v>
                </c:pt>
                <c:pt idx="12">
                  <c:v>43.400607397999998</c:v>
                </c:pt>
                <c:pt idx="13">
                  <c:v>23.462322312000001</c:v>
                </c:pt>
                <c:pt idx="14">
                  <c:v>319.93944406000003</c:v>
                </c:pt>
                <c:pt idx="15">
                  <c:v>871.61681481000005</c:v>
                </c:pt>
                <c:pt idx="16">
                  <c:v>599.21116316999996</c:v>
                </c:pt>
              </c:numCache>
            </c:numRef>
          </c:val>
          <c:extLst>
            <c:ext xmlns:c16="http://schemas.microsoft.com/office/drawing/2014/chart" uri="{C3380CC4-5D6E-409C-BE32-E72D297353CC}">
              <c16:uniqueId val="{00000000-2A7D-46C5-8915-B320EFBAE2F5}"/>
            </c:ext>
          </c:extLst>
        </c:ser>
        <c:ser>
          <c:idx val="1"/>
          <c:order val="1"/>
          <c:tx>
            <c:strRef>
              <c:f>'7. MH Summary admitted'!$C$83</c:f>
              <c:strCache>
                <c:ptCount val="1"/>
                <c:pt idx="0">
                  <c:v> 2020-21 </c:v>
                </c:pt>
              </c:strCache>
            </c:strRef>
          </c:tx>
          <c:spPr>
            <a:solidFill>
              <a:schemeClr val="accent3"/>
            </a:solidFill>
            <a:ln>
              <a:noFill/>
            </a:ln>
            <a:effectLst/>
          </c:spPr>
          <c:invertIfNegative val="0"/>
          <c:cat>
            <c:strRef>
              <c:f>'7. MH Summary admitted'!$A$84:$A$100</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'7. MH Summary admitted'!$C$84:$C$100</c:f>
              <c:numCache>
                <c:formatCode>_-"$"* #,##0_-;\-"$"* #,##0_-;_-"$"* "-"??_-;_-@_-</c:formatCode>
                <c:ptCount val="17"/>
                <c:pt idx="0">
                  <c:v>3307.6834634000002</c:v>
                </c:pt>
                <c:pt idx="1">
                  <c:v>7215.1846304000001</c:v>
                </c:pt>
                <c:pt idx="2">
                  <c:v>1034.2915747</c:v>
                </c:pt>
                <c:pt idx="3">
                  <c:v>2355.9275117000002</c:v>
                </c:pt>
                <c:pt idx="4">
                  <c:v>2130.1743941</c:v>
                </c:pt>
                <c:pt idx="5">
                  <c:v>156.75143476</c:v>
                </c:pt>
                <c:pt idx="6">
                  <c:v>63.240747943999999</c:v>
                </c:pt>
                <c:pt idx="7">
                  <c:v>1.1273350366999999</c:v>
                </c:pt>
                <c:pt idx="8">
                  <c:v>1894.3647415999999</c:v>
                </c:pt>
                <c:pt idx="9">
                  <c:v>344.50164811000002</c:v>
                </c:pt>
                <c:pt idx="10">
                  <c:v>274.13474355</c:v>
                </c:pt>
                <c:pt idx="11">
                  <c:v>83.483484554</c:v>
                </c:pt>
                <c:pt idx="12">
                  <c:v>42.693275540999998</c:v>
                </c:pt>
                <c:pt idx="13">
                  <c:v>15.876908981</c:v>
                </c:pt>
                <c:pt idx="14">
                  <c:v>285.94414289999997</c:v>
                </c:pt>
                <c:pt idx="15">
                  <c:v>983.18286891000002</c:v>
                </c:pt>
                <c:pt idx="16">
                  <c:v>510.50596604999998</c:v>
                </c:pt>
              </c:numCache>
            </c:numRef>
          </c:val>
          <c:extLst>
            <c:ext xmlns:c16="http://schemas.microsoft.com/office/drawing/2014/chart" uri="{C3380CC4-5D6E-409C-BE32-E72D297353CC}">
              <c16:uniqueId val="{00000001-2A7D-46C5-8915-B320EFBAE2F5}"/>
            </c:ext>
          </c:extLst>
        </c:ser>
        <c:ser>
          <c:idx val="2"/>
          <c:order val="2"/>
          <c:tx>
            <c:strRef>
              <c:f>'7. MH Summary admitted'!$D$83</c:f>
              <c:strCache>
                <c:ptCount val="1"/>
                <c:pt idx="0">
                  <c:v> 2021-22 </c:v>
                </c:pt>
              </c:strCache>
            </c:strRef>
          </c:tx>
          <c:spPr>
            <a:solidFill>
              <a:schemeClr val="accent4"/>
            </a:solidFill>
            <a:ln>
              <a:noFill/>
            </a:ln>
            <a:effectLst/>
          </c:spPr>
          <c:invertIfNegative val="0"/>
          <c:cat>
            <c:strRef>
              <c:f>'7. MH Summary admitted'!$A$84:$A$100</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'7. MH Summary admitted'!$D$84:$D$100</c:f>
              <c:numCache>
                <c:formatCode>_-"$"* #,##0_-;\-"$"* #,##0_-;_-"$"* "-"??_-;_-@_-</c:formatCode>
                <c:ptCount val="17"/>
                <c:pt idx="0">
                  <c:v>3776.3194416000001</c:v>
                </c:pt>
                <c:pt idx="1">
                  <c:v>8424.9531392000008</c:v>
                </c:pt>
                <c:pt idx="2">
                  <c:v>1149.4917399000001</c:v>
                </c:pt>
                <c:pt idx="3">
                  <c:v>2655.1160509000001</c:v>
                </c:pt>
                <c:pt idx="4">
                  <c:v>2283.1555659999999</c:v>
                </c:pt>
                <c:pt idx="5">
                  <c:v>197.59417055</c:v>
                </c:pt>
                <c:pt idx="6">
                  <c:v>80.589292279000006</c:v>
                </c:pt>
                <c:pt idx="7">
                  <c:v>1.9086233344000001</c:v>
                </c:pt>
                <c:pt idx="8">
                  <c:v>2388.8304463999998</c:v>
                </c:pt>
                <c:pt idx="9">
                  <c:v>413.38418225999999</c:v>
                </c:pt>
                <c:pt idx="10">
                  <c:v>294.97516039999999</c:v>
                </c:pt>
                <c:pt idx="11">
                  <c:v>116.75765225000001</c:v>
                </c:pt>
                <c:pt idx="12">
                  <c:v>60.114360670000003</c:v>
                </c:pt>
                <c:pt idx="13">
                  <c:v>21.168293832</c:v>
                </c:pt>
                <c:pt idx="14">
                  <c:v>313.45981683000002</c:v>
                </c:pt>
                <c:pt idx="15">
                  <c:v>1050.2728711</c:v>
                </c:pt>
                <c:pt idx="16">
                  <c:v>660.14434187999996</c:v>
                </c:pt>
              </c:numCache>
            </c:numRef>
          </c:val>
          <c:extLst>
            <c:ext xmlns:c16="http://schemas.microsoft.com/office/drawing/2014/chart" uri="{C3380CC4-5D6E-409C-BE32-E72D297353CC}">
              <c16:uniqueId val="{00000002-2A7D-46C5-8915-B320EFBAE2F5}"/>
            </c:ext>
          </c:extLst>
        </c:ser>
        <c:dLbls>
          <c:showLegendKey val="0"/>
          <c:showVal val="0"/>
          <c:showCatName val="0"/>
          <c:showSerName val="0"/>
          <c:showPercent val="0"/>
          <c:showBubbleSize val="0"/>
        </c:dLbls>
        <c:gapWidth val="182"/>
        <c:axId val="656453016"/>
        <c:axId val="656455536"/>
      </c:barChart>
      <c:catAx>
        <c:axId val="656453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56455536"/>
        <c:crosses val="autoZero"/>
        <c:auto val="1"/>
        <c:lblAlgn val="ctr"/>
        <c:lblOffset val="100"/>
        <c:noMultiLvlLbl val="0"/>
      </c:catAx>
      <c:valAx>
        <c:axId val="656455536"/>
        <c:scaling>
          <c:orientation val="minMax"/>
          <c:max val="8500"/>
          <c:min val="0"/>
        </c:scaling>
        <c:delete val="0"/>
        <c:axPos val="b"/>
        <c:majorGridlines>
          <c:spPr>
            <a:ln w="9525" cap="flat" cmpd="sng" algn="ctr">
              <a:solidFill>
                <a:srgbClr val="000000"/>
              </a:solidFill>
              <a:round/>
            </a:ln>
            <a:effectLst/>
          </c:spPr>
        </c:majorGridlines>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5645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'7. MH Summary admitted'!$B$59</c:f>
              <c:strCache>
                <c:ptCount val="1"/>
                <c:pt idx="0">
                  <c:v> 2019-20 </c:v>
                </c:pt>
              </c:strCache>
            </c:strRef>
          </c:tx>
          <c:spPr>
            <a:solidFill>
              <a:schemeClr val="accent2"/>
            </a:solidFill>
            <a:ln>
              <a:noFill/>
            </a:ln>
            <a:effectLst/>
          </c:spPr>
          <c:invertIfNegative val="0"/>
          <c:cat>
            <c:strRef>
              <c:f>'7. MH Summary admitted'!$A$60:$A$76</c:f>
              <c:strCache>
                <c:ptCount val="17"/>
                <c:pt idx="0">
                  <c:v> Ward Medical </c:v>
                </c:pt>
                <c:pt idx="1">
                  <c:v> Ward Nursing </c:v>
                </c:pt>
                <c:pt idx="2">
                  <c:v> Allied Health </c:v>
                </c:pt>
                <c:pt idx="3">
                  <c:v> Non Clinical </c:v>
                </c:pt>
                <c:pt idx="4">
                  <c:v> On-costs </c:v>
                </c:pt>
                <c:pt idx="5">
                  <c:v> Pathology </c:v>
                </c:pt>
                <c:pt idx="6">
                  <c:v> Imaging </c:v>
                </c:pt>
                <c:pt idx="7">
                  <c:v> Prosthesis </c:v>
                </c:pt>
                <c:pt idx="8">
                  <c:v> Ward Supplies </c:v>
                </c:pt>
                <c:pt idx="9">
                  <c:v> Pharmacy </c:v>
                </c:pt>
                <c:pt idx="10">
                  <c:v> Critical Care </c:v>
                </c:pt>
                <c:pt idx="11">
                  <c:v> Operating Room </c:v>
                </c:pt>
                <c:pt idx="12">
                  <c:v> Patient Travel </c:v>
                </c:pt>
                <c:pt idx="13">
                  <c:v> Special Procedure Suite </c:v>
                </c:pt>
                <c:pt idx="14">
                  <c:v> Emergency Department </c:v>
                </c:pt>
                <c:pt idx="15">
                  <c:v> Hotel </c:v>
                </c:pt>
                <c:pt idx="16">
                  <c:v> Depreciation </c:v>
                </c:pt>
              </c:strCache>
            </c:strRef>
          </c:cat>
          <c:val>
            <c:numRef>
              <c:f>'7. MH Summary admitted'!$B$60:$B$76</c:f>
              <c:numCache>
                <c:formatCode>_-"$"* #,##0_-;\-"$"* #,##0_-;_-"$"* "-"??_-;_-@_-</c:formatCode>
                <c:ptCount val="17"/>
                <c:pt idx="0">
                  <c:v>2592.2616288999998</c:v>
                </c:pt>
                <c:pt idx="1">
                  <c:v>6720.0314611000003</c:v>
                </c:pt>
                <c:pt idx="2">
                  <c:v>899.13511773000005</c:v>
                </c:pt>
                <c:pt idx="3">
                  <c:v>2021.3745378000001</c:v>
                </c:pt>
                <c:pt idx="4">
                  <c:v>1658.7736024000001</c:v>
                </c:pt>
                <c:pt idx="5">
                  <c:v>154.43059643999999</c:v>
                </c:pt>
                <c:pt idx="6">
                  <c:v>48.863653341000003</c:v>
                </c:pt>
                <c:pt idx="7">
                  <c:v>2.1732383445000001</c:v>
                </c:pt>
                <c:pt idx="8">
                  <c:v>2110.7428633999998</c:v>
                </c:pt>
                <c:pt idx="9">
                  <c:v>215.38636056000001</c:v>
                </c:pt>
                <c:pt idx="10">
                  <c:v>15.248417697000001</c:v>
                </c:pt>
                <c:pt idx="11">
                  <c:v>116.36300717</c:v>
                </c:pt>
                <c:pt idx="12">
                  <c:v>21.745315597000001</c:v>
                </c:pt>
                <c:pt idx="13">
                  <c:v>62.173195258</c:v>
                </c:pt>
                <c:pt idx="14">
                  <c:v>76.693626155000004</c:v>
                </c:pt>
                <c:pt idx="15">
                  <c:v>750.99937603000001</c:v>
                </c:pt>
                <c:pt idx="16">
                  <c:v>488.73544846999999</c:v>
                </c:pt>
              </c:numCache>
            </c:numRef>
          </c:val>
          <c:extLst>
            <c:ext xmlns:c16="http://schemas.microsoft.com/office/drawing/2014/chart" uri="{C3380CC4-5D6E-409C-BE32-E72D297353CC}">
              <c16:uniqueId val="{00000000-8EDD-4690-B6D4-6EB691A3D5F3}"/>
            </c:ext>
          </c:extLst>
        </c:ser>
        <c:ser>
          <c:idx val="1"/>
          <c:order val="1"/>
          <c:tx>
            <c:strRef>
              <c:f>'7. MH Summary admitted'!$C$59</c:f>
              <c:strCache>
                <c:ptCount val="1"/>
                <c:pt idx="0">
                  <c:v> 2020-21 </c:v>
                </c:pt>
              </c:strCache>
            </c:strRef>
          </c:tx>
          <c:spPr>
            <a:solidFill>
              <a:schemeClr val="accent3"/>
            </a:solidFill>
            <a:ln>
              <a:noFill/>
            </a:ln>
            <a:effectLst/>
          </c:spPr>
          <c:invertIfNegative val="0"/>
          <c:cat>
            <c:strRef>
              <c:f>'7. MH Summary admitted'!$A$60:$A$76</c:f>
              <c:strCache>
                <c:ptCount val="17"/>
                <c:pt idx="0">
                  <c:v> Ward Medical </c:v>
                </c:pt>
                <c:pt idx="1">
                  <c:v> Ward Nursing </c:v>
                </c:pt>
                <c:pt idx="2">
                  <c:v> Allied Health </c:v>
                </c:pt>
                <c:pt idx="3">
                  <c:v> Non Clinical </c:v>
                </c:pt>
                <c:pt idx="4">
                  <c:v> On-costs </c:v>
                </c:pt>
                <c:pt idx="5">
                  <c:v> Pathology </c:v>
                </c:pt>
                <c:pt idx="6">
                  <c:v> Imaging </c:v>
                </c:pt>
                <c:pt idx="7">
                  <c:v> Prosthesis </c:v>
                </c:pt>
                <c:pt idx="8">
                  <c:v> Ward Supplies </c:v>
                </c:pt>
                <c:pt idx="9">
                  <c:v> Pharmacy </c:v>
                </c:pt>
                <c:pt idx="10">
                  <c:v> Critical Care </c:v>
                </c:pt>
                <c:pt idx="11">
                  <c:v> Operating Room </c:v>
                </c:pt>
                <c:pt idx="12">
                  <c:v> Patient Travel </c:v>
                </c:pt>
                <c:pt idx="13">
                  <c:v> Special Procedure Suite </c:v>
                </c:pt>
                <c:pt idx="14">
                  <c:v> Emergency Department </c:v>
                </c:pt>
                <c:pt idx="15">
                  <c:v> Hotel </c:v>
                </c:pt>
                <c:pt idx="16">
                  <c:v> Depreciation </c:v>
                </c:pt>
              </c:strCache>
            </c:strRef>
          </c:cat>
          <c:val>
            <c:numRef>
              <c:f>'7. MH Summary admitted'!$C$60:$C$76</c:f>
              <c:numCache>
                <c:formatCode>_-"$"* #,##0_-;\-"$"* #,##0_-;_-"$"* "-"??_-;_-@_-</c:formatCode>
                <c:ptCount val="17"/>
                <c:pt idx="0">
                  <c:v>2651.0365741999999</c:v>
                </c:pt>
                <c:pt idx="1">
                  <c:v>7249.5904741000004</c:v>
                </c:pt>
                <c:pt idx="2">
                  <c:v>986.56537273000004</c:v>
                </c:pt>
                <c:pt idx="3">
                  <c:v>2142.4298454</c:v>
                </c:pt>
                <c:pt idx="4">
                  <c:v>1392.6447271</c:v>
                </c:pt>
                <c:pt idx="5">
                  <c:v>161.79092893999999</c:v>
                </c:pt>
                <c:pt idx="6">
                  <c:v>53.342113607000002</c:v>
                </c:pt>
                <c:pt idx="7">
                  <c:v>4.3297997696000001</c:v>
                </c:pt>
                <c:pt idx="8">
                  <c:v>2009.6415933000001</c:v>
                </c:pt>
                <c:pt idx="9">
                  <c:v>284.06937454000001</c:v>
                </c:pt>
                <c:pt idx="10">
                  <c:v>22.306045830999999</c:v>
                </c:pt>
                <c:pt idx="11">
                  <c:v>142.15872439</c:v>
                </c:pt>
                <c:pt idx="12">
                  <c:v>12.819766378000001</c:v>
                </c:pt>
                <c:pt idx="13">
                  <c:v>61.925347901000002</c:v>
                </c:pt>
                <c:pt idx="14">
                  <c:v>209.96780487999999</c:v>
                </c:pt>
                <c:pt idx="15">
                  <c:v>834.81420303000004</c:v>
                </c:pt>
                <c:pt idx="16">
                  <c:v>453.91930328000001</c:v>
                </c:pt>
              </c:numCache>
            </c:numRef>
          </c:val>
          <c:extLst>
            <c:ext xmlns:c16="http://schemas.microsoft.com/office/drawing/2014/chart" uri="{C3380CC4-5D6E-409C-BE32-E72D297353CC}">
              <c16:uniqueId val="{00000001-8EDD-4690-B6D4-6EB691A3D5F3}"/>
            </c:ext>
          </c:extLst>
        </c:ser>
        <c:ser>
          <c:idx val="2"/>
          <c:order val="2"/>
          <c:tx>
            <c:strRef>
              <c:f>'7. MH Summary admitted'!$D$59</c:f>
              <c:strCache>
                <c:ptCount val="1"/>
                <c:pt idx="0">
                  <c:v> 2021-22 </c:v>
                </c:pt>
              </c:strCache>
            </c:strRef>
          </c:tx>
          <c:spPr>
            <a:solidFill>
              <a:schemeClr val="accent4"/>
            </a:solidFill>
            <a:ln>
              <a:noFill/>
            </a:ln>
            <a:effectLst/>
          </c:spPr>
          <c:invertIfNegative val="0"/>
          <c:cat>
            <c:strRef>
              <c:f>'7. MH Summary admitted'!$A$60:$A$76</c:f>
              <c:strCache>
                <c:ptCount val="17"/>
                <c:pt idx="0">
                  <c:v> Ward Medical </c:v>
                </c:pt>
                <c:pt idx="1">
                  <c:v> Ward Nursing </c:v>
                </c:pt>
                <c:pt idx="2">
                  <c:v> Allied Health </c:v>
                </c:pt>
                <c:pt idx="3">
                  <c:v> Non Clinical </c:v>
                </c:pt>
                <c:pt idx="4">
                  <c:v> On-costs </c:v>
                </c:pt>
                <c:pt idx="5">
                  <c:v> Pathology </c:v>
                </c:pt>
                <c:pt idx="6">
                  <c:v> Imaging </c:v>
                </c:pt>
                <c:pt idx="7">
                  <c:v> Prosthesis </c:v>
                </c:pt>
                <c:pt idx="8">
                  <c:v> Ward Supplies </c:v>
                </c:pt>
                <c:pt idx="9">
                  <c:v> Pharmacy </c:v>
                </c:pt>
                <c:pt idx="10">
                  <c:v> Critical Care </c:v>
                </c:pt>
                <c:pt idx="11">
                  <c:v> Operating Room </c:v>
                </c:pt>
                <c:pt idx="12">
                  <c:v> Patient Travel </c:v>
                </c:pt>
                <c:pt idx="13">
                  <c:v> Special Procedure Suite </c:v>
                </c:pt>
                <c:pt idx="14">
                  <c:v> Emergency Department </c:v>
                </c:pt>
                <c:pt idx="15">
                  <c:v> Hotel </c:v>
                </c:pt>
                <c:pt idx="16">
                  <c:v> Depreciation </c:v>
                </c:pt>
              </c:strCache>
            </c:strRef>
          </c:cat>
          <c:val>
            <c:numRef>
              <c:f>'7. MH Summary admitted'!$D$60:$D$76</c:f>
              <c:numCache>
                <c:formatCode>_-"$"* #,##0_-;\-"$"* #,##0_-;_-"$"* "-"??_-;_-@_-</c:formatCode>
                <c:ptCount val="17"/>
                <c:pt idx="0">
                  <c:v>3711.0786532000002</c:v>
                </c:pt>
                <c:pt idx="1">
                  <c:v>8959.8057804</c:v>
                </c:pt>
                <c:pt idx="2">
                  <c:v>1234.0556316</c:v>
                </c:pt>
                <c:pt idx="3">
                  <c:v>2464.3949799000002</c:v>
                </c:pt>
                <c:pt idx="4">
                  <c:v>2150.4200027000002</c:v>
                </c:pt>
                <c:pt idx="5">
                  <c:v>203.56827064999999</c:v>
                </c:pt>
                <c:pt idx="6">
                  <c:v>52.066673625</c:v>
                </c:pt>
                <c:pt idx="7">
                  <c:v>3.0610995739</c:v>
                </c:pt>
                <c:pt idx="8">
                  <c:v>2788.5174913999999</c:v>
                </c:pt>
                <c:pt idx="9">
                  <c:v>282.43755736999998</c:v>
                </c:pt>
                <c:pt idx="10">
                  <c:v>9.6751382717999999</c:v>
                </c:pt>
                <c:pt idx="11">
                  <c:v>145.36698416999999</c:v>
                </c:pt>
                <c:pt idx="12">
                  <c:v>19.185420395000001</c:v>
                </c:pt>
                <c:pt idx="13">
                  <c:v>72.461023397999995</c:v>
                </c:pt>
                <c:pt idx="14">
                  <c:v>206.42256209999999</c:v>
                </c:pt>
                <c:pt idx="15">
                  <c:v>1076.0883745000001</c:v>
                </c:pt>
                <c:pt idx="16">
                  <c:v>531.45203079999999</c:v>
                </c:pt>
              </c:numCache>
            </c:numRef>
          </c:val>
          <c:extLst>
            <c:ext xmlns:c16="http://schemas.microsoft.com/office/drawing/2014/chart" uri="{C3380CC4-5D6E-409C-BE32-E72D297353CC}">
              <c16:uniqueId val="{00000002-8EDD-4690-B6D4-6EB691A3D5F3}"/>
            </c:ext>
          </c:extLst>
        </c:ser>
        <c:dLbls>
          <c:showLegendKey val="0"/>
          <c:showVal val="0"/>
          <c:showCatName val="0"/>
          <c:showSerName val="0"/>
          <c:showPercent val="0"/>
          <c:showBubbleSize val="0"/>
        </c:dLbls>
        <c:gapWidth val="182"/>
        <c:axId val="249823872"/>
        <c:axId val="249822432"/>
      </c:barChart>
      <c:catAx>
        <c:axId val="249823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49822432"/>
        <c:crosses val="autoZero"/>
        <c:auto val="1"/>
        <c:lblAlgn val="ctr"/>
        <c:lblOffset val="100"/>
        <c:noMultiLvlLbl val="0"/>
      </c:catAx>
      <c:valAx>
        <c:axId val="249822432"/>
        <c:scaling>
          <c:orientation val="minMax"/>
          <c:max val="9000"/>
        </c:scaling>
        <c:delete val="0"/>
        <c:axPos val="b"/>
        <c:majorGridlines>
          <c:spPr>
            <a:ln w="9525" cap="flat" cmpd="sng" algn="ctr">
              <a:solidFill>
                <a:srgbClr val="000000"/>
              </a:solidFill>
              <a:round/>
            </a:ln>
            <a:effectLst/>
          </c:spPr>
        </c:majorGridlines>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4982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Sheet1!$G$13</c:f>
              <c:strCache>
                <c:ptCount val="1"/>
                <c:pt idx="0">
                  <c:v>2019-20</c:v>
                </c:pt>
              </c:strCache>
            </c:strRef>
          </c:tx>
          <c:spPr>
            <a:solidFill>
              <a:schemeClr val="accent2"/>
            </a:solidFill>
            <a:ln>
              <a:noFill/>
            </a:ln>
            <a:effectLst/>
          </c:spPr>
          <c:invertIfNegative val="0"/>
          <c:cat>
            <c:strRef>
              <c:f>Sheet1!$F$14:$F$21</c:f>
              <c:strCache>
                <c:ptCount val="8"/>
                <c:pt idx="0">
                  <c:v>NSW</c:v>
                </c:pt>
                <c:pt idx="1">
                  <c:v>Vic</c:v>
                </c:pt>
                <c:pt idx="2">
                  <c:v>Qld</c:v>
                </c:pt>
                <c:pt idx="3">
                  <c:v>SA</c:v>
                </c:pt>
                <c:pt idx="4">
                  <c:v>WA</c:v>
                </c:pt>
                <c:pt idx="5">
                  <c:v>Tas</c:v>
                </c:pt>
                <c:pt idx="6">
                  <c:v>NT</c:v>
                </c:pt>
                <c:pt idx="7">
                  <c:v>ACT</c:v>
                </c:pt>
              </c:strCache>
            </c:strRef>
          </c:cat>
          <c:val>
            <c:numRef>
              <c:f>Sheet1!$G$14:$G$21</c:f>
              <c:numCache>
                <c:formatCode>_-"$"* #,##0_-;\-"$"* #,##0_-;_-"$"* "-"??_-;_-@_-</c:formatCode>
                <c:ptCount val="8"/>
                <c:pt idx="0">
                  <c:v>9308.8108936000008</c:v>
                </c:pt>
                <c:pt idx="1">
                  <c:v>8223.1196311999993</c:v>
                </c:pt>
                <c:pt idx="2">
                  <c:v>7363.6300716999995</c:v>
                </c:pt>
                <c:pt idx="3">
                  <c:v>2436.4110946999999</c:v>
                </c:pt>
                <c:pt idx="4">
                  <c:v>3271.9627031999999</c:v>
                </c:pt>
                <c:pt idx="5">
                  <c:v>822.52927635000003</c:v>
                </c:pt>
                <c:pt idx="6">
                  <c:v>683.5405733099999</c:v>
                </c:pt>
                <c:pt idx="7">
                  <c:v>655.82024057000001</c:v>
                </c:pt>
              </c:numCache>
            </c:numRef>
          </c:val>
          <c:extLst>
            <c:ext xmlns:c16="http://schemas.microsoft.com/office/drawing/2014/chart" uri="{C3380CC4-5D6E-409C-BE32-E72D297353CC}">
              <c16:uniqueId val="{00000000-E562-4BCA-9988-D1200BEC9F5C}"/>
            </c:ext>
          </c:extLst>
        </c:ser>
        <c:ser>
          <c:idx val="1"/>
          <c:order val="1"/>
          <c:tx>
            <c:strRef>
              <c:f>Sheet1!$H$13</c:f>
              <c:strCache>
                <c:ptCount val="1"/>
                <c:pt idx="0">
                  <c:v>2020-21</c:v>
                </c:pt>
              </c:strCache>
            </c:strRef>
          </c:tx>
          <c:spPr>
            <a:solidFill>
              <a:schemeClr val="accent3"/>
            </a:solidFill>
            <a:ln>
              <a:noFill/>
            </a:ln>
            <a:effectLst/>
          </c:spPr>
          <c:invertIfNegative val="0"/>
          <c:cat>
            <c:strRef>
              <c:f>Sheet1!$F$14:$F$21</c:f>
              <c:strCache>
                <c:ptCount val="8"/>
                <c:pt idx="0">
                  <c:v>NSW</c:v>
                </c:pt>
                <c:pt idx="1">
                  <c:v>Vic</c:v>
                </c:pt>
                <c:pt idx="2">
                  <c:v>Qld</c:v>
                </c:pt>
                <c:pt idx="3">
                  <c:v>SA</c:v>
                </c:pt>
                <c:pt idx="4">
                  <c:v>WA</c:v>
                </c:pt>
                <c:pt idx="5">
                  <c:v>Tas</c:v>
                </c:pt>
                <c:pt idx="6">
                  <c:v>NT</c:v>
                </c:pt>
                <c:pt idx="7">
                  <c:v>ACT</c:v>
                </c:pt>
              </c:strCache>
            </c:strRef>
          </c:cat>
          <c:val>
            <c:numRef>
              <c:f>Sheet1!$H$14:$H$21</c:f>
              <c:numCache>
                <c:formatCode>_-"$"* #,##0_-;\-"$"* #,##0_-;_-"$"* "-"??_-;_-@_-</c:formatCode>
                <c:ptCount val="8"/>
                <c:pt idx="0">
                  <c:v>9370.5881397000012</c:v>
                </c:pt>
                <c:pt idx="1">
                  <c:v>8650.8314187999986</c:v>
                </c:pt>
                <c:pt idx="2">
                  <c:v>7540.2252054999999</c:v>
                </c:pt>
                <c:pt idx="3">
                  <c:v>2424.5897078000003</c:v>
                </c:pt>
                <c:pt idx="4">
                  <c:v>3482.1945559999999</c:v>
                </c:pt>
                <c:pt idx="5">
                  <c:v>889.71773246999999</c:v>
                </c:pt>
                <c:pt idx="6">
                  <c:v>739.06201625000006</c:v>
                </c:pt>
                <c:pt idx="7">
                  <c:v>707.19036060999997</c:v>
                </c:pt>
              </c:numCache>
            </c:numRef>
          </c:val>
          <c:extLst>
            <c:ext xmlns:c16="http://schemas.microsoft.com/office/drawing/2014/chart" uri="{C3380CC4-5D6E-409C-BE32-E72D297353CC}">
              <c16:uniqueId val="{00000001-E562-4BCA-9988-D1200BEC9F5C}"/>
            </c:ext>
          </c:extLst>
        </c:ser>
        <c:ser>
          <c:idx val="2"/>
          <c:order val="2"/>
          <c:tx>
            <c:strRef>
              <c:f>Sheet1!$I$13</c:f>
              <c:strCache>
                <c:ptCount val="1"/>
                <c:pt idx="0">
                  <c:v>2021-22</c:v>
                </c:pt>
              </c:strCache>
            </c:strRef>
          </c:tx>
          <c:spPr>
            <a:solidFill>
              <a:schemeClr val="accent4"/>
            </a:solidFill>
            <a:ln>
              <a:noFill/>
            </a:ln>
            <a:effectLst/>
          </c:spPr>
          <c:invertIfNegative val="0"/>
          <c:cat>
            <c:strRef>
              <c:f>Sheet1!$F$14:$F$21</c:f>
              <c:strCache>
                <c:ptCount val="8"/>
                <c:pt idx="0">
                  <c:v>NSW</c:v>
                </c:pt>
                <c:pt idx="1">
                  <c:v>Vic</c:v>
                </c:pt>
                <c:pt idx="2">
                  <c:v>Qld</c:v>
                </c:pt>
                <c:pt idx="3">
                  <c:v>SA</c:v>
                </c:pt>
                <c:pt idx="4">
                  <c:v>WA</c:v>
                </c:pt>
                <c:pt idx="5">
                  <c:v>Tas</c:v>
                </c:pt>
                <c:pt idx="6">
                  <c:v>NT</c:v>
                </c:pt>
                <c:pt idx="7">
                  <c:v>ACT</c:v>
                </c:pt>
              </c:strCache>
            </c:strRef>
          </c:cat>
          <c:val>
            <c:numRef>
              <c:f>Sheet1!$I$14:$I$21</c:f>
              <c:numCache>
                <c:formatCode>_-"$"* #,##0_-;\-"$"* #,##0_-;_-"$"* "-"??_-;_-@_-</c:formatCode>
                <c:ptCount val="8"/>
                <c:pt idx="0">
                  <c:v>9888.1044697999987</c:v>
                </c:pt>
                <c:pt idx="1">
                  <c:v>9376.1415053000001</c:v>
                </c:pt>
                <c:pt idx="2">
                  <c:v>7856.2467198000004</c:v>
                </c:pt>
                <c:pt idx="3">
                  <c:v>2685.7926351999999</c:v>
                </c:pt>
                <c:pt idx="4">
                  <c:v>3737.7977504999999</c:v>
                </c:pt>
                <c:pt idx="5">
                  <c:v>1055.6573722999999</c:v>
                </c:pt>
                <c:pt idx="6">
                  <c:v>754.28743239999994</c:v>
                </c:pt>
                <c:pt idx="7">
                  <c:v>801.84801811</c:v>
                </c:pt>
              </c:numCache>
            </c:numRef>
          </c:val>
          <c:extLst>
            <c:ext xmlns:c16="http://schemas.microsoft.com/office/drawing/2014/chart" uri="{C3380CC4-5D6E-409C-BE32-E72D297353CC}">
              <c16:uniqueId val="{00000002-E562-4BCA-9988-D1200BEC9F5C}"/>
            </c:ext>
          </c:extLst>
        </c:ser>
        <c:dLbls>
          <c:showLegendKey val="0"/>
          <c:showVal val="0"/>
          <c:showCatName val="0"/>
          <c:showSerName val="0"/>
          <c:showPercent val="0"/>
          <c:showBubbleSize val="0"/>
        </c:dLbls>
        <c:gapWidth val="219"/>
        <c:axId val="705491640"/>
        <c:axId val="705492000"/>
      </c:barChart>
      <c:catAx>
        <c:axId val="705491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05492000"/>
        <c:crosses val="autoZero"/>
        <c:auto val="1"/>
        <c:lblAlgn val="ctr"/>
        <c:lblOffset val="100"/>
        <c:noMultiLvlLbl val="0"/>
      </c:catAx>
      <c:valAx>
        <c:axId val="705492000"/>
        <c:scaling>
          <c:orientation val="minMax"/>
          <c:max val="10000"/>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Cost (millions)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05491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'CMH Check Ph NEW'!$B$69</c:f>
              <c:strCache>
                <c:ptCount val="1"/>
                <c:pt idx="0">
                  <c:v>2019-20</c:v>
                </c:pt>
              </c:strCache>
            </c:strRef>
          </c:tx>
          <c:spPr>
            <a:solidFill>
              <a:schemeClr val="accent2"/>
            </a:solidFill>
            <a:ln>
              <a:noFill/>
            </a:ln>
            <a:effectLst/>
          </c:spPr>
          <c:invertIfNegative val="0"/>
          <c:cat>
            <c:strRef>
              <c:f>'CMH Check Ph NEW'!$A$70:$A$77</c:f>
              <c:strCache>
                <c:ptCount val="8"/>
                <c:pt idx="0">
                  <c:v>NSW</c:v>
                </c:pt>
                <c:pt idx="1">
                  <c:v>Vic</c:v>
                </c:pt>
                <c:pt idx="2">
                  <c:v>Qld</c:v>
                </c:pt>
                <c:pt idx="3">
                  <c:v>SA</c:v>
                </c:pt>
                <c:pt idx="4">
                  <c:v>WA</c:v>
                </c:pt>
                <c:pt idx="5">
                  <c:v>Tas</c:v>
                </c:pt>
                <c:pt idx="6">
                  <c:v>NT</c:v>
                </c:pt>
                <c:pt idx="7">
                  <c:v>ACT</c:v>
                </c:pt>
              </c:strCache>
            </c:strRef>
          </c:cat>
          <c:val>
            <c:numRef>
              <c:f>'CMH Check Ph NEW'!$B$70:$B$77</c:f>
              <c:numCache>
                <c:formatCode>_-* #,##0_-;\-* #,##0_-;_-* "-"??_-;_-@_-</c:formatCode>
                <c:ptCount val="8"/>
                <c:pt idx="0">
                  <c:v>187015</c:v>
                </c:pt>
                <c:pt idx="1">
                  <c:v>131828</c:v>
                </c:pt>
                <c:pt idx="2">
                  <c:v>126405</c:v>
                </c:pt>
                <c:pt idx="3">
                  <c:v>0</c:v>
                </c:pt>
                <c:pt idx="4">
                  <c:v>0</c:v>
                </c:pt>
                <c:pt idx="5">
                  <c:v>0</c:v>
                </c:pt>
                <c:pt idx="6">
                  <c:v>0</c:v>
                </c:pt>
                <c:pt idx="7">
                  <c:v>0</c:v>
                </c:pt>
              </c:numCache>
            </c:numRef>
          </c:val>
          <c:extLst>
            <c:ext xmlns:c16="http://schemas.microsoft.com/office/drawing/2014/chart" uri="{C3380CC4-5D6E-409C-BE32-E72D297353CC}">
              <c16:uniqueId val="{00000000-1227-4647-A89D-342DC3E488D0}"/>
            </c:ext>
          </c:extLst>
        </c:ser>
        <c:ser>
          <c:idx val="1"/>
          <c:order val="1"/>
          <c:tx>
            <c:strRef>
              <c:f>'CMH Check Ph NEW'!$C$69</c:f>
              <c:strCache>
                <c:ptCount val="1"/>
                <c:pt idx="0">
                  <c:v>2020-21</c:v>
                </c:pt>
              </c:strCache>
            </c:strRef>
          </c:tx>
          <c:spPr>
            <a:solidFill>
              <a:schemeClr val="accent3"/>
            </a:solidFill>
            <a:ln>
              <a:noFill/>
            </a:ln>
            <a:effectLst/>
          </c:spPr>
          <c:invertIfNegative val="0"/>
          <c:cat>
            <c:strRef>
              <c:f>'CMH Check Ph NEW'!$A$70:$A$77</c:f>
              <c:strCache>
                <c:ptCount val="8"/>
                <c:pt idx="0">
                  <c:v>NSW</c:v>
                </c:pt>
                <c:pt idx="1">
                  <c:v>Vic</c:v>
                </c:pt>
                <c:pt idx="2">
                  <c:v>Qld</c:v>
                </c:pt>
                <c:pt idx="3">
                  <c:v>SA</c:v>
                </c:pt>
                <c:pt idx="4">
                  <c:v>WA</c:v>
                </c:pt>
                <c:pt idx="5">
                  <c:v>Tas</c:v>
                </c:pt>
                <c:pt idx="6">
                  <c:v>NT</c:v>
                </c:pt>
                <c:pt idx="7">
                  <c:v>ACT</c:v>
                </c:pt>
              </c:strCache>
            </c:strRef>
          </c:cat>
          <c:val>
            <c:numRef>
              <c:f>'CMH Check Ph NEW'!$C$70:$C$77</c:f>
              <c:numCache>
                <c:formatCode>_-* #,##0_-;\-* #,##0_-;_-* "-"??_-;_-@_-</c:formatCode>
                <c:ptCount val="8"/>
                <c:pt idx="0">
                  <c:v>200186</c:v>
                </c:pt>
                <c:pt idx="1">
                  <c:v>119841</c:v>
                </c:pt>
                <c:pt idx="2">
                  <c:v>82904</c:v>
                </c:pt>
                <c:pt idx="3">
                  <c:v>0</c:v>
                </c:pt>
                <c:pt idx="4">
                  <c:v>0</c:v>
                </c:pt>
                <c:pt idx="5">
                  <c:v>2884</c:v>
                </c:pt>
                <c:pt idx="6">
                  <c:v>0</c:v>
                </c:pt>
                <c:pt idx="7">
                  <c:v>0</c:v>
                </c:pt>
              </c:numCache>
            </c:numRef>
          </c:val>
          <c:extLst>
            <c:ext xmlns:c16="http://schemas.microsoft.com/office/drawing/2014/chart" uri="{C3380CC4-5D6E-409C-BE32-E72D297353CC}">
              <c16:uniqueId val="{00000001-1227-4647-A89D-342DC3E488D0}"/>
            </c:ext>
          </c:extLst>
        </c:ser>
        <c:ser>
          <c:idx val="2"/>
          <c:order val="2"/>
          <c:tx>
            <c:strRef>
              <c:f>'CMH Check Ph NEW'!$D$69</c:f>
              <c:strCache>
                <c:ptCount val="1"/>
                <c:pt idx="0">
                  <c:v>2021-22</c:v>
                </c:pt>
              </c:strCache>
            </c:strRef>
          </c:tx>
          <c:spPr>
            <a:solidFill>
              <a:schemeClr val="accent4"/>
            </a:solidFill>
            <a:ln>
              <a:noFill/>
            </a:ln>
            <a:effectLst/>
          </c:spPr>
          <c:invertIfNegative val="0"/>
          <c:cat>
            <c:strRef>
              <c:f>'CMH Check Ph NEW'!$A$70:$A$77</c:f>
              <c:strCache>
                <c:ptCount val="8"/>
                <c:pt idx="0">
                  <c:v>NSW</c:v>
                </c:pt>
                <c:pt idx="1">
                  <c:v>Vic</c:v>
                </c:pt>
                <c:pt idx="2">
                  <c:v>Qld</c:v>
                </c:pt>
                <c:pt idx="3">
                  <c:v>SA</c:v>
                </c:pt>
                <c:pt idx="4">
                  <c:v>WA</c:v>
                </c:pt>
                <c:pt idx="5">
                  <c:v>Tas</c:v>
                </c:pt>
                <c:pt idx="6">
                  <c:v>NT</c:v>
                </c:pt>
                <c:pt idx="7">
                  <c:v>ACT</c:v>
                </c:pt>
              </c:strCache>
            </c:strRef>
          </c:cat>
          <c:val>
            <c:numRef>
              <c:f>'CMH Check Ph NEW'!$D$70:$D$77</c:f>
              <c:numCache>
                <c:formatCode>_-* #,##0_-;\-* #,##0_-;_-* "-"??_-;_-@_-</c:formatCode>
                <c:ptCount val="8"/>
                <c:pt idx="0">
                  <c:v>192668</c:v>
                </c:pt>
                <c:pt idx="1">
                  <c:v>223996</c:v>
                </c:pt>
                <c:pt idx="2">
                  <c:v>135181</c:v>
                </c:pt>
                <c:pt idx="3">
                  <c:v>0</c:v>
                </c:pt>
                <c:pt idx="4">
                  <c:v>0</c:v>
                </c:pt>
                <c:pt idx="5">
                  <c:v>3983</c:v>
                </c:pt>
                <c:pt idx="6">
                  <c:v>0</c:v>
                </c:pt>
                <c:pt idx="7">
                  <c:v>0</c:v>
                </c:pt>
              </c:numCache>
            </c:numRef>
          </c:val>
          <c:extLst>
            <c:ext xmlns:c16="http://schemas.microsoft.com/office/drawing/2014/chart" uri="{C3380CC4-5D6E-409C-BE32-E72D297353CC}">
              <c16:uniqueId val="{00000002-1227-4647-A89D-342DC3E488D0}"/>
            </c:ext>
          </c:extLst>
        </c:ser>
        <c:dLbls>
          <c:showLegendKey val="0"/>
          <c:showVal val="0"/>
          <c:showCatName val="0"/>
          <c:showSerName val="0"/>
          <c:showPercent val="0"/>
          <c:showBubbleSize val="0"/>
        </c:dLbls>
        <c:gapWidth val="219"/>
        <c:axId val="762148168"/>
        <c:axId val="762148888"/>
      </c:barChart>
      <c:catAx>
        <c:axId val="762148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2148888"/>
        <c:crosses val="autoZero"/>
        <c:auto val="1"/>
        <c:lblAlgn val="ctr"/>
        <c:lblOffset val="100"/>
        <c:noMultiLvlLbl val="0"/>
      </c:catAx>
      <c:valAx>
        <c:axId val="762148888"/>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Phases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62148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'CMH av cost'!$L$3</c:f>
              <c:strCache>
                <c:ptCount val="1"/>
                <c:pt idx="0">
                  <c:v> 2019-20 </c:v>
                </c:pt>
              </c:strCache>
            </c:strRef>
          </c:tx>
          <c:spPr>
            <a:solidFill>
              <a:schemeClr val="accent2"/>
            </a:solidFill>
            <a:ln>
              <a:noFill/>
            </a:ln>
            <a:effectLst/>
          </c:spPr>
          <c:invertIfNegative val="0"/>
          <c:cat>
            <c:strRef>
              <c:f>'CMH av cost'!$F$4:$F$11</c:f>
              <c:strCache>
                <c:ptCount val="8"/>
                <c:pt idx="0">
                  <c:v> NSW </c:v>
                </c:pt>
                <c:pt idx="1">
                  <c:v> Vic </c:v>
                </c:pt>
                <c:pt idx="2">
                  <c:v> Qld </c:v>
                </c:pt>
                <c:pt idx="3">
                  <c:v> SA </c:v>
                </c:pt>
                <c:pt idx="4">
                  <c:v> WA </c:v>
                </c:pt>
                <c:pt idx="5">
                  <c:v> Tas </c:v>
                </c:pt>
                <c:pt idx="6">
                  <c:v> NT </c:v>
                </c:pt>
                <c:pt idx="7">
                  <c:v> ACT </c:v>
                </c:pt>
              </c:strCache>
            </c:strRef>
          </c:cat>
          <c:val>
            <c:numRef>
              <c:f>'CMH av cost'!$L$4:$L$11</c:f>
              <c:numCache>
                <c:formatCode>_-* #,##0_-;\-* #,##0_-;_-* "-"??_-;_-@_-</c:formatCode>
                <c:ptCount val="8"/>
                <c:pt idx="0">
                  <c:v>0</c:v>
                </c:pt>
                <c:pt idx="1">
                  <c:v>234517</c:v>
                </c:pt>
                <c:pt idx="2">
                  <c:v>8860</c:v>
                </c:pt>
                <c:pt idx="3">
                  <c:v>0</c:v>
                </c:pt>
                <c:pt idx="4">
                  <c:v>0</c:v>
                </c:pt>
                <c:pt idx="5">
                  <c:v>8072</c:v>
                </c:pt>
                <c:pt idx="6">
                  <c:v>0</c:v>
                </c:pt>
                <c:pt idx="7">
                  <c:v>0</c:v>
                </c:pt>
              </c:numCache>
            </c:numRef>
          </c:val>
          <c:extLst>
            <c:ext xmlns:c16="http://schemas.microsoft.com/office/drawing/2014/chart" uri="{C3380CC4-5D6E-409C-BE32-E72D297353CC}">
              <c16:uniqueId val="{00000000-BAEB-4040-BF76-7F9B8D6335F8}"/>
            </c:ext>
          </c:extLst>
        </c:ser>
        <c:ser>
          <c:idx val="1"/>
          <c:order val="1"/>
          <c:tx>
            <c:strRef>
              <c:f>'CMH av cost'!$M$3</c:f>
              <c:strCache>
                <c:ptCount val="1"/>
                <c:pt idx="0">
                  <c:v> 2020-21 </c:v>
                </c:pt>
              </c:strCache>
            </c:strRef>
          </c:tx>
          <c:spPr>
            <a:solidFill>
              <a:schemeClr val="accent3"/>
            </a:solidFill>
            <a:ln>
              <a:noFill/>
            </a:ln>
            <a:effectLst/>
          </c:spPr>
          <c:invertIfNegative val="0"/>
          <c:cat>
            <c:strRef>
              <c:f>'CMH av cost'!$F$4:$F$11</c:f>
              <c:strCache>
                <c:ptCount val="8"/>
                <c:pt idx="0">
                  <c:v> NSW </c:v>
                </c:pt>
                <c:pt idx="1">
                  <c:v> Vic </c:v>
                </c:pt>
                <c:pt idx="2">
                  <c:v> Qld </c:v>
                </c:pt>
                <c:pt idx="3">
                  <c:v> SA </c:v>
                </c:pt>
                <c:pt idx="4">
                  <c:v> WA </c:v>
                </c:pt>
                <c:pt idx="5">
                  <c:v> Tas </c:v>
                </c:pt>
                <c:pt idx="6">
                  <c:v> NT </c:v>
                </c:pt>
                <c:pt idx="7">
                  <c:v> ACT </c:v>
                </c:pt>
              </c:strCache>
            </c:strRef>
          </c:cat>
          <c:val>
            <c:numRef>
              <c:f>'CMH av cost'!$M$4:$M$11</c:f>
              <c:numCache>
                <c:formatCode>_-* #,##0_-;\-* #,##0_-;_-* "-"??_-;_-@_-</c:formatCode>
                <c:ptCount val="8"/>
                <c:pt idx="0">
                  <c:v>0</c:v>
                </c:pt>
                <c:pt idx="1">
                  <c:v>205750</c:v>
                </c:pt>
                <c:pt idx="2">
                  <c:v>9266</c:v>
                </c:pt>
                <c:pt idx="3">
                  <c:v>0</c:v>
                </c:pt>
                <c:pt idx="4">
                  <c:v>0</c:v>
                </c:pt>
                <c:pt idx="5">
                  <c:v>6483</c:v>
                </c:pt>
                <c:pt idx="6">
                  <c:v>0</c:v>
                </c:pt>
                <c:pt idx="7">
                  <c:v>6857</c:v>
                </c:pt>
              </c:numCache>
            </c:numRef>
          </c:val>
          <c:extLst>
            <c:ext xmlns:c16="http://schemas.microsoft.com/office/drawing/2014/chart" uri="{C3380CC4-5D6E-409C-BE32-E72D297353CC}">
              <c16:uniqueId val="{00000001-BAEB-4040-BF76-7F9B8D6335F8}"/>
            </c:ext>
          </c:extLst>
        </c:ser>
        <c:ser>
          <c:idx val="2"/>
          <c:order val="2"/>
          <c:tx>
            <c:strRef>
              <c:f>'CMH av cost'!$N$3</c:f>
              <c:strCache>
                <c:ptCount val="1"/>
                <c:pt idx="0">
                  <c:v> 2021-22 </c:v>
                </c:pt>
              </c:strCache>
            </c:strRef>
          </c:tx>
          <c:spPr>
            <a:solidFill>
              <a:schemeClr val="accent4"/>
            </a:solidFill>
            <a:ln>
              <a:noFill/>
            </a:ln>
            <a:effectLst/>
          </c:spPr>
          <c:invertIfNegative val="0"/>
          <c:cat>
            <c:strRef>
              <c:f>'CMH av cost'!$F$4:$F$11</c:f>
              <c:strCache>
                <c:ptCount val="8"/>
                <c:pt idx="0">
                  <c:v> NSW </c:v>
                </c:pt>
                <c:pt idx="1">
                  <c:v> Vic </c:v>
                </c:pt>
                <c:pt idx="2">
                  <c:v> Qld </c:v>
                </c:pt>
                <c:pt idx="3">
                  <c:v> SA </c:v>
                </c:pt>
                <c:pt idx="4">
                  <c:v> WA </c:v>
                </c:pt>
                <c:pt idx="5">
                  <c:v> Tas </c:v>
                </c:pt>
                <c:pt idx="6">
                  <c:v> NT </c:v>
                </c:pt>
                <c:pt idx="7">
                  <c:v> ACT </c:v>
                </c:pt>
              </c:strCache>
            </c:strRef>
          </c:cat>
          <c:val>
            <c:numRef>
              <c:f>'CMH av cost'!$N$4:$N$11</c:f>
              <c:numCache>
                <c:formatCode>_-* #,##0_-;\-* #,##0_-;_-* "-"??_-;_-@_-</c:formatCode>
                <c:ptCount val="8"/>
                <c:pt idx="0">
                  <c:v>0</c:v>
                </c:pt>
                <c:pt idx="1">
                  <c:v>205348</c:v>
                </c:pt>
                <c:pt idx="2">
                  <c:v>6681</c:v>
                </c:pt>
                <c:pt idx="3">
                  <c:v>0</c:v>
                </c:pt>
                <c:pt idx="4">
                  <c:v>0</c:v>
                </c:pt>
                <c:pt idx="5">
                  <c:v>7003</c:v>
                </c:pt>
                <c:pt idx="6">
                  <c:v>0</c:v>
                </c:pt>
                <c:pt idx="7">
                  <c:v>0</c:v>
                </c:pt>
              </c:numCache>
            </c:numRef>
          </c:val>
          <c:extLst>
            <c:ext xmlns:c16="http://schemas.microsoft.com/office/drawing/2014/chart" uri="{C3380CC4-5D6E-409C-BE32-E72D297353CC}">
              <c16:uniqueId val="{00000002-BAEB-4040-BF76-7F9B8D6335F8}"/>
            </c:ext>
          </c:extLst>
        </c:ser>
        <c:dLbls>
          <c:showLegendKey val="0"/>
          <c:showVal val="0"/>
          <c:showCatName val="0"/>
          <c:showSerName val="0"/>
          <c:showPercent val="0"/>
          <c:showBubbleSize val="0"/>
        </c:dLbls>
        <c:gapWidth val="219"/>
        <c:axId val="798547352"/>
        <c:axId val="798552392"/>
      </c:barChart>
      <c:catAx>
        <c:axId val="798547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98552392"/>
        <c:crosses val="autoZero"/>
        <c:auto val="1"/>
        <c:lblAlgn val="ctr"/>
        <c:lblOffset val="100"/>
        <c:noMultiLvlLbl val="0"/>
      </c:catAx>
      <c:valAx>
        <c:axId val="798552392"/>
        <c:scaling>
          <c:orientation val="minMax"/>
        </c:scaling>
        <c:delete val="0"/>
        <c:axPos val="l"/>
        <c:majorGridlines>
          <c:spPr>
            <a:ln w="6350"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Episodes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98547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'CMH Check Ph NEW'!$E$80</c:f>
              <c:strCache>
                <c:ptCount val="1"/>
                <c:pt idx="0">
                  <c:v>2019-20</c:v>
                </c:pt>
              </c:strCache>
            </c:strRef>
          </c:tx>
          <c:spPr>
            <a:solidFill>
              <a:schemeClr val="accent2"/>
            </a:solidFill>
            <a:ln>
              <a:noFill/>
            </a:ln>
            <a:effectLst/>
          </c:spPr>
          <c:invertIfNegative val="0"/>
          <c:cat>
            <c:strRef>
              <c:f>'CMH Check Ph NEW'!$A$81:$A$88</c:f>
              <c:strCache>
                <c:ptCount val="8"/>
                <c:pt idx="0">
                  <c:v>NSW</c:v>
                </c:pt>
                <c:pt idx="1">
                  <c:v>Vic</c:v>
                </c:pt>
                <c:pt idx="2">
                  <c:v>Qld</c:v>
                </c:pt>
                <c:pt idx="3">
                  <c:v>SA</c:v>
                </c:pt>
                <c:pt idx="4">
                  <c:v>WA</c:v>
                </c:pt>
                <c:pt idx="5">
                  <c:v>Tas</c:v>
                </c:pt>
                <c:pt idx="6">
                  <c:v>NT</c:v>
                </c:pt>
                <c:pt idx="7">
                  <c:v>ACT</c:v>
                </c:pt>
              </c:strCache>
            </c:strRef>
          </c:cat>
          <c:val>
            <c:numRef>
              <c:f>'CMH Check Ph NEW'!$E$81:$E$88</c:f>
              <c:numCache>
                <c:formatCode>_-"$"* #,##0_-;\-"$"* #,##0_-;_-"$"* "-"??_-;_-@_-</c:formatCode>
                <c:ptCount val="8"/>
                <c:pt idx="0">
                  <c:v>570.46862213999998</c:v>
                </c:pt>
                <c:pt idx="1">
                  <c:v>306.68101636</c:v>
                </c:pt>
                <c:pt idx="2">
                  <c:v>289.34221557999996</c:v>
                </c:pt>
                <c:pt idx="3">
                  <c:v>0</c:v>
                </c:pt>
                <c:pt idx="4">
                  <c:v>0</c:v>
                </c:pt>
                <c:pt idx="5">
                  <c:v>0</c:v>
                </c:pt>
                <c:pt idx="6">
                  <c:v>0</c:v>
                </c:pt>
                <c:pt idx="7">
                  <c:v>0</c:v>
                </c:pt>
              </c:numCache>
            </c:numRef>
          </c:val>
          <c:extLst>
            <c:ext xmlns:c16="http://schemas.microsoft.com/office/drawing/2014/chart" uri="{C3380CC4-5D6E-409C-BE32-E72D297353CC}">
              <c16:uniqueId val="{00000000-B645-4BE3-83E7-74999F4BB0DF}"/>
            </c:ext>
          </c:extLst>
        </c:ser>
        <c:ser>
          <c:idx val="1"/>
          <c:order val="1"/>
          <c:tx>
            <c:strRef>
              <c:f>'CMH Check Ph NEW'!$F$80</c:f>
              <c:strCache>
                <c:ptCount val="1"/>
                <c:pt idx="0">
                  <c:v>2020-21</c:v>
                </c:pt>
              </c:strCache>
            </c:strRef>
          </c:tx>
          <c:spPr>
            <a:solidFill>
              <a:schemeClr val="accent3"/>
            </a:solidFill>
            <a:ln>
              <a:noFill/>
            </a:ln>
            <a:effectLst/>
          </c:spPr>
          <c:invertIfNegative val="0"/>
          <c:cat>
            <c:strRef>
              <c:f>'CMH Check Ph NEW'!$A$81:$A$88</c:f>
              <c:strCache>
                <c:ptCount val="8"/>
                <c:pt idx="0">
                  <c:v>NSW</c:v>
                </c:pt>
                <c:pt idx="1">
                  <c:v>Vic</c:v>
                </c:pt>
                <c:pt idx="2">
                  <c:v>Qld</c:v>
                </c:pt>
                <c:pt idx="3">
                  <c:v>SA</c:v>
                </c:pt>
                <c:pt idx="4">
                  <c:v>WA</c:v>
                </c:pt>
                <c:pt idx="5">
                  <c:v>Tas</c:v>
                </c:pt>
                <c:pt idx="6">
                  <c:v>NT</c:v>
                </c:pt>
                <c:pt idx="7">
                  <c:v>ACT</c:v>
                </c:pt>
              </c:strCache>
            </c:strRef>
          </c:cat>
          <c:val>
            <c:numRef>
              <c:f>'CMH Check Ph NEW'!$F$81:$F$88</c:f>
              <c:numCache>
                <c:formatCode>_-"$"* #,##0_-;\-"$"* #,##0_-;_-"$"* "-"??_-;_-@_-</c:formatCode>
                <c:ptCount val="8"/>
                <c:pt idx="0">
                  <c:v>610.64213590999998</c:v>
                </c:pt>
                <c:pt idx="1">
                  <c:v>269.56044393000002</c:v>
                </c:pt>
                <c:pt idx="2">
                  <c:v>283.46005210000004</c:v>
                </c:pt>
                <c:pt idx="3">
                  <c:v>0</c:v>
                </c:pt>
                <c:pt idx="4">
                  <c:v>0</c:v>
                </c:pt>
                <c:pt idx="5">
                  <c:v>5.7206166242999998</c:v>
                </c:pt>
                <c:pt idx="6">
                  <c:v>0</c:v>
                </c:pt>
                <c:pt idx="7">
                  <c:v>0</c:v>
                </c:pt>
              </c:numCache>
            </c:numRef>
          </c:val>
          <c:extLst>
            <c:ext xmlns:c16="http://schemas.microsoft.com/office/drawing/2014/chart" uri="{C3380CC4-5D6E-409C-BE32-E72D297353CC}">
              <c16:uniqueId val="{00000001-B645-4BE3-83E7-74999F4BB0DF}"/>
            </c:ext>
          </c:extLst>
        </c:ser>
        <c:ser>
          <c:idx val="2"/>
          <c:order val="2"/>
          <c:tx>
            <c:strRef>
              <c:f>'CMH Check Ph NEW'!$G$80</c:f>
              <c:strCache>
                <c:ptCount val="1"/>
                <c:pt idx="0">
                  <c:v>2021-22</c:v>
                </c:pt>
              </c:strCache>
            </c:strRef>
          </c:tx>
          <c:spPr>
            <a:solidFill>
              <a:schemeClr val="accent4"/>
            </a:solidFill>
            <a:ln>
              <a:noFill/>
            </a:ln>
            <a:effectLst/>
          </c:spPr>
          <c:invertIfNegative val="0"/>
          <c:cat>
            <c:strRef>
              <c:f>'CMH Check Ph NEW'!$A$81:$A$88</c:f>
              <c:strCache>
                <c:ptCount val="8"/>
                <c:pt idx="0">
                  <c:v>NSW</c:v>
                </c:pt>
                <c:pt idx="1">
                  <c:v>Vic</c:v>
                </c:pt>
                <c:pt idx="2">
                  <c:v>Qld</c:v>
                </c:pt>
                <c:pt idx="3">
                  <c:v>SA</c:v>
                </c:pt>
                <c:pt idx="4">
                  <c:v>WA</c:v>
                </c:pt>
                <c:pt idx="5">
                  <c:v>Tas</c:v>
                </c:pt>
                <c:pt idx="6">
                  <c:v>NT</c:v>
                </c:pt>
                <c:pt idx="7">
                  <c:v>ACT</c:v>
                </c:pt>
              </c:strCache>
            </c:strRef>
          </c:cat>
          <c:val>
            <c:numRef>
              <c:f>'CMH Check Ph NEW'!$G$81:$G$88</c:f>
              <c:numCache>
                <c:formatCode>_-"$"* #,##0_-;\-"$"* #,##0_-;_-"$"* "-"??_-;_-@_-</c:formatCode>
                <c:ptCount val="8"/>
                <c:pt idx="0">
                  <c:v>705.92897900000003</c:v>
                </c:pt>
                <c:pt idx="1">
                  <c:v>532.99508953999998</c:v>
                </c:pt>
                <c:pt idx="2">
                  <c:v>271.77848625999997</c:v>
                </c:pt>
                <c:pt idx="3">
                  <c:v>0</c:v>
                </c:pt>
                <c:pt idx="4">
                  <c:v>0</c:v>
                </c:pt>
                <c:pt idx="5">
                  <c:v>0.15315456835999999</c:v>
                </c:pt>
                <c:pt idx="6">
                  <c:v>0</c:v>
                </c:pt>
                <c:pt idx="7">
                  <c:v>0</c:v>
                </c:pt>
              </c:numCache>
            </c:numRef>
          </c:val>
          <c:extLst>
            <c:ext xmlns:c16="http://schemas.microsoft.com/office/drawing/2014/chart" uri="{C3380CC4-5D6E-409C-BE32-E72D297353CC}">
              <c16:uniqueId val="{00000002-B645-4BE3-83E7-74999F4BB0DF}"/>
            </c:ext>
          </c:extLst>
        </c:ser>
        <c:dLbls>
          <c:showLegendKey val="0"/>
          <c:showVal val="0"/>
          <c:showCatName val="0"/>
          <c:showSerName val="0"/>
          <c:showPercent val="0"/>
          <c:showBubbleSize val="0"/>
        </c:dLbls>
        <c:gapWidth val="219"/>
        <c:axId val="680132704"/>
        <c:axId val="680140624"/>
      </c:barChart>
      <c:catAx>
        <c:axId val="68013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80140624"/>
        <c:crosses val="autoZero"/>
        <c:auto val="1"/>
        <c:lblAlgn val="ctr"/>
        <c:lblOffset val="100"/>
        <c:noMultiLvlLbl val="0"/>
      </c:catAx>
      <c:valAx>
        <c:axId val="680140624"/>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Cost (millions)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8013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'CMH cost'!$B$14</c:f>
              <c:strCache>
                <c:ptCount val="1"/>
                <c:pt idx="0">
                  <c:v>2019-20</c:v>
                </c:pt>
              </c:strCache>
            </c:strRef>
          </c:tx>
          <c:spPr>
            <a:solidFill>
              <a:schemeClr val="accent2"/>
            </a:solidFill>
            <a:ln>
              <a:noFill/>
            </a:ln>
            <a:effectLst/>
          </c:spPr>
          <c:invertIfNegative val="0"/>
          <c:cat>
            <c:strRef>
              <c:f>'CMH cost'!$A$15:$A$22</c:f>
              <c:strCache>
                <c:ptCount val="8"/>
                <c:pt idx="0">
                  <c:v>NSW</c:v>
                </c:pt>
                <c:pt idx="1">
                  <c:v>Vic</c:v>
                </c:pt>
                <c:pt idx="2">
                  <c:v>Qld</c:v>
                </c:pt>
                <c:pt idx="3">
                  <c:v>SA</c:v>
                </c:pt>
                <c:pt idx="4">
                  <c:v>WA</c:v>
                </c:pt>
                <c:pt idx="5">
                  <c:v>Tas</c:v>
                </c:pt>
                <c:pt idx="6">
                  <c:v>NT</c:v>
                </c:pt>
                <c:pt idx="7">
                  <c:v>ACT</c:v>
                </c:pt>
              </c:strCache>
            </c:strRef>
          </c:cat>
          <c:val>
            <c:numRef>
              <c:f>'CMH cost'!$B$15:$B$22</c:f>
              <c:numCache>
                <c:formatCode>_-"$"* #,##0_-;\-"$"* #,##0_-;_-"$"* "-"??_-;_-@_-</c:formatCode>
                <c:ptCount val="8"/>
                <c:pt idx="0">
                  <c:v>0</c:v>
                </c:pt>
                <c:pt idx="1">
                  <c:v>67.634952565999995</c:v>
                </c:pt>
                <c:pt idx="2">
                  <c:v>23.428119405</c:v>
                </c:pt>
                <c:pt idx="3">
                  <c:v>0</c:v>
                </c:pt>
                <c:pt idx="4">
                  <c:v>0</c:v>
                </c:pt>
                <c:pt idx="5">
                  <c:v>15.020380423000001</c:v>
                </c:pt>
                <c:pt idx="6">
                  <c:v>0</c:v>
                </c:pt>
                <c:pt idx="7">
                  <c:v>0</c:v>
                </c:pt>
              </c:numCache>
            </c:numRef>
          </c:val>
          <c:extLst>
            <c:ext xmlns:c16="http://schemas.microsoft.com/office/drawing/2014/chart" uri="{C3380CC4-5D6E-409C-BE32-E72D297353CC}">
              <c16:uniqueId val="{00000000-212D-4C41-8882-75E6EC141601}"/>
            </c:ext>
          </c:extLst>
        </c:ser>
        <c:ser>
          <c:idx val="1"/>
          <c:order val="1"/>
          <c:tx>
            <c:strRef>
              <c:f>'CMH cost'!$C$14</c:f>
              <c:strCache>
                <c:ptCount val="1"/>
                <c:pt idx="0">
                  <c:v>2020-21</c:v>
                </c:pt>
              </c:strCache>
            </c:strRef>
          </c:tx>
          <c:spPr>
            <a:solidFill>
              <a:schemeClr val="accent3"/>
            </a:solidFill>
            <a:ln>
              <a:noFill/>
            </a:ln>
            <a:effectLst/>
          </c:spPr>
          <c:invertIfNegative val="0"/>
          <c:cat>
            <c:strRef>
              <c:f>'CMH cost'!$A$15:$A$22</c:f>
              <c:strCache>
                <c:ptCount val="8"/>
                <c:pt idx="0">
                  <c:v>NSW</c:v>
                </c:pt>
                <c:pt idx="1">
                  <c:v>Vic</c:v>
                </c:pt>
                <c:pt idx="2">
                  <c:v>Qld</c:v>
                </c:pt>
                <c:pt idx="3">
                  <c:v>SA</c:v>
                </c:pt>
                <c:pt idx="4">
                  <c:v>WA</c:v>
                </c:pt>
                <c:pt idx="5">
                  <c:v>Tas</c:v>
                </c:pt>
                <c:pt idx="6">
                  <c:v>NT</c:v>
                </c:pt>
                <c:pt idx="7">
                  <c:v>ACT</c:v>
                </c:pt>
              </c:strCache>
            </c:strRef>
          </c:cat>
          <c:val>
            <c:numRef>
              <c:f>'CMH cost'!$C$15:$C$22</c:f>
              <c:numCache>
                <c:formatCode>_-"$"* #,##0_-;\-"$"* #,##0_-;_-"$"* "-"??_-;_-@_-</c:formatCode>
                <c:ptCount val="8"/>
                <c:pt idx="0">
                  <c:v>0</c:v>
                </c:pt>
                <c:pt idx="1">
                  <c:v>44.542587267999998</c:v>
                </c:pt>
                <c:pt idx="2">
                  <c:v>23.047079171</c:v>
                </c:pt>
                <c:pt idx="3">
                  <c:v>0</c:v>
                </c:pt>
                <c:pt idx="4">
                  <c:v>0</c:v>
                </c:pt>
                <c:pt idx="5">
                  <c:v>5.7642769450000007</c:v>
                </c:pt>
                <c:pt idx="6">
                  <c:v>0</c:v>
                </c:pt>
                <c:pt idx="7">
                  <c:v>33.812155303000004</c:v>
                </c:pt>
              </c:numCache>
            </c:numRef>
          </c:val>
          <c:extLst>
            <c:ext xmlns:c16="http://schemas.microsoft.com/office/drawing/2014/chart" uri="{C3380CC4-5D6E-409C-BE32-E72D297353CC}">
              <c16:uniqueId val="{00000001-212D-4C41-8882-75E6EC141601}"/>
            </c:ext>
          </c:extLst>
        </c:ser>
        <c:ser>
          <c:idx val="2"/>
          <c:order val="2"/>
          <c:tx>
            <c:strRef>
              <c:f>'CMH cost'!$D$14</c:f>
              <c:strCache>
                <c:ptCount val="1"/>
                <c:pt idx="0">
                  <c:v>2021-22</c:v>
                </c:pt>
              </c:strCache>
            </c:strRef>
          </c:tx>
          <c:spPr>
            <a:solidFill>
              <a:schemeClr val="accent4"/>
            </a:solidFill>
            <a:ln>
              <a:noFill/>
            </a:ln>
            <a:effectLst/>
          </c:spPr>
          <c:invertIfNegative val="0"/>
          <c:cat>
            <c:strRef>
              <c:f>'CMH cost'!$A$15:$A$22</c:f>
              <c:strCache>
                <c:ptCount val="8"/>
                <c:pt idx="0">
                  <c:v>NSW</c:v>
                </c:pt>
                <c:pt idx="1">
                  <c:v>Vic</c:v>
                </c:pt>
                <c:pt idx="2">
                  <c:v>Qld</c:v>
                </c:pt>
                <c:pt idx="3">
                  <c:v>SA</c:v>
                </c:pt>
                <c:pt idx="4">
                  <c:v>WA</c:v>
                </c:pt>
                <c:pt idx="5">
                  <c:v>Tas</c:v>
                </c:pt>
                <c:pt idx="6">
                  <c:v>NT</c:v>
                </c:pt>
                <c:pt idx="7">
                  <c:v>ACT</c:v>
                </c:pt>
              </c:strCache>
            </c:strRef>
          </c:cat>
          <c:val>
            <c:numRef>
              <c:f>'CMH cost'!$D$15:$D$22</c:f>
              <c:numCache>
                <c:formatCode>_-"$"* #,##0_-;\-"$"* #,##0_-;_-"$"* "-"??_-;_-@_-</c:formatCode>
                <c:ptCount val="8"/>
                <c:pt idx="0">
                  <c:v>0</c:v>
                </c:pt>
                <c:pt idx="1">
                  <c:v>48.962900818000001</c:v>
                </c:pt>
                <c:pt idx="2">
                  <c:v>26.117009761999999</c:v>
                </c:pt>
                <c:pt idx="3">
                  <c:v>0</c:v>
                </c:pt>
                <c:pt idx="4">
                  <c:v>0</c:v>
                </c:pt>
                <c:pt idx="5">
                  <c:v>9.0114337062000001</c:v>
                </c:pt>
                <c:pt idx="6">
                  <c:v>0</c:v>
                </c:pt>
                <c:pt idx="7">
                  <c:v>0</c:v>
                </c:pt>
              </c:numCache>
            </c:numRef>
          </c:val>
          <c:extLst>
            <c:ext xmlns:c16="http://schemas.microsoft.com/office/drawing/2014/chart" uri="{C3380CC4-5D6E-409C-BE32-E72D297353CC}">
              <c16:uniqueId val="{00000002-212D-4C41-8882-75E6EC141601}"/>
            </c:ext>
          </c:extLst>
        </c:ser>
        <c:dLbls>
          <c:showLegendKey val="0"/>
          <c:showVal val="0"/>
          <c:showCatName val="0"/>
          <c:showSerName val="0"/>
          <c:showPercent val="0"/>
          <c:showBubbleSize val="0"/>
        </c:dLbls>
        <c:gapWidth val="219"/>
        <c:axId val="802034848"/>
        <c:axId val="802032328"/>
      </c:barChart>
      <c:catAx>
        <c:axId val="80203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2032328"/>
        <c:crosses val="autoZero"/>
        <c:auto val="1"/>
        <c:lblAlgn val="ctr"/>
        <c:lblOffset val="100"/>
        <c:noMultiLvlLbl val="0"/>
      </c:catAx>
      <c:valAx>
        <c:axId val="802032328"/>
        <c:scaling>
          <c:orientation val="minMax"/>
          <c:max val="70"/>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Cost (millions)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2034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'CMH Check Ph NEW'!$B$96</c:f>
              <c:strCache>
                <c:ptCount val="1"/>
                <c:pt idx="0">
                  <c:v>2019-20</c:v>
                </c:pt>
              </c:strCache>
            </c:strRef>
          </c:tx>
          <c:spPr>
            <a:solidFill>
              <a:schemeClr val="accent2"/>
            </a:solidFill>
            <a:ln>
              <a:noFill/>
            </a:ln>
            <a:effectLst/>
          </c:spPr>
          <c:invertIfNegative val="0"/>
          <c:cat>
            <c:strRef>
              <c:f>'CMH Check Ph NEW'!$A$97:$A$105</c:f>
              <c:strCache>
                <c:ptCount val="9"/>
                <c:pt idx="0">
                  <c:v>NSW</c:v>
                </c:pt>
                <c:pt idx="1">
                  <c:v>Vic</c:v>
                </c:pt>
                <c:pt idx="2">
                  <c:v>Qld</c:v>
                </c:pt>
                <c:pt idx="3">
                  <c:v>SA</c:v>
                </c:pt>
                <c:pt idx="4">
                  <c:v>WA</c:v>
                </c:pt>
                <c:pt idx="5">
                  <c:v>Tas</c:v>
                </c:pt>
                <c:pt idx="6">
                  <c:v>NT</c:v>
                </c:pt>
                <c:pt idx="7">
                  <c:v>ACT</c:v>
                </c:pt>
                <c:pt idx="8">
                  <c:v>National</c:v>
                </c:pt>
              </c:strCache>
            </c:strRef>
          </c:cat>
          <c:val>
            <c:numRef>
              <c:f>'CMH Check Ph NEW'!$B$97:$B$105</c:f>
              <c:numCache>
                <c:formatCode>_-"$"* #,##0_-;\-"$"* #,##0_-;_-"$"* "-"??_-;_-@_-</c:formatCode>
                <c:ptCount val="9"/>
                <c:pt idx="0">
                  <c:v>3050.3896592999999</c:v>
                </c:pt>
                <c:pt idx="1">
                  <c:v>2326.3723666999999</c:v>
                </c:pt>
                <c:pt idx="2">
                  <c:v>2289.0092605</c:v>
                </c:pt>
                <c:pt idx="3">
                  <c:v>0</c:v>
                </c:pt>
                <c:pt idx="4">
                  <c:v>0</c:v>
                </c:pt>
                <c:pt idx="5">
                  <c:v>0</c:v>
                </c:pt>
                <c:pt idx="6">
                  <c:v>0</c:v>
                </c:pt>
                <c:pt idx="7">
                  <c:v>0</c:v>
                </c:pt>
                <c:pt idx="8">
                  <c:v>2619.8699468161562</c:v>
                </c:pt>
              </c:numCache>
            </c:numRef>
          </c:val>
          <c:extLst>
            <c:ext xmlns:c16="http://schemas.microsoft.com/office/drawing/2014/chart" uri="{C3380CC4-5D6E-409C-BE32-E72D297353CC}">
              <c16:uniqueId val="{00000000-9336-4576-BE1A-0E7513914608}"/>
            </c:ext>
          </c:extLst>
        </c:ser>
        <c:ser>
          <c:idx val="1"/>
          <c:order val="1"/>
          <c:tx>
            <c:strRef>
              <c:f>'CMH Check Ph NEW'!$C$96</c:f>
              <c:strCache>
                <c:ptCount val="1"/>
                <c:pt idx="0">
                  <c:v>2020-21</c:v>
                </c:pt>
              </c:strCache>
            </c:strRef>
          </c:tx>
          <c:spPr>
            <a:solidFill>
              <a:schemeClr val="accent3"/>
            </a:solidFill>
            <a:ln>
              <a:noFill/>
            </a:ln>
            <a:effectLst/>
          </c:spPr>
          <c:invertIfNegative val="0"/>
          <c:cat>
            <c:strRef>
              <c:f>'CMH Check Ph NEW'!$A$97:$A$105</c:f>
              <c:strCache>
                <c:ptCount val="9"/>
                <c:pt idx="0">
                  <c:v>NSW</c:v>
                </c:pt>
                <c:pt idx="1">
                  <c:v>Vic</c:v>
                </c:pt>
                <c:pt idx="2">
                  <c:v>Qld</c:v>
                </c:pt>
                <c:pt idx="3">
                  <c:v>SA</c:v>
                </c:pt>
                <c:pt idx="4">
                  <c:v>WA</c:v>
                </c:pt>
                <c:pt idx="5">
                  <c:v>Tas</c:v>
                </c:pt>
                <c:pt idx="6">
                  <c:v>NT</c:v>
                </c:pt>
                <c:pt idx="7">
                  <c:v>ACT</c:v>
                </c:pt>
                <c:pt idx="8">
                  <c:v>National</c:v>
                </c:pt>
              </c:strCache>
            </c:strRef>
          </c:cat>
          <c:val>
            <c:numRef>
              <c:f>'CMH Check Ph NEW'!$C$97:$C$105</c:f>
              <c:numCache>
                <c:formatCode>_-"$"* #,##0_-;\-"$"* #,##0_-;_-"$"* "-"??_-;_-@_-</c:formatCode>
                <c:ptCount val="9"/>
                <c:pt idx="0">
                  <c:v>3050.3738318999999</c:v>
                </c:pt>
                <c:pt idx="1">
                  <c:v>2249.3173783000002</c:v>
                </c:pt>
                <c:pt idx="2">
                  <c:v>3419.1360140000002</c:v>
                </c:pt>
                <c:pt idx="3">
                  <c:v>0</c:v>
                </c:pt>
                <c:pt idx="4">
                  <c:v>0</c:v>
                </c:pt>
                <c:pt idx="5">
                  <c:v>1983.5702581</c:v>
                </c:pt>
                <c:pt idx="6">
                  <c:v>0</c:v>
                </c:pt>
                <c:pt idx="7">
                  <c:v>0</c:v>
                </c:pt>
                <c:pt idx="8">
                  <c:v>2881.5673362598723</c:v>
                </c:pt>
              </c:numCache>
            </c:numRef>
          </c:val>
          <c:extLst>
            <c:ext xmlns:c16="http://schemas.microsoft.com/office/drawing/2014/chart" uri="{C3380CC4-5D6E-409C-BE32-E72D297353CC}">
              <c16:uniqueId val="{00000001-9336-4576-BE1A-0E7513914608}"/>
            </c:ext>
          </c:extLst>
        </c:ser>
        <c:ser>
          <c:idx val="2"/>
          <c:order val="2"/>
          <c:tx>
            <c:strRef>
              <c:f>'CMH Check Ph NEW'!$D$96</c:f>
              <c:strCache>
                <c:ptCount val="1"/>
                <c:pt idx="0">
                  <c:v>2021-22</c:v>
                </c:pt>
              </c:strCache>
            </c:strRef>
          </c:tx>
          <c:spPr>
            <a:solidFill>
              <a:schemeClr val="accent4"/>
            </a:solidFill>
            <a:ln>
              <a:noFill/>
            </a:ln>
            <a:effectLst/>
          </c:spPr>
          <c:invertIfNegative val="0"/>
          <c:cat>
            <c:strRef>
              <c:f>'CMH Check Ph NEW'!$A$97:$A$105</c:f>
              <c:strCache>
                <c:ptCount val="9"/>
                <c:pt idx="0">
                  <c:v>NSW</c:v>
                </c:pt>
                <c:pt idx="1">
                  <c:v>Vic</c:v>
                </c:pt>
                <c:pt idx="2">
                  <c:v>Qld</c:v>
                </c:pt>
                <c:pt idx="3">
                  <c:v>SA</c:v>
                </c:pt>
                <c:pt idx="4">
                  <c:v>WA</c:v>
                </c:pt>
                <c:pt idx="5">
                  <c:v>Tas</c:v>
                </c:pt>
                <c:pt idx="6">
                  <c:v>NT</c:v>
                </c:pt>
                <c:pt idx="7">
                  <c:v>ACT</c:v>
                </c:pt>
                <c:pt idx="8">
                  <c:v>National</c:v>
                </c:pt>
              </c:strCache>
            </c:strRef>
          </c:cat>
          <c:val>
            <c:numRef>
              <c:f>'CMH Check Ph NEW'!$D$97:$D$105</c:f>
              <c:numCache>
                <c:formatCode>_-"$"* #,##0_-;\-"$"* #,##0_-;_-"$"* "-"??_-;_-@_-</c:formatCode>
                <c:ptCount val="9"/>
                <c:pt idx="0">
                  <c:v>3663.9658866999998</c:v>
                </c:pt>
                <c:pt idx="1">
                  <c:v>2379.4848548</c:v>
                </c:pt>
                <c:pt idx="2">
                  <c:v>2010.4784420000001</c:v>
                </c:pt>
                <c:pt idx="3">
                  <c:v>0</c:v>
                </c:pt>
                <c:pt idx="4">
                  <c:v>0</c:v>
                </c:pt>
                <c:pt idx="5">
                  <c:v>38.452063359</c:v>
                </c:pt>
                <c:pt idx="6">
                  <c:v>0</c:v>
                </c:pt>
                <c:pt idx="7">
                  <c:v>0</c:v>
                </c:pt>
                <c:pt idx="8">
                  <c:v>2718.2072688643971</c:v>
                </c:pt>
              </c:numCache>
            </c:numRef>
          </c:val>
          <c:extLst>
            <c:ext xmlns:c16="http://schemas.microsoft.com/office/drawing/2014/chart" uri="{C3380CC4-5D6E-409C-BE32-E72D297353CC}">
              <c16:uniqueId val="{00000002-9336-4576-BE1A-0E7513914608}"/>
            </c:ext>
          </c:extLst>
        </c:ser>
        <c:dLbls>
          <c:showLegendKey val="0"/>
          <c:showVal val="0"/>
          <c:showCatName val="0"/>
          <c:showSerName val="0"/>
          <c:showPercent val="0"/>
          <c:showBubbleSize val="0"/>
        </c:dLbls>
        <c:gapWidth val="219"/>
        <c:axId val="680137024"/>
        <c:axId val="680138104"/>
      </c:barChart>
      <c:catAx>
        <c:axId val="68013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80138104"/>
        <c:crosses val="autoZero"/>
        <c:auto val="1"/>
        <c:lblAlgn val="ctr"/>
        <c:lblOffset val="100"/>
        <c:noMultiLvlLbl val="0"/>
      </c:catAx>
      <c:valAx>
        <c:axId val="680138104"/>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Average cost per phase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8013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647412381803451E-2"/>
          <c:y val="7.2774329392669923E-2"/>
          <c:w val="0.86554501886407664"/>
          <c:h val="0.76160850715387585"/>
        </c:manualLayout>
      </c:layout>
      <c:barChart>
        <c:barDir val="col"/>
        <c:grouping val="clustered"/>
        <c:varyColors val="0"/>
        <c:ser>
          <c:idx val="0"/>
          <c:order val="0"/>
          <c:tx>
            <c:strRef>
              <c:f>'CMH av cost'!$B$3</c:f>
              <c:strCache>
                <c:ptCount val="1"/>
                <c:pt idx="0">
                  <c:v>2019-20</c:v>
                </c:pt>
              </c:strCache>
            </c:strRef>
          </c:tx>
          <c:spPr>
            <a:solidFill>
              <a:schemeClr val="accent2"/>
            </a:solidFill>
            <a:ln>
              <a:noFill/>
            </a:ln>
            <a:effectLst/>
          </c:spPr>
          <c:invertIfNegative val="0"/>
          <c:cat>
            <c:strRef>
              <c:f>'CMH av cost'!$A$4:$A$12</c:f>
              <c:strCache>
                <c:ptCount val="9"/>
                <c:pt idx="0">
                  <c:v>NSW</c:v>
                </c:pt>
                <c:pt idx="1">
                  <c:v>Vic</c:v>
                </c:pt>
                <c:pt idx="2">
                  <c:v>Qld</c:v>
                </c:pt>
                <c:pt idx="3">
                  <c:v>SA</c:v>
                </c:pt>
                <c:pt idx="4">
                  <c:v>WA</c:v>
                </c:pt>
                <c:pt idx="5">
                  <c:v>Tas</c:v>
                </c:pt>
                <c:pt idx="6">
                  <c:v>NT</c:v>
                </c:pt>
                <c:pt idx="7">
                  <c:v>ACT</c:v>
                </c:pt>
                <c:pt idx="8">
                  <c:v>National</c:v>
                </c:pt>
              </c:strCache>
            </c:strRef>
          </c:cat>
          <c:val>
            <c:numRef>
              <c:f>'CMH av cost'!$B$4:$B$12</c:f>
              <c:numCache>
                <c:formatCode>_-"$"* #,##0_-;\-"$"* #,##0_-;_-"$"* "-"??_-;_-@_-</c:formatCode>
                <c:ptCount val="9"/>
                <c:pt idx="0">
                  <c:v>0</c:v>
                </c:pt>
                <c:pt idx="1">
                  <c:v>288.40106501999998</c:v>
                </c:pt>
                <c:pt idx="2">
                  <c:v>2644.2572691999999</c:v>
                </c:pt>
                <c:pt idx="3">
                  <c:v>0</c:v>
                </c:pt>
                <c:pt idx="4">
                  <c:v>0</c:v>
                </c:pt>
                <c:pt idx="5">
                  <c:v>1860.8003497</c:v>
                </c:pt>
                <c:pt idx="6">
                  <c:v>0</c:v>
                </c:pt>
                <c:pt idx="7">
                  <c:v>0</c:v>
                </c:pt>
                <c:pt idx="8">
                  <c:v>421.8885435774252</c:v>
                </c:pt>
              </c:numCache>
            </c:numRef>
          </c:val>
          <c:extLst>
            <c:ext xmlns:c16="http://schemas.microsoft.com/office/drawing/2014/chart" uri="{C3380CC4-5D6E-409C-BE32-E72D297353CC}">
              <c16:uniqueId val="{00000000-D4E1-484D-AACF-7193BF48C156}"/>
            </c:ext>
          </c:extLst>
        </c:ser>
        <c:ser>
          <c:idx val="1"/>
          <c:order val="1"/>
          <c:tx>
            <c:strRef>
              <c:f>'CMH av cost'!$C$3</c:f>
              <c:strCache>
                <c:ptCount val="1"/>
                <c:pt idx="0">
                  <c:v>2020-21</c:v>
                </c:pt>
              </c:strCache>
            </c:strRef>
          </c:tx>
          <c:spPr>
            <a:solidFill>
              <a:schemeClr val="accent3"/>
            </a:solidFill>
            <a:ln>
              <a:noFill/>
            </a:ln>
            <a:effectLst/>
          </c:spPr>
          <c:invertIfNegative val="0"/>
          <c:cat>
            <c:strRef>
              <c:f>'CMH av cost'!$A$4:$A$12</c:f>
              <c:strCache>
                <c:ptCount val="9"/>
                <c:pt idx="0">
                  <c:v>NSW</c:v>
                </c:pt>
                <c:pt idx="1">
                  <c:v>Vic</c:v>
                </c:pt>
                <c:pt idx="2">
                  <c:v>Qld</c:v>
                </c:pt>
                <c:pt idx="3">
                  <c:v>SA</c:v>
                </c:pt>
                <c:pt idx="4">
                  <c:v>WA</c:v>
                </c:pt>
                <c:pt idx="5">
                  <c:v>Tas</c:v>
                </c:pt>
                <c:pt idx="6">
                  <c:v>NT</c:v>
                </c:pt>
                <c:pt idx="7">
                  <c:v>ACT</c:v>
                </c:pt>
                <c:pt idx="8">
                  <c:v>National</c:v>
                </c:pt>
              </c:strCache>
            </c:strRef>
          </c:cat>
          <c:val>
            <c:numRef>
              <c:f>'CMH av cost'!$C$4:$C$12</c:f>
              <c:numCache>
                <c:formatCode>_-"$"* #,##0_-;\-"$"* #,##0_-;_-"$"* "-"??_-;_-@_-</c:formatCode>
                <c:ptCount val="9"/>
                <c:pt idx="0">
                  <c:v>0</c:v>
                </c:pt>
                <c:pt idx="1">
                  <c:v>216.48888101</c:v>
                </c:pt>
                <c:pt idx="2">
                  <c:v>2487.2738150999999</c:v>
                </c:pt>
                <c:pt idx="3">
                  <c:v>0</c:v>
                </c:pt>
                <c:pt idx="4">
                  <c:v>0</c:v>
                </c:pt>
                <c:pt idx="5">
                  <c:v>889.13727363999999</c:v>
                </c:pt>
                <c:pt idx="6">
                  <c:v>0</c:v>
                </c:pt>
                <c:pt idx="7">
                  <c:v>4931.0420451</c:v>
                </c:pt>
                <c:pt idx="8">
                  <c:v>469.29399134246529</c:v>
                </c:pt>
              </c:numCache>
            </c:numRef>
          </c:val>
          <c:extLst>
            <c:ext xmlns:c16="http://schemas.microsoft.com/office/drawing/2014/chart" uri="{C3380CC4-5D6E-409C-BE32-E72D297353CC}">
              <c16:uniqueId val="{00000001-D4E1-484D-AACF-7193BF48C156}"/>
            </c:ext>
          </c:extLst>
        </c:ser>
        <c:ser>
          <c:idx val="2"/>
          <c:order val="2"/>
          <c:tx>
            <c:strRef>
              <c:f>'CMH av cost'!$D$3</c:f>
              <c:strCache>
                <c:ptCount val="1"/>
                <c:pt idx="0">
                  <c:v>2021-22</c:v>
                </c:pt>
              </c:strCache>
            </c:strRef>
          </c:tx>
          <c:spPr>
            <a:solidFill>
              <a:schemeClr val="accent4"/>
            </a:solidFill>
            <a:ln>
              <a:noFill/>
            </a:ln>
            <a:effectLst/>
          </c:spPr>
          <c:invertIfNegative val="0"/>
          <c:cat>
            <c:strRef>
              <c:f>'CMH av cost'!$A$4:$A$12</c:f>
              <c:strCache>
                <c:ptCount val="9"/>
                <c:pt idx="0">
                  <c:v>NSW</c:v>
                </c:pt>
                <c:pt idx="1">
                  <c:v>Vic</c:v>
                </c:pt>
                <c:pt idx="2">
                  <c:v>Qld</c:v>
                </c:pt>
                <c:pt idx="3">
                  <c:v>SA</c:v>
                </c:pt>
                <c:pt idx="4">
                  <c:v>WA</c:v>
                </c:pt>
                <c:pt idx="5">
                  <c:v>Tas</c:v>
                </c:pt>
                <c:pt idx="6">
                  <c:v>NT</c:v>
                </c:pt>
                <c:pt idx="7">
                  <c:v>ACT</c:v>
                </c:pt>
                <c:pt idx="8">
                  <c:v>National</c:v>
                </c:pt>
              </c:strCache>
            </c:strRef>
          </c:cat>
          <c:val>
            <c:numRef>
              <c:f>'CMH av cost'!$D$4:$D$12</c:f>
              <c:numCache>
                <c:formatCode>_-"$"* #,##0_-;\-"$"* #,##0_-;_-"$"* "-"??_-;_-@_-</c:formatCode>
                <c:ptCount val="9"/>
                <c:pt idx="0">
                  <c:v>0</c:v>
                </c:pt>
                <c:pt idx="1">
                  <c:v>238.43865446999999</c:v>
                </c:pt>
                <c:pt idx="2">
                  <c:v>3909.1467987000001</c:v>
                </c:pt>
                <c:pt idx="3">
                  <c:v>0</c:v>
                </c:pt>
                <c:pt idx="4">
                  <c:v>0</c:v>
                </c:pt>
                <c:pt idx="5">
                  <c:v>1286.7961882</c:v>
                </c:pt>
                <c:pt idx="6">
                  <c:v>0</c:v>
                </c:pt>
                <c:pt idx="7">
                  <c:v>0</c:v>
                </c:pt>
                <c:pt idx="8">
                  <c:v>383.92264274717849</c:v>
                </c:pt>
              </c:numCache>
            </c:numRef>
          </c:val>
          <c:extLst>
            <c:ext xmlns:c16="http://schemas.microsoft.com/office/drawing/2014/chart" uri="{C3380CC4-5D6E-409C-BE32-E72D297353CC}">
              <c16:uniqueId val="{00000002-D4E1-484D-AACF-7193BF48C156}"/>
            </c:ext>
          </c:extLst>
        </c:ser>
        <c:dLbls>
          <c:showLegendKey val="0"/>
          <c:showVal val="0"/>
          <c:showCatName val="0"/>
          <c:showSerName val="0"/>
          <c:showPercent val="0"/>
          <c:showBubbleSize val="0"/>
        </c:dLbls>
        <c:gapWidth val="219"/>
        <c:axId val="729842232"/>
        <c:axId val="729838632"/>
      </c:barChart>
      <c:catAx>
        <c:axId val="729842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9838632"/>
        <c:crosses val="autoZero"/>
        <c:auto val="1"/>
        <c:lblAlgn val="ctr"/>
        <c:lblOffset val="100"/>
        <c:noMultiLvlLbl val="0"/>
      </c:catAx>
      <c:valAx>
        <c:axId val="729838632"/>
        <c:scaling>
          <c:orientation val="minMax"/>
          <c:max val="5000"/>
        </c:scaling>
        <c:delete val="0"/>
        <c:axPos val="l"/>
        <c:majorGridlines>
          <c:spPr>
            <a:ln w="6350" cap="flat" cmpd="sng" algn="ctr">
              <a:solidFill>
                <a:srgbClr val="000000"/>
              </a:solidFill>
              <a:round/>
            </a:ln>
            <a:effectLst/>
          </c:spPr>
        </c:majorGridlines>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9842232"/>
        <c:crosses val="autoZero"/>
        <c:crossBetween val="between"/>
      </c:valAx>
      <c:spPr>
        <a:noFill/>
        <a:ln>
          <a:noFill/>
        </a:ln>
        <a:effectLst/>
      </c:spPr>
    </c:plotArea>
    <c:legend>
      <c:legendPos val="b"/>
      <c:layout>
        <c:manualLayout>
          <c:xMode val="edge"/>
          <c:yMode val="edge"/>
          <c:x val="0.23283974315346762"/>
          <c:y val="0.94135079359384066"/>
          <c:w val="0.53432023590101163"/>
          <c:h val="4.688968854639164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'8. MH Summary community'!$B$107</c:f>
              <c:strCache>
                <c:ptCount val="1"/>
                <c:pt idx="0">
                  <c:v> 2019-20 </c:v>
                </c:pt>
              </c:strCache>
            </c:strRef>
          </c:tx>
          <c:spPr>
            <a:solidFill>
              <a:schemeClr val="accent2"/>
            </a:solidFill>
            <a:ln>
              <a:noFill/>
            </a:ln>
            <a:effectLst/>
          </c:spPr>
          <c:invertIfNegative val="0"/>
          <c:cat>
            <c:strRef>
              <c:f>'8. MH Summary community'!$A$108:$A$124</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'8. MH Summary community'!$B$108:$B$124</c:f>
              <c:numCache>
                <c:formatCode>_-"$"* #,##0_-;\-"$"* #,##0_-;_-"$"* "-"??_-;_-@_-</c:formatCode>
                <c:ptCount val="17"/>
                <c:pt idx="0">
                  <c:v>405.03448213000001</c:v>
                </c:pt>
                <c:pt idx="1">
                  <c:v>654.71297468</c:v>
                </c:pt>
                <c:pt idx="2">
                  <c:v>634.87307930999998</c:v>
                </c:pt>
                <c:pt idx="3">
                  <c:v>315.75493770999998</c:v>
                </c:pt>
                <c:pt idx="4">
                  <c:v>253.35734353999999</c:v>
                </c:pt>
                <c:pt idx="5">
                  <c:v>9.7886709838999995</c:v>
                </c:pt>
                <c:pt idx="6">
                  <c:v>2.4668150404999998</c:v>
                </c:pt>
                <c:pt idx="7">
                  <c:v>6.5981996999999997E-3</c:v>
                </c:pt>
                <c:pt idx="8">
                  <c:v>237.84500217999999</c:v>
                </c:pt>
                <c:pt idx="9">
                  <c:v>5.4077863103999997</c:v>
                </c:pt>
                <c:pt idx="10">
                  <c:v>0</c:v>
                </c:pt>
                <c:pt idx="11">
                  <c:v>7.3801166200000004E-2</c:v>
                </c:pt>
                <c:pt idx="12">
                  <c:v>2.3857066219999998</c:v>
                </c:pt>
                <c:pt idx="13">
                  <c:v>8.8577600000000004E-5</c:v>
                </c:pt>
                <c:pt idx="14">
                  <c:v>6.1526912627000003</c:v>
                </c:pt>
                <c:pt idx="15">
                  <c:v>14.171550216</c:v>
                </c:pt>
                <c:pt idx="16">
                  <c:v>77.838418852000004</c:v>
                </c:pt>
              </c:numCache>
            </c:numRef>
          </c:val>
          <c:extLst>
            <c:ext xmlns:c16="http://schemas.microsoft.com/office/drawing/2014/chart" uri="{C3380CC4-5D6E-409C-BE32-E72D297353CC}">
              <c16:uniqueId val="{00000000-415A-488E-948A-5FB786EE8838}"/>
            </c:ext>
          </c:extLst>
        </c:ser>
        <c:ser>
          <c:idx val="1"/>
          <c:order val="1"/>
          <c:tx>
            <c:strRef>
              <c:f>'8. MH Summary community'!$C$107</c:f>
              <c:strCache>
                <c:ptCount val="1"/>
                <c:pt idx="0">
                  <c:v> 2020-21 </c:v>
                </c:pt>
              </c:strCache>
            </c:strRef>
          </c:tx>
          <c:spPr>
            <a:solidFill>
              <a:schemeClr val="accent3"/>
            </a:solidFill>
            <a:ln>
              <a:noFill/>
            </a:ln>
            <a:effectLst/>
          </c:spPr>
          <c:invertIfNegative val="0"/>
          <c:cat>
            <c:strRef>
              <c:f>'8. MH Summary community'!$A$108:$A$124</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'8. MH Summary community'!$C$108:$C$124</c:f>
              <c:numCache>
                <c:formatCode>_-"$"* #,##0_-;\-"$"* #,##0_-;_-"$"* "-"??_-;_-@_-</c:formatCode>
                <c:ptCount val="17"/>
                <c:pt idx="0">
                  <c:v>398.27136041</c:v>
                </c:pt>
                <c:pt idx="1">
                  <c:v>691.05443638999998</c:v>
                </c:pt>
                <c:pt idx="2">
                  <c:v>657.40268927</c:v>
                </c:pt>
                <c:pt idx="3">
                  <c:v>371.02886167000003</c:v>
                </c:pt>
                <c:pt idx="4">
                  <c:v>281.19614933000003</c:v>
                </c:pt>
                <c:pt idx="5">
                  <c:v>27.099744530999999</c:v>
                </c:pt>
                <c:pt idx="6">
                  <c:v>3.4492305268000001</c:v>
                </c:pt>
                <c:pt idx="7">
                  <c:v>7.4232133999999998E-3</c:v>
                </c:pt>
                <c:pt idx="8">
                  <c:v>309.15088144999999</c:v>
                </c:pt>
                <c:pt idx="9">
                  <c:v>11.022068132999999</c:v>
                </c:pt>
                <c:pt idx="10">
                  <c:v>0</c:v>
                </c:pt>
                <c:pt idx="11">
                  <c:v>7.7061644900000004E-2</c:v>
                </c:pt>
                <c:pt idx="12">
                  <c:v>3.1253266888</c:v>
                </c:pt>
                <c:pt idx="13">
                  <c:v>1.4901550600000001E-2</c:v>
                </c:pt>
                <c:pt idx="14">
                  <c:v>9.0269857829000006</c:v>
                </c:pt>
                <c:pt idx="15">
                  <c:v>29.839280249000002</c:v>
                </c:pt>
                <c:pt idx="16">
                  <c:v>89.800935417000005</c:v>
                </c:pt>
              </c:numCache>
            </c:numRef>
          </c:val>
          <c:extLst>
            <c:ext xmlns:c16="http://schemas.microsoft.com/office/drawing/2014/chart" uri="{C3380CC4-5D6E-409C-BE32-E72D297353CC}">
              <c16:uniqueId val="{00000001-415A-488E-948A-5FB786EE8838}"/>
            </c:ext>
          </c:extLst>
        </c:ser>
        <c:ser>
          <c:idx val="2"/>
          <c:order val="2"/>
          <c:tx>
            <c:strRef>
              <c:f>'8. MH Summary community'!$D$107</c:f>
              <c:strCache>
                <c:ptCount val="1"/>
                <c:pt idx="0">
                  <c:v> 2021-22 </c:v>
                </c:pt>
              </c:strCache>
            </c:strRef>
          </c:tx>
          <c:spPr>
            <a:solidFill>
              <a:schemeClr val="accent4"/>
            </a:solidFill>
            <a:ln>
              <a:noFill/>
            </a:ln>
            <a:effectLst/>
          </c:spPr>
          <c:invertIfNegative val="0"/>
          <c:cat>
            <c:strRef>
              <c:f>'8. MH Summary community'!$A$108:$A$124</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'8. MH Summary community'!$D$108:$D$124</c:f>
              <c:numCache>
                <c:formatCode>_-"$"* #,##0_-;\-"$"* #,##0_-;_-"$"* "-"??_-;_-@_-</c:formatCode>
                <c:ptCount val="17"/>
                <c:pt idx="0">
                  <c:v>401.56959171</c:v>
                </c:pt>
                <c:pt idx="1">
                  <c:v>672.63636534</c:v>
                </c:pt>
                <c:pt idx="2">
                  <c:v>563.43000284000004</c:v>
                </c:pt>
                <c:pt idx="3">
                  <c:v>360.63565186</c:v>
                </c:pt>
                <c:pt idx="4">
                  <c:v>304.11205393</c:v>
                </c:pt>
                <c:pt idx="5">
                  <c:v>10.145571089000001</c:v>
                </c:pt>
                <c:pt idx="6">
                  <c:v>0.7371293096</c:v>
                </c:pt>
                <c:pt idx="7">
                  <c:v>2.0251959600000001E-2</c:v>
                </c:pt>
                <c:pt idx="8">
                  <c:v>287.78732848999999</c:v>
                </c:pt>
                <c:pt idx="9">
                  <c:v>7.7341252775999996</c:v>
                </c:pt>
                <c:pt idx="10">
                  <c:v>1.70640232E-2</c:v>
                </c:pt>
                <c:pt idx="11">
                  <c:v>2.6332930899999999E-2</c:v>
                </c:pt>
                <c:pt idx="12">
                  <c:v>2.1019973434999999</c:v>
                </c:pt>
                <c:pt idx="13">
                  <c:v>3.2631202599999999E-2</c:v>
                </c:pt>
                <c:pt idx="14">
                  <c:v>9.5411173942000005</c:v>
                </c:pt>
                <c:pt idx="15">
                  <c:v>27.914180446</c:v>
                </c:pt>
                <c:pt idx="16">
                  <c:v>69.765873712000001</c:v>
                </c:pt>
              </c:numCache>
            </c:numRef>
          </c:val>
          <c:extLst>
            <c:ext xmlns:c16="http://schemas.microsoft.com/office/drawing/2014/chart" uri="{C3380CC4-5D6E-409C-BE32-E72D297353CC}">
              <c16:uniqueId val="{00000002-415A-488E-948A-5FB786EE8838}"/>
            </c:ext>
          </c:extLst>
        </c:ser>
        <c:dLbls>
          <c:showLegendKey val="0"/>
          <c:showVal val="0"/>
          <c:showCatName val="0"/>
          <c:showSerName val="0"/>
          <c:showPercent val="0"/>
          <c:showBubbleSize val="0"/>
        </c:dLbls>
        <c:gapWidth val="182"/>
        <c:axId val="528495656"/>
        <c:axId val="528508256"/>
      </c:barChart>
      <c:catAx>
        <c:axId val="528495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8508256"/>
        <c:crosses val="autoZero"/>
        <c:auto val="1"/>
        <c:lblAlgn val="ctr"/>
        <c:lblOffset val="100"/>
        <c:noMultiLvlLbl val="0"/>
      </c:catAx>
      <c:valAx>
        <c:axId val="528508256"/>
        <c:scaling>
          <c:orientation val="minMax"/>
          <c:max val="700"/>
        </c:scaling>
        <c:delete val="0"/>
        <c:axPos val="b"/>
        <c:majorGridlines>
          <c:spPr>
            <a:ln w="9525" cap="flat" cmpd="sng" algn="ctr">
              <a:solidFill>
                <a:srgbClr val="004200"/>
              </a:solidFill>
              <a:round/>
            </a:ln>
            <a:effectLst/>
          </c:spPr>
        </c:majorGridlines>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8495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79091357154592"/>
          <c:y val="1.9699140401146131E-2"/>
          <c:w val="0.70197394058733287"/>
          <c:h val="0.89653481262549917"/>
        </c:manualLayout>
      </c:layout>
      <c:barChart>
        <c:barDir val="bar"/>
        <c:grouping val="clustered"/>
        <c:varyColors val="0"/>
        <c:ser>
          <c:idx val="0"/>
          <c:order val="0"/>
          <c:tx>
            <c:strRef>
              <c:f>'8. MH Summary community'!$B$59</c:f>
              <c:strCache>
                <c:ptCount val="1"/>
                <c:pt idx="0">
                  <c:v> 2019-20 </c:v>
                </c:pt>
              </c:strCache>
            </c:strRef>
          </c:tx>
          <c:spPr>
            <a:solidFill>
              <a:schemeClr val="accent2"/>
            </a:solidFill>
            <a:ln>
              <a:noFill/>
            </a:ln>
            <a:effectLst/>
          </c:spPr>
          <c:invertIfNegative val="0"/>
          <c:cat>
            <c:strRef>
              <c:f>'8. MH Summary community'!$A$60:$A$76</c:f>
              <c:strCache>
                <c:ptCount val="17"/>
                <c:pt idx="0">
                  <c:v> Ward Medical </c:v>
                </c:pt>
                <c:pt idx="1">
                  <c:v> Ward Nursing </c:v>
                </c:pt>
                <c:pt idx="2">
                  <c:v> Allied Health </c:v>
                </c:pt>
                <c:pt idx="3">
                  <c:v> Non Clinical </c:v>
                </c:pt>
                <c:pt idx="4">
                  <c:v> On-costs </c:v>
                </c:pt>
                <c:pt idx="5">
                  <c:v> Pathology </c:v>
                </c:pt>
                <c:pt idx="6">
                  <c:v> Imaging </c:v>
                </c:pt>
                <c:pt idx="7">
                  <c:v> Prosthesis </c:v>
                </c:pt>
                <c:pt idx="8">
                  <c:v> Ward Supplies </c:v>
                </c:pt>
                <c:pt idx="9">
                  <c:v> Pharmacy </c:v>
                </c:pt>
                <c:pt idx="10">
                  <c:v> Critical Care </c:v>
                </c:pt>
                <c:pt idx="11">
                  <c:v> Operating Room </c:v>
                </c:pt>
                <c:pt idx="12">
                  <c:v> Patient Travel </c:v>
                </c:pt>
                <c:pt idx="13">
                  <c:v> Special Procedure Suite </c:v>
                </c:pt>
                <c:pt idx="14">
                  <c:v> Emergency Department </c:v>
                </c:pt>
                <c:pt idx="15">
                  <c:v> Hotel </c:v>
                </c:pt>
                <c:pt idx="16">
                  <c:v> Depreciation </c:v>
                </c:pt>
              </c:strCache>
            </c:strRef>
          </c:cat>
          <c:val>
            <c:numRef>
              <c:f>'8. MH Summary community'!$B$60:$B$76</c:f>
              <c:numCache>
                <c:formatCode>_-"$"* #,##0_-;\-"$"* #,##0_-;_-"$"* "-"??_-;_-@_-</c:formatCode>
                <c:ptCount val="17"/>
                <c:pt idx="0">
                  <c:v>77.478173253999998</c:v>
                </c:pt>
                <c:pt idx="1">
                  <c:v>109.62215134</c:v>
                </c:pt>
                <c:pt idx="2">
                  <c:v>81.057372409999999</c:v>
                </c:pt>
                <c:pt idx="3">
                  <c:v>49.504703650000003</c:v>
                </c:pt>
                <c:pt idx="4">
                  <c:v>55.269296205000003</c:v>
                </c:pt>
                <c:pt idx="5">
                  <c:v>3.7399035924000001</c:v>
                </c:pt>
                <c:pt idx="6">
                  <c:v>0.38843113569999999</c:v>
                </c:pt>
                <c:pt idx="7">
                  <c:v>2.7730749999999997E-4</c:v>
                </c:pt>
                <c:pt idx="8">
                  <c:v>38.240012149999998</c:v>
                </c:pt>
                <c:pt idx="9">
                  <c:v>0.216474953</c:v>
                </c:pt>
                <c:pt idx="10">
                  <c:v>0</c:v>
                </c:pt>
                <c:pt idx="11">
                  <c:v>8.6427710000000003E-4</c:v>
                </c:pt>
                <c:pt idx="12">
                  <c:v>0.56266406440000005</c:v>
                </c:pt>
                <c:pt idx="13">
                  <c:v>5.8936969999999998E-4</c:v>
                </c:pt>
                <c:pt idx="14">
                  <c:v>0.32953826780000001</c:v>
                </c:pt>
                <c:pt idx="15">
                  <c:v>1.5192795092</c:v>
                </c:pt>
                <c:pt idx="16">
                  <c:v>3.9588120891999998</c:v>
                </c:pt>
              </c:numCache>
            </c:numRef>
          </c:val>
          <c:extLst>
            <c:ext xmlns:c16="http://schemas.microsoft.com/office/drawing/2014/chart" uri="{C3380CC4-5D6E-409C-BE32-E72D297353CC}">
              <c16:uniqueId val="{00000000-6CE8-41EA-876F-042D31217688}"/>
            </c:ext>
          </c:extLst>
        </c:ser>
        <c:ser>
          <c:idx val="1"/>
          <c:order val="1"/>
          <c:tx>
            <c:strRef>
              <c:f>'8. MH Summary community'!$C$59</c:f>
              <c:strCache>
                <c:ptCount val="1"/>
                <c:pt idx="0">
                  <c:v> 2020-21 </c:v>
                </c:pt>
              </c:strCache>
            </c:strRef>
          </c:tx>
          <c:spPr>
            <a:solidFill>
              <a:schemeClr val="accent3"/>
            </a:solidFill>
            <a:ln>
              <a:noFill/>
            </a:ln>
            <a:effectLst/>
          </c:spPr>
          <c:invertIfNegative val="0"/>
          <c:cat>
            <c:strRef>
              <c:f>'8. MH Summary community'!$A$60:$A$76</c:f>
              <c:strCache>
                <c:ptCount val="17"/>
                <c:pt idx="0">
                  <c:v> Ward Medical </c:v>
                </c:pt>
                <c:pt idx="1">
                  <c:v> Ward Nursing </c:v>
                </c:pt>
                <c:pt idx="2">
                  <c:v> Allied Health </c:v>
                </c:pt>
                <c:pt idx="3">
                  <c:v> Non Clinical </c:v>
                </c:pt>
                <c:pt idx="4">
                  <c:v> On-costs </c:v>
                </c:pt>
                <c:pt idx="5">
                  <c:v> Pathology </c:v>
                </c:pt>
                <c:pt idx="6">
                  <c:v> Imaging </c:v>
                </c:pt>
                <c:pt idx="7">
                  <c:v> Prosthesis </c:v>
                </c:pt>
                <c:pt idx="8">
                  <c:v> Ward Supplies </c:v>
                </c:pt>
                <c:pt idx="9">
                  <c:v> Pharmacy </c:v>
                </c:pt>
                <c:pt idx="10">
                  <c:v> Critical Care </c:v>
                </c:pt>
                <c:pt idx="11">
                  <c:v> Operating Room </c:v>
                </c:pt>
                <c:pt idx="12">
                  <c:v> Patient Travel </c:v>
                </c:pt>
                <c:pt idx="13">
                  <c:v> Special Procedure Suite </c:v>
                </c:pt>
                <c:pt idx="14">
                  <c:v> Emergency Department </c:v>
                </c:pt>
                <c:pt idx="15">
                  <c:v> Hotel </c:v>
                </c:pt>
                <c:pt idx="16">
                  <c:v> Depreciation </c:v>
                </c:pt>
              </c:strCache>
            </c:strRef>
          </c:cat>
          <c:val>
            <c:numRef>
              <c:f>'8. MH Summary community'!$C$60:$C$76</c:f>
              <c:numCache>
                <c:formatCode>_-"$"* #,##0_-;\-"$"* #,##0_-;_-"$"* "-"??_-;_-@_-</c:formatCode>
                <c:ptCount val="17"/>
                <c:pt idx="0">
                  <c:v>85.330847757000001</c:v>
                </c:pt>
                <c:pt idx="1">
                  <c:v>123.67293845</c:v>
                </c:pt>
                <c:pt idx="2">
                  <c:v>107.46491562</c:v>
                </c:pt>
                <c:pt idx="3">
                  <c:v>48.577335237</c:v>
                </c:pt>
                <c:pt idx="4">
                  <c:v>61.376560075999997</c:v>
                </c:pt>
                <c:pt idx="5">
                  <c:v>3.0744843454000002</c:v>
                </c:pt>
                <c:pt idx="6">
                  <c:v>0.13459246580000001</c:v>
                </c:pt>
                <c:pt idx="7">
                  <c:v>5.1480561999999999E-3</c:v>
                </c:pt>
                <c:pt idx="8">
                  <c:v>26.895084354000002</c:v>
                </c:pt>
                <c:pt idx="9">
                  <c:v>0.72126717939999996</c:v>
                </c:pt>
                <c:pt idx="10">
                  <c:v>2.4650588599999999E-2</c:v>
                </c:pt>
                <c:pt idx="11">
                  <c:v>5.2194581599999998E-2</c:v>
                </c:pt>
                <c:pt idx="12">
                  <c:v>0.40438646989999999</c:v>
                </c:pt>
                <c:pt idx="13">
                  <c:v>0.1119635828</c:v>
                </c:pt>
                <c:pt idx="14">
                  <c:v>0.73756840950000002</c:v>
                </c:pt>
                <c:pt idx="15">
                  <c:v>5.4081275637999999</c:v>
                </c:pt>
                <c:pt idx="16">
                  <c:v>5.3019265969999996</c:v>
                </c:pt>
              </c:numCache>
            </c:numRef>
          </c:val>
          <c:extLst>
            <c:ext xmlns:c16="http://schemas.microsoft.com/office/drawing/2014/chart" uri="{C3380CC4-5D6E-409C-BE32-E72D297353CC}">
              <c16:uniqueId val="{00000001-6CE8-41EA-876F-042D31217688}"/>
            </c:ext>
          </c:extLst>
        </c:ser>
        <c:ser>
          <c:idx val="2"/>
          <c:order val="2"/>
          <c:tx>
            <c:strRef>
              <c:f>'8. MH Summary community'!$D$59</c:f>
              <c:strCache>
                <c:ptCount val="1"/>
                <c:pt idx="0">
                  <c:v> 2021-22 </c:v>
                </c:pt>
              </c:strCache>
            </c:strRef>
          </c:tx>
          <c:spPr>
            <a:solidFill>
              <a:schemeClr val="accent4"/>
            </a:solidFill>
            <a:ln>
              <a:noFill/>
            </a:ln>
            <a:effectLst/>
          </c:spPr>
          <c:invertIfNegative val="0"/>
          <c:cat>
            <c:strRef>
              <c:f>'8. MH Summary community'!$A$60:$A$76</c:f>
              <c:strCache>
                <c:ptCount val="17"/>
                <c:pt idx="0">
                  <c:v> Ward Medical </c:v>
                </c:pt>
                <c:pt idx="1">
                  <c:v> Ward Nursing </c:v>
                </c:pt>
                <c:pt idx="2">
                  <c:v> Allied Health </c:v>
                </c:pt>
                <c:pt idx="3">
                  <c:v> Non Clinical </c:v>
                </c:pt>
                <c:pt idx="4">
                  <c:v> On-costs </c:v>
                </c:pt>
                <c:pt idx="5">
                  <c:v> Pathology </c:v>
                </c:pt>
                <c:pt idx="6">
                  <c:v> Imaging </c:v>
                </c:pt>
                <c:pt idx="7">
                  <c:v> Prosthesis </c:v>
                </c:pt>
                <c:pt idx="8">
                  <c:v> Ward Supplies </c:v>
                </c:pt>
                <c:pt idx="9">
                  <c:v> Pharmacy </c:v>
                </c:pt>
                <c:pt idx="10">
                  <c:v> Critical Care </c:v>
                </c:pt>
                <c:pt idx="11">
                  <c:v> Operating Room </c:v>
                </c:pt>
                <c:pt idx="12">
                  <c:v> Patient Travel </c:v>
                </c:pt>
                <c:pt idx="13">
                  <c:v> Special Procedure Suite </c:v>
                </c:pt>
                <c:pt idx="14">
                  <c:v> Emergency Department </c:v>
                </c:pt>
                <c:pt idx="15">
                  <c:v> Hotel </c:v>
                </c:pt>
                <c:pt idx="16">
                  <c:v> Depreciation </c:v>
                </c:pt>
              </c:strCache>
            </c:strRef>
          </c:cat>
          <c:val>
            <c:numRef>
              <c:f>'8. MH Summary community'!$D$60:$D$76</c:f>
              <c:numCache>
                <c:formatCode>_-"$"* #,##0_-;\-"$"* #,##0_-;_-"$"* "-"??_-;_-@_-</c:formatCode>
                <c:ptCount val="17"/>
                <c:pt idx="0">
                  <c:v>60.539003817000001</c:v>
                </c:pt>
                <c:pt idx="1">
                  <c:v>111.65727941</c:v>
                </c:pt>
                <c:pt idx="2">
                  <c:v>69.131349955000005</c:v>
                </c:pt>
                <c:pt idx="3">
                  <c:v>46.133625338999998</c:v>
                </c:pt>
                <c:pt idx="4">
                  <c:v>53.682444533000002</c:v>
                </c:pt>
                <c:pt idx="5">
                  <c:v>1.6580121558000001</c:v>
                </c:pt>
                <c:pt idx="6">
                  <c:v>8.2697569499999998E-2</c:v>
                </c:pt>
                <c:pt idx="7">
                  <c:v>3.94918914E-2</c:v>
                </c:pt>
                <c:pt idx="8">
                  <c:v>26.574107501</c:v>
                </c:pt>
                <c:pt idx="9">
                  <c:v>0.57948948259999999</c:v>
                </c:pt>
                <c:pt idx="10">
                  <c:v>0</c:v>
                </c:pt>
                <c:pt idx="11">
                  <c:v>0.19646162640000001</c:v>
                </c:pt>
                <c:pt idx="12">
                  <c:v>0.42821851239999997</c:v>
                </c:pt>
                <c:pt idx="13">
                  <c:v>3.0298443899999999E-2</c:v>
                </c:pt>
                <c:pt idx="14">
                  <c:v>2.9824590003</c:v>
                </c:pt>
                <c:pt idx="15">
                  <c:v>4.4555106342000004</c:v>
                </c:pt>
                <c:pt idx="16">
                  <c:v>5.7521928802</c:v>
                </c:pt>
              </c:numCache>
            </c:numRef>
          </c:val>
          <c:extLst>
            <c:ext xmlns:c16="http://schemas.microsoft.com/office/drawing/2014/chart" uri="{C3380CC4-5D6E-409C-BE32-E72D297353CC}">
              <c16:uniqueId val="{00000002-6CE8-41EA-876F-042D31217688}"/>
            </c:ext>
          </c:extLst>
        </c:ser>
        <c:dLbls>
          <c:showLegendKey val="0"/>
          <c:showVal val="0"/>
          <c:showCatName val="0"/>
          <c:showSerName val="0"/>
          <c:showPercent val="0"/>
          <c:showBubbleSize val="0"/>
        </c:dLbls>
        <c:gapWidth val="182"/>
        <c:axId val="731233264"/>
        <c:axId val="731230024"/>
      </c:barChart>
      <c:catAx>
        <c:axId val="731233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31230024"/>
        <c:crosses val="autoZero"/>
        <c:auto val="1"/>
        <c:lblAlgn val="ctr"/>
        <c:lblOffset val="100"/>
        <c:noMultiLvlLbl val="0"/>
      </c:catAx>
      <c:valAx>
        <c:axId val="731230024"/>
        <c:scaling>
          <c:orientation val="minMax"/>
          <c:max val="130"/>
          <c:min val="0"/>
        </c:scaling>
        <c:delete val="0"/>
        <c:axPos val="b"/>
        <c:majorGridlines>
          <c:spPr>
            <a:ln w="9525" cap="flat" cmpd="sng" algn="ctr">
              <a:solidFill>
                <a:srgbClr val="000000"/>
              </a:solidFill>
              <a:round/>
            </a:ln>
            <a:effectLst/>
          </c:spPr>
        </c:majorGridlines>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3123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'Av Cost'!$B$2</c:f>
              <c:strCache>
                <c:ptCount val="1"/>
                <c:pt idx="0">
                  <c:v>2019-20</c:v>
                </c:pt>
              </c:strCache>
            </c:strRef>
          </c:tx>
          <c:spPr>
            <a:solidFill>
              <a:srgbClr val="104F99"/>
            </a:solidFill>
            <a:ln>
              <a:noFill/>
            </a:ln>
            <a:effectLst/>
          </c:spPr>
          <c:invertIfNegative val="0"/>
          <c:cat>
            <c:strRef>
              <c:f>'Av Cost'!$A$3:$A$11</c:f>
              <c:strCache>
                <c:ptCount val="9"/>
                <c:pt idx="0">
                  <c:v>NSW</c:v>
                </c:pt>
                <c:pt idx="1">
                  <c:v>Vic</c:v>
                </c:pt>
                <c:pt idx="2">
                  <c:v>Qld</c:v>
                </c:pt>
                <c:pt idx="3">
                  <c:v>SA</c:v>
                </c:pt>
                <c:pt idx="4">
                  <c:v>WA</c:v>
                </c:pt>
                <c:pt idx="5">
                  <c:v>Tas</c:v>
                </c:pt>
                <c:pt idx="6">
                  <c:v>NT</c:v>
                </c:pt>
                <c:pt idx="7">
                  <c:v>ACT</c:v>
                </c:pt>
                <c:pt idx="8">
                  <c:v>National</c:v>
                </c:pt>
              </c:strCache>
            </c:strRef>
          </c:cat>
          <c:val>
            <c:numRef>
              <c:f>'Av Cost'!$B$3:$B$11</c:f>
              <c:numCache>
                <c:formatCode>_-"$"* #,##0_-;\-"$"* #,##0_-;_-"$"* "-"??_-;_-@_-</c:formatCode>
                <c:ptCount val="9"/>
                <c:pt idx="0">
                  <c:v>5824.5849490999999</c:v>
                </c:pt>
                <c:pt idx="1">
                  <c:v>4919.0752005000004</c:v>
                </c:pt>
                <c:pt idx="2">
                  <c:v>4879.1094659</c:v>
                </c:pt>
                <c:pt idx="3">
                  <c:v>6287.4151487999998</c:v>
                </c:pt>
                <c:pt idx="4">
                  <c:v>5792.1095826000001</c:v>
                </c:pt>
                <c:pt idx="5">
                  <c:v>6657.7840796999999</c:v>
                </c:pt>
                <c:pt idx="6">
                  <c:v>3821.3309479</c:v>
                </c:pt>
                <c:pt idx="7">
                  <c:v>6076.1228210999998</c:v>
                </c:pt>
                <c:pt idx="8">
                  <c:v>5334.8478315695866</c:v>
                </c:pt>
              </c:numCache>
            </c:numRef>
          </c:val>
          <c:extLst>
            <c:ext xmlns:c16="http://schemas.microsoft.com/office/drawing/2014/chart" uri="{C3380CC4-5D6E-409C-BE32-E72D297353CC}">
              <c16:uniqueId val="{00000000-707C-4A89-A0B6-E4F964DD1325}"/>
            </c:ext>
          </c:extLst>
        </c:ser>
        <c:ser>
          <c:idx val="1"/>
          <c:order val="1"/>
          <c:tx>
            <c:strRef>
              <c:f>'Av Cost'!$C$2</c:f>
              <c:strCache>
                <c:ptCount val="1"/>
                <c:pt idx="0">
                  <c:v>2020-21</c:v>
                </c:pt>
              </c:strCache>
            </c:strRef>
          </c:tx>
          <c:spPr>
            <a:solidFill>
              <a:srgbClr val="3399CF"/>
            </a:solidFill>
            <a:ln>
              <a:noFill/>
            </a:ln>
            <a:effectLst/>
          </c:spPr>
          <c:invertIfNegative val="0"/>
          <c:cat>
            <c:strRef>
              <c:f>'Av Cost'!$A$3:$A$11</c:f>
              <c:strCache>
                <c:ptCount val="9"/>
                <c:pt idx="0">
                  <c:v>NSW</c:v>
                </c:pt>
                <c:pt idx="1">
                  <c:v>Vic</c:v>
                </c:pt>
                <c:pt idx="2">
                  <c:v>Qld</c:v>
                </c:pt>
                <c:pt idx="3">
                  <c:v>SA</c:v>
                </c:pt>
                <c:pt idx="4">
                  <c:v>WA</c:v>
                </c:pt>
                <c:pt idx="5">
                  <c:v>Tas</c:v>
                </c:pt>
                <c:pt idx="6">
                  <c:v>NT</c:v>
                </c:pt>
                <c:pt idx="7">
                  <c:v>ACT</c:v>
                </c:pt>
                <c:pt idx="8">
                  <c:v>National</c:v>
                </c:pt>
              </c:strCache>
            </c:strRef>
          </c:cat>
          <c:val>
            <c:numRef>
              <c:f>'Av Cost'!$C$3:$C$11</c:f>
              <c:numCache>
                <c:formatCode>_-"$"* #,##0_-;\-"$"* #,##0_-;_-"$"* "-"??_-;_-@_-</c:formatCode>
                <c:ptCount val="9"/>
                <c:pt idx="0">
                  <c:v>5757.6047777000003</c:v>
                </c:pt>
                <c:pt idx="1">
                  <c:v>5213.5207160999998</c:v>
                </c:pt>
                <c:pt idx="2">
                  <c:v>4636.1956818999997</c:v>
                </c:pt>
                <c:pt idx="3">
                  <c:v>5989.0664561000003</c:v>
                </c:pt>
                <c:pt idx="4">
                  <c:v>5710.0227371999999</c:v>
                </c:pt>
                <c:pt idx="5">
                  <c:v>6700.0853399999996</c:v>
                </c:pt>
                <c:pt idx="6">
                  <c:v>4111.0846247999998</c:v>
                </c:pt>
                <c:pt idx="7">
                  <c:v>5902.3524650999998</c:v>
                </c:pt>
                <c:pt idx="8">
                  <c:v>5314.9406552673408</c:v>
                </c:pt>
              </c:numCache>
            </c:numRef>
          </c:val>
          <c:extLst>
            <c:ext xmlns:c16="http://schemas.microsoft.com/office/drawing/2014/chart" uri="{C3380CC4-5D6E-409C-BE32-E72D297353CC}">
              <c16:uniqueId val="{00000001-707C-4A89-A0B6-E4F964DD1325}"/>
            </c:ext>
          </c:extLst>
        </c:ser>
        <c:ser>
          <c:idx val="2"/>
          <c:order val="2"/>
          <c:tx>
            <c:strRef>
              <c:f>'Av Cost'!$D$2</c:f>
              <c:strCache>
                <c:ptCount val="1"/>
                <c:pt idx="0">
                  <c:v>2021-22</c:v>
                </c:pt>
              </c:strCache>
            </c:strRef>
          </c:tx>
          <c:spPr>
            <a:solidFill>
              <a:srgbClr val="008F55"/>
            </a:solidFill>
            <a:ln>
              <a:noFill/>
            </a:ln>
            <a:effectLst/>
          </c:spPr>
          <c:invertIfNegative val="0"/>
          <c:cat>
            <c:strRef>
              <c:f>'Av Cost'!$A$3:$A$11</c:f>
              <c:strCache>
                <c:ptCount val="9"/>
                <c:pt idx="0">
                  <c:v>NSW</c:v>
                </c:pt>
                <c:pt idx="1">
                  <c:v>Vic</c:v>
                </c:pt>
                <c:pt idx="2">
                  <c:v>Qld</c:v>
                </c:pt>
                <c:pt idx="3">
                  <c:v>SA</c:v>
                </c:pt>
                <c:pt idx="4">
                  <c:v>WA</c:v>
                </c:pt>
                <c:pt idx="5">
                  <c:v>Tas</c:v>
                </c:pt>
                <c:pt idx="6">
                  <c:v>NT</c:v>
                </c:pt>
                <c:pt idx="7">
                  <c:v>ACT</c:v>
                </c:pt>
                <c:pt idx="8">
                  <c:v>National</c:v>
                </c:pt>
              </c:strCache>
            </c:strRef>
          </c:cat>
          <c:val>
            <c:numRef>
              <c:f>'Av Cost'!$D$3:$D$11</c:f>
              <c:numCache>
                <c:formatCode>_-"$"* #,##0_-;\-"$"* #,##0_-;_-"$"* "-"??_-;_-@_-</c:formatCode>
                <c:ptCount val="9"/>
                <c:pt idx="0">
                  <c:v>6638.1026758999997</c:v>
                </c:pt>
                <c:pt idx="1">
                  <c:v>5572.9061382999998</c:v>
                </c:pt>
                <c:pt idx="2">
                  <c:v>4841.8955769000004</c:v>
                </c:pt>
                <c:pt idx="3">
                  <c:v>6552.8713973000004</c:v>
                </c:pt>
                <c:pt idx="4">
                  <c:v>6353.4600872000001</c:v>
                </c:pt>
                <c:pt idx="5">
                  <c:v>7035.1831497000003</c:v>
                </c:pt>
                <c:pt idx="6">
                  <c:v>4454.9619783999997</c:v>
                </c:pt>
                <c:pt idx="7">
                  <c:v>7127.8547323000003</c:v>
                </c:pt>
                <c:pt idx="8">
                  <c:v>5808.5068833532923</c:v>
                </c:pt>
              </c:numCache>
            </c:numRef>
          </c:val>
          <c:extLst>
            <c:ext xmlns:c16="http://schemas.microsoft.com/office/drawing/2014/chart" uri="{C3380CC4-5D6E-409C-BE32-E72D297353CC}">
              <c16:uniqueId val="{00000002-707C-4A89-A0B6-E4F964DD1325}"/>
            </c:ext>
          </c:extLst>
        </c:ser>
        <c:dLbls>
          <c:showLegendKey val="0"/>
          <c:showVal val="0"/>
          <c:showCatName val="0"/>
          <c:showSerName val="0"/>
          <c:showPercent val="0"/>
          <c:showBubbleSize val="0"/>
        </c:dLbls>
        <c:gapWidth val="219"/>
        <c:axId val="405059496"/>
        <c:axId val="405063816"/>
      </c:barChart>
      <c:catAx>
        <c:axId val="405059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5063816"/>
        <c:crosses val="autoZero"/>
        <c:auto val="1"/>
        <c:lblAlgn val="ctr"/>
        <c:lblOffset val="100"/>
        <c:noMultiLvlLbl val="0"/>
      </c:catAx>
      <c:valAx>
        <c:axId val="405063816"/>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Average</a:t>
                </a:r>
                <a:r>
                  <a:rPr lang="en-AU" baseline="0"/>
                  <a:t> cost per separation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5059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Weighted!$C$17</c:f>
              <c:strCache>
                <c:ptCount val="1"/>
                <c:pt idx="0">
                  <c:v>2019-20</c:v>
                </c:pt>
              </c:strCache>
            </c:strRef>
          </c:tx>
          <c:spPr>
            <a:solidFill>
              <a:srgbClr val="104F99"/>
            </a:solidFill>
            <a:ln>
              <a:noFill/>
            </a:ln>
            <a:effectLst/>
          </c:spPr>
          <c:invertIfNegative val="0"/>
          <c:dLbls>
            <c:delete val="1"/>
          </c:dLbls>
          <c:cat>
            <c:strRef>
              <c:f>Weighted!$B$18:$B$26</c:f>
              <c:strCache>
                <c:ptCount val="9"/>
                <c:pt idx="0">
                  <c:v>NSW</c:v>
                </c:pt>
                <c:pt idx="1">
                  <c:v>Vic</c:v>
                </c:pt>
                <c:pt idx="2">
                  <c:v>Qld</c:v>
                </c:pt>
                <c:pt idx="3">
                  <c:v>SA</c:v>
                </c:pt>
                <c:pt idx="4">
                  <c:v>WA</c:v>
                </c:pt>
                <c:pt idx="5">
                  <c:v>Tas</c:v>
                </c:pt>
                <c:pt idx="6">
                  <c:v>NT</c:v>
                </c:pt>
                <c:pt idx="7">
                  <c:v>ACT</c:v>
                </c:pt>
                <c:pt idx="8">
                  <c:v>National</c:v>
                </c:pt>
              </c:strCache>
            </c:strRef>
          </c:cat>
          <c:val>
            <c:numRef>
              <c:f>Weighted!$C$18:$C$26</c:f>
              <c:numCache>
                <c:formatCode>_-"$"* #,##0_-;\-"$"* #,##0_-;_-"$"* "-"??_-;_-@_-</c:formatCode>
                <c:ptCount val="9"/>
                <c:pt idx="0">
                  <c:v>5221.1903727999997</c:v>
                </c:pt>
                <c:pt idx="1">
                  <c:v>5110.6744673000003</c:v>
                </c:pt>
                <c:pt idx="2">
                  <c:v>5144.1864962999998</c:v>
                </c:pt>
                <c:pt idx="3">
                  <c:v>5759.8844587000003</c:v>
                </c:pt>
                <c:pt idx="4">
                  <c:v>5949.6042717</c:v>
                </c:pt>
                <c:pt idx="5">
                  <c:v>6393.2690941000001</c:v>
                </c:pt>
                <c:pt idx="6">
                  <c:v>6709.0738640999998</c:v>
                </c:pt>
                <c:pt idx="7">
                  <c:v>5701.767237</c:v>
                </c:pt>
                <c:pt idx="8">
                  <c:v>5334.8478316000001</c:v>
                </c:pt>
              </c:numCache>
            </c:numRef>
          </c:val>
          <c:extLst>
            <c:ext xmlns:c16="http://schemas.microsoft.com/office/drawing/2014/chart" uri="{C3380CC4-5D6E-409C-BE32-E72D297353CC}">
              <c16:uniqueId val="{00000000-D640-4838-B161-B9F50BEB7263}"/>
            </c:ext>
          </c:extLst>
        </c:ser>
        <c:ser>
          <c:idx val="1"/>
          <c:order val="1"/>
          <c:tx>
            <c:strRef>
              <c:f>Weighted!$D$17</c:f>
              <c:strCache>
                <c:ptCount val="1"/>
                <c:pt idx="0">
                  <c:v>2020-21</c:v>
                </c:pt>
              </c:strCache>
            </c:strRef>
          </c:tx>
          <c:spPr>
            <a:solidFill>
              <a:srgbClr val="3399CF"/>
            </a:solidFill>
            <a:ln>
              <a:noFill/>
            </a:ln>
            <a:effectLst/>
          </c:spPr>
          <c:invertIfNegative val="0"/>
          <c:dLbls>
            <c:delete val="1"/>
          </c:dLbls>
          <c:cat>
            <c:strRef>
              <c:f>Weighted!$B$18:$B$26</c:f>
              <c:strCache>
                <c:ptCount val="9"/>
                <c:pt idx="0">
                  <c:v>NSW</c:v>
                </c:pt>
                <c:pt idx="1">
                  <c:v>Vic</c:v>
                </c:pt>
                <c:pt idx="2">
                  <c:v>Qld</c:v>
                </c:pt>
                <c:pt idx="3">
                  <c:v>SA</c:v>
                </c:pt>
                <c:pt idx="4">
                  <c:v>WA</c:v>
                </c:pt>
                <c:pt idx="5">
                  <c:v>Tas</c:v>
                </c:pt>
                <c:pt idx="6">
                  <c:v>NT</c:v>
                </c:pt>
                <c:pt idx="7">
                  <c:v>ACT</c:v>
                </c:pt>
                <c:pt idx="8">
                  <c:v>National</c:v>
                </c:pt>
              </c:strCache>
            </c:strRef>
          </c:cat>
          <c:val>
            <c:numRef>
              <c:f>Weighted!$D$18:$D$26</c:f>
              <c:numCache>
                <c:formatCode>_-"$"* #,##0_-;\-"$"* #,##0_-;_-"$"* "-"??_-;_-@_-</c:formatCode>
                <c:ptCount val="9"/>
                <c:pt idx="0">
                  <c:v>5163.6806254000003</c:v>
                </c:pt>
                <c:pt idx="1">
                  <c:v>5388.7496216999998</c:v>
                </c:pt>
                <c:pt idx="2">
                  <c:v>4883.5074634000002</c:v>
                </c:pt>
                <c:pt idx="3">
                  <c:v>5551.3445746999996</c:v>
                </c:pt>
                <c:pt idx="4">
                  <c:v>5922.7201402999999</c:v>
                </c:pt>
                <c:pt idx="5">
                  <c:v>6270.7739824</c:v>
                </c:pt>
                <c:pt idx="6">
                  <c:v>7052.2780604</c:v>
                </c:pt>
                <c:pt idx="7">
                  <c:v>5666.4648453999998</c:v>
                </c:pt>
                <c:pt idx="8">
                  <c:v>5314.9406552999999</c:v>
                </c:pt>
              </c:numCache>
            </c:numRef>
          </c:val>
          <c:extLst>
            <c:ext xmlns:c16="http://schemas.microsoft.com/office/drawing/2014/chart" uri="{C3380CC4-5D6E-409C-BE32-E72D297353CC}">
              <c16:uniqueId val="{00000001-D640-4838-B161-B9F50BEB7263}"/>
            </c:ext>
          </c:extLst>
        </c:ser>
        <c:ser>
          <c:idx val="2"/>
          <c:order val="2"/>
          <c:tx>
            <c:strRef>
              <c:f>Weighted!$E$17</c:f>
              <c:strCache>
                <c:ptCount val="1"/>
                <c:pt idx="0">
                  <c:v>2021-22</c:v>
                </c:pt>
              </c:strCache>
            </c:strRef>
          </c:tx>
          <c:spPr>
            <a:solidFill>
              <a:srgbClr val="008F55"/>
            </a:solidFill>
            <a:ln>
              <a:noFill/>
            </a:ln>
            <a:effectLst/>
          </c:spPr>
          <c:invertIfNegative val="0"/>
          <c:dLbls>
            <c:delete val="1"/>
          </c:dLbls>
          <c:cat>
            <c:strRef>
              <c:f>Weighted!$B$18:$B$26</c:f>
              <c:strCache>
                <c:ptCount val="9"/>
                <c:pt idx="0">
                  <c:v>NSW</c:v>
                </c:pt>
                <c:pt idx="1">
                  <c:v>Vic</c:v>
                </c:pt>
                <c:pt idx="2">
                  <c:v>Qld</c:v>
                </c:pt>
                <c:pt idx="3">
                  <c:v>SA</c:v>
                </c:pt>
                <c:pt idx="4">
                  <c:v>WA</c:v>
                </c:pt>
                <c:pt idx="5">
                  <c:v>Tas</c:v>
                </c:pt>
                <c:pt idx="6">
                  <c:v>NT</c:v>
                </c:pt>
                <c:pt idx="7">
                  <c:v>ACT</c:v>
                </c:pt>
                <c:pt idx="8">
                  <c:v>National</c:v>
                </c:pt>
              </c:strCache>
            </c:strRef>
          </c:cat>
          <c:val>
            <c:numRef>
              <c:f>Weighted!$E$18:$E$26</c:f>
              <c:numCache>
                <c:formatCode>_-"$"* #,##0_-;\-"$"* #,##0_-;_-"$"* "-"??_-;_-@_-</c:formatCode>
                <c:ptCount val="9"/>
                <c:pt idx="0">
                  <c:v>5811.6424364000004</c:v>
                </c:pt>
                <c:pt idx="1">
                  <c:v>5838.2663984999999</c:v>
                </c:pt>
                <c:pt idx="2">
                  <c:v>5134.4607975999998</c:v>
                </c:pt>
                <c:pt idx="3">
                  <c:v>6044.1152685999996</c:v>
                </c:pt>
                <c:pt idx="4">
                  <c:v>6562.7083905</c:v>
                </c:pt>
                <c:pt idx="5">
                  <c:v>6888.4808319000003</c:v>
                </c:pt>
                <c:pt idx="6">
                  <c:v>7692.0325720999999</c:v>
                </c:pt>
                <c:pt idx="7">
                  <c:v>6577.7458993999999</c:v>
                </c:pt>
                <c:pt idx="8">
                  <c:v>5808.5068832999996</c:v>
                </c:pt>
              </c:numCache>
            </c:numRef>
          </c:val>
          <c:extLst>
            <c:ext xmlns:c16="http://schemas.microsoft.com/office/drawing/2014/chart" uri="{C3380CC4-5D6E-409C-BE32-E72D297353CC}">
              <c16:uniqueId val="{00000002-D640-4838-B161-B9F50BEB7263}"/>
            </c:ext>
          </c:extLst>
        </c:ser>
        <c:dLbls>
          <c:dLblPos val="outEnd"/>
          <c:showLegendKey val="0"/>
          <c:showVal val="1"/>
          <c:showCatName val="0"/>
          <c:showSerName val="0"/>
          <c:showPercent val="0"/>
          <c:showBubbleSize val="0"/>
        </c:dLbls>
        <c:gapWidth val="219"/>
        <c:axId val="737049384"/>
        <c:axId val="737048664"/>
      </c:barChart>
      <c:catAx>
        <c:axId val="737049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37048664"/>
        <c:crosses val="autoZero"/>
        <c:auto val="1"/>
        <c:lblAlgn val="ctr"/>
        <c:lblOffset val="100"/>
        <c:noMultiLvlLbl val="0"/>
      </c:catAx>
      <c:valAx>
        <c:axId val="737048664"/>
        <c:scaling>
          <c:orientation val="minMax"/>
          <c:max val="8000"/>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900"/>
                  <a:t>Weighted average cost per spearation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37049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'Acute 2'!$E$13</c:f>
              <c:strCache>
                <c:ptCount val="1"/>
                <c:pt idx="0">
                  <c:v>2019-20</c:v>
                </c:pt>
              </c:strCache>
            </c:strRef>
          </c:tx>
          <c:spPr>
            <a:solidFill>
              <a:schemeClr val="accent2"/>
            </a:solidFill>
            <a:ln>
              <a:noFill/>
            </a:ln>
            <a:effectLst/>
          </c:spPr>
          <c:invertIfNegative val="0"/>
          <c:cat>
            <c:strRef>
              <c:f>'Acute 2'!$D$14:$D$30</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'Acute 2'!$E$14:$E$30</c:f>
              <c:numCache>
                <c:formatCode>_-"$"* #,##0_-;\-"$"* #,##0_-;_-"$"* "-"??_-;_-@_-</c:formatCode>
                <c:ptCount val="17"/>
                <c:pt idx="0">
                  <c:v>663.89794515999995</c:v>
                </c:pt>
                <c:pt idx="1">
                  <c:v>1017.0228519999999</c:v>
                </c:pt>
                <c:pt idx="2">
                  <c:v>170.68340205000001</c:v>
                </c:pt>
                <c:pt idx="3">
                  <c:v>357.97685895000001</c:v>
                </c:pt>
                <c:pt idx="4">
                  <c:v>378.05848623000003</c:v>
                </c:pt>
                <c:pt idx="5">
                  <c:v>189.60087214999999</c:v>
                </c:pt>
                <c:pt idx="6">
                  <c:v>128.73554688999999</c:v>
                </c:pt>
                <c:pt idx="7">
                  <c:v>153.15664878000001</c:v>
                </c:pt>
                <c:pt idx="8">
                  <c:v>377.49602942000001</c:v>
                </c:pt>
                <c:pt idx="9">
                  <c:v>216.29051053000001</c:v>
                </c:pt>
                <c:pt idx="10">
                  <c:v>439.14482047000001</c:v>
                </c:pt>
                <c:pt idx="11">
                  <c:v>800.44015732000003</c:v>
                </c:pt>
                <c:pt idx="12">
                  <c:v>28.612909431999999</c:v>
                </c:pt>
                <c:pt idx="13">
                  <c:v>64.216389254999996</c:v>
                </c:pt>
                <c:pt idx="14">
                  <c:v>14.633611302</c:v>
                </c:pt>
                <c:pt idx="15">
                  <c:v>161.0810089</c:v>
                </c:pt>
                <c:pt idx="16">
                  <c:v>173.79978276</c:v>
                </c:pt>
              </c:numCache>
            </c:numRef>
          </c:val>
          <c:extLst>
            <c:ext xmlns:c16="http://schemas.microsoft.com/office/drawing/2014/chart" uri="{C3380CC4-5D6E-409C-BE32-E72D297353CC}">
              <c16:uniqueId val="{00000000-3C73-425E-A7C1-9E661AD13243}"/>
            </c:ext>
          </c:extLst>
        </c:ser>
        <c:ser>
          <c:idx val="1"/>
          <c:order val="1"/>
          <c:tx>
            <c:strRef>
              <c:f>'Acute 2'!$F$13</c:f>
              <c:strCache>
                <c:ptCount val="1"/>
                <c:pt idx="0">
                  <c:v>2020-21</c:v>
                </c:pt>
              </c:strCache>
            </c:strRef>
          </c:tx>
          <c:spPr>
            <a:solidFill>
              <a:schemeClr val="accent3"/>
            </a:solidFill>
            <a:ln>
              <a:noFill/>
            </a:ln>
            <a:effectLst/>
          </c:spPr>
          <c:invertIfNegative val="0"/>
          <c:cat>
            <c:strRef>
              <c:f>'Acute 2'!$D$14:$D$30</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'Acute 2'!$F$14:$F$30</c:f>
              <c:numCache>
                <c:formatCode>_-"$"* #,##0_-;\-"$"* #,##0_-;_-"$"* "-"??_-;_-@_-</c:formatCode>
                <c:ptCount val="17"/>
                <c:pt idx="0">
                  <c:v>635.04358506000005</c:v>
                </c:pt>
                <c:pt idx="1">
                  <c:v>974.82508457999995</c:v>
                </c:pt>
                <c:pt idx="2">
                  <c:v>165.97621785000001</c:v>
                </c:pt>
                <c:pt idx="3">
                  <c:v>334.01410879999997</c:v>
                </c:pt>
                <c:pt idx="4">
                  <c:v>394.41670022</c:v>
                </c:pt>
                <c:pt idx="5">
                  <c:v>180.95356949999999</c:v>
                </c:pt>
                <c:pt idx="6">
                  <c:v>133.03978581000001</c:v>
                </c:pt>
                <c:pt idx="7">
                  <c:v>155.09850818999999</c:v>
                </c:pt>
                <c:pt idx="8">
                  <c:v>417.08281651999999</c:v>
                </c:pt>
                <c:pt idx="9">
                  <c:v>241.59082029000001</c:v>
                </c:pt>
                <c:pt idx="10">
                  <c:v>421.07281671999999</c:v>
                </c:pt>
                <c:pt idx="11">
                  <c:v>773.78610532000005</c:v>
                </c:pt>
                <c:pt idx="12">
                  <c:v>24.786033493000001</c:v>
                </c:pt>
                <c:pt idx="13">
                  <c:v>63.328029526999998</c:v>
                </c:pt>
                <c:pt idx="14">
                  <c:v>51.128181431999998</c:v>
                </c:pt>
                <c:pt idx="15">
                  <c:v>187.26740434000001</c:v>
                </c:pt>
                <c:pt idx="16">
                  <c:v>161.53088761999999</c:v>
                </c:pt>
              </c:numCache>
            </c:numRef>
          </c:val>
          <c:extLst>
            <c:ext xmlns:c16="http://schemas.microsoft.com/office/drawing/2014/chart" uri="{C3380CC4-5D6E-409C-BE32-E72D297353CC}">
              <c16:uniqueId val="{00000001-3C73-425E-A7C1-9E661AD13243}"/>
            </c:ext>
          </c:extLst>
        </c:ser>
        <c:ser>
          <c:idx val="2"/>
          <c:order val="2"/>
          <c:tx>
            <c:strRef>
              <c:f>'Acute 2'!$G$13</c:f>
              <c:strCache>
                <c:ptCount val="1"/>
                <c:pt idx="0">
                  <c:v>2021-22</c:v>
                </c:pt>
              </c:strCache>
            </c:strRef>
          </c:tx>
          <c:spPr>
            <a:solidFill>
              <a:schemeClr val="accent4"/>
            </a:solidFill>
            <a:ln>
              <a:noFill/>
            </a:ln>
            <a:effectLst/>
          </c:spPr>
          <c:invertIfNegative val="0"/>
          <c:cat>
            <c:strRef>
              <c:f>'Acute 2'!$D$14:$D$30</c:f>
              <c:strCache>
                <c:ptCount val="17"/>
                <c:pt idx="0">
                  <c:v>Ward Medical</c:v>
                </c:pt>
                <c:pt idx="1">
                  <c:v>Ward Nursing</c:v>
                </c:pt>
                <c:pt idx="2">
                  <c:v>Allied Health</c:v>
                </c:pt>
                <c:pt idx="3">
                  <c:v>Non Clinical</c:v>
                </c:pt>
                <c:pt idx="4">
                  <c:v>On-costs</c:v>
                </c:pt>
                <c:pt idx="5">
                  <c:v>Pathology</c:v>
                </c:pt>
                <c:pt idx="6">
                  <c:v>Imaging</c:v>
                </c:pt>
                <c:pt idx="7">
                  <c:v>Prosthesis</c:v>
                </c:pt>
                <c:pt idx="8">
                  <c:v>Ward Supplies</c:v>
                </c:pt>
                <c:pt idx="9">
                  <c:v>Pharmacy</c:v>
                </c:pt>
                <c:pt idx="10">
                  <c:v>Critical Care</c:v>
                </c:pt>
                <c:pt idx="11">
                  <c:v>Operating Room</c:v>
                </c:pt>
                <c:pt idx="12">
                  <c:v>Patient Travel</c:v>
                </c:pt>
                <c:pt idx="13">
                  <c:v>Special Procedure Suite</c:v>
                </c:pt>
                <c:pt idx="14">
                  <c:v>Emergency Department</c:v>
                </c:pt>
                <c:pt idx="15">
                  <c:v>Hotel</c:v>
                </c:pt>
                <c:pt idx="16">
                  <c:v>Depreciation</c:v>
                </c:pt>
              </c:strCache>
            </c:strRef>
          </c:cat>
          <c:val>
            <c:numRef>
              <c:f>'Acute 2'!$G$14:$G$30</c:f>
              <c:numCache>
                <c:formatCode>_-"$"* #,##0_-;\-"$"* #,##0_-;_-"$"* "-"??_-;_-@_-</c:formatCode>
                <c:ptCount val="17"/>
                <c:pt idx="0">
                  <c:v>690.52360629999998</c:v>
                </c:pt>
                <c:pt idx="1">
                  <c:v>1047.4243722000001</c:v>
                </c:pt>
                <c:pt idx="2">
                  <c:v>189.55690562000001</c:v>
                </c:pt>
                <c:pt idx="3">
                  <c:v>362.51887699999997</c:v>
                </c:pt>
                <c:pt idx="4">
                  <c:v>460.04962238000002</c:v>
                </c:pt>
                <c:pt idx="5">
                  <c:v>203.46643173999999</c:v>
                </c:pt>
                <c:pt idx="6">
                  <c:v>145.02229589000001</c:v>
                </c:pt>
                <c:pt idx="7">
                  <c:v>139.91754902</c:v>
                </c:pt>
                <c:pt idx="8">
                  <c:v>477.28776926</c:v>
                </c:pt>
                <c:pt idx="9">
                  <c:v>263.72013162000002</c:v>
                </c:pt>
                <c:pt idx="10">
                  <c:v>470.59857980999999</c:v>
                </c:pt>
                <c:pt idx="11">
                  <c:v>809.09906145000002</c:v>
                </c:pt>
                <c:pt idx="12">
                  <c:v>28.773242086</c:v>
                </c:pt>
                <c:pt idx="13">
                  <c:v>69.978116185000005</c:v>
                </c:pt>
                <c:pt idx="14">
                  <c:v>53.255420542000003</c:v>
                </c:pt>
                <c:pt idx="15">
                  <c:v>202.54371803000001</c:v>
                </c:pt>
                <c:pt idx="16">
                  <c:v>194.77118422999999</c:v>
                </c:pt>
              </c:numCache>
            </c:numRef>
          </c:val>
          <c:extLst>
            <c:ext xmlns:c16="http://schemas.microsoft.com/office/drawing/2014/chart" uri="{C3380CC4-5D6E-409C-BE32-E72D297353CC}">
              <c16:uniqueId val="{00000002-3C73-425E-A7C1-9E661AD13243}"/>
            </c:ext>
          </c:extLst>
        </c:ser>
        <c:dLbls>
          <c:showLegendKey val="0"/>
          <c:showVal val="0"/>
          <c:showCatName val="0"/>
          <c:showSerName val="0"/>
          <c:showPercent val="0"/>
          <c:showBubbleSize val="0"/>
        </c:dLbls>
        <c:gapWidth val="182"/>
        <c:axId val="771149664"/>
        <c:axId val="771154344"/>
      </c:barChart>
      <c:catAx>
        <c:axId val="771149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71154344"/>
        <c:crosses val="autoZero"/>
        <c:auto val="1"/>
        <c:lblAlgn val="ctr"/>
        <c:lblOffset val="100"/>
        <c:noMultiLvlLbl val="0"/>
      </c:catAx>
      <c:valAx>
        <c:axId val="771154344"/>
        <c:scaling>
          <c:orientation val="minMax"/>
        </c:scaling>
        <c:delete val="0"/>
        <c:axPos val="b"/>
        <c:majorGridlines>
          <c:spPr>
            <a:ln w="9525" cap="flat" cmpd="sng" algn="ctr">
              <a:solidFill>
                <a:srgbClr val="000000"/>
              </a:solidFill>
              <a:round/>
            </a:ln>
            <a:effectLst/>
          </c:spPr>
        </c:majorGridlines>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7114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'Subacute Check Ep'!$N$42</c:f>
              <c:strCache>
                <c:ptCount val="1"/>
                <c:pt idx="0">
                  <c:v>2019-20</c:v>
                </c:pt>
              </c:strCache>
            </c:strRef>
          </c:tx>
          <c:spPr>
            <a:solidFill>
              <a:schemeClr val="accent2"/>
            </a:solidFill>
            <a:ln>
              <a:noFill/>
            </a:ln>
            <a:effectLst/>
          </c:spPr>
          <c:invertIfNegative val="0"/>
          <c:cat>
            <c:strRef>
              <c:f>'Subacute Check Ep'!$M$43:$M$50</c:f>
              <c:strCache>
                <c:ptCount val="8"/>
                <c:pt idx="0">
                  <c:v>NSW</c:v>
                </c:pt>
                <c:pt idx="1">
                  <c:v>Vic</c:v>
                </c:pt>
                <c:pt idx="2">
                  <c:v>Qld</c:v>
                </c:pt>
                <c:pt idx="3">
                  <c:v>SA</c:v>
                </c:pt>
                <c:pt idx="4">
                  <c:v>WA</c:v>
                </c:pt>
                <c:pt idx="5">
                  <c:v>Tas</c:v>
                </c:pt>
                <c:pt idx="6">
                  <c:v>NT</c:v>
                </c:pt>
                <c:pt idx="7">
                  <c:v>ACT</c:v>
                </c:pt>
              </c:strCache>
            </c:strRef>
          </c:cat>
          <c:val>
            <c:numRef>
              <c:f>'Subacute Check Ep'!$N$43:$N$50</c:f>
              <c:numCache>
                <c:formatCode>_-* #,##0_-;\-* #,##0_-;_-* "-"??_-;_-@_-</c:formatCode>
                <c:ptCount val="8"/>
                <c:pt idx="0">
                  <c:v>46946</c:v>
                </c:pt>
                <c:pt idx="1">
                  <c:v>36660</c:v>
                </c:pt>
                <c:pt idx="2">
                  <c:v>37240</c:v>
                </c:pt>
                <c:pt idx="3">
                  <c:v>10712</c:v>
                </c:pt>
                <c:pt idx="4">
                  <c:v>12151</c:v>
                </c:pt>
                <c:pt idx="5">
                  <c:v>2671</c:v>
                </c:pt>
                <c:pt idx="6">
                  <c:v>863</c:v>
                </c:pt>
                <c:pt idx="7">
                  <c:v>5143</c:v>
                </c:pt>
              </c:numCache>
            </c:numRef>
          </c:val>
          <c:extLst>
            <c:ext xmlns:c16="http://schemas.microsoft.com/office/drawing/2014/chart" uri="{C3380CC4-5D6E-409C-BE32-E72D297353CC}">
              <c16:uniqueId val="{00000000-9301-4227-B805-DC3FA6D816C2}"/>
            </c:ext>
          </c:extLst>
        </c:ser>
        <c:ser>
          <c:idx val="1"/>
          <c:order val="1"/>
          <c:tx>
            <c:strRef>
              <c:f>'Subacute Check Ep'!$O$42</c:f>
              <c:strCache>
                <c:ptCount val="1"/>
                <c:pt idx="0">
                  <c:v>2020-21</c:v>
                </c:pt>
              </c:strCache>
            </c:strRef>
          </c:tx>
          <c:spPr>
            <a:solidFill>
              <a:schemeClr val="accent3"/>
            </a:solidFill>
            <a:ln>
              <a:noFill/>
            </a:ln>
            <a:effectLst/>
          </c:spPr>
          <c:invertIfNegative val="0"/>
          <c:cat>
            <c:strRef>
              <c:f>'Subacute Check Ep'!$M$43:$M$50</c:f>
              <c:strCache>
                <c:ptCount val="8"/>
                <c:pt idx="0">
                  <c:v>NSW</c:v>
                </c:pt>
                <c:pt idx="1">
                  <c:v>Vic</c:v>
                </c:pt>
                <c:pt idx="2">
                  <c:v>Qld</c:v>
                </c:pt>
                <c:pt idx="3">
                  <c:v>SA</c:v>
                </c:pt>
                <c:pt idx="4">
                  <c:v>WA</c:v>
                </c:pt>
                <c:pt idx="5">
                  <c:v>Tas</c:v>
                </c:pt>
                <c:pt idx="6">
                  <c:v>NT</c:v>
                </c:pt>
                <c:pt idx="7">
                  <c:v>ACT</c:v>
                </c:pt>
              </c:strCache>
            </c:strRef>
          </c:cat>
          <c:val>
            <c:numRef>
              <c:f>'Subacute Check Ep'!$O$43:$O$50</c:f>
              <c:numCache>
                <c:formatCode>_-* #,##0_-;\-* #,##0_-;_-* "-"??_-;_-@_-</c:formatCode>
                <c:ptCount val="8"/>
                <c:pt idx="0">
                  <c:v>45016</c:v>
                </c:pt>
                <c:pt idx="1">
                  <c:v>30786</c:v>
                </c:pt>
                <c:pt idx="2">
                  <c:v>39850</c:v>
                </c:pt>
                <c:pt idx="3">
                  <c:v>11840</c:v>
                </c:pt>
                <c:pt idx="4">
                  <c:v>12396</c:v>
                </c:pt>
                <c:pt idx="5">
                  <c:v>2587</c:v>
                </c:pt>
                <c:pt idx="6">
                  <c:v>765</c:v>
                </c:pt>
                <c:pt idx="7">
                  <c:v>5247</c:v>
                </c:pt>
              </c:numCache>
            </c:numRef>
          </c:val>
          <c:extLst>
            <c:ext xmlns:c16="http://schemas.microsoft.com/office/drawing/2014/chart" uri="{C3380CC4-5D6E-409C-BE32-E72D297353CC}">
              <c16:uniqueId val="{00000001-9301-4227-B805-DC3FA6D816C2}"/>
            </c:ext>
          </c:extLst>
        </c:ser>
        <c:ser>
          <c:idx val="2"/>
          <c:order val="2"/>
          <c:tx>
            <c:strRef>
              <c:f>'Subacute Check Ep'!$P$42</c:f>
              <c:strCache>
                <c:ptCount val="1"/>
                <c:pt idx="0">
                  <c:v>2021-22</c:v>
                </c:pt>
              </c:strCache>
            </c:strRef>
          </c:tx>
          <c:spPr>
            <a:solidFill>
              <a:schemeClr val="accent4"/>
            </a:solidFill>
            <a:ln>
              <a:noFill/>
            </a:ln>
            <a:effectLst/>
          </c:spPr>
          <c:invertIfNegative val="0"/>
          <c:cat>
            <c:strRef>
              <c:f>'Subacute Check Ep'!$M$43:$M$50</c:f>
              <c:strCache>
                <c:ptCount val="8"/>
                <c:pt idx="0">
                  <c:v>NSW</c:v>
                </c:pt>
                <c:pt idx="1">
                  <c:v>Vic</c:v>
                </c:pt>
                <c:pt idx="2">
                  <c:v>Qld</c:v>
                </c:pt>
                <c:pt idx="3">
                  <c:v>SA</c:v>
                </c:pt>
                <c:pt idx="4">
                  <c:v>WA</c:v>
                </c:pt>
                <c:pt idx="5">
                  <c:v>Tas</c:v>
                </c:pt>
                <c:pt idx="6">
                  <c:v>NT</c:v>
                </c:pt>
                <c:pt idx="7">
                  <c:v>ACT</c:v>
                </c:pt>
              </c:strCache>
            </c:strRef>
          </c:cat>
          <c:val>
            <c:numRef>
              <c:f>'Subacute Check Ep'!$P$43:$P$50</c:f>
              <c:numCache>
                <c:formatCode>_-* #,##0_-;\-* #,##0_-;_-* "-"??_-;_-@_-</c:formatCode>
                <c:ptCount val="8"/>
                <c:pt idx="0">
                  <c:v>35623</c:v>
                </c:pt>
                <c:pt idx="1">
                  <c:v>30342</c:v>
                </c:pt>
                <c:pt idx="2">
                  <c:v>52240</c:v>
                </c:pt>
                <c:pt idx="3">
                  <c:v>13363</c:v>
                </c:pt>
                <c:pt idx="4">
                  <c:v>11914</c:v>
                </c:pt>
                <c:pt idx="5">
                  <c:v>2593</c:v>
                </c:pt>
                <c:pt idx="6">
                  <c:v>900</c:v>
                </c:pt>
                <c:pt idx="7">
                  <c:v>4731</c:v>
                </c:pt>
              </c:numCache>
            </c:numRef>
          </c:val>
          <c:extLst>
            <c:ext xmlns:c16="http://schemas.microsoft.com/office/drawing/2014/chart" uri="{C3380CC4-5D6E-409C-BE32-E72D297353CC}">
              <c16:uniqueId val="{00000002-9301-4227-B805-DC3FA6D816C2}"/>
            </c:ext>
          </c:extLst>
        </c:ser>
        <c:dLbls>
          <c:showLegendKey val="0"/>
          <c:showVal val="0"/>
          <c:showCatName val="0"/>
          <c:showSerName val="0"/>
          <c:showPercent val="0"/>
          <c:showBubbleSize val="0"/>
        </c:dLbls>
        <c:gapWidth val="219"/>
        <c:axId val="457428600"/>
        <c:axId val="457429320"/>
      </c:barChart>
      <c:catAx>
        <c:axId val="457428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57429320"/>
        <c:crosses val="autoZero"/>
        <c:auto val="1"/>
        <c:lblAlgn val="ctr"/>
        <c:lblOffset val="100"/>
        <c:noMultiLvlLbl val="0"/>
      </c:catAx>
      <c:valAx>
        <c:axId val="457429320"/>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Episodes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57428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'Subacute Check Phases'!$M$42</c:f>
              <c:strCache>
                <c:ptCount val="1"/>
                <c:pt idx="0">
                  <c:v>2019-20</c:v>
                </c:pt>
              </c:strCache>
            </c:strRef>
          </c:tx>
          <c:spPr>
            <a:solidFill>
              <a:schemeClr val="accent2"/>
            </a:solidFill>
            <a:ln>
              <a:noFill/>
            </a:ln>
            <a:effectLst/>
          </c:spPr>
          <c:invertIfNegative val="0"/>
          <c:cat>
            <c:strRef>
              <c:f>'Subacute Check Phases'!$L$43:$L$50</c:f>
              <c:strCache>
                <c:ptCount val="8"/>
                <c:pt idx="0">
                  <c:v>NSW</c:v>
                </c:pt>
                <c:pt idx="1">
                  <c:v>Vic</c:v>
                </c:pt>
                <c:pt idx="2">
                  <c:v>Qld</c:v>
                </c:pt>
                <c:pt idx="3">
                  <c:v>SA</c:v>
                </c:pt>
                <c:pt idx="4">
                  <c:v>WA</c:v>
                </c:pt>
                <c:pt idx="5">
                  <c:v>Tas</c:v>
                </c:pt>
                <c:pt idx="6">
                  <c:v>NT</c:v>
                </c:pt>
                <c:pt idx="7">
                  <c:v>ACT</c:v>
                </c:pt>
              </c:strCache>
            </c:strRef>
          </c:cat>
          <c:val>
            <c:numRef>
              <c:f>'Subacute Check Phases'!$M$43:$M$50</c:f>
              <c:numCache>
                <c:formatCode>_-* #,##0_-;\-* #,##0_-;_-* "-"??_-;_-@_-</c:formatCode>
                <c:ptCount val="8"/>
                <c:pt idx="0">
                  <c:v>32574</c:v>
                </c:pt>
                <c:pt idx="1">
                  <c:v>15492</c:v>
                </c:pt>
                <c:pt idx="2">
                  <c:v>6787</c:v>
                </c:pt>
                <c:pt idx="3">
                  <c:v>3597</c:v>
                </c:pt>
                <c:pt idx="4">
                  <c:v>0</c:v>
                </c:pt>
                <c:pt idx="5">
                  <c:v>730</c:v>
                </c:pt>
                <c:pt idx="6">
                  <c:v>1048</c:v>
                </c:pt>
                <c:pt idx="7">
                  <c:v>0</c:v>
                </c:pt>
              </c:numCache>
            </c:numRef>
          </c:val>
          <c:extLst>
            <c:ext xmlns:c16="http://schemas.microsoft.com/office/drawing/2014/chart" uri="{C3380CC4-5D6E-409C-BE32-E72D297353CC}">
              <c16:uniqueId val="{00000000-6E15-4C92-9472-F0DD464FDB70}"/>
            </c:ext>
          </c:extLst>
        </c:ser>
        <c:ser>
          <c:idx val="1"/>
          <c:order val="1"/>
          <c:tx>
            <c:strRef>
              <c:f>'Subacute Check Phases'!$N$42</c:f>
              <c:strCache>
                <c:ptCount val="1"/>
                <c:pt idx="0">
                  <c:v>2020-21</c:v>
                </c:pt>
              </c:strCache>
            </c:strRef>
          </c:tx>
          <c:spPr>
            <a:solidFill>
              <a:schemeClr val="accent3"/>
            </a:solidFill>
            <a:ln>
              <a:noFill/>
            </a:ln>
            <a:effectLst/>
          </c:spPr>
          <c:invertIfNegative val="0"/>
          <c:cat>
            <c:strRef>
              <c:f>'Subacute Check Phases'!$L$43:$L$50</c:f>
              <c:strCache>
                <c:ptCount val="8"/>
                <c:pt idx="0">
                  <c:v>NSW</c:v>
                </c:pt>
                <c:pt idx="1">
                  <c:v>Vic</c:v>
                </c:pt>
                <c:pt idx="2">
                  <c:v>Qld</c:v>
                </c:pt>
                <c:pt idx="3">
                  <c:v>SA</c:v>
                </c:pt>
                <c:pt idx="4">
                  <c:v>WA</c:v>
                </c:pt>
                <c:pt idx="5">
                  <c:v>Tas</c:v>
                </c:pt>
                <c:pt idx="6">
                  <c:v>NT</c:v>
                </c:pt>
                <c:pt idx="7">
                  <c:v>ACT</c:v>
                </c:pt>
              </c:strCache>
            </c:strRef>
          </c:cat>
          <c:val>
            <c:numRef>
              <c:f>'Subacute Check Phases'!$N$43:$N$50</c:f>
              <c:numCache>
                <c:formatCode>_-* #,##0_-;\-* #,##0_-;_-* "-"??_-;_-@_-</c:formatCode>
                <c:ptCount val="8"/>
                <c:pt idx="0">
                  <c:v>30691</c:v>
                </c:pt>
                <c:pt idx="1">
                  <c:v>14969</c:v>
                </c:pt>
                <c:pt idx="2">
                  <c:v>9902</c:v>
                </c:pt>
                <c:pt idx="3">
                  <c:v>0</c:v>
                </c:pt>
                <c:pt idx="4">
                  <c:v>0</c:v>
                </c:pt>
                <c:pt idx="5">
                  <c:v>626</c:v>
                </c:pt>
                <c:pt idx="6">
                  <c:v>1257</c:v>
                </c:pt>
                <c:pt idx="7">
                  <c:v>0</c:v>
                </c:pt>
              </c:numCache>
            </c:numRef>
          </c:val>
          <c:extLst>
            <c:ext xmlns:c16="http://schemas.microsoft.com/office/drawing/2014/chart" uri="{C3380CC4-5D6E-409C-BE32-E72D297353CC}">
              <c16:uniqueId val="{00000001-6E15-4C92-9472-F0DD464FDB70}"/>
            </c:ext>
          </c:extLst>
        </c:ser>
        <c:ser>
          <c:idx val="2"/>
          <c:order val="2"/>
          <c:tx>
            <c:strRef>
              <c:f>'Subacute Check Phases'!$O$42</c:f>
              <c:strCache>
                <c:ptCount val="1"/>
                <c:pt idx="0">
                  <c:v>2021-22</c:v>
                </c:pt>
              </c:strCache>
            </c:strRef>
          </c:tx>
          <c:spPr>
            <a:solidFill>
              <a:schemeClr val="accent4"/>
            </a:solidFill>
            <a:ln>
              <a:noFill/>
            </a:ln>
            <a:effectLst/>
          </c:spPr>
          <c:invertIfNegative val="0"/>
          <c:cat>
            <c:strRef>
              <c:f>'Subacute Check Phases'!$L$43:$L$50</c:f>
              <c:strCache>
                <c:ptCount val="8"/>
                <c:pt idx="0">
                  <c:v>NSW</c:v>
                </c:pt>
                <c:pt idx="1">
                  <c:v>Vic</c:v>
                </c:pt>
                <c:pt idx="2">
                  <c:v>Qld</c:v>
                </c:pt>
                <c:pt idx="3">
                  <c:v>SA</c:v>
                </c:pt>
                <c:pt idx="4">
                  <c:v>WA</c:v>
                </c:pt>
                <c:pt idx="5">
                  <c:v>Tas</c:v>
                </c:pt>
                <c:pt idx="6">
                  <c:v>NT</c:v>
                </c:pt>
                <c:pt idx="7">
                  <c:v>ACT</c:v>
                </c:pt>
              </c:strCache>
            </c:strRef>
          </c:cat>
          <c:val>
            <c:numRef>
              <c:f>'Subacute Check Phases'!$O$43:$O$50</c:f>
              <c:numCache>
                <c:formatCode>_-* #,##0_-;\-* #,##0_-;_-* "-"??_-;_-@_-</c:formatCode>
                <c:ptCount val="8"/>
                <c:pt idx="0">
                  <c:v>28082</c:v>
                </c:pt>
                <c:pt idx="1">
                  <c:v>15741</c:v>
                </c:pt>
                <c:pt idx="2">
                  <c:v>15871</c:v>
                </c:pt>
                <c:pt idx="3">
                  <c:v>2918</c:v>
                </c:pt>
                <c:pt idx="4">
                  <c:v>0</c:v>
                </c:pt>
                <c:pt idx="5">
                  <c:v>713</c:v>
                </c:pt>
                <c:pt idx="6">
                  <c:v>1152</c:v>
                </c:pt>
                <c:pt idx="7">
                  <c:v>0</c:v>
                </c:pt>
              </c:numCache>
            </c:numRef>
          </c:val>
          <c:extLst>
            <c:ext xmlns:c16="http://schemas.microsoft.com/office/drawing/2014/chart" uri="{C3380CC4-5D6E-409C-BE32-E72D297353CC}">
              <c16:uniqueId val="{00000002-6E15-4C92-9472-F0DD464FDB70}"/>
            </c:ext>
          </c:extLst>
        </c:ser>
        <c:dLbls>
          <c:showLegendKey val="0"/>
          <c:showVal val="0"/>
          <c:showCatName val="0"/>
          <c:showSerName val="0"/>
          <c:showPercent val="0"/>
          <c:showBubbleSize val="0"/>
        </c:dLbls>
        <c:gapWidth val="219"/>
        <c:axId val="574971152"/>
        <c:axId val="574967552"/>
      </c:barChart>
      <c:catAx>
        <c:axId val="57497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4967552"/>
        <c:crosses val="autoZero"/>
        <c:auto val="1"/>
        <c:lblAlgn val="ctr"/>
        <c:lblOffset val="100"/>
        <c:noMultiLvlLbl val="0"/>
      </c:catAx>
      <c:valAx>
        <c:axId val="574967552"/>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t>Phases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497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Sheet2!$H$2</c:f>
              <c:strCache>
                <c:ptCount val="1"/>
                <c:pt idx="0">
                  <c:v>2019-20</c:v>
                </c:pt>
              </c:strCache>
            </c:strRef>
          </c:tx>
          <c:spPr>
            <a:solidFill>
              <a:schemeClr val="accent2"/>
            </a:solidFill>
            <a:ln>
              <a:noFill/>
            </a:ln>
            <a:effectLst/>
          </c:spPr>
          <c:invertIfNegative val="0"/>
          <c:cat>
            <c:strRef>
              <c:f>Sheet2!$G$3:$G$10</c:f>
              <c:strCache>
                <c:ptCount val="8"/>
                <c:pt idx="0">
                  <c:v>NSW</c:v>
                </c:pt>
                <c:pt idx="1">
                  <c:v>Vic</c:v>
                </c:pt>
                <c:pt idx="2">
                  <c:v>Qld</c:v>
                </c:pt>
                <c:pt idx="3">
                  <c:v>SA</c:v>
                </c:pt>
                <c:pt idx="4">
                  <c:v>WA</c:v>
                </c:pt>
                <c:pt idx="5">
                  <c:v>Tas</c:v>
                </c:pt>
                <c:pt idx="6">
                  <c:v>NT</c:v>
                </c:pt>
                <c:pt idx="7">
                  <c:v>ACT</c:v>
                </c:pt>
              </c:strCache>
            </c:strRef>
          </c:cat>
          <c:val>
            <c:numRef>
              <c:f>Sheet2!$H$3:$H$10</c:f>
              <c:numCache>
                <c:formatCode>_-"$"* #,##0_-;\-"$"* #,##0_-;_-"$"* "-"??_-;_-@_-</c:formatCode>
                <c:ptCount val="8"/>
                <c:pt idx="0">
                  <c:v>740.84479992999991</c:v>
                </c:pt>
                <c:pt idx="1">
                  <c:v>762.03883159000009</c:v>
                </c:pt>
                <c:pt idx="2">
                  <c:v>671.40707507000002</c:v>
                </c:pt>
                <c:pt idx="3">
                  <c:v>201.57442230000001</c:v>
                </c:pt>
                <c:pt idx="4">
                  <c:v>324.97224442000004</c:v>
                </c:pt>
                <c:pt idx="5">
                  <c:v>53.634037202999998</c:v>
                </c:pt>
                <c:pt idx="6">
                  <c:v>50.919244586000005</c:v>
                </c:pt>
                <c:pt idx="7">
                  <c:v>93.400547351</c:v>
                </c:pt>
              </c:numCache>
            </c:numRef>
          </c:val>
          <c:extLst>
            <c:ext xmlns:c16="http://schemas.microsoft.com/office/drawing/2014/chart" uri="{C3380CC4-5D6E-409C-BE32-E72D297353CC}">
              <c16:uniqueId val="{00000000-960D-4FDB-AA94-6A47D476622A}"/>
            </c:ext>
          </c:extLst>
        </c:ser>
        <c:ser>
          <c:idx val="1"/>
          <c:order val="1"/>
          <c:tx>
            <c:strRef>
              <c:f>Sheet2!$I$2</c:f>
              <c:strCache>
                <c:ptCount val="1"/>
                <c:pt idx="0">
                  <c:v>2020-21</c:v>
                </c:pt>
              </c:strCache>
            </c:strRef>
          </c:tx>
          <c:spPr>
            <a:solidFill>
              <a:schemeClr val="accent3"/>
            </a:solidFill>
            <a:ln>
              <a:noFill/>
            </a:ln>
            <a:effectLst/>
          </c:spPr>
          <c:invertIfNegative val="0"/>
          <c:cat>
            <c:strRef>
              <c:f>Sheet2!$G$3:$G$10</c:f>
              <c:strCache>
                <c:ptCount val="8"/>
                <c:pt idx="0">
                  <c:v>NSW</c:v>
                </c:pt>
                <c:pt idx="1">
                  <c:v>Vic</c:v>
                </c:pt>
                <c:pt idx="2">
                  <c:v>Qld</c:v>
                </c:pt>
                <c:pt idx="3">
                  <c:v>SA</c:v>
                </c:pt>
                <c:pt idx="4">
                  <c:v>WA</c:v>
                </c:pt>
                <c:pt idx="5">
                  <c:v>Tas</c:v>
                </c:pt>
                <c:pt idx="6">
                  <c:v>NT</c:v>
                </c:pt>
                <c:pt idx="7">
                  <c:v>ACT</c:v>
                </c:pt>
              </c:strCache>
            </c:strRef>
          </c:cat>
          <c:val>
            <c:numRef>
              <c:f>Sheet2!$I$3:$I$10</c:f>
              <c:numCache>
                <c:formatCode>_-"$"* #,##0_-;\-"$"* #,##0_-;_-"$"* "-"??_-;_-@_-</c:formatCode>
                <c:ptCount val="8"/>
                <c:pt idx="0">
                  <c:v>742.93664398999999</c:v>
                </c:pt>
                <c:pt idx="1">
                  <c:v>718.32092395000006</c:v>
                </c:pt>
                <c:pt idx="2">
                  <c:v>677.68693292</c:v>
                </c:pt>
                <c:pt idx="3">
                  <c:v>240.99417500000001</c:v>
                </c:pt>
                <c:pt idx="4">
                  <c:v>314.56769394999998</c:v>
                </c:pt>
                <c:pt idx="5">
                  <c:v>57.315458064000005</c:v>
                </c:pt>
                <c:pt idx="6">
                  <c:v>45.896440182999996</c:v>
                </c:pt>
                <c:pt idx="7">
                  <c:v>95.343576768999995</c:v>
                </c:pt>
              </c:numCache>
            </c:numRef>
          </c:val>
          <c:extLst>
            <c:ext xmlns:c16="http://schemas.microsoft.com/office/drawing/2014/chart" uri="{C3380CC4-5D6E-409C-BE32-E72D297353CC}">
              <c16:uniqueId val="{00000001-960D-4FDB-AA94-6A47D476622A}"/>
            </c:ext>
          </c:extLst>
        </c:ser>
        <c:ser>
          <c:idx val="2"/>
          <c:order val="2"/>
          <c:tx>
            <c:strRef>
              <c:f>Sheet2!$J$2</c:f>
              <c:strCache>
                <c:ptCount val="1"/>
                <c:pt idx="0">
                  <c:v>2021-22</c:v>
                </c:pt>
              </c:strCache>
            </c:strRef>
          </c:tx>
          <c:spPr>
            <a:solidFill>
              <a:schemeClr val="accent4"/>
            </a:solidFill>
            <a:ln>
              <a:noFill/>
            </a:ln>
            <a:effectLst/>
          </c:spPr>
          <c:invertIfNegative val="0"/>
          <c:cat>
            <c:strRef>
              <c:f>Sheet2!$G$3:$G$10</c:f>
              <c:strCache>
                <c:ptCount val="8"/>
                <c:pt idx="0">
                  <c:v>NSW</c:v>
                </c:pt>
                <c:pt idx="1">
                  <c:v>Vic</c:v>
                </c:pt>
                <c:pt idx="2">
                  <c:v>Qld</c:v>
                </c:pt>
                <c:pt idx="3">
                  <c:v>SA</c:v>
                </c:pt>
                <c:pt idx="4">
                  <c:v>WA</c:v>
                </c:pt>
                <c:pt idx="5">
                  <c:v>Tas</c:v>
                </c:pt>
                <c:pt idx="6">
                  <c:v>NT</c:v>
                </c:pt>
                <c:pt idx="7">
                  <c:v>ACT</c:v>
                </c:pt>
              </c:strCache>
            </c:strRef>
          </c:cat>
          <c:val>
            <c:numRef>
              <c:f>Sheet2!$J$3:$J$10</c:f>
              <c:numCache>
                <c:formatCode>_-"$"* #,##0_-;\-"$"* #,##0_-;_-"$"* "-"??_-;_-@_-</c:formatCode>
                <c:ptCount val="8"/>
                <c:pt idx="0">
                  <c:v>745.07688998000003</c:v>
                </c:pt>
                <c:pt idx="1">
                  <c:v>796.53699386000005</c:v>
                </c:pt>
                <c:pt idx="2">
                  <c:v>811.0218347</c:v>
                </c:pt>
                <c:pt idx="3">
                  <c:v>293.82108825</c:v>
                </c:pt>
                <c:pt idx="4">
                  <c:v>366.38915327000001</c:v>
                </c:pt>
                <c:pt idx="5">
                  <c:v>63.472247822</c:v>
                </c:pt>
                <c:pt idx="6">
                  <c:v>56.941563215000002</c:v>
                </c:pt>
                <c:pt idx="7">
                  <c:v>113.57311645</c:v>
                </c:pt>
              </c:numCache>
            </c:numRef>
          </c:val>
          <c:extLst>
            <c:ext xmlns:c16="http://schemas.microsoft.com/office/drawing/2014/chart" uri="{C3380CC4-5D6E-409C-BE32-E72D297353CC}">
              <c16:uniqueId val="{00000002-960D-4FDB-AA94-6A47D476622A}"/>
            </c:ext>
          </c:extLst>
        </c:ser>
        <c:dLbls>
          <c:showLegendKey val="0"/>
          <c:showVal val="0"/>
          <c:showCatName val="0"/>
          <c:showSerName val="0"/>
          <c:showPercent val="0"/>
          <c:showBubbleSize val="0"/>
        </c:dLbls>
        <c:gapWidth val="219"/>
        <c:axId val="348376096"/>
        <c:axId val="348365656"/>
      </c:barChart>
      <c:catAx>
        <c:axId val="34837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8365656"/>
        <c:crosses val="autoZero"/>
        <c:auto val="1"/>
        <c:lblAlgn val="ctr"/>
        <c:lblOffset val="100"/>
        <c:noMultiLvlLbl val="0"/>
      </c:catAx>
      <c:valAx>
        <c:axId val="348365656"/>
        <c:scaling>
          <c:orientation val="minMax"/>
        </c:scaling>
        <c:delete val="0"/>
        <c:axPos val="l"/>
        <c:majorGridlines>
          <c:spPr>
            <a:ln w="9525" cap="flat" cmpd="sng" algn="ctr">
              <a:solidFill>
                <a:srgbClr val="000000"/>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Cost (millions)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837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E6414D1EFD15458E1E47C3C8F343A9" ma:contentTypeVersion="7" ma:contentTypeDescription="Create a new document." ma:contentTypeScope="" ma:versionID="8261049267c23183219d2e29fb8a7560">
  <xsd:schema xmlns:xsd="http://www.w3.org/2001/XMLSchema" xmlns:xs="http://www.w3.org/2001/XMLSchema" xmlns:p="http://schemas.microsoft.com/office/2006/metadata/properties" xmlns:ns2="081bb03b-d2c1-45a4-ae90-4912b956cc97" xmlns:ns3="1e0afa56-dce4-4a2b-8f0a-63f00579f08b" targetNamespace="http://schemas.microsoft.com/office/2006/metadata/properties" ma:root="true" ma:fieldsID="8686a0e03d31e88ce5a289bae37125df" ns2:_="" ns3:_="">
    <xsd:import namespace="081bb03b-d2c1-45a4-ae90-4912b956cc97"/>
    <xsd:import namespace="1e0afa56-dce4-4a2b-8f0a-63f00579f0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b03b-d2c1-45a4-ae90-4912b956c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afa56-dce4-4a2b-8f0a-63f00579f0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FECAE-4F35-4C00-A7BB-B1EDD538FA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C4AFC4-D4FF-46DC-8B0D-B3D6C8607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b03b-d2c1-45a4-ae90-4912b956cc97"/>
    <ds:schemaRef ds:uri="1e0afa56-dce4-4a2b-8f0a-63f00579f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B485F-F97A-4E4C-B5C6-B4270D648A98}">
  <ds:schemaRefs>
    <ds:schemaRef ds:uri="http://schemas.microsoft.com/sharepoint/v3/contenttype/forms"/>
  </ds:schemaRefs>
</ds:datastoreItem>
</file>

<file path=customXml/itemProps4.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51</Pages>
  <Words>12567</Words>
  <Characters>71635</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BESHARA, Alfred</dc:creator>
  <cp:keywords/>
  <dc:description/>
  <cp:lastModifiedBy>BESHARA, Alfred</cp:lastModifiedBy>
  <cp:revision>18</cp:revision>
  <cp:lastPrinted>2023-08-26T04:39:00Z</cp:lastPrinted>
  <dcterms:created xsi:type="dcterms:W3CDTF">2024-02-12T23:37:00Z</dcterms:created>
  <dcterms:modified xsi:type="dcterms:W3CDTF">2024-03-13T03:16:00Z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0x010100AEE6414D1EFD15458E1E47C3C8F343A9</vt:lpwstr>
  </property>
</Properties>
</file>