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AEA529" w14:textId="77777777" w:rsidR="006056B9" w:rsidRDefault="005B5818" w:rsidP="00DC5967">
      <w:pPr>
        <w:pStyle w:val="Heading1"/>
        <w:rPr>
          <w:i/>
        </w:rPr>
      </w:pPr>
      <w:r w:rsidRPr="0008181E">
        <w:t xml:space="preserve">Review of the AR-DRG Classification </w:t>
      </w:r>
      <w:r>
        <w:t>Case Complexity</w:t>
      </w:r>
      <w:r w:rsidR="0047597D">
        <w:t xml:space="preserve"> Process</w:t>
      </w:r>
      <w:r w:rsidR="006056B9">
        <w:t xml:space="preserve">: </w:t>
      </w:r>
      <w:r w:rsidR="00E65065">
        <w:rPr>
          <w:i/>
        </w:rPr>
        <w:t>Final</w:t>
      </w:r>
      <w:r w:rsidRPr="00771263">
        <w:rPr>
          <w:i/>
        </w:rPr>
        <w:t xml:space="preserve"> Report</w:t>
      </w:r>
    </w:p>
    <w:p w14:paraId="2C02E71E" w14:textId="77777777" w:rsidR="005B5818" w:rsidRPr="0008181E" w:rsidRDefault="000128D1" w:rsidP="006056B9">
      <w:r>
        <w:t>1</w:t>
      </w:r>
      <w:r w:rsidR="00E65065">
        <w:t xml:space="preserve"> </w:t>
      </w:r>
      <w:r>
        <w:t>August</w:t>
      </w:r>
      <w:r w:rsidR="005B5818" w:rsidRPr="0008181E">
        <w:t xml:space="preserve"> 2014</w:t>
      </w:r>
    </w:p>
    <w:p w14:paraId="06693FD8" w14:textId="77777777" w:rsidR="005B5818" w:rsidRPr="0008181E" w:rsidRDefault="005B5818" w:rsidP="0047597D">
      <w:pPr>
        <w:spacing w:before="240"/>
        <w:rPr>
          <w:szCs w:val="24"/>
        </w:rPr>
      </w:pPr>
      <w:r w:rsidRPr="0008181E">
        <w:rPr>
          <w:szCs w:val="24"/>
        </w:rPr>
        <w:t>Prepared for the Independent Hospital Pricing Authority</w:t>
      </w:r>
    </w:p>
    <w:p w14:paraId="0EC3020F" w14:textId="77777777" w:rsidR="005B5818" w:rsidRDefault="005B5818" w:rsidP="0047597D">
      <w:pPr>
        <w:pageBreakBefore/>
        <w:rPr>
          <w:b/>
          <w:sz w:val="36"/>
          <w:szCs w:val="36"/>
        </w:rPr>
      </w:pPr>
      <w:r w:rsidRPr="00B475F4">
        <w:rPr>
          <w:i/>
          <w:szCs w:val="24"/>
        </w:rPr>
        <w:lastRenderedPageBreak/>
        <w:t>This page intentionally left blank</w:t>
      </w:r>
    </w:p>
    <w:p w14:paraId="6A32C2F4" w14:textId="77777777" w:rsidR="005B5818" w:rsidRDefault="005B5818" w:rsidP="005B5818">
      <w:pPr>
        <w:rPr>
          <w:b/>
          <w:sz w:val="36"/>
          <w:szCs w:val="36"/>
        </w:rPr>
        <w:sectPr w:rsidR="005B5818" w:rsidSect="00186806">
          <w:headerReference w:type="even" r:id="rId8"/>
          <w:headerReference w:type="default" r:id="rId9"/>
          <w:headerReference w:type="first" r:id="rId10"/>
          <w:footerReference w:type="first" r:id="rId11"/>
          <w:pgSz w:w="11907" w:h="16839" w:code="9"/>
          <w:pgMar w:top="1871" w:right="1440" w:bottom="1440" w:left="1440" w:header="709" w:footer="709" w:gutter="0"/>
          <w:cols w:space="720"/>
          <w:titlePg/>
          <w:docGrid w:linePitch="360"/>
        </w:sectPr>
      </w:pPr>
    </w:p>
    <w:p w14:paraId="386DEBC0" w14:textId="77777777" w:rsidR="005B5818" w:rsidRDefault="005B5818" w:rsidP="005B5818">
      <w:pPr>
        <w:rPr>
          <w:rStyle w:val="Heading1Char"/>
        </w:rPr>
      </w:pPr>
      <w:bookmarkStart w:id="0" w:name="_Toc391904366"/>
      <w:r>
        <w:rPr>
          <w:rStyle w:val="Heading1Char"/>
        </w:rPr>
        <w:lastRenderedPageBreak/>
        <w:t>Contents</w:t>
      </w:r>
      <w:bookmarkEnd w:id="0"/>
    </w:p>
    <w:p w14:paraId="6BF9E7CF" w14:textId="77777777" w:rsidR="00B60372" w:rsidRDefault="006056B9">
      <w:pPr>
        <w:pStyle w:val="TOC1"/>
        <w:rPr>
          <w:rFonts w:eastAsiaTheme="minorEastAsia"/>
          <w:noProof/>
          <w:sz w:val="22"/>
          <w:lang w:val="en-AU" w:eastAsia="en-AU"/>
        </w:rPr>
      </w:pPr>
      <w:r>
        <w:rPr>
          <w:rStyle w:val="Heading1Char"/>
        </w:rPr>
        <w:fldChar w:fldCharType="begin"/>
      </w:r>
      <w:r>
        <w:rPr>
          <w:rStyle w:val="Heading1Char"/>
        </w:rPr>
        <w:instrText xml:space="preserve"> TOC \h \z \u \t "Heading 2,1" </w:instrText>
      </w:r>
      <w:r>
        <w:rPr>
          <w:rStyle w:val="Heading1Char"/>
        </w:rPr>
        <w:fldChar w:fldCharType="separate"/>
      </w:r>
      <w:hyperlink w:anchor="_Toc401061038" w:history="1">
        <w:r w:rsidR="00B60372" w:rsidRPr="00305B45">
          <w:rPr>
            <w:rStyle w:val="Hyperlink"/>
            <w:rFonts w:eastAsiaTheme="majorEastAsia"/>
          </w:rPr>
          <w:t>Glossary of Abbreviations</w:t>
        </w:r>
        <w:r w:rsidR="00B60372">
          <w:rPr>
            <w:noProof/>
            <w:webHidden/>
          </w:rPr>
          <w:tab/>
        </w:r>
        <w:r w:rsidR="00B60372">
          <w:rPr>
            <w:noProof/>
            <w:webHidden/>
          </w:rPr>
          <w:fldChar w:fldCharType="begin"/>
        </w:r>
        <w:r w:rsidR="00B60372">
          <w:rPr>
            <w:noProof/>
            <w:webHidden/>
          </w:rPr>
          <w:instrText xml:space="preserve"> PAGEREF _Toc401061038 \h </w:instrText>
        </w:r>
        <w:r w:rsidR="00B60372">
          <w:rPr>
            <w:noProof/>
            <w:webHidden/>
          </w:rPr>
        </w:r>
        <w:r w:rsidR="00B60372">
          <w:rPr>
            <w:noProof/>
            <w:webHidden/>
          </w:rPr>
          <w:fldChar w:fldCharType="separate"/>
        </w:r>
        <w:r w:rsidR="0031717B">
          <w:rPr>
            <w:noProof/>
            <w:webHidden/>
          </w:rPr>
          <w:t>ii</w:t>
        </w:r>
        <w:r w:rsidR="00B60372">
          <w:rPr>
            <w:noProof/>
            <w:webHidden/>
          </w:rPr>
          <w:fldChar w:fldCharType="end"/>
        </w:r>
      </w:hyperlink>
    </w:p>
    <w:p w14:paraId="6D3EDFD7" w14:textId="77777777" w:rsidR="00B60372" w:rsidRDefault="00000000">
      <w:pPr>
        <w:pStyle w:val="TOC1"/>
        <w:rPr>
          <w:rFonts w:eastAsiaTheme="minorEastAsia"/>
          <w:noProof/>
          <w:sz w:val="22"/>
          <w:lang w:val="en-AU" w:eastAsia="en-AU"/>
        </w:rPr>
      </w:pPr>
      <w:hyperlink w:anchor="_Toc401061039" w:history="1">
        <w:r w:rsidR="00B60372" w:rsidRPr="00305B45">
          <w:rPr>
            <w:rStyle w:val="Hyperlink"/>
          </w:rPr>
          <w:t>Executive Summary</w:t>
        </w:r>
        <w:r w:rsidR="00B60372">
          <w:rPr>
            <w:noProof/>
            <w:webHidden/>
          </w:rPr>
          <w:tab/>
        </w:r>
        <w:r w:rsidR="00B60372">
          <w:rPr>
            <w:noProof/>
            <w:webHidden/>
          </w:rPr>
          <w:fldChar w:fldCharType="begin"/>
        </w:r>
        <w:r w:rsidR="00B60372">
          <w:rPr>
            <w:noProof/>
            <w:webHidden/>
          </w:rPr>
          <w:instrText xml:space="preserve"> PAGEREF _Toc401061039 \h </w:instrText>
        </w:r>
        <w:r w:rsidR="00B60372">
          <w:rPr>
            <w:noProof/>
            <w:webHidden/>
          </w:rPr>
        </w:r>
        <w:r w:rsidR="00B60372">
          <w:rPr>
            <w:noProof/>
            <w:webHidden/>
          </w:rPr>
          <w:fldChar w:fldCharType="separate"/>
        </w:r>
        <w:r w:rsidR="0031717B">
          <w:rPr>
            <w:noProof/>
            <w:webHidden/>
          </w:rPr>
          <w:t>1</w:t>
        </w:r>
        <w:r w:rsidR="00B60372">
          <w:rPr>
            <w:noProof/>
            <w:webHidden/>
          </w:rPr>
          <w:fldChar w:fldCharType="end"/>
        </w:r>
      </w:hyperlink>
    </w:p>
    <w:p w14:paraId="201E2DD3" w14:textId="77777777" w:rsidR="00B60372" w:rsidRDefault="00000000">
      <w:pPr>
        <w:pStyle w:val="TOC1"/>
        <w:rPr>
          <w:rFonts w:eastAsiaTheme="minorEastAsia"/>
          <w:noProof/>
          <w:sz w:val="22"/>
          <w:lang w:val="en-AU" w:eastAsia="en-AU"/>
        </w:rPr>
      </w:pPr>
      <w:hyperlink w:anchor="_Toc401061040" w:history="1">
        <w:r w:rsidR="00B60372" w:rsidRPr="00305B45">
          <w:rPr>
            <w:rStyle w:val="Hyperlink"/>
          </w:rPr>
          <w:t>1</w:t>
        </w:r>
        <w:r w:rsidR="00B60372">
          <w:rPr>
            <w:rFonts w:eastAsiaTheme="minorEastAsia"/>
            <w:noProof/>
            <w:sz w:val="22"/>
            <w:lang w:val="en-AU" w:eastAsia="en-AU"/>
          </w:rPr>
          <w:tab/>
        </w:r>
        <w:r w:rsidR="00B60372" w:rsidRPr="00305B45">
          <w:rPr>
            <w:rStyle w:val="Hyperlink"/>
          </w:rPr>
          <w:t>Introduction</w:t>
        </w:r>
        <w:r w:rsidR="00B60372">
          <w:rPr>
            <w:noProof/>
            <w:webHidden/>
          </w:rPr>
          <w:tab/>
        </w:r>
        <w:r w:rsidR="00B60372">
          <w:rPr>
            <w:noProof/>
            <w:webHidden/>
          </w:rPr>
          <w:fldChar w:fldCharType="begin"/>
        </w:r>
        <w:r w:rsidR="00B60372">
          <w:rPr>
            <w:noProof/>
            <w:webHidden/>
          </w:rPr>
          <w:instrText xml:space="preserve"> PAGEREF _Toc401061040 \h </w:instrText>
        </w:r>
        <w:r w:rsidR="00B60372">
          <w:rPr>
            <w:noProof/>
            <w:webHidden/>
          </w:rPr>
        </w:r>
        <w:r w:rsidR="00B60372">
          <w:rPr>
            <w:noProof/>
            <w:webHidden/>
          </w:rPr>
          <w:fldChar w:fldCharType="separate"/>
        </w:r>
        <w:r w:rsidR="0031717B">
          <w:rPr>
            <w:noProof/>
            <w:webHidden/>
          </w:rPr>
          <w:t>11</w:t>
        </w:r>
        <w:r w:rsidR="00B60372">
          <w:rPr>
            <w:noProof/>
            <w:webHidden/>
          </w:rPr>
          <w:fldChar w:fldCharType="end"/>
        </w:r>
      </w:hyperlink>
    </w:p>
    <w:p w14:paraId="40D0AEBA" w14:textId="77777777" w:rsidR="00B60372" w:rsidRDefault="00000000">
      <w:pPr>
        <w:pStyle w:val="TOC1"/>
        <w:rPr>
          <w:rFonts w:eastAsiaTheme="minorEastAsia"/>
          <w:noProof/>
          <w:sz w:val="22"/>
          <w:lang w:val="en-AU" w:eastAsia="en-AU"/>
        </w:rPr>
      </w:pPr>
      <w:hyperlink w:anchor="_Toc401061041" w:history="1">
        <w:r w:rsidR="00B60372" w:rsidRPr="00305B45">
          <w:rPr>
            <w:rStyle w:val="Hyperlink"/>
          </w:rPr>
          <w:t>2</w:t>
        </w:r>
        <w:r w:rsidR="00B60372">
          <w:rPr>
            <w:rFonts w:eastAsiaTheme="minorEastAsia"/>
            <w:noProof/>
            <w:sz w:val="22"/>
            <w:lang w:val="en-AU" w:eastAsia="en-AU"/>
          </w:rPr>
          <w:tab/>
        </w:r>
        <w:r w:rsidR="00B60372" w:rsidRPr="00305B45">
          <w:rPr>
            <w:rStyle w:val="Hyperlink"/>
          </w:rPr>
          <w:t>Data preparation</w:t>
        </w:r>
        <w:r w:rsidR="00B60372">
          <w:rPr>
            <w:noProof/>
            <w:webHidden/>
          </w:rPr>
          <w:tab/>
        </w:r>
        <w:r w:rsidR="00B60372">
          <w:rPr>
            <w:noProof/>
            <w:webHidden/>
          </w:rPr>
          <w:fldChar w:fldCharType="begin"/>
        </w:r>
        <w:r w:rsidR="00B60372">
          <w:rPr>
            <w:noProof/>
            <w:webHidden/>
          </w:rPr>
          <w:instrText xml:space="preserve"> PAGEREF _Toc401061041 \h </w:instrText>
        </w:r>
        <w:r w:rsidR="00B60372">
          <w:rPr>
            <w:noProof/>
            <w:webHidden/>
          </w:rPr>
        </w:r>
        <w:r w:rsidR="00B60372">
          <w:rPr>
            <w:noProof/>
            <w:webHidden/>
          </w:rPr>
          <w:fldChar w:fldCharType="separate"/>
        </w:r>
        <w:r w:rsidR="0031717B">
          <w:rPr>
            <w:noProof/>
            <w:webHidden/>
          </w:rPr>
          <w:t>28</w:t>
        </w:r>
        <w:r w:rsidR="00B60372">
          <w:rPr>
            <w:noProof/>
            <w:webHidden/>
          </w:rPr>
          <w:fldChar w:fldCharType="end"/>
        </w:r>
      </w:hyperlink>
    </w:p>
    <w:p w14:paraId="20CBDC74" w14:textId="77777777" w:rsidR="00B60372" w:rsidRDefault="00000000">
      <w:pPr>
        <w:pStyle w:val="TOC1"/>
        <w:rPr>
          <w:rFonts w:eastAsiaTheme="minorEastAsia"/>
          <w:noProof/>
          <w:sz w:val="22"/>
          <w:lang w:val="en-AU" w:eastAsia="en-AU"/>
        </w:rPr>
      </w:pPr>
      <w:hyperlink w:anchor="_Toc401061042" w:history="1">
        <w:r w:rsidR="00B60372" w:rsidRPr="00305B45">
          <w:rPr>
            <w:rStyle w:val="Hyperlink"/>
          </w:rPr>
          <w:t>3</w:t>
        </w:r>
        <w:r w:rsidR="00B60372">
          <w:rPr>
            <w:rFonts w:eastAsiaTheme="minorEastAsia"/>
            <w:noProof/>
            <w:sz w:val="22"/>
            <w:lang w:val="en-AU" w:eastAsia="en-AU"/>
          </w:rPr>
          <w:tab/>
        </w:r>
        <w:r w:rsidR="00B60372" w:rsidRPr="00305B45">
          <w:rPr>
            <w:rStyle w:val="Hyperlink"/>
          </w:rPr>
          <w:t>Using Adjacent DRG and diagnosis cost profiles to evaluate AR-DRG Version 7.0 Complications and Comorbidities Levels</w:t>
        </w:r>
        <w:r w:rsidR="00B60372">
          <w:rPr>
            <w:noProof/>
            <w:webHidden/>
          </w:rPr>
          <w:tab/>
        </w:r>
        <w:r w:rsidR="00B60372">
          <w:rPr>
            <w:noProof/>
            <w:webHidden/>
          </w:rPr>
          <w:fldChar w:fldCharType="begin"/>
        </w:r>
        <w:r w:rsidR="00B60372">
          <w:rPr>
            <w:noProof/>
            <w:webHidden/>
          </w:rPr>
          <w:instrText xml:space="preserve"> PAGEREF _Toc401061042 \h </w:instrText>
        </w:r>
        <w:r w:rsidR="00B60372">
          <w:rPr>
            <w:noProof/>
            <w:webHidden/>
          </w:rPr>
        </w:r>
        <w:r w:rsidR="00B60372">
          <w:rPr>
            <w:noProof/>
            <w:webHidden/>
          </w:rPr>
          <w:fldChar w:fldCharType="separate"/>
        </w:r>
        <w:r w:rsidR="0031717B">
          <w:rPr>
            <w:noProof/>
            <w:webHidden/>
          </w:rPr>
          <w:t>30</w:t>
        </w:r>
        <w:r w:rsidR="00B60372">
          <w:rPr>
            <w:noProof/>
            <w:webHidden/>
          </w:rPr>
          <w:fldChar w:fldCharType="end"/>
        </w:r>
      </w:hyperlink>
    </w:p>
    <w:p w14:paraId="47D52189" w14:textId="77777777" w:rsidR="00B60372" w:rsidRDefault="00000000">
      <w:pPr>
        <w:pStyle w:val="TOC1"/>
        <w:rPr>
          <w:rFonts w:eastAsiaTheme="minorEastAsia"/>
          <w:noProof/>
          <w:sz w:val="22"/>
          <w:lang w:val="en-AU" w:eastAsia="en-AU"/>
        </w:rPr>
      </w:pPr>
      <w:hyperlink w:anchor="_Toc401061043" w:history="1">
        <w:r w:rsidR="00B60372" w:rsidRPr="00305B45">
          <w:rPr>
            <w:rStyle w:val="Hyperlink"/>
          </w:rPr>
          <w:t>4</w:t>
        </w:r>
        <w:r w:rsidR="00B60372">
          <w:rPr>
            <w:rFonts w:eastAsiaTheme="minorEastAsia"/>
            <w:noProof/>
            <w:sz w:val="22"/>
            <w:lang w:val="en-AU" w:eastAsia="en-AU"/>
          </w:rPr>
          <w:tab/>
        </w:r>
        <w:r w:rsidR="00B60372" w:rsidRPr="00305B45">
          <w:rPr>
            <w:rStyle w:val="Hyperlink"/>
          </w:rPr>
          <w:t>The Episode Clinical Complexity Model</w:t>
        </w:r>
        <w:r w:rsidR="00B60372">
          <w:rPr>
            <w:noProof/>
            <w:webHidden/>
          </w:rPr>
          <w:tab/>
        </w:r>
        <w:r w:rsidR="00B60372">
          <w:rPr>
            <w:noProof/>
            <w:webHidden/>
          </w:rPr>
          <w:fldChar w:fldCharType="begin"/>
        </w:r>
        <w:r w:rsidR="00B60372">
          <w:rPr>
            <w:noProof/>
            <w:webHidden/>
          </w:rPr>
          <w:instrText xml:space="preserve"> PAGEREF _Toc401061043 \h </w:instrText>
        </w:r>
        <w:r w:rsidR="00B60372">
          <w:rPr>
            <w:noProof/>
            <w:webHidden/>
          </w:rPr>
        </w:r>
        <w:r w:rsidR="00B60372">
          <w:rPr>
            <w:noProof/>
            <w:webHidden/>
          </w:rPr>
          <w:fldChar w:fldCharType="separate"/>
        </w:r>
        <w:r w:rsidR="0031717B">
          <w:rPr>
            <w:noProof/>
            <w:webHidden/>
          </w:rPr>
          <w:t>37</w:t>
        </w:r>
        <w:r w:rsidR="00B60372">
          <w:rPr>
            <w:noProof/>
            <w:webHidden/>
          </w:rPr>
          <w:fldChar w:fldCharType="end"/>
        </w:r>
      </w:hyperlink>
    </w:p>
    <w:p w14:paraId="567464FA" w14:textId="77777777" w:rsidR="00B60372" w:rsidRDefault="00000000">
      <w:pPr>
        <w:pStyle w:val="TOC1"/>
        <w:rPr>
          <w:rFonts w:eastAsiaTheme="minorEastAsia"/>
          <w:noProof/>
          <w:sz w:val="22"/>
          <w:lang w:val="en-AU" w:eastAsia="en-AU"/>
        </w:rPr>
      </w:pPr>
      <w:hyperlink w:anchor="_Toc401061044" w:history="1">
        <w:r w:rsidR="00B60372" w:rsidRPr="00305B45">
          <w:rPr>
            <w:rStyle w:val="Hyperlink"/>
          </w:rPr>
          <w:t>5</w:t>
        </w:r>
        <w:r w:rsidR="00B60372">
          <w:rPr>
            <w:rFonts w:eastAsiaTheme="minorEastAsia"/>
            <w:noProof/>
            <w:sz w:val="22"/>
            <w:lang w:val="en-AU" w:eastAsia="en-AU"/>
          </w:rPr>
          <w:tab/>
        </w:r>
        <w:r w:rsidR="00B60372" w:rsidRPr="00305B45">
          <w:rPr>
            <w:rStyle w:val="Hyperlink"/>
          </w:rPr>
          <w:t>Treatment of the Principal diagnosis in classification design</w:t>
        </w:r>
        <w:r w:rsidR="00B60372">
          <w:rPr>
            <w:noProof/>
            <w:webHidden/>
          </w:rPr>
          <w:tab/>
        </w:r>
        <w:r w:rsidR="00B60372">
          <w:rPr>
            <w:noProof/>
            <w:webHidden/>
          </w:rPr>
          <w:fldChar w:fldCharType="begin"/>
        </w:r>
        <w:r w:rsidR="00B60372">
          <w:rPr>
            <w:noProof/>
            <w:webHidden/>
          </w:rPr>
          <w:instrText xml:space="preserve"> PAGEREF _Toc401061044 \h </w:instrText>
        </w:r>
        <w:r w:rsidR="00B60372">
          <w:rPr>
            <w:noProof/>
            <w:webHidden/>
          </w:rPr>
        </w:r>
        <w:r w:rsidR="00B60372">
          <w:rPr>
            <w:noProof/>
            <w:webHidden/>
          </w:rPr>
          <w:fldChar w:fldCharType="separate"/>
        </w:r>
        <w:r w:rsidR="0031717B">
          <w:rPr>
            <w:noProof/>
            <w:webHidden/>
          </w:rPr>
          <w:t>68</w:t>
        </w:r>
        <w:r w:rsidR="00B60372">
          <w:rPr>
            <w:noProof/>
            <w:webHidden/>
          </w:rPr>
          <w:fldChar w:fldCharType="end"/>
        </w:r>
      </w:hyperlink>
    </w:p>
    <w:p w14:paraId="4A52AD5A" w14:textId="77777777" w:rsidR="00B60372" w:rsidRDefault="00000000">
      <w:pPr>
        <w:pStyle w:val="TOC1"/>
        <w:rPr>
          <w:rFonts w:eastAsiaTheme="minorEastAsia"/>
          <w:noProof/>
          <w:sz w:val="22"/>
          <w:lang w:val="en-AU" w:eastAsia="en-AU"/>
        </w:rPr>
      </w:pPr>
      <w:hyperlink w:anchor="_Toc401061045" w:history="1">
        <w:r w:rsidR="00B60372" w:rsidRPr="00305B45">
          <w:rPr>
            <w:rStyle w:val="Hyperlink"/>
          </w:rPr>
          <w:t>6</w:t>
        </w:r>
        <w:r w:rsidR="00B60372">
          <w:rPr>
            <w:rFonts w:eastAsiaTheme="minorEastAsia"/>
            <w:noProof/>
            <w:sz w:val="22"/>
            <w:lang w:val="en-AU" w:eastAsia="en-AU"/>
          </w:rPr>
          <w:tab/>
        </w:r>
        <w:r w:rsidR="00B60372" w:rsidRPr="00305B45">
          <w:rPr>
            <w:rStyle w:val="Hyperlink"/>
          </w:rPr>
          <w:t>Guiding principles for Diagnosis Complexity Level assignment</w:t>
        </w:r>
        <w:r w:rsidR="00B60372">
          <w:rPr>
            <w:noProof/>
            <w:webHidden/>
          </w:rPr>
          <w:tab/>
        </w:r>
        <w:r w:rsidR="00B60372">
          <w:rPr>
            <w:noProof/>
            <w:webHidden/>
          </w:rPr>
          <w:fldChar w:fldCharType="begin"/>
        </w:r>
        <w:r w:rsidR="00B60372">
          <w:rPr>
            <w:noProof/>
            <w:webHidden/>
          </w:rPr>
          <w:instrText xml:space="preserve"> PAGEREF _Toc401061045 \h </w:instrText>
        </w:r>
        <w:r w:rsidR="00B60372">
          <w:rPr>
            <w:noProof/>
            <w:webHidden/>
          </w:rPr>
        </w:r>
        <w:r w:rsidR="00B60372">
          <w:rPr>
            <w:noProof/>
            <w:webHidden/>
          </w:rPr>
          <w:fldChar w:fldCharType="separate"/>
        </w:r>
        <w:r w:rsidR="0031717B">
          <w:rPr>
            <w:noProof/>
            <w:webHidden/>
          </w:rPr>
          <w:t>78</w:t>
        </w:r>
        <w:r w:rsidR="00B60372">
          <w:rPr>
            <w:noProof/>
            <w:webHidden/>
          </w:rPr>
          <w:fldChar w:fldCharType="end"/>
        </w:r>
      </w:hyperlink>
    </w:p>
    <w:p w14:paraId="60D12A10" w14:textId="77777777" w:rsidR="00B60372" w:rsidRDefault="00000000">
      <w:pPr>
        <w:pStyle w:val="TOC1"/>
        <w:rPr>
          <w:rFonts w:eastAsiaTheme="minorEastAsia"/>
          <w:noProof/>
          <w:sz w:val="22"/>
          <w:lang w:val="en-AU" w:eastAsia="en-AU"/>
        </w:rPr>
      </w:pPr>
      <w:hyperlink w:anchor="_Toc401061046" w:history="1">
        <w:r w:rsidR="00B60372" w:rsidRPr="00305B45">
          <w:rPr>
            <w:rStyle w:val="Hyperlink"/>
          </w:rPr>
          <w:t>7</w:t>
        </w:r>
        <w:r w:rsidR="00B60372">
          <w:rPr>
            <w:rFonts w:eastAsiaTheme="minorEastAsia"/>
            <w:noProof/>
            <w:sz w:val="22"/>
            <w:lang w:val="en-AU" w:eastAsia="en-AU"/>
          </w:rPr>
          <w:tab/>
        </w:r>
        <w:r w:rsidR="00B60372" w:rsidRPr="00305B45">
          <w:rPr>
            <w:rStyle w:val="Hyperlink"/>
          </w:rPr>
          <w:t>The use of condition onset flag in classification design</w:t>
        </w:r>
        <w:r w:rsidR="00B60372">
          <w:rPr>
            <w:noProof/>
            <w:webHidden/>
          </w:rPr>
          <w:tab/>
        </w:r>
        <w:r w:rsidR="00B60372">
          <w:rPr>
            <w:noProof/>
            <w:webHidden/>
          </w:rPr>
          <w:fldChar w:fldCharType="begin"/>
        </w:r>
        <w:r w:rsidR="00B60372">
          <w:rPr>
            <w:noProof/>
            <w:webHidden/>
          </w:rPr>
          <w:instrText xml:space="preserve"> PAGEREF _Toc401061046 \h </w:instrText>
        </w:r>
        <w:r w:rsidR="00B60372">
          <w:rPr>
            <w:noProof/>
            <w:webHidden/>
          </w:rPr>
        </w:r>
        <w:r w:rsidR="00B60372">
          <w:rPr>
            <w:noProof/>
            <w:webHidden/>
          </w:rPr>
          <w:fldChar w:fldCharType="separate"/>
        </w:r>
        <w:r w:rsidR="0031717B">
          <w:rPr>
            <w:noProof/>
            <w:webHidden/>
          </w:rPr>
          <w:t>86</w:t>
        </w:r>
        <w:r w:rsidR="00B60372">
          <w:rPr>
            <w:noProof/>
            <w:webHidden/>
          </w:rPr>
          <w:fldChar w:fldCharType="end"/>
        </w:r>
      </w:hyperlink>
    </w:p>
    <w:p w14:paraId="534795E2" w14:textId="77777777" w:rsidR="00B60372" w:rsidRDefault="00000000">
      <w:pPr>
        <w:pStyle w:val="TOC1"/>
        <w:rPr>
          <w:rFonts w:eastAsiaTheme="minorEastAsia"/>
          <w:noProof/>
          <w:sz w:val="22"/>
          <w:lang w:val="en-AU" w:eastAsia="en-AU"/>
        </w:rPr>
      </w:pPr>
      <w:hyperlink w:anchor="_Toc401061047" w:history="1">
        <w:r w:rsidR="00B60372" w:rsidRPr="00305B45">
          <w:rPr>
            <w:rStyle w:val="Hyperlink"/>
          </w:rPr>
          <w:t>8</w:t>
        </w:r>
        <w:r w:rsidR="00B60372">
          <w:rPr>
            <w:rFonts w:eastAsiaTheme="minorEastAsia"/>
            <w:noProof/>
            <w:sz w:val="22"/>
            <w:lang w:val="en-AU" w:eastAsia="en-AU"/>
          </w:rPr>
          <w:tab/>
        </w:r>
        <w:r w:rsidR="00B60372" w:rsidRPr="00305B45">
          <w:rPr>
            <w:rStyle w:val="Hyperlink"/>
          </w:rPr>
          <w:t>Evaluation of performance of the ECC Model</w:t>
        </w:r>
        <w:r w:rsidR="00B60372">
          <w:rPr>
            <w:noProof/>
            <w:webHidden/>
          </w:rPr>
          <w:tab/>
        </w:r>
        <w:r w:rsidR="00B60372">
          <w:rPr>
            <w:noProof/>
            <w:webHidden/>
          </w:rPr>
          <w:fldChar w:fldCharType="begin"/>
        </w:r>
        <w:r w:rsidR="00B60372">
          <w:rPr>
            <w:noProof/>
            <w:webHidden/>
          </w:rPr>
          <w:instrText xml:space="preserve"> PAGEREF _Toc401061047 \h </w:instrText>
        </w:r>
        <w:r w:rsidR="00B60372">
          <w:rPr>
            <w:noProof/>
            <w:webHidden/>
          </w:rPr>
        </w:r>
        <w:r w:rsidR="00B60372">
          <w:rPr>
            <w:noProof/>
            <w:webHidden/>
          </w:rPr>
          <w:fldChar w:fldCharType="separate"/>
        </w:r>
        <w:r w:rsidR="0031717B">
          <w:rPr>
            <w:noProof/>
            <w:webHidden/>
          </w:rPr>
          <w:t>92</w:t>
        </w:r>
        <w:r w:rsidR="00B60372">
          <w:rPr>
            <w:noProof/>
            <w:webHidden/>
          </w:rPr>
          <w:fldChar w:fldCharType="end"/>
        </w:r>
      </w:hyperlink>
    </w:p>
    <w:p w14:paraId="7C4DD26B" w14:textId="77777777" w:rsidR="00B60372" w:rsidRDefault="00000000">
      <w:pPr>
        <w:pStyle w:val="TOC1"/>
        <w:rPr>
          <w:rFonts w:eastAsiaTheme="minorEastAsia"/>
          <w:noProof/>
          <w:sz w:val="22"/>
          <w:lang w:val="en-AU" w:eastAsia="en-AU"/>
        </w:rPr>
      </w:pPr>
      <w:hyperlink w:anchor="_Toc401061048" w:history="1">
        <w:r w:rsidR="00B60372" w:rsidRPr="00305B45">
          <w:rPr>
            <w:rStyle w:val="Hyperlink"/>
          </w:rPr>
          <w:t>9</w:t>
        </w:r>
        <w:r w:rsidR="00B60372">
          <w:rPr>
            <w:rFonts w:eastAsiaTheme="minorEastAsia"/>
            <w:noProof/>
            <w:sz w:val="22"/>
            <w:lang w:val="en-AU" w:eastAsia="en-AU"/>
          </w:rPr>
          <w:tab/>
        </w:r>
        <w:r w:rsidR="00B60372" w:rsidRPr="00305B45">
          <w:rPr>
            <w:rStyle w:val="Hyperlink"/>
          </w:rPr>
          <w:t>Continued refinement of ECC Model</w:t>
        </w:r>
        <w:r w:rsidR="00B60372">
          <w:rPr>
            <w:noProof/>
            <w:webHidden/>
          </w:rPr>
          <w:tab/>
        </w:r>
        <w:r w:rsidR="00B60372">
          <w:rPr>
            <w:noProof/>
            <w:webHidden/>
          </w:rPr>
          <w:fldChar w:fldCharType="begin"/>
        </w:r>
        <w:r w:rsidR="00B60372">
          <w:rPr>
            <w:noProof/>
            <w:webHidden/>
          </w:rPr>
          <w:instrText xml:space="preserve"> PAGEREF _Toc401061048 \h </w:instrText>
        </w:r>
        <w:r w:rsidR="00B60372">
          <w:rPr>
            <w:noProof/>
            <w:webHidden/>
          </w:rPr>
        </w:r>
        <w:r w:rsidR="00B60372">
          <w:rPr>
            <w:noProof/>
            <w:webHidden/>
          </w:rPr>
          <w:fldChar w:fldCharType="separate"/>
        </w:r>
        <w:r w:rsidR="0031717B">
          <w:rPr>
            <w:noProof/>
            <w:webHidden/>
          </w:rPr>
          <w:t>112</w:t>
        </w:r>
        <w:r w:rsidR="00B60372">
          <w:rPr>
            <w:noProof/>
            <w:webHidden/>
          </w:rPr>
          <w:fldChar w:fldCharType="end"/>
        </w:r>
      </w:hyperlink>
    </w:p>
    <w:p w14:paraId="508E5279" w14:textId="77777777" w:rsidR="00B60372" w:rsidRDefault="00000000">
      <w:pPr>
        <w:pStyle w:val="TOC1"/>
        <w:rPr>
          <w:rFonts w:eastAsiaTheme="minorEastAsia"/>
          <w:noProof/>
          <w:sz w:val="22"/>
          <w:lang w:val="en-AU" w:eastAsia="en-AU"/>
        </w:rPr>
      </w:pPr>
      <w:hyperlink w:anchor="_Toc401061049" w:history="1">
        <w:r w:rsidR="00B60372" w:rsidRPr="00305B45">
          <w:rPr>
            <w:rStyle w:val="Hyperlink"/>
          </w:rPr>
          <w:t>10</w:t>
        </w:r>
        <w:r w:rsidR="00B60372">
          <w:rPr>
            <w:rFonts w:eastAsiaTheme="minorEastAsia"/>
            <w:noProof/>
            <w:sz w:val="22"/>
            <w:lang w:val="en-AU" w:eastAsia="en-AU"/>
          </w:rPr>
          <w:tab/>
        </w:r>
        <w:r w:rsidR="00B60372" w:rsidRPr="00305B45">
          <w:rPr>
            <w:rStyle w:val="Hyperlink"/>
          </w:rPr>
          <w:t>Conclusion</w:t>
        </w:r>
        <w:r w:rsidR="00B60372">
          <w:rPr>
            <w:noProof/>
            <w:webHidden/>
          </w:rPr>
          <w:tab/>
        </w:r>
        <w:r w:rsidR="00B60372">
          <w:rPr>
            <w:noProof/>
            <w:webHidden/>
          </w:rPr>
          <w:fldChar w:fldCharType="begin"/>
        </w:r>
        <w:r w:rsidR="00B60372">
          <w:rPr>
            <w:noProof/>
            <w:webHidden/>
          </w:rPr>
          <w:instrText xml:space="preserve"> PAGEREF _Toc401061049 \h </w:instrText>
        </w:r>
        <w:r w:rsidR="00B60372">
          <w:rPr>
            <w:noProof/>
            <w:webHidden/>
          </w:rPr>
        </w:r>
        <w:r w:rsidR="00B60372">
          <w:rPr>
            <w:noProof/>
            <w:webHidden/>
          </w:rPr>
          <w:fldChar w:fldCharType="separate"/>
        </w:r>
        <w:r w:rsidR="0031717B">
          <w:rPr>
            <w:noProof/>
            <w:webHidden/>
          </w:rPr>
          <w:t>120</w:t>
        </w:r>
        <w:r w:rsidR="00B60372">
          <w:rPr>
            <w:noProof/>
            <w:webHidden/>
          </w:rPr>
          <w:fldChar w:fldCharType="end"/>
        </w:r>
      </w:hyperlink>
    </w:p>
    <w:p w14:paraId="7EFED2AE" w14:textId="77777777" w:rsidR="00B60372" w:rsidRDefault="00000000">
      <w:pPr>
        <w:pStyle w:val="TOC1"/>
        <w:rPr>
          <w:rFonts w:eastAsiaTheme="minorEastAsia"/>
          <w:noProof/>
          <w:sz w:val="22"/>
          <w:lang w:val="en-AU" w:eastAsia="en-AU"/>
        </w:rPr>
      </w:pPr>
      <w:hyperlink w:anchor="_Toc401061050" w:history="1">
        <w:r w:rsidR="00B60372" w:rsidRPr="00305B45">
          <w:rPr>
            <w:rStyle w:val="Hyperlink"/>
          </w:rPr>
          <w:t>11</w:t>
        </w:r>
        <w:r w:rsidR="00B60372">
          <w:rPr>
            <w:rFonts w:eastAsiaTheme="minorEastAsia"/>
            <w:noProof/>
            <w:sz w:val="22"/>
            <w:lang w:val="en-AU" w:eastAsia="en-AU"/>
          </w:rPr>
          <w:tab/>
        </w:r>
        <w:r w:rsidR="00B60372" w:rsidRPr="00305B45">
          <w:rPr>
            <w:rStyle w:val="Hyperlink"/>
          </w:rPr>
          <w:t>References</w:t>
        </w:r>
        <w:r w:rsidR="00B60372">
          <w:rPr>
            <w:noProof/>
            <w:webHidden/>
          </w:rPr>
          <w:tab/>
        </w:r>
        <w:r w:rsidR="00B60372">
          <w:rPr>
            <w:noProof/>
            <w:webHidden/>
          </w:rPr>
          <w:fldChar w:fldCharType="begin"/>
        </w:r>
        <w:r w:rsidR="00B60372">
          <w:rPr>
            <w:noProof/>
            <w:webHidden/>
          </w:rPr>
          <w:instrText xml:space="preserve"> PAGEREF _Toc401061050 \h </w:instrText>
        </w:r>
        <w:r w:rsidR="00B60372">
          <w:rPr>
            <w:noProof/>
            <w:webHidden/>
          </w:rPr>
        </w:r>
        <w:r w:rsidR="00B60372">
          <w:rPr>
            <w:noProof/>
            <w:webHidden/>
          </w:rPr>
          <w:fldChar w:fldCharType="separate"/>
        </w:r>
        <w:r w:rsidR="0031717B">
          <w:rPr>
            <w:noProof/>
            <w:webHidden/>
          </w:rPr>
          <w:t>124</w:t>
        </w:r>
        <w:r w:rsidR="00B60372">
          <w:rPr>
            <w:noProof/>
            <w:webHidden/>
          </w:rPr>
          <w:fldChar w:fldCharType="end"/>
        </w:r>
      </w:hyperlink>
    </w:p>
    <w:p w14:paraId="10E55E8A" w14:textId="77777777" w:rsidR="00B60372" w:rsidRDefault="00000000">
      <w:pPr>
        <w:pStyle w:val="TOC1"/>
        <w:rPr>
          <w:rFonts w:eastAsiaTheme="minorEastAsia"/>
          <w:noProof/>
          <w:sz w:val="22"/>
          <w:lang w:val="en-AU" w:eastAsia="en-AU"/>
        </w:rPr>
      </w:pPr>
      <w:hyperlink w:anchor="_Toc401061051" w:history="1">
        <w:r w:rsidR="00B60372" w:rsidRPr="00305B45">
          <w:rPr>
            <w:rStyle w:val="Hyperlink"/>
          </w:rPr>
          <w:t>12</w:t>
        </w:r>
        <w:r w:rsidR="00B60372">
          <w:rPr>
            <w:rFonts w:eastAsiaTheme="minorEastAsia"/>
            <w:noProof/>
            <w:sz w:val="22"/>
            <w:lang w:val="en-AU" w:eastAsia="en-AU"/>
          </w:rPr>
          <w:tab/>
        </w:r>
        <w:r w:rsidR="00B60372" w:rsidRPr="00305B45">
          <w:rPr>
            <w:rStyle w:val="Hyperlink"/>
          </w:rPr>
          <w:t>Appendices</w:t>
        </w:r>
        <w:r w:rsidR="00B60372">
          <w:rPr>
            <w:noProof/>
            <w:webHidden/>
          </w:rPr>
          <w:tab/>
        </w:r>
        <w:r w:rsidR="00B60372">
          <w:rPr>
            <w:noProof/>
            <w:webHidden/>
          </w:rPr>
          <w:fldChar w:fldCharType="begin"/>
        </w:r>
        <w:r w:rsidR="00B60372">
          <w:rPr>
            <w:noProof/>
            <w:webHidden/>
          </w:rPr>
          <w:instrText xml:space="preserve"> PAGEREF _Toc401061051 \h </w:instrText>
        </w:r>
        <w:r w:rsidR="00B60372">
          <w:rPr>
            <w:noProof/>
            <w:webHidden/>
          </w:rPr>
        </w:r>
        <w:r w:rsidR="00B60372">
          <w:rPr>
            <w:noProof/>
            <w:webHidden/>
          </w:rPr>
          <w:fldChar w:fldCharType="separate"/>
        </w:r>
        <w:r w:rsidR="0031717B">
          <w:rPr>
            <w:noProof/>
            <w:webHidden/>
          </w:rPr>
          <w:t>128</w:t>
        </w:r>
        <w:r w:rsidR="00B60372">
          <w:rPr>
            <w:noProof/>
            <w:webHidden/>
          </w:rPr>
          <w:fldChar w:fldCharType="end"/>
        </w:r>
      </w:hyperlink>
    </w:p>
    <w:p w14:paraId="4A689B64" w14:textId="77777777" w:rsidR="00B60372" w:rsidRDefault="00000000">
      <w:pPr>
        <w:pStyle w:val="TOC1"/>
        <w:rPr>
          <w:rFonts w:eastAsiaTheme="minorEastAsia"/>
          <w:noProof/>
          <w:sz w:val="22"/>
          <w:lang w:val="en-AU" w:eastAsia="en-AU"/>
        </w:rPr>
      </w:pPr>
      <w:hyperlink w:anchor="_Toc401061052" w:history="1">
        <w:r w:rsidR="00B60372" w:rsidRPr="00305B45">
          <w:rPr>
            <w:rStyle w:val="Hyperlink"/>
          </w:rPr>
          <w:t>13</w:t>
        </w:r>
        <w:r w:rsidR="00B60372">
          <w:rPr>
            <w:rFonts w:eastAsiaTheme="minorEastAsia"/>
            <w:noProof/>
            <w:sz w:val="22"/>
            <w:lang w:val="en-AU" w:eastAsia="en-AU"/>
          </w:rPr>
          <w:tab/>
        </w:r>
        <w:r w:rsidR="00B60372" w:rsidRPr="00305B45">
          <w:rPr>
            <w:rStyle w:val="Hyperlink"/>
          </w:rPr>
          <w:t>List of Figures</w:t>
        </w:r>
        <w:r w:rsidR="00B60372">
          <w:rPr>
            <w:noProof/>
            <w:webHidden/>
          </w:rPr>
          <w:tab/>
        </w:r>
        <w:r w:rsidR="00B60372">
          <w:rPr>
            <w:noProof/>
            <w:webHidden/>
          </w:rPr>
          <w:fldChar w:fldCharType="begin"/>
        </w:r>
        <w:r w:rsidR="00B60372">
          <w:rPr>
            <w:noProof/>
            <w:webHidden/>
          </w:rPr>
          <w:instrText xml:space="preserve"> PAGEREF _Toc401061052 \h </w:instrText>
        </w:r>
        <w:r w:rsidR="00B60372">
          <w:rPr>
            <w:noProof/>
            <w:webHidden/>
          </w:rPr>
        </w:r>
        <w:r w:rsidR="00B60372">
          <w:rPr>
            <w:noProof/>
            <w:webHidden/>
          </w:rPr>
          <w:fldChar w:fldCharType="separate"/>
        </w:r>
        <w:r w:rsidR="0031717B">
          <w:rPr>
            <w:noProof/>
            <w:webHidden/>
          </w:rPr>
          <w:t>129</w:t>
        </w:r>
        <w:r w:rsidR="00B60372">
          <w:rPr>
            <w:noProof/>
            <w:webHidden/>
          </w:rPr>
          <w:fldChar w:fldCharType="end"/>
        </w:r>
      </w:hyperlink>
    </w:p>
    <w:p w14:paraId="2A1E1B34" w14:textId="77777777" w:rsidR="00B60372" w:rsidRDefault="00000000">
      <w:pPr>
        <w:pStyle w:val="TOC1"/>
        <w:rPr>
          <w:rFonts w:eastAsiaTheme="minorEastAsia"/>
          <w:noProof/>
          <w:sz w:val="22"/>
          <w:lang w:val="en-AU" w:eastAsia="en-AU"/>
        </w:rPr>
      </w:pPr>
      <w:hyperlink w:anchor="_Toc401061053" w:history="1">
        <w:r w:rsidR="00B60372" w:rsidRPr="00305B45">
          <w:rPr>
            <w:rStyle w:val="Hyperlink"/>
          </w:rPr>
          <w:t>14</w:t>
        </w:r>
        <w:r w:rsidR="00B60372">
          <w:rPr>
            <w:rFonts w:eastAsiaTheme="minorEastAsia"/>
            <w:noProof/>
            <w:sz w:val="22"/>
            <w:lang w:val="en-AU" w:eastAsia="en-AU"/>
          </w:rPr>
          <w:tab/>
        </w:r>
        <w:r w:rsidR="00B60372" w:rsidRPr="00305B45">
          <w:rPr>
            <w:rStyle w:val="Hyperlink"/>
          </w:rPr>
          <w:t>List of Tables</w:t>
        </w:r>
        <w:r w:rsidR="00B60372">
          <w:rPr>
            <w:noProof/>
            <w:webHidden/>
          </w:rPr>
          <w:tab/>
        </w:r>
        <w:r w:rsidR="00B60372">
          <w:rPr>
            <w:noProof/>
            <w:webHidden/>
          </w:rPr>
          <w:fldChar w:fldCharType="begin"/>
        </w:r>
        <w:r w:rsidR="00B60372">
          <w:rPr>
            <w:noProof/>
            <w:webHidden/>
          </w:rPr>
          <w:instrText xml:space="preserve"> PAGEREF _Toc401061053 \h </w:instrText>
        </w:r>
        <w:r w:rsidR="00B60372">
          <w:rPr>
            <w:noProof/>
            <w:webHidden/>
          </w:rPr>
        </w:r>
        <w:r w:rsidR="00B60372">
          <w:rPr>
            <w:noProof/>
            <w:webHidden/>
          </w:rPr>
          <w:fldChar w:fldCharType="separate"/>
        </w:r>
        <w:r w:rsidR="0031717B">
          <w:rPr>
            <w:noProof/>
            <w:webHidden/>
          </w:rPr>
          <w:t>132</w:t>
        </w:r>
        <w:r w:rsidR="00B60372">
          <w:rPr>
            <w:noProof/>
            <w:webHidden/>
          </w:rPr>
          <w:fldChar w:fldCharType="end"/>
        </w:r>
      </w:hyperlink>
    </w:p>
    <w:p w14:paraId="6006657E" w14:textId="77777777" w:rsidR="005B5818" w:rsidRDefault="006056B9" w:rsidP="00B60372">
      <w:pPr>
        <w:pStyle w:val="Heading2"/>
        <w:numPr>
          <w:ilvl w:val="0"/>
          <w:numId w:val="0"/>
        </w:numPr>
        <w:ind w:left="432" w:hanging="432"/>
        <w:rPr>
          <w:rFonts w:eastAsiaTheme="majorEastAsia"/>
        </w:rPr>
      </w:pPr>
      <w:r>
        <w:rPr>
          <w:rStyle w:val="Heading1Char"/>
        </w:rPr>
        <w:lastRenderedPageBreak/>
        <w:fldChar w:fldCharType="end"/>
      </w:r>
      <w:bookmarkStart w:id="1" w:name="_Toc401061038"/>
      <w:r w:rsidR="005B5818" w:rsidRPr="008E2DA1">
        <w:rPr>
          <w:rFonts w:eastAsiaTheme="majorEastAsia"/>
        </w:rPr>
        <w:t>Glossary of Abbreviations</w:t>
      </w:r>
      <w:bookmarkEnd w:id="1"/>
    </w:p>
    <w:tbl>
      <w:tblPr>
        <w:tblStyle w:val="Style2"/>
        <w:tblW w:w="0" w:type="auto"/>
        <w:tblLook w:val="04A0" w:firstRow="1" w:lastRow="0" w:firstColumn="1" w:lastColumn="0" w:noHBand="0" w:noVBand="1"/>
        <w:tblCaption w:val="Glossary of Abbreviations"/>
        <w:tblDescription w:val="The table has two columns: the first gives the abbreviation or acronym; and the second provides a full description of each abbreviation or acronym."/>
      </w:tblPr>
      <w:tblGrid>
        <w:gridCol w:w="2093"/>
        <w:gridCol w:w="7087"/>
      </w:tblGrid>
      <w:tr w:rsidR="00766B41" w:rsidRPr="00766B41" w14:paraId="097AA291" w14:textId="77777777" w:rsidTr="00766B41">
        <w:trPr>
          <w:trHeight w:val="567"/>
          <w:tblHeader/>
        </w:trPr>
        <w:tc>
          <w:tcPr>
            <w:tcW w:w="2093" w:type="dxa"/>
          </w:tcPr>
          <w:p w14:paraId="535E2E11" w14:textId="40BB44A1" w:rsidR="00766B41" w:rsidRPr="00766B41" w:rsidRDefault="00766B41" w:rsidP="0047597D">
            <w:pPr>
              <w:spacing w:after="192" w:line="276" w:lineRule="auto"/>
              <w:rPr>
                <w:b/>
                <w:szCs w:val="24"/>
              </w:rPr>
            </w:pPr>
            <w:r w:rsidRPr="00766B41">
              <w:rPr>
                <w:b/>
                <w:szCs w:val="24"/>
              </w:rPr>
              <w:t>Abbreviation</w:t>
            </w:r>
          </w:p>
        </w:tc>
        <w:tc>
          <w:tcPr>
            <w:tcW w:w="7087" w:type="dxa"/>
          </w:tcPr>
          <w:p w14:paraId="5F1A27ED" w14:textId="6B44B7EA" w:rsidR="00766B41" w:rsidRPr="00766B41" w:rsidRDefault="00766B41" w:rsidP="0047597D">
            <w:pPr>
              <w:spacing w:after="192" w:line="276" w:lineRule="auto"/>
              <w:rPr>
                <w:b/>
                <w:szCs w:val="24"/>
                <w:lang w:val="en-AU"/>
              </w:rPr>
            </w:pPr>
            <w:r w:rsidRPr="00766B41">
              <w:rPr>
                <w:b/>
                <w:szCs w:val="24"/>
                <w:lang w:val="en-AU"/>
              </w:rPr>
              <w:t>Description</w:t>
            </w:r>
          </w:p>
        </w:tc>
      </w:tr>
      <w:tr w:rsidR="0047597D" w:rsidRPr="008E2DA1" w14:paraId="75350FCD" w14:textId="77777777" w:rsidTr="005A2B1B">
        <w:trPr>
          <w:trHeight w:val="567"/>
        </w:trPr>
        <w:tc>
          <w:tcPr>
            <w:tcW w:w="2093" w:type="dxa"/>
          </w:tcPr>
          <w:p w14:paraId="7070772D" w14:textId="77777777" w:rsidR="0047597D" w:rsidRDefault="0047597D" w:rsidP="0047597D">
            <w:pPr>
              <w:spacing w:after="192" w:line="276" w:lineRule="auto"/>
              <w:rPr>
                <w:szCs w:val="24"/>
              </w:rPr>
            </w:pPr>
            <w:r>
              <w:rPr>
                <w:szCs w:val="24"/>
              </w:rPr>
              <w:t>ABF</w:t>
            </w:r>
          </w:p>
        </w:tc>
        <w:tc>
          <w:tcPr>
            <w:tcW w:w="7087" w:type="dxa"/>
          </w:tcPr>
          <w:p w14:paraId="2598E279" w14:textId="77777777" w:rsidR="0047597D" w:rsidRDefault="0047597D" w:rsidP="0047597D">
            <w:pPr>
              <w:spacing w:after="192" w:line="276" w:lineRule="auto"/>
              <w:rPr>
                <w:szCs w:val="24"/>
                <w:lang w:val="en-AU"/>
              </w:rPr>
            </w:pPr>
            <w:r>
              <w:rPr>
                <w:szCs w:val="24"/>
                <w:lang w:val="en-AU"/>
              </w:rPr>
              <w:t>Activity Based Funding</w:t>
            </w:r>
          </w:p>
        </w:tc>
      </w:tr>
      <w:tr w:rsidR="005B5818" w:rsidRPr="008E2DA1" w14:paraId="188EB81B" w14:textId="77777777" w:rsidTr="005A2B1B">
        <w:trPr>
          <w:trHeight w:val="567"/>
        </w:trPr>
        <w:tc>
          <w:tcPr>
            <w:tcW w:w="2093" w:type="dxa"/>
          </w:tcPr>
          <w:p w14:paraId="0FAC0F21" w14:textId="77777777" w:rsidR="005B5818" w:rsidRPr="008E2DA1" w:rsidRDefault="005B5818" w:rsidP="007700D8">
            <w:pPr>
              <w:spacing w:after="192" w:line="276" w:lineRule="auto"/>
              <w:rPr>
                <w:szCs w:val="24"/>
              </w:rPr>
            </w:pPr>
            <w:r w:rsidRPr="008E2DA1">
              <w:rPr>
                <w:szCs w:val="24"/>
              </w:rPr>
              <w:t>ACCC</w:t>
            </w:r>
          </w:p>
        </w:tc>
        <w:tc>
          <w:tcPr>
            <w:tcW w:w="7087" w:type="dxa"/>
          </w:tcPr>
          <w:p w14:paraId="56CD2EF1" w14:textId="77777777" w:rsidR="005B5818" w:rsidRPr="008E2DA1" w:rsidRDefault="005B5818" w:rsidP="007700D8">
            <w:pPr>
              <w:spacing w:after="192" w:line="276" w:lineRule="auto"/>
              <w:rPr>
                <w:szCs w:val="24"/>
              </w:rPr>
            </w:pPr>
            <w:r w:rsidRPr="008E2DA1">
              <w:rPr>
                <w:szCs w:val="24"/>
                <w:lang w:val="en-AU"/>
              </w:rPr>
              <w:t xml:space="preserve">Australian </w:t>
            </w:r>
            <w:proofErr w:type="spellStart"/>
            <w:r w:rsidRPr="008E2DA1">
              <w:rPr>
                <w:szCs w:val="24"/>
                <w:lang w:val="en-AU"/>
              </w:rPr>
              <w:t>Casemix</w:t>
            </w:r>
            <w:proofErr w:type="spellEnd"/>
            <w:r w:rsidRPr="008E2DA1">
              <w:rPr>
                <w:szCs w:val="24"/>
                <w:lang w:val="en-AU"/>
              </w:rPr>
              <w:t xml:space="preserve"> Clinical Committee</w:t>
            </w:r>
          </w:p>
        </w:tc>
      </w:tr>
      <w:tr w:rsidR="005B5818" w:rsidRPr="008E2DA1" w14:paraId="39798B8D" w14:textId="77777777" w:rsidTr="005A2B1B">
        <w:trPr>
          <w:trHeight w:val="567"/>
        </w:trPr>
        <w:tc>
          <w:tcPr>
            <w:tcW w:w="2093" w:type="dxa"/>
          </w:tcPr>
          <w:p w14:paraId="3639B482" w14:textId="77777777" w:rsidR="005B5818" w:rsidRPr="008E2DA1" w:rsidRDefault="005B5818" w:rsidP="007700D8">
            <w:pPr>
              <w:spacing w:after="192" w:line="276" w:lineRule="auto"/>
              <w:rPr>
                <w:szCs w:val="24"/>
              </w:rPr>
            </w:pPr>
            <w:r w:rsidRPr="008E2DA1">
              <w:rPr>
                <w:szCs w:val="24"/>
              </w:rPr>
              <w:t>ACCD</w:t>
            </w:r>
          </w:p>
        </w:tc>
        <w:tc>
          <w:tcPr>
            <w:tcW w:w="7087" w:type="dxa"/>
          </w:tcPr>
          <w:p w14:paraId="5ECEAAC1" w14:textId="77777777" w:rsidR="005B5818" w:rsidRPr="008E2DA1" w:rsidRDefault="005B5818" w:rsidP="007700D8">
            <w:pPr>
              <w:spacing w:after="192" w:line="276" w:lineRule="auto"/>
              <w:rPr>
                <w:szCs w:val="24"/>
              </w:rPr>
            </w:pPr>
            <w:r w:rsidRPr="008E2DA1">
              <w:rPr>
                <w:szCs w:val="24"/>
              </w:rPr>
              <w:t>Australian Consortium for Classification Development</w:t>
            </w:r>
          </w:p>
        </w:tc>
      </w:tr>
      <w:tr w:rsidR="005B5818" w:rsidRPr="008E2DA1" w14:paraId="042E8D1A" w14:textId="77777777" w:rsidTr="005A2B1B">
        <w:trPr>
          <w:trHeight w:val="567"/>
        </w:trPr>
        <w:tc>
          <w:tcPr>
            <w:tcW w:w="2093" w:type="dxa"/>
          </w:tcPr>
          <w:p w14:paraId="06EB671C" w14:textId="77777777" w:rsidR="005B5818" w:rsidRPr="008E2DA1" w:rsidRDefault="005B5818" w:rsidP="007700D8">
            <w:pPr>
              <w:spacing w:after="192" w:line="276" w:lineRule="auto"/>
              <w:rPr>
                <w:szCs w:val="24"/>
              </w:rPr>
            </w:pPr>
            <w:r w:rsidRPr="008E2DA1">
              <w:rPr>
                <w:szCs w:val="24"/>
              </w:rPr>
              <w:t>ACHI</w:t>
            </w:r>
          </w:p>
        </w:tc>
        <w:tc>
          <w:tcPr>
            <w:tcW w:w="7087" w:type="dxa"/>
          </w:tcPr>
          <w:p w14:paraId="0FDF4A35" w14:textId="77777777" w:rsidR="005B5818" w:rsidRPr="008E2DA1" w:rsidRDefault="005B5818" w:rsidP="007700D8">
            <w:pPr>
              <w:spacing w:after="192" w:line="276" w:lineRule="auto"/>
              <w:rPr>
                <w:szCs w:val="24"/>
              </w:rPr>
            </w:pPr>
            <w:r w:rsidRPr="008E2DA1">
              <w:rPr>
                <w:szCs w:val="24"/>
              </w:rPr>
              <w:t>Australian Classification for Health Interventions</w:t>
            </w:r>
          </w:p>
        </w:tc>
      </w:tr>
      <w:tr w:rsidR="005B5818" w:rsidRPr="008E2DA1" w14:paraId="2CCF967D" w14:textId="77777777" w:rsidTr="005A2B1B">
        <w:trPr>
          <w:trHeight w:val="567"/>
        </w:trPr>
        <w:tc>
          <w:tcPr>
            <w:tcW w:w="2093" w:type="dxa"/>
          </w:tcPr>
          <w:p w14:paraId="08E7DA9E" w14:textId="77777777" w:rsidR="005B5818" w:rsidRPr="008E2DA1" w:rsidRDefault="005B5818" w:rsidP="007700D8">
            <w:pPr>
              <w:spacing w:after="192" w:line="276" w:lineRule="auto"/>
              <w:rPr>
                <w:szCs w:val="24"/>
              </w:rPr>
            </w:pPr>
            <w:r w:rsidRPr="008E2DA1">
              <w:rPr>
                <w:szCs w:val="24"/>
              </w:rPr>
              <w:t>ACS</w:t>
            </w:r>
          </w:p>
        </w:tc>
        <w:tc>
          <w:tcPr>
            <w:tcW w:w="7087" w:type="dxa"/>
          </w:tcPr>
          <w:p w14:paraId="41BA8D68" w14:textId="77777777" w:rsidR="005B5818" w:rsidRPr="008E2DA1" w:rsidRDefault="005B5818" w:rsidP="007700D8">
            <w:pPr>
              <w:spacing w:after="192" w:line="276" w:lineRule="auto"/>
              <w:rPr>
                <w:szCs w:val="24"/>
              </w:rPr>
            </w:pPr>
            <w:r w:rsidRPr="008E2DA1">
              <w:rPr>
                <w:szCs w:val="24"/>
              </w:rPr>
              <w:t>Australian Coding Standards</w:t>
            </w:r>
          </w:p>
        </w:tc>
      </w:tr>
      <w:tr w:rsidR="005B5818" w:rsidRPr="008E2DA1" w14:paraId="42E0EDA3" w14:textId="77777777" w:rsidTr="005A2B1B">
        <w:trPr>
          <w:trHeight w:val="567"/>
        </w:trPr>
        <w:tc>
          <w:tcPr>
            <w:tcW w:w="2093" w:type="dxa"/>
          </w:tcPr>
          <w:p w14:paraId="32CD0CBB" w14:textId="77777777" w:rsidR="005B5818" w:rsidRPr="008E2DA1" w:rsidRDefault="005B5818" w:rsidP="007700D8">
            <w:pPr>
              <w:spacing w:after="192" w:line="276" w:lineRule="auto"/>
              <w:rPr>
                <w:szCs w:val="24"/>
              </w:rPr>
            </w:pPr>
            <w:r w:rsidRPr="008E2DA1">
              <w:rPr>
                <w:szCs w:val="24"/>
              </w:rPr>
              <w:t>ADRG</w:t>
            </w:r>
          </w:p>
        </w:tc>
        <w:tc>
          <w:tcPr>
            <w:tcW w:w="7087" w:type="dxa"/>
          </w:tcPr>
          <w:p w14:paraId="7F6E3B2B" w14:textId="77777777" w:rsidR="005B5818" w:rsidRPr="008E2DA1" w:rsidRDefault="005B5818" w:rsidP="007700D8">
            <w:pPr>
              <w:spacing w:after="192" w:line="276" w:lineRule="auto"/>
              <w:rPr>
                <w:szCs w:val="24"/>
              </w:rPr>
            </w:pPr>
            <w:r w:rsidRPr="008E2DA1">
              <w:rPr>
                <w:szCs w:val="24"/>
              </w:rPr>
              <w:t>Adjacent Diagnosis Related Groups</w:t>
            </w:r>
          </w:p>
        </w:tc>
      </w:tr>
      <w:tr w:rsidR="005B5818" w:rsidRPr="008E2DA1" w14:paraId="16A5DE2E" w14:textId="77777777" w:rsidTr="005A2B1B">
        <w:trPr>
          <w:trHeight w:val="567"/>
        </w:trPr>
        <w:tc>
          <w:tcPr>
            <w:tcW w:w="2093" w:type="dxa"/>
          </w:tcPr>
          <w:p w14:paraId="4A095A5C" w14:textId="77777777" w:rsidR="005B5818" w:rsidRPr="008E2DA1" w:rsidRDefault="005B5818" w:rsidP="007700D8">
            <w:pPr>
              <w:spacing w:after="192" w:line="276" w:lineRule="auto"/>
              <w:rPr>
                <w:szCs w:val="24"/>
              </w:rPr>
            </w:pPr>
            <w:proofErr w:type="spellStart"/>
            <w:r w:rsidRPr="008E2DA1">
              <w:rPr>
                <w:szCs w:val="24"/>
              </w:rPr>
              <w:t>ADx</w:t>
            </w:r>
            <w:proofErr w:type="spellEnd"/>
          </w:p>
        </w:tc>
        <w:tc>
          <w:tcPr>
            <w:tcW w:w="7087" w:type="dxa"/>
          </w:tcPr>
          <w:p w14:paraId="63DC5496" w14:textId="77777777" w:rsidR="005B5818" w:rsidRPr="008E2DA1" w:rsidRDefault="005B5818" w:rsidP="007700D8">
            <w:pPr>
              <w:spacing w:after="192" w:line="276" w:lineRule="auto"/>
              <w:rPr>
                <w:szCs w:val="24"/>
              </w:rPr>
            </w:pPr>
            <w:r w:rsidRPr="008E2DA1">
              <w:rPr>
                <w:szCs w:val="24"/>
              </w:rPr>
              <w:t>Additional diagnoses</w:t>
            </w:r>
          </w:p>
        </w:tc>
      </w:tr>
      <w:tr w:rsidR="005B5818" w:rsidRPr="008E2DA1" w14:paraId="23BC4D27" w14:textId="77777777" w:rsidTr="005A2B1B">
        <w:trPr>
          <w:trHeight w:val="567"/>
        </w:trPr>
        <w:tc>
          <w:tcPr>
            <w:tcW w:w="2093" w:type="dxa"/>
          </w:tcPr>
          <w:p w14:paraId="74493C76" w14:textId="77777777" w:rsidR="005B5818" w:rsidRPr="008E2DA1" w:rsidRDefault="005B5818" w:rsidP="007700D8">
            <w:pPr>
              <w:spacing w:after="192" w:line="276" w:lineRule="auto"/>
              <w:rPr>
                <w:szCs w:val="24"/>
              </w:rPr>
            </w:pPr>
            <w:r w:rsidRPr="008E2DA1">
              <w:rPr>
                <w:szCs w:val="24"/>
              </w:rPr>
              <w:t>AIHW</w:t>
            </w:r>
          </w:p>
        </w:tc>
        <w:tc>
          <w:tcPr>
            <w:tcW w:w="7087" w:type="dxa"/>
          </w:tcPr>
          <w:p w14:paraId="38A16C16" w14:textId="77777777" w:rsidR="005B5818" w:rsidRPr="008E2DA1" w:rsidRDefault="005B5818" w:rsidP="007700D8">
            <w:pPr>
              <w:spacing w:after="192" w:line="276" w:lineRule="auto"/>
              <w:rPr>
                <w:szCs w:val="24"/>
              </w:rPr>
            </w:pPr>
            <w:r w:rsidRPr="008E2DA1">
              <w:rPr>
                <w:szCs w:val="24"/>
              </w:rPr>
              <w:t>Australian Institute of Health and Welfare</w:t>
            </w:r>
          </w:p>
        </w:tc>
      </w:tr>
      <w:tr w:rsidR="005B5818" w:rsidRPr="008E2DA1" w14:paraId="459214CC" w14:textId="77777777" w:rsidTr="005A2B1B">
        <w:trPr>
          <w:trHeight w:val="567"/>
        </w:trPr>
        <w:tc>
          <w:tcPr>
            <w:tcW w:w="2093" w:type="dxa"/>
          </w:tcPr>
          <w:p w14:paraId="09E89DC0" w14:textId="77777777" w:rsidR="005B5818" w:rsidRPr="008E2DA1" w:rsidRDefault="005B5818" w:rsidP="007700D8">
            <w:pPr>
              <w:spacing w:after="192" w:line="276" w:lineRule="auto"/>
              <w:rPr>
                <w:szCs w:val="24"/>
              </w:rPr>
            </w:pPr>
            <w:r w:rsidRPr="008E2DA1">
              <w:rPr>
                <w:szCs w:val="24"/>
              </w:rPr>
              <w:t>ALOS</w:t>
            </w:r>
          </w:p>
        </w:tc>
        <w:tc>
          <w:tcPr>
            <w:tcW w:w="7087" w:type="dxa"/>
          </w:tcPr>
          <w:p w14:paraId="3BF8744A" w14:textId="77777777" w:rsidR="005B5818" w:rsidRPr="008E2DA1" w:rsidRDefault="005B5818" w:rsidP="007700D8">
            <w:pPr>
              <w:spacing w:after="192" w:line="276" w:lineRule="auto"/>
              <w:rPr>
                <w:szCs w:val="24"/>
              </w:rPr>
            </w:pPr>
            <w:r w:rsidRPr="008E2DA1">
              <w:rPr>
                <w:szCs w:val="24"/>
              </w:rPr>
              <w:t>Average Length of Stay</w:t>
            </w:r>
          </w:p>
        </w:tc>
      </w:tr>
      <w:tr w:rsidR="005B5818" w:rsidRPr="008E2DA1" w14:paraId="15FF7B6B" w14:textId="77777777" w:rsidTr="005A2B1B">
        <w:trPr>
          <w:trHeight w:val="567"/>
        </w:trPr>
        <w:tc>
          <w:tcPr>
            <w:tcW w:w="2093" w:type="dxa"/>
          </w:tcPr>
          <w:p w14:paraId="1034AEC1" w14:textId="77777777" w:rsidR="005B5818" w:rsidRPr="008E2DA1" w:rsidRDefault="005B5818" w:rsidP="007700D8">
            <w:pPr>
              <w:spacing w:after="192" w:line="276" w:lineRule="auto"/>
              <w:rPr>
                <w:szCs w:val="24"/>
              </w:rPr>
            </w:pPr>
            <w:r w:rsidRPr="008E2DA1">
              <w:rPr>
                <w:szCs w:val="24"/>
              </w:rPr>
              <w:t>AN-DRG</w:t>
            </w:r>
          </w:p>
        </w:tc>
        <w:tc>
          <w:tcPr>
            <w:tcW w:w="7087" w:type="dxa"/>
          </w:tcPr>
          <w:p w14:paraId="5020D105" w14:textId="77777777" w:rsidR="005B5818" w:rsidRPr="008E2DA1" w:rsidRDefault="005B5818" w:rsidP="007700D8">
            <w:pPr>
              <w:spacing w:after="192" w:line="276" w:lineRule="auto"/>
              <w:rPr>
                <w:szCs w:val="24"/>
              </w:rPr>
            </w:pPr>
            <w:r w:rsidRPr="008E2DA1">
              <w:rPr>
                <w:szCs w:val="24"/>
              </w:rPr>
              <w:t>Australian National Diagnosis Related Groups</w:t>
            </w:r>
          </w:p>
        </w:tc>
      </w:tr>
      <w:tr w:rsidR="005B5818" w:rsidRPr="008E2DA1" w14:paraId="531F1E77" w14:textId="77777777" w:rsidTr="005A2B1B">
        <w:trPr>
          <w:trHeight w:val="567"/>
        </w:trPr>
        <w:tc>
          <w:tcPr>
            <w:tcW w:w="2093" w:type="dxa"/>
          </w:tcPr>
          <w:p w14:paraId="052E801B" w14:textId="77777777" w:rsidR="005B5818" w:rsidRPr="008E2DA1" w:rsidRDefault="005B5818" w:rsidP="007700D8">
            <w:pPr>
              <w:spacing w:after="192" w:line="276" w:lineRule="auto"/>
              <w:rPr>
                <w:szCs w:val="24"/>
              </w:rPr>
            </w:pPr>
            <w:r w:rsidRPr="008E2DA1">
              <w:rPr>
                <w:szCs w:val="24"/>
              </w:rPr>
              <w:t>APC</w:t>
            </w:r>
          </w:p>
        </w:tc>
        <w:tc>
          <w:tcPr>
            <w:tcW w:w="7087" w:type="dxa"/>
          </w:tcPr>
          <w:p w14:paraId="63F5432E" w14:textId="77777777" w:rsidR="005B5818" w:rsidRPr="008E2DA1" w:rsidRDefault="005B5818" w:rsidP="00CD201B">
            <w:pPr>
              <w:spacing w:after="192" w:line="276" w:lineRule="auto"/>
              <w:rPr>
                <w:szCs w:val="24"/>
              </w:rPr>
            </w:pPr>
            <w:r w:rsidRPr="008E2DA1">
              <w:rPr>
                <w:szCs w:val="24"/>
              </w:rPr>
              <w:t xml:space="preserve">Admitted Patient </w:t>
            </w:r>
            <w:r w:rsidR="00CD201B">
              <w:rPr>
                <w:szCs w:val="24"/>
              </w:rPr>
              <w:t>Care</w:t>
            </w:r>
          </w:p>
        </w:tc>
      </w:tr>
      <w:tr w:rsidR="005B5818" w:rsidRPr="008E2DA1" w14:paraId="264F177C" w14:textId="77777777" w:rsidTr="005A2B1B">
        <w:trPr>
          <w:trHeight w:val="567"/>
        </w:trPr>
        <w:tc>
          <w:tcPr>
            <w:tcW w:w="2093" w:type="dxa"/>
          </w:tcPr>
          <w:p w14:paraId="6BE0A481" w14:textId="77777777" w:rsidR="005B5818" w:rsidRPr="008E2DA1" w:rsidRDefault="005B5818" w:rsidP="007700D8">
            <w:pPr>
              <w:spacing w:after="192" w:line="276" w:lineRule="auto"/>
              <w:rPr>
                <w:szCs w:val="24"/>
              </w:rPr>
            </w:pPr>
            <w:r w:rsidRPr="008E2DA1">
              <w:rPr>
                <w:szCs w:val="24"/>
              </w:rPr>
              <w:t>APR-DRG</w:t>
            </w:r>
          </w:p>
        </w:tc>
        <w:tc>
          <w:tcPr>
            <w:tcW w:w="7087" w:type="dxa"/>
          </w:tcPr>
          <w:p w14:paraId="2413CA92" w14:textId="77777777" w:rsidR="005B5818" w:rsidRPr="008E2DA1" w:rsidRDefault="005B5818" w:rsidP="007700D8">
            <w:pPr>
              <w:spacing w:after="192" w:line="276" w:lineRule="auto"/>
              <w:rPr>
                <w:szCs w:val="24"/>
              </w:rPr>
            </w:pPr>
            <w:r w:rsidRPr="008E2DA1">
              <w:rPr>
                <w:szCs w:val="24"/>
              </w:rPr>
              <w:t>All Patient Refined Diagnosis Related Groups</w:t>
            </w:r>
          </w:p>
        </w:tc>
      </w:tr>
      <w:tr w:rsidR="005B5818" w:rsidRPr="008E2DA1" w14:paraId="50450565" w14:textId="77777777" w:rsidTr="005A2B1B">
        <w:trPr>
          <w:trHeight w:val="567"/>
        </w:trPr>
        <w:tc>
          <w:tcPr>
            <w:tcW w:w="2093" w:type="dxa"/>
          </w:tcPr>
          <w:p w14:paraId="4344BEB9" w14:textId="77777777" w:rsidR="005B5818" w:rsidRPr="008E2DA1" w:rsidRDefault="005B5818" w:rsidP="007700D8">
            <w:pPr>
              <w:spacing w:after="192" w:line="276" w:lineRule="auto"/>
              <w:rPr>
                <w:szCs w:val="24"/>
              </w:rPr>
            </w:pPr>
            <w:r w:rsidRPr="008E2DA1">
              <w:rPr>
                <w:szCs w:val="24"/>
              </w:rPr>
              <w:t>AR-DRG</w:t>
            </w:r>
          </w:p>
        </w:tc>
        <w:tc>
          <w:tcPr>
            <w:tcW w:w="7087" w:type="dxa"/>
          </w:tcPr>
          <w:p w14:paraId="3F558E68" w14:textId="77777777" w:rsidR="005B5818" w:rsidRPr="008E2DA1" w:rsidRDefault="005B5818" w:rsidP="007700D8">
            <w:pPr>
              <w:spacing w:after="192" w:line="276" w:lineRule="auto"/>
              <w:rPr>
                <w:szCs w:val="24"/>
              </w:rPr>
            </w:pPr>
            <w:r w:rsidRPr="008E2DA1">
              <w:rPr>
                <w:szCs w:val="24"/>
              </w:rPr>
              <w:t>Australian Refined Diagnosis Related Groups</w:t>
            </w:r>
          </w:p>
        </w:tc>
      </w:tr>
      <w:tr w:rsidR="00CD201B" w:rsidRPr="008E2DA1" w14:paraId="60129F19" w14:textId="77777777" w:rsidTr="005A2B1B">
        <w:trPr>
          <w:trHeight w:val="567"/>
        </w:trPr>
        <w:tc>
          <w:tcPr>
            <w:tcW w:w="2093" w:type="dxa"/>
          </w:tcPr>
          <w:p w14:paraId="02ECD6D3" w14:textId="77777777" w:rsidR="00CD201B" w:rsidRPr="008E2DA1" w:rsidRDefault="00CD201B" w:rsidP="00F74D3E">
            <w:pPr>
              <w:rPr>
                <w:szCs w:val="24"/>
              </w:rPr>
            </w:pPr>
            <w:r>
              <w:rPr>
                <w:szCs w:val="24"/>
              </w:rPr>
              <w:t>CAC</w:t>
            </w:r>
          </w:p>
        </w:tc>
        <w:tc>
          <w:tcPr>
            <w:tcW w:w="7087" w:type="dxa"/>
          </w:tcPr>
          <w:p w14:paraId="52FA1C0A" w14:textId="77777777" w:rsidR="00CD201B" w:rsidRPr="008E2DA1" w:rsidRDefault="00CD201B" w:rsidP="007700D8">
            <w:pPr>
              <w:rPr>
                <w:szCs w:val="24"/>
                <w:lang w:val="en-AU"/>
              </w:rPr>
            </w:pPr>
            <w:r>
              <w:rPr>
                <w:szCs w:val="24"/>
                <w:lang w:val="en-AU"/>
              </w:rPr>
              <w:t>Clinical Advisory Committee</w:t>
            </w:r>
          </w:p>
        </w:tc>
      </w:tr>
      <w:tr w:rsidR="005B5818" w:rsidRPr="008E2DA1" w14:paraId="03EF80BF" w14:textId="77777777" w:rsidTr="005A2B1B">
        <w:trPr>
          <w:trHeight w:val="567"/>
        </w:trPr>
        <w:tc>
          <w:tcPr>
            <w:tcW w:w="2093" w:type="dxa"/>
          </w:tcPr>
          <w:p w14:paraId="456E6F67" w14:textId="77777777" w:rsidR="005B5818" w:rsidRPr="008E2DA1" w:rsidRDefault="005B5818" w:rsidP="007700D8">
            <w:pPr>
              <w:spacing w:after="192" w:line="276" w:lineRule="auto"/>
              <w:rPr>
                <w:szCs w:val="24"/>
              </w:rPr>
            </w:pPr>
            <w:r w:rsidRPr="008E2DA1">
              <w:rPr>
                <w:szCs w:val="24"/>
              </w:rPr>
              <w:t>CART</w:t>
            </w:r>
          </w:p>
        </w:tc>
        <w:tc>
          <w:tcPr>
            <w:tcW w:w="7087" w:type="dxa"/>
          </w:tcPr>
          <w:p w14:paraId="38B49CC8" w14:textId="77777777" w:rsidR="005B5818" w:rsidRPr="008E2DA1" w:rsidRDefault="005B5818" w:rsidP="007700D8">
            <w:pPr>
              <w:spacing w:after="192" w:line="276" w:lineRule="auto"/>
              <w:rPr>
                <w:szCs w:val="24"/>
              </w:rPr>
            </w:pPr>
            <w:r w:rsidRPr="008E2DA1">
              <w:rPr>
                <w:szCs w:val="24"/>
                <w:lang w:val="en-AU"/>
              </w:rPr>
              <w:t>Classification and Regression Trees</w:t>
            </w:r>
          </w:p>
        </w:tc>
      </w:tr>
      <w:tr w:rsidR="005B5818" w:rsidRPr="008E2DA1" w14:paraId="1E4C522A" w14:textId="77777777" w:rsidTr="005A2B1B">
        <w:trPr>
          <w:trHeight w:val="567"/>
        </w:trPr>
        <w:tc>
          <w:tcPr>
            <w:tcW w:w="2093" w:type="dxa"/>
          </w:tcPr>
          <w:p w14:paraId="162ADBEF" w14:textId="77777777" w:rsidR="005B5818" w:rsidRPr="008E2DA1" w:rsidRDefault="005B5818" w:rsidP="007700D8">
            <w:pPr>
              <w:spacing w:after="192" w:line="276" w:lineRule="auto"/>
              <w:rPr>
                <w:szCs w:val="24"/>
              </w:rPr>
            </w:pPr>
            <w:r w:rsidRPr="008E2DA1">
              <w:rPr>
                <w:szCs w:val="24"/>
              </w:rPr>
              <w:t>CC</w:t>
            </w:r>
          </w:p>
        </w:tc>
        <w:tc>
          <w:tcPr>
            <w:tcW w:w="7087" w:type="dxa"/>
          </w:tcPr>
          <w:p w14:paraId="05440A50" w14:textId="77777777" w:rsidR="005B5818" w:rsidRPr="008E2DA1" w:rsidRDefault="005B5818" w:rsidP="007700D8">
            <w:pPr>
              <w:spacing w:after="192" w:line="276" w:lineRule="auto"/>
              <w:rPr>
                <w:szCs w:val="24"/>
              </w:rPr>
            </w:pPr>
            <w:r w:rsidRPr="008E2DA1">
              <w:rPr>
                <w:szCs w:val="24"/>
              </w:rPr>
              <w:t>Complications and Comorbidities</w:t>
            </w:r>
          </w:p>
        </w:tc>
      </w:tr>
      <w:tr w:rsidR="005B5818" w:rsidRPr="008E2DA1" w14:paraId="7D671747" w14:textId="77777777" w:rsidTr="005A2B1B">
        <w:trPr>
          <w:trHeight w:val="567"/>
        </w:trPr>
        <w:tc>
          <w:tcPr>
            <w:tcW w:w="2093" w:type="dxa"/>
          </w:tcPr>
          <w:p w14:paraId="70F8EA73" w14:textId="77777777" w:rsidR="005B5818" w:rsidRPr="008E2DA1" w:rsidRDefault="005B5818" w:rsidP="007700D8">
            <w:pPr>
              <w:spacing w:after="192" w:line="276" w:lineRule="auto"/>
              <w:rPr>
                <w:szCs w:val="24"/>
              </w:rPr>
            </w:pPr>
            <w:r w:rsidRPr="008E2DA1">
              <w:rPr>
                <w:szCs w:val="24"/>
              </w:rPr>
              <w:t>CCAG</w:t>
            </w:r>
          </w:p>
        </w:tc>
        <w:tc>
          <w:tcPr>
            <w:tcW w:w="7087" w:type="dxa"/>
          </w:tcPr>
          <w:p w14:paraId="18472BC6" w14:textId="77777777" w:rsidR="005B5818" w:rsidRPr="008E2DA1" w:rsidRDefault="005B5818" w:rsidP="007700D8">
            <w:pPr>
              <w:spacing w:after="192" w:line="276" w:lineRule="auto"/>
              <w:rPr>
                <w:szCs w:val="24"/>
              </w:rPr>
            </w:pPr>
            <w:r w:rsidRPr="008E2DA1">
              <w:rPr>
                <w:szCs w:val="24"/>
              </w:rPr>
              <w:t>Classification Clinical Advisory Group</w:t>
            </w:r>
          </w:p>
        </w:tc>
      </w:tr>
      <w:tr w:rsidR="0019647F" w:rsidRPr="008E2DA1" w14:paraId="16A736C5" w14:textId="77777777" w:rsidTr="005A2B1B">
        <w:trPr>
          <w:trHeight w:val="567"/>
        </w:trPr>
        <w:tc>
          <w:tcPr>
            <w:tcW w:w="2093" w:type="dxa"/>
          </w:tcPr>
          <w:p w14:paraId="76F50284" w14:textId="77777777" w:rsidR="0019647F" w:rsidRPr="008E2DA1" w:rsidRDefault="0019647F" w:rsidP="001F08ED">
            <w:pPr>
              <w:spacing w:after="192" w:line="276" w:lineRule="auto"/>
              <w:rPr>
                <w:szCs w:val="24"/>
              </w:rPr>
            </w:pPr>
            <w:r w:rsidRPr="008E2DA1">
              <w:rPr>
                <w:szCs w:val="24"/>
              </w:rPr>
              <w:t>CCCG</w:t>
            </w:r>
          </w:p>
        </w:tc>
        <w:tc>
          <w:tcPr>
            <w:tcW w:w="7087" w:type="dxa"/>
          </w:tcPr>
          <w:p w14:paraId="306E6862" w14:textId="77777777" w:rsidR="0019647F" w:rsidRPr="008E2DA1" w:rsidRDefault="0019647F" w:rsidP="001F08ED">
            <w:pPr>
              <w:spacing w:after="192" w:line="276" w:lineRule="auto"/>
              <w:rPr>
                <w:szCs w:val="24"/>
              </w:rPr>
            </w:pPr>
            <w:r w:rsidRPr="008E2DA1">
              <w:rPr>
                <w:szCs w:val="24"/>
                <w:lang w:val="en-AU"/>
              </w:rPr>
              <w:t>Clinical Classification and Coding Group</w:t>
            </w:r>
          </w:p>
        </w:tc>
      </w:tr>
      <w:tr w:rsidR="0019647F" w:rsidRPr="008E2DA1" w14:paraId="5515929F" w14:textId="77777777" w:rsidTr="005A2B1B">
        <w:trPr>
          <w:trHeight w:val="567"/>
        </w:trPr>
        <w:tc>
          <w:tcPr>
            <w:tcW w:w="2093" w:type="dxa"/>
          </w:tcPr>
          <w:p w14:paraId="27ECDBC4" w14:textId="77777777" w:rsidR="0019647F" w:rsidRPr="008E2DA1" w:rsidRDefault="0019647F" w:rsidP="001F08ED">
            <w:pPr>
              <w:spacing w:after="192" w:line="276" w:lineRule="auto"/>
              <w:rPr>
                <w:szCs w:val="24"/>
              </w:rPr>
            </w:pPr>
            <w:r w:rsidRPr="008E2DA1">
              <w:rPr>
                <w:szCs w:val="24"/>
              </w:rPr>
              <w:lastRenderedPageBreak/>
              <w:t>CCL</w:t>
            </w:r>
          </w:p>
        </w:tc>
        <w:tc>
          <w:tcPr>
            <w:tcW w:w="7087" w:type="dxa"/>
          </w:tcPr>
          <w:p w14:paraId="44B7AA85" w14:textId="77777777" w:rsidR="0019647F" w:rsidRPr="008E2DA1" w:rsidRDefault="0019647F" w:rsidP="001F08ED">
            <w:pPr>
              <w:spacing w:after="192" w:line="276" w:lineRule="auto"/>
              <w:rPr>
                <w:szCs w:val="24"/>
              </w:rPr>
            </w:pPr>
            <w:r w:rsidRPr="008E2DA1">
              <w:rPr>
                <w:szCs w:val="24"/>
              </w:rPr>
              <w:t>Complication and Comorbidity Level</w:t>
            </w:r>
          </w:p>
        </w:tc>
      </w:tr>
      <w:tr w:rsidR="0019647F" w:rsidRPr="008E2DA1" w14:paraId="072F954C" w14:textId="77777777" w:rsidTr="005A2B1B">
        <w:trPr>
          <w:trHeight w:val="567"/>
        </w:trPr>
        <w:tc>
          <w:tcPr>
            <w:tcW w:w="2093" w:type="dxa"/>
          </w:tcPr>
          <w:p w14:paraId="37A6C397" w14:textId="77777777" w:rsidR="0019647F" w:rsidRPr="008E2DA1" w:rsidRDefault="0019647F" w:rsidP="007700D8">
            <w:pPr>
              <w:spacing w:after="192" w:line="276" w:lineRule="auto"/>
              <w:rPr>
                <w:szCs w:val="24"/>
              </w:rPr>
            </w:pPr>
            <w:r w:rsidRPr="008E2DA1">
              <w:rPr>
                <w:szCs w:val="24"/>
              </w:rPr>
              <w:t>CDC</w:t>
            </w:r>
          </w:p>
        </w:tc>
        <w:tc>
          <w:tcPr>
            <w:tcW w:w="7087" w:type="dxa"/>
          </w:tcPr>
          <w:p w14:paraId="13AA4BEE" w14:textId="77777777" w:rsidR="0019647F" w:rsidRPr="008E2DA1" w:rsidRDefault="0019647F" w:rsidP="007700D8">
            <w:pPr>
              <w:spacing w:after="192" w:line="276" w:lineRule="auto"/>
              <w:rPr>
                <w:szCs w:val="24"/>
              </w:rPr>
            </w:pPr>
            <w:r w:rsidRPr="008E2DA1">
              <w:rPr>
                <w:szCs w:val="24"/>
              </w:rPr>
              <w:t>Coherent Diagnosis Class</w:t>
            </w:r>
          </w:p>
        </w:tc>
      </w:tr>
      <w:tr w:rsidR="00CD201B" w:rsidRPr="008E2DA1" w14:paraId="761ED79A" w14:textId="77777777" w:rsidTr="005A2B1B">
        <w:trPr>
          <w:trHeight w:val="567"/>
        </w:trPr>
        <w:tc>
          <w:tcPr>
            <w:tcW w:w="2093" w:type="dxa"/>
          </w:tcPr>
          <w:p w14:paraId="477F420D" w14:textId="77777777" w:rsidR="00CD201B" w:rsidRPr="008E2DA1" w:rsidRDefault="00CD201B" w:rsidP="0041530E">
            <w:pPr>
              <w:spacing w:after="192" w:line="276" w:lineRule="auto"/>
              <w:rPr>
                <w:szCs w:val="24"/>
              </w:rPr>
            </w:pPr>
            <w:r w:rsidRPr="008E2DA1">
              <w:rPr>
                <w:szCs w:val="24"/>
              </w:rPr>
              <w:t>CDs</w:t>
            </w:r>
          </w:p>
        </w:tc>
        <w:tc>
          <w:tcPr>
            <w:tcW w:w="7087" w:type="dxa"/>
          </w:tcPr>
          <w:p w14:paraId="7815C476" w14:textId="77777777" w:rsidR="00CD201B" w:rsidRPr="008E2DA1" w:rsidRDefault="00CD201B" w:rsidP="0041530E">
            <w:pPr>
              <w:spacing w:after="192" w:line="276" w:lineRule="auto"/>
              <w:rPr>
                <w:szCs w:val="24"/>
              </w:rPr>
            </w:pPr>
            <w:r w:rsidRPr="008E2DA1">
              <w:rPr>
                <w:szCs w:val="24"/>
              </w:rPr>
              <w:t>Complex Diagnoses</w:t>
            </w:r>
          </w:p>
        </w:tc>
      </w:tr>
      <w:tr w:rsidR="00CD201B" w:rsidRPr="008E2DA1" w14:paraId="29F77F95" w14:textId="77777777" w:rsidTr="005A2B1B">
        <w:trPr>
          <w:trHeight w:val="567"/>
        </w:trPr>
        <w:tc>
          <w:tcPr>
            <w:tcW w:w="2093" w:type="dxa"/>
          </w:tcPr>
          <w:p w14:paraId="18422F26" w14:textId="77777777" w:rsidR="00CD201B" w:rsidRPr="008E2DA1" w:rsidRDefault="00CD201B" w:rsidP="007700D8">
            <w:pPr>
              <w:spacing w:after="192" w:line="276" w:lineRule="auto"/>
              <w:rPr>
                <w:szCs w:val="24"/>
              </w:rPr>
            </w:pPr>
            <w:r w:rsidRPr="008E2DA1">
              <w:rPr>
                <w:szCs w:val="24"/>
              </w:rPr>
              <w:t>CMG+</w:t>
            </w:r>
          </w:p>
        </w:tc>
        <w:tc>
          <w:tcPr>
            <w:tcW w:w="7087" w:type="dxa"/>
          </w:tcPr>
          <w:p w14:paraId="3E17968D" w14:textId="77777777" w:rsidR="00CD201B" w:rsidRPr="008E2DA1" w:rsidRDefault="00CD201B" w:rsidP="007700D8">
            <w:pPr>
              <w:spacing w:after="192" w:line="276" w:lineRule="auto"/>
              <w:rPr>
                <w:szCs w:val="24"/>
              </w:rPr>
            </w:pPr>
            <w:proofErr w:type="spellStart"/>
            <w:r w:rsidRPr="008E2DA1">
              <w:rPr>
                <w:szCs w:val="24"/>
                <w:lang w:val="en-AU"/>
              </w:rPr>
              <w:t>Casemix</w:t>
            </w:r>
            <w:proofErr w:type="spellEnd"/>
            <w:r w:rsidRPr="008E2DA1">
              <w:rPr>
                <w:szCs w:val="24"/>
                <w:lang w:val="en-AU"/>
              </w:rPr>
              <w:t xml:space="preserve"> Group Plus</w:t>
            </w:r>
            <w:r w:rsidRPr="008E2DA1">
              <w:rPr>
                <w:szCs w:val="24"/>
              </w:rPr>
              <w:t xml:space="preserve"> </w:t>
            </w:r>
          </w:p>
        </w:tc>
      </w:tr>
      <w:tr w:rsidR="00CD201B" w:rsidRPr="008E2DA1" w14:paraId="25B65A8E" w14:textId="77777777" w:rsidTr="005A2B1B">
        <w:trPr>
          <w:trHeight w:val="567"/>
        </w:trPr>
        <w:tc>
          <w:tcPr>
            <w:tcW w:w="2093" w:type="dxa"/>
          </w:tcPr>
          <w:p w14:paraId="16E6413C" w14:textId="77777777" w:rsidR="00CD201B" w:rsidRPr="008E2DA1" w:rsidRDefault="00CD201B" w:rsidP="007700D8">
            <w:pPr>
              <w:spacing w:after="192" w:line="276" w:lineRule="auto"/>
              <w:rPr>
                <w:szCs w:val="24"/>
              </w:rPr>
            </w:pPr>
            <w:r>
              <w:rPr>
                <w:szCs w:val="24"/>
              </w:rPr>
              <w:t>COF</w:t>
            </w:r>
          </w:p>
        </w:tc>
        <w:tc>
          <w:tcPr>
            <w:tcW w:w="7087" w:type="dxa"/>
          </w:tcPr>
          <w:p w14:paraId="1A6166ED" w14:textId="77777777" w:rsidR="00CD201B" w:rsidRPr="008E2DA1" w:rsidRDefault="00CD201B" w:rsidP="007700D8">
            <w:pPr>
              <w:spacing w:after="192" w:line="276" w:lineRule="auto"/>
              <w:rPr>
                <w:szCs w:val="24"/>
              </w:rPr>
            </w:pPr>
            <w:r>
              <w:rPr>
                <w:szCs w:val="24"/>
              </w:rPr>
              <w:t>Condition onset flag</w:t>
            </w:r>
          </w:p>
        </w:tc>
      </w:tr>
      <w:tr w:rsidR="00CD201B" w:rsidRPr="008E2DA1" w14:paraId="50B8283F" w14:textId="77777777" w:rsidTr="005A2B1B">
        <w:trPr>
          <w:trHeight w:val="567"/>
        </w:trPr>
        <w:tc>
          <w:tcPr>
            <w:tcW w:w="2093" w:type="dxa"/>
          </w:tcPr>
          <w:p w14:paraId="5FBCC5DD" w14:textId="77777777" w:rsidR="00CD201B" w:rsidRPr="008E2DA1" w:rsidRDefault="00CD201B" w:rsidP="007700D8">
            <w:pPr>
              <w:rPr>
                <w:szCs w:val="24"/>
              </w:rPr>
            </w:pPr>
            <w:r>
              <w:rPr>
                <w:szCs w:val="24"/>
              </w:rPr>
              <w:t>DBC</w:t>
            </w:r>
          </w:p>
        </w:tc>
        <w:tc>
          <w:tcPr>
            <w:tcW w:w="7087" w:type="dxa"/>
          </w:tcPr>
          <w:p w14:paraId="67FF85AD" w14:textId="77777777" w:rsidR="00CD201B" w:rsidRPr="008E2DA1" w:rsidRDefault="00CD201B" w:rsidP="007700D8">
            <w:pPr>
              <w:rPr>
                <w:szCs w:val="24"/>
              </w:rPr>
            </w:pPr>
            <w:r w:rsidRPr="007E6045">
              <w:rPr>
                <w:szCs w:val="24"/>
                <w:lang w:val="en-GB"/>
              </w:rPr>
              <w:t>Diagnose-</w:t>
            </w:r>
            <w:proofErr w:type="spellStart"/>
            <w:r w:rsidRPr="007E6045">
              <w:rPr>
                <w:szCs w:val="24"/>
                <w:lang w:val="en-GB"/>
              </w:rPr>
              <w:t>Behandling</w:t>
            </w:r>
            <w:proofErr w:type="spellEnd"/>
            <w:r w:rsidRPr="007E6045">
              <w:rPr>
                <w:szCs w:val="24"/>
                <w:lang w:val="en-GB"/>
              </w:rPr>
              <w:t xml:space="preserve"> </w:t>
            </w:r>
            <w:proofErr w:type="spellStart"/>
            <w:r w:rsidRPr="007E6045">
              <w:rPr>
                <w:szCs w:val="24"/>
                <w:lang w:val="en-GB"/>
              </w:rPr>
              <w:t>Combinatie</w:t>
            </w:r>
            <w:proofErr w:type="spellEnd"/>
          </w:p>
        </w:tc>
      </w:tr>
      <w:tr w:rsidR="00CD201B" w:rsidRPr="008E2DA1" w14:paraId="5B386ED9" w14:textId="77777777" w:rsidTr="005A2B1B">
        <w:trPr>
          <w:trHeight w:val="567"/>
        </w:trPr>
        <w:tc>
          <w:tcPr>
            <w:tcW w:w="2093" w:type="dxa"/>
          </w:tcPr>
          <w:p w14:paraId="43ECD007" w14:textId="77777777" w:rsidR="00CD201B" w:rsidRPr="008E2DA1" w:rsidRDefault="00CD201B" w:rsidP="007700D8">
            <w:pPr>
              <w:spacing w:after="192" w:line="276" w:lineRule="auto"/>
              <w:rPr>
                <w:szCs w:val="24"/>
              </w:rPr>
            </w:pPr>
            <w:r w:rsidRPr="008E2DA1">
              <w:rPr>
                <w:szCs w:val="24"/>
              </w:rPr>
              <w:t>DCL</w:t>
            </w:r>
          </w:p>
        </w:tc>
        <w:tc>
          <w:tcPr>
            <w:tcW w:w="7087" w:type="dxa"/>
          </w:tcPr>
          <w:p w14:paraId="6EF57FE5" w14:textId="77777777" w:rsidR="00CD201B" w:rsidRPr="008E2DA1" w:rsidRDefault="00CD201B" w:rsidP="007700D8">
            <w:pPr>
              <w:spacing w:after="192" w:line="276" w:lineRule="auto"/>
              <w:rPr>
                <w:szCs w:val="24"/>
              </w:rPr>
            </w:pPr>
            <w:r w:rsidRPr="008E2DA1">
              <w:rPr>
                <w:szCs w:val="24"/>
              </w:rPr>
              <w:t>Diagnosis Complexity Level</w:t>
            </w:r>
          </w:p>
        </w:tc>
      </w:tr>
      <w:tr w:rsidR="00CD201B" w:rsidRPr="008E2DA1" w14:paraId="5EACA475" w14:textId="77777777" w:rsidTr="005A2B1B">
        <w:trPr>
          <w:trHeight w:val="567"/>
        </w:trPr>
        <w:tc>
          <w:tcPr>
            <w:tcW w:w="2093" w:type="dxa"/>
          </w:tcPr>
          <w:p w14:paraId="1F016203" w14:textId="77777777" w:rsidR="00CD201B" w:rsidRPr="008E2DA1" w:rsidRDefault="00CD201B" w:rsidP="007700D8">
            <w:pPr>
              <w:spacing w:after="192" w:line="276" w:lineRule="auto"/>
              <w:rPr>
                <w:szCs w:val="24"/>
              </w:rPr>
            </w:pPr>
            <w:r w:rsidRPr="008E2DA1">
              <w:rPr>
                <w:szCs w:val="24"/>
              </w:rPr>
              <w:t>DRG</w:t>
            </w:r>
          </w:p>
        </w:tc>
        <w:tc>
          <w:tcPr>
            <w:tcW w:w="7087" w:type="dxa"/>
          </w:tcPr>
          <w:p w14:paraId="1319C524" w14:textId="77777777" w:rsidR="00CD201B" w:rsidRPr="008E2DA1" w:rsidRDefault="00CD201B" w:rsidP="007700D8">
            <w:pPr>
              <w:spacing w:after="192" w:line="276" w:lineRule="auto"/>
              <w:rPr>
                <w:szCs w:val="24"/>
              </w:rPr>
            </w:pPr>
            <w:r w:rsidRPr="008E2DA1">
              <w:rPr>
                <w:szCs w:val="24"/>
              </w:rPr>
              <w:t>Diagnosis Related Groups</w:t>
            </w:r>
          </w:p>
        </w:tc>
      </w:tr>
      <w:tr w:rsidR="00CD201B" w:rsidRPr="008E2DA1" w14:paraId="1BC82D97" w14:textId="77777777" w:rsidTr="005A2B1B">
        <w:trPr>
          <w:trHeight w:val="567"/>
        </w:trPr>
        <w:tc>
          <w:tcPr>
            <w:tcW w:w="2093" w:type="dxa"/>
          </w:tcPr>
          <w:p w14:paraId="202E070E" w14:textId="77777777" w:rsidR="00CD201B" w:rsidRPr="008E2DA1" w:rsidRDefault="00CD201B" w:rsidP="007700D8">
            <w:pPr>
              <w:spacing w:after="192" w:line="276" w:lineRule="auto"/>
              <w:rPr>
                <w:szCs w:val="24"/>
              </w:rPr>
            </w:pPr>
            <w:r w:rsidRPr="008E2DA1">
              <w:rPr>
                <w:szCs w:val="24"/>
              </w:rPr>
              <w:t>DTG</w:t>
            </w:r>
          </w:p>
        </w:tc>
        <w:tc>
          <w:tcPr>
            <w:tcW w:w="7087" w:type="dxa"/>
          </w:tcPr>
          <w:p w14:paraId="20D162CE" w14:textId="77777777" w:rsidR="00CD201B" w:rsidRPr="008E2DA1" w:rsidRDefault="00CD201B" w:rsidP="007700D8">
            <w:pPr>
              <w:spacing w:after="192" w:line="276" w:lineRule="auto"/>
              <w:rPr>
                <w:szCs w:val="24"/>
              </w:rPr>
            </w:pPr>
            <w:r w:rsidRPr="008E2DA1">
              <w:rPr>
                <w:szCs w:val="24"/>
              </w:rPr>
              <w:t>DRG Technical Group</w:t>
            </w:r>
          </w:p>
        </w:tc>
      </w:tr>
      <w:tr w:rsidR="00CD201B" w:rsidRPr="008E2DA1" w14:paraId="41B5EC9C" w14:textId="77777777" w:rsidTr="005A2B1B">
        <w:trPr>
          <w:trHeight w:val="567"/>
        </w:trPr>
        <w:tc>
          <w:tcPr>
            <w:tcW w:w="2093" w:type="dxa"/>
          </w:tcPr>
          <w:p w14:paraId="6989A889" w14:textId="77777777" w:rsidR="00CD201B" w:rsidRPr="008E2DA1" w:rsidRDefault="00CD201B" w:rsidP="007700D8">
            <w:pPr>
              <w:spacing w:after="192" w:line="276" w:lineRule="auto"/>
              <w:rPr>
                <w:szCs w:val="24"/>
              </w:rPr>
            </w:pPr>
            <w:r w:rsidRPr="008E2DA1">
              <w:rPr>
                <w:szCs w:val="24"/>
              </w:rPr>
              <w:t>ECC</w:t>
            </w:r>
          </w:p>
        </w:tc>
        <w:tc>
          <w:tcPr>
            <w:tcW w:w="7087" w:type="dxa"/>
          </w:tcPr>
          <w:p w14:paraId="61136FD3" w14:textId="77777777" w:rsidR="00CD201B" w:rsidRPr="008E2DA1" w:rsidRDefault="00CD201B" w:rsidP="007700D8">
            <w:pPr>
              <w:spacing w:after="192" w:line="276" w:lineRule="auto"/>
              <w:rPr>
                <w:szCs w:val="24"/>
              </w:rPr>
            </w:pPr>
            <w:r w:rsidRPr="008E2DA1">
              <w:rPr>
                <w:szCs w:val="24"/>
              </w:rPr>
              <w:t>Episode Clinical Complexity</w:t>
            </w:r>
          </w:p>
        </w:tc>
      </w:tr>
      <w:tr w:rsidR="00CD201B" w:rsidRPr="008E2DA1" w14:paraId="78511EC1" w14:textId="77777777" w:rsidTr="005A2B1B">
        <w:trPr>
          <w:trHeight w:val="567"/>
        </w:trPr>
        <w:tc>
          <w:tcPr>
            <w:tcW w:w="2093" w:type="dxa"/>
          </w:tcPr>
          <w:p w14:paraId="7B42F948" w14:textId="77777777" w:rsidR="00CD201B" w:rsidRPr="008E2DA1" w:rsidRDefault="00CD201B" w:rsidP="007700D8">
            <w:pPr>
              <w:spacing w:after="192" w:line="276" w:lineRule="auto"/>
              <w:rPr>
                <w:szCs w:val="24"/>
              </w:rPr>
            </w:pPr>
            <w:r w:rsidRPr="008E2DA1">
              <w:rPr>
                <w:szCs w:val="24"/>
              </w:rPr>
              <w:t>ECCS</w:t>
            </w:r>
          </w:p>
        </w:tc>
        <w:tc>
          <w:tcPr>
            <w:tcW w:w="7087" w:type="dxa"/>
          </w:tcPr>
          <w:p w14:paraId="53622C7A" w14:textId="77777777" w:rsidR="00CD201B" w:rsidRPr="008E2DA1" w:rsidRDefault="00CD201B" w:rsidP="007700D8">
            <w:pPr>
              <w:spacing w:after="192" w:line="276" w:lineRule="auto"/>
              <w:rPr>
                <w:szCs w:val="24"/>
              </w:rPr>
            </w:pPr>
            <w:r w:rsidRPr="008E2DA1">
              <w:rPr>
                <w:szCs w:val="24"/>
              </w:rPr>
              <w:t>Episode Clinical Complexity Score</w:t>
            </w:r>
          </w:p>
        </w:tc>
      </w:tr>
      <w:tr w:rsidR="00CD201B" w:rsidRPr="008E2DA1" w14:paraId="71861BC3" w14:textId="77777777" w:rsidTr="005A2B1B">
        <w:trPr>
          <w:trHeight w:val="567"/>
        </w:trPr>
        <w:tc>
          <w:tcPr>
            <w:tcW w:w="2093" w:type="dxa"/>
          </w:tcPr>
          <w:p w14:paraId="5B15DB88" w14:textId="77777777" w:rsidR="00CD201B" w:rsidRPr="008E2DA1" w:rsidRDefault="00CD201B" w:rsidP="007700D8">
            <w:pPr>
              <w:spacing w:after="192" w:line="276" w:lineRule="auto"/>
              <w:rPr>
                <w:szCs w:val="24"/>
              </w:rPr>
            </w:pPr>
            <w:r w:rsidRPr="008E2DA1">
              <w:rPr>
                <w:szCs w:val="24"/>
              </w:rPr>
              <w:t>ECMO</w:t>
            </w:r>
          </w:p>
        </w:tc>
        <w:tc>
          <w:tcPr>
            <w:tcW w:w="7087" w:type="dxa"/>
          </w:tcPr>
          <w:p w14:paraId="7093CF56" w14:textId="77777777" w:rsidR="00CD201B" w:rsidRPr="008E2DA1" w:rsidRDefault="00CD201B" w:rsidP="007700D8">
            <w:pPr>
              <w:spacing w:after="192" w:line="276" w:lineRule="auto"/>
              <w:rPr>
                <w:szCs w:val="24"/>
              </w:rPr>
            </w:pPr>
            <w:r w:rsidRPr="008E2DA1">
              <w:rPr>
                <w:szCs w:val="24"/>
              </w:rPr>
              <w:t>Extracorporeal Membrane Oxygenation</w:t>
            </w:r>
          </w:p>
        </w:tc>
      </w:tr>
      <w:tr w:rsidR="00CD201B" w:rsidRPr="008E2DA1" w14:paraId="6E04ADDF" w14:textId="77777777" w:rsidTr="005A2B1B">
        <w:trPr>
          <w:trHeight w:val="567"/>
        </w:trPr>
        <w:tc>
          <w:tcPr>
            <w:tcW w:w="2093" w:type="dxa"/>
          </w:tcPr>
          <w:p w14:paraId="40E3FC0E" w14:textId="77777777" w:rsidR="00CD201B" w:rsidRPr="008E2DA1" w:rsidRDefault="00CD201B" w:rsidP="007700D8">
            <w:pPr>
              <w:spacing w:after="192" w:line="276" w:lineRule="auto"/>
              <w:rPr>
                <w:szCs w:val="24"/>
              </w:rPr>
            </w:pPr>
            <w:r w:rsidRPr="008E2DA1">
              <w:rPr>
                <w:szCs w:val="24"/>
              </w:rPr>
              <w:t>ED</w:t>
            </w:r>
          </w:p>
        </w:tc>
        <w:tc>
          <w:tcPr>
            <w:tcW w:w="7087" w:type="dxa"/>
          </w:tcPr>
          <w:p w14:paraId="05497470" w14:textId="77777777" w:rsidR="00CD201B" w:rsidRPr="008E2DA1" w:rsidRDefault="00CD201B" w:rsidP="007700D8">
            <w:pPr>
              <w:spacing w:after="192" w:line="276" w:lineRule="auto"/>
              <w:rPr>
                <w:szCs w:val="24"/>
              </w:rPr>
            </w:pPr>
            <w:r w:rsidRPr="008E2DA1">
              <w:rPr>
                <w:szCs w:val="24"/>
              </w:rPr>
              <w:t>Emergency Department</w:t>
            </w:r>
          </w:p>
        </w:tc>
      </w:tr>
      <w:tr w:rsidR="00CD201B" w:rsidRPr="008E2DA1" w14:paraId="6F936165" w14:textId="77777777" w:rsidTr="005A2B1B">
        <w:trPr>
          <w:trHeight w:val="567"/>
        </w:trPr>
        <w:tc>
          <w:tcPr>
            <w:tcW w:w="2093" w:type="dxa"/>
          </w:tcPr>
          <w:p w14:paraId="448F4543" w14:textId="77777777" w:rsidR="00CD201B" w:rsidRPr="008E2DA1" w:rsidRDefault="00CD201B" w:rsidP="007700D8">
            <w:pPr>
              <w:spacing w:after="192" w:line="276" w:lineRule="auto"/>
              <w:rPr>
                <w:szCs w:val="24"/>
              </w:rPr>
            </w:pPr>
            <w:r w:rsidRPr="008E2DA1">
              <w:rPr>
                <w:szCs w:val="24"/>
              </w:rPr>
              <w:t>GDRG</w:t>
            </w:r>
          </w:p>
        </w:tc>
        <w:tc>
          <w:tcPr>
            <w:tcW w:w="7087" w:type="dxa"/>
          </w:tcPr>
          <w:p w14:paraId="476101EB" w14:textId="77777777" w:rsidR="00CD201B" w:rsidRPr="008E2DA1" w:rsidRDefault="00CD201B" w:rsidP="007700D8">
            <w:pPr>
              <w:spacing w:after="192" w:line="276" w:lineRule="auto"/>
              <w:rPr>
                <w:szCs w:val="24"/>
              </w:rPr>
            </w:pPr>
            <w:r w:rsidRPr="008E2DA1">
              <w:rPr>
                <w:szCs w:val="24"/>
              </w:rPr>
              <w:t>German Diagnosis Related Groups</w:t>
            </w:r>
          </w:p>
        </w:tc>
      </w:tr>
      <w:tr w:rsidR="00CD201B" w:rsidRPr="008E2DA1" w14:paraId="5CB3DFDA" w14:textId="77777777" w:rsidTr="005A2B1B">
        <w:trPr>
          <w:trHeight w:val="567"/>
        </w:trPr>
        <w:tc>
          <w:tcPr>
            <w:tcW w:w="2093" w:type="dxa"/>
          </w:tcPr>
          <w:p w14:paraId="040C5568" w14:textId="77777777" w:rsidR="00CD201B" w:rsidRPr="008E2DA1" w:rsidRDefault="00CD201B" w:rsidP="007700D8">
            <w:pPr>
              <w:spacing w:after="192" w:line="276" w:lineRule="auto"/>
              <w:rPr>
                <w:szCs w:val="24"/>
              </w:rPr>
            </w:pPr>
            <w:r w:rsidRPr="008E2DA1">
              <w:rPr>
                <w:szCs w:val="24"/>
              </w:rPr>
              <w:t>GHM</w:t>
            </w:r>
          </w:p>
        </w:tc>
        <w:tc>
          <w:tcPr>
            <w:tcW w:w="7087" w:type="dxa"/>
          </w:tcPr>
          <w:p w14:paraId="6835380B" w14:textId="77777777" w:rsidR="00CD201B" w:rsidRPr="008E2DA1" w:rsidRDefault="00CD201B" w:rsidP="007700D8">
            <w:pPr>
              <w:spacing w:after="192" w:line="276" w:lineRule="auto"/>
              <w:rPr>
                <w:szCs w:val="24"/>
              </w:rPr>
            </w:pPr>
            <w:proofErr w:type="spellStart"/>
            <w:r w:rsidRPr="008E2DA1">
              <w:rPr>
                <w:szCs w:val="24"/>
              </w:rPr>
              <w:t>Groupes</w:t>
            </w:r>
            <w:proofErr w:type="spellEnd"/>
            <w:r w:rsidRPr="008E2DA1">
              <w:rPr>
                <w:szCs w:val="24"/>
              </w:rPr>
              <w:t xml:space="preserve"> </w:t>
            </w:r>
            <w:proofErr w:type="spellStart"/>
            <w:r w:rsidRPr="008E2DA1">
              <w:rPr>
                <w:szCs w:val="24"/>
              </w:rPr>
              <w:t>Homogene</w:t>
            </w:r>
            <w:proofErr w:type="spellEnd"/>
            <w:r w:rsidRPr="008E2DA1">
              <w:rPr>
                <w:szCs w:val="24"/>
              </w:rPr>
              <w:t xml:space="preserve"> Medical</w:t>
            </w:r>
          </w:p>
        </w:tc>
      </w:tr>
      <w:tr w:rsidR="00CD201B" w:rsidRPr="008E2DA1" w14:paraId="74972879" w14:textId="77777777" w:rsidTr="005A2B1B">
        <w:trPr>
          <w:trHeight w:val="567"/>
        </w:trPr>
        <w:tc>
          <w:tcPr>
            <w:tcW w:w="2093" w:type="dxa"/>
          </w:tcPr>
          <w:p w14:paraId="7B9F9093" w14:textId="77777777" w:rsidR="00CD201B" w:rsidRPr="008E2DA1" w:rsidRDefault="00CD201B" w:rsidP="007700D8">
            <w:pPr>
              <w:spacing w:after="192" w:line="276" w:lineRule="auto"/>
              <w:rPr>
                <w:szCs w:val="24"/>
              </w:rPr>
            </w:pPr>
            <w:r w:rsidRPr="008E2DA1">
              <w:rPr>
                <w:szCs w:val="24"/>
              </w:rPr>
              <w:t>HAC</w:t>
            </w:r>
          </w:p>
        </w:tc>
        <w:tc>
          <w:tcPr>
            <w:tcW w:w="7087" w:type="dxa"/>
          </w:tcPr>
          <w:p w14:paraId="337A4433" w14:textId="77777777" w:rsidR="00CD201B" w:rsidRPr="008E2DA1" w:rsidRDefault="00CD201B" w:rsidP="007700D8">
            <w:pPr>
              <w:spacing w:after="192" w:line="276" w:lineRule="auto"/>
              <w:rPr>
                <w:szCs w:val="24"/>
              </w:rPr>
            </w:pPr>
            <w:r w:rsidRPr="008E2DA1">
              <w:rPr>
                <w:szCs w:val="24"/>
              </w:rPr>
              <w:t>Hospital Acquired Conditions</w:t>
            </w:r>
          </w:p>
        </w:tc>
      </w:tr>
      <w:tr w:rsidR="00CD201B" w:rsidRPr="008E2DA1" w14:paraId="74A10C69" w14:textId="77777777" w:rsidTr="005A2B1B">
        <w:trPr>
          <w:trHeight w:val="567"/>
        </w:trPr>
        <w:tc>
          <w:tcPr>
            <w:tcW w:w="2093" w:type="dxa"/>
          </w:tcPr>
          <w:p w14:paraId="65F8A2E4" w14:textId="77777777" w:rsidR="00CD201B" w:rsidRPr="008E2DA1" w:rsidRDefault="00CD201B" w:rsidP="007700D8">
            <w:pPr>
              <w:spacing w:after="192" w:line="276" w:lineRule="auto"/>
              <w:rPr>
                <w:szCs w:val="24"/>
              </w:rPr>
            </w:pPr>
            <w:r w:rsidRPr="008E2DA1">
              <w:rPr>
                <w:szCs w:val="24"/>
              </w:rPr>
              <w:t>HAD</w:t>
            </w:r>
          </w:p>
        </w:tc>
        <w:tc>
          <w:tcPr>
            <w:tcW w:w="7087" w:type="dxa"/>
          </w:tcPr>
          <w:p w14:paraId="0E8DE544" w14:textId="77777777" w:rsidR="00CD201B" w:rsidRPr="008E2DA1" w:rsidRDefault="00CD201B" w:rsidP="00CD201B">
            <w:pPr>
              <w:spacing w:after="192" w:line="276" w:lineRule="auto"/>
              <w:rPr>
                <w:szCs w:val="24"/>
              </w:rPr>
            </w:pPr>
            <w:r w:rsidRPr="008E2DA1">
              <w:rPr>
                <w:szCs w:val="24"/>
              </w:rPr>
              <w:t>Hospital Acquired Diagnos</w:t>
            </w:r>
            <w:r>
              <w:rPr>
                <w:szCs w:val="24"/>
              </w:rPr>
              <w:t>i</w:t>
            </w:r>
            <w:r w:rsidRPr="008E2DA1">
              <w:rPr>
                <w:szCs w:val="24"/>
              </w:rPr>
              <w:t>s</w:t>
            </w:r>
          </w:p>
        </w:tc>
      </w:tr>
      <w:tr w:rsidR="00CD201B" w:rsidRPr="008E2DA1" w14:paraId="10EACDA6" w14:textId="77777777" w:rsidTr="005A2B1B">
        <w:trPr>
          <w:trHeight w:val="567"/>
        </w:trPr>
        <w:tc>
          <w:tcPr>
            <w:tcW w:w="2093" w:type="dxa"/>
          </w:tcPr>
          <w:p w14:paraId="61660683" w14:textId="77777777" w:rsidR="00CD201B" w:rsidRPr="008E2DA1" w:rsidRDefault="00CD201B" w:rsidP="007700D8">
            <w:pPr>
              <w:spacing w:after="192" w:line="276" w:lineRule="auto"/>
              <w:rPr>
                <w:szCs w:val="24"/>
              </w:rPr>
            </w:pPr>
            <w:r w:rsidRPr="008E2DA1">
              <w:rPr>
                <w:szCs w:val="24"/>
              </w:rPr>
              <w:t>HIM</w:t>
            </w:r>
          </w:p>
        </w:tc>
        <w:tc>
          <w:tcPr>
            <w:tcW w:w="7087" w:type="dxa"/>
          </w:tcPr>
          <w:p w14:paraId="2214BEDC" w14:textId="77777777" w:rsidR="00CD201B" w:rsidRPr="008E2DA1" w:rsidRDefault="00CD201B" w:rsidP="007700D8">
            <w:pPr>
              <w:spacing w:after="192" w:line="276" w:lineRule="auto"/>
              <w:rPr>
                <w:szCs w:val="24"/>
              </w:rPr>
            </w:pPr>
            <w:r w:rsidRPr="008E2DA1">
              <w:rPr>
                <w:szCs w:val="24"/>
              </w:rPr>
              <w:t>Health Information Manager</w:t>
            </w:r>
          </w:p>
        </w:tc>
      </w:tr>
      <w:tr w:rsidR="00CD201B" w:rsidRPr="008E2DA1" w14:paraId="5FCE7F09" w14:textId="77777777" w:rsidTr="005A2B1B">
        <w:trPr>
          <w:trHeight w:val="567"/>
        </w:trPr>
        <w:tc>
          <w:tcPr>
            <w:tcW w:w="2093" w:type="dxa"/>
          </w:tcPr>
          <w:p w14:paraId="1AE016F9" w14:textId="77777777" w:rsidR="00CD201B" w:rsidRPr="008E2DA1" w:rsidRDefault="00CD201B" w:rsidP="007700D8">
            <w:pPr>
              <w:spacing w:after="192" w:line="276" w:lineRule="auto"/>
              <w:rPr>
                <w:szCs w:val="24"/>
              </w:rPr>
            </w:pPr>
            <w:r w:rsidRPr="008E2DA1">
              <w:rPr>
                <w:szCs w:val="24"/>
              </w:rPr>
              <w:t>HIS</w:t>
            </w:r>
          </w:p>
        </w:tc>
        <w:tc>
          <w:tcPr>
            <w:tcW w:w="7087" w:type="dxa"/>
          </w:tcPr>
          <w:p w14:paraId="21DE14BE" w14:textId="77777777" w:rsidR="00CD201B" w:rsidRPr="008E2DA1" w:rsidRDefault="00CD201B" w:rsidP="007700D8">
            <w:pPr>
              <w:spacing w:after="192" w:line="276" w:lineRule="auto"/>
              <w:rPr>
                <w:szCs w:val="24"/>
              </w:rPr>
            </w:pPr>
            <w:r w:rsidRPr="008E2DA1">
              <w:rPr>
                <w:szCs w:val="24"/>
              </w:rPr>
              <w:t>Health Information Systems</w:t>
            </w:r>
          </w:p>
        </w:tc>
      </w:tr>
      <w:tr w:rsidR="00CD201B" w:rsidRPr="008E2DA1" w14:paraId="366E3570" w14:textId="77777777" w:rsidTr="005A2B1B">
        <w:trPr>
          <w:trHeight w:val="567"/>
        </w:trPr>
        <w:tc>
          <w:tcPr>
            <w:tcW w:w="2093" w:type="dxa"/>
          </w:tcPr>
          <w:p w14:paraId="0FEC5716" w14:textId="77777777" w:rsidR="00CD201B" w:rsidRPr="008E2DA1" w:rsidRDefault="00CD201B" w:rsidP="007700D8">
            <w:pPr>
              <w:spacing w:after="192" w:line="276" w:lineRule="auto"/>
              <w:rPr>
                <w:szCs w:val="24"/>
              </w:rPr>
            </w:pPr>
            <w:r w:rsidRPr="008E2DA1">
              <w:rPr>
                <w:szCs w:val="24"/>
              </w:rPr>
              <w:lastRenderedPageBreak/>
              <w:t>HIV</w:t>
            </w:r>
          </w:p>
        </w:tc>
        <w:tc>
          <w:tcPr>
            <w:tcW w:w="7087" w:type="dxa"/>
          </w:tcPr>
          <w:p w14:paraId="78D5A029" w14:textId="77777777" w:rsidR="00CD201B" w:rsidRPr="008E2DA1" w:rsidRDefault="00CD201B" w:rsidP="007700D8">
            <w:pPr>
              <w:spacing w:after="192" w:line="276" w:lineRule="auto"/>
              <w:rPr>
                <w:szCs w:val="24"/>
                <w:lang w:val="en-AU"/>
              </w:rPr>
            </w:pPr>
            <w:r w:rsidRPr="008E2DA1">
              <w:rPr>
                <w:szCs w:val="24"/>
                <w:lang w:val="en-AU"/>
              </w:rPr>
              <w:t>Human Immunodeficiency Virus</w:t>
            </w:r>
          </w:p>
        </w:tc>
      </w:tr>
      <w:tr w:rsidR="00CD201B" w:rsidRPr="008E2DA1" w14:paraId="572A767E" w14:textId="77777777" w:rsidTr="005A2B1B">
        <w:trPr>
          <w:trHeight w:val="567"/>
        </w:trPr>
        <w:tc>
          <w:tcPr>
            <w:tcW w:w="2093" w:type="dxa"/>
          </w:tcPr>
          <w:p w14:paraId="3D04DCEF" w14:textId="77777777" w:rsidR="00CD201B" w:rsidRPr="008E2DA1" w:rsidRDefault="00CD201B" w:rsidP="007700D8">
            <w:pPr>
              <w:spacing w:after="192" w:line="276" w:lineRule="auto"/>
              <w:rPr>
                <w:szCs w:val="24"/>
              </w:rPr>
            </w:pPr>
            <w:r w:rsidRPr="008E2DA1">
              <w:rPr>
                <w:szCs w:val="24"/>
              </w:rPr>
              <w:t>HRG</w:t>
            </w:r>
          </w:p>
        </w:tc>
        <w:tc>
          <w:tcPr>
            <w:tcW w:w="7087" w:type="dxa"/>
          </w:tcPr>
          <w:p w14:paraId="7E9C8F18" w14:textId="77777777" w:rsidR="00CD201B" w:rsidRPr="008E2DA1" w:rsidRDefault="00CD201B" w:rsidP="007700D8">
            <w:pPr>
              <w:spacing w:after="192" w:line="276" w:lineRule="auto"/>
              <w:rPr>
                <w:szCs w:val="24"/>
              </w:rPr>
            </w:pPr>
            <w:r w:rsidRPr="008E2DA1">
              <w:rPr>
                <w:szCs w:val="24"/>
                <w:lang w:val="en-AU"/>
              </w:rPr>
              <w:t>Health Resource Groups</w:t>
            </w:r>
          </w:p>
        </w:tc>
      </w:tr>
      <w:tr w:rsidR="00CD201B" w:rsidRPr="008E2DA1" w14:paraId="69DB271B" w14:textId="77777777" w:rsidTr="005A2B1B">
        <w:trPr>
          <w:trHeight w:val="567"/>
        </w:trPr>
        <w:tc>
          <w:tcPr>
            <w:tcW w:w="2093" w:type="dxa"/>
          </w:tcPr>
          <w:p w14:paraId="13109379" w14:textId="77777777" w:rsidR="00CD201B" w:rsidRPr="008E2DA1" w:rsidRDefault="00CD201B" w:rsidP="007700D8">
            <w:pPr>
              <w:spacing w:after="192" w:line="276" w:lineRule="auto"/>
              <w:rPr>
                <w:szCs w:val="24"/>
              </w:rPr>
            </w:pPr>
            <w:r w:rsidRPr="008E2DA1">
              <w:rPr>
                <w:szCs w:val="24"/>
              </w:rPr>
              <w:t>ICD</w:t>
            </w:r>
          </w:p>
        </w:tc>
        <w:tc>
          <w:tcPr>
            <w:tcW w:w="7087" w:type="dxa"/>
          </w:tcPr>
          <w:p w14:paraId="7DF6384F" w14:textId="77777777" w:rsidR="00CD201B" w:rsidRPr="008E2DA1" w:rsidRDefault="00CD201B" w:rsidP="007700D8">
            <w:pPr>
              <w:spacing w:after="192" w:line="276" w:lineRule="auto"/>
              <w:rPr>
                <w:szCs w:val="24"/>
              </w:rPr>
            </w:pPr>
            <w:r w:rsidRPr="008E2DA1">
              <w:rPr>
                <w:szCs w:val="24"/>
              </w:rPr>
              <w:t>International Classification of Diseases</w:t>
            </w:r>
          </w:p>
        </w:tc>
      </w:tr>
      <w:tr w:rsidR="00CD201B" w:rsidRPr="008E2DA1" w14:paraId="37C472EA" w14:textId="77777777" w:rsidTr="005A2B1B">
        <w:trPr>
          <w:trHeight w:val="567"/>
        </w:trPr>
        <w:tc>
          <w:tcPr>
            <w:tcW w:w="2093" w:type="dxa"/>
          </w:tcPr>
          <w:p w14:paraId="1778331E" w14:textId="77777777" w:rsidR="00CD201B" w:rsidRPr="008E2DA1" w:rsidRDefault="00CD201B" w:rsidP="007700D8">
            <w:pPr>
              <w:spacing w:after="192" w:line="276" w:lineRule="auto"/>
              <w:rPr>
                <w:szCs w:val="24"/>
              </w:rPr>
            </w:pPr>
            <w:r w:rsidRPr="008E2DA1">
              <w:rPr>
                <w:szCs w:val="24"/>
              </w:rPr>
              <w:t>ICD-9-CM</w:t>
            </w:r>
          </w:p>
        </w:tc>
        <w:tc>
          <w:tcPr>
            <w:tcW w:w="7087" w:type="dxa"/>
          </w:tcPr>
          <w:p w14:paraId="794DC67C" w14:textId="77777777" w:rsidR="00CD201B" w:rsidRPr="008E2DA1" w:rsidRDefault="00CD201B" w:rsidP="007700D8">
            <w:pPr>
              <w:spacing w:after="192" w:line="276" w:lineRule="auto"/>
              <w:rPr>
                <w:szCs w:val="24"/>
              </w:rPr>
            </w:pPr>
            <w:r w:rsidRPr="008E2DA1">
              <w:rPr>
                <w:szCs w:val="24"/>
              </w:rPr>
              <w:t>International Classification of Diseases, 9th Revision, Clinical Modification</w:t>
            </w:r>
          </w:p>
        </w:tc>
      </w:tr>
      <w:tr w:rsidR="00CD201B" w:rsidRPr="008E2DA1" w14:paraId="4097E98A" w14:textId="77777777" w:rsidTr="005A2B1B">
        <w:trPr>
          <w:trHeight w:val="567"/>
        </w:trPr>
        <w:tc>
          <w:tcPr>
            <w:tcW w:w="2093" w:type="dxa"/>
          </w:tcPr>
          <w:p w14:paraId="06795C32" w14:textId="77777777" w:rsidR="00CD201B" w:rsidRPr="008E2DA1" w:rsidRDefault="00CD201B" w:rsidP="007700D8">
            <w:pPr>
              <w:spacing w:after="192" w:line="276" w:lineRule="auto"/>
              <w:rPr>
                <w:szCs w:val="24"/>
              </w:rPr>
            </w:pPr>
            <w:r w:rsidRPr="008E2DA1">
              <w:rPr>
                <w:szCs w:val="24"/>
              </w:rPr>
              <w:t>ICD-10</w:t>
            </w:r>
          </w:p>
        </w:tc>
        <w:tc>
          <w:tcPr>
            <w:tcW w:w="7087" w:type="dxa"/>
          </w:tcPr>
          <w:p w14:paraId="78D28DD4" w14:textId="77777777" w:rsidR="00CD201B" w:rsidRPr="008E2DA1" w:rsidRDefault="00CD201B" w:rsidP="007700D8">
            <w:pPr>
              <w:spacing w:after="192" w:line="276" w:lineRule="auto"/>
              <w:rPr>
                <w:szCs w:val="24"/>
              </w:rPr>
            </w:pPr>
            <w:r w:rsidRPr="008E2DA1">
              <w:rPr>
                <w:szCs w:val="24"/>
              </w:rPr>
              <w:t>International Statistical Classification of Diseases and Related Health Problems, Tenth Revision</w:t>
            </w:r>
          </w:p>
        </w:tc>
      </w:tr>
      <w:tr w:rsidR="00CD201B" w:rsidRPr="008E2DA1" w14:paraId="5FE8E49F" w14:textId="77777777" w:rsidTr="005A2B1B">
        <w:trPr>
          <w:trHeight w:val="567"/>
        </w:trPr>
        <w:tc>
          <w:tcPr>
            <w:tcW w:w="2093" w:type="dxa"/>
          </w:tcPr>
          <w:p w14:paraId="1EE71FC9" w14:textId="77777777" w:rsidR="00CD201B" w:rsidRPr="008E2DA1" w:rsidRDefault="00CD201B" w:rsidP="007700D8">
            <w:pPr>
              <w:spacing w:after="192" w:line="276" w:lineRule="auto"/>
              <w:rPr>
                <w:szCs w:val="24"/>
              </w:rPr>
            </w:pPr>
            <w:r w:rsidRPr="008E2DA1">
              <w:rPr>
                <w:szCs w:val="24"/>
              </w:rPr>
              <w:t>ICD-10-AM</w:t>
            </w:r>
          </w:p>
        </w:tc>
        <w:tc>
          <w:tcPr>
            <w:tcW w:w="7087" w:type="dxa"/>
          </w:tcPr>
          <w:p w14:paraId="23BB34E4" w14:textId="77777777" w:rsidR="00CD201B" w:rsidRPr="008E2DA1" w:rsidRDefault="00CD201B" w:rsidP="007700D8">
            <w:pPr>
              <w:spacing w:after="192" w:line="276" w:lineRule="auto"/>
              <w:rPr>
                <w:szCs w:val="24"/>
              </w:rPr>
            </w:pPr>
            <w:r w:rsidRPr="008E2DA1">
              <w:rPr>
                <w:szCs w:val="24"/>
              </w:rPr>
              <w:t>International Statistical Classification of Diseases and Related Health Problems, Tenth Revision, Australian Modification</w:t>
            </w:r>
          </w:p>
        </w:tc>
      </w:tr>
      <w:tr w:rsidR="001C6D4D" w:rsidRPr="008E2DA1" w14:paraId="425773FE" w14:textId="77777777" w:rsidTr="005A2B1B">
        <w:trPr>
          <w:trHeight w:val="567"/>
        </w:trPr>
        <w:tc>
          <w:tcPr>
            <w:tcW w:w="2093" w:type="dxa"/>
          </w:tcPr>
          <w:p w14:paraId="049780C8" w14:textId="77777777" w:rsidR="001C6D4D" w:rsidRPr="008E2DA1" w:rsidRDefault="001C6D4D" w:rsidP="001F08ED">
            <w:pPr>
              <w:rPr>
                <w:szCs w:val="24"/>
              </w:rPr>
            </w:pPr>
            <w:r>
              <w:rPr>
                <w:szCs w:val="24"/>
              </w:rPr>
              <w:t>ICD-10-AM/ACHI/ACS</w:t>
            </w:r>
          </w:p>
        </w:tc>
        <w:tc>
          <w:tcPr>
            <w:tcW w:w="7087" w:type="dxa"/>
          </w:tcPr>
          <w:p w14:paraId="4334240A" w14:textId="77777777" w:rsidR="001E4BFF" w:rsidRPr="0047597D" w:rsidRDefault="001C6D4D" w:rsidP="000E5B4A">
            <w:r w:rsidRPr="009E110D">
              <w:t>International Statistical Classification of Diseases</w:t>
            </w:r>
            <w:r w:rsidRPr="0035193D">
              <w:t xml:space="preserve"> </w:t>
            </w:r>
            <w:r w:rsidRPr="009E110D">
              <w:t>and Related Health Problems, Tenth Revision, Australian Modification, the Australian Classification of Health Interventions and the Australian Coding Standards</w:t>
            </w:r>
          </w:p>
        </w:tc>
      </w:tr>
      <w:tr w:rsidR="00CD201B" w:rsidRPr="008E2DA1" w14:paraId="7513289A" w14:textId="77777777" w:rsidTr="005A2B1B">
        <w:trPr>
          <w:trHeight w:val="567"/>
        </w:trPr>
        <w:tc>
          <w:tcPr>
            <w:tcW w:w="2093" w:type="dxa"/>
          </w:tcPr>
          <w:p w14:paraId="3009A161" w14:textId="77777777" w:rsidR="00CD201B" w:rsidRPr="008E2DA1" w:rsidRDefault="00CD201B" w:rsidP="001F08ED">
            <w:pPr>
              <w:spacing w:after="192" w:line="276" w:lineRule="auto"/>
              <w:rPr>
                <w:szCs w:val="24"/>
              </w:rPr>
            </w:pPr>
            <w:r w:rsidRPr="008E2DA1">
              <w:rPr>
                <w:szCs w:val="24"/>
              </w:rPr>
              <w:t>ICU</w:t>
            </w:r>
          </w:p>
        </w:tc>
        <w:tc>
          <w:tcPr>
            <w:tcW w:w="7087" w:type="dxa"/>
          </w:tcPr>
          <w:p w14:paraId="7C80D25D" w14:textId="77777777" w:rsidR="00CD201B" w:rsidRPr="008E2DA1" w:rsidRDefault="00CD201B" w:rsidP="001F08ED">
            <w:pPr>
              <w:spacing w:after="192" w:line="276" w:lineRule="auto"/>
              <w:rPr>
                <w:szCs w:val="24"/>
              </w:rPr>
            </w:pPr>
            <w:r w:rsidRPr="008E2DA1">
              <w:rPr>
                <w:szCs w:val="24"/>
              </w:rPr>
              <w:t>Intensive Care Unit</w:t>
            </w:r>
          </w:p>
        </w:tc>
      </w:tr>
      <w:tr w:rsidR="00CD201B" w:rsidRPr="008E2DA1" w14:paraId="3D82A056" w14:textId="77777777" w:rsidTr="005A2B1B">
        <w:trPr>
          <w:trHeight w:val="567"/>
        </w:trPr>
        <w:tc>
          <w:tcPr>
            <w:tcW w:w="2093" w:type="dxa"/>
          </w:tcPr>
          <w:p w14:paraId="7B098EA8" w14:textId="77777777" w:rsidR="00CD201B" w:rsidRPr="008E2DA1" w:rsidRDefault="00CD201B" w:rsidP="007700D8">
            <w:pPr>
              <w:spacing w:after="192" w:line="276" w:lineRule="auto"/>
              <w:rPr>
                <w:szCs w:val="24"/>
              </w:rPr>
            </w:pPr>
            <w:r w:rsidRPr="008E2DA1">
              <w:rPr>
                <w:szCs w:val="24"/>
              </w:rPr>
              <w:t>IR-DRG</w:t>
            </w:r>
          </w:p>
        </w:tc>
        <w:tc>
          <w:tcPr>
            <w:tcW w:w="7087" w:type="dxa"/>
          </w:tcPr>
          <w:p w14:paraId="38B2C6D5" w14:textId="77777777" w:rsidR="00CD201B" w:rsidRPr="008E2DA1" w:rsidRDefault="00CD201B" w:rsidP="007700D8">
            <w:pPr>
              <w:spacing w:after="192" w:line="276" w:lineRule="auto"/>
              <w:rPr>
                <w:szCs w:val="24"/>
              </w:rPr>
            </w:pPr>
            <w:r w:rsidRPr="008E2DA1">
              <w:rPr>
                <w:szCs w:val="24"/>
                <w:lang w:val="en-AU"/>
              </w:rPr>
              <w:t>International Refined Diagnosis Related Groups</w:t>
            </w:r>
          </w:p>
        </w:tc>
      </w:tr>
      <w:tr w:rsidR="00CD201B" w:rsidRPr="008E2DA1" w14:paraId="3DC78899" w14:textId="77777777" w:rsidTr="005A2B1B">
        <w:trPr>
          <w:trHeight w:val="567"/>
        </w:trPr>
        <w:tc>
          <w:tcPr>
            <w:tcW w:w="2093" w:type="dxa"/>
          </w:tcPr>
          <w:p w14:paraId="574DDD9B" w14:textId="77777777" w:rsidR="00CD201B" w:rsidRPr="008E2DA1" w:rsidRDefault="00CD201B" w:rsidP="007700D8">
            <w:pPr>
              <w:spacing w:after="192" w:line="276" w:lineRule="auto"/>
              <w:rPr>
                <w:szCs w:val="24"/>
              </w:rPr>
            </w:pPr>
            <w:r w:rsidRPr="008E2DA1">
              <w:rPr>
                <w:szCs w:val="24"/>
              </w:rPr>
              <w:t>I</w:t>
            </w:r>
            <w:r>
              <w:rPr>
                <w:szCs w:val="24"/>
              </w:rPr>
              <w:t>C</w:t>
            </w:r>
            <w:r w:rsidRPr="008E2DA1">
              <w:rPr>
                <w:szCs w:val="24"/>
              </w:rPr>
              <w:t>T</w:t>
            </w:r>
          </w:p>
        </w:tc>
        <w:tc>
          <w:tcPr>
            <w:tcW w:w="7087" w:type="dxa"/>
          </w:tcPr>
          <w:p w14:paraId="613B5F65" w14:textId="77777777" w:rsidR="00CD201B" w:rsidRPr="008E2DA1" w:rsidRDefault="00CD201B" w:rsidP="007700D8">
            <w:pPr>
              <w:spacing w:after="192" w:line="276" w:lineRule="auto"/>
              <w:rPr>
                <w:szCs w:val="24"/>
              </w:rPr>
            </w:pPr>
            <w:r w:rsidRPr="008E2DA1">
              <w:rPr>
                <w:szCs w:val="24"/>
              </w:rPr>
              <w:t xml:space="preserve">Information </w:t>
            </w:r>
            <w:r>
              <w:rPr>
                <w:szCs w:val="24"/>
              </w:rPr>
              <w:t xml:space="preserve">Communication and </w:t>
            </w:r>
            <w:r w:rsidRPr="008E2DA1">
              <w:rPr>
                <w:szCs w:val="24"/>
              </w:rPr>
              <w:t>Technology</w:t>
            </w:r>
          </w:p>
        </w:tc>
      </w:tr>
      <w:tr w:rsidR="00CD201B" w:rsidRPr="008E2DA1" w14:paraId="72DEE1CA" w14:textId="77777777" w:rsidTr="005A2B1B">
        <w:trPr>
          <w:trHeight w:val="567"/>
        </w:trPr>
        <w:tc>
          <w:tcPr>
            <w:tcW w:w="2093" w:type="dxa"/>
          </w:tcPr>
          <w:p w14:paraId="2AD0266E" w14:textId="77777777" w:rsidR="00CD201B" w:rsidRPr="008E2DA1" w:rsidRDefault="00CD201B" w:rsidP="007700D8">
            <w:pPr>
              <w:spacing w:after="192" w:line="276" w:lineRule="auto"/>
              <w:rPr>
                <w:szCs w:val="24"/>
              </w:rPr>
            </w:pPr>
            <w:r w:rsidRPr="008E2DA1">
              <w:rPr>
                <w:szCs w:val="24"/>
              </w:rPr>
              <w:t>ITG</w:t>
            </w:r>
          </w:p>
        </w:tc>
        <w:tc>
          <w:tcPr>
            <w:tcW w:w="7087" w:type="dxa"/>
          </w:tcPr>
          <w:p w14:paraId="0E5F236E" w14:textId="77777777" w:rsidR="00CD201B" w:rsidRPr="008E2DA1" w:rsidRDefault="00CD201B" w:rsidP="007700D8">
            <w:pPr>
              <w:spacing w:after="192" w:line="276" w:lineRule="auto"/>
              <w:rPr>
                <w:szCs w:val="24"/>
                <w:lang w:val="en-AU"/>
              </w:rPr>
            </w:pPr>
            <w:r w:rsidRPr="008E2DA1">
              <w:rPr>
                <w:szCs w:val="24"/>
                <w:lang w:val="en-AU"/>
              </w:rPr>
              <w:t>ICD Technical Group</w:t>
            </w:r>
          </w:p>
        </w:tc>
      </w:tr>
      <w:tr w:rsidR="00CD201B" w:rsidRPr="008E2DA1" w14:paraId="1A63CF4B" w14:textId="77777777" w:rsidTr="005A2B1B">
        <w:trPr>
          <w:trHeight w:val="567"/>
        </w:trPr>
        <w:tc>
          <w:tcPr>
            <w:tcW w:w="2093" w:type="dxa"/>
          </w:tcPr>
          <w:p w14:paraId="6B88F060" w14:textId="77777777" w:rsidR="00CD201B" w:rsidRPr="008E2DA1" w:rsidRDefault="00CD201B" w:rsidP="007700D8">
            <w:pPr>
              <w:spacing w:after="192" w:line="276" w:lineRule="auto"/>
              <w:rPr>
                <w:szCs w:val="24"/>
              </w:rPr>
            </w:pPr>
            <w:r w:rsidRPr="008E2DA1">
              <w:rPr>
                <w:szCs w:val="24"/>
              </w:rPr>
              <w:t>JWP</w:t>
            </w:r>
          </w:p>
        </w:tc>
        <w:tc>
          <w:tcPr>
            <w:tcW w:w="7087" w:type="dxa"/>
          </w:tcPr>
          <w:p w14:paraId="7F7A8596" w14:textId="77777777" w:rsidR="00CD201B" w:rsidRPr="008E2DA1" w:rsidRDefault="00CD201B" w:rsidP="007700D8">
            <w:pPr>
              <w:spacing w:after="192" w:line="276" w:lineRule="auto"/>
              <w:rPr>
                <w:szCs w:val="24"/>
                <w:lang w:val="en-AU"/>
              </w:rPr>
            </w:pPr>
            <w:r w:rsidRPr="008E2DA1">
              <w:rPr>
                <w:szCs w:val="24"/>
                <w:lang w:val="en-AU"/>
              </w:rPr>
              <w:t>Joint Working Party</w:t>
            </w:r>
          </w:p>
        </w:tc>
      </w:tr>
      <w:tr w:rsidR="00CD201B" w:rsidRPr="008E2DA1" w14:paraId="198EB9B5" w14:textId="77777777" w:rsidTr="005A2B1B">
        <w:trPr>
          <w:trHeight w:val="567"/>
        </w:trPr>
        <w:tc>
          <w:tcPr>
            <w:tcW w:w="2093" w:type="dxa"/>
          </w:tcPr>
          <w:p w14:paraId="02143735" w14:textId="77777777" w:rsidR="00CD201B" w:rsidRPr="008E2DA1" w:rsidRDefault="00CD201B" w:rsidP="007700D8">
            <w:pPr>
              <w:spacing w:after="192" w:line="276" w:lineRule="auto"/>
              <w:rPr>
                <w:szCs w:val="24"/>
              </w:rPr>
            </w:pPr>
            <w:r w:rsidRPr="008E2DA1">
              <w:rPr>
                <w:szCs w:val="24"/>
              </w:rPr>
              <w:t>LKF</w:t>
            </w:r>
          </w:p>
        </w:tc>
        <w:tc>
          <w:tcPr>
            <w:tcW w:w="7087" w:type="dxa"/>
          </w:tcPr>
          <w:p w14:paraId="5C96A041" w14:textId="77777777" w:rsidR="00CD201B" w:rsidRPr="008E2DA1" w:rsidRDefault="00CD201B" w:rsidP="007700D8">
            <w:pPr>
              <w:spacing w:after="192" w:line="276" w:lineRule="auto"/>
              <w:rPr>
                <w:szCs w:val="24"/>
              </w:rPr>
            </w:pPr>
            <w:proofErr w:type="spellStart"/>
            <w:r w:rsidRPr="008E2DA1">
              <w:rPr>
                <w:szCs w:val="24"/>
                <w:lang w:val="en-AU"/>
              </w:rPr>
              <w:t>Leistungsorientierte</w:t>
            </w:r>
            <w:proofErr w:type="spellEnd"/>
            <w:r w:rsidRPr="008E2DA1">
              <w:rPr>
                <w:szCs w:val="24"/>
                <w:lang w:val="en-AU"/>
              </w:rPr>
              <w:t xml:space="preserve"> </w:t>
            </w:r>
            <w:proofErr w:type="spellStart"/>
            <w:r w:rsidRPr="008E2DA1">
              <w:rPr>
                <w:szCs w:val="24"/>
                <w:lang w:val="en-AU"/>
              </w:rPr>
              <w:t>DiagnoseFallgruppen</w:t>
            </w:r>
            <w:proofErr w:type="spellEnd"/>
          </w:p>
        </w:tc>
      </w:tr>
      <w:tr w:rsidR="00CD201B" w:rsidRPr="008E2DA1" w14:paraId="1B47D363" w14:textId="77777777" w:rsidTr="005A2B1B">
        <w:trPr>
          <w:trHeight w:val="567"/>
        </w:trPr>
        <w:tc>
          <w:tcPr>
            <w:tcW w:w="2093" w:type="dxa"/>
          </w:tcPr>
          <w:p w14:paraId="137701F0" w14:textId="77777777" w:rsidR="00CD201B" w:rsidRPr="008E2DA1" w:rsidRDefault="00CD201B" w:rsidP="007700D8">
            <w:pPr>
              <w:spacing w:after="192" w:line="276" w:lineRule="auto"/>
              <w:rPr>
                <w:szCs w:val="24"/>
              </w:rPr>
            </w:pPr>
            <w:r w:rsidRPr="008E2DA1">
              <w:rPr>
                <w:szCs w:val="24"/>
              </w:rPr>
              <w:t>LOS</w:t>
            </w:r>
          </w:p>
        </w:tc>
        <w:tc>
          <w:tcPr>
            <w:tcW w:w="7087" w:type="dxa"/>
          </w:tcPr>
          <w:p w14:paraId="57921BF8" w14:textId="77777777" w:rsidR="00CD201B" w:rsidRPr="008E2DA1" w:rsidRDefault="00CD201B" w:rsidP="007700D8">
            <w:pPr>
              <w:spacing w:after="192" w:line="276" w:lineRule="auto"/>
              <w:rPr>
                <w:szCs w:val="24"/>
              </w:rPr>
            </w:pPr>
            <w:r w:rsidRPr="008E2DA1">
              <w:rPr>
                <w:szCs w:val="24"/>
              </w:rPr>
              <w:t>Length of Stay</w:t>
            </w:r>
          </w:p>
        </w:tc>
      </w:tr>
      <w:tr w:rsidR="00CD201B" w:rsidRPr="008E2DA1" w14:paraId="1E25F37D" w14:textId="77777777" w:rsidTr="005A2B1B">
        <w:trPr>
          <w:trHeight w:val="567"/>
        </w:trPr>
        <w:tc>
          <w:tcPr>
            <w:tcW w:w="2093" w:type="dxa"/>
          </w:tcPr>
          <w:p w14:paraId="2D852BB9" w14:textId="77777777" w:rsidR="00CD201B" w:rsidRPr="008E2DA1" w:rsidRDefault="00CD201B" w:rsidP="007700D8">
            <w:pPr>
              <w:spacing w:after="192" w:line="276" w:lineRule="auto"/>
              <w:rPr>
                <w:szCs w:val="24"/>
              </w:rPr>
            </w:pPr>
            <w:r w:rsidRPr="008E2DA1">
              <w:rPr>
                <w:szCs w:val="24"/>
              </w:rPr>
              <w:t>MDC</w:t>
            </w:r>
          </w:p>
        </w:tc>
        <w:tc>
          <w:tcPr>
            <w:tcW w:w="7087" w:type="dxa"/>
          </w:tcPr>
          <w:p w14:paraId="68EB18DE" w14:textId="77777777" w:rsidR="00CD201B" w:rsidRPr="008E2DA1" w:rsidRDefault="00CD201B" w:rsidP="007700D8">
            <w:pPr>
              <w:spacing w:after="192" w:line="276" w:lineRule="auto"/>
              <w:rPr>
                <w:szCs w:val="24"/>
                <w:lang w:val="en-AU"/>
              </w:rPr>
            </w:pPr>
            <w:r w:rsidRPr="008E2DA1">
              <w:rPr>
                <w:szCs w:val="24"/>
                <w:lang w:val="en-AU"/>
              </w:rPr>
              <w:t>Major Diagnostic Category</w:t>
            </w:r>
          </w:p>
        </w:tc>
      </w:tr>
      <w:tr w:rsidR="00CD201B" w:rsidRPr="008E2DA1" w14:paraId="1DE05284" w14:textId="77777777" w:rsidTr="005A2B1B">
        <w:trPr>
          <w:trHeight w:val="567"/>
        </w:trPr>
        <w:tc>
          <w:tcPr>
            <w:tcW w:w="2093" w:type="dxa"/>
          </w:tcPr>
          <w:p w14:paraId="30FAB909" w14:textId="77777777" w:rsidR="00CD201B" w:rsidRPr="008E2DA1" w:rsidRDefault="00CD201B" w:rsidP="007700D8">
            <w:pPr>
              <w:spacing w:after="192" w:line="276" w:lineRule="auto"/>
              <w:rPr>
                <w:szCs w:val="24"/>
              </w:rPr>
            </w:pPr>
            <w:r w:rsidRPr="008E2DA1">
              <w:rPr>
                <w:szCs w:val="24"/>
              </w:rPr>
              <w:t xml:space="preserve">MEDISGRPS </w:t>
            </w:r>
          </w:p>
        </w:tc>
        <w:tc>
          <w:tcPr>
            <w:tcW w:w="7087" w:type="dxa"/>
          </w:tcPr>
          <w:p w14:paraId="1D9951B5" w14:textId="77777777" w:rsidR="00CD201B" w:rsidRPr="008E2DA1" w:rsidRDefault="00CD201B" w:rsidP="007700D8">
            <w:pPr>
              <w:spacing w:after="192" w:line="276" w:lineRule="auto"/>
              <w:rPr>
                <w:szCs w:val="24"/>
              </w:rPr>
            </w:pPr>
            <w:r w:rsidRPr="008E2DA1">
              <w:rPr>
                <w:szCs w:val="24"/>
                <w:lang w:val="en-AU"/>
              </w:rPr>
              <w:t>Medical Illness Severity Grouping System</w:t>
            </w:r>
          </w:p>
        </w:tc>
      </w:tr>
      <w:tr w:rsidR="00CD201B" w:rsidRPr="008E2DA1" w14:paraId="771A0639" w14:textId="77777777" w:rsidTr="005A2B1B">
        <w:trPr>
          <w:trHeight w:val="567"/>
        </w:trPr>
        <w:tc>
          <w:tcPr>
            <w:tcW w:w="2093" w:type="dxa"/>
          </w:tcPr>
          <w:p w14:paraId="41CA498D" w14:textId="77777777" w:rsidR="00CD201B" w:rsidRPr="008E2DA1" w:rsidRDefault="00CD201B" w:rsidP="007700D8">
            <w:pPr>
              <w:spacing w:after="192" w:line="276" w:lineRule="auto"/>
              <w:rPr>
                <w:szCs w:val="24"/>
              </w:rPr>
            </w:pPr>
            <w:r w:rsidRPr="008E2DA1">
              <w:rPr>
                <w:szCs w:val="24"/>
              </w:rPr>
              <w:lastRenderedPageBreak/>
              <w:t>MS-DRG</w:t>
            </w:r>
          </w:p>
        </w:tc>
        <w:tc>
          <w:tcPr>
            <w:tcW w:w="7087" w:type="dxa"/>
          </w:tcPr>
          <w:p w14:paraId="08747786" w14:textId="77777777" w:rsidR="00CD201B" w:rsidRPr="008E2DA1" w:rsidRDefault="00CD201B" w:rsidP="007700D8">
            <w:pPr>
              <w:spacing w:after="192" w:line="276" w:lineRule="auto"/>
              <w:rPr>
                <w:szCs w:val="24"/>
              </w:rPr>
            </w:pPr>
            <w:r w:rsidRPr="008E2DA1">
              <w:rPr>
                <w:szCs w:val="24"/>
                <w:lang w:val="en-AU"/>
              </w:rPr>
              <w:t>Medicare Severity Diagnosis Related Groups</w:t>
            </w:r>
          </w:p>
        </w:tc>
      </w:tr>
      <w:tr w:rsidR="00CD201B" w:rsidRPr="008E2DA1" w14:paraId="7D5A4390" w14:textId="77777777" w:rsidTr="005A2B1B">
        <w:trPr>
          <w:trHeight w:val="567"/>
        </w:trPr>
        <w:tc>
          <w:tcPr>
            <w:tcW w:w="2093" w:type="dxa"/>
          </w:tcPr>
          <w:p w14:paraId="3C6DC1E7" w14:textId="77777777" w:rsidR="00CD201B" w:rsidRPr="008E2DA1" w:rsidRDefault="00CD201B" w:rsidP="007700D8">
            <w:pPr>
              <w:spacing w:after="192" w:line="276" w:lineRule="auto"/>
              <w:rPr>
                <w:szCs w:val="24"/>
              </w:rPr>
            </w:pPr>
            <w:r w:rsidRPr="008E2DA1">
              <w:rPr>
                <w:szCs w:val="24"/>
              </w:rPr>
              <w:t>NCCH</w:t>
            </w:r>
          </w:p>
        </w:tc>
        <w:tc>
          <w:tcPr>
            <w:tcW w:w="7087" w:type="dxa"/>
          </w:tcPr>
          <w:p w14:paraId="59B484DF" w14:textId="77777777" w:rsidR="00CD201B" w:rsidRPr="008E2DA1" w:rsidRDefault="00CD201B" w:rsidP="007700D8">
            <w:pPr>
              <w:spacing w:after="192" w:line="276" w:lineRule="auto"/>
              <w:rPr>
                <w:szCs w:val="24"/>
              </w:rPr>
            </w:pPr>
            <w:r w:rsidRPr="008E2DA1">
              <w:rPr>
                <w:szCs w:val="24"/>
              </w:rPr>
              <w:t>National Centre for Classification in Health</w:t>
            </w:r>
          </w:p>
        </w:tc>
      </w:tr>
      <w:tr w:rsidR="00CD201B" w:rsidRPr="008E2DA1" w14:paraId="30AC54BA" w14:textId="77777777" w:rsidTr="005A2B1B">
        <w:trPr>
          <w:trHeight w:val="567"/>
        </w:trPr>
        <w:tc>
          <w:tcPr>
            <w:tcW w:w="2093" w:type="dxa"/>
          </w:tcPr>
          <w:p w14:paraId="0ADEE261" w14:textId="77777777" w:rsidR="00CD201B" w:rsidRPr="008E2DA1" w:rsidRDefault="00CD201B" w:rsidP="007700D8">
            <w:pPr>
              <w:spacing w:after="192" w:line="276" w:lineRule="auto"/>
              <w:rPr>
                <w:szCs w:val="24"/>
              </w:rPr>
            </w:pPr>
            <w:r w:rsidRPr="008E2DA1">
              <w:rPr>
                <w:szCs w:val="24"/>
              </w:rPr>
              <w:t>NHCDC</w:t>
            </w:r>
          </w:p>
        </w:tc>
        <w:tc>
          <w:tcPr>
            <w:tcW w:w="7087" w:type="dxa"/>
          </w:tcPr>
          <w:p w14:paraId="239F487B" w14:textId="77777777" w:rsidR="00CD201B" w:rsidRPr="008E2DA1" w:rsidRDefault="00CD201B" w:rsidP="007700D8">
            <w:pPr>
              <w:spacing w:after="192" w:line="276" w:lineRule="auto"/>
              <w:rPr>
                <w:szCs w:val="24"/>
              </w:rPr>
            </w:pPr>
            <w:r w:rsidRPr="008E2DA1">
              <w:rPr>
                <w:szCs w:val="24"/>
              </w:rPr>
              <w:t>National Hospital Cost Data Collection</w:t>
            </w:r>
          </w:p>
        </w:tc>
      </w:tr>
      <w:tr w:rsidR="00CD201B" w:rsidRPr="008E2DA1" w14:paraId="404DE2FE" w14:textId="77777777" w:rsidTr="005A2B1B">
        <w:trPr>
          <w:trHeight w:val="567"/>
        </w:trPr>
        <w:tc>
          <w:tcPr>
            <w:tcW w:w="2093" w:type="dxa"/>
          </w:tcPr>
          <w:p w14:paraId="5E3B2654" w14:textId="77777777" w:rsidR="00CD201B" w:rsidRPr="008E2DA1" w:rsidRDefault="00CD201B" w:rsidP="007700D8">
            <w:pPr>
              <w:spacing w:after="192" w:line="276" w:lineRule="auto"/>
              <w:rPr>
                <w:szCs w:val="24"/>
              </w:rPr>
            </w:pPr>
            <w:r w:rsidRPr="008E2DA1">
              <w:rPr>
                <w:szCs w:val="24"/>
              </w:rPr>
              <w:t>NMDS</w:t>
            </w:r>
          </w:p>
        </w:tc>
        <w:tc>
          <w:tcPr>
            <w:tcW w:w="7087" w:type="dxa"/>
          </w:tcPr>
          <w:p w14:paraId="1E3A5EA7" w14:textId="77777777" w:rsidR="00CD201B" w:rsidRPr="008E2DA1" w:rsidRDefault="001C6D4D" w:rsidP="001C6D4D">
            <w:pPr>
              <w:spacing w:after="192" w:line="276" w:lineRule="auto"/>
              <w:rPr>
                <w:szCs w:val="24"/>
              </w:rPr>
            </w:pPr>
            <w:r>
              <w:rPr>
                <w:szCs w:val="24"/>
              </w:rPr>
              <w:t>National Minimum Datas</w:t>
            </w:r>
            <w:r w:rsidR="00CD201B" w:rsidRPr="008E2DA1">
              <w:rPr>
                <w:szCs w:val="24"/>
              </w:rPr>
              <w:t>et</w:t>
            </w:r>
          </w:p>
        </w:tc>
      </w:tr>
      <w:tr w:rsidR="00CD201B" w:rsidRPr="008E2DA1" w14:paraId="66A26C07" w14:textId="77777777" w:rsidTr="005A2B1B">
        <w:trPr>
          <w:trHeight w:val="567"/>
        </w:trPr>
        <w:tc>
          <w:tcPr>
            <w:tcW w:w="2093" w:type="dxa"/>
          </w:tcPr>
          <w:p w14:paraId="0709F834" w14:textId="77777777" w:rsidR="00CD201B" w:rsidRPr="008E2DA1" w:rsidRDefault="00CD201B" w:rsidP="007700D8">
            <w:pPr>
              <w:spacing w:after="192" w:line="276" w:lineRule="auto"/>
              <w:rPr>
                <w:szCs w:val="24"/>
              </w:rPr>
            </w:pPr>
            <w:proofErr w:type="spellStart"/>
            <w:r w:rsidRPr="008E2DA1">
              <w:rPr>
                <w:szCs w:val="24"/>
              </w:rPr>
              <w:t>NordDRG</w:t>
            </w:r>
            <w:proofErr w:type="spellEnd"/>
          </w:p>
        </w:tc>
        <w:tc>
          <w:tcPr>
            <w:tcW w:w="7087" w:type="dxa"/>
          </w:tcPr>
          <w:p w14:paraId="248392C6" w14:textId="77777777" w:rsidR="00CD201B" w:rsidRPr="008E2DA1" w:rsidRDefault="00CD201B" w:rsidP="007700D8">
            <w:pPr>
              <w:spacing w:after="192" w:line="276" w:lineRule="auto"/>
              <w:rPr>
                <w:szCs w:val="24"/>
              </w:rPr>
            </w:pPr>
            <w:r w:rsidRPr="008E2DA1">
              <w:rPr>
                <w:szCs w:val="24"/>
              </w:rPr>
              <w:t>Nordic Diagnosis Related Groups</w:t>
            </w:r>
          </w:p>
        </w:tc>
      </w:tr>
      <w:tr w:rsidR="00CD201B" w:rsidRPr="008E2DA1" w14:paraId="6DD981BA" w14:textId="77777777" w:rsidTr="005A2B1B">
        <w:trPr>
          <w:trHeight w:val="567"/>
        </w:trPr>
        <w:tc>
          <w:tcPr>
            <w:tcW w:w="2093" w:type="dxa"/>
          </w:tcPr>
          <w:p w14:paraId="001727EE" w14:textId="77777777" w:rsidR="00CD201B" w:rsidRPr="008E2DA1" w:rsidRDefault="00CD201B" w:rsidP="007700D8">
            <w:pPr>
              <w:spacing w:after="192" w:line="276" w:lineRule="auto"/>
              <w:rPr>
                <w:szCs w:val="24"/>
              </w:rPr>
            </w:pPr>
            <w:r w:rsidRPr="008E2DA1">
              <w:rPr>
                <w:szCs w:val="24"/>
              </w:rPr>
              <w:t>OR</w:t>
            </w:r>
          </w:p>
        </w:tc>
        <w:tc>
          <w:tcPr>
            <w:tcW w:w="7087" w:type="dxa"/>
          </w:tcPr>
          <w:p w14:paraId="136391B5" w14:textId="77777777" w:rsidR="00CD201B" w:rsidRPr="008E2DA1" w:rsidRDefault="00CD201B" w:rsidP="007700D8">
            <w:pPr>
              <w:spacing w:after="192" w:line="276" w:lineRule="auto"/>
              <w:rPr>
                <w:szCs w:val="24"/>
              </w:rPr>
            </w:pPr>
            <w:r w:rsidRPr="008E2DA1">
              <w:rPr>
                <w:szCs w:val="24"/>
              </w:rPr>
              <w:t>Operating Room</w:t>
            </w:r>
          </w:p>
        </w:tc>
      </w:tr>
      <w:tr w:rsidR="00CD201B" w:rsidRPr="008E2DA1" w14:paraId="1FD52349" w14:textId="77777777" w:rsidTr="005A2B1B">
        <w:trPr>
          <w:trHeight w:val="567"/>
        </w:trPr>
        <w:tc>
          <w:tcPr>
            <w:tcW w:w="2093" w:type="dxa"/>
          </w:tcPr>
          <w:p w14:paraId="4C52B42D" w14:textId="77777777" w:rsidR="00CD201B" w:rsidRPr="008E2DA1" w:rsidRDefault="00CD201B" w:rsidP="007700D8">
            <w:pPr>
              <w:spacing w:after="192" w:line="276" w:lineRule="auto"/>
              <w:rPr>
                <w:szCs w:val="24"/>
              </w:rPr>
            </w:pPr>
            <w:r w:rsidRPr="008E2DA1">
              <w:rPr>
                <w:szCs w:val="24"/>
              </w:rPr>
              <w:t>PA</w:t>
            </w:r>
          </w:p>
        </w:tc>
        <w:tc>
          <w:tcPr>
            <w:tcW w:w="7087" w:type="dxa"/>
          </w:tcPr>
          <w:p w14:paraId="1BD6F080" w14:textId="77777777" w:rsidR="00CD201B" w:rsidRPr="008E2DA1" w:rsidRDefault="00CD201B" w:rsidP="007700D8">
            <w:pPr>
              <w:spacing w:after="192" w:line="276" w:lineRule="auto"/>
              <w:rPr>
                <w:szCs w:val="24"/>
              </w:rPr>
            </w:pPr>
            <w:r w:rsidRPr="008E2DA1">
              <w:rPr>
                <w:szCs w:val="24"/>
              </w:rPr>
              <w:t>Pricing Authority</w:t>
            </w:r>
          </w:p>
        </w:tc>
      </w:tr>
      <w:tr w:rsidR="001C6D4D" w:rsidRPr="008E2DA1" w14:paraId="6E4C4452" w14:textId="77777777" w:rsidTr="005A2B1B">
        <w:trPr>
          <w:trHeight w:val="567"/>
        </w:trPr>
        <w:tc>
          <w:tcPr>
            <w:tcW w:w="2093" w:type="dxa"/>
          </w:tcPr>
          <w:p w14:paraId="4EB7779E" w14:textId="77777777" w:rsidR="001C6D4D" w:rsidRPr="008E2DA1" w:rsidRDefault="001C6D4D" w:rsidP="007700D8">
            <w:pPr>
              <w:rPr>
                <w:szCs w:val="24"/>
              </w:rPr>
            </w:pPr>
            <w:r>
              <w:rPr>
                <w:szCs w:val="24"/>
              </w:rPr>
              <w:t>PCA</w:t>
            </w:r>
          </w:p>
        </w:tc>
        <w:tc>
          <w:tcPr>
            <w:tcW w:w="7087" w:type="dxa"/>
          </w:tcPr>
          <w:p w14:paraId="6F74C8E7" w14:textId="77777777" w:rsidR="001C6D4D" w:rsidRPr="008E2DA1" w:rsidRDefault="001C6D4D" w:rsidP="0047597D">
            <w:pPr>
              <w:rPr>
                <w:szCs w:val="24"/>
              </w:rPr>
            </w:pPr>
            <w:r>
              <w:rPr>
                <w:szCs w:val="24"/>
              </w:rPr>
              <w:t>Principal Clinical Advisor</w:t>
            </w:r>
          </w:p>
        </w:tc>
      </w:tr>
      <w:tr w:rsidR="00CD201B" w:rsidRPr="008E2DA1" w14:paraId="7321972C" w14:textId="77777777" w:rsidTr="005A2B1B">
        <w:trPr>
          <w:trHeight w:val="567"/>
        </w:trPr>
        <w:tc>
          <w:tcPr>
            <w:tcW w:w="2093" w:type="dxa"/>
          </w:tcPr>
          <w:p w14:paraId="7EE5E81C" w14:textId="77777777" w:rsidR="00CD201B" w:rsidRPr="008E2DA1" w:rsidRDefault="00CD201B" w:rsidP="007700D8">
            <w:pPr>
              <w:spacing w:after="192" w:line="276" w:lineRule="auto"/>
              <w:rPr>
                <w:szCs w:val="24"/>
              </w:rPr>
            </w:pPr>
            <w:r w:rsidRPr="008E2DA1">
              <w:rPr>
                <w:szCs w:val="24"/>
              </w:rPr>
              <w:t>PCCL</w:t>
            </w:r>
          </w:p>
        </w:tc>
        <w:tc>
          <w:tcPr>
            <w:tcW w:w="7087" w:type="dxa"/>
          </w:tcPr>
          <w:p w14:paraId="550670C8" w14:textId="77777777" w:rsidR="00CD201B" w:rsidRPr="008E2DA1" w:rsidRDefault="00CD201B" w:rsidP="007700D8">
            <w:pPr>
              <w:spacing w:after="192" w:line="276" w:lineRule="auto"/>
              <w:rPr>
                <w:szCs w:val="24"/>
              </w:rPr>
            </w:pPr>
            <w:r w:rsidRPr="008E2DA1">
              <w:rPr>
                <w:szCs w:val="24"/>
              </w:rPr>
              <w:t>Patient Clinical Complexity Level</w:t>
            </w:r>
          </w:p>
        </w:tc>
      </w:tr>
      <w:tr w:rsidR="00CD201B" w:rsidRPr="008E2DA1" w14:paraId="54C137C9" w14:textId="77777777" w:rsidTr="005A2B1B">
        <w:trPr>
          <w:trHeight w:val="567"/>
        </w:trPr>
        <w:tc>
          <w:tcPr>
            <w:tcW w:w="2093" w:type="dxa"/>
          </w:tcPr>
          <w:p w14:paraId="6AB1701D" w14:textId="77777777" w:rsidR="00CD201B" w:rsidRPr="008E2DA1" w:rsidRDefault="00CD201B" w:rsidP="007700D8">
            <w:pPr>
              <w:spacing w:after="192" w:line="276" w:lineRule="auto"/>
              <w:rPr>
                <w:szCs w:val="24"/>
              </w:rPr>
            </w:pPr>
            <w:proofErr w:type="spellStart"/>
            <w:r w:rsidRPr="008E2DA1">
              <w:rPr>
                <w:szCs w:val="24"/>
              </w:rPr>
              <w:t>PDx</w:t>
            </w:r>
            <w:proofErr w:type="spellEnd"/>
          </w:p>
        </w:tc>
        <w:tc>
          <w:tcPr>
            <w:tcW w:w="7087" w:type="dxa"/>
          </w:tcPr>
          <w:p w14:paraId="3426EF90" w14:textId="77777777" w:rsidR="00CD201B" w:rsidRPr="008E2DA1" w:rsidRDefault="00CD201B" w:rsidP="007700D8">
            <w:pPr>
              <w:spacing w:after="192" w:line="276" w:lineRule="auto"/>
              <w:rPr>
                <w:szCs w:val="24"/>
              </w:rPr>
            </w:pPr>
            <w:r w:rsidRPr="008E2DA1">
              <w:rPr>
                <w:szCs w:val="24"/>
              </w:rPr>
              <w:t>Principal diagnosis</w:t>
            </w:r>
          </w:p>
        </w:tc>
      </w:tr>
      <w:tr w:rsidR="00CD201B" w:rsidRPr="008E2DA1" w14:paraId="63BBD004" w14:textId="77777777" w:rsidTr="005A2B1B">
        <w:trPr>
          <w:trHeight w:val="567"/>
        </w:trPr>
        <w:tc>
          <w:tcPr>
            <w:tcW w:w="2093" w:type="dxa"/>
          </w:tcPr>
          <w:p w14:paraId="1385F702" w14:textId="77777777" w:rsidR="00CD201B" w:rsidRPr="008E2DA1" w:rsidRDefault="0047597D" w:rsidP="007700D8">
            <w:pPr>
              <w:spacing w:after="192" w:line="276" w:lineRule="auto"/>
              <w:rPr>
                <w:szCs w:val="24"/>
              </w:rPr>
            </w:pPr>
            <w:r>
              <w:rPr>
                <w:szCs w:val="24"/>
              </w:rPr>
              <w:t>RDRG</w:t>
            </w:r>
          </w:p>
        </w:tc>
        <w:tc>
          <w:tcPr>
            <w:tcW w:w="7087" w:type="dxa"/>
          </w:tcPr>
          <w:p w14:paraId="1561CB2A" w14:textId="77777777" w:rsidR="00CD201B" w:rsidRPr="008E2DA1" w:rsidRDefault="00CD201B" w:rsidP="007700D8">
            <w:pPr>
              <w:spacing w:after="192" w:line="276" w:lineRule="auto"/>
              <w:rPr>
                <w:szCs w:val="24"/>
              </w:rPr>
            </w:pPr>
            <w:r w:rsidRPr="008E2DA1">
              <w:rPr>
                <w:szCs w:val="24"/>
              </w:rPr>
              <w:t>Refined Diagnosis Related Groups (Yale)</w:t>
            </w:r>
          </w:p>
        </w:tc>
      </w:tr>
      <w:tr w:rsidR="00CD201B" w:rsidRPr="008E2DA1" w14:paraId="4BC341BF" w14:textId="77777777" w:rsidTr="005A2B1B">
        <w:trPr>
          <w:trHeight w:val="567"/>
        </w:trPr>
        <w:tc>
          <w:tcPr>
            <w:tcW w:w="2093" w:type="dxa"/>
          </w:tcPr>
          <w:p w14:paraId="3728076A" w14:textId="77777777" w:rsidR="00CD201B" w:rsidRPr="008E2DA1" w:rsidRDefault="00CD201B" w:rsidP="007700D8">
            <w:pPr>
              <w:spacing w:after="192" w:line="276" w:lineRule="auto"/>
              <w:rPr>
                <w:szCs w:val="24"/>
              </w:rPr>
            </w:pPr>
            <w:r w:rsidRPr="008E2DA1">
              <w:rPr>
                <w:szCs w:val="24"/>
              </w:rPr>
              <w:t>RID</w:t>
            </w:r>
          </w:p>
        </w:tc>
        <w:tc>
          <w:tcPr>
            <w:tcW w:w="7087" w:type="dxa"/>
          </w:tcPr>
          <w:p w14:paraId="15B13ECF" w14:textId="77777777" w:rsidR="00CD201B" w:rsidRPr="008E2DA1" w:rsidRDefault="00CD201B" w:rsidP="007700D8">
            <w:pPr>
              <w:spacing w:after="192" w:line="276" w:lineRule="auto"/>
              <w:rPr>
                <w:szCs w:val="24"/>
              </w:rPr>
            </w:pPr>
            <w:r w:rsidRPr="008E2DA1">
              <w:rPr>
                <w:szCs w:val="24"/>
              </w:rPr>
              <w:t>Reduction in Deviance</w:t>
            </w:r>
          </w:p>
        </w:tc>
      </w:tr>
      <w:tr w:rsidR="00CD201B" w:rsidRPr="008E2DA1" w14:paraId="25C4754B" w14:textId="77777777" w:rsidTr="005A2B1B">
        <w:trPr>
          <w:trHeight w:val="567"/>
        </w:trPr>
        <w:tc>
          <w:tcPr>
            <w:tcW w:w="2093" w:type="dxa"/>
          </w:tcPr>
          <w:p w14:paraId="1CBE1F38" w14:textId="77777777" w:rsidR="00CD201B" w:rsidRPr="008E2DA1" w:rsidRDefault="00CD201B" w:rsidP="007700D8">
            <w:pPr>
              <w:spacing w:after="192" w:line="276" w:lineRule="auto"/>
              <w:rPr>
                <w:szCs w:val="24"/>
              </w:rPr>
            </w:pPr>
            <w:r w:rsidRPr="008E2DA1">
              <w:rPr>
                <w:szCs w:val="24"/>
              </w:rPr>
              <w:t>SOI</w:t>
            </w:r>
          </w:p>
        </w:tc>
        <w:tc>
          <w:tcPr>
            <w:tcW w:w="7087" w:type="dxa"/>
          </w:tcPr>
          <w:p w14:paraId="44C07139" w14:textId="77777777" w:rsidR="00CD201B" w:rsidRPr="008E2DA1" w:rsidRDefault="00CD201B" w:rsidP="007700D8">
            <w:pPr>
              <w:spacing w:after="192" w:line="276" w:lineRule="auto"/>
              <w:rPr>
                <w:szCs w:val="24"/>
              </w:rPr>
            </w:pPr>
            <w:r w:rsidRPr="008E2DA1">
              <w:rPr>
                <w:szCs w:val="24"/>
                <w:lang w:val="en-AU"/>
              </w:rPr>
              <w:t>Severity of Illness Index</w:t>
            </w:r>
          </w:p>
        </w:tc>
      </w:tr>
      <w:tr w:rsidR="00CD201B" w:rsidRPr="008E2DA1" w14:paraId="57047D8C" w14:textId="77777777" w:rsidTr="005A2B1B">
        <w:trPr>
          <w:trHeight w:val="567"/>
        </w:trPr>
        <w:tc>
          <w:tcPr>
            <w:tcW w:w="2093" w:type="dxa"/>
          </w:tcPr>
          <w:p w14:paraId="7CD49310" w14:textId="77777777" w:rsidR="00CD201B" w:rsidRPr="008E2DA1" w:rsidRDefault="00CD201B" w:rsidP="007700D8">
            <w:pPr>
              <w:spacing w:after="192" w:line="276" w:lineRule="auto"/>
              <w:rPr>
                <w:szCs w:val="24"/>
              </w:rPr>
            </w:pPr>
            <w:r w:rsidRPr="008E2DA1">
              <w:rPr>
                <w:szCs w:val="24"/>
              </w:rPr>
              <w:t>UE</w:t>
            </w:r>
          </w:p>
        </w:tc>
        <w:tc>
          <w:tcPr>
            <w:tcW w:w="7087" w:type="dxa"/>
          </w:tcPr>
          <w:p w14:paraId="021ABE55" w14:textId="77777777" w:rsidR="00CD201B" w:rsidRPr="008E2DA1" w:rsidRDefault="00CD201B" w:rsidP="007700D8">
            <w:pPr>
              <w:spacing w:after="192" w:line="276" w:lineRule="auto"/>
              <w:rPr>
                <w:szCs w:val="24"/>
              </w:rPr>
            </w:pPr>
            <w:r w:rsidRPr="008E2DA1">
              <w:rPr>
                <w:szCs w:val="24"/>
              </w:rPr>
              <w:t>Unconditional Exclusion</w:t>
            </w:r>
          </w:p>
        </w:tc>
      </w:tr>
      <w:tr w:rsidR="00CD201B" w:rsidRPr="008E2DA1" w14:paraId="16CC2F25" w14:textId="77777777" w:rsidTr="005A2B1B">
        <w:trPr>
          <w:trHeight w:val="567"/>
        </w:trPr>
        <w:tc>
          <w:tcPr>
            <w:tcW w:w="2093" w:type="dxa"/>
          </w:tcPr>
          <w:p w14:paraId="62514651" w14:textId="77777777" w:rsidR="00CD201B" w:rsidRPr="008E2DA1" w:rsidRDefault="00CD201B" w:rsidP="007700D8">
            <w:pPr>
              <w:spacing w:after="192" w:line="276" w:lineRule="auto"/>
              <w:rPr>
                <w:szCs w:val="24"/>
              </w:rPr>
            </w:pPr>
            <w:r w:rsidRPr="008E2DA1">
              <w:rPr>
                <w:szCs w:val="24"/>
              </w:rPr>
              <w:t>UK</w:t>
            </w:r>
          </w:p>
        </w:tc>
        <w:tc>
          <w:tcPr>
            <w:tcW w:w="7087" w:type="dxa"/>
          </w:tcPr>
          <w:p w14:paraId="630375D4" w14:textId="77777777" w:rsidR="00CD201B" w:rsidRPr="008E2DA1" w:rsidRDefault="00CD201B" w:rsidP="007700D8">
            <w:pPr>
              <w:spacing w:after="192" w:line="276" w:lineRule="auto"/>
              <w:rPr>
                <w:szCs w:val="24"/>
              </w:rPr>
            </w:pPr>
            <w:r w:rsidRPr="008E2DA1">
              <w:rPr>
                <w:szCs w:val="24"/>
              </w:rPr>
              <w:t>United Kingdom</w:t>
            </w:r>
          </w:p>
        </w:tc>
      </w:tr>
      <w:tr w:rsidR="00CD201B" w:rsidRPr="008E2DA1" w14:paraId="675DDC3D" w14:textId="77777777" w:rsidTr="005A2B1B">
        <w:trPr>
          <w:trHeight w:val="567"/>
        </w:trPr>
        <w:tc>
          <w:tcPr>
            <w:tcW w:w="2093" w:type="dxa"/>
          </w:tcPr>
          <w:p w14:paraId="32394BD9" w14:textId="77777777" w:rsidR="00CD201B" w:rsidRPr="008E2DA1" w:rsidRDefault="00CD201B" w:rsidP="007700D8">
            <w:pPr>
              <w:spacing w:after="192" w:line="276" w:lineRule="auto"/>
              <w:rPr>
                <w:szCs w:val="24"/>
              </w:rPr>
            </w:pPr>
            <w:r w:rsidRPr="008E2DA1">
              <w:rPr>
                <w:szCs w:val="24"/>
              </w:rPr>
              <w:t>US</w:t>
            </w:r>
          </w:p>
        </w:tc>
        <w:tc>
          <w:tcPr>
            <w:tcW w:w="7087" w:type="dxa"/>
          </w:tcPr>
          <w:p w14:paraId="5B1FA084" w14:textId="77777777" w:rsidR="00CD201B" w:rsidRPr="008E2DA1" w:rsidRDefault="00CD201B" w:rsidP="007700D8">
            <w:pPr>
              <w:spacing w:after="192" w:line="276" w:lineRule="auto"/>
              <w:rPr>
                <w:szCs w:val="24"/>
              </w:rPr>
            </w:pPr>
            <w:r w:rsidRPr="008E2DA1">
              <w:rPr>
                <w:szCs w:val="24"/>
              </w:rPr>
              <w:t>United States</w:t>
            </w:r>
          </w:p>
        </w:tc>
      </w:tr>
      <w:tr w:rsidR="00CD201B" w:rsidRPr="008E2DA1" w14:paraId="64F43424" w14:textId="77777777" w:rsidTr="005A2B1B">
        <w:trPr>
          <w:trHeight w:val="567"/>
        </w:trPr>
        <w:tc>
          <w:tcPr>
            <w:tcW w:w="2093" w:type="dxa"/>
          </w:tcPr>
          <w:p w14:paraId="16D70CC5" w14:textId="77777777" w:rsidR="00CD201B" w:rsidRPr="008E2DA1" w:rsidRDefault="00CD201B" w:rsidP="007700D8">
            <w:pPr>
              <w:spacing w:after="192" w:line="276" w:lineRule="auto"/>
              <w:rPr>
                <w:szCs w:val="24"/>
              </w:rPr>
            </w:pPr>
            <w:r w:rsidRPr="008E2DA1">
              <w:rPr>
                <w:szCs w:val="24"/>
              </w:rPr>
              <w:t>USA</w:t>
            </w:r>
          </w:p>
        </w:tc>
        <w:tc>
          <w:tcPr>
            <w:tcW w:w="7087" w:type="dxa"/>
          </w:tcPr>
          <w:p w14:paraId="531197AA" w14:textId="77777777" w:rsidR="00CD201B" w:rsidRPr="008E2DA1" w:rsidRDefault="00CD201B" w:rsidP="007700D8">
            <w:pPr>
              <w:spacing w:after="192" w:line="276" w:lineRule="auto"/>
              <w:rPr>
                <w:szCs w:val="24"/>
              </w:rPr>
            </w:pPr>
            <w:r w:rsidRPr="008E2DA1">
              <w:rPr>
                <w:szCs w:val="24"/>
              </w:rPr>
              <w:t>United States of America</w:t>
            </w:r>
          </w:p>
        </w:tc>
      </w:tr>
      <w:tr w:rsidR="00CD201B" w:rsidRPr="008E2DA1" w14:paraId="1B83DB98" w14:textId="77777777" w:rsidTr="005A2B1B">
        <w:trPr>
          <w:trHeight w:val="567"/>
        </w:trPr>
        <w:tc>
          <w:tcPr>
            <w:tcW w:w="2093" w:type="dxa"/>
          </w:tcPr>
          <w:p w14:paraId="07812BB0" w14:textId="77777777" w:rsidR="00CD201B" w:rsidRPr="008E2DA1" w:rsidRDefault="00CD201B" w:rsidP="007700D8">
            <w:pPr>
              <w:spacing w:after="192" w:line="276" w:lineRule="auto"/>
              <w:rPr>
                <w:szCs w:val="24"/>
              </w:rPr>
            </w:pPr>
            <w:r w:rsidRPr="008E2DA1">
              <w:rPr>
                <w:szCs w:val="24"/>
              </w:rPr>
              <w:t>UWS</w:t>
            </w:r>
          </w:p>
        </w:tc>
        <w:tc>
          <w:tcPr>
            <w:tcW w:w="7087" w:type="dxa"/>
          </w:tcPr>
          <w:p w14:paraId="0175B3EA" w14:textId="77777777" w:rsidR="00CD201B" w:rsidRPr="008E2DA1" w:rsidRDefault="00CD201B" w:rsidP="007700D8">
            <w:pPr>
              <w:spacing w:after="192" w:line="276" w:lineRule="auto"/>
              <w:rPr>
                <w:szCs w:val="24"/>
              </w:rPr>
            </w:pPr>
            <w:r w:rsidRPr="008E2DA1">
              <w:rPr>
                <w:szCs w:val="24"/>
              </w:rPr>
              <w:t>University of Western Sydney</w:t>
            </w:r>
          </w:p>
        </w:tc>
      </w:tr>
      <w:tr w:rsidR="00CD201B" w:rsidRPr="008E2DA1" w14:paraId="24BDACC4" w14:textId="77777777" w:rsidTr="005A2B1B">
        <w:trPr>
          <w:trHeight w:val="567"/>
        </w:trPr>
        <w:tc>
          <w:tcPr>
            <w:tcW w:w="2093" w:type="dxa"/>
          </w:tcPr>
          <w:p w14:paraId="2C8C29EB" w14:textId="77777777" w:rsidR="00CD201B" w:rsidRPr="008E2DA1" w:rsidRDefault="00CD201B" w:rsidP="007700D8">
            <w:pPr>
              <w:spacing w:after="192" w:line="276" w:lineRule="auto"/>
              <w:rPr>
                <w:szCs w:val="24"/>
              </w:rPr>
            </w:pPr>
            <w:r w:rsidRPr="008E2DA1">
              <w:rPr>
                <w:szCs w:val="24"/>
              </w:rPr>
              <w:t>V</w:t>
            </w:r>
          </w:p>
        </w:tc>
        <w:tc>
          <w:tcPr>
            <w:tcW w:w="7087" w:type="dxa"/>
          </w:tcPr>
          <w:p w14:paraId="1830D73B" w14:textId="77777777" w:rsidR="00CD201B" w:rsidRPr="008E2DA1" w:rsidRDefault="00CD201B" w:rsidP="007700D8">
            <w:pPr>
              <w:spacing w:after="192" w:line="276" w:lineRule="auto"/>
              <w:rPr>
                <w:szCs w:val="24"/>
              </w:rPr>
            </w:pPr>
            <w:r w:rsidRPr="008E2DA1">
              <w:rPr>
                <w:szCs w:val="24"/>
              </w:rPr>
              <w:t>Version</w:t>
            </w:r>
          </w:p>
        </w:tc>
      </w:tr>
    </w:tbl>
    <w:p w14:paraId="1B99B17C" w14:textId="77777777" w:rsidR="005B5818" w:rsidRDefault="005B5818" w:rsidP="005B5818">
      <w:pPr>
        <w:rPr>
          <w:rStyle w:val="Heading1Char"/>
        </w:rPr>
        <w:sectPr w:rsidR="005B5818" w:rsidSect="00CD792B">
          <w:headerReference w:type="even" r:id="rId12"/>
          <w:headerReference w:type="default" r:id="rId13"/>
          <w:footerReference w:type="even" r:id="rId14"/>
          <w:footerReference w:type="default" r:id="rId15"/>
          <w:pgSz w:w="11907" w:h="16839" w:code="9"/>
          <w:pgMar w:top="1871" w:right="1440" w:bottom="1440" w:left="1440" w:header="709" w:footer="709" w:gutter="0"/>
          <w:pgNumType w:fmt="lowerRoman" w:start="1"/>
          <w:cols w:space="720"/>
          <w:docGrid w:linePitch="360"/>
        </w:sectPr>
      </w:pPr>
    </w:p>
    <w:p w14:paraId="723AAECF" w14:textId="77777777" w:rsidR="005B5818" w:rsidRDefault="005B5818" w:rsidP="00B60372">
      <w:pPr>
        <w:pStyle w:val="Heading2"/>
        <w:numPr>
          <w:ilvl w:val="0"/>
          <w:numId w:val="0"/>
        </w:numPr>
        <w:ind w:left="432" w:hanging="432"/>
      </w:pPr>
      <w:bookmarkStart w:id="2" w:name="_Toc401061039"/>
      <w:r>
        <w:lastRenderedPageBreak/>
        <w:t>Executive Summary</w:t>
      </w:r>
      <w:bookmarkEnd w:id="2"/>
    </w:p>
    <w:p w14:paraId="50512BB4" w14:textId="77777777" w:rsidR="005B5818" w:rsidRDefault="005B5818" w:rsidP="00B60372">
      <w:pPr>
        <w:pStyle w:val="Heading3"/>
        <w:numPr>
          <w:ilvl w:val="0"/>
          <w:numId w:val="0"/>
        </w:numPr>
        <w:ind w:left="432" w:hanging="432"/>
      </w:pPr>
      <w:r>
        <w:t>Overview</w:t>
      </w:r>
    </w:p>
    <w:p w14:paraId="55067B38" w14:textId="77777777" w:rsidR="006C5F66" w:rsidRDefault="006C5F66" w:rsidP="005B5818">
      <w:pPr>
        <w:rPr>
          <w:szCs w:val="24"/>
          <w:lang w:val="en-AU"/>
        </w:rPr>
      </w:pPr>
      <w:r w:rsidRPr="006C5F66">
        <w:rPr>
          <w:szCs w:val="24"/>
          <w:lang w:val="en-AU"/>
        </w:rPr>
        <w:t>This report presents the results of phase one of the project to develop Australian Refined Diagnosis Related Group</w:t>
      </w:r>
      <w:r>
        <w:rPr>
          <w:szCs w:val="24"/>
          <w:lang w:val="en-AU"/>
        </w:rPr>
        <w:t>s (AR-DRG)</w:t>
      </w:r>
      <w:r>
        <w:rPr>
          <w:rStyle w:val="FootnoteReference"/>
          <w:szCs w:val="24"/>
          <w:lang w:val="en-AU"/>
        </w:rPr>
        <w:footnoteReference w:id="1"/>
      </w:r>
      <w:r>
        <w:rPr>
          <w:szCs w:val="24"/>
          <w:lang w:val="en-AU"/>
        </w:rPr>
        <w:t xml:space="preserve"> Version</w:t>
      </w:r>
      <w:r w:rsidR="001C6D4D">
        <w:rPr>
          <w:szCs w:val="24"/>
          <w:lang w:val="en-AU"/>
        </w:rPr>
        <w:t xml:space="preserve"> (V)</w:t>
      </w:r>
      <w:r>
        <w:rPr>
          <w:szCs w:val="24"/>
          <w:lang w:val="en-AU"/>
        </w:rPr>
        <w:t xml:space="preserve"> 8.0.</w:t>
      </w:r>
      <w:r w:rsidRPr="006C5F66">
        <w:rPr>
          <w:szCs w:val="24"/>
          <w:lang w:val="en-AU"/>
        </w:rPr>
        <w:t xml:space="preserve"> This phase focuses on the case complexity component of the classification that has not been reviewed for many years.</w:t>
      </w:r>
    </w:p>
    <w:p w14:paraId="74B20395" w14:textId="77777777" w:rsidR="005B5818" w:rsidRDefault="005B5818" w:rsidP="005B5818">
      <w:pPr>
        <w:rPr>
          <w:szCs w:val="24"/>
          <w:lang w:val="en-AU"/>
        </w:rPr>
      </w:pPr>
      <w:r>
        <w:rPr>
          <w:szCs w:val="24"/>
          <w:lang w:val="en-AU"/>
        </w:rPr>
        <w:t>Case complexity</w:t>
      </w:r>
      <w:r w:rsidR="007D1377">
        <w:rPr>
          <w:rStyle w:val="FootnoteReference"/>
          <w:szCs w:val="24"/>
          <w:lang w:val="en-AU"/>
        </w:rPr>
        <w:footnoteReference w:id="2"/>
      </w:r>
      <w:r>
        <w:rPr>
          <w:szCs w:val="24"/>
          <w:lang w:val="en-AU"/>
        </w:rPr>
        <w:t xml:space="preserve"> was introduced as a feature of the Australian </w:t>
      </w:r>
      <w:proofErr w:type="spellStart"/>
      <w:r>
        <w:rPr>
          <w:szCs w:val="24"/>
          <w:lang w:val="en-AU"/>
        </w:rPr>
        <w:t>casemix</w:t>
      </w:r>
      <w:proofErr w:type="spellEnd"/>
      <w:r>
        <w:rPr>
          <w:szCs w:val="24"/>
          <w:lang w:val="en-AU"/>
        </w:rPr>
        <w:t xml:space="preserve"> system in the 1990s. The system in its current form was adopted in 2000 as part of AR-</w:t>
      </w:r>
      <w:r w:rsidR="006326CE">
        <w:rPr>
          <w:szCs w:val="24"/>
          <w:lang w:val="en-AU"/>
        </w:rPr>
        <w:t>DRG</w:t>
      </w:r>
      <w:r w:rsidR="00130EB6">
        <w:rPr>
          <w:szCs w:val="24"/>
          <w:lang w:val="en-AU"/>
        </w:rPr>
        <w:t xml:space="preserve"> </w:t>
      </w:r>
      <w:r>
        <w:rPr>
          <w:szCs w:val="24"/>
          <w:lang w:val="en-AU"/>
        </w:rPr>
        <w:t>V4.</w:t>
      </w:r>
      <w:r w:rsidR="00260F1F">
        <w:rPr>
          <w:szCs w:val="24"/>
          <w:lang w:val="en-AU"/>
        </w:rPr>
        <w:t>1</w:t>
      </w:r>
      <w:r>
        <w:rPr>
          <w:szCs w:val="24"/>
          <w:lang w:val="en-AU"/>
        </w:rPr>
        <w:t xml:space="preserve">. A review is therefore not only timely but essential given </w:t>
      </w:r>
      <w:r w:rsidR="006326CE" w:rsidRPr="006326CE">
        <w:rPr>
          <w:szCs w:val="24"/>
          <w:lang w:val="en-AU"/>
        </w:rPr>
        <w:t>that the case complexity component of the classification has a significant impact on the measurement of a hospital’s ‘</w:t>
      </w:r>
      <w:proofErr w:type="spellStart"/>
      <w:r w:rsidR="006326CE" w:rsidRPr="006326CE">
        <w:rPr>
          <w:szCs w:val="24"/>
          <w:lang w:val="en-AU"/>
        </w:rPr>
        <w:t>casemix</w:t>
      </w:r>
      <w:proofErr w:type="spellEnd"/>
      <w:r w:rsidR="006326CE" w:rsidRPr="006326CE">
        <w:rPr>
          <w:szCs w:val="24"/>
          <w:lang w:val="en-AU"/>
        </w:rPr>
        <w:t xml:space="preserve"> value’ which is the core component of Activity Based Funding (ABF) pricing models.</w:t>
      </w:r>
      <w:r w:rsidR="003B5474">
        <w:rPr>
          <w:szCs w:val="24"/>
          <w:lang w:val="en-AU"/>
        </w:rPr>
        <w:t xml:space="preserve"> </w:t>
      </w:r>
      <w:r w:rsidR="003B5474" w:rsidRPr="003B5474">
        <w:rPr>
          <w:szCs w:val="24"/>
          <w:lang w:val="en-AU"/>
        </w:rPr>
        <w:t>To date, there have been multiple changes to the existing AR-DRG structure, however a systematic review of the structure’s relationship to actual variations in resource use due to case com</w:t>
      </w:r>
      <w:r w:rsidR="003B5474">
        <w:rPr>
          <w:szCs w:val="24"/>
          <w:lang w:val="en-AU"/>
        </w:rPr>
        <w:t>plexity has not been undertaken</w:t>
      </w:r>
      <w:r w:rsidR="003B5474" w:rsidRPr="003B5474">
        <w:rPr>
          <w:szCs w:val="24"/>
          <w:lang w:val="en-AU"/>
        </w:rPr>
        <w:t>.</w:t>
      </w:r>
    </w:p>
    <w:p w14:paraId="6C406F13" w14:textId="77777777" w:rsidR="005B5818" w:rsidRDefault="005B5818" w:rsidP="005B5818">
      <w:pPr>
        <w:rPr>
          <w:szCs w:val="24"/>
          <w:lang w:val="en-AU"/>
        </w:rPr>
      </w:pPr>
      <w:r>
        <w:rPr>
          <w:szCs w:val="24"/>
          <w:lang w:val="en-AU"/>
        </w:rPr>
        <w:t xml:space="preserve">Since 2000, </w:t>
      </w:r>
      <w:r w:rsidR="005F6A48">
        <w:rPr>
          <w:szCs w:val="24"/>
          <w:lang w:val="en-AU"/>
        </w:rPr>
        <w:t xml:space="preserve">patient data has </w:t>
      </w:r>
      <w:r w:rsidR="00D8080F">
        <w:rPr>
          <w:szCs w:val="24"/>
          <w:lang w:val="en-AU"/>
        </w:rPr>
        <w:t xml:space="preserve">improved </w:t>
      </w:r>
      <w:r w:rsidR="005F6A48">
        <w:rPr>
          <w:szCs w:val="24"/>
          <w:lang w:val="en-AU"/>
        </w:rPr>
        <w:t xml:space="preserve">in </w:t>
      </w:r>
      <w:r>
        <w:rPr>
          <w:szCs w:val="24"/>
          <w:lang w:val="en-AU"/>
        </w:rPr>
        <w:t xml:space="preserve">quality, especially in relation to diagnoses and interventions. As well, cost data is now available for </w:t>
      </w:r>
      <w:r w:rsidR="00BA38C2">
        <w:rPr>
          <w:szCs w:val="24"/>
          <w:lang w:val="en-AU"/>
        </w:rPr>
        <w:t xml:space="preserve">the large majority of public </w:t>
      </w:r>
      <w:r>
        <w:rPr>
          <w:szCs w:val="24"/>
          <w:lang w:val="en-AU"/>
        </w:rPr>
        <w:t>hospital</w:t>
      </w:r>
      <w:r w:rsidR="00BA38C2">
        <w:rPr>
          <w:szCs w:val="24"/>
          <w:lang w:val="en-AU"/>
        </w:rPr>
        <w:t xml:space="preserve"> episodes</w:t>
      </w:r>
      <w:r>
        <w:rPr>
          <w:szCs w:val="24"/>
          <w:lang w:val="en-AU"/>
        </w:rPr>
        <w:t xml:space="preserve">, </w:t>
      </w:r>
      <w:r w:rsidR="003B5474" w:rsidRPr="003B5474">
        <w:rPr>
          <w:szCs w:val="24"/>
          <w:lang w:val="en-AU"/>
        </w:rPr>
        <w:t xml:space="preserve">with hospitals increasingly using methods to directly cost individual episodes of care rather </w:t>
      </w:r>
      <w:r w:rsidR="003B5474">
        <w:rPr>
          <w:szCs w:val="24"/>
          <w:lang w:val="en-AU"/>
        </w:rPr>
        <w:t xml:space="preserve">than </w:t>
      </w:r>
      <w:r w:rsidR="003B5474" w:rsidRPr="003B5474">
        <w:rPr>
          <w:szCs w:val="24"/>
          <w:lang w:val="en-AU"/>
        </w:rPr>
        <w:t>approximate the costs through cost modelling methods.</w:t>
      </w:r>
      <w:r>
        <w:rPr>
          <w:szCs w:val="24"/>
          <w:lang w:val="en-AU"/>
        </w:rPr>
        <w:t xml:space="preserve"> At the same time, the computing capacity to analyse large data sets has grown dramatically.</w:t>
      </w:r>
    </w:p>
    <w:p w14:paraId="7EF22728" w14:textId="77777777" w:rsidR="003B5474" w:rsidRDefault="005B5818" w:rsidP="00923D9A">
      <w:pPr>
        <w:rPr>
          <w:szCs w:val="24"/>
          <w:lang w:val="en-AU"/>
        </w:rPr>
      </w:pPr>
      <w:r w:rsidRPr="0087392D">
        <w:rPr>
          <w:szCs w:val="24"/>
          <w:lang w:val="en-AU"/>
        </w:rPr>
        <w:t xml:space="preserve">During the project, </w:t>
      </w:r>
      <w:r w:rsidR="00A63743">
        <w:rPr>
          <w:szCs w:val="24"/>
          <w:lang w:val="en-AU"/>
        </w:rPr>
        <w:t xml:space="preserve">the Australian Consortium for Classification Development (ACCD) </w:t>
      </w:r>
      <w:r w:rsidRPr="0087392D">
        <w:rPr>
          <w:szCs w:val="24"/>
          <w:lang w:val="en-AU"/>
        </w:rPr>
        <w:t>worked closely with both the DRG Technical Group (DTG) and Classifications Clinical Advisory Group</w:t>
      </w:r>
      <w:r w:rsidR="00F63F67">
        <w:rPr>
          <w:szCs w:val="24"/>
          <w:lang w:val="en-AU"/>
        </w:rPr>
        <w:t xml:space="preserve"> (CCAG)</w:t>
      </w:r>
      <w:r w:rsidRPr="0087392D">
        <w:rPr>
          <w:szCs w:val="24"/>
          <w:lang w:val="en-AU"/>
        </w:rPr>
        <w:t xml:space="preserve"> in developing the proposed methodology for the E</w:t>
      </w:r>
      <w:r w:rsidR="00893EB2">
        <w:rPr>
          <w:szCs w:val="24"/>
          <w:lang w:val="en-AU"/>
        </w:rPr>
        <w:t xml:space="preserve">pisode </w:t>
      </w:r>
      <w:r w:rsidRPr="0087392D">
        <w:rPr>
          <w:szCs w:val="24"/>
          <w:lang w:val="en-AU"/>
        </w:rPr>
        <w:t>C</w:t>
      </w:r>
      <w:r w:rsidR="00893EB2">
        <w:rPr>
          <w:szCs w:val="24"/>
          <w:lang w:val="en-AU"/>
        </w:rPr>
        <w:t xml:space="preserve">linical </w:t>
      </w:r>
      <w:r w:rsidRPr="0087392D">
        <w:rPr>
          <w:szCs w:val="24"/>
          <w:lang w:val="en-AU"/>
        </w:rPr>
        <w:t>C</w:t>
      </w:r>
      <w:r w:rsidR="00893EB2">
        <w:rPr>
          <w:szCs w:val="24"/>
          <w:lang w:val="en-AU"/>
        </w:rPr>
        <w:t>omplexity (ECC)</w:t>
      </w:r>
      <w:r w:rsidRPr="0087392D">
        <w:rPr>
          <w:szCs w:val="24"/>
          <w:lang w:val="en-AU"/>
        </w:rPr>
        <w:t xml:space="preserve"> Model. A DTG subgroup of clinical and classification experts from the ACCD and the DTG reviewed and formalised guiding principles for the scope of the D</w:t>
      </w:r>
      <w:r w:rsidR="00893EB2">
        <w:rPr>
          <w:szCs w:val="24"/>
          <w:lang w:val="en-AU"/>
        </w:rPr>
        <w:t xml:space="preserve">iagnosis </w:t>
      </w:r>
      <w:r w:rsidRPr="0087392D">
        <w:rPr>
          <w:szCs w:val="24"/>
          <w:lang w:val="en-AU"/>
        </w:rPr>
        <w:t>C</w:t>
      </w:r>
      <w:r w:rsidR="00893EB2">
        <w:rPr>
          <w:szCs w:val="24"/>
          <w:lang w:val="en-AU"/>
        </w:rPr>
        <w:t xml:space="preserve">omplexity </w:t>
      </w:r>
      <w:r w:rsidRPr="0087392D">
        <w:rPr>
          <w:szCs w:val="24"/>
          <w:lang w:val="en-AU"/>
        </w:rPr>
        <w:t>L</w:t>
      </w:r>
      <w:r w:rsidR="00893EB2">
        <w:rPr>
          <w:szCs w:val="24"/>
          <w:lang w:val="en-AU"/>
        </w:rPr>
        <w:t>evel (DCL) within the ECC Model</w:t>
      </w:r>
      <w:r w:rsidRPr="0087392D">
        <w:rPr>
          <w:szCs w:val="24"/>
          <w:lang w:val="en-AU"/>
        </w:rPr>
        <w:t xml:space="preserve"> (including unconditional and conditional code </w:t>
      </w:r>
      <w:r w:rsidRPr="0087392D">
        <w:rPr>
          <w:szCs w:val="24"/>
          <w:lang w:val="en-AU"/>
        </w:rPr>
        <w:lastRenderedPageBreak/>
        <w:t>exclusions). For instance, codes which provide additional or supplementary information to another code already assigned have generally been excluded, with clearly explained exceptions.</w:t>
      </w:r>
    </w:p>
    <w:p w14:paraId="2AD52218" w14:textId="77777777" w:rsidR="005B5818" w:rsidRPr="003E6368" w:rsidRDefault="005B5818" w:rsidP="00B60372">
      <w:pPr>
        <w:pStyle w:val="Heading3"/>
        <w:numPr>
          <w:ilvl w:val="0"/>
          <w:numId w:val="0"/>
        </w:numPr>
        <w:ind w:left="576" w:hanging="576"/>
      </w:pPr>
      <w:r>
        <w:t>Aims of the Review of the Case Complexity Process</w:t>
      </w:r>
    </w:p>
    <w:p w14:paraId="4D89B03C" w14:textId="77777777" w:rsidR="005B5818" w:rsidRDefault="005B5818" w:rsidP="005B5818">
      <w:pPr>
        <w:rPr>
          <w:noProof/>
          <w:szCs w:val="24"/>
          <w:lang w:val="en-GB"/>
        </w:rPr>
      </w:pPr>
      <w:r>
        <w:rPr>
          <w:noProof/>
          <w:szCs w:val="24"/>
          <w:lang w:val="en-GB"/>
        </w:rPr>
        <w:t>The overall aim of the project as detailed in Item A.2.5 of the Schedule to the contract between the Independent Hospital Pricing Authority (IHPA) and the National Centre for Classification in Health (NCCH) as lead of the ACCD was to:</w:t>
      </w:r>
    </w:p>
    <w:p w14:paraId="363ACC82" w14:textId="77777777" w:rsidR="005B5818" w:rsidRDefault="005B5818" w:rsidP="0047597D">
      <w:pPr>
        <w:pStyle w:val="Quote"/>
        <w:rPr>
          <w:b w:val="0"/>
          <w:noProof/>
          <w:lang w:val="en-AU"/>
        </w:rPr>
      </w:pPr>
      <w:r>
        <w:rPr>
          <w:noProof/>
          <w:lang w:val="en-GB"/>
        </w:rPr>
        <w:t>‘…</w:t>
      </w:r>
      <w:r w:rsidRPr="00440279">
        <w:rPr>
          <w:noProof/>
          <w:lang w:val="en-AU"/>
        </w:rPr>
        <w:t xml:space="preserve">better explain the variation in costs occurring in the admitted patient </w:t>
      </w:r>
      <w:r>
        <w:rPr>
          <w:noProof/>
          <w:lang w:val="en-AU"/>
        </w:rPr>
        <w:t>data within the AR­</w:t>
      </w:r>
      <w:r w:rsidRPr="00440279">
        <w:rPr>
          <w:noProof/>
          <w:lang w:val="en-AU"/>
        </w:rPr>
        <w:t>DRG classification</w:t>
      </w:r>
      <w:r>
        <w:rPr>
          <w:noProof/>
          <w:lang w:val="en-AU"/>
        </w:rPr>
        <w:t>.</w:t>
      </w:r>
      <w:r w:rsidRPr="00440279">
        <w:rPr>
          <w:noProof/>
          <w:lang w:val="en-AU"/>
        </w:rPr>
        <w:t>’</w:t>
      </w:r>
    </w:p>
    <w:p w14:paraId="08C4617C" w14:textId="77777777" w:rsidR="005B5818" w:rsidRPr="00440279" w:rsidRDefault="005B5818" w:rsidP="00CD792B">
      <w:pPr>
        <w:spacing w:after="0" w:line="240" w:lineRule="auto"/>
        <w:rPr>
          <w:noProof/>
          <w:szCs w:val="24"/>
          <w:lang w:val="en-GB"/>
        </w:rPr>
      </w:pPr>
      <w:r>
        <w:rPr>
          <w:noProof/>
          <w:szCs w:val="24"/>
          <w:lang w:val="en-AU"/>
        </w:rPr>
        <w:t>This has been achieved through addressing IHPA’s requirements</w:t>
      </w:r>
      <w:r w:rsidR="00CD792B">
        <w:rPr>
          <w:rStyle w:val="FootnoteReference"/>
          <w:noProof/>
          <w:szCs w:val="24"/>
          <w:lang w:val="en-AU"/>
        </w:rPr>
        <w:footnoteReference w:id="3"/>
      </w:r>
      <w:r>
        <w:rPr>
          <w:noProof/>
          <w:szCs w:val="24"/>
          <w:lang w:val="en-AU"/>
        </w:rPr>
        <w:t xml:space="preserve"> to:</w:t>
      </w:r>
    </w:p>
    <w:p w14:paraId="70DC85BF" w14:textId="77777777" w:rsidR="005B5818" w:rsidRPr="0047597D" w:rsidRDefault="005B5818" w:rsidP="0047597D">
      <w:pPr>
        <w:pStyle w:val="IHPARequiremnt"/>
      </w:pPr>
      <w:r w:rsidRPr="0047597D">
        <w:t xml:space="preserve">Review the current </w:t>
      </w:r>
      <w:r w:rsidR="00C83231" w:rsidRPr="0047597D">
        <w:t xml:space="preserve">Patient Clinical Complexity (PCCL) </w:t>
      </w:r>
      <w:r w:rsidRPr="0047597D">
        <w:t>process and identify i</w:t>
      </w:r>
      <w:r w:rsidR="00F74D3E">
        <w:t>mprovements and modifications.</w:t>
      </w:r>
    </w:p>
    <w:p w14:paraId="5703D6F6" w14:textId="77777777" w:rsidR="005B5818" w:rsidRPr="0047597D" w:rsidRDefault="005B5818" w:rsidP="0047597D">
      <w:pPr>
        <w:pStyle w:val="IHPARequiremnt"/>
      </w:pPr>
      <w:r w:rsidRPr="0047597D">
        <w:t>Determine the codes considered significant (currently the Complication and Comorbidity (CC) codes) in measuring case complexity.</w:t>
      </w:r>
    </w:p>
    <w:p w14:paraId="495A8ED5" w14:textId="77777777" w:rsidR="005B5818" w:rsidRPr="0047597D" w:rsidRDefault="005B5818" w:rsidP="0047597D">
      <w:pPr>
        <w:pStyle w:val="IHPARequiremnt"/>
      </w:pPr>
      <w:r w:rsidRPr="0047597D">
        <w:t>Determine whether there is a need for separate CC codes and/or matrix for paedia</w:t>
      </w:r>
      <w:r w:rsidR="00F74D3E">
        <w:t>tric and geriatric age splits.</w:t>
      </w:r>
    </w:p>
    <w:p w14:paraId="322657B3" w14:textId="77777777" w:rsidR="005B5818" w:rsidRPr="0047597D" w:rsidRDefault="005B5818" w:rsidP="0047597D">
      <w:pPr>
        <w:pStyle w:val="IHPARequiremnt"/>
      </w:pPr>
      <w:r w:rsidRPr="0047597D">
        <w:t>Determine whether more levels of complexity for significant diagnoses are required (currently for medical DRGs there are three C</w:t>
      </w:r>
      <w:r w:rsidR="00C83231" w:rsidRPr="0047597D">
        <w:t xml:space="preserve">omplication and </w:t>
      </w:r>
      <w:r w:rsidRPr="0047597D">
        <w:t>C</w:t>
      </w:r>
      <w:r w:rsidR="00C83231" w:rsidRPr="0047597D">
        <w:t xml:space="preserve">omorbidity </w:t>
      </w:r>
      <w:r w:rsidRPr="0047597D">
        <w:t>L</w:t>
      </w:r>
      <w:r w:rsidR="00C83231" w:rsidRPr="0047597D">
        <w:t>evel (CCL)</w:t>
      </w:r>
      <w:r w:rsidRPr="0047597D">
        <w:t xml:space="preserve"> values and for surgical D</w:t>
      </w:r>
      <w:r w:rsidR="00F74D3E">
        <w:t>RGs there are four CCL values).</w:t>
      </w:r>
    </w:p>
    <w:p w14:paraId="03FF2B19" w14:textId="77777777" w:rsidR="005B5818" w:rsidRPr="0047597D" w:rsidRDefault="005B5818" w:rsidP="0047597D">
      <w:pPr>
        <w:pStyle w:val="IHPARequiremnt"/>
      </w:pPr>
      <w:r w:rsidRPr="0047597D">
        <w:t xml:space="preserve">Examine whether more levels of </w:t>
      </w:r>
      <w:r w:rsidR="00A07333" w:rsidRPr="0047597D">
        <w:t>complexity</w:t>
      </w:r>
      <w:r w:rsidRPr="0047597D">
        <w:t xml:space="preserve"> for the overall episode PCCL score are required (currently there is a maximum value of four).</w:t>
      </w:r>
    </w:p>
    <w:p w14:paraId="6F2512FB" w14:textId="77777777" w:rsidR="005B5818" w:rsidRPr="0047597D" w:rsidRDefault="005B5818" w:rsidP="0047597D">
      <w:pPr>
        <w:pStyle w:val="IHPARequiremnt"/>
      </w:pPr>
      <w:r w:rsidRPr="0047597D">
        <w:t xml:space="preserve">Determine whether the </w:t>
      </w:r>
      <w:r w:rsidR="004C70DD" w:rsidRPr="0047597D">
        <w:t>condition onset flag</w:t>
      </w:r>
      <w:r w:rsidRPr="0047597D">
        <w:t xml:space="preserve"> (</w:t>
      </w:r>
      <w:r w:rsidR="004C70DD" w:rsidRPr="0047597D">
        <w:t>COF</w:t>
      </w:r>
      <w:r w:rsidRPr="0047597D">
        <w:t xml:space="preserve">) data should impact the case complexity score when the </w:t>
      </w:r>
      <w:r w:rsidR="004C70DD" w:rsidRPr="0047597D">
        <w:t>COF</w:t>
      </w:r>
      <w:r w:rsidRPr="0047597D">
        <w:t xml:space="preserve"> value indicates that the condition arose during the current episode of care.</w:t>
      </w:r>
    </w:p>
    <w:p w14:paraId="7C560A29" w14:textId="77777777" w:rsidR="005B5818" w:rsidRPr="0047597D" w:rsidRDefault="005B5818" w:rsidP="0047597D">
      <w:pPr>
        <w:pStyle w:val="IHPARequiremnt"/>
      </w:pPr>
      <w:r w:rsidRPr="0047597D">
        <w:t>Validate codes that are to be significant to the DRG classification and the clinical reasonableness of the final case complexity results through clinical consultation.</w:t>
      </w:r>
    </w:p>
    <w:p w14:paraId="0BD0C527" w14:textId="77777777" w:rsidR="003B5474" w:rsidRPr="003B5474" w:rsidRDefault="003B5474" w:rsidP="00B60372">
      <w:pPr>
        <w:pStyle w:val="Heading3"/>
        <w:numPr>
          <w:ilvl w:val="0"/>
          <w:numId w:val="0"/>
        </w:numPr>
        <w:ind w:left="576" w:hanging="576"/>
        <w:rPr>
          <w:noProof/>
        </w:rPr>
      </w:pPr>
      <w:r w:rsidRPr="003B5474">
        <w:rPr>
          <w:noProof/>
        </w:rPr>
        <w:lastRenderedPageBreak/>
        <w:t>Important terminology</w:t>
      </w:r>
    </w:p>
    <w:p w14:paraId="63281F30" w14:textId="77777777" w:rsidR="003B5474" w:rsidRPr="003B5474" w:rsidRDefault="003B5474" w:rsidP="003B5474">
      <w:pPr>
        <w:rPr>
          <w:szCs w:val="24"/>
          <w:lang w:val="en-AU"/>
        </w:rPr>
      </w:pPr>
      <w:r w:rsidRPr="003B5474">
        <w:rPr>
          <w:szCs w:val="24"/>
          <w:lang w:val="en-AU"/>
        </w:rPr>
        <w:t xml:space="preserve">To avoid confusion with the current case complexity system, a new terminology has been developed for use in describing </w:t>
      </w:r>
      <w:r w:rsidRPr="003B5474">
        <w:rPr>
          <w:b/>
          <w:szCs w:val="24"/>
          <w:lang w:val="en-AU"/>
        </w:rPr>
        <w:t>Episode Clinical Complexity</w:t>
      </w:r>
      <w:r w:rsidRPr="003B5474">
        <w:rPr>
          <w:szCs w:val="24"/>
          <w:lang w:val="en-AU"/>
        </w:rPr>
        <w:t xml:space="preserve"> (ECC) which is the element of AR-DRGs that recognises and allows for cost variation within Adjacent DRGs (ADRGs). The following terms describe the various concepts within the proposed ECC Model.</w:t>
      </w:r>
    </w:p>
    <w:p w14:paraId="15417338" w14:textId="77777777" w:rsidR="003B5474" w:rsidRPr="003B5474" w:rsidRDefault="003B5474" w:rsidP="003B5474">
      <w:pPr>
        <w:numPr>
          <w:ilvl w:val="0"/>
          <w:numId w:val="4"/>
        </w:numPr>
        <w:spacing w:line="240" w:lineRule="auto"/>
        <w:rPr>
          <w:b/>
          <w:szCs w:val="24"/>
        </w:rPr>
      </w:pPr>
      <w:r w:rsidRPr="003B5474">
        <w:rPr>
          <w:b/>
          <w:szCs w:val="24"/>
        </w:rPr>
        <w:t>Diagnosis Complexity Level</w:t>
      </w:r>
      <w:r w:rsidRPr="003B5474">
        <w:rPr>
          <w:szCs w:val="24"/>
        </w:rPr>
        <w:t xml:space="preserve"> (DCL) is the case complexity weight assigned to each diagnosis within a particular ADRG.</w:t>
      </w:r>
    </w:p>
    <w:p w14:paraId="0AEDEBB6" w14:textId="77777777" w:rsidR="003B5474" w:rsidRPr="003B5474" w:rsidRDefault="003B5474" w:rsidP="003B5474">
      <w:pPr>
        <w:numPr>
          <w:ilvl w:val="0"/>
          <w:numId w:val="4"/>
        </w:numPr>
        <w:spacing w:line="240" w:lineRule="auto"/>
        <w:rPr>
          <w:szCs w:val="24"/>
        </w:rPr>
      </w:pPr>
      <w:r w:rsidRPr="003B5474">
        <w:rPr>
          <w:b/>
          <w:szCs w:val="24"/>
        </w:rPr>
        <w:t xml:space="preserve">Complex Diagnoses </w:t>
      </w:r>
      <w:r w:rsidRPr="003B5474">
        <w:rPr>
          <w:szCs w:val="24"/>
        </w:rPr>
        <w:t>(</w:t>
      </w:r>
      <w:r w:rsidRPr="003B5474">
        <w:rPr>
          <w:szCs w:val="24"/>
          <w:lang w:val="en-AU"/>
        </w:rPr>
        <w:t>CDs) are the set (or list) of diagnoses that have a non-zero DCL within a particular ADRG.</w:t>
      </w:r>
    </w:p>
    <w:p w14:paraId="647859B7" w14:textId="77777777" w:rsidR="003B5474" w:rsidRPr="003B5474" w:rsidRDefault="003B5474" w:rsidP="003B5474">
      <w:pPr>
        <w:numPr>
          <w:ilvl w:val="0"/>
          <w:numId w:val="4"/>
        </w:numPr>
        <w:spacing w:line="240" w:lineRule="auto"/>
        <w:rPr>
          <w:szCs w:val="24"/>
          <w:lang w:val="en-AU"/>
        </w:rPr>
      </w:pPr>
      <w:r w:rsidRPr="003B5474">
        <w:rPr>
          <w:b/>
          <w:szCs w:val="24"/>
        </w:rPr>
        <w:t>Episode Clinical Complexity Score</w:t>
      </w:r>
      <w:r w:rsidRPr="003B5474">
        <w:rPr>
          <w:szCs w:val="24"/>
        </w:rPr>
        <w:t xml:space="preserve"> (ECCS) is the measure of the cumulative effect of DCLs for a specific episode.</w:t>
      </w:r>
    </w:p>
    <w:p w14:paraId="7816AEF3" w14:textId="77777777" w:rsidR="003B5474" w:rsidRPr="003B5474" w:rsidRDefault="003B5474" w:rsidP="003B5474">
      <w:pPr>
        <w:rPr>
          <w:szCs w:val="24"/>
          <w:lang w:val="en-AU"/>
        </w:rPr>
      </w:pPr>
      <w:r w:rsidRPr="003B5474">
        <w:rPr>
          <w:szCs w:val="24"/>
          <w:lang w:val="en-AU"/>
        </w:rPr>
        <w:t>The ECC Model is based on DCLs that estimate relative costs associated with each diagnosis within each ADRG. As well, a new ECCS has been developed, to estimate relative costs associated with each episode. The ECCS is based on the DCLs of the diagnoses present in the episode, and is simpler than the existing PCCL, but continues the principle of giving the highest weight to the highest DCLs.</w:t>
      </w:r>
    </w:p>
    <w:p w14:paraId="19428895" w14:textId="77777777" w:rsidR="005B5818" w:rsidRDefault="005B5818" w:rsidP="00B60372">
      <w:pPr>
        <w:pStyle w:val="Heading3"/>
        <w:numPr>
          <w:ilvl w:val="0"/>
          <w:numId w:val="0"/>
        </w:numPr>
        <w:ind w:left="576" w:hanging="576"/>
        <w:rPr>
          <w:rFonts w:eastAsiaTheme="minorHAnsi"/>
          <w:noProof/>
        </w:rPr>
      </w:pPr>
      <w:r>
        <w:rPr>
          <w:rFonts w:eastAsiaTheme="minorHAnsi"/>
          <w:noProof/>
        </w:rPr>
        <w:t>Methodology</w:t>
      </w:r>
    </w:p>
    <w:p w14:paraId="287E699D" w14:textId="77777777" w:rsidR="005B5818" w:rsidRPr="001703F3" w:rsidRDefault="003B5474" w:rsidP="005B5818">
      <w:pPr>
        <w:rPr>
          <w:rFonts w:ascii="Calibri" w:eastAsia="Calibri" w:hAnsi="Calibri" w:cs="Times New Roman"/>
          <w:szCs w:val="24"/>
          <w:lang w:val="en-AU"/>
        </w:rPr>
      </w:pPr>
      <w:r w:rsidRPr="003B5474">
        <w:rPr>
          <w:rFonts w:ascii="Calibri" w:eastAsia="Calibri" w:hAnsi="Calibri" w:cs="Times New Roman"/>
          <w:szCs w:val="24"/>
          <w:lang w:val="en-AU"/>
        </w:rPr>
        <w:t xml:space="preserve">An initial assessment was undertaken to determine whether the current system of measuring and classifying case complexity in AR-DRGs simply needed refinement or had to be redeveloped. This assessment involved consideration of </w:t>
      </w:r>
      <w:r w:rsidR="005B5818" w:rsidRPr="001703F3">
        <w:rPr>
          <w:rFonts w:ascii="Calibri" w:eastAsia="Calibri" w:hAnsi="Calibri" w:cs="Times New Roman"/>
          <w:szCs w:val="24"/>
          <w:lang w:val="en-AU"/>
        </w:rPr>
        <w:t>the principles that should apply in constructing a case complexity process (including an examination of methods used in other countries), and a review of the explanatory power of the current system. It was concluded that a full review of the current structure was required</w:t>
      </w:r>
      <w:r w:rsidRPr="003B5474">
        <w:rPr>
          <w:rFonts w:ascii="Calibri" w:eastAsia="Calibri" w:hAnsi="Calibri" w:cs="Times New Roman"/>
          <w:szCs w:val="24"/>
          <w:lang w:val="en-AU"/>
        </w:rPr>
        <w:t xml:space="preserve"> </w:t>
      </w:r>
      <w:r>
        <w:rPr>
          <w:rFonts w:ascii="Calibri" w:eastAsia="Calibri" w:hAnsi="Calibri" w:cs="Times New Roman"/>
          <w:szCs w:val="24"/>
          <w:lang w:val="en-AU"/>
        </w:rPr>
        <w:t>as the current system lacked explanatory power</w:t>
      </w:r>
      <w:r w:rsidR="005B5818" w:rsidRPr="001703F3">
        <w:rPr>
          <w:rFonts w:ascii="Calibri" w:eastAsia="Calibri" w:hAnsi="Calibri" w:cs="Times New Roman"/>
          <w:szCs w:val="24"/>
          <w:lang w:val="en-AU"/>
        </w:rPr>
        <w:t xml:space="preserve"> and model</w:t>
      </w:r>
      <w:r>
        <w:rPr>
          <w:rFonts w:ascii="Calibri" w:eastAsia="Calibri" w:hAnsi="Calibri" w:cs="Times New Roman"/>
          <w:szCs w:val="24"/>
          <w:lang w:val="en-AU"/>
        </w:rPr>
        <w:t>s</w:t>
      </w:r>
      <w:r w:rsidR="005B5818" w:rsidRPr="001703F3">
        <w:rPr>
          <w:rFonts w:ascii="Calibri" w:eastAsia="Calibri" w:hAnsi="Calibri" w:cs="Times New Roman"/>
          <w:szCs w:val="24"/>
          <w:lang w:val="en-AU"/>
        </w:rPr>
        <w:t xml:space="preserve"> use</w:t>
      </w:r>
      <w:r>
        <w:rPr>
          <w:rFonts w:ascii="Calibri" w:eastAsia="Calibri" w:hAnsi="Calibri" w:cs="Times New Roman"/>
          <w:szCs w:val="24"/>
          <w:lang w:val="en-AU"/>
        </w:rPr>
        <w:t>d</w:t>
      </w:r>
      <w:r w:rsidR="005B5818" w:rsidRPr="001703F3">
        <w:rPr>
          <w:rFonts w:ascii="Calibri" w:eastAsia="Calibri" w:hAnsi="Calibri" w:cs="Times New Roman"/>
          <w:szCs w:val="24"/>
          <w:lang w:val="en-AU"/>
        </w:rPr>
        <w:t xml:space="preserve"> elsewhere could </w:t>
      </w:r>
      <w:r>
        <w:rPr>
          <w:rFonts w:ascii="Calibri" w:eastAsia="Calibri" w:hAnsi="Calibri" w:cs="Times New Roman"/>
          <w:szCs w:val="24"/>
          <w:lang w:val="en-AU"/>
        </w:rPr>
        <w:t xml:space="preserve">not </w:t>
      </w:r>
      <w:r w:rsidR="005B5818" w:rsidRPr="001703F3">
        <w:rPr>
          <w:rFonts w:ascii="Calibri" w:eastAsia="Calibri" w:hAnsi="Calibri" w:cs="Times New Roman"/>
          <w:szCs w:val="24"/>
          <w:lang w:val="en-AU"/>
        </w:rPr>
        <w:t>be readily adapted to Australian conditions.</w:t>
      </w:r>
    </w:p>
    <w:p w14:paraId="14A66954" w14:textId="77777777" w:rsidR="00FE515A" w:rsidRDefault="003B5474" w:rsidP="00FE515A">
      <w:pPr>
        <w:rPr>
          <w:rFonts w:ascii="Calibri" w:eastAsia="Calibri" w:hAnsi="Calibri" w:cs="Times New Roman"/>
          <w:szCs w:val="24"/>
          <w:lang w:val="en-AU"/>
        </w:rPr>
      </w:pPr>
      <w:r>
        <w:rPr>
          <w:rFonts w:ascii="Calibri" w:eastAsia="Calibri" w:hAnsi="Calibri" w:cs="Times New Roman"/>
          <w:szCs w:val="24"/>
          <w:lang w:val="en-AU"/>
        </w:rPr>
        <w:t xml:space="preserve">The next step of the process involved </w:t>
      </w:r>
      <w:r w:rsidR="00FE515A">
        <w:rPr>
          <w:rFonts w:ascii="Calibri" w:eastAsia="Calibri" w:hAnsi="Calibri" w:cs="Times New Roman"/>
          <w:szCs w:val="24"/>
          <w:lang w:val="en-AU"/>
        </w:rPr>
        <w:t xml:space="preserve">an </w:t>
      </w:r>
      <w:r>
        <w:rPr>
          <w:rFonts w:ascii="Calibri" w:eastAsia="Calibri" w:hAnsi="Calibri" w:cs="Times New Roman"/>
          <w:szCs w:val="24"/>
          <w:lang w:val="en-AU"/>
        </w:rPr>
        <w:t xml:space="preserve">exploration of factors that appeared to be associated with increased costs within ADRGs. The initial analyses </w:t>
      </w:r>
      <w:r w:rsidR="005B5818">
        <w:rPr>
          <w:rFonts w:ascii="Calibri" w:eastAsia="Calibri" w:hAnsi="Calibri" w:cs="Times New Roman"/>
          <w:szCs w:val="24"/>
          <w:lang w:val="en-AU"/>
        </w:rPr>
        <w:t>of 200</w:t>
      </w:r>
      <w:r w:rsidR="005B5818" w:rsidRPr="001703F3">
        <w:rPr>
          <w:rFonts w:ascii="Calibri" w:eastAsia="Calibri" w:hAnsi="Calibri" w:cs="Times New Roman"/>
          <w:szCs w:val="24"/>
          <w:lang w:val="en-AU"/>
        </w:rPr>
        <w:t>9-10 to 2011-12 patien</w:t>
      </w:r>
      <w:r w:rsidR="00FE515A">
        <w:rPr>
          <w:rFonts w:ascii="Calibri" w:eastAsia="Calibri" w:hAnsi="Calibri" w:cs="Times New Roman"/>
          <w:szCs w:val="24"/>
          <w:lang w:val="en-AU"/>
        </w:rPr>
        <w:t xml:space="preserve">t and cost data were undertaken and </w:t>
      </w:r>
      <w:r w:rsidR="00FE515A" w:rsidRPr="00FE515A">
        <w:rPr>
          <w:rFonts w:ascii="Calibri" w:eastAsia="Calibri" w:hAnsi="Calibri" w:cs="Times New Roman"/>
          <w:szCs w:val="24"/>
          <w:lang w:val="en-AU"/>
        </w:rPr>
        <w:t>two findings emerged. Firstly, that costs generally increased as the number of diagnoses increased</w:t>
      </w:r>
      <w:r w:rsidR="00FE515A">
        <w:rPr>
          <w:rFonts w:ascii="Calibri" w:eastAsia="Calibri" w:hAnsi="Calibri" w:cs="Times New Roman"/>
          <w:szCs w:val="24"/>
          <w:lang w:val="en-AU"/>
        </w:rPr>
        <w:t xml:space="preserve">. </w:t>
      </w:r>
      <w:r w:rsidR="00FE515A" w:rsidRPr="001703F3">
        <w:rPr>
          <w:rFonts w:ascii="Calibri" w:eastAsia="Times New Roman" w:hAnsi="Calibri" w:cs="Times New Roman"/>
          <w:szCs w:val="24"/>
          <w:lang w:val="en-AU"/>
        </w:rPr>
        <w:t xml:space="preserve">This was true whether or not the diagnosis </w:t>
      </w:r>
      <w:r w:rsidR="00FE515A">
        <w:rPr>
          <w:rFonts w:ascii="Calibri" w:eastAsia="Times New Roman" w:hAnsi="Calibri" w:cs="Times New Roman"/>
          <w:szCs w:val="24"/>
          <w:lang w:val="en-AU"/>
        </w:rPr>
        <w:t>was a principal diagnosis (</w:t>
      </w:r>
      <w:proofErr w:type="spellStart"/>
      <w:r w:rsidR="00FE515A">
        <w:rPr>
          <w:rFonts w:ascii="Calibri" w:eastAsia="Times New Roman" w:hAnsi="Calibri" w:cs="Times New Roman"/>
          <w:szCs w:val="24"/>
          <w:lang w:val="en-AU"/>
        </w:rPr>
        <w:t>PDx</w:t>
      </w:r>
      <w:proofErr w:type="spellEnd"/>
      <w:r w:rsidR="00FE515A">
        <w:rPr>
          <w:rFonts w:ascii="Calibri" w:eastAsia="Times New Roman" w:hAnsi="Calibri" w:cs="Times New Roman"/>
          <w:szCs w:val="24"/>
          <w:lang w:val="en-AU"/>
        </w:rPr>
        <w:t>)</w:t>
      </w:r>
      <w:r w:rsidR="00FE515A" w:rsidRPr="001703F3">
        <w:rPr>
          <w:rFonts w:ascii="Calibri" w:eastAsia="Times New Roman" w:hAnsi="Calibri" w:cs="Times New Roman"/>
          <w:szCs w:val="24"/>
          <w:lang w:val="en-AU"/>
        </w:rPr>
        <w:t xml:space="preserve"> for the ADRG, or not. </w:t>
      </w:r>
      <w:r w:rsidR="00FE515A">
        <w:rPr>
          <w:rFonts w:ascii="Calibri" w:eastAsia="Times New Roman" w:hAnsi="Calibri" w:cs="Times New Roman"/>
          <w:szCs w:val="24"/>
          <w:lang w:val="en-AU"/>
        </w:rPr>
        <w:t xml:space="preserve">Secondly, </w:t>
      </w:r>
      <w:r w:rsidR="00FE515A" w:rsidRPr="001703F3">
        <w:rPr>
          <w:rFonts w:ascii="Calibri" w:eastAsia="Calibri" w:hAnsi="Calibri" w:cs="Times New Roman"/>
          <w:szCs w:val="24"/>
          <w:lang w:val="en-AU"/>
        </w:rPr>
        <w:t xml:space="preserve">the degree of </w:t>
      </w:r>
      <w:r w:rsidR="00FE515A" w:rsidRPr="001703F3">
        <w:rPr>
          <w:rFonts w:ascii="Calibri" w:eastAsia="Calibri" w:hAnsi="Calibri" w:cs="Times New Roman"/>
          <w:szCs w:val="24"/>
          <w:lang w:val="en-AU"/>
        </w:rPr>
        <w:lastRenderedPageBreak/>
        <w:t xml:space="preserve">variation in episode cost according to the </w:t>
      </w:r>
      <w:proofErr w:type="spellStart"/>
      <w:r w:rsidR="00FE515A">
        <w:rPr>
          <w:rFonts w:ascii="Calibri" w:eastAsia="Calibri" w:hAnsi="Calibri" w:cs="Times New Roman"/>
          <w:szCs w:val="24"/>
          <w:lang w:val="en-AU"/>
        </w:rPr>
        <w:t>PDx</w:t>
      </w:r>
      <w:proofErr w:type="spellEnd"/>
      <w:r w:rsidR="00FE515A" w:rsidRPr="001703F3">
        <w:rPr>
          <w:rFonts w:ascii="Calibri" w:eastAsia="Calibri" w:hAnsi="Calibri" w:cs="Times New Roman"/>
          <w:szCs w:val="24"/>
          <w:lang w:val="en-AU"/>
        </w:rPr>
        <w:t xml:space="preserve"> was noted. </w:t>
      </w:r>
      <w:r w:rsidR="00FE515A">
        <w:rPr>
          <w:rFonts w:ascii="Calibri" w:eastAsia="Calibri" w:hAnsi="Calibri" w:cs="Times New Roman"/>
          <w:szCs w:val="24"/>
          <w:lang w:val="en-AU"/>
        </w:rPr>
        <w:t xml:space="preserve">The </w:t>
      </w:r>
      <w:proofErr w:type="spellStart"/>
      <w:r w:rsidR="00FE515A">
        <w:rPr>
          <w:rFonts w:ascii="Calibri" w:eastAsia="Calibri" w:hAnsi="Calibri" w:cs="Times New Roman"/>
          <w:szCs w:val="24"/>
          <w:lang w:val="en-AU"/>
        </w:rPr>
        <w:t>PDx</w:t>
      </w:r>
      <w:proofErr w:type="spellEnd"/>
      <w:r w:rsidR="00FE515A" w:rsidRPr="001703F3">
        <w:rPr>
          <w:rFonts w:ascii="Calibri" w:eastAsia="Calibri" w:hAnsi="Calibri" w:cs="Times New Roman"/>
          <w:szCs w:val="24"/>
          <w:lang w:val="en-AU"/>
        </w:rPr>
        <w:t xml:space="preserve"> is currently ignored in estimating case complexity (except for neonates</w:t>
      </w:r>
      <w:r w:rsidR="00260F1F">
        <w:rPr>
          <w:rFonts w:ascii="Calibri" w:eastAsia="Calibri" w:hAnsi="Calibri" w:cs="Times New Roman"/>
          <w:szCs w:val="24"/>
          <w:lang w:val="en-AU"/>
        </w:rPr>
        <w:t xml:space="preserve"> and obstetrics</w:t>
      </w:r>
      <w:r w:rsidR="00FE515A" w:rsidRPr="001703F3">
        <w:rPr>
          <w:rFonts w:ascii="Calibri" w:eastAsia="Calibri" w:hAnsi="Calibri" w:cs="Times New Roman"/>
          <w:szCs w:val="24"/>
          <w:lang w:val="en-AU"/>
        </w:rPr>
        <w:t xml:space="preserve">). The variation is substantial for surgical </w:t>
      </w:r>
      <w:r w:rsidR="00FE515A">
        <w:rPr>
          <w:rFonts w:ascii="Calibri" w:eastAsia="Calibri" w:hAnsi="Calibri" w:cs="Times New Roman"/>
          <w:szCs w:val="24"/>
          <w:lang w:val="en-AU"/>
        </w:rPr>
        <w:t>ADRGs</w:t>
      </w:r>
      <w:r w:rsidR="00FE515A" w:rsidRPr="001703F3">
        <w:rPr>
          <w:rFonts w:ascii="Calibri" w:eastAsia="Calibri" w:hAnsi="Calibri" w:cs="Times New Roman"/>
          <w:szCs w:val="24"/>
          <w:lang w:val="en-AU"/>
        </w:rPr>
        <w:t xml:space="preserve">, determined by the key intervention undertaken, but also noticeable in medical and other ADRGs. Consequently, the </w:t>
      </w:r>
      <w:proofErr w:type="spellStart"/>
      <w:r w:rsidR="00FE515A">
        <w:rPr>
          <w:rFonts w:ascii="Calibri" w:eastAsia="Calibri" w:hAnsi="Calibri" w:cs="Times New Roman"/>
          <w:szCs w:val="24"/>
          <w:lang w:val="en-AU"/>
        </w:rPr>
        <w:t>PDx</w:t>
      </w:r>
      <w:proofErr w:type="spellEnd"/>
      <w:r w:rsidR="00FE515A" w:rsidRPr="001703F3">
        <w:rPr>
          <w:rFonts w:ascii="Calibri" w:eastAsia="Calibri" w:hAnsi="Calibri" w:cs="Times New Roman"/>
          <w:szCs w:val="24"/>
          <w:lang w:val="en-AU"/>
        </w:rPr>
        <w:t xml:space="preserve"> was included in the method developed.</w:t>
      </w:r>
    </w:p>
    <w:p w14:paraId="4F238552" w14:textId="77777777" w:rsidR="00FE515A" w:rsidRPr="00FE515A" w:rsidRDefault="00FE515A" w:rsidP="00FE515A">
      <w:pPr>
        <w:rPr>
          <w:rFonts w:ascii="Calibri" w:eastAsia="Calibri" w:hAnsi="Calibri" w:cs="Times New Roman"/>
          <w:szCs w:val="24"/>
          <w:lang w:val="en-AU"/>
        </w:rPr>
      </w:pPr>
      <w:r w:rsidRPr="00FE515A">
        <w:rPr>
          <w:rFonts w:ascii="Calibri" w:eastAsia="Calibri" w:hAnsi="Calibri" w:cs="Times New Roman"/>
          <w:szCs w:val="24"/>
          <w:lang w:val="en-AU"/>
        </w:rPr>
        <w:t xml:space="preserve">Consequently, the progressive change in cost for each specific diagnosis (including the </w:t>
      </w:r>
      <w:proofErr w:type="spellStart"/>
      <w:r w:rsidRPr="00FE515A">
        <w:rPr>
          <w:rFonts w:ascii="Calibri" w:eastAsia="Calibri" w:hAnsi="Calibri" w:cs="Times New Roman"/>
          <w:szCs w:val="24"/>
          <w:lang w:val="en-AU"/>
        </w:rPr>
        <w:t>PDx</w:t>
      </w:r>
      <w:proofErr w:type="spellEnd"/>
      <w:r w:rsidRPr="00FE515A">
        <w:rPr>
          <w:rFonts w:ascii="Calibri" w:eastAsia="Calibri" w:hAnsi="Calibri" w:cs="Times New Roman"/>
          <w:szCs w:val="24"/>
          <w:lang w:val="en-AU"/>
        </w:rPr>
        <w:t>)</w:t>
      </w:r>
      <w:r w:rsidR="005F6A48">
        <w:rPr>
          <w:rFonts w:ascii="Calibri" w:eastAsia="Calibri" w:hAnsi="Calibri" w:cs="Times New Roman"/>
          <w:szCs w:val="24"/>
          <w:lang w:val="en-AU"/>
        </w:rPr>
        <w:t>,</w:t>
      </w:r>
      <w:r w:rsidRPr="00FE515A">
        <w:rPr>
          <w:rFonts w:ascii="Calibri" w:eastAsia="Calibri" w:hAnsi="Calibri" w:cs="Times New Roman"/>
          <w:szCs w:val="24"/>
          <w:lang w:val="en-AU"/>
        </w:rPr>
        <w:t xml:space="preserve"> as the number of diagnoses increases</w:t>
      </w:r>
      <w:r>
        <w:rPr>
          <w:rFonts w:ascii="Calibri" w:eastAsia="Calibri" w:hAnsi="Calibri" w:cs="Times New Roman"/>
          <w:szCs w:val="24"/>
          <w:lang w:val="en-AU"/>
        </w:rPr>
        <w:t xml:space="preserve"> </w:t>
      </w:r>
      <w:r w:rsidRPr="00FE515A">
        <w:rPr>
          <w:rFonts w:ascii="Calibri" w:eastAsia="Calibri" w:hAnsi="Calibri" w:cs="Times New Roman"/>
          <w:szCs w:val="24"/>
          <w:lang w:val="en-AU"/>
        </w:rPr>
        <w:t>within each ADRG, was used as the base for the proposed case complexity method. An estimate of the relative cost related to a diagnosis in an ADRG has been defined by averaging these progressive changes.</w:t>
      </w:r>
    </w:p>
    <w:p w14:paraId="20BE7169" w14:textId="77777777" w:rsidR="005B5818" w:rsidRPr="001703F3" w:rsidRDefault="005B5818" w:rsidP="005B5818">
      <w:pPr>
        <w:rPr>
          <w:rFonts w:ascii="Calibri" w:eastAsia="Calibri" w:hAnsi="Calibri" w:cs="Times New Roman"/>
          <w:szCs w:val="24"/>
          <w:lang w:val="en-AU"/>
        </w:rPr>
      </w:pPr>
      <w:r w:rsidRPr="001703F3">
        <w:rPr>
          <w:rFonts w:ascii="Calibri" w:eastAsia="Calibri" w:hAnsi="Calibri" w:cs="Times New Roman"/>
          <w:szCs w:val="24"/>
          <w:lang w:val="en-AU"/>
        </w:rPr>
        <w:t xml:space="preserve">Potentially there are a </w:t>
      </w:r>
      <w:r w:rsidR="00FE515A">
        <w:rPr>
          <w:rFonts w:ascii="Calibri" w:eastAsia="Calibri" w:hAnsi="Calibri" w:cs="Times New Roman"/>
          <w:szCs w:val="24"/>
          <w:lang w:val="en-AU"/>
        </w:rPr>
        <w:t xml:space="preserve">large </w:t>
      </w:r>
      <w:r w:rsidRPr="001703F3">
        <w:rPr>
          <w:rFonts w:ascii="Calibri" w:eastAsia="Calibri" w:hAnsi="Calibri" w:cs="Times New Roman"/>
          <w:szCs w:val="24"/>
          <w:lang w:val="en-AU"/>
        </w:rPr>
        <w:t xml:space="preserve">number of relative costs defined in this way. Some classes of diagnoses have been excluded from the </w:t>
      </w:r>
      <w:r>
        <w:rPr>
          <w:rFonts w:ascii="Calibri" w:eastAsia="Calibri" w:hAnsi="Calibri" w:cs="Times New Roman"/>
          <w:szCs w:val="24"/>
          <w:lang w:val="en-AU"/>
        </w:rPr>
        <w:t>ECC Model</w:t>
      </w:r>
      <w:r w:rsidRPr="001703F3">
        <w:rPr>
          <w:rFonts w:ascii="Calibri" w:eastAsia="Calibri" w:hAnsi="Calibri" w:cs="Times New Roman"/>
          <w:szCs w:val="24"/>
          <w:lang w:val="en-AU"/>
        </w:rPr>
        <w:t xml:space="preserve">, and their DCL is set to zero for all ADRGs. For many potential combinations of diagnosis and ADRG, there will be either no episodes with the combination or else a very small number. An algorithm is described for combining diagnoses and ADRGs to </w:t>
      </w:r>
      <w:r w:rsidR="00C83231">
        <w:rPr>
          <w:rFonts w:ascii="Calibri" w:eastAsia="Calibri" w:hAnsi="Calibri" w:cs="Times New Roman"/>
          <w:szCs w:val="24"/>
          <w:lang w:val="en-AU"/>
        </w:rPr>
        <w:t>obtain</w:t>
      </w:r>
      <w:r w:rsidRPr="001703F3">
        <w:rPr>
          <w:rFonts w:ascii="Calibri" w:eastAsia="Calibri" w:hAnsi="Calibri" w:cs="Times New Roman"/>
          <w:szCs w:val="24"/>
          <w:lang w:val="en-AU"/>
        </w:rPr>
        <w:t xml:space="preserve"> a threshold number of episodes for statistically robust estimation, and to ensure comparability of DCLs across ADRGs.</w:t>
      </w:r>
    </w:p>
    <w:p w14:paraId="45117BB9" w14:textId="77777777" w:rsidR="005B5818" w:rsidRDefault="005B5818" w:rsidP="005B5818">
      <w:pPr>
        <w:rPr>
          <w:rFonts w:ascii="Calibri" w:eastAsia="Calibri" w:hAnsi="Calibri" w:cs="Times New Roman"/>
          <w:szCs w:val="24"/>
          <w:lang w:val="en-AU"/>
        </w:rPr>
      </w:pPr>
      <w:r w:rsidRPr="001703F3">
        <w:rPr>
          <w:rFonts w:ascii="Calibri" w:eastAsia="Calibri" w:hAnsi="Calibri" w:cs="Times New Roman"/>
          <w:szCs w:val="24"/>
          <w:lang w:val="en-AU"/>
        </w:rPr>
        <w:t xml:space="preserve">To combine DCLs to estimate the </w:t>
      </w:r>
      <w:r>
        <w:rPr>
          <w:rFonts w:ascii="Calibri" w:eastAsia="Calibri" w:hAnsi="Calibri" w:cs="Times New Roman"/>
          <w:szCs w:val="24"/>
          <w:lang w:val="en-AU"/>
        </w:rPr>
        <w:t>ECCS</w:t>
      </w:r>
      <w:r w:rsidRPr="001703F3">
        <w:rPr>
          <w:rFonts w:ascii="Calibri" w:eastAsia="Calibri" w:hAnsi="Calibri" w:cs="Times New Roman"/>
          <w:szCs w:val="24"/>
          <w:lang w:val="en-AU"/>
        </w:rPr>
        <w:t xml:space="preserve">, </w:t>
      </w:r>
      <w:r>
        <w:rPr>
          <w:rFonts w:ascii="Calibri" w:eastAsia="Calibri" w:hAnsi="Calibri" w:cs="Times New Roman"/>
          <w:szCs w:val="24"/>
          <w:lang w:val="en-AU"/>
        </w:rPr>
        <w:t>the ECC Model adds</w:t>
      </w:r>
      <w:r w:rsidRPr="001703F3">
        <w:rPr>
          <w:rFonts w:ascii="Calibri" w:eastAsia="Calibri" w:hAnsi="Calibri" w:cs="Times New Roman"/>
          <w:szCs w:val="24"/>
          <w:lang w:val="en-AU"/>
        </w:rPr>
        <w:t xml:space="preserve"> DCLs in descending order, using a decay component to adjust for the diminished contribution of multiple diagnoses vis-à-vis their individual contributions. The formula</w:t>
      </w:r>
      <w:r w:rsidR="0009435F">
        <w:rPr>
          <w:rFonts w:ascii="Calibri" w:eastAsia="Calibri" w:hAnsi="Calibri" w:cs="Times New Roman"/>
          <w:szCs w:val="24"/>
          <w:lang w:val="en-AU"/>
        </w:rPr>
        <w:t xml:space="preserve"> </w:t>
      </w:r>
      <w:r w:rsidR="0093566A">
        <w:rPr>
          <w:rFonts w:ascii="Calibri" w:eastAsia="Calibri" w:hAnsi="Calibri" w:cs="Times New Roman"/>
          <w:szCs w:val="24"/>
          <w:lang w:val="en-AU"/>
        </w:rPr>
        <w:t xml:space="preserve">has a significantly </w:t>
      </w:r>
      <w:r w:rsidR="0009435F">
        <w:rPr>
          <w:rFonts w:ascii="Calibri" w:eastAsia="Calibri" w:hAnsi="Calibri" w:cs="Times New Roman"/>
          <w:szCs w:val="24"/>
          <w:lang w:val="en-AU"/>
        </w:rPr>
        <w:t xml:space="preserve">simplified form </w:t>
      </w:r>
      <w:r w:rsidR="0093566A">
        <w:rPr>
          <w:rFonts w:ascii="Calibri" w:eastAsia="Calibri" w:hAnsi="Calibri" w:cs="Times New Roman"/>
          <w:szCs w:val="24"/>
          <w:lang w:val="en-AU"/>
        </w:rPr>
        <w:t xml:space="preserve">compared </w:t>
      </w:r>
      <w:r w:rsidR="0009435F">
        <w:rPr>
          <w:rFonts w:ascii="Calibri" w:eastAsia="Calibri" w:hAnsi="Calibri" w:cs="Times New Roman"/>
          <w:szCs w:val="24"/>
          <w:lang w:val="en-AU"/>
        </w:rPr>
        <w:t>to the existing PCCL formula, but</w:t>
      </w:r>
      <w:r w:rsidRPr="001703F3">
        <w:rPr>
          <w:rFonts w:ascii="Calibri" w:eastAsia="Calibri" w:hAnsi="Calibri" w:cs="Times New Roman"/>
          <w:szCs w:val="24"/>
          <w:lang w:val="en-AU"/>
        </w:rPr>
        <w:t xml:space="preserve"> is similar in </w:t>
      </w:r>
      <w:r w:rsidR="005F6A48">
        <w:rPr>
          <w:rFonts w:ascii="Calibri" w:eastAsia="Calibri" w:hAnsi="Calibri" w:cs="Times New Roman"/>
          <w:szCs w:val="24"/>
          <w:lang w:val="en-AU"/>
        </w:rPr>
        <w:t>application</w:t>
      </w:r>
      <w:r w:rsidRPr="001703F3">
        <w:rPr>
          <w:rFonts w:ascii="Calibri" w:eastAsia="Calibri" w:hAnsi="Calibri" w:cs="Times New Roman"/>
          <w:szCs w:val="24"/>
          <w:lang w:val="en-AU"/>
        </w:rPr>
        <w:t xml:space="preserve"> </w:t>
      </w:r>
      <w:r w:rsidR="0093566A">
        <w:rPr>
          <w:rFonts w:ascii="Calibri" w:eastAsia="Calibri" w:hAnsi="Calibri" w:cs="Times New Roman"/>
          <w:szCs w:val="24"/>
          <w:lang w:val="en-AU"/>
        </w:rPr>
        <w:t xml:space="preserve">apart from </w:t>
      </w:r>
      <w:r w:rsidRPr="001703F3">
        <w:rPr>
          <w:rFonts w:ascii="Calibri" w:eastAsia="Calibri" w:hAnsi="Calibri" w:cs="Times New Roman"/>
          <w:szCs w:val="24"/>
          <w:lang w:val="en-AU"/>
        </w:rPr>
        <w:t>a reduced decay component.</w:t>
      </w:r>
    </w:p>
    <w:p w14:paraId="4AC432FC" w14:textId="77777777" w:rsidR="005B5818" w:rsidRPr="0087392D" w:rsidRDefault="005B5818" w:rsidP="00B60372">
      <w:pPr>
        <w:pStyle w:val="Heading3"/>
        <w:numPr>
          <w:ilvl w:val="0"/>
          <w:numId w:val="0"/>
        </w:numPr>
        <w:ind w:left="576" w:hanging="576"/>
      </w:pPr>
      <w:r>
        <w:t>Key Findings and Recommendations</w:t>
      </w:r>
    </w:p>
    <w:p w14:paraId="63E4D206" w14:textId="77777777" w:rsidR="005B5818" w:rsidRPr="00B3076D" w:rsidRDefault="005B5818" w:rsidP="00B3076D">
      <w:pPr>
        <w:pStyle w:val="KeyFinding"/>
        <w:rPr>
          <w:b/>
          <w:color w:val="1F497D" w:themeColor="text2"/>
        </w:rPr>
      </w:pPr>
      <w:r w:rsidRPr="00B3076D">
        <w:rPr>
          <w:b/>
          <w:color w:val="1F497D" w:themeColor="text2"/>
        </w:rPr>
        <w:t>Key Finding 1</w:t>
      </w:r>
    </w:p>
    <w:p w14:paraId="5C5A2045" w14:textId="77777777" w:rsidR="005B5818" w:rsidRPr="00B27BD2" w:rsidRDefault="005B5818" w:rsidP="00B3076D">
      <w:pPr>
        <w:pStyle w:val="KeyFinding"/>
      </w:pPr>
      <w:r w:rsidRPr="00B27BD2">
        <w:t>A literature review and consultative process revealed that detailed information on the formal (i.e. theoretical) development of diagnosis level (CCLs) and episode level (PCCLs) case c</w:t>
      </w:r>
      <w:r w:rsidR="00345851">
        <w:t>omplexity measures was lacking.</w:t>
      </w:r>
    </w:p>
    <w:p w14:paraId="0894ED15" w14:textId="77777777" w:rsidR="005B5818" w:rsidRPr="00B27BD2" w:rsidRDefault="005B5818" w:rsidP="00B3076D">
      <w:pPr>
        <w:pStyle w:val="KeyFinding"/>
        <w:rPr>
          <w:b/>
          <w:color w:val="1F497D" w:themeColor="text2"/>
        </w:rPr>
      </w:pPr>
      <w:r w:rsidRPr="00B27BD2">
        <w:rPr>
          <w:b/>
          <w:color w:val="1F497D" w:themeColor="text2"/>
        </w:rPr>
        <w:t>Key Finding 2</w:t>
      </w:r>
    </w:p>
    <w:p w14:paraId="5457F553" w14:textId="77777777" w:rsidR="005B5818" w:rsidRPr="00B27BD2" w:rsidRDefault="005B5818" w:rsidP="00B3076D">
      <w:pPr>
        <w:pStyle w:val="KeyFinding"/>
      </w:pPr>
      <w:r w:rsidRPr="00B27BD2">
        <w:t xml:space="preserve">A further literature review of case complexity systems used in other DRG classifications internationally did not reveal an alternative system that could be </w:t>
      </w:r>
      <w:r w:rsidR="0009435F">
        <w:t xml:space="preserve">readily </w:t>
      </w:r>
      <w:r w:rsidRPr="00B27BD2">
        <w:t>adapted for use in Australia.</w:t>
      </w:r>
    </w:p>
    <w:p w14:paraId="4D6B61EB" w14:textId="77777777" w:rsidR="005B5818" w:rsidRPr="00B27BD2" w:rsidRDefault="005B5818" w:rsidP="00B3076D">
      <w:pPr>
        <w:pStyle w:val="KeyFinding"/>
        <w:rPr>
          <w:b/>
          <w:color w:val="1F497D" w:themeColor="text2"/>
        </w:rPr>
      </w:pPr>
      <w:r w:rsidRPr="00B27BD2">
        <w:rPr>
          <w:b/>
          <w:color w:val="1F497D" w:themeColor="text2"/>
        </w:rPr>
        <w:lastRenderedPageBreak/>
        <w:t>Key Finding 3</w:t>
      </w:r>
    </w:p>
    <w:p w14:paraId="2B985C60" w14:textId="77777777" w:rsidR="005B5818" w:rsidRDefault="00FE515A" w:rsidP="00B3076D">
      <w:pPr>
        <w:pStyle w:val="KeyFinding"/>
      </w:pPr>
      <w:r w:rsidRPr="00FE515A">
        <w:t>The current method of measuring cas</w:t>
      </w:r>
      <w:r w:rsidR="00C83231">
        <w:t>e complexity, the CCLs, exhibits</w:t>
      </w:r>
      <w:r w:rsidRPr="00FE515A">
        <w:t xml:space="preserve"> very little (if any) correlation with cost. This was based on </w:t>
      </w:r>
      <w:r>
        <w:t>a</w:t>
      </w:r>
      <w:r w:rsidR="005B5818" w:rsidRPr="00B27BD2">
        <w:t xml:space="preserve">n in depth review of the existing case complexity system using three years of patient level cost and activity data from 2009-10 to 2011-12. </w:t>
      </w:r>
    </w:p>
    <w:p w14:paraId="0F1C86DA" w14:textId="77777777" w:rsidR="00B3076D" w:rsidRPr="00B27BD2" w:rsidRDefault="00B3076D" w:rsidP="00B3076D">
      <w:pPr>
        <w:spacing w:before="0" w:after="0" w:line="240" w:lineRule="auto"/>
      </w:pPr>
    </w:p>
    <w:p w14:paraId="546E009B" w14:textId="77777777" w:rsidR="00B27BD2" w:rsidRPr="0047597D" w:rsidRDefault="00B27BD2" w:rsidP="0047597D">
      <w:pPr>
        <w:pStyle w:val="Recommendation"/>
        <w:rPr>
          <w:b/>
          <w:color w:val="1F497D" w:themeColor="text2"/>
        </w:rPr>
      </w:pPr>
      <w:r w:rsidRPr="0047597D">
        <w:rPr>
          <w:b/>
          <w:color w:val="1F497D" w:themeColor="text2"/>
        </w:rPr>
        <w:t>Recommendation 1</w:t>
      </w:r>
    </w:p>
    <w:p w14:paraId="1B1A28FB" w14:textId="77777777" w:rsidR="005B5818" w:rsidRPr="00B27BD2" w:rsidRDefault="005B5818" w:rsidP="0047597D">
      <w:pPr>
        <w:pStyle w:val="Recommendation"/>
      </w:pPr>
      <w:r w:rsidRPr="00B27BD2">
        <w:t xml:space="preserve">Based on Key Findings 1 – 3, ACCD in consultation with the </w:t>
      </w:r>
      <w:r w:rsidR="00F6465B">
        <w:t>DTG</w:t>
      </w:r>
      <w:r w:rsidRPr="00B27BD2">
        <w:t xml:space="preserve"> and </w:t>
      </w:r>
      <w:r w:rsidR="00F6465B">
        <w:t>CCAG</w:t>
      </w:r>
      <w:r w:rsidRPr="00B27BD2">
        <w:t xml:space="preserve"> recommends that a new conceptually based, formally derived and data driven </w:t>
      </w:r>
      <w:r w:rsidR="0009435F" w:rsidRPr="00B27BD2">
        <w:t xml:space="preserve">case complexity system </w:t>
      </w:r>
      <w:r w:rsidRPr="00B27BD2">
        <w:t>be developed for AR-DRG Version 8.0 and future versions of the AR-DRG classification.</w:t>
      </w:r>
    </w:p>
    <w:p w14:paraId="55A2E386" w14:textId="77777777" w:rsidR="00B3076D" w:rsidRDefault="00B3076D" w:rsidP="00B3076D">
      <w:pPr>
        <w:spacing w:before="0" w:after="0" w:line="240" w:lineRule="auto"/>
        <w:rPr>
          <w:b/>
          <w:color w:val="1F497D" w:themeColor="text2"/>
          <w:szCs w:val="24"/>
          <w:lang w:val="en-AU"/>
        </w:rPr>
      </w:pPr>
    </w:p>
    <w:p w14:paraId="64FF6A50" w14:textId="77777777" w:rsidR="00FA395D" w:rsidRPr="00B3076D" w:rsidRDefault="00FA395D" w:rsidP="00B3076D">
      <w:pPr>
        <w:pStyle w:val="KeyFinding"/>
        <w:rPr>
          <w:b/>
          <w:color w:val="1F497D" w:themeColor="text2"/>
        </w:rPr>
      </w:pPr>
      <w:r w:rsidRPr="00B3076D">
        <w:rPr>
          <w:b/>
          <w:color w:val="1F497D" w:themeColor="text2"/>
        </w:rPr>
        <w:t>Key Finding 4</w:t>
      </w:r>
    </w:p>
    <w:p w14:paraId="359E68B6" w14:textId="77777777" w:rsidR="009F00D9" w:rsidRDefault="009F00D9" w:rsidP="00B3076D">
      <w:pPr>
        <w:pStyle w:val="KeyFinding"/>
      </w:pPr>
      <w:r>
        <w:t xml:space="preserve">As </w:t>
      </w:r>
      <w:r w:rsidR="00C32376">
        <w:t>a measurement of</w:t>
      </w:r>
      <w:r>
        <w:t xml:space="preserve"> diagnosis complexity</w:t>
      </w:r>
      <w:r w:rsidR="00C32376">
        <w:t>, the new conceptually based and formally defined</w:t>
      </w:r>
      <w:r>
        <w:t xml:space="preserve"> </w:t>
      </w:r>
      <w:r w:rsidR="00FA395D" w:rsidRPr="00B27BD2">
        <w:t xml:space="preserve">DCLs </w:t>
      </w:r>
      <w:r w:rsidR="00FA395D">
        <w:t xml:space="preserve">were </w:t>
      </w:r>
      <w:r w:rsidR="00FA395D" w:rsidRPr="00B27BD2">
        <w:t xml:space="preserve">shown </w:t>
      </w:r>
      <w:r w:rsidR="00FA395D">
        <w:t xml:space="preserve">to exhibit </w:t>
      </w:r>
      <w:r w:rsidR="00FA395D" w:rsidRPr="00B27BD2">
        <w:t xml:space="preserve">significantly higher correlation with costs </w:t>
      </w:r>
      <w:r w:rsidR="00FA395D">
        <w:t xml:space="preserve">within ADRGs </w:t>
      </w:r>
      <w:r w:rsidR="00FA395D" w:rsidRPr="00B27BD2">
        <w:t>compared to CCLs.</w:t>
      </w:r>
    </w:p>
    <w:p w14:paraId="1923EC4E" w14:textId="77777777" w:rsidR="00B3076D" w:rsidRPr="00B27BD2" w:rsidRDefault="00B3076D" w:rsidP="00B3076D">
      <w:pPr>
        <w:spacing w:before="0" w:after="0" w:line="240" w:lineRule="auto"/>
        <w:rPr>
          <w:szCs w:val="24"/>
          <w:lang w:val="en-AU"/>
        </w:rPr>
      </w:pPr>
    </w:p>
    <w:p w14:paraId="122D2C2E" w14:textId="77777777" w:rsidR="009F00D9" w:rsidRPr="0047597D" w:rsidRDefault="009F00D9" w:rsidP="00B3076D">
      <w:pPr>
        <w:pStyle w:val="Recommendation"/>
        <w:keepNext/>
        <w:rPr>
          <w:b/>
          <w:color w:val="1F497D" w:themeColor="text2"/>
        </w:rPr>
      </w:pPr>
      <w:r w:rsidRPr="0047597D">
        <w:rPr>
          <w:b/>
          <w:color w:val="1F497D" w:themeColor="text2"/>
        </w:rPr>
        <w:t>Recommendation 2</w:t>
      </w:r>
    </w:p>
    <w:p w14:paraId="6A048AE5" w14:textId="77777777" w:rsidR="009F00D9" w:rsidRPr="00130EB6" w:rsidRDefault="009F00D9" w:rsidP="0047597D">
      <w:pPr>
        <w:pStyle w:val="Recommendation"/>
      </w:pPr>
      <w:r>
        <w:t>Based on Key Finding</w:t>
      </w:r>
      <w:r w:rsidRPr="00B27BD2">
        <w:t xml:space="preserve"> </w:t>
      </w:r>
      <w:r>
        <w:t>4</w:t>
      </w:r>
      <w:r w:rsidRPr="00B27BD2">
        <w:t xml:space="preserve">, ACCD in consultation with the </w:t>
      </w:r>
      <w:r>
        <w:t>DTG</w:t>
      </w:r>
      <w:r w:rsidRPr="00B27BD2">
        <w:t xml:space="preserve"> and </w:t>
      </w:r>
      <w:r>
        <w:t>CCAG</w:t>
      </w:r>
      <w:r w:rsidRPr="00B27BD2">
        <w:t xml:space="preserve"> recommends that </w:t>
      </w:r>
      <w:r>
        <w:t xml:space="preserve">the DCL measure of diagnosis complexity be adopted as part of a new </w:t>
      </w:r>
      <w:r w:rsidRPr="00B27BD2">
        <w:t>case complexity system.</w:t>
      </w:r>
    </w:p>
    <w:p w14:paraId="4B515725" w14:textId="77777777" w:rsidR="005B5818" w:rsidRPr="00B3076D" w:rsidRDefault="005B5818" w:rsidP="00B3076D">
      <w:pPr>
        <w:pStyle w:val="KeyFinding"/>
        <w:rPr>
          <w:b/>
          <w:color w:val="1F497D" w:themeColor="text2"/>
        </w:rPr>
      </w:pPr>
      <w:r w:rsidRPr="00B3076D">
        <w:rPr>
          <w:b/>
          <w:color w:val="1F497D" w:themeColor="text2"/>
        </w:rPr>
        <w:t xml:space="preserve">Key Finding </w:t>
      </w:r>
      <w:r w:rsidR="00C36C4F" w:rsidRPr="00B3076D">
        <w:rPr>
          <w:b/>
          <w:color w:val="1F497D" w:themeColor="text2"/>
        </w:rPr>
        <w:t>5</w:t>
      </w:r>
    </w:p>
    <w:p w14:paraId="0A890C1F" w14:textId="77777777" w:rsidR="005B5818" w:rsidRDefault="005B5818" w:rsidP="00B3076D">
      <w:pPr>
        <w:pStyle w:val="KeyFinding"/>
      </w:pPr>
      <w:r w:rsidRPr="00B27BD2">
        <w:t xml:space="preserve">Unlike the existing system, the </w:t>
      </w:r>
      <w:proofErr w:type="spellStart"/>
      <w:r w:rsidR="00F6465B">
        <w:t>PDx</w:t>
      </w:r>
      <w:proofErr w:type="spellEnd"/>
      <w:r w:rsidRPr="00B27BD2">
        <w:t xml:space="preserve"> has been recognised to contain important information on complexity over and above its use in allocating an episode to an ADRG. This is especially true for surgical ADRGs. Many </w:t>
      </w:r>
      <w:r w:rsidR="009F11B8">
        <w:t>principal diagnoses</w:t>
      </w:r>
      <w:r w:rsidRPr="00B27BD2">
        <w:t xml:space="preserve"> are in fact combinations of health conditions, and include vital information on conditions that would otherwise be additional diagnoses</w:t>
      </w:r>
      <w:r w:rsidR="00260F1F">
        <w:t>.</w:t>
      </w:r>
    </w:p>
    <w:p w14:paraId="46A2C765" w14:textId="77777777" w:rsidR="00B3076D" w:rsidRPr="00B27BD2" w:rsidRDefault="00B3076D" w:rsidP="00B3076D">
      <w:pPr>
        <w:spacing w:before="0" w:after="0" w:line="240" w:lineRule="auto"/>
        <w:rPr>
          <w:szCs w:val="24"/>
          <w:lang w:val="en-AU"/>
        </w:rPr>
      </w:pPr>
    </w:p>
    <w:p w14:paraId="6DC84821" w14:textId="77777777" w:rsidR="000B448D" w:rsidRPr="0047597D" w:rsidRDefault="000B448D" w:rsidP="0047597D">
      <w:pPr>
        <w:pStyle w:val="Recommendation"/>
        <w:rPr>
          <w:b/>
          <w:color w:val="1F497D" w:themeColor="text2"/>
        </w:rPr>
      </w:pPr>
      <w:r w:rsidRPr="0047597D">
        <w:rPr>
          <w:b/>
          <w:color w:val="1F497D" w:themeColor="text2"/>
        </w:rPr>
        <w:t xml:space="preserve">Recommendation </w:t>
      </w:r>
      <w:r w:rsidR="00C36C4F" w:rsidRPr="0047597D">
        <w:rPr>
          <w:b/>
          <w:color w:val="1F497D" w:themeColor="text2"/>
        </w:rPr>
        <w:t>3</w:t>
      </w:r>
    </w:p>
    <w:p w14:paraId="3783FD0B" w14:textId="77777777" w:rsidR="005B5818" w:rsidRPr="00B27BD2" w:rsidRDefault="005B5818" w:rsidP="0047597D">
      <w:pPr>
        <w:pStyle w:val="Recommendation"/>
      </w:pPr>
      <w:r w:rsidRPr="00B27BD2">
        <w:t xml:space="preserve">Based on Key Finding </w:t>
      </w:r>
      <w:r w:rsidR="00C36C4F">
        <w:t>5</w:t>
      </w:r>
      <w:r w:rsidRPr="00B27BD2">
        <w:t xml:space="preserve">, given the noted degree of variation in episode cost according to the </w:t>
      </w:r>
      <w:proofErr w:type="spellStart"/>
      <w:r w:rsidR="00F6465B">
        <w:t>PDx</w:t>
      </w:r>
      <w:proofErr w:type="spellEnd"/>
      <w:r w:rsidRPr="00B27BD2">
        <w:t xml:space="preserve">, ACCD </w:t>
      </w:r>
      <w:r w:rsidR="00225E37">
        <w:t>in</w:t>
      </w:r>
      <w:r w:rsidR="00086EE0">
        <w:t xml:space="preserve"> </w:t>
      </w:r>
      <w:r w:rsidRPr="00B27BD2">
        <w:t xml:space="preserve">consultation with the </w:t>
      </w:r>
      <w:r w:rsidR="00F6465B">
        <w:t>DTG</w:t>
      </w:r>
      <w:r w:rsidRPr="00B27BD2">
        <w:t xml:space="preserve"> and </w:t>
      </w:r>
      <w:r w:rsidR="00F6465B">
        <w:t>CCAG</w:t>
      </w:r>
      <w:r w:rsidRPr="00B27BD2">
        <w:t xml:space="preserve"> recommends that the </w:t>
      </w:r>
      <w:proofErr w:type="spellStart"/>
      <w:r w:rsidR="00F6465B">
        <w:t>PDx</w:t>
      </w:r>
      <w:proofErr w:type="spellEnd"/>
      <w:r w:rsidRPr="00B27BD2">
        <w:t xml:space="preserve"> be included in </w:t>
      </w:r>
      <w:r w:rsidRPr="00B27BD2">
        <w:lastRenderedPageBreak/>
        <w:t xml:space="preserve">the construction of DCLs, reflecting the information contained in many </w:t>
      </w:r>
      <w:r w:rsidR="009F11B8">
        <w:t xml:space="preserve">principal diagnoses </w:t>
      </w:r>
      <w:r w:rsidRPr="00B27BD2">
        <w:t>on the complexity of a case within its assigned ADRG.</w:t>
      </w:r>
    </w:p>
    <w:p w14:paraId="5D8F6DEE" w14:textId="77777777" w:rsidR="00B3076D" w:rsidRDefault="00B3076D" w:rsidP="00B3076D">
      <w:pPr>
        <w:spacing w:before="0" w:after="0" w:line="240" w:lineRule="auto"/>
        <w:rPr>
          <w:b/>
          <w:color w:val="1F497D" w:themeColor="text2"/>
          <w:szCs w:val="24"/>
          <w:lang w:val="en-AU"/>
        </w:rPr>
      </w:pPr>
    </w:p>
    <w:p w14:paraId="6279229E" w14:textId="77777777" w:rsidR="005B5818" w:rsidRPr="00B3076D" w:rsidRDefault="005B5818" w:rsidP="00B3076D">
      <w:pPr>
        <w:pStyle w:val="KeyFinding"/>
        <w:rPr>
          <w:b/>
          <w:color w:val="1F497D" w:themeColor="text2"/>
        </w:rPr>
      </w:pPr>
      <w:r w:rsidRPr="00B3076D">
        <w:rPr>
          <w:b/>
          <w:color w:val="1F497D" w:themeColor="text2"/>
        </w:rPr>
        <w:t xml:space="preserve">Key Finding </w:t>
      </w:r>
      <w:r w:rsidR="00C36C4F" w:rsidRPr="00B3076D">
        <w:rPr>
          <w:b/>
          <w:color w:val="1F497D" w:themeColor="text2"/>
        </w:rPr>
        <w:t>6</w:t>
      </w:r>
    </w:p>
    <w:p w14:paraId="5C31FB76" w14:textId="77777777" w:rsidR="005B5818" w:rsidRDefault="005B5818" w:rsidP="00B3076D">
      <w:pPr>
        <w:pStyle w:val="KeyFinding"/>
      </w:pPr>
      <w:r w:rsidRPr="00B27BD2">
        <w:t xml:space="preserve">The list of diagnoses permitted to be assigned nonzero DCLs has been guided by principles that aim to characterise the scope of the ECC model in terms of diagnoses considered relevant for DRG classification purposes. The diagnoses identified as out of scope are called exclusions, some of which have been excluded unconditionally and others excluded conditionally </w:t>
      </w:r>
      <w:r w:rsidR="0097477C">
        <w:t xml:space="preserve">(depending on other diagnoses present) </w:t>
      </w:r>
      <w:r w:rsidRPr="00B27BD2">
        <w:t>based upon guiding principles for DCL assignment.</w:t>
      </w:r>
    </w:p>
    <w:p w14:paraId="0488C592" w14:textId="77777777" w:rsidR="00B3076D" w:rsidRPr="00B27BD2" w:rsidRDefault="00B3076D" w:rsidP="00B3076D">
      <w:pPr>
        <w:spacing w:before="0" w:after="0" w:line="240" w:lineRule="auto"/>
        <w:rPr>
          <w:szCs w:val="24"/>
        </w:rPr>
      </w:pPr>
    </w:p>
    <w:p w14:paraId="0E103481" w14:textId="77777777" w:rsidR="000B448D" w:rsidRPr="0047597D" w:rsidRDefault="000B448D" w:rsidP="0047597D">
      <w:pPr>
        <w:pStyle w:val="Recommendation"/>
        <w:rPr>
          <w:b/>
          <w:color w:val="1F497D" w:themeColor="text2"/>
        </w:rPr>
      </w:pPr>
      <w:r w:rsidRPr="0047597D">
        <w:rPr>
          <w:b/>
          <w:color w:val="1F497D" w:themeColor="text2"/>
        </w:rPr>
        <w:t xml:space="preserve">Recommendation </w:t>
      </w:r>
      <w:r w:rsidR="00C36C4F" w:rsidRPr="0047597D">
        <w:rPr>
          <w:b/>
          <w:color w:val="1F497D" w:themeColor="text2"/>
        </w:rPr>
        <w:t>4</w:t>
      </w:r>
    </w:p>
    <w:p w14:paraId="1EBAF0C3" w14:textId="77777777" w:rsidR="005B5818" w:rsidRDefault="005B5818" w:rsidP="0047597D">
      <w:pPr>
        <w:pStyle w:val="Recommendation"/>
      </w:pPr>
      <w:r w:rsidRPr="00B27BD2">
        <w:t xml:space="preserve">Based on Key Finding </w:t>
      </w:r>
      <w:r w:rsidR="00C36C4F">
        <w:t>6</w:t>
      </w:r>
      <w:r w:rsidRPr="00B27BD2">
        <w:t xml:space="preserve">, ACCD in consultation with the </w:t>
      </w:r>
      <w:r w:rsidR="00F6465B">
        <w:t>DTG</w:t>
      </w:r>
      <w:r w:rsidRPr="00B27BD2">
        <w:t xml:space="preserve"> and </w:t>
      </w:r>
      <w:r w:rsidR="00F6465B">
        <w:t>CCAG</w:t>
      </w:r>
      <w:r w:rsidRPr="00B27BD2">
        <w:t xml:space="preserve"> recommends that the proposed guiding principles for DCL assignment and list of </w:t>
      </w:r>
      <w:r w:rsidR="005963D1">
        <w:t xml:space="preserve">identified </w:t>
      </w:r>
      <w:r w:rsidRPr="00B27BD2">
        <w:t>exclusions (</w:t>
      </w:r>
      <w:r w:rsidR="0097477C">
        <w:t>un</w:t>
      </w:r>
      <w:r w:rsidRPr="00B27BD2">
        <w:t>conditional and conditional) be adopted.</w:t>
      </w:r>
    </w:p>
    <w:p w14:paraId="04B32FA7" w14:textId="77777777" w:rsidR="00B3076D" w:rsidRPr="00B3076D" w:rsidRDefault="00B3076D" w:rsidP="00B3076D"/>
    <w:p w14:paraId="6937BFBB" w14:textId="77777777" w:rsidR="005B5818" w:rsidRPr="00B3076D" w:rsidRDefault="005B5818" w:rsidP="00B3076D">
      <w:pPr>
        <w:pStyle w:val="KeyFinding"/>
        <w:keepNext/>
        <w:rPr>
          <w:b/>
          <w:color w:val="1F497D" w:themeColor="text2"/>
        </w:rPr>
      </w:pPr>
      <w:r w:rsidRPr="00B3076D">
        <w:rPr>
          <w:b/>
          <w:color w:val="1F497D" w:themeColor="text2"/>
        </w:rPr>
        <w:t xml:space="preserve">Key Finding </w:t>
      </w:r>
      <w:r w:rsidR="00C36C4F" w:rsidRPr="00B3076D">
        <w:rPr>
          <w:b/>
          <w:color w:val="1F497D" w:themeColor="text2"/>
        </w:rPr>
        <w:t>7</w:t>
      </w:r>
    </w:p>
    <w:p w14:paraId="1AC34D44" w14:textId="77777777" w:rsidR="005B5818" w:rsidRDefault="005B5818" w:rsidP="00B3076D">
      <w:pPr>
        <w:pStyle w:val="KeyFinding"/>
      </w:pPr>
      <w:r w:rsidRPr="00B27BD2">
        <w:t xml:space="preserve">In considering the potential role of the </w:t>
      </w:r>
      <w:r w:rsidR="00600595">
        <w:t>condition onset flag (</w:t>
      </w:r>
      <w:r w:rsidR="004C70DD">
        <w:t>COF</w:t>
      </w:r>
      <w:r w:rsidR="00600595">
        <w:t>)</w:t>
      </w:r>
      <w:r w:rsidRPr="00B27BD2">
        <w:t xml:space="preserve"> within the classification, ACCD had difficulty in defining what a condition arising during the episode of care meant in terms of its preventability.</w:t>
      </w:r>
      <w:r w:rsidR="00345851">
        <w:t xml:space="preserve"> </w:t>
      </w:r>
      <w:r w:rsidRPr="00B27BD2">
        <w:t>It was determined that removing codes associated with conditions arising during the episode of care</w:t>
      </w:r>
      <w:r w:rsidR="00C83231">
        <w:t xml:space="preserve"> (COF = 1)</w:t>
      </w:r>
      <w:r w:rsidRPr="00B27BD2">
        <w:t xml:space="preserve"> from the complexity algorithm would reduce the capacity of the classification to explain true cost differences between DRGs</w:t>
      </w:r>
      <w:r w:rsidR="0097477C">
        <w:t>. It would</w:t>
      </w:r>
      <w:r w:rsidRPr="00B27BD2">
        <w:t xml:space="preserve"> potentially alter incentives to treat patients with risks of complication.</w:t>
      </w:r>
    </w:p>
    <w:p w14:paraId="5177E57F" w14:textId="77777777" w:rsidR="00B3076D" w:rsidRPr="00B27BD2" w:rsidRDefault="00B3076D" w:rsidP="00B3076D"/>
    <w:p w14:paraId="7FAC1106" w14:textId="77777777" w:rsidR="000B448D" w:rsidRPr="0047597D" w:rsidRDefault="000B448D" w:rsidP="0047597D">
      <w:pPr>
        <w:pStyle w:val="Recommendation"/>
        <w:rPr>
          <w:b/>
          <w:color w:val="1F497D" w:themeColor="text2"/>
        </w:rPr>
      </w:pPr>
      <w:r w:rsidRPr="0047597D">
        <w:rPr>
          <w:b/>
          <w:color w:val="1F497D" w:themeColor="text2"/>
        </w:rPr>
        <w:t xml:space="preserve">Recommendation </w:t>
      </w:r>
      <w:r w:rsidR="00C36C4F" w:rsidRPr="0047597D">
        <w:rPr>
          <w:b/>
          <w:color w:val="1F497D" w:themeColor="text2"/>
        </w:rPr>
        <w:t>5</w:t>
      </w:r>
    </w:p>
    <w:p w14:paraId="071615DC" w14:textId="77777777" w:rsidR="005B5818" w:rsidRDefault="005B5818" w:rsidP="0047597D">
      <w:pPr>
        <w:pStyle w:val="Recommendation"/>
      </w:pPr>
      <w:r w:rsidRPr="00B27BD2">
        <w:t xml:space="preserve">Based on Key Finding </w:t>
      </w:r>
      <w:r w:rsidR="00C36C4F">
        <w:t>7</w:t>
      </w:r>
      <w:r w:rsidRPr="00B27BD2">
        <w:t xml:space="preserve">, ACCD in consultation with the </w:t>
      </w:r>
      <w:r w:rsidR="00F6465B">
        <w:t>DTG</w:t>
      </w:r>
      <w:r w:rsidRPr="00B27BD2">
        <w:t xml:space="preserve"> and </w:t>
      </w:r>
      <w:r w:rsidR="00F6465B">
        <w:t xml:space="preserve">CCAG </w:t>
      </w:r>
      <w:r w:rsidRPr="00B27BD2">
        <w:t xml:space="preserve">recommends that the </w:t>
      </w:r>
      <w:r w:rsidR="004C70DD">
        <w:t>COF</w:t>
      </w:r>
      <w:r w:rsidRPr="00B27BD2">
        <w:t xml:space="preserve"> should not be used to exclude </w:t>
      </w:r>
      <w:r w:rsidR="00225E37">
        <w:t>diagnosis</w:t>
      </w:r>
      <w:r w:rsidRPr="00B27BD2">
        <w:t xml:space="preserve"> codes from the DRG development process.</w:t>
      </w:r>
    </w:p>
    <w:p w14:paraId="75514401" w14:textId="77777777" w:rsidR="00B3076D" w:rsidRPr="00B27BD2" w:rsidRDefault="00B3076D" w:rsidP="00B3076D"/>
    <w:p w14:paraId="49AAC536" w14:textId="77777777" w:rsidR="009F00D9" w:rsidRPr="00B3076D" w:rsidRDefault="009F00D9" w:rsidP="00B3076D">
      <w:pPr>
        <w:pStyle w:val="KeyFinding"/>
        <w:rPr>
          <w:b/>
          <w:color w:val="1F497D" w:themeColor="text2"/>
        </w:rPr>
      </w:pPr>
      <w:r w:rsidRPr="00B3076D">
        <w:rPr>
          <w:b/>
          <w:color w:val="1F497D" w:themeColor="text2"/>
        </w:rPr>
        <w:t xml:space="preserve">Key </w:t>
      </w:r>
      <w:r w:rsidR="006361A1" w:rsidRPr="00B3076D">
        <w:rPr>
          <w:b/>
          <w:color w:val="1F497D" w:themeColor="text2"/>
        </w:rPr>
        <w:t xml:space="preserve">Finding </w:t>
      </w:r>
      <w:r w:rsidR="00C36C4F" w:rsidRPr="00B3076D">
        <w:rPr>
          <w:b/>
          <w:color w:val="1F497D" w:themeColor="text2"/>
        </w:rPr>
        <w:t>8</w:t>
      </w:r>
    </w:p>
    <w:p w14:paraId="375C835B" w14:textId="77777777" w:rsidR="00C36C4F" w:rsidRDefault="006361A1" w:rsidP="00B3076D">
      <w:pPr>
        <w:pStyle w:val="KeyFinding"/>
      </w:pPr>
      <w:r>
        <w:t>T</w:t>
      </w:r>
      <w:r w:rsidR="00C32376">
        <w:t xml:space="preserve">he new </w:t>
      </w:r>
      <w:r w:rsidR="009F00D9" w:rsidRPr="00B27BD2">
        <w:t xml:space="preserve">ECCS </w:t>
      </w:r>
      <w:r w:rsidR="009F00D9">
        <w:t xml:space="preserve">was </w:t>
      </w:r>
      <w:r w:rsidR="009F00D9" w:rsidRPr="00B27BD2">
        <w:t>shown to be a much improved predictor of cost at the episode level when compared to the current PCCL</w:t>
      </w:r>
      <w:r w:rsidR="00EF5EE6">
        <w:t>. Overall, the ECCS was shown to have the potential to greatly increase performance of the AR-DRG classification.</w:t>
      </w:r>
    </w:p>
    <w:p w14:paraId="7328129F" w14:textId="77777777" w:rsidR="00B3076D" w:rsidRPr="00B27BD2" w:rsidRDefault="00B3076D" w:rsidP="00B3076D"/>
    <w:p w14:paraId="635F526C" w14:textId="77777777" w:rsidR="00C36C4F" w:rsidRPr="0047597D" w:rsidRDefault="00C36C4F" w:rsidP="0047597D">
      <w:pPr>
        <w:pStyle w:val="Recommendation"/>
        <w:rPr>
          <w:b/>
          <w:color w:val="1F497D" w:themeColor="text2"/>
        </w:rPr>
      </w:pPr>
      <w:r w:rsidRPr="0047597D">
        <w:rPr>
          <w:b/>
          <w:color w:val="1F497D" w:themeColor="text2"/>
        </w:rPr>
        <w:t>Recommendation 6</w:t>
      </w:r>
    </w:p>
    <w:p w14:paraId="5AE9F264" w14:textId="77777777" w:rsidR="00C36C4F" w:rsidRDefault="00C36C4F" w:rsidP="0047597D">
      <w:pPr>
        <w:pStyle w:val="Recommendation"/>
      </w:pPr>
      <w:r>
        <w:t>Based on Key Finding</w:t>
      </w:r>
      <w:r w:rsidRPr="00B27BD2">
        <w:t xml:space="preserve"> </w:t>
      </w:r>
      <w:r w:rsidR="00FA7F1B">
        <w:t>8</w:t>
      </w:r>
      <w:r w:rsidRPr="00B27BD2">
        <w:t xml:space="preserve">, ACCD in consultation with the </w:t>
      </w:r>
      <w:r>
        <w:t>DTG</w:t>
      </w:r>
      <w:r w:rsidRPr="00B27BD2">
        <w:t xml:space="preserve"> and </w:t>
      </w:r>
      <w:r>
        <w:t>CCAG</w:t>
      </w:r>
      <w:r w:rsidRPr="00B27BD2">
        <w:t xml:space="preserve"> recommends that </w:t>
      </w:r>
      <w:r>
        <w:t xml:space="preserve">the ECCS measure </w:t>
      </w:r>
      <w:r w:rsidR="003214EC">
        <w:t>be adopted to estimate clinical complexity at the episode level.</w:t>
      </w:r>
    </w:p>
    <w:p w14:paraId="5C04DB84" w14:textId="77777777" w:rsidR="00345851" w:rsidRPr="00130EB6" w:rsidRDefault="00345851" w:rsidP="00923D9A">
      <w:pPr>
        <w:spacing w:before="0" w:after="0" w:line="240" w:lineRule="auto"/>
      </w:pPr>
    </w:p>
    <w:p w14:paraId="41663417" w14:textId="77777777" w:rsidR="009F00D9" w:rsidRPr="0047597D" w:rsidRDefault="009F00D9" w:rsidP="0047597D">
      <w:pPr>
        <w:pStyle w:val="Recommendation"/>
        <w:rPr>
          <w:b/>
          <w:color w:val="1F497D" w:themeColor="text2"/>
        </w:rPr>
      </w:pPr>
      <w:r w:rsidRPr="0047597D">
        <w:rPr>
          <w:b/>
          <w:color w:val="1F497D" w:themeColor="text2"/>
        </w:rPr>
        <w:t xml:space="preserve">Recommendation </w:t>
      </w:r>
      <w:r w:rsidR="00C36C4F" w:rsidRPr="0047597D">
        <w:rPr>
          <w:b/>
          <w:color w:val="1F497D" w:themeColor="text2"/>
        </w:rPr>
        <w:t>7</w:t>
      </w:r>
    </w:p>
    <w:p w14:paraId="08E927BB" w14:textId="77777777" w:rsidR="009F00D9" w:rsidRDefault="009F00D9" w:rsidP="00345851">
      <w:pPr>
        <w:pStyle w:val="Recommendation"/>
      </w:pPr>
      <w:r w:rsidRPr="00B27BD2">
        <w:t xml:space="preserve">Based on Key Findings </w:t>
      </w:r>
      <w:r w:rsidR="00C32376">
        <w:t>1</w:t>
      </w:r>
      <w:r w:rsidRPr="00B27BD2">
        <w:t xml:space="preserve"> – </w:t>
      </w:r>
      <w:r w:rsidR="00C36C4F">
        <w:t>8</w:t>
      </w:r>
      <w:r w:rsidRPr="00B27BD2">
        <w:t xml:space="preserve">, ACCD in consultation with the </w:t>
      </w:r>
      <w:r>
        <w:t>DTG</w:t>
      </w:r>
      <w:r w:rsidRPr="00B27BD2">
        <w:t xml:space="preserve"> and </w:t>
      </w:r>
      <w:r>
        <w:t>CCAG</w:t>
      </w:r>
      <w:r w:rsidRPr="00B27BD2">
        <w:t xml:space="preserve"> recommends that the proposed ECC Model which has shown to be a much improved predictor of cost at the diagnosis </w:t>
      </w:r>
      <w:r w:rsidRPr="00345851">
        <w:t>and</w:t>
      </w:r>
      <w:r w:rsidRPr="00B27BD2">
        <w:t xml:space="preserve"> episode level be adopted as the new case complexity structure for AR-DRG Version 8.0 and future versions of </w:t>
      </w:r>
      <w:r w:rsidR="00C32376">
        <w:t>the AR-DRG classification</w:t>
      </w:r>
      <w:r w:rsidR="00EA10FE">
        <w:t>.</w:t>
      </w:r>
    </w:p>
    <w:p w14:paraId="73A5EE72" w14:textId="77777777" w:rsidR="00B60372" w:rsidRDefault="00B60372" w:rsidP="00B60372">
      <w:pPr>
        <w:spacing w:after="0"/>
      </w:pPr>
    </w:p>
    <w:p w14:paraId="3FB9907D" w14:textId="77777777" w:rsidR="00EE7662" w:rsidRPr="00B3076D" w:rsidRDefault="00EE7662" w:rsidP="00B3076D">
      <w:pPr>
        <w:pStyle w:val="KeyFinding"/>
        <w:rPr>
          <w:b/>
          <w:color w:val="1F497D" w:themeColor="text2"/>
        </w:rPr>
      </w:pPr>
      <w:r w:rsidRPr="00B3076D">
        <w:rPr>
          <w:b/>
          <w:color w:val="1F497D" w:themeColor="text2"/>
        </w:rPr>
        <w:t xml:space="preserve">Key Finding </w:t>
      </w:r>
      <w:r w:rsidR="00C36C4F" w:rsidRPr="00B3076D">
        <w:rPr>
          <w:b/>
          <w:color w:val="1F497D" w:themeColor="text2"/>
        </w:rPr>
        <w:t>9</w:t>
      </w:r>
    </w:p>
    <w:p w14:paraId="4CE8D5AA" w14:textId="77777777" w:rsidR="008D09FF" w:rsidRDefault="00EE7662" w:rsidP="00B3076D">
      <w:pPr>
        <w:pStyle w:val="KeyFinding"/>
      </w:pPr>
      <w:r w:rsidRPr="00B27BD2">
        <w:t xml:space="preserve">ECCS performance </w:t>
      </w:r>
      <w:r w:rsidR="004E3007">
        <w:t xml:space="preserve">was evaluated </w:t>
      </w:r>
      <w:r w:rsidRPr="00B27BD2">
        <w:t xml:space="preserve">on paediatric and geriatric episodes and compared to </w:t>
      </w:r>
      <w:r w:rsidR="004E3007">
        <w:t xml:space="preserve">that of </w:t>
      </w:r>
      <w:r w:rsidRPr="00B27BD2">
        <w:t xml:space="preserve">the current PCCL measure. </w:t>
      </w:r>
      <w:r w:rsidR="004E3007">
        <w:t xml:space="preserve">When compared to the PCCL measure, </w:t>
      </w:r>
      <w:r w:rsidRPr="00B27BD2">
        <w:t>ECCS</w:t>
      </w:r>
      <w:r w:rsidR="004E3007">
        <w:t xml:space="preserve"> showed a much improved ability to minimise bias in cost estimation within ADRGs among </w:t>
      </w:r>
      <w:r w:rsidRPr="00B27BD2">
        <w:t>both cohorts</w:t>
      </w:r>
      <w:r w:rsidR="004E3007">
        <w:t xml:space="preserve"> (i.e. minimising over and under prediction of cost)</w:t>
      </w:r>
      <w:r w:rsidRPr="00B27BD2">
        <w:t>.</w:t>
      </w:r>
    </w:p>
    <w:p w14:paraId="1B59B4D3" w14:textId="77777777" w:rsidR="00B3076D" w:rsidRDefault="00B3076D" w:rsidP="00B3076D"/>
    <w:p w14:paraId="5B7AC2DD" w14:textId="77777777" w:rsidR="00FA395D" w:rsidRPr="0047597D" w:rsidRDefault="00FA395D" w:rsidP="002506C3">
      <w:pPr>
        <w:pStyle w:val="Recommendation"/>
        <w:keepNext/>
        <w:rPr>
          <w:b/>
          <w:color w:val="1F497D" w:themeColor="text2"/>
        </w:rPr>
      </w:pPr>
      <w:r w:rsidRPr="0047597D">
        <w:rPr>
          <w:b/>
          <w:color w:val="1F497D" w:themeColor="text2"/>
        </w:rPr>
        <w:t xml:space="preserve">Recommendation </w:t>
      </w:r>
      <w:r w:rsidR="00C36C4F" w:rsidRPr="0047597D">
        <w:rPr>
          <w:b/>
          <w:color w:val="1F497D" w:themeColor="text2"/>
        </w:rPr>
        <w:t>8</w:t>
      </w:r>
    </w:p>
    <w:p w14:paraId="0F928BAE" w14:textId="77777777" w:rsidR="00DA5326" w:rsidRDefault="00DA5326" w:rsidP="00B3076D">
      <w:pPr>
        <w:pStyle w:val="Recommendation"/>
      </w:pPr>
      <w:r w:rsidRPr="00DA5326">
        <w:t xml:space="preserve">Based on Key Finding </w:t>
      </w:r>
      <w:r w:rsidR="00FA7F1B">
        <w:t>9</w:t>
      </w:r>
      <w:r w:rsidRPr="00DA5326">
        <w:t>, ACCD recommends that separate approaches for paediatric and geriatric episodes are not required, given the improved performance of the ECC Model in explaining cost variations for paediatric and geriatric episodes.</w:t>
      </w:r>
    </w:p>
    <w:p w14:paraId="04053B33" w14:textId="77777777" w:rsidR="00B3076D" w:rsidRPr="00DA5326" w:rsidRDefault="00B3076D" w:rsidP="00B3076D"/>
    <w:p w14:paraId="57BCD4B7" w14:textId="77777777" w:rsidR="00D81873" w:rsidRPr="00B3076D" w:rsidRDefault="004B0317" w:rsidP="00B3076D">
      <w:pPr>
        <w:pStyle w:val="KeyFinding"/>
        <w:rPr>
          <w:b/>
          <w:color w:val="1F497D" w:themeColor="text2"/>
        </w:rPr>
      </w:pPr>
      <w:r w:rsidRPr="00B3076D">
        <w:rPr>
          <w:b/>
          <w:color w:val="1F497D" w:themeColor="text2"/>
        </w:rPr>
        <w:t xml:space="preserve">Key </w:t>
      </w:r>
      <w:r w:rsidR="002A7A97" w:rsidRPr="00B3076D">
        <w:rPr>
          <w:b/>
          <w:color w:val="1F497D" w:themeColor="text2"/>
        </w:rPr>
        <w:t xml:space="preserve">Finding </w:t>
      </w:r>
      <w:r w:rsidRPr="00B3076D">
        <w:rPr>
          <w:b/>
          <w:color w:val="1F497D" w:themeColor="text2"/>
        </w:rPr>
        <w:t>1</w:t>
      </w:r>
      <w:r w:rsidR="00C36C4F" w:rsidRPr="00B3076D">
        <w:rPr>
          <w:b/>
          <w:color w:val="1F497D" w:themeColor="text2"/>
        </w:rPr>
        <w:t>0</w:t>
      </w:r>
    </w:p>
    <w:p w14:paraId="02394B5F" w14:textId="77777777" w:rsidR="000E1597" w:rsidRDefault="000E1597" w:rsidP="00B3076D">
      <w:pPr>
        <w:pStyle w:val="KeyFinding"/>
      </w:pPr>
      <w:r>
        <w:t>C</w:t>
      </w:r>
      <w:r w:rsidR="004B0317">
        <w:t xml:space="preserve">hanges </w:t>
      </w:r>
      <w:r w:rsidR="008A7AD4" w:rsidRPr="008A7AD4">
        <w:t>in clinical care</w:t>
      </w:r>
      <w:r w:rsidR="008A7AD4">
        <w:t xml:space="preserve"> and improvements in data quality </w:t>
      </w:r>
      <w:r>
        <w:t xml:space="preserve">over time </w:t>
      </w:r>
      <w:r w:rsidR="008A7AD4">
        <w:t xml:space="preserve">were identified as </w:t>
      </w:r>
      <w:r>
        <w:t>necessitating the ongoing evaluation and review of the ECC Model to ensure it</w:t>
      </w:r>
      <w:r w:rsidRPr="000E1597">
        <w:t xml:space="preserve"> is best suited to its </w:t>
      </w:r>
      <w:r>
        <w:t xml:space="preserve">proposed </w:t>
      </w:r>
      <w:r w:rsidRPr="000E1597">
        <w:t>role in the AR-DRG classification</w:t>
      </w:r>
      <w:r>
        <w:t>.</w:t>
      </w:r>
    </w:p>
    <w:p w14:paraId="6B0D3BA6" w14:textId="77777777" w:rsidR="00B3076D" w:rsidRPr="004C022D" w:rsidRDefault="00B3076D" w:rsidP="00B3076D"/>
    <w:p w14:paraId="75B63BBA" w14:textId="77777777" w:rsidR="000E1597" w:rsidRPr="0047597D" w:rsidRDefault="000E1597" w:rsidP="0047597D">
      <w:pPr>
        <w:pStyle w:val="Recommendation"/>
        <w:rPr>
          <w:b/>
          <w:color w:val="1F497D" w:themeColor="text2"/>
        </w:rPr>
      </w:pPr>
      <w:r w:rsidRPr="0047597D">
        <w:rPr>
          <w:b/>
          <w:color w:val="1F497D" w:themeColor="text2"/>
        </w:rPr>
        <w:t xml:space="preserve">Recommendation </w:t>
      </w:r>
      <w:r w:rsidR="00C36C4F" w:rsidRPr="0047597D">
        <w:rPr>
          <w:b/>
          <w:color w:val="1F497D" w:themeColor="text2"/>
        </w:rPr>
        <w:t>9</w:t>
      </w:r>
    </w:p>
    <w:p w14:paraId="6B1E390B" w14:textId="77777777" w:rsidR="000B78D8" w:rsidRPr="00FA395D" w:rsidRDefault="000E1597" w:rsidP="0047597D">
      <w:pPr>
        <w:pStyle w:val="Recommendation"/>
      </w:pPr>
      <w:r>
        <w:t>Based on Key Finding</w:t>
      </w:r>
      <w:r w:rsidRPr="00B27BD2">
        <w:t xml:space="preserve"> </w:t>
      </w:r>
      <w:r>
        <w:t>1</w:t>
      </w:r>
      <w:r w:rsidR="00FA7F1B">
        <w:t>0</w:t>
      </w:r>
      <w:r w:rsidRPr="00B27BD2">
        <w:t xml:space="preserve">, ACCD in consultation with the </w:t>
      </w:r>
      <w:r w:rsidR="00F6465B">
        <w:t>DTG</w:t>
      </w:r>
      <w:r w:rsidRPr="00B27BD2">
        <w:t xml:space="preserve"> and </w:t>
      </w:r>
      <w:r w:rsidR="00F6465B">
        <w:t>CCAG</w:t>
      </w:r>
      <w:r w:rsidRPr="00B27BD2">
        <w:t xml:space="preserve"> recommends that </w:t>
      </w:r>
      <w:r w:rsidRPr="000E1597">
        <w:t>a</w:t>
      </w:r>
      <w:r w:rsidR="006709FA">
        <w:t>n</w:t>
      </w:r>
      <w:r>
        <w:t xml:space="preserve"> </w:t>
      </w:r>
      <w:r w:rsidR="006709FA">
        <w:t>ongoing</w:t>
      </w:r>
      <w:r>
        <w:t xml:space="preserve"> and</w:t>
      </w:r>
      <w:r w:rsidRPr="000E1597">
        <w:t xml:space="preserve"> systematic approach </w:t>
      </w:r>
      <w:r>
        <w:t xml:space="preserve">be </w:t>
      </w:r>
      <w:r w:rsidR="00216076">
        <w:t xml:space="preserve">taken </w:t>
      </w:r>
      <w:r w:rsidRPr="000E1597">
        <w:t>to</w:t>
      </w:r>
      <w:r>
        <w:t xml:space="preserve"> </w:t>
      </w:r>
      <w:r w:rsidRPr="000E1597">
        <w:t>evaluat</w:t>
      </w:r>
      <w:r w:rsidR="00216076">
        <w:t>e and refine</w:t>
      </w:r>
      <w:r>
        <w:t xml:space="preserve"> the ECC Model </w:t>
      </w:r>
      <w:r w:rsidR="00FE4387">
        <w:t>as part of</w:t>
      </w:r>
      <w:r w:rsidRPr="000E1597">
        <w:t xml:space="preserve"> the broader AR-DRG refinement process</w:t>
      </w:r>
      <w:r w:rsidR="002A7A97">
        <w:t>.</w:t>
      </w:r>
      <w:r w:rsidR="000B78D8" w:rsidRPr="000B78D8">
        <w:t xml:space="preserve"> </w:t>
      </w:r>
    </w:p>
    <w:p w14:paraId="017F392F" w14:textId="77777777" w:rsidR="005B5818" w:rsidRDefault="005B5818" w:rsidP="00B60372">
      <w:pPr>
        <w:pStyle w:val="Heading3"/>
        <w:numPr>
          <w:ilvl w:val="0"/>
          <w:numId w:val="0"/>
        </w:numPr>
        <w:ind w:left="576" w:hanging="576"/>
      </w:pPr>
      <w:r w:rsidRPr="005963D1">
        <w:t>Implications</w:t>
      </w:r>
      <w:r>
        <w:t xml:space="preserve"> </w:t>
      </w:r>
    </w:p>
    <w:p w14:paraId="08C17FFE" w14:textId="77777777" w:rsidR="009D5941" w:rsidRPr="007170D4" w:rsidRDefault="009D5941" w:rsidP="00B60372">
      <w:pPr>
        <w:pStyle w:val="Heading4"/>
        <w:numPr>
          <w:ilvl w:val="0"/>
          <w:numId w:val="0"/>
        </w:numPr>
        <w:ind w:left="720" w:hanging="720"/>
      </w:pPr>
      <w:r w:rsidRPr="007170D4">
        <w:t>Stability of the E</w:t>
      </w:r>
      <w:r w:rsidR="004C70DD">
        <w:t xml:space="preserve">pisode </w:t>
      </w:r>
      <w:r w:rsidRPr="007170D4">
        <w:t>C</w:t>
      </w:r>
      <w:r w:rsidR="004C70DD">
        <w:t xml:space="preserve">linical </w:t>
      </w:r>
      <w:r w:rsidRPr="0047597D">
        <w:t>C</w:t>
      </w:r>
      <w:r w:rsidR="004C70DD" w:rsidRPr="0047597D">
        <w:t>omplexity</w:t>
      </w:r>
      <w:r w:rsidRPr="007170D4">
        <w:t xml:space="preserve"> Model</w:t>
      </w:r>
    </w:p>
    <w:p w14:paraId="0257E46F" w14:textId="79E6E0C1" w:rsidR="009D5941" w:rsidRPr="005963D1" w:rsidRDefault="00116820" w:rsidP="00B60372">
      <w:pPr>
        <w:rPr>
          <w:szCs w:val="24"/>
        </w:rPr>
      </w:pPr>
      <w:r>
        <w:rPr>
          <w:szCs w:val="24"/>
        </w:rPr>
        <w:t>T</w:t>
      </w:r>
      <w:r w:rsidR="009D5941" w:rsidRPr="005963D1">
        <w:rPr>
          <w:szCs w:val="24"/>
        </w:rPr>
        <w:t xml:space="preserve">esting of </w:t>
      </w:r>
      <w:r w:rsidR="007170D4">
        <w:rPr>
          <w:szCs w:val="24"/>
        </w:rPr>
        <w:t xml:space="preserve">the ECC Model’s </w:t>
      </w:r>
      <w:r w:rsidR="009D5941" w:rsidRPr="005963D1">
        <w:rPr>
          <w:szCs w:val="24"/>
        </w:rPr>
        <w:t xml:space="preserve">stability </w:t>
      </w:r>
      <w:r>
        <w:rPr>
          <w:szCs w:val="24"/>
        </w:rPr>
        <w:t xml:space="preserve">with respect to changes in data </w:t>
      </w:r>
      <w:r w:rsidR="009D5941" w:rsidRPr="005963D1">
        <w:rPr>
          <w:szCs w:val="24"/>
        </w:rPr>
        <w:t xml:space="preserve">has </w:t>
      </w:r>
      <w:r>
        <w:rPr>
          <w:szCs w:val="24"/>
        </w:rPr>
        <w:t xml:space="preserve">shown that care </w:t>
      </w:r>
      <w:r w:rsidR="00216076">
        <w:rPr>
          <w:szCs w:val="24"/>
        </w:rPr>
        <w:t>is required</w:t>
      </w:r>
      <w:r>
        <w:rPr>
          <w:szCs w:val="24"/>
        </w:rPr>
        <w:t xml:space="preserve"> when updating the model over time </w:t>
      </w:r>
      <w:r w:rsidR="00F17220">
        <w:rPr>
          <w:szCs w:val="24"/>
        </w:rPr>
        <w:t>(see</w:t>
      </w:r>
      <w:r w:rsidR="00AB5225">
        <w:rPr>
          <w:szCs w:val="24"/>
        </w:rPr>
        <w:t xml:space="preserve"> the </w:t>
      </w:r>
      <w:r w:rsidR="001C1979" w:rsidRPr="00FB653B">
        <w:rPr>
          <w:i/>
          <w:szCs w:val="24"/>
        </w:rPr>
        <w:fldChar w:fldCharType="begin"/>
      </w:r>
      <w:r w:rsidR="001C1979" w:rsidRPr="00FB653B">
        <w:rPr>
          <w:i/>
          <w:szCs w:val="24"/>
        </w:rPr>
        <w:instrText xml:space="preserve"> REF _Ref400541112 \h </w:instrText>
      </w:r>
      <w:r w:rsidR="00AB5225">
        <w:rPr>
          <w:i/>
          <w:szCs w:val="24"/>
        </w:rPr>
        <w:instrText xml:space="preserve"> \* MERGEFORMAT </w:instrText>
      </w:r>
      <w:r w:rsidR="001C1979" w:rsidRPr="00FB653B">
        <w:rPr>
          <w:i/>
          <w:szCs w:val="24"/>
        </w:rPr>
      </w:r>
      <w:r w:rsidR="001C1979" w:rsidRPr="00FB653B">
        <w:rPr>
          <w:i/>
          <w:szCs w:val="24"/>
        </w:rPr>
        <w:fldChar w:fldCharType="separate"/>
      </w:r>
      <w:r w:rsidR="0031717B" w:rsidRPr="0031717B">
        <w:rPr>
          <w:i/>
        </w:rPr>
        <w:t>Continued refinement of ECC Model</w:t>
      </w:r>
      <w:r w:rsidR="001C1979" w:rsidRPr="00FB653B">
        <w:rPr>
          <w:i/>
          <w:szCs w:val="24"/>
        </w:rPr>
        <w:fldChar w:fldCharType="end"/>
      </w:r>
      <w:r w:rsidR="00F17220">
        <w:rPr>
          <w:szCs w:val="24"/>
        </w:rPr>
        <w:t xml:space="preserve"> </w:t>
      </w:r>
      <w:r w:rsidR="001C1979">
        <w:rPr>
          <w:szCs w:val="24"/>
        </w:rPr>
        <w:t>s</w:t>
      </w:r>
      <w:r w:rsidR="00F17220">
        <w:rPr>
          <w:szCs w:val="24"/>
        </w:rPr>
        <w:t>ection</w:t>
      </w:r>
      <w:r w:rsidR="001C1979">
        <w:rPr>
          <w:szCs w:val="24"/>
        </w:rPr>
        <w:t xml:space="preserve"> below</w:t>
      </w:r>
      <w:r w:rsidR="00F17220">
        <w:rPr>
          <w:szCs w:val="24"/>
        </w:rPr>
        <w:t>)</w:t>
      </w:r>
      <w:r w:rsidR="009D5941" w:rsidRPr="005963D1">
        <w:rPr>
          <w:szCs w:val="24"/>
        </w:rPr>
        <w:t xml:space="preserve">. It is </w:t>
      </w:r>
      <w:r w:rsidR="007170D4">
        <w:rPr>
          <w:szCs w:val="24"/>
        </w:rPr>
        <w:t>anticipated</w:t>
      </w:r>
      <w:r w:rsidR="009D5941" w:rsidRPr="005963D1">
        <w:rPr>
          <w:szCs w:val="24"/>
        </w:rPr>
        <w:t xml:space="preserve"> that 2012-13 data will become available shortly to allow stability to </w:t>
      </w:r>
      <w:r w:rsidR="007170D4">
        <w:rPr>
          <w:szCs w:val="24"/>
        </w:rPr>
        <w:t xml:space="preserve">be </w:t>
      </w:r>
      <w:r w:rsidR="009D5941" w:rsidRPr="005963D1">
        <w:rPr>
          <w:szCs w:val="24"/>
        </w:rPr>
        <w:t>tested over this additional year.</w:t>
      </w:r>
    </w:p>
    <w:p w14:paraId="00E314F0" w14:textId="77777777" w:rsidR="009D5941" w:rsidRPr="007170D4" w:rsidRDefault="009D5941" w:rsidP="00B60372">
      <w:pPr>
        <w:pStyle w:val="Heading4"/>
        <w:numPr>
          <w:ilvl w:val="0"/>
          <w:numId w:val="0"/>
        </w:numPr>
        <w:ind w:left="720" w:hanging="720"/>
      </w:pPr>
      <w:r w:rsidRPr="007170D4">
        <w:t>E</w:t>
      </w:r>
      <w:r w:rsidR="004C70DD">
        <w:t xml:space="preserve">pisode </w:t>
      </w:r>
      <w:r w:rsidRPr="007170D4">
        <w:t>C</w:t>
      </w:r>
      <w:r w:rsidR="004C70DD">
        <w:t xml:space="preserve">linical </w:t>
      </w:r>
      <w:r w:rsidRPr="007170D4">
        <w:t>C</w:t>
      </w:r>
      <w:r w:rsidR="004C70DD">
        <w:t>omplexity</w:t>
      </w:r>
      <w:r w:rsidRPr="007170D4">
        <w:t xml:space="preserve"> Model implementation</w:t>
      </w:r>
    </w:p>
    <w:p w14:paraId="22A6E32B" w14:textId="77777777" w:rsidR="009D5941" w:rsidRPr="005963D1" w:rsidRDefault="009D5941" w:rsidP="00B60372">
      <w:pPr>
        <w:rPr>
          <w:szCs w:val="24"/>
        </w:rPr>
      </w:pPr>
      <w:r w:rsidRPr="005963D1">
        <w:rPr>
          <w:szCs w:val="24"/>
        </w:rPr>
        <w:t xml:space="preserve">The existing </w:t>
      </w:r>
      <w:r w:rsidR="005963D1">
        <w:rPr>
          <w:szCs w:val="24"/>
        </w:rPr>
        <w:t>case complexity</w:t>
      </w:r>
      <w:r w:rsidRPr="005963D1">
        <w:rPr>
          <w:szCs w:val="24"/>
        </w:rPr>
        <w:t xml:space="preserve"> system uses CC</w:t>
      </w:r>
      <w:r w:rsidR="004E19E9">
        <w:rPr>
          <w:szCs w:val="24"/>
        </w:rPr>
        <w:t>Ls</w:t>
      </w:r>
      <w:r w:rsidRPr="005963D1">
        <w:rPr>
          <w:szCs w:val="24"/>
        </w:rPr>
        <w:t xml:space="preserve"> </w:t>
      </w:r>
      <w:r w:rsidR="00693F49">
        <w:rPr>
          <w:szCs w:val="24"/>
        </w:rPr>
        <w:t xml:space="preserve">which take integer values </w:t>
      </w:r>
      <w:r w:rsidRPr="005963D1">
        <w:rPr>
          <w:szCs w:val="24"/>
        </w:rPr>
        <w:t>between 0 and 4</w:t>
      </w:r>
      <w:r w:rsidR="00693F49">
        <w:rPr>
          <w:szCs w:val="24"/>
        </w:rPr>
        <w:t xml:space="preserve">, </w:t>
      </w:r>
      <w:r w:rsidRPr="005963D1">
        <w:rPr>
          <w:szCs w:val="24"/>
        </w:rPr>
        <w:t xml:space="preserve">and </w:t>
      </w:r>
      <w:r w:rsidR="00693F49">
        <w:rPr>
          <w:szCs w:val="24"/>
        </w:rPr>
        <w:t>episode PCCLs which take integer values between 0 and</w:t>
      </w:r>
      <w:r w:rsidRPr="005963D1">
        <w:rPr>
          <w:szCs w:val="24"/>
        </w:rPr>
        <w:t xml:space="preserve"> 4. Within these boundaries, </w:t>
      </w:r>
      <w:r w:rsidR="00693F49">
        <w:rPr>
          <w:szCs w:val="24"/>
        </w:rPr>
        <w:t>768 (non-error)</w:t>
      </w:r>
      <w:r w:rsidRPr="005963D1">
        <w:rPr>
          <w:szCs w:val="24"/>
        </w:rPr>
        <w:t xml:space="preserve"> DRGs are defined.</w:t>
      </w:r>
      <w:r w:rsidR="00931718">
        <w:rPr>
          <w:szCs w:val="24"/>
        </w:rPr>
        <w:t xml:space="preserve"> IHPA’s requirements 4 and 5 (see above) require a review of these levels.</w:t>
      </w:r>
    </w:p>
    <w:p w14:paraId="77659C46" w14:textId="77777777" w:rsidR="0068646C" w:rsidRDefault="009D5941" w:rsidP="00B60372">
      <w:pPr>
        <w:rPr>
          <w:szCs w:val="24"/>
        </w:rPr>
      </w:pPr>
      <w:r w:rsidRPr="005963D1">
        <w:rPr>
          <w:szCs w:val="24"/>
        </w:rPr>
        <w:t xml:space="preserve">The ECC </w:t>
      </w:r>
      <w:r w:rsidR="00693F49">
        <w:rPr>
          <w:szCs w:val="24"/>
        </w:rPr>
        <w:t>M</w:t>
      </w:r>
      <w:r w:rsidRPr="005963D1">
        <w:rPr>
          <w:szCs w:val="24"/>
        </w:rPr>
        <w:t xml:space="preserve">odel allows for </w:t>
      </w:r>
      <w:r w:rsidR="004E19E9">
        <w:rPr>
          <w:szCs w:val="24"/>
        </w:rPr>
        <w:t>DCLs</w:t>
      </w:r>
      <w:r w:rsidRPr="005963D1">
        <w:rPr>
          <w:szCs w:val="24"/>
        </w:rPr>
        <w:t xml:space="preserve"> for each diagnosis in each ADRG</w:t>
      </w:r>
      <w:r w:rsidR="00693F49">
        <w:rPr>
          <w:szCs w:val="24"/>
        </w:rPr>
        <w:t xml:space="preserve">, </w:t>
      </w:r>
      <w:r w:rsidR="00216076">
        <w:rPr>
          <w:szCs w:val="24"/>
        </w:rPr>
        <w:t>to</w:t>
      </w:r>
      <w:r w:rsidR="00693F49">
        <w:rPr>
          <w:szCs w:val="24"/>
        </w:rPr>
        <w:t xml:space="preserve"> take integer values between 0 and 5, and an ECCS for each episode, </w:t>
      </w:r>
      <w:r w:rsidR="00216076">
        <w:rPr>
          <w:szCs w:val="24"/>
        </w:rPr>
        <w:t>to take</w:t>
      </w:r>
      <w:r w:rsidR="00693F49">
        <w:rPr>
          <w:szCs w:val="24"/>
        </w:rPr>
        <w:t xml:space="preserve"> a value between 0 and 31.25.</w:t>
      </w:r>
      <w:r w:rsidRPr="005963D1">
        <w:rPr>
          <w:szCs w:val="24"/>
        </w:rPr>
        <w:t xml:space="preserve"> This </w:t>
      </w:r>
      <w:r w:rsidR="00116820">
        <w:rPr>
          <w:szCs w:val="24"/>
        </w:rPr>
        <w:t xml:space="preserve">new approach </w:t>
      </w:r>
      <w:r w:rsidR="00693F49">
        <w:rPr>
          <w:szCs w:val="24"/>
        </w:rPr>
        <w:t xml:space="preserve">allows </w:t>
      </w:r>
      <w:r w:rsidR="00BD6FC8">
        <w:rPr>
          <w:szCs w:val="24"/>
        </w:rPr>
        <w:t xml:space="preserve">for </w:t>
      </w:r>
      <w:r w:rsidR="00116820">
        <w:rPr>
          <w:szCs w:val="24"/>
        </w:rPr>
        <w:t xml:space="preserve">greater </w:t>
      </w:r>
      <w:r w:rsidR="00693F49">
        <w:rPr>
          <w:szCs w:val="24"/>
        </w:rPr>
        <w:t xml:space="preserve">freedom and precision </w:t>
      </w:r>
      <w:r w:rsidR="00BD6FC8">
        <w:rPr>
          <w:szCs w:val="24"/>
        </w:rPr>
        <w:t>when splitting ADRGs into DRGs.</w:t>
      </w:r>
      <w:r w:rsidR="00693F49">
        <w:rPr>
          <w:szCs w:val="24"/>
        </w:rPr>
        <w:t xml:space="preserve"> </w:t>
      </w:r>
    </w:p>
    <w:p w14:paraId="102932ED" w14:textId="77777777" w:rsidR="009D5941" w:rsidRPr="005963D1" w:rsidRDefault="009D5941" w:rsidP="00B60372">
      <w:pPr>
        <w:rPr>
          <w:szCs w:val="24"/>
        </w:rPr>
      </w:pPr>
      <w:r w:rsidRPr="005963D1">
        <w:rPr>
          <w:szCs w:val="24"/>
        </w:rPr>
        <w:lastRenderedPageBreak/>
        <w:t xml:space="preserve">A set of </w:t>
      </w:r>
      <w:r w:rsidR="00BD6FC8">
        <w:rPr>
          <w:szCs w:val="24"/>
        </w:rPr>
        <w:t>p</w:t>
      </w:r>
      <w:r w:rsidRPr="005963D1">
        <w:rPr>
          <w:szCs w:val="24"/>
        </w:rPr>
        <w:t xml:space="preserve">rinciples to be followed in construction </w:t>
      </w:r>
      <w:r w:rsidR="007170D4">
        <w:rPr>
          <w:szCs w:val="24"/>
        </w:rPr>
        <w:t xml:space="preserve">of </w:t>
      </w:r>
      <w:r w:rsidRPr="005963D1">
        <w:rPr>
          <w:szCs w:val="24"/>
        </w:rPr>
        <w:t>DRG</w:t>
      </w:r>
      <w:r w:rsidR="00BD6FC8">
        <w:rPr>
          <w:szCs w:val="24"/>
        </w:rPr>
        <w:t xml:space="preserve">s </w:t>
      </w:r>
      <w:r w:rsidRPr="005963D1">
        <w:rPr>
          <w:szCs w:val="24"/>
        </w:rPr>
        <w:t xml:space="preserve">has been considered and endorsed by the DTG and CCAG (provided separately to IHPA). </w:t>
      </w:r>
      <w:r w:rsidR="009771F2">
        <w:rPr>
          <w:szCs w:val="24"/>
        </w:rPr>
        <w:t>Using</w:t>
      </w:r>
      <w:r w:rsidRPr="005963D1">
        <w:rPr>
          <w:szCs w:val="24"/>
        </w:rPr>
        <w:t xml:space="preserve"> these </w:t>
      </w:r>
      <w:r w:rsidR="00BD6FC8">
        <w:rPr>
          <w:szCs w:val="24"/>
        </w:rPr>
        <w:t>p</w:t>
      </w:r>
      <w:r w:rsidRPr="005963D1">
        <w:rPr>
          <w:szCs w:val="24"/>
        </w:rPr>
        <w:t xml:space="preserve">rinciples will result in a statistically robust and stable </w:t>
      </w:r>
      <w:r w:rsidR="00BD6FC8">
        <w:rPr>
          <w:szCs w:val="24"/>
        </w:rPr>
        <w:t>AR-</w:t>
      </w:r>
      <w:r w:rsidRPr="005963D1">
        <w:rPr>
          <w:szCs w:val="24"/>
        </w:rPr>
        <w:t>DRG system going forward, and also presents a unique opportunity to review the use of non-clinical variables</w:t>
      </w:r>
      <w:r w:rsidR="0068646C">
        <w:rPr>
          <w:szCs w:val="24"/>
        </w:rPr>
        <w:t xml:space="preserve"> (e.g. </w:t>
      </w:r>
      <w:r w:rsidR="001C6D4D">
        <w:rPr>
          <w:szCs w:val="24"/>
        </w:rPr>
        <w:t>length of stay</w:t>
      </w:r>
      <w:r w:rsidR="0068646C">
        <w:rPr>
          <w:szCs w:val="24"/>
        </w:rPr>
        <w:t>)</w:t>
      </w:r>
      <w:r w:rsidRPr="005963D1">
        <w:rPr>
          <w:szCs w:val="24"/>
        </w:rPr>
        <w:t xml:space="preserve"> in DRG construction.</w:t>
      </w:r>
    </w:p>
    <w:p w14:paraId="17936D91" w14:textId="77777777" w:rsidR="009D5941" w:rsidRPr="007D1377" w:rsidRDefault="00D12B77" w:rsidP="00B60372">
      <w:pPr>
        <w:pStyle w:val="Heading4"/>
        <w:numPr>
          <w:ilvl w:val="0"/>
          <w:numId w:val="0"/>
        </w:numPr>
        <w:ind w:left="720" w:hanging="720"/>
      </w:pPr>
      <w:r>
        <w:t>Changes to episode grouping</w:t>
      </w:r>
    </w:p>
    <w:p w14:paraId="0DDF0163" w14:textId="77777777" w:rsidR="00004D97" w:rsidRDefault="009D5941" w:rsidP="00B60372">
      <w:pPr>
        <w:rPr>
          <w:szCs w:val="24"/>
        </w:rPr>
      </w:pPr>
      <w:r w:rsidRPr="007D1377">
        <w:rPr>
          <w:szCs w:val="24"/>
        </w:rPr>
        <w:t xml:space="preserve">The move to a </w:t>
      </w:r>
      <w:r w:rsidR="002C4CD5">
        <w:rPr>
          <w:szCs w:val="24"/>
        </w:rPr>
        <w:t xml:space="preserve">case </w:t>
      </w:r>
      <w:r w:rsidRPr="007D1377">
        <w:rPr>
          <w:szCs w:val="24"/>
        </w:rPr>
        <w:t xml:space="preserve">complexity system that better explains cost variations due to </w:t>
      </w:r>
      <w:r w:rsidR="002C4CD5">
        <w:rPr>
          <w:szCs w:val="24"/>
        </w:rPr>
        <w:t>episode clinical</w:t>
      </w:r>
      <w:r w:rsidRPr="007D1377">
        <w:rPr>
          <w:szCs w:val="24"/>
        </w:rPr>
        <w:t xml:space="preserve"> complexity </w:t>
      </w:r>
      <w:r w:rsidR="00D12B77">
        <w:rPr>
          <w:szCs w:val="24"/>
        </w:rPr>
        <w:t xml:space="preserve">will result in changes to the way in which episodes </w:t>
      </w:r>
      <w:r w:rsidR="00004D97">
        <w:rPr>
          <w:szCs w:val="24"/>
        </w:rPr>
        <w:t xml:space="preserve">group within DRG hierarchies. Specifically, episodes with previously </w:t>
      </w:r>
      <w:proofErr w:type="spellStart"/>
      <w:r w:rsidR="00004D97">
        <w:rPr>
          <w:szCs w:val="24"/>
        </w:rPr>
        <w:t>unrecognised</w:t>
      </w:r>
      <w:proofErr w:type="spellEnd"/>
      <w:r w:rsidR="00004D97">
        <w:rPr>
          <w:szCs w:val="24"/>
        </w:rPr>
        <w:t xml:space="preserve"> complexity will change from low severity DRGs (e.g. those ending in ‘C’ and ‘D’) to higher severity DRGs (e.g. those ending in ‘A’ and ‘B’). Conversely, episodes with overestimated complexity will change from high severity DRGs to lower severity DRGs.</w:t>
      </w:r>
    </w:p>
    <w:p w14:paraId="3F44DECC" w14:textId="77777777" w:rsidR="009D5941" w:rsidRPr="007D1377" w:rsidRDefault="00004D97" w:rsidP="00B60372">
      <w:pPr>
        <w:rPr>
          <w:szCs w:val="24"/>
        </w:rPr>
      </w:pPr>
      <w:r>
        <w:rPr>
          <w:szCs w:val="24"/>
        </w:rPr>
        <w:t xml:space="preserve">These changes will </w:t>
      </w:r>
      <w:r w:rsidR="00F01288">
        <w:rPr>
          <w:szCs w:val="24"/>
        </w:rPr>
        <w:t>lead to shifts in DRG cost</w:t>
      </w:r>
      <w:r w:rsidR="009771F2">
        <w:rPr>
          <w:szCs w:val="24"/>
        </w:rPr>
        <w:t xml:space="preserve"> weights</w:t>
      </w:r>
      <w:r w:rsidR="00F01288">
        <w:rPr>
          <w:szCs w:val="24"/>
        </w:rPr>
        <w:t xml:space="preserve"> and will change DRG composition at the hospital, network/district, state/territory and national levels.</w:t>
      </w:r>
    </w:p>
    <w:p w14:paraId="50241BEA" w14:textId="77777777" w:rsidR="009D5941" w:rsidRPr="007170D4" w:rsidRDefault="009D5941" w:rsidP="00B60372">
      <w:pPr>
        <w:pStyle w:val="Heading4"/>
        <w:numPr>
          <w:ilvl w:val="0"/>
          <w:numId w:val="0"/>
        </w:numPr>
        <w:ind w:left="720" w:hanging="720"/>
      </w:pPr>
      <w:r w:rsidRPr="007170D4">
        <w:t>Private Hospitals</w:t>
      </w:r>
    </w:p>
    <w:p w14:paraId="144FB7C0" w14:textId="77777777" w:rsidR="009D5941" w:rsidRPr="007D1377" w:rsidRDefault="009D5941" w:rsidP="00B60372">
      <w:pPr>
        <w:rPr>
          <w:b/>
          <w:szCs w:val="24"/>
        </w:rPr>
      </w:pPr>
      <w:r w:rsidRPr="007D1377">
        <w:rPr>
          <w:szCs w:val="24"/>
        </w:rPr>
        <w:t>No estimation has yet occurred on the implications of the ECC Model for private hospitals.</w:t>
      </w:r>
    </w:p>
    <w:p w14:paraId="51490F20" w14:textId="77777777" w:rsidR="009D5941" w:rsidRPr="007170D4" w:rsidRDefault="009D5941" w:rsidP="00B60372">
      <w:pPr>
        <w:pStyle w:val="Heading4"/>
        <w:numPr>
          <w:ilvl w:val="0"/>
          <w:numId w:val="0"/>
        </w:numPr>
        <w:ind w:left="720" w:hanging="720"/>
      </w:pPr>
      <w:r w:rsidRPr="007170D4">
        <w:t>Education about the E</w:t>
      </w:r>
      <w:r w:rsidR="004C70DD">
        <w:t xml:space="preserve">pisode </w:t>
      </w:r>
      <w:r w:rsidRPr="007170D4">
        <w:t>C</w:t>
      </w:r>
      <w:r w:rsidR="004C70DD">
        <w:t xml:space="preserve">linical </w:t>
      </w:r>
      <w:r w:rsidRPr="007170D4">
        <w:t>C</w:t>
      </w:r>
      <w:r w:rsidR="004C70DD">
        <w:t>omplexity</w:t>
      </w:r>
      <w:r w:rsidRPr="007170D4">
        <w:t xml:space="preserve"> Model and its implications</w:t>
      </w:r>
    </w:p>
    <w:p w14:paraId="7AD61850" w14:textId="77777777" w:rsidR="009D5941" w:rsidRPr="007D1377" w:rsidRDefault="009D5941" w:rsidP="00981B6D">
      <w:r w:rsidRPr="007D1377">
        <w:t xml:space="preserve">The ECC Model represents a significant change in the consideration of episode </w:t>
      </w:r>
      <w:r w:rsidR="002C4CD5">
        <w:t xml:space="preserve">clinical </w:t>
      </w:r>
      <w:r w:rsidR="00216076">
        <w:t>complexity and</w:t>
      </w:r>
      <w:r w:rsidRPr="007D1377">
        <w:t xml:space="preserve"> its potential to simplify </w:t>
      </w:r>
      <w:r w:rsidR="00F01288">
        <w:t xml:space="preserve">and improve </w:t>
      </w:r>
      <w:r w:rsidRPr="007D1377">
        <w:t>the AR-DRG system.</w:t>
      </w:r>
    </w:p>
    <w:p w14:paraId="026F9F2A" w14:textId="77777777" w:rsidR="005B5818" w:rsidRPr="000B448D" w:rsidRDefault="009D5941" w:rsidP="00981B6D">
      <w:pPr>
        <w:rPr>
          <w:lang w:val="en-AU"/>
        </w:rPr>
      </w:pPr>
      <w:r w:rsidRPr="007D1377">
        <w:t xml:space="preserve">A dedicated education program by </w:t>
      </w:r>
      <w:r w:rsidR="007D1377">
        <w:t xml:space="preserve">ACCD in conjunction with </w:t>
      </w:r>
      <w:r w:rsidRPr="007D1377">
        <w:t xml:space="preserve">IHPA should be considered in the period </w:t>
      </w:r>
      <w:r w:rsidR="00216076">
        <w:t xml:space="preserve">leading </w:t>
      </w:r>
      <w:r w:rsidRPr="007D1377">
        <w:t>up to implementation of Version 8</w:t>
      </w:r>
      <w:r w:rsidR="002C4CD5">
        <w:t>.0</w:t>
      </w:r>
      <w:r w:rsidRPr="007D1377">
        <w:t xml:space="preserve"> on 1 July 2016 so that those affected have the opportunity to understand and become familiar with the new ECC Model and its strengths and implications. </w:t>
      </w:r>
    </w:p>
    <w:p w14:paraId="0F39C988" w14:textId="77777777" w:rsidR="005B5818" w:rsidRPr="003E4F0B" w:rsidRDefault="005B5818" w:rsidP="00B60372">
      <w:pPr>
        <w:pStyle w:val="Heading3"/>
        <w:numPr>
          <w:ilvl w:val="0"/>
          <w:numId w:val="0"/>
        </w:numPr>
        <w:ind w:left="432" w:hanging="432"/>
        <w:rPr>
          <w:rFonts w:eastAsia="Calibri"/>
        </w:rPr>
      </w:pPr>
      <w:r w:rsidRPr="003E4F0B">
        <w:rPr>
          <w:rFonts w:eastAsia="Calibri"/>
        </w:rPr>
        <w:lastRenderedPageBreak/>
        <w:t>Next steps</w:t>
      </w:r>
    </w:p>
    <w:p w14:paraId="36F50D86" w14:textId="77777777" w:rsidR="006F6B1F" w:rsidRDefault="005B5818" w:rsidP="00B60372">
      <w:pPr>
        <w:keepNext/>
        <w:rPr>
          <w:szCs w:val="24"/>
          <w:lang w:val="en-AU"/>
        </w:rPr>
      </w:pPr>
      <w:r w:rsidRPr="003E4F0B">
        <w:rPr>
          <w:szCs w:val="24"/>
          <w:lang w:val="en-AU"/>
        </w:rPr>
        <w:t>ACCD is required to propose a new AR-DRG version to IHPA by 31 October 2014.</w:t>
      </w:r>
      <w:r w:rsidR="003D01CD">
        <w:rPr>
          <w:szCs w:val="24"/>
          <w:lang w:val="en-AU"/>
        </w:rPr>
        <w:t xml:space="preserve"> </w:t>
      </w:r>
      <w:r w:rsidRPr="003E4F0B">
        <w:rPr>
          <w:szCs w:val="24"/>
          <w:lang w:val="en-AU"/>
        </w:rPr>
        <w:t xml:space="preserve">The immediate priority is to develop clinically relevant </w:t>
      </w:r>
      <w:r w:rsidR="002F03E9">
        <w:rPr>
          <w:szCs w:val="24"/>
          <w:lang w:val="en-AU"/>
        </w:rPr>
        <w:t>episode clinical</w:t>
      </w:r>
      <w:r w:rsidR="002F03E9" w:rsidRPr="003E4F0B">
        <w:rPr>
          <w:szCs w:val="24"/>
          <w:lang w:val="en-AU"/>
        </w:rPr>
        <w:t xml:space="preserve"> </w:t>
      </w:r>
      <w:r w:rsidRPr="003E4F0B">
        <w:rPr>
          <w:szCs w:val="24"/>
          <w:lang w:val="en-AU"/>
        </w:rPr>
        <w:t xml:space="preserve">complexity splits for each ADRG, to replace the existing </w:t>
      </w:r>
      <w:r w:rsidR="002F03E9">
        <w:rPr>
          <w:szCs w:val="24"/>
          <w:lang w:val="en-AU"/>
        </w:rPr>
        <w:t xml:space="preserve">case complexity </w:t>
      </w:r>
      <w:r w:rsidR="0047597D">
        <w:rPr>
          <w:szCs w:val="24"/>
          <w:lang w:val="en-AU"/>
        </w:rPr>
        <w:t>system.</w:t>
      </w:r>
    </w:p>
    <w:p w14:paraId="7214911D" w14:textId="77777777" w:rsidR="005B5818" w:rsidRDefault="006F6B1F" w:rsidP="005B5818">
      <w:pPr>
        <w:rPr>
          <w:szCs w:val="24"/>
          <w:lang w:val="en-AU"/>
        </w:rPr>
      </w:pPr>
      <w:r>
        <w:rPr>
          <w:szCs w:val="24"/>
        </w:rPr>
        <w:t>A</w:t>
      </w:r>
      <w:r w:rsidRPr="00DA5326">
        <w:rPr>
          <w:szCs w:val="24"/>
        </w:rPr>
        <w:t xml:space="preserve"> </w:t>
      </w:r>
      <w:r>
        <w:rPr>
          <w:szCs w:val="24"/>
        </w:rPr>
        <w:t>method</w:t>
      </w:r>
      <w:r w:rsidRPr="00DA5326">
        <w:rPr>
          <w:szCs w:val="24"/>
        </w:rPr>
        <w:t xml:space="preserve"> to efficiently obtain informed clinical advice on the validity of </w:t>
      </w:r>
      <w:r>
        <w:rPr>
          <w:szCs w:val="24"/>
        </w:rPr>
        <w:t xml:space="preserve">proposed splits through CCAG will be developed. </w:t>
      </w:r>
      <w:r w:rsidR="005B5818" w:rsidRPr="003E4F0B">
        <w:rPr>
          <w:szCs w:val="24"/>
          <w:lang w:val="en-AU"/>
        </w:rPr>
        <w:t xml:space="preserve">This </w:t>
      </w:r>
      <w:r>
        <w:rPr>
          <w:szCs w:val="24"/>
          <w:lang w:val="en-AU"/>
        </w:rPr>
        <w:t>process</w:t>
      </w:r>
      <w:r w:rsidR="005B5818" w:rsidRPr="003E4F0B">
        <w:rPr>
          <w:szCs w:val="24"/>
          <w:lang w:val="en-AU"/>
        </w:rPr>
        <w:t xml:space="preserve"> will be undertaken having regard to the principles </w:t>
      </w:r>
      <w:r w:rsidR="005B5818">
        <w:rPr>
          <w:szCs w:val="24"/>
          <w:lang w:val="en-AU"/>
        </w:rPr>
        <w:t xml:space="preserve">for construction of AR-DRGs </w:t>
      </w:r>
      <w:r w:rsidR="005B5818" w:rsidRPr="003E4F0B">
        <w:rPr>
          <w:szCs w:val="24"/>
          <w:lang w:val="en-AU"/>
        </w:rPr>
        <w:t>agreed by DTG and CCAG for AR-DRG development, notably the need for stability and statistical robustness, as well as avoidance of ina</w:t>
      </w:r>
      <w:r w:rsidR="00DA5326">
        <w:rPr>
          <w:szCs w:val="24"/>
          <w:lang w:val="en-AU"/>
        </w:rPr>
        <w:t>ppropriate splitting variables.</w:t>
      </w:r>
    </w:p>
    <w:p w14:paraId="1A0FF1A9" w14:textId="77777777" w:rsidR="005B5818" w:rsidRDefault="005B5818" w:rsidP="005B5818">
      <w:pPr>
        <w:rPr>
          <w:szCs w:val="24"/>
          <w:lang w:val="en-AU"/>
        </w:rPr>
      </w:pPr>
      <w:r w:rsidRPr="003E4F0B">
        <w:rPr>
          <w:szCs w:val="24"/>
          <w:lang w:val="en-AU"/>
        </w:rPr>
        <w:t xml:space="preserve">With an </w:t>
      </w:r>
      <w:r>
        <w:rPr>
          <w:szCs w:val="24"/>
          <w:lang w:val="en-AU"/>
        </w:rPr>
        <w:t>ECC</w:t>
      </w:r>
      <w:r w:rsidRPr="003E4F0B">
        <w:rPr>
          <w:szCs w:val="24"/>
          <w:lang w:val="en-AU"/>
        </w:rPr>
        <w:t xml:space="preserve"> </w:t>
      </w:r>
      <w:r>
        <w:rPr>
          <w:szCs w:val="24"/>
          <w:lang w:val="en-AU"/>
        </w:rPr>
        <w:t>M</w:t>
      </w:r>
      <w:r w:rsidRPr="003E4F0B">
        <w:rPr>
          <w:szCs w:val="24"/>
          <w:lang w:val="en-AU"/>
        </w:rPr>
        <w:t>odel that better explain</w:t>
      </w:r>
      <w:r w:rsidR="000020C4">
        <w:rPr>
          <w:szCs w:val="24"/>
          <w:lang w:val="en-AU"/>
        </w:rPr>
        <w:t>s</w:t>
      </w:r>
      <w:r w:rsidRPr="003E4F0B">
        <w:rPr>
          <w:szCs w:val="24"/>
          <w:lang w:val="en-AU"/>
        </w:rPr>
        <w:t xml:space="preserve"> cost variations due to </w:t>
      </w:r>
      <w:r w:rsidR="002F03E9">
        <w:rPr>
          <w:szCs w:val="24"/>
          <w:lang w:val="en-AU"/>
        </w:rPr>
        <w:t>episode clinical</w:t>
      </w:r>
      <w:r w:rsidR="002F03E9" w:rsidRPr="003E4F0B">
        <w:rPr>
          <w:szCs w:val="24"/>
          <w:lang w:val="en-AU"/>
        </w:rPr>
        <w:t xml:space="preserve"> </w:t>
      </w:r>
      <w:r w:rsidRPr="003E4F0B">
        <w:rPr>
          <w:szCs w:val="24"/>
          <w:lang w:val="en-AU"/>
        </w:rPr>
        <w:t>complexity, it is possible that the AR-DRG classification can be simplified</w:t>
      </w:r>
      <w:r w:rsidR="003807D3">
        <w:rPr>
          <w:szCs w:val="24"/>
          <w:lang w:val="en-AU"/>
        </w:rPr>
        <w:t>, f</w:t>
      </w:r>
      <w:r w:rsidRPr="003E4F0B">
        <w:rPr>
          <w:szCs w:val="24"/>
          <w:lang w:val="en-AU"/>
        </w:rPr>
        <w:t xml:space="preserve">or example, </w:t>
      </w:r>
      <w:r w:rsidR="003807D3">
        <w:rPr>
          <w:szCs w:val="24"/>
          <w:lang w:val="en-AU"/>
        </w:rPr>
        <w:t>a reduced dependence on non-clinical variables such as LOS and a reduced need</w:t>
      </w:r>
      <w:r w:rsidR="000020C4">
        <w:rPr>
          <w:szCs w:val="24"/>
          <w:lang w:val="en-AU"/>
        </w:rPr>
        <w:t xml:space="preserve"> for </w:t>
      </w:r>
      <w:r>
        <w:rPr>
          <w:szCs w:val="24"/>
          <w:lang w:val="en-AU"/>
        </w:rPr>
        <w:t xml:space="preserve">Pre </w:t>
      </w:r>
      <w:r w:rsidR="00EA582E">
        <w:rPr>
          <w:szCs w:val="24"/>
          <w:lang w:val="en-AU"/>
        </w:rPr>
        <w:t>M</w:t>
      </w:r>
      <w:r w:rsidR="007D1377">
        <w:rPr>
          <w:szCs w:val="24"/>
          <w:lang w:val="en-AU"/>
        </w:rPr>
        <w:t xml:space="preserve">ajor </w:t>
      </w:r>
      <w:r w:rsidR="00EA582E">
        <w:rPr>
          <w:szCs w:val="24"/>
          <w:lang w:val="en-AU"/>
        </w:rPr>
        <w:t>D</w:t>
      </w:r>
      <w:r w:rsidR="007D1377">
        <w:rPr>
          <w:szCs w:val="24"/>
          <w:lang w:val="en-AU"/>
        </w:rPr>
        <w:t xml:space="preserve">iagnostic </w:t>
      </w:r>
      <w:r w:rsidR="00EA582E">
        <w:rPr>
          <w:szCs w:val="24"/>
          <w:lang w:val="en-AU"/>
        </w:rPr>
        <w:t>C</w:t>
      </w:r>
      <w:r w:rsidR="007D1377">
        <w:rPr>
          <w:szCs w:val="24"/>
          <w:lang w:val="en-AU"/>
        </w:rPr>
        <w:t>ategory (MDC)</w:t>
      </w:r>
      <w:r>
        <w:rPr>
          <w:szCs w:val="24"/>
          <w:lang w:val="en-AU"/>
        </w:rPr>
        <w:t xml:space="preserve"> </w:t>
      </w:r>
      <w:r w:rsidRPr="003E4F0B">
        <w:rPr>
          <w:szCs w:val="24"/>
          <w:lang w:val="en-AU"/>
        </w:rPr>
        <w:t>DRGs</w:t>
      </w:r>
      <w:r w:rsidR="000020C4">
        <w:rPr>
          <w:szCs w:val="24"/>
          <w:lang w:val="en-AU"/>
        </w:rPr>
        <w:t xml:space="preserve"> within the classification.</w:t>
      </w:r>
      <w:r w:rsidR="0068646C">
        <w:rPr>
          <w:szCs w:val="24"/>
          <w:lang w:val="en-AU"/>
        </w:rPr>
        <w:t xml:space="preserve"> These possibilities will be explored in the next phase.</w:t>
      </w:r>
    </w:p>
    <w:p w14:paraId="70B69810" w14:textId="77777777" w:rsidR="005B5818" w:rsidRDefault="005B5818" w:rsidP="005B5818">
      <w:pPr>
        <w:rPr>
          <w:szCs w:val="24"/>
          <w:lang w:val="en-AU"/>
        </w:rPr>
      </w:pPr>
      <w:r w:rsidRPr="003E4F0B">
        <w:rPr>
          <w:szCs w:val="24"/>
          <w:lang w:val="en-AU"/>
        </w:rPr>
        <w:t xml:space="preserve">Proposals for DRG changes that have been received will be analysed during the development of the new version, noting that the new </w:t>
      </w:r>
      <w:r w:rsidR="003D01CD">
        <w:rPr>
          <w:szCs w:val="24"/>
          <w:lang w:val="en-AU"/>
        </w:rPr>
        <w:t>ECC Model</w:t>
      </w:r>
      <w:r w:rsidRPr="003E4F0B">
        <w:rPr>
          <w:szCs w:val="24"/>
          <w:lang w:val="en-AU"/>
        </w:rPr>
        <w:t xml:space="preserve"> will impact on many of these proposals</w:t>
      </w:r>
      <w:r w:rsidR="003D01CD">
        <w:rPr>
          <w:szCs w:val="24"/>
          <w:lang w:val="en-AU"/>
        </w:rPr>
        <w:t>.</w:t>
      </w:r>
    </w:p>
    <w:p w14:paraId="27F49C71" w14:textId="77777777" w:rsidR="006F6B1F" w:rsidRDefault="006F6B1F" w:rsidP="005B5818">
      <w:pPr>
        <w:rPr>
          <w:szCs w:val="24"/>
          <w:lang w:val="en-AU"/>
        </w:rPr>
      </w:pPr>
      <w:r>
        <w:rPr>
          <w:szCs w:val="24"/>
        </w:rPr>
        <w:t xml:space="preserve">It has been noted that changes </w:t>
      </w:r>
      <w:r w:rsidRPr="008A7AD4">
        <w:rPr>
          <w:szCs w:val="24"/>
        </w:rPr>
        <w:t>in clinical care</w:t>
      </w:r>
      <w:r>
        <w:rPr>
          <w:szCs w:val="24"/>
        </w:rPr>
        <w:t xml:space="preserve"> and improvements in data quality over time necessitate </w:t>
      </w:r>
      <w:r w:rsidR="005C7F74">
        <w:rPr>
          <w:szCs w:val="24"/>
        </w:rPr>
        <w:t>continuous review of the AR-DRG classification</w:t>
      </w:r>
      <w:r w:rsidR="00EA6EEF">
        <w:rPr>
          <w:szCs w:val="24"/>
        </w:rPr>
        <w:t>.</w:t>
      </w:r>
      <w:r w:rsidR="005C7F74">
        <w:rPr>
          <w:szCs w:val="24"/>
        </w:rPr>
        <w:t xml:space="preserve"> Therefore, </w:t>
      </w:r>
      <w:r w:rsidRPr="006F6B1F">
        <w:rPr>
          <w:szCs w:val="24"/>
          <w:lang w:val="en-AU"/>
        </w:rPr>
        <w:t xml:space="preserve">an ongoing and systematic approach </w:t>
      </w:r>
      <w:r w:rsidR="005C7F74">
        <w:rPr>
          <w:szCs w:val="24"/>
          <w:lang w:val="en-AU"/>
        </w:rPr>
        <w:t xml:space="preserve">will </w:t>
      </w:r>
      <w:r w:rsidRPr="006F6B1F">
        <w:rPr>
          <w:szCs w:val="24"/>
          <w:lang w:val="en-AU"/>
        </w:rPr>
        <w:t>be taken to evaluat</w:t>
      </w:r>
      <w:r w:rsidR="005C7F74">
        <w:rPr>
          <w:szCs w:val="24"/>
          <w:lang w:val="en-AU"/>
        </w:rPr>
        <w:t>e</w:t>
      </w:r>
      <w:r w:rsidRPr="006F6B1F">
        <w:rPr>
          <w:szCs w:val="24"/>
          <w:lang w:val="en-AU"/>
        </w:rPr>
        <w:t xml:space="preserve"> and refine</w:t>
      </w:r>
      <w:r w:rsidR="005C7F74">
        <w:rPr>
          <w:szCs w:val="24"/>
          <w:lang w:val="en-AU"/>
        </w:rPr>
        <w:t xml:space="preserve"> </w:t>
      </w:r>
      <w:r w:rsidRPr="006F6B1F">
        <w:rPr>
          <w:szCs w:val="24"/>
          <w:lang w:val="en-AU"/>
        </w:rPr>
        <w:t>the ECC Model as part of the br</w:t>
      </w:r>
      <w:r w:rsidR="005C7F74">
        <w:rPr>
          <w:szCs w:val="24"/>
          <w:lang w:val="en-AU"/>
        </w:rPr>
        <w:t>oader AR-DRG refinement process within V8.0 and future versions of the AR-DRG classification.</w:t>
      </w:r>
    </w:p>
    <w:p w14:paraId="6E2273FD" w14:textId="77777777" w:rsidR="005B5818" w:rsidRDefault="005B5818" w:rsidP="0047597D">
      <w:pPr>
        <w:pStyle w:val="Quote"/>
        <w:rPr>
          <w:noProof/>
        </w:rPr>
      </w:pPr>
      <w:r>
        <w:rPr>
          <w:lang w:val="en-AU"/>
        </w:rPr>
        <w:t>‘</w:t>
      </w:r>
      <w:r w:rsidRPr="00576DAC">
        <w:rPr>
          <w:lang w:val="en-AU"/>
        </w:rPr>
        <w:t xml:space="preserve">Based on the outcome of </w:t>
      </w:r>
      <w:r>
        <w:rPr>
          <w:lang w:val="en-AU"/>
        </w:rPr>
        <w:t xml:space="preserve">this review, ACCD will </w:t>
      </w:r>
      <w:r w:rsidRPr="00576DAC">
        <w:rPr>
          <w:lang w:val="en-AU"/>
        </w:rPr>
        <w:t xml:space="preserve">incorporate </w:t>
      </w:r>
      <w:r>
        <w:rPr>
          <w:lang w:val="en-AU"/>
        </w:rPr>
        <w:t>the approved</w:t>
      </w:r>
      <w:r w:rsidRPr="00576DAC">
        <w:rPr>
          <w:lang w:val="en-AU"/>
        </w:rPr>
        <w:t xml:space="preserve"> new </w:t>
      </w:r>
      <w:r>
        <w:rPr>
          <w:lang w:val="en-AU"/>
        </w:rPr>
        <w:t>ECC Model</w:t>
      </w:r>
      <w:r w:rsidRPr="00576DAC">
        <w:rPr>
          <w:lang w:val="en-AU"/>
        </w:rPr>
        <w:t xml:space="preserve"> into the </w:t>
      </w:r>
      <w:r>
        <w:rPr>
          <w:lang w:val="en-AU"/>
        </w:rPr>
        <w:t>splitting</w:t>
      </w:r>
      <w:r w:rsidRPr="00576DAC">
        <w:rPr>
          <w:lang w:val="en-AU"/>
        </w:rPr>
        <w:t xml:space="preserve"> </w:t>
      </w:r>
      <w:r>
        <w:rPr>
          <w:lang w:val="en-AU"/>
        </w:rPr>
        <w:t xml:space="preserve">phase </w:t>
      </w:r>
      <w:r w:rsidRPr="00576DAC">
        <w:rPr>
          <w:lang w:val="en-AU"/>
        </w:rPr>
        <w:t xml:space="preserve">for </w:t>
      </w:r>
      <w:r>
        <w:rPr>
          <w:lang w:val="en-AU"/>
        </w:rPr>
        <w:t>development of AR-DRG V8.0.’</w:t>
      </w:r>
    </w:p>
    <w:p w14:paraId="3AC8A20D" w14:textId="77777777" w:rsidR="005B5818" w:rsidRDefault="005B5818" w:rsidP="00B60372">
      <w:pPr>
        <w:pStyle w:val="Heading2"/>
      </w:pPr>
      <w:bookmarkStart w:id="3" w:name="_Toc401061040"/>
      <w:r w:rsidRPr="00D67441">
        <w:lastRenderedPageBreak/>
        <w:t>Introduction</w:t>
      </w:r>
      <w:bookmarkEnd w:id="3"/>
    </w:p>
    <w:p w14:paraId="3DFDB15A" w14:textId="77777777" w:rsidR="00607993" w:rsidRDefault="006B2CFB" w:rsidP="006056B9">
      <w:pPr>
        <w:pStyle w:val="SectionIntroduction"/>
      </w:pPr>
      <w:r w:rsidRPr="00A021DB">
        <w:t>This</w:t>
      </w:r>
      <w:r w:rsidR="00607993">
        <w:t xml:space="preserve"> </w:t>
      </w:r>
      <w:r w:rsidR="00607993" w:rsidRPr="00607993">
        <w:t>section provides</w:t>
      </w:r>
      <w:r w:rsidR="00607993">
        <w:t xml:space="preserve"> a</w:t>
      </w:r>
      <w:r w:rsidRPr="00A021DB">
        <w:t xml:space="preserve">n introduction to the Australian Consortium for Classification </w:t>
      </w:r>
      <w:r w:rsidR="00781C68">
        <w:t>Development</w:t>
      </w:r>
      <w:r w:rsidR="00EA582E">
        <w:t xml:space="preserve"> (ACCD)</w:t>
      </w:r>
      <w:r w:rsidR="00781C68">
        <w:t xml:space="preserve"> </w:t>
      </w:r>
      <w:r w:rsidRPr="00A021DB">
        <w:t xml:space="preserve">and its overall objective related to the development and refinement of the Australian Refined Diagnosis Related Groups </w:t>
      </w:r>
      <w:r w:rsidR="00781C68">
        <w:t xml:space="preserve">(AR-DRG) </w:t>
      </w:r>
      <w:r w:rsidRPr="00A021DB">
        <w:t>Classification System</w:t>
      </w:r>
      <w:r w:rsidR="00607993">
        <w:t xml:space="preserve">. </w:t>
      </w:r>
      <w:r w:rsidRPr="00A021DB">
        <w:t xml:space="preserve">An overall aim of the case complexity review project </w:t>
      </w:r>
      <w:r w:rsidR="00607993">
        <w:t xml:space="preserve">has been included with </w:t>
      </w:r>
      <w:r w:rsidRPr="00A021DB">
        <w:t>the requirements to achieve</w:t>
      </w:r>
      <w:r w:rsidR="00D44BA2" w:rsidRPr="00A021DB">
        <w:t xml:space="preserve"> this</w:t>
      </w:r>
      <w:r w:rsidR="00345851">
        <w:t>.</w:t>
      </w:r>
    </w:p>
    <w:p w14:paraId="4889A15C" w14:textId="77777777" w:rsidR="00D44BA2" w:rsidRDefault="00607993" w:rsidP="006056B9">
      <w:pPr>
        <w:pStyle w:val="SectionIntroduction"/>
      </w:pPr>
      <w:r>
        <w:t xml:space="preserve">The underpinning aspects of the project are also presented </w:t>
      </w:r>
      <w:r w:rsidR="00AE4D4E">
        <w:t>in this section. A</w:t>
      </w:r>
      <w:r>
        <w:t xml:space="preserve"> </w:t>
      </w:r>
      <w:r w:rsidR="00D44BA2" w:rsidRPr="00A021DB">
        <w:t xml:space="preserve">literature review of the historical and international considerations in approaches to case complexity processing in </w:t>
      </w:r>
      <w:r w:rsidR="00781C68">
        <w:t>D</w:t>
      </w:r>
      <w:r w:rsidR="00D44BA2" w:rsidRPr="00A021DB">
        <w:t xml:space="preserve">iagnosis </w:t>
      </w:r>
      <w:r w:rsidR="00781C68">
        <w:t>R</w:t>
      </w:r>
      <w:r w:rsidR="00D44BA2" w:rsidRPr="00A021DB">
        <w:t xml:space="preserve">elated </w:t>
      </w:r>
      <w:r w:rsidR="00781C68">
        <w:t>G</w:t>
      </w:r>
      <w:r w:rsidR="00D44BA2" w:rsidRPr="00A021DB">
        <w:t>roups</w:t>
      </w:r>
      <w:r w:rsidR="00EA582E">
        <w:t xml:space="preserve"> (DRG)</w:t>
      </w:r>
      <w:r w:rsidR="00D44BA2" w:rsidRPr="00A021DB">
        <w:t xml:space="preserve"> development to dat</w:t>
      </w:r>
      <w:r w:rsidR="00AE4D4E">
        <w:t>e provid</w:t>
      </w:r>
      <w:r w:rsidR="007A3D55">
        <w:t>ed</w:t>
      </w:r>
      <w:r w:rsidR="00AE4D4E">
        <w:t xml:space="preserve"> a base from which to begin; the governance and consultation arrangements </w:t>
      </w:r>
      <w:r w:rsidR="007A3D55">
        <w:t>provided</w:t>
      </w:r>
      <w:r w:rsidR="00AE4D4E">
        <w:t xml:space="preserve"> the means to engage and consult.</w:t>
      </w:r>
    </w:p>
    <w:p w14:paraId="63003431" w14:textId="77777777" w:rsidR="00781C68" w:rsidRPr="00A021DB" w:rsidRDefault="007A3D55" w:rsidP="006056B9">
      <w:pPr>
        <w:pStyle w:val="SectionIntroduction"/>
      </w:pPr>
      <w:r>
        <w:t>The</w:t>
      </w:r>
      <w:r w:rsidR="00781C68" w:rsidRPr="00A021DB">
        <w:t xml:space="preserve"> new</w:t>
      </w:r>
      <w:r w:rsidR="00F8398B">
        <w:t xml:space="preserve"> terminology for case co</w:t>
      </w:r>
      <w:r w:rsidR="005F6A48">
        <w:t>mplexity</w:t>
      </w:r>
      <w:r w:rsidR="00781C68" w:rsidRPr="00A021DB">
        <w:t xml:space="preserve"> processing i</w:t>
      </w:r>
      <w:r>
        <w:t>n</w:t>
      </w:r>
      <w:r w:rsidR="00781C68" w:rsidRPr="00A021DB">
        <w:t xml:space="preserve"> AR-DRGs</w:t>
      </w:r>
      <w:r w:rsidR="00AE4D4E">
        <w:t xml:space="preserve"> is </w:t>
      </w:r>
      <w:r>
        <w:t xml:space="preserve">introduced along with a </w:t>
      </w:r>
      <w:r w:rsidR="00781C68">
        <w:t>brief project overview</w:t>
      </w:r>
      <w:r>
        <w:t>.</w:t>
      </w:r>
    </w:p>
    <w:p w14:paraId="19DF199D" w14:textId="77777777" w:rsidR="005B5818" w:rsidRPr="00EB1670" w:rsidRDefault="005B5818" w:rsidP="006056B9">
      <w:pPr>
        <w:rPr>
          <w:szCs w:val="24"/>
        </w:rPr>
      </w:pPr>
      <w:r w:rsidRPr="00EB1670">
        <w:rPr>
          <w:szCs w:val="24"/>
        </w:rPr>
        <w:t xml:space="preserve">The University of Sydney's National Centre for Classification in Health (NCCH), in collaboration with the University of Western Sydney (UWS) and KPMG, </w:t>
      </w:r>
      <w:r>
        <w:rPr>
          <w:szCs w:val="24"/>
        </w:rPr>
        <w:t>has been contracted by the Commonwealth of Australia as represented by the Independent Hospital Pricing Authority (IHPA)</w:t>
      </w:r>
      <w:r w:rsidRPr="00EB1670">
        <w:rPr>
          <w:szCs w:val="24"/>
        </w:rPr>
        <w:t xml:space="preserve"> </w:t>
      </w:r>
      <w:r>
        <w:rPr>
          <w:szCs w:val="24"/>
        </w:rPr>
        <w:t>to maintain, develop and improve</w:t>
      </w:r>
      <w:r w:rsidRPr="00EB1670">
        <w:rPr>
          <w:szCs w:val="24"/>
        </w:rPr>
        <w:t xml:space="preserve"> the AR-DRG Classification System for the </w:t>
      </w:r>
      <w:r w:rsidR="00EA582E">
        <w:rPr>
          <w:szCs w:val="24"/>
        </w:rPr>
        <w:t xml:space="preserve">Australian </w:t>
      </w:r>
      <w:r w:rsidR="00345851">
        <w:rPr>
          <w:szCs w:val="24"/>
        </w:rPr>
        <w:t>Health System.</w:t>
      </w:r>
    </w:p>
    <w:p w14:paraId="1EE65F66" w14:textId="77777777" w:rsidR="005B5818" w:rsidRPr="00EB1670" w:rsidRDefault="005B5818" w:rsidP="006056B9">
      <w:pPr>
        <w:rPr>
          <w:szCs w:val="24"/>
        </w:rPr>
      </w:pPr>
      <w:r w:rsidRPr="00EB1670">
        <w:rPr>
          <w:szCs w:val="24"/>
        </w:rPr>
        <w:t>The ACCD led by the NCCH has been established to comprehensively address the work program. The three consortium ACCD partners have the following responsibilities:</w:t>
      </w:r>
    </w:p>
    <w:p w14:paraId="06E68AD9" w14:textId="77777777" w:rsidR="005B5818" w:rsidRPr="00EB1670" w:rsidRDefault="005B5818" w:rsidP="006056B9">
      <w:pPr>
        <w:numPr>
          <w:ilvl w:val="0"/>
          <w:numId w:val="24"/>
        </w:numPr>
        <w:rPr>
          <w:szCs w:val="24"/>
        </w:rPr>
      </w:pPr>
      <w:r w:rsidRPr="00EB1670">
        <w:rPr>
          <w:szCs w:val="24"/>
        </w:rPr>
        <w:t xml:space="preserve">The University of Sydney through the NCCH </w:t>
      </w:r>
      <w:r>
        <w:rPr>
          <w:szCs w:val="24"/>
        </w:rPr>
        <w:t>has</w:t>
      </w:r>
      <w:r w:rsidRPr="00EB1670">
        <w:rPr>
          <w:szCs w:val="24"/>
        </w:rPr>
        <w:t xml:space="preserve"> overall responsibility and provide</w:t>
      </w:r>
      <w:r>
        <w:rPr>
          <w:szCs w:val="24"/>
        </w:rPr>
        <w:t>s</w:t>
      </w:r>
      <w:r w:rsidRPr="00EB1670">
        <w:rPr>
          <w:szCs w:val="24"/>
        </w:rPr>
        <w:t xml:space="preserve"> leadership for the project. The NCCH, with its associated experts, undertake</w:t>
      </w:r>
      <w:r>
        <w:rPr>
          <w:szCs w:val="24"/>
        </w:rPr>
        <w:t>s</w:t>
      </w:r>
      <w:r w:rsidRPr="00EB1670">
        <w:rPr>
          <w:szCs w:val="24"/>
        </w:rPr>
        <w:t xml:space="preserve"> the development and refinement work on the AR-DRG Classification System, and </w:t>
      </w:r>
      <w:r>
        <w:rPr>
          <w:szCs w:val="24"/>
        </w:rPr>
        <w:t>is</w:t>
      </w:r>
      <w:r w:rsidRPr="00EB1670">
        <w:rPr>
          <w:szCs w:val="24"/>
        </w:rPr>
        <w:t xml:space="preserve"> responsible for the governance arrangements, communication with stakeholders, education and publishing.</w:t>
      </w:r>
    </w:p>
    <w:p w14:paraId="5569628D" w14:textId="77777777" w:rsidR="005B5818" w:rsidRPr="00EB1670" w:rsidRDefault="005B5818" w:rsidP="006056B9">
      <w:pPr>
        <w:numPr>
          <w:ilvl w:val="0"/>
          <w:numId w:val="24"/>
        </w:numPr>
        <w:rPr>
          <w:szCs w:val="24"/>
        </w:rPr>
      </w:pPr>
      <w:r w:rsidRPr="00EB1670">
        <w:rPr>
          <w:szCs w:val="24"/>
        </w:rPr>
        <w:t xml:space="preserve">UWS </w:t>
      </w:r>
      <w:r>
        <w:rPr>
          <w:szCs w:val="24"/>
        </w:rPr>
        <w:t>is</w:t>
      </w:r>
      <w:r w:rsidRPr="00EB1670">
        <w:rPr>
          <w:szCs w:val="24"/>
        </w:rPr>
        <w:t xml:space="preserve"> responsible for information </w:t>
      </w:r>
      <w:r>
        <w:rPr>
          <w:szCs w:val="24"/>
        </w:rPr>
        <w:t xml:space="preserve">communication and </w:t>
      </w:r>
      <w:r w:rsidRPr="00EB1670">
        <w:rPr>
          <w:szCs w:val="24"/>
        </w:rPr>
        <w:t>technology (I</w:t>
      </w:r>
      <w:r>
        <w:rPr>
          <w:szCs w:val="24"/>
        </w:rPr>
        <w:t>C</w:t>
      </w:r>
      <w:r w:rsidRPr="00EB1670">
        <w:rPr>
          <w:szCs w:val="24"/>
        </w:rPr>
        <w:t>T) systems maintenance and development, including the user interface for submissions and queries, and the (internal) I</w:t>
      </w:r>
      <w:r>
        <w:rPr>
          <w:szCs w:val="24"/>
        </w:rPr>
        <w:t>C</w:t>
      </w:r>
      <w:r w:rsidRPr="00EB1670">
        <w:rPr>
          <w:szCs w:val="24"/>
        </w:rPr>
        <w:t xml:space="preserve">T platform to manage the processing of proposals and </w:t>
      </w:r>
      <w:r w:rsidRPr="00EB1670">
        <w:rPr>
          <w:szCs w:val="24"/>
        </w:rPr>
        <w:lastRenderedPageBreak/>
        <w:t>updates to the AR-DRG Classification System. UWS also undertake</w:t>
      </w:r>
      <w:r>
        <w:rPr>
          <w:szCs w:val="24"/>
        </w:rPr>
        <w:t>s</w:t>
      </w:r>
      <w:r w:rsidRPr="00EB1670">
        <w:rPr>
          <w:szCs w:val="24"/>
        </w:rPr>
        <w:t xml:space="preserve"> certification of grouping software and the testing of software tools available for clinical coding.</w:t>
      </w:r>
    </w:p>
    <w:p w14:paraId="46F68C25" w14:textId="77777777" w:rsidR="005B5818" w:rsidRPr="00EB1670" w:rsidRDefault="005B5818" w:rsidP="006056B9">
      <w:pPr>
        <w:numPr>
          <w:ilvl w:val="0"/>
          <w:numId w:val="24"/>
        </w:numPr>
        <w:rPr>
          <w:szCs w:val="24"/>
        </w:rPr>
      </w:pPr>
      <w:r w:rsidRPr="00EB1670">
        <w:rPr>
          <w:szCs w:val="24"/>
        </w:rPr>
        <w:t>KPMG provide</w:t>
      </w:r>
      <w:r>
        <w:rPr>
          <w:szCs w:val="24"/>
        </w:rPr>
        <w:t>s</w:t>
      </w:r>
      <w:r w:rsidRPr="00EB1670">
        <w:rPr>
          <w:szCs w:val="24"/>
        </w:rPr>
        <w:t xml:space="preserve"> expert advice on AR-DRG change proposals and analysis methodology, and facilitate</w:t>
      </w:r>
      <w:r>
        <w:rPr>
          <w:szCs w:val="24"/>
        </w:rPr>
        <w:t>s</w:t>
      </w:r>
      <w:r w:rsidRPr="00EB1670">
        <w:rPr>
          <w:szCs w:val="24"/>
        </w:rPr>
        <w:t xml:space="preserve"> public consultative work for AR-DRG classification issues and refinement.</w:t>
      </w:r>
    </w:p>
    <w:p w14:paraId="7B6B47DF" w14:textId="77777777" w:rsidR="005B5818" w:rsidRPr="00EB1670" w:rsidRDefault="005B5818" w:rsidP="006056B9">
      <w:pPr>
        <w:keepNext/>
        <w:rPr>
          <w:szCs w:val="24"/>
        </w:rPr>
      </w:pPr>
      <w:r w:rsidRPr="00EB1670">
        <w:rPr>
          <w:szCs w:val="24"/>
        </w:rPr>
        <w:t>ACCD</w:t>
      </w:r>
      <w:r>
        <w:rPr>
          <w:szCs w:val="24"/>
        </w:rPr>
        <w:t>’s</w:t>
      </w:r>
      <w:r w:rsidRPr="00EB1670">
        <w:rPr>
          <w:szCs w:val="24"/>
        </w:rPr>
        <w:t xml:space="preserve"> objective</w:t>
      </w:r>
      <w:r>
        <w:rPr>
          <w:szCs w:val="24"/>
        </w:rPr>
        <w:t xml:space="preserve"> i</w:t>
      </w:r>
      <w:r w:rsidRPr="00EB1670">
        <w:rPr>
          <w:szCs w:val="24"/>
        </w:rPr>
        <w:t>s:</w:t>
      </w:r>
    </w:p>
    <w:p w14:paraId="5DB12D72" w14:textId="77777777" w:rsidR="005B5818" w:rsidRDefault="005B5818" w:rsidP="00345851">
      <w:pPr>
        <w:pStyle w:val="Quote"/>
        <w:keepLines/>
      </w:pPr>
      <w:r w:rsidRPr="00EB1670">
        <w:t>'To manage the AR-DRG and ICD-10-AM development processes in an ongoing capacity</w:t>
      </w:r>
      <w:r w:rsidR="006B44EE">
        <w:t>…[</w:t>
      </w:r>
      <w:r w:rsidRPr="00EB1670">
        <w:t>and</w:t>
      </w:r>
      <w:r w:rsidR="006B44EE">
        <w:t>]…t</w:t>
      </w:r>
      <w:r w:rsidRPr="00EB1670">
        <w:t>o deliver the quality refinement of the System based on clinical practice, that builds on the previous investments in the System.'</w:t>
      </w:r>
      <w:r w:rsidR="0047597D">
        <w:rPr>
          <w:rStyle w:val="FootnoteReference"/>
        </w:rPr>
        <w:footnoteReference w:id="4"/>
      </w:r>
    </w:p>
    <w:p w14:paraId="71295CEE" w14:textId="77777777" w:rsidR="005B5818" w:rsidRDefault="005B5818" w:rsidP="006056B9">
      <w:pPr>
        <w:rPr>
          <w:szCs w:val="24"/>
        </w:rPr>
      </w:pPr>
      <w:r>
        <w:rPr>
          <w:szCs w:val="24"/>
        </w:rPr>
        <w:t xml:space="preserve">There are </w:t>
      </w:r>
      <w:r w:rsidRPr="004F0D22">
        <w:rPr>
          <w:szCs w:val="24"/>
        </w:rPr>
        <w:t xml:space="preserve">two major components of the </w:t>
      </w:r>
      <w:r>
        <w:rPr>
          <w:szCs w:val="24"/>
        </w:rPr>
        <w:t>AR-DRG Classification S</w:t>
      </w:r>
      <w:r w:rsidRPr="004F0D22">
        <w:rPr>
          <w:szCs w:val="24"/>
        </w:rPr>
        <w:t>ystem, namely, the development and refinement of</w:t>
      </w:r>
      <w:r>
        <w:rPr>
          <w:szCs w:val="24"/>
        </w:rPr>
        <w:t>:</w:t>
      </w:r>
    </w:p>
    <w:p w14:paraId="5ADF1397" w14:textId="77777777" w:rsidR="005B5818" w:rsidRDefault="005B5818" w:rsidP="002506C3">
      <w:pPr>
        <w:numPr>
          <w:ilvl w:val="0"/>
          <w:numId w:val="100"/>
        </w:numPr>
      </w:pPr>
      <w:r>
        <w:t>T</w:t>
      </w:r>
      <w:r w:rsidRPr="009E110D">
        <w:t>he International Statistical Classification of Diseases</w:t>
      </w:r>
      <w:r w:rsidRPr="0035193D">
        <w:t xml:space="preserve"> </w:t>
      </w:r>
      <w:r w:rsidRPr="009E110D">
        <w:t>and Related Health Problems, Tenth Revision, Australian Modification, the Australian Classification of Health Interventions and the Australian Coding Standards (ICD-10-AM/ACHI/ACS)</w:t>
      </w:r>
      <w:r>
        <w:t>,</w:t>
      </w:r>
      <w:r w:rsidRPr="009E110D">
        <w:t xml:space="preserve"> and </w:t>
      </w:r>
    </w:p>
    <w:p w14:paraId="3AFF6EE2" w14:textId="77777777" w:rsidR="005B5818" w:rsidRPr="009E110D" w:rsidRDefault="005B5818" w:rsidP="000E5B4A">
      <w:pPr>
        <w:pStyle w:val="ListBullet"/>
      </w:pPr>
      <w:r>
        <w:rPr>
          <w:szCs w:val="24"/>
        </w:rPr>
        <w:t>T</w:t>
      </w:r>
      <w:r w:rsidRPr="009E110D">
        <w:rPr>
          <w:szCs w:val="24"/>
        </w:rPr>
        <w:t>he AR-DRG classification.</w:t>
      </w:r>
    </w:p>
    <w:p w14:paraId="744DA492" w14:textId="77777777" w:rsidR="005B5818" w:rsidRDefault="005B5818" w:rsidP="006056B9">
      <w:pPr>
        <w:rPr>
          <w:szCs w:val="24"/>
        </w:rPr>
      </w:pPr>
      <w:r>
        <w:rPr>
          <w:szCs w:val="24"/>
        </w:rPr>
        <w:t xml:space="preserve">A significant and timely portion of refinement within the AR-DRG classification component of the work program was </w:t>
      </w:r>
      <w:r w:rsidR="00A12F0B">
        <w:rPr>
          <w:szCs w:val="24"/>
        </w:rPr>
        <w:t>to</w:t>
      </w:r>
      <w:r>
        <w:rPr>
          <w:szCs w:val="24"/>
        </w:rPr>
        <w:t xml:space="preserve"> review the AR-DRG case complexity process. This important first phase of work was completed on 30 June 2014 and has set the groundwork for the development of AR-DRG Version (V) 8.0 due for release on </w:t>
      </w:r>
      <w:r w:rsidR="001C6D4D">
        <w:rPr>
          <w:szCs w:val="24"/>
        </w:rPr>
        <w:t xml:space="preserve">1 </w:t>
      </w:r>
      <w:r>
        <w:rPr>
          <w:szCs w:val="24"/>
        </w:rPr>
        <w:t>July 2015 (anticipated implementation 1 July 2016) and future AR-DRG versions.</w:t>
      </w:r>
    </w:p>
    <w:p w14:paraId="61AF7863" w14:textId="77777777" w:rsidR="005B5818" w:rsidRDefault="005B5818" w:rsidP="006056B9">
      <w:pPr>
        <w:rPr>
          <w:noProof/>
          <w:szCs w:val="24"/>
          <w:lang w:val="en-GB"/>
        </w:rPr>
      </w:pPr>
      <w:r>
        <w:rPr>
          <w:noProof/>
          <w:szCs w:val="24"/>
          <w:lang w:val="en-GB"/>
        </w:rPr>
        <w:t>The overall aim of this project as detailed in Item A.2.5 of the Schedule to the contract between IHPA and the NCCH as lead of the ACCD was to:</w:t>
      </w:r>
    </w:p>
    <w:p w14:paraId="23AA57D7" w14:textId="77777777" w:rsidR="005B5818" w:rsidRDefault="005B5818" w:rsidP="00345851">
      <w:pPr>
        <w:pStyle w:val="Quote"/>
        <w:rPr>
          <w:noProof/>
          <w:lang w:val="en-AU"/>
        </w:rPr>
      </w:pPr>
      <w:r>
        <w:rPr>
          <w:noProof/>
          <w:lang w:val="en-GB"/>
        </w:rPr>
        <w:t>‘…</w:t>
      </w:r>
      <w:r w:rsidRPr="00440279">
        <w:rPr>
          <w:noProof/>
          <w:lang w:val="en-AU"/>
        </w:rPr>
        <w:t xml:space="preserve">better explain the variation in costs occurring in the admitted patient </w:t>
      </w:r>
      <w:r>
        <w:rPr>
          <w:noProof/>
          <w:lang w:val="en-AU"/>
        </w:rPr>
        <w:t>data within the AR­</w:t>
      </w:r>
      <w:r w:rsidRPr="00440279">
        <w:rPr>
          <w:noProof/>
          <w:lang w:val="en-AU"/>
        </w:rPr>
        <w:t>DRG classification</w:t>
      </w:r>
      <w:r>
        <w:rPr>
          <w:noProof/>
          <w:lang w:val="en-AU"/>
        </w:rPr>
        <w:t>.</w:t>
      </w:r>
      <w:r w:rsidRPr="00440279">
        <w:rPr>
          <w:noProof/>
          <w:lang w:val="en-AU"/>
        </w:rPr>
        <w:t>’</w:t>
      </w:r>
    </w:p>
    <w:p w14:paraId="58F89FD5" w14:textId="77777777" w:rsidR="005B5818" w:rsidRPr="00440279" w:rsidRDefault="005B5818" w:rsidP="006056B9">
      <w:pPr>
        <w:pageBreakBefore/>
        <w:rPr>
          <w:noProof/>
          <w:szCs w:val="24"/>
          <w:lang w:val="en-GB"/>
        </w:rPr>
      </w:pPr>
      <w:r>
        <w:rPr>
          <w:noProof/>
          <w:szCs w:val="24"/>
          <w:lang w:val="en-AU"/>
        </w:rPr>
        <w:lastRenderedPageBreak/>
        <w:t>This has been achieved through addressing IHPA’s requirements</w:t>
      </w:r>
      <w:r w:rsidR="00CD792B">
        <w:rPr>
          <w:rStyle w:val="FootnoteReference"/>
          <w:noProof/>
          <w:szCs w:val="24"/>
          <w:lang w:val="en-AU"/>
        </w:rPr>
        <w:footnoteReference w:id="5"/>
      </w:r>
      <w:r>
        <w:rPr>
          <w:noProof/>
          <w:szCs w:val="24"/>
          <w:lang w:val="en-AU"/>
        </w:rPr>
        <w:t xml:space="preserve"> to:</w:t>
      </w:r>
    </w:p>
    <w:p w14:paraId="55188838" w14:textId="77777777" w:rsidR="005B5818" w:rsidRPr="00CD792B" w:rsidRDefault="005B5818" w:rsidP="00CD792B">
      <w:pPr>
        <w:pStyle w:val="IHPARequiremnt"/>
        <w:numPr>
          <w:ilvl w:val="0"/>
          <w:numId w:val="109"/>
        </w:numPr>
        <w:ind w:left="360"/>
      </w:pPr>
      <w:r w:rsidRPr="00CD792B">
        <w:t xml:space="preserve">Review the current </w:t>
      </w:r>
      <w:r w:rsidR="00A12F0B" w:rsidRPr="00CD792B">
        <w:t>Patient Clinical Complexity Level (</w:t>
      </w:r>
      <w:r w:rsidRPr="00CD792B">
        <w:t>PCCL</w:t>
      </w:r>
      <w:r w:rsidR="00A12F0B" w:rsidRPr="00CD792B">
        <w:t>)</w:t>
      </w:r>
      <w:r w:rsidRPr="00CD792B">
        <w:t xml:space="preserve"> process and identify improvements and modifications.</w:t>
      </w:r>
      <w:r w:rsidR="00345851" w:rsidRPr="00CD792B">
        <w:t xml:space="preserve"> </w:t>
      </w:r>
    </w:p>
    <w:p w14:paraId="292E9E04" w14:textId="77777777" w:rsidR="005B5818" w:rsidRPr="00CD792B" w:rsidRDefault="005B5818" w:rsidP="00CD792B">
      <w:pPr>
        <w:pStyle w:val="IHPARequiremnt"/>
        <w:ind w:left="360"/>
      </w:pPr>
      <w:r w:rsidRPr="00CD792B">
        <w:t>Determine the codes considered significant (currently the Complication and Comorbidity (CC) codes) in measuring case complexity.</w:t>
      </w:r>
    </w:p>
    <w:p w14:paraId="7C70D8D7" w14:textId="77777777" w:rsidR="005B5818" w:rsidRPr="00CD792B" w:rsidRDefault="005B5818" w:rsidP="00CD792B">
      <w:pPr>
        <w:pStyle w:val="IHPARequiremnt"/>
        <w:ind w:left="360"/>
      </w:pPr>
      <w:r w:rsidRPr="00CD792B">
        <w:t>Determine whether there is a need for separate CC codes and/or matrix for paediatric and geriatric age splits.</w:t>
      </w:r>
      <w:r w:rsidR="00345851" w:rsidRPr="00CD792B">
        <w:t xml:space="preserve"> </w:t>
      </w:r>
    </w:p>
    <w:p w14:paraId="103BA4B2" w14:textId="77777777" w:rsidR="005B5818" w:rsidRPr="00CD792B" w:rsidRDefault="005B5818" w:rsidP="00CD792B">
      <w:pPr>
        <w:pStyle w:val="IHPARequiremnt"/>
        <w:ind w:left="360"/>
      </w:pPr>
      <w:r w:rsidRPr="00CD792B">
        <w:t xml:space="preserve">Determine whether more levels of complexity for significant diagnoses are required (currently for medical DRGs there are three </w:t>
      </w:r>
      <w:r w:rsidR="00A12F0B" w:rsidRPr="00CD792B">
        <w:t>Complication and Comorbidity Level (</w:t>
      </w:r>
      <w:r w:rsidRPr="00CD792B">
        <w:t>CCL</w:t>
      </w:r>
      <w:r w:rsidR="00A12F0B" w:rsidRPr="00CD792B">
        <w:t>)</w:t>
      </w:r>
      <w:r w:rsidRPr="00CD792B">
        <w:t xml:space="preserve"> values and for surgical DRGs there are four CCL values). </w:t>
      </w:r>
    </w:p>
    <w:p w14:paraId="5B2A0C6A" w14:textId="77777777" w:rsidR="005B5818" w:rsidRPr="00CD792B" w:rsidRDefault="005B5818" w:rsidP="00CD792B">
      <w:pPr>
        <w:pStyle w:val="IHPARequiremnt"/>
        <w:ind w:left="360"/>
      </w:pPr>
      <w:r w:rsidRPr="00CD792B">
        <w:t xml:space="preserve">Examine whether more levels of </w:t>
      </w:r>
      <w:r w:rsidR="00F8398B" w:rsidRPr="00CD792B">
        <w:t>complexity</w:t>
      </w:r>
      <w:r w:rsidRPr="00CD792B">
        <w:t xml:space="preserve"> for the overall episode PCCL score are required (currently there is a maximum value of four).</w:t>
      </w:r>
    </w:p>
    <w:p w14:paraId="772B30D8" w14:textId="77777777" w:rsidR="005B5818" w:rsidRPr="00CD792B" w:rsidRDefault="005B5818" w:rsidP="00CD792B">
      <w:pPr>
        <w:pStyle w:val="IHPARequiremnt"/>
        <w:ind w:left="360"/>
      </w:pPr>
      <w:r w:rsidRPr="00CD792B">
        <w:t xml:space="preserve">Determine whether the </w:t>
      </w:r>
      <w:r w:rsidR="004C70DD" w:rsidRPr="00CD792B">
        <w:t>condition onset flag</w:t>
      </w:r>
      <w:r w:rsidRPr="00CD792B">
        <w:t xml:space="preserve"> (</w:t>
      </w:r>
      <w:r w:rsidR="004C70DD" w:rsidRPr="00CD792B">
        <w:t>COF</w:t>
      </w:r>
      <w:r w:rsidRPr="00CD792B">
        <w:t xml:space="preserve">) data should impact the case complexity score when the </w:t>
      </w:r>
      <w:r w:rsidR="004C70DD" w:rsidRPr="00CD792B">
        <w:t>COF</w:t>
      </w:r>
      <w:r w:rsidRPr="00CD792B">
        <w:t xml:space="preserve"> value indicates that the condition arose during the current episode of care.</w:t>
      </w:r>
    </w:p>
    <w:p w14:paraId="4EFDD5B7" w14:textId="77777777" w:rsidR="005B5818" w:rsidRPr="00CD792B" w:rsidRDefault="005B5818" w:rsidP="00CD792B">
      <w:pPr>
        <w:pStyle w:val="IHPARequiremnt"/>
        <w:ind w:left="360"/>
      </w:pPr>
      <w:r w:rsidRPr="00CD792B">
        <w:t>Validate codes that are to be significant to the DRG classification and the clinical reasonableness of the final case complexity results through clinical consultation.</w:t>
      </w:r>
    </w:p>
    <w:p w14:paraId="7AFCA212" w14:textId="77777777" w:rsidR="00A12F0B" w:rsidRDefault="00CD792B" w:rsidP="002506C3">
      <w:pPr>
        <w:pStyle w:val="Quote"/>
        <w:spacing w:before="480"/>
        <w:rPr>
          <w:b w:val="0"/>
          <w:noProof/>
        </w:rPr>
      </w:pPr>
      <w:r>
        <w:rPr>
          <w:lang w:val="en-AU"/>
        </w:rPr>
        <w:t xml:space="preserve"> </w:t>
      </w:r>
      <w:r w:rsidR="005B5818">
        <w:rPr>
          <w:lang w:val="en-AU"/>
        </w:rPr>
        <w:t>‘</w:t>
      </w:r>
      <w:r w:rsidR="005B5818" w:rsidRPr="00576DAC">
        <w:rPr>
          <w:lang w:val="en-AU"/>
        </w:rPr>
        <w:t xml:space="preserve">Based on the outcome of </w:t>
      </w:r>
      <w:r w:rsidR="005B5818">
        <w:rPr>
          <w:lang w:val="en-AU"/>
        </w:rPr>
        <w:t xml:space="preserve">this review, ACCD will </w:t>
      </w:r>
      <w:r w:rsidR="005B5818" w:rsidRPr="00576DAC">
        <w:rPr>
          <w:lang w:val="en-AU"/>
        </w:rPr>
        <w:t xml:space="preserve">incorporate </w:t>
      </w:r>
      <w:r w:rsidR="005B5818">
        <w:rPr>
          <w:lang w:val="en-AU"/>
        </w:rPr>
        <w:t>the approved</w:t>
      </w:r>
      <w:r w:rsidR="005B5818" w:rsidRPr="00576DAC">
        <w:rPr>
          <w:lang w:val="en-AU"/>
        </w:rPr>
        <w:t xml:space="preserve"> new </w:t>
      </w:r>
      <w:r w:rsidR="005B5818">
        <w:rPr>
          <w:lang w:val="en-AU"/>
        </w:rPr>
        <w:t>E</w:t>
      </w:r>
      <w:r w:rsidR="00A12F0B">
        <w:rPr>
          <w:lang w:val="en-AU"/>
        </w:rPr>
        <w:t xml:space="preserve">pisode </w:t>
      </w:r>
      <w:r w:rsidR="005B5818">
        <w:rPr>
          <w:lang w:val="en-AU"/>
        </w:rPr>
        <w:t>C</w:t>
      </w:r>
      <w:r w:rsidR="00A12F0B">
        <w:rPr>
          <w:lang w:val="en-AU"/>
        </w:rPr>
        <w:t xml:space="preserve">linical </w:t>
      </w:r>
      <w:r w:rsidR="005B5818">
        <w:rPr>
          <w:lang w:val="en-AU"/>
        </w:rPr>
        <w:t>C</w:t>
      </w:r>
      <w:r w:rsidR="003A5FDA">
        <w:rPr>
          <w:lang w:val="en-AU"/>
        </w:rPr>
        <w:t xml:space="preserve">omplexity </w:t>
      </w:r>
      <w:r w:rsidR="005B5818">
        <w:rPr>
          <w:lang w:val="en-AU"/>
        </w:rPr>
        <w:t>Model</w:t>
      </w:r>
      <w:r w:rsidR="005B5818" w:rsidRPr="00576DAC">
        <w:rPr>
          <w:lang w:val="en-AU"/>
        </w:rPr>
        <w:t xml:space="preserve"> into the </w:t>
      </w:r>
      <w:r w:rsidR="005B5818">
        <w:rPr>
          <w:lang w:val="en-AU"/>
        </w:rPr>
        <w:t>splitting</w:t>
      </w:r>
      <w:r w:rsidR="005B5818" w:rsidRPr="00576DAC">
        <w:rPr>
          <w:lang w:val="en-AU"/>
        </w:rPr>
        <w:t xml:space="preserve"> </w:t>
      </w:r>
      <w:r w:rsidR="005B5818">
        <w:rPr>
          <w:lang w:val="en-AU"/>
        </w:rPr>
        <w:t xml:space="preserve">phase </w:t>
      </w:r>
      <w:r w:rsidR="005B5818" w:rsidRPr="00576DAC">
        <w:rPr>
          <w:lang w:val="en-AU"/>
        </w:rPr>
        <w:t xml:space="preserve">for </w:t>
      </w:r>
      <w:r w:rsidR="005B5818">
        <w:rPr>
          <w:lang w:val="en-AU"/>
        </w:rPr>
        <w:t>development of AR-DRG V8.0</w:t>
      </w:r>
      <w:r w:rsidR="00A12F0B">
        <w:rPr>
          <w:lang w:val="en-AU"/>
        </w:rPr>
        <w:t xml:space="preserve"> and future versions of the AR-DRG classification</w:t>
      </w:r>
      <w:r w:rsidR="005B5818">
        <w:rPr>
          <w:lang w:val="en-AU"/>
        </w:rPr>
        <w:t>.’</w:t>
      </w:r>
    </w:p>
    <w:p w14:paraId="48E28F83" w14:textId="77777777" w:rsidR="005B5818" w:rsidRDefault="005B5818" w:rsidP="006056B9">
      <w:pPr>
        <w:rPr>
          <w:szCs w:val="24"/>
        </w:rPr>
      </w:pPr>
      <w:r>
        <w:rPr>
          <w:szCs w:val="24"/>
        </w:rPr>
        <w:t>This report addresses the above requirements and includes a literature review of the historical and international considerations in approaches to case complexity processing in DRG development to date.</w:t>
      </w:r>
    </w:p>
    <w:p w14:paraId="36A881E9" w14:textId="77777777" w:rsidR="005B5818" w:rsidRPr="00752C0B" w:rsidRDefault="005B5818" w:rsidP="00B60372">
      <w:pPr>
        <w:pStyle w:val="Heading3"/>
      </w:pPr>
      <w:bookmarkStart w:id="4" w:name="_Toc304535202"/>
      <w:r w:rsidRPr="00752C0B">
        <w:lastRenderedPageBreak/>
        <w:t>Background</w:t>
      </w:r>
    </w:p>
    <w:p w14:paraId="798CA201" w14:textId="77777777" w:rsidR="005B5818" w:rsidRDefault="005B5818" w:rsidP="006056B9">
      <w:pPr>
        <w:rPr>
          <w:szCs w:val="24"/>
          <w:lang w:val="en-GB"/>
        </w:rPr>
      </w:pPr>
      <w:r>
        <w:rPr>
          <w:szCs w:val="24"/>
          <w:lang w:val="en-GB"/>
        </w:rPr>
        <w:t>Numerous classification systems are available to measure the severity of illness (Commonwealth Department of Health and Aged Care, 2000) and have been developed over time</w:t>
      </w:r>
      <w:r w:rsidRPr="00003AED">
        <w:rPr>
          <w:szCs w:val="24"/>
          <w:lang w:val="en-GB"/>
        </w:rPr>
        <w:t xml:space="preserve"> </w:t>
      </w:r>
      <w:r>
        <w:rPr>
          <w:szCs w:val="24"/>
          <w:lang w:val="en-GB"/>
        </w:rPr>
        <w:t xml:space="preserve">to </w:t>
      </w:r>
      <w:r w:rsidRPr="00003AED">
        <w:rPr>
          <w:szCs w:val="24"/>
          <w:lang w:val="en-GB"/>
        </w:rPr>
        <w:t xml:space="preserve">allow </w:t>
      </w:r>
      <w:r>
        <w:rPr>
          <w:szCs w:val="24"/>
          <w:lang w:val="en-GB"/>
        </w:rPr>
        <w:t xml:space="preserve">for </w:t>
      </w:r>
      <w:r w:rsidRPr="00003AED">
        <w:rPr>
          <w:szCs w:val="24"/>
          <w:lang w:val="en-GB"/>
        </w:rPr>
        <w:t xml:space="preserve">comparisons of hospital </w:t>
      </w:r>
      <w:r>
        <w:rPr>
          <w:szCs w:val="24"/>
          <w:lang w:val="en-GB"/>
        </w:rPr>
        <w:t xml:space="preserve">activity </w:t>
      </w:r>
      <w:r w:rsidRPr="00003AED">
        <w:rPr>
          <w:szCs w:val="24"/>
          <w:lang w:val="en-GB"/>
        </w:rPr>
        <w:t>on the basis of some outcome (</w:t>
      </w:r>
      <w:r>
        <w:rPr>
          <w:szCs w:val="24"/>
          <w:lang w:val="en-GB"/>
        </w:rPr>
        <w:t xml:space="preserve">e.g. </w:t>
      </w:r>
      <w:r w:rsidRPr="00003AED">
        <w:rPr>
          <w:szCs w:val="24"/>
          <w:lang w:val="en-GB"/>
        </w:rPr>
        <w:t xml:space="preserve">activity levels, costs, quality, etc.), once differences in the mix of cases have been taken into account. There are several definitions that might underlie </w:t>
      </w:r>
      <w:proofErr w:type="spellStart"/>
      <w:r w:rsidRPr="00003AED">
        <w:rPr>
          <w:szCs w:val="24"/>
          <w:lang w:val="en-GB"/>
        </w:rPr>
        <w:t>casemix</w:t>
      </w:r>
      <w:proofErr w:type="spellEnd"/>
      <w:r w:rsidRPr="00003AED">
        <w:rPr>
          <w:szCs w:val="24"/>
          <w:lang w:val="en-GB"/>
        </w:rPr>
        <w:t xml:space="preserve"> adjustment:</w:t>
      </w:r>
      <w:r w:rsidR="00345851">
        <w:rPr>
          <w:szCs w:val="24"/>
          <w:lang w:val="en-GB"/>
        </w:rPr>
        <w:t xml:space="preserve"> </w:t>
      </w:r>
      <w:r w:rsidRPr="00003AED">
        <w:rPr>
          <w:szCs w:val="24"/>
          <w:lang w:val="en-GB"/>
        </w:rPr>
        <w:t xml:space="preserve">severity of illness, risk of mortality, prognosis, treatment difficulty, urgency, and/or resource intensity of treatment </w:t>
      </w:r>
      <w:r>
        <w:rPr>
          <w:szCs w:val="24"/>
          <w:lang w:val="en-GB"/>
        </w:rPr>
        <w:t>(</w:t>
      </w:r>
      <w:r w:rsidRPr="00003AED">
        <w:rPr>
          <w:szCs w:val="24"/>
          <w:lang w:val="en-GB"/>
        </w:rPr>
        <w:t>Averill, et al., 2008</w:t>
      </w:r>
      <w:r>
        <w:rPr>
          <w:szCs w:val="24"/>
          <w:lang w:val="en-GB"/>
        </w:rPr>
        <w:t>)</w:t>
      </w:r>
      <w:r w:rsidRPr="00003AED">
        <w:rPr>
          <w:szCs w:val="24"/>
          <w:lang w:val="en-GB"/>
        </w:rPr>
        <w:t xml:space="preserve">. DRGs and their international equivalents are generally concerned with grouping on the basis of the resource homogeneity </w:t>
      </w:r>
      <w:r>
        <w:rPr>
          <w:szCs w:val="24"/>
          <w:lang w:val="en-GB"/>
        </w:rPr>
        <w:t>for</w:t>
      </w:r>
      <w:r w:rsidRPr="00003AED">
        <w:rPr>
          <w:szCs w:val="24"/>
          <w:lang w:val="en-GB"/>
        </w:rPr>
        <w:t xml:space="preserve"> treating particular clinically-defined </w:t>
      </w:r>
      <w:r>
        <w:rPr>
          <w:szCs w:val="24"/>
          <w:lang w:val="en-GB"/>
        </w:rPr>
        <w:t>groups of patients.</w:t>
      </w:r>
    </w:p>
    <w:p w14:paraId="233002D1" w14:textId="77777777" w:rsidR="005B5818" w:rsidRDefault="005B5818" w:rsidP="006056B9">
      <w:pPr>
        <w:rPr>
          <w:szCs w:val="24"/>
          <w:lang w:val="en-GB"/>
        </w:rPr>
      </w:pPr>
      <w:r w:rsidRPr="00003AED">
        <w:rPr>
          <w:szCs w:val="24"/>
          <w:lang w:val="en-GB"/>
        </w:rPr>
        <w:t>DRG classi</w:t>
      </w:r>
      <w:r>
        <w:rPr>
          <w:szCs w:val="24"/>
          <w:lang w:val="en-GB"/>
        </w:rPr>
        <w:t>fication systems make use of a principal diagnosis (</w:t>
      </w:r>
      <w:proofErr w:type="spellStart"/>
      <w:r>
        <w:rPr>
          <w:szCs w:val="24"/>
          <w:lang w:val="en-GB"/>
        </w:rPr>
        <w:t>PDx</w:t>
      </w:r>
      <w:proofErr w:type="spellEnd"/>
      <w:r>
        <w:rPr>
          <w:szCs w:val="24"/>
          <w:lang w:val="en-GB"/>
        </w:rPr>
        <w:t>)</w:t>
      </w:r>
      <w:r w:rsidRPr="00003AED">
        <w:rPr>
          <w:szCs w:val="24"/>
          <w:lang w:val="en-GB"/>
        </w:rPr>
        <w:t xml:space="preserve"> </w:t>
      </w:r>
      <w:r>
        <w:rPr>
          <w:szCs w:val="24"/>
          <w:lang w:val="en-GB"/>
        </w:rPr>
        <w:t xml:space="preserve">and </w:t>
      </w:r>
      <w:r w:rsidR="005F6A48">
        <w:rPr>
          <w:szCs w:val="24"/>
          <w:lang w:val="en-GB"/>
        </w:rPr>
        <w:t>additional</w:t>
      </w:r>
      <w:r>
        <w:rPr>
          <w:szCs w:val="24"/>
          <w:lang w:val="en-GB"/>
        </w:rPr>
        <w:t xml:space="preserve"> diagnoses</w:t>
      </w:r>
      <w:r w:rsidR="00B47BD1">
        <w:rPr>
          <w:szCs w:val="24"/>
          <w:lang w:val="en-GB"/>
        </w:rPr>
        <w:t xml:space="preserve"> (</w:t>
      </w:r>
      <w:proofErr w:type="spellStart"/>
      <w:r w:rsidR="005F6A48">
        <w:rPr>
          <w:szCs w:val="24"/>
          <w:lang w:val="en-GB"/>
        </w:rPr>
        <w:t>A</w:t>
      </w:r>
      <w:r w:rsidR="00B47BD1">
        <w:rPr>
          <w:szCs w:val="24"/>
          <w:lang w:val="en-GB"/>
        </w:rPr>
        <w:t>Dx</w:t>
      </w:r>
      <w:proofErr w:type="spellEnd"/>
      <w:r w:rsidR="00B47BD1">
        <w:rPr>
          <w:szCs w:val="24"/>
          <w:lang w:val="en-GB"/>
        </w:rPr>
        <w:t>)</w:t>
      </w:r>
      <w:r w:rsidR="003A5FDA">
        <w:rPr>
          <w:szCs w:val="24"/>
          <w:lang w:val="en-GB"/>
        </w:rPr>
        <w:t>,</w:t>
      </w:r>
      <w:r>
        <w:rPr>
          <w:szCs w:val="24"/>
          <w:lang w:val="en-GB"/>
        </w:rPr>
        <w:t xml:space="preserve"> </w:t>
      </w:r>
      <w:r w:rsidR="005F6A48">
        <w:rPr>
          <w:szCs w:val="24"/>
          <w:lang w:val="en-GB"/>
        </w:rPr>
        <w:t xml:space="preserve">previously referred to as secondary </w:t>
      </w:r>
      <w:r>
        <w:rPr>
          <w:szCs w:val="24"/>
          <w:lang w:val="en-GB"/>
        </w:rPr>
        <w:t>diagnoses</w:t>
      </w:r>
      <w:r w:rsidR="002B1766">
        <w:rPr>
          <w:szCs w:val="24"/>
          <w:lang w:val="en-GB"/>
        </w:rPr>
        <w:t>,</w:t>
      </w:r>
      <w:r>
        <w:rPr>
          <w:szCs w:val="24"/>
          <w:lang w:val="en-GB"/>
        </w:rPr>
        <w:t xml:space="preserve"> </w:t>
      </w:r>
      <w:r w:rsidRPr="00003AED">
        <w:rPr>
          <w:szCs w:val="24"/>
          <w:lang w:val="en-GB"/>
        </w:rPr>
        <w:t xml:space="preserve">and a list of medical/surgical </w:t>
      </w:r>
      <w:r>
        <w:rPr>
          <w:szCs w:val="24"/>
          <w:lang w:val="en-GB"/>
        </w:rPr>
        <w:t>interventions</w:t>
      </w:r>
      <w:r w:rsidRPr="009E110D">
        <w:rPr>
          <w:szCs w:val="24"/>
          <w:lang w:val="en-GB"/>
        </w:rPr>
        <w:t xml:space="preserve"> </w:t>
      </w:r>
      <w:r w:rsidRPr="00003AED">
        <w:rPr>
          <w:szCs w:val="24"/>
          <w:lang w:val="en-GB"/>
        </w:rPr>
        <w:t xml:space="preserve">determined at the point of </w:t>
      </w:r>
      <w:r>
        <w:rPr>
          <w:szCs w:val="24"/>
          <w:lang w:val="en-GB"/>
        </w:rPr>
        <w:t xml:space="preserve">clinical </w:t>
      </w:r>
      <w:r w:rsidRPr="00003AED">
        <w:rPr>
          <w:szCs w:val="24"/>
          <w:lang w:val="en-GB"/>
        </w:rPr>
        <w:t>coding</w:t>
      </w:r>
      <w:r>
        <w:rPr>
          <w:szCs w:val="24"/>
          <w:lang w:val="en-GB"/>
        </w:rPr>
        <w:t>.</w:t>
      </w:r>
    </w:p>
    <w:p w14:paraId="03E8C88C" w14:textId="77777777" w:rsidR="005B5818" w:rsidRPr="00113630" w:rsidRDefault="005B5818" w:rsidP="006056B9">
      <w:pPr>
        <w:rPr>
          <w:szCs w:val="24"/>
          <w:lang w:val="en-AU"/>
        </w:rPr>
      </w:pPr>
      <w:r w:rsidRPr="00113630">
        <w:rPr>
          <w:szCs w:val="24"/>
          <w:lang w:val="en-AU"/>
        </w:rPr>
        <w:t xml:space="preserve">AR-DRGs were developed to reflect Australian clinical practice and use of hospital resources. All public and private hospitals in Australia code using ICD-10-AM/ACHI/ACS. </w:t>
      </w:r>
      <w:r w:rsidR="001C6D4D">
        <w:rPr>
          <w:szCs w:val="24"/>
        </w:rPr>
        <w:t>T</w:t>
      </w:r>
      <w:r w:rsidR="001C6D4D" w:rsidRPr="009E110D">
        <w:rPr>
          <w:szCs w:val="24"/>
        </w:rPr>
        <w:t>he International Statistical Classification of Diseases</w:t>
      </w:r>
      <w:r w:rsidR="001C6D4D" w:rsidRPr="0035193D">
        <w:t xml:space="preserve"> </w:t>
      </w:r>
      <w:r w:rsidR="001C6D4D" w:rsidRPr="009E110D">
        <w:rPr>
          <w:szCs w:val="24"/>
        </w:rPr>
        <w:t>and Related Health Problems, Tenth Revision, Australian Modification</w:t>
      </w:r>
      <w:r w:rsidR="001C6D4D" w:rsidRPr="00113630">
        <w:rPr>
          <w:szCs w:val="24"/>
          <w:lang w:val="en-AU"/>
        </w:rPr>
        <w:t xml:space="preserve"> </w:t>
      </w:r>
      <w:r w:rsidR="001C6D4D">
        <w:rPr>
          <w:szCs w:val="24"/>
          <w:lang w:val="en-AU"/>
        </w:rPr>
        <w:t>(</w:t>
      </w:r>
      <w:r w:rsidRPr="00113630">
        <w:rPr>
          <w:szCs w:val="24"/>
          <w:lang w:val="en-AU"/>
        </w:rPr>
        <w:t>ICD-10-AM</w:t>
      </w:r>
      <w:r w:rsidR="001C6D4D">
        <w:rPr>
          <w:szCs w:val="24"/>
          <w:lang w:val="en-AU"/>
        </w:rPr>
        <w:t>)</w:t>
      </w:r>
      <w:r w:rsidRPr="00113630">
        <w:rPr>
          <w:szCs w:val="24"/>
          <w:lang w:val="en-AU"/>
        </w:rPr>
        <w:t xml:space="preserve"> and </w:t>
      </w:r>
      <w:r w:rsidR="001C6D4D">
        <w:rPr>
          <w:szCs w:val="24"/>
          <w:lang w:val="en-AU"/>
        </w:rPr>
        <w:t>the Australian Classification of Health Interventions (</w:t>
      </w:r>
      <w:r w:rsidRPr="00113630">
        <w:rPr>
          <w:szCs w:val="24"/>
          <w:lang w:val="en-AU"/>
        </w:rPr>
        <w:t>ACHI</w:t>
      </w:r>
      <w:r w:rsidR="001C6D4D">
        <w:rPr>
          <w:szCs w:val="24"/>
          <w:lang w:val="en-AU"/>
        </w:rPr>
        <w:t>)</w:t>
      </w:r>
      <w:r w:rsidRPr="00113630">
        <w:rPr>
          <w:szCs w:val="24"/>
          <w:lang w:val="en-AU"/>
        </w:rPr>
        <w:t xml:space="preserve"> tabular lists include an annotation next to certain codes which indicate that an </w:t>
      </w:r>
      <w:r w:rsidR="001C6D4D">
        <w:rPr>
          <w:szCs w:val="24"/>
          <w:lang w:val="en-AU"/>
        </w:rPr>
        <w:t>Australian Coding Standard (</w:t>
      </w:r>
      <w:r w:rsidRPr="00113630">
        <w:rPr>
          <w:szCs w:val="24"/>
          <w:lang w:val="en-AU"/>
        </w:rPr>
        <w:t>ACS</w:t>
      </w:r>
      <w:r w:rsidR="001C6D4D">
        <w:rPr>
          <w:szCs w:val="24"/>
          <w:lang w:val="en-AU"/>
        </w:rPr>
        <w:t>)</w:t>
      </w:r>
      <w:r w:rsidRPr="00113630">
        <w:rPr>
          <w:szCs w:val="24"/>
          <w:lang w:val="en-AU"/>
        </w:rPr>
        <w:t xml:space="preserve"> exists which will assist in the application of the code. ICD-10-AM and ACHI codes are subsequently grouped to AR-DRGs for acute </w:t>
      </w:r>
      <w:r>
        <w:rPr>
          <w:szCs w:val="24"/>
          <w:lang w:val="en-AU"/>
        </w:rPr>
        <w:t>admitted</w:t>
      </w:r>
      <w:r w:rsidRPr="00113630">
        <w:rPr>
          <w:szCs w:val="24"/>
          <w:lang w:val="en-AU"/>
        </w:rPr>
        <w:t xml:space="preserve"> episodes of care. The AR-DRGs are used by public and private hospitals, and state and territory health authorities to provide better management, measurement and payment of high quality and efficient health care services.</w:t>
      </w:r>
    </w:p>
    <w:p w14:paraId="14625451" w14:textId="77777777" w:rsidR="005B5818" w:rsidRPr="00113630" w:rsidRDefault="005B5818" w:rsidP="006056B9">
      <w:pPr>
        <w:rPr>
          <w:szCs w:val="24"/>
          <w:lang w:val="en-AU"/>
        </w:rPr>
      </w:pPr>
      <w:r w:rsidRPr="00113630">
        <w:rPr>
          <w:szCs w:val="24"/>
          <w:lang w:val="en-AU"/>
        </w:rPr>
        <w:t xml:space="preserve">The AR-DRGs classify units of hospital output. The classification groups </w:t>
      </w:r>
      <w:r>
        <w:rPr>
          <w:szCs w:val="24"/>
          <w:lang w:val="en-AU"/>
        </w:rPr>
        <w:t>acute admitted episodes</w:t>
      </w:r>
      <w:r w:rsidRPr="00113630">
        <w:rPr>
          <w:szCs w:val="24"/>
          <w:lang w:val="en-AU"/>
        </w:rPr>
        <w:t xml:space="preserve"> into clinically </w:t>
      </w:r>
      <w:r>
        <w:rPr>
          <w:szCs w:val="24"/>
          <w:lang w:val="en-AU"/>
        </w:rPr>
        <w:t xml:space="preserve">coherent categories </w:t>
      </w:r>
      <w:r w:rsidRPr="00113630">
        <w:rPr>
          <w:szCs w:val="24"/>
          <w:lang w:val="en-AU"/>
        </w:rPr>
        <w:t xml:space="preserve">(outputs) that consume similar amounts of resources (inputs). An </w:t>
      </w:r>
      <w:r>
        <w:rPr>
          <w:szCs w:val="24"/>
          <w:lang w:val="en-AU"/>
        </w:rPr>
        <w:t>acute admitted episode</w:t>
      </w:r>
      <w:r w:rsidRPr="00113630">
        <w:rPr>
          <w:szCs w:val="24"/>
          <w:lang w:val="en-AU"/>
        </w:rPr>
        <w:t xml:space="preserve"> can now be allocated to one of the 771 available AR-DRGs in </w:t>
      </w:r>
      <w:r>
        <w:rPr>
          <w:szCs w:val="24"/>
          <w:lang w:val="en-AU"/>
        </w:rPr>
        <w:t>V7.0</w:t>
      </w:r>
      <w:r w:rsidRPr="00113630">
        <w:rPr>
          <w:szCs w:val="24"/>
          <w:lang w:val="en-AU"/>
        </w:rPr>
        <w:t>.</w:t>
      </w:r>
      <w:r>
        <w:rPr>
          <w:szCs w:val="24"/>
          <w:lang w:val="en-AU"/>
        </w:rPr>
        <w:t xml:space="preserve"> </w:t>
      </w:r>
      <w:r w:rsidRPr="00A5589F">
        <w:rPr>
          <w:szCs w:val="24"/>
          <w:lang w:val="en-AU"/>
        </w:rPr>
        <w:t xml:space="preserve">Almost half of the DRGs reflect differing levels of complexity within </w:t>
      </w:r>
      <w:r w:rsidR="004B767D">
        <w:rPr>
          <w:szCs w:val="24"/>
          <w:lang w:val="en-AU"/>
        </w:rPr>
        <w:t xml:space="preserve">406 </w:t>
      </w:r>
      <w:r w:rsidRPr="00A5589F">
        <w:rPr>
          <w:szCs w:val="24"/>
          <w:lang w:val="en-AU"/>
        </w:rPr>
        <w:t>broader groups</w:t>
      </w:r>
      <w:r>
        <w:rPr>
          <w:szCs w:val="24"/>
          <w:lang w:val="en-AU"/>
        </w:rPr>
        <w:t xml:space="preserve"> known as A</w:t>
      </w:r>
      <w:r w:rsidRPr="00A5589F">
        <w:rPr>
          <w:szCs w:val="24"/>
          <w:lang w:val="en-AU"/>
        </w:rPr>
        <w:t>djacent DRGs (or ADRGs).</w:t>
      </w:r>
    </w:p>
    <w:p w14:paraId="1B495669" w14:textId="77777777" w:rsidR="005B5818" w:rsidRPr="00113630" w:rsidRDefault="005B5818" w:rsidP="006056B9">
      <w:pPr>
        <w:rPr>
          <w:szCs w:val="24"/>
          <w:lang w:val="en-AU"/>
        </w:rPr>
      </w:pPr>
      <w:r w:rsidRPr="00113630">
        <w:rPr>
          <w:szCs w:val="24"/>
          <w:lang w:val="en-AU"/>
        </w:rPr>
        <w:lastRenderedPageBreak/>
        <w:t>All of the Australian DRG versions includ</w:t>
      </w:r>
      <w:r>
        <w:rPr>
          <w:szCs w:val="24"/>
          <w:lang w:val="en-AU"/>
        </w:rPr>
        <w:t>e</w:t>
      </w:r>
      <w:r w:rsidRPr="00113630">
        <w:rPr>
          <w:szCs w:val="24"/>
          <w:lang w:val="en-AU"/>
        </w:rPr>
        <w:t xml:space="preserve"> a </w:t>
      </w:r>
      <w:r>
        <w:rPr>
          <w:szCs w:val="24"/>
          <w:lang w:val="en-AU"/>
        </w:rPr>
        <w:t>case complexity</w:t>
      </w:r>
      <w:r w:rsidRPr="00113630">
        <w:rPr>
          <w:szCs w:val="24"/>
          <w:lang w:val="en-AU"/>
        </w:rPr>
        <w:t xml:space="preserve"> matrix. </w:t>
      </w:r>
      <w:r w:rsidRPr="00A5589F">
        <w:rPr>
          <w:szCs w:val="24"/>
          <w:lang w:val="en-AU"/>
        </w:rPr>
        <w:t>Each cell in the matrix represents the complexity added by a specific diagnosis within each ADRG, known to date as the CCL.</w:t>
      </w:r>
    </w:p>
    <w:p w14:paraId="6784A959" w14:textId="77777777" w:rsidR="005B5818" w:rsidRDefault="005B5818" w:rsidP="006056B9">
      <w:pPr>
        <w:rPr>
          <w:szCs w:val="24"/>
          <w:lang w:val="en-GB"/>
        </w:rPr>
      </w:pPr>
      <w:r w:rsidRPr="0059024D">
        <w:rPr>
          <w:szCs w:val="24"/>
          <w:lang w:val="en-GB"/>
        </w:rPr>
        <w:t xml:space="preserve">Given the elapse of time, a review of the </w:t>
      </w:r>
      <w:r>
        <w:rPr>
          <w:szCs w:val="24"/>
          <w:lang w:val="en-GB"/>
        </w:rPr>
        <w:t xml:space="preserve">case complexity </w:t>
      </w:r>
      <w:r w:rsidRPr="0059024D">
        <w:rPr>
          <w:szCs w:val="24"/>
          <w:lang w:val="en-GB"/>
        </w:rPr>
        <w:t xml:space="preserve">system is timely. </w:t>
      </w:r>
      <w:r>
        <w:rPr>
          <w:szCs w:val="24"/>
          <w:lang w:val="en-GB"/>
        </w:rPr>
        <w:t xml:space="preserve">In some cases there have been significant changes in clinical practice (e.g. </w:t>
      </w:r>
      <w:r w:rsidR="00B330AC">
        <w:rPr>
          <w:szCs w:val="24"/>
          <w:lang w:val="en-GB"/>
        </w:rPr>
        <w:t xml:space="preserve">reduced </w:t>
      </w:r>
      <w:r>
        <w:rPr>
          <w:szCs w:val="24"/>
          <w:lang w:val="en-GB"/>
        </w:rPr>
        <w:t>length of stay</w:t>
      </w:r>
      <w:r w:rsidR="00E1212F">
        <w:rPr>
          <w:szCs w:val="24"/>
          <w:lang w:val="en-GB"/>
        </w:rPr>
        <w:t xml:space="preserve"> (LOS)</w:t>
      </w:r>
      <w:r>
        <w:rPr>
          <w:szCs w:val="24"/>
          <w:lang w:val="en-GB"/>
        </w:rPr>
        <w:t>).</w:t>
      </w:r>
      <w:r w:rsidR="00345851">
        <w:rPr>
          <w:szCs w:val="24"/>
          <w:lang w:val="en-GB"/>
        </w:rPr>
        <w:t xml:space="preserve"> </w:t>
      </w:r>
      <w:r>
        <w:rPr>
          <w:szCs w:val="24"/>
          <w:lang w:val="en-GB"/>
        </w:rPr>
        <w:t>Further, t</w:t>
      </w:r>
      <w:r w:rsidRPr="0059024D">
        <w:rPr>
          <w:szCs w:val="24"/>
          <w:lang w:val="en-GB"/>
        </w:rPr>
        <w:t xml:space="preserve">he availability of patient level data and associated cost information is much improved, and the computing capacity to analyse the available data is </w:t>
      </w:r>
      <w:r>
        <w:rPr>
          <w:szCs w:val="24"/>
          <w:lang w:val="en-GB"/>
        </w:rPr>
        <w:t>now far more superior than it was in the 1990s</w:t>
      </w:r>
      <w:r w:rsidRPr="0059024D">
        <w:rPr>
          <w:szCs w:val="24"/>
          <w:lang w:val="en-GB"/>
        </w:rPr>
        <w:t>.</w:t>
      </w:r>
    </w:p>
    <w:p w14:paraId="6761A5CE" w14:textId="77777777" w:rsidR="005B5818" w:rsidRPr="00D67441" w:rsidRDefault="005B5818" w:rsidP="00B60372">
      <w:pPr>
        <w:pStyle w:val="Heading3"/>
      </w:pPr>
      <w:r w:rsidRPr="00D67441">
        <w:t xml:space="preserve">Brief history and development of </w:t>
      </w:r>
      <w:r w:rsidR="004C70DD">
        <w:t>DRGs</w:t>
      </w:r>
      <w:r w:rsidRPr="00D67441">
        <w:t xml:space="preserve"> in Australia</w:t>
      </w:r>
      <w:bookmarkEnd w:id="4"/>
    </w:p>
    <w:p w14:paraId="2822ADF3" w14:textId="77777777" w:rsidR="005B5818" w:rsidRPr="0006119F" w:rsidRDefault="005B5818" w:rsidP="006056B9">
      <w:pPr>
        <w:rPr>
          <w:szCs w:val="24"/>
          <w:lang w:val="en-AU"/>
        </w:rPr>
      </w:pPr>
      <w:r w:rsidRPr="0006119F">
        <w:rPr>
          <w:szCs w:val="24"/>
          <w:lang w:val="en-AU"/>
        </w:rPr>
        <w:t xml:space="preserve">DRGs have a long history of development in Australia. In 1985 the first research in this area was undertaken to investigate whether the DRG classification system developed at Yale University in the </w:t>
      </w:r>
      <w:r>
        <w:rPr>
          <w:szCs w:val="24"/>
          <w:lang w:val="en-AU"/>
        </w:rPr>
        <w:t>United States of America (USA)</w:t>
      </w:r>
      <w:r w:rsidRPr="0006119F">
        <w:rPr>
          <w:szCs w:val="24"/>
          <w:lang w:val="en-AU"/>
        </w:rPr>
        <w:t xml:space="preserve"> was relevant to Australian clinical practice. </w:t>
      </w:r>
      <w:r>
        <w:rPr>
          <w:szCs w:val="24"/>
          <w:lang w:val="en-AU"/>
        </w:rPr>
        <w:t>T</w:t>
      </w:r>
      <w:r w:rsidRPr="0006119F">
        <w:rPr>
          <w:szCs w:val="24"/>
          <w:lang w:val="en-AU"/>
        </w:rPr>
        <w:t xml:space="preserve">he </w:t>
      </w:r>
      <w:r>
        <w:rPr>
          <w:szCs w:val="24"/>
          <w:lang w:val="en-AU"/>
        </w:rPr>
        <w:t xml:space="preserve">first </w:t>
      </w:r>
      <w:r w:rsidRPr="0006119F">
        <w:rPr>
          <w:szCs w:val="24"/>
          <w:lang w:val="en-AU"/>
        </w:rPr>
        <w:t xml:space="preserve">release of the </w:t>
      </w:r>
      <w:r w:rsidR="00B330AC">
        <w:rPr>
          <w:szCs w:val="24"/>
          <w:lang w:val="en-AU"/>
        </w:rPr>
        <w:t>Australian National Diagnosis Related Groups (</w:t>
      </w:r>
      <w:r w:rsidRPr="0006119F">
        <w:rPr>
          <w:szCs w:val="24"/>
          <w:lang w:val="en-AU"/>
        </w:rPr>
        <w:t>AN-D</w:t>
      </w:r>
      <w:r>
        <w:rPr>
          <w:szCs w:val="24"/>
          <w:lang w:val="en-AU"/>
        </w:rPr>
        <w:t>RG</w:t>
      </w:r>
      <w:r w:rsidR="00B330AC">
        <w:rPr>
          <w:szCs w:val="24"/>
          <w:lang w:val="en-AU"/>
        </w:rPr>
        <w:t>)</w:t>
      </w:r>
      <w:r w:rsidRPr="0006119F">
        <w:rPr>
          <w:szCs w:val="24"/>
          <w:lang w:val="en-AU"/>
        </w:rPr>
        <w:t xml:space="preserve"> classification </w:t>
      </w:r>
      <w:r>
        <w:rPr>
          <w:szCs w:val="24"/>
          <w:lang w:val="en-AU"/>
        </w:rPr>
        <w:t xml:space="preserve">occurred </w:t>
      </w:r>
      <w:r w:rsidRPr="0006119F">
        <w:rPr>
          <w:szCs w:val="24"/>
          <w:lang w:val="en-AU"/>
        </w:rPr>
        <w:t xml:space="preserve">in July 1992. Initially, the USA editions of </w:t>
      </w:r>
      <w:r>
        <w:rPr>
          <w:szCs w:val="24"/>
          <w:lang w:val="en-AU"/>
        </w:rPr>
        <w:t>the International Classification of Diseases, Ninth Revision, Clinical Modification (</w:t>
      </w:r>
      <w:r w:rsidRPr="0006119F">
        <w:rPr>
          <w:szCs w:val="24"/>
          <w:lang w:val="en-AU"/>
        </w:rPr>
        <w:t>ICD-9-CM</w:t>
      </w:r>
      <w:r>
        <w:rPr>
          <w:szCs w:val="24"/>
          <w:lang w:val="en-AU"/>
        </w:rPr>
        <w:t>)</w:t>
      </w:r>
      <w:r w:rsidRPr="0006119F">
        <w:rPr>
          <w:szCs w:val="24"/>
          <w:lang w:val="en-AU"/>
        </w:rPr>
        <w:t xml:space="preserve"> codes were used as a basis for the development of the AN-DRG versions 1.0 (1992), 2.0 (1993) and 2.1 (1994). This was then followed by the use of the Australian First and Second Editions of ICD-9-CM </w:t>
      </w:r>
      <w:r>
        <w:rPr>
          <w:szCs w:val="24"/>
          <w:lang w:val="en-AU"/>
        </w:rPr>
        <w:t xml:space="preserve">as the building blocks </w:t>
      </w:r>
      <w:r w:rsidRPr="0006119F">
        <w:rPr>
          <w:szCs w:val="24"/>
          <w:lang w:val="en-AU"/>
        </w:rPr>
        <w:t>for versions 3.0 (19</w:t>
      </w:r>
      <w:r w:rsidR="00345851">
        <w:rPr>
          <w:szCs w:val="24"/>
          <w:lang w:val="en-AU"/>
        </w:rPr>
        <w:t>95) and 3.1(1996) respectively.</w:t>
      </w:r>
    </w:p>
    <w:p w14:paraId="5577FC26" w14:textId="77777777" w:rsidR="005B5818" w:rsidRPr="0006119F" w:rsidRDefault="005B5818" w:rsidP="006056B9">
      <w:pPr>
        <w:rPr>
          <w:szCs w:val="24"/>
          <w:lang w:val="en-AU"/>
        </w:rPr>
      </w:pPr>
      <w:r w:rsidRPr="0006119F">
        <w:rPr>
          <w:szCs w:val="24"/>
          <w:lang w:val="en-AU"/>
        </w:rPr>
        <w:t xml:space="preserve">Although not publicly released, </w:t>
      </w:r>
      <w:r>
        <w:rPr>
          <w:szCs w:val="24"/>
          <w:lang w:val="en-AU"/>
        </w:rPr>
        <w:t>AR-DRG</w:t>
      </w:r>
      <w:r w:rsidRPr="0006119F">
        <w:rPr>
          <w:szCs w:val="24"/>
          <w:lang w:val="en-AU"/>
        </w:rPr>
        <w:t xml:space="preserve"> </w:t>
      </w:r>
      <w:r>
        <w:rPr>
          <w:szCs w:val="24"/>
          <w:lang w:val="en-AU"/>
        </w:rPr>
        <w:t>V</w:t>
      </w:r>
      <w:r w:rsidRPr="0006119F">
        <w:rPr>
          <w:szCs w:val="24"/>
          <w:lang w:val="en-AU"/>
        </w:rPr>
        <w:t xml:space="preserve">4.0 was a major update to AN-DRG </w:t>
      </w:r>
      <w:r>
        <w:rPr>
          <w:szCs w:val="24"/>
          <w:lang w:val="en-AU"/>
        </w:rPr>
        <w:t>V</w:t>
      </w:r>
      <w:r w:rsidRPr="0006119F">
        <w:rPr>
          <w:szCs w:val="24"/>
          <w:lang w:val="en-AU"/>
        </w:rPr>
        <w:t>3.1. It was produced using ICD-9-CM Second Edition codes as an i</w:t>
      </w:r>
      <w:r>
        <w:rPr>
          <w:szCs w:val="24"/>
          <w:lang w:val="en-AU"/>
        </w:rPr>
        <w:t xml:space="preserve">nterim step in the move towards the introduction of </w:t>
      </w:r>
      <w:r w:rsidRPr="0006119F">
        <w:rPr>
          <w:szCs w:val="24"/>
          <w:lang w:val="en-AU"/>
        </w:rPr>
        <w:t>ICD-10-AM</w:t>
      </w:r>
      <w:r>
        <w:rPr>
          <w:szCs w:val="24"/>
          <w:lang w:val="en-AU"/>
        </w:rPr>
        <w:t xml:space="preserve">. </w:t>
      </w:r>
      <w:r w:rsidRPr="0006119F">
        <w:rPr>
          <w:szCs w:val="24"/>
          <w:lang w:val="en-AU"/>
        </w:rPr>
        <w:t>This version</w:t>
      </w:r>
      <w:r>
        <w:rPr>
          <w:szCs w:val="24"/>
          <w:lang w:val="en-AU"/>
        </w:rPr>
        <w:t>, which incorporated the use of the newly developed ACHI (known then as M</w:t>
      </w:r>
      <w:r w:rsidR="0076353C">
        <w:rPr>
          <w:szCs w:val="24"/>
          <w:lang w:val="en-AU"/>
        </w:rPr>
        <w:t xml:space="preserve">edicare </w:t>
      </w:r>
      <w:r>
        <w:rPr>
          <w:szCs w:val="24"/>
          <w:lang w:val="en-AU"/>
        </w:rPr>
        <w:t>B</w:t>
      </w:r>
      <w:r w:rsidR="0076353C">
        <w:rPr>
          <w:szCs w:val="24"/>
          <w:lang w:val="en-AU"/>
        </w:rPr>
        <w:t xml:space="preserve">enefits </w:t>
      </w:r>
      <w:r>
        <w:rPr>
          <w:szCs w:val="24"/>
          <w:lang w:val="en-AU"/>
        </w:rPr>
        <w:t xml:space="preserve">Extended), </w:t>
      </w:r>
      <w:r w:rsidRPr="0006119F">
        <w:rPr>
          <w:szCs w:val="24"/>
          <w:lang w:val="en-AU"/>
        </w:rPr>
        <w:t>provided the fou</w:t>
      </w:r>
      <w:r>
        <w:rPr>
          <w:szCs w:val="24"/>
          <w:lang w:val="en-AU"/>
        </w:rPr>
        <w:t xml:space="preserve">ndation necessary for ICD-10-AM/ACHI </w:t>
      </w:r>
      <w:r w:rsidRPr="0006119F">
        <w:rPr>
          <w:szCs w:val="24"/>
          <w:lang w:val="en-AU"/>
        </w:rPr>
        <w:t xml:space="preserve">First Edition codes to be used as the </w:t>
      </w:r>
      <w:r>
        <w:rPr>
          <w:szCs w:val="24"/>
          <w:lang w:val="en-AU"/>
        </w:rPr>
        <w:t>base</w:t>
      </w:r>
      <w:r w:rsidRPr="0006119F">
        <w:rPr>
          <w:szCs w:val="24"/>
          <w:lang w:val="en-AU"/>
        </w:rPr>
        <w:t xml:space="preserve"> within AR-DRG </w:t>
      </w:r>
      <w:r>
        <w:rPr>
          <w:szCs w:val="24"/>
          <w:lang w:val="en-AU"/>
        </w:rPr>
        <w:t>V</w:t>
      </w:r>
      <w:r w:rsidRPr="0006119F">
        <w:rPr>
          <w:szCs w:val="24"/>
          <w:lang w:val="en-AU"/>
        </w:rPr>
        <w:t>4.1.</w:t>
      </w:r>
    </w:p>
    <w:p w14:paraId="77111278" w14:textId="77777777" w:rsidR="005B5818" w:rsidRPr="0006119F" w:rsidRDefault="005B5818" w:rsidP="006056B9">
      <w:pPr>
        <w:rPr>
          <w:szCs w:val="24"/>
          <w:lang w:val="en-AU"/>
        </w:rPr>
      </w:pPr>
      <w:r w:rsidRPr="0006119F">
        <w:rPr>
          <w:szCs w:val="24"/>
          <w:lang w:val="en-AU"/>
        </w:rPr>
        <w:t>Coinciding with the introduction of ICD-10-AM</w:t>
      </w:r>
      <w:r>
        <w:rPr>
          <w:szCs w:val="24"/>
          <w:lang w:val="en-AU"/>
        </w:rPr>
        <w:t xml:space="preserve">/ACHI/ACS in July </w:t>
      </w:r>
      <w:r w:rsidRPr="0006119F">
        <w:rPr>
          <w:szCs w:val="24"/>
          <w:lang w:val="en-AU"/>
        </w:rPr>
        <w:t xml:space="preserve">1998, AR-DRG </w:t>
      </w:r>
      <w:r>
        <w:rPr>
          <w:szCs w:val="24"/>
          <w:lang w:val="en-AU"/>
        </w:rPr>
        <w:t>V</w:t>
      </w:r>
      <w:r w:rsidRPr="0006119F">
        <w:rPr>
          <w:szCs w:val="24"/>
          <w:lang w:val="en-AU"/>
        </w:rPr>
        <w:t xml:space="preserve">4.1 replaced the AN-DRGs in December 1998. This version required a repeated forward and backward </w:t>
      </w:r>
      <w:r>
        <w:rPr>
          <w:szCs w:val="24"/>
          <w:lang w:val="en-AU"/>
        </w:rPr>
        <w:t xml:space="preserve">historical </w:t>
      </w:r>
      <w:r w:rsidRPr="0006119F">
        <w:rPr>
          <w:szCs w:val="24"/>
          <w:lang w:val="en-AU"/>
        </w:rPr>
        <w:t xml:space="preserve">mapping process from ICD-9-CM Second Edition to ICD-10-AM First Edition to ensure stability of the DRG grouped data. Logical maps were also used to increase the stability of the DRGs when undertaking </w:t>
      </w:r>
      <w:r>
        <w:rPr>
          <w:szCs w:val="24"/>
          <w:lang w:val="en-AU"/>
        </w:rPr>
        <w:t>this repeated mapping exercise</w:t>
      </w:r>
      <w:r w:rsidRPr="0006119F">
        <w:rPr>
          <w:szCs w:val="24"/>
          <w:lang w:val="en-AU"/>
        </w:rPr>
        <w:t>. Using ICD-10-</w:t>
      </w:r>
      <w:r w:rsidRPr="0006119F">
        <w:rPr>
          <w:szCs w:val="24"/>
          <w:lang w:val="en-AU"/>
        </w:rPr>
        <w:lastRenderedPageBreak/>
        <w:t>AM</w:t>
      </w:r>
      <w:r>
        <w:rPr>
          <w:szCs w:val="24"/>
          <w:lang w:val="en-AU"/>
        </w:rPr>
        <w:t>/ACHI</w:t>
      </w:r>
      <w:r w:rsidRPr="0006119F">
        <w:rPr>
          <w:szCs w:val="24"/>
          <w:lang w:val="en-AU"/>
        </w:rPr>
        <w:t xml:space="preserve"> as a basis, the process of updating the AR-DRGs has </w:t>
      </w:r>
      <w:r>
        <w:rPr>
          <w:szCs w:val="24"/>
          <w:lang w:val="en-AU"/>
        </w:rPr>
        <w:t xml:space="preserve">generally </w:t>
      </w:r>
      <w:r w:rsidRPr="0006119F">
        <w:rPr>
          <w:szCs w:val="24"/>
          <w:lang w:val="en-AU"/>
        </w:rPr>
        <w:t>occurred biennially to incorporate code changes made in each edition of ICD-10-AM/ACHI to date.</w:t>
      </w:r>
    </w:p>
    <w:p w14:paraId="64FE8F89" w14:textId="77777777" w:rsidR="005B5818" w:rsidRDefault="005B5818" w:rsidP="006056B9">
      <w:pPr>
        <w:rPr>
          <w:szCs w:val="24"/>
        </w:rPr>
      </w:pPr>
      <w:r w:rsidRPr="0006119F">
        <w:rPr>
          <w:szCs w:val="24"/>
        </w:rPr>
        <w:t xml:space="preserve">Over the life of the development of Australian DRGs a whole number change in the version indicates a major release (e.g. </w:t>
      </w:r>
      <w:r>
        <w:rPr>
          <w:szCs w:val="24"/>
        </w:rPr>
        <w:t>V</w:t>
      </w:r>
      <w:r w:rsidRPr="0006119F">
        <w:rPr>
          <w:szCs w:val="24"/>
        </w:rPr>
        <w:t xml:space="preserve">4.0 to </w:t>
      </w:r>
      <w:r>
        <w:rPr>
          <w:szCs w:val="24"/>
        </w:rPr>
        <w:t>V</w:t>
      </w:r>
      <w:r w:rsidRPr="0006119F">
        <w:rPr>
          <w:szCs w:val="24"/>
        </w:rPr>
        <w:t xml:space="preserve">5.0 and </w:t>
      </w:r>
      <w:r>
        <w:rPr>
          <w:szCs w:val="24"/>
        </w:rPr>
        <w:t>V</w:t>
      </w:r>
      <w:r w:rsidRPr="0006119F">
        <w:rPr>
          <w:szCs w:val="24"/>
        </w:rPr>
        <w:t xml:space="preserve">5.0 to </w:t>
      </w:r>
      <w:r>
        <w:rPr>
          <w:szCs w:val="24"/>
        </w:rPr>
        <w:t>V</w:t>
      </w:r>
      <w:r w:rsidRPr="0006119F">
        <w:rPr>
          <w:szCs w:val="24"/>
        </w:rPr>
        <w:t xml:space="preserve">6.0). A major release is where DRGs are inserted and/or deleted and a new structure introduced in the DRG classification. A minor update is indicated by a point increase in the version number (e.g. </w:t>
      </w:r>
      <w:r>
        <w:rPr>
          <w:szCs w:val="24"/>
        </w:rPr>
        <w:t>V</w:t>
      </w:r>
      <w:r w:rsidRPr="0006119F">
        <w:rPr>
          <w:szCs w:val="24"/>
        </w:rPr>
        <w:t>5.1). Minor updates usually just incorporate new editions of the underlying ICD</w:t>
      </w:r>
      <w:r>
        <w:rPr>
          <w:szCs w:val="24"/>
        </w:rPr>
        <w:t>/ACHI</w:t>
      </w:r>
      <w:r w:rsidRPr="0006119F">
        <w:rPr>
          <w:szCs w:val="24"/>
        </w:rPr>
        <w:t xml:space="preserve"> </w:t>
      </w:r>
      <w:r w:rsidR="00E1212F">
        <w:rPr>
          <w:szCs w:val="24"/>
        </w:rPr>
        <w:t>classification</w:t>
      </w:r>
      <w:r w:rsidRPr="0006119F">
        <w:rPr>
          <w:szCs w:val="24"/>
        </w:rPr>
        <w:t xml:space="preserve"> system and an opportunity to address concerns in ICD code placement within the DRG groups.</w:t>
      </w:r>
    </w:p>
    <w:p w14:paraId="14D5640C" w14:textId="77777777" w:rsidR="005B5818" w:rsidRDefault="005B5818" w:rsidP="00B60372">
      <w:pPr>
        <w:pStyle w:val="Heading3"/>
      </w:pPr>
      <w:r>
        <w:t>Use of costing data in DRG Refinement</w:t>
      </w:r>
    </w:p>
    <w:p w14:paraId="596BDBB4" w14:textId="77777777" w:rsidR="005B5818" w:rsidRDefault="005B5818" w:rsidP="006056B9">
      <w:pPr>
        <w:rPr>
          <w:szCs w:val="24"/>
          <w:lang w:val="en-AU"/>
        </w:rPr>
      </w:pPr>
      <w:r w:rsidRPr="00D33F58">
        <w:rPr>
          <w:szCs w:val="24"/>
          <w:lang w:val="en-AU"/>
        </w:rPr>
        <w:t xml:space="preserve">In the early 1990’s classification development used </w:t>
      </w:r>
      <w:r w:rsidR="00B330AC">
        <w:rPr>
          <w:szCs w:val="24"/>
          <w:lang w:val="en-AU"/>
        </w:rPr>
        <w:t>length of stay (</w:t>
      </w:r>
      <w:r w:rsidRPr="00D33F58">
        <w:rPr>
          <w:szCs w:val="24"/>
          <w:lang w:val="en-AU"/>
        </w:rPr>
        <w:t>LOS</w:t>
      </w:r>
      <w:r w:rsidR="00B330AC">
        <w:rPr>
          <w:szCs w:val="24"/>
          <w:lang w:val="en-AU"/>
        </w:rPr>
        <w:t>)</w:t>
      </w:r>
      <w:r w:rsidRPr="00D33F58">
        <w:rPr>
          <w:szCs w:val="24"/>
          <w:lang w:val="en-AU"/>
        </w:rPr>
        <w:t xml:space="preserve"> as a proxy for costs. Classification categories were created where different groups had different LOSs. Since the collection of the National Hospital Cost Data Collection (NHCDC), patient cost has been used to review DRGs in the development of AR-DRG versions. NHCDC coverage has progressively improved. There has always been a check used to ensure that LOS characteristics for hospitals supplying patient cost data were similar to LOS characteristics for</w:t>
      </w:r>
      <w:r>
        <w:rPr>
          <w:szCs w:val="24"/>
          <w:lang w:val="en-AU"/>
        </w:rPr>
        <w:t xml:space="preserve"> the remaining hospitals.</w:t>
      </w:r>
    </w:p>
    <w:p w14:paraId="19D85CD6" w14:textId="77777777" w:rsidR="005B5818" w:rsidRDefault="005B5818" w:rsidP="006056B9">
      <w:pPr>
        <w:rPr>
          <w:szCs w:val="24"/>
          <w:lang w:val="en-AU"/>
        </w:rPr>
      </w:pPr>
      <w:r w:rsidRPr="00D33F58">
        <w:rPr>
          <w:szCs w:val="24"/>
          <w:lang w:val="en-AU"/>
        </w:rPr>
        <w:t>Since the early work (1970’s) on developing DRGs in the USA, changing clinical practice and improved technology has greatly reduced LOS for many conditions</w:t>
      </w:r>
      <w:r w:rsidR="00B330AC">
        <w:rPr>
          <w:szCs w:val="24"/>
          <w:lang w:val="en-AU"/>
        </w:rPr>
        <w:t>;</w:t>
      </w:r>
      <w:r w:rsidRPr="00D33F58">
        <w:rPr>
          <w:szCs w:val="24"/>
          <w:lang w:val="en-AU"/>
        </w:rPr>
        <w:t xml:space="preserve"> and many interventions are now performed on a same day basis. Consequently, the usefulness of LOS as a </w:t>
      </w:r>
      <w:r w:rsidR="00CD201B">
        <w:rPr>
          <w:szCs w:val="24"/>
          <w:lang w:val="en-AU"/>
        </w:rPr>
        <w:t>proxy for cost</w:t>
      </w:r>
      <w:r w:rsidRPr="00D33F58">
        <w:rPr>
          <w:szCs w:val="24"/>
          <w:lang w:val="en-AU"/>
        </w:rPr>
        <w:t xml:space="preserve"> in classification development has reduced. Furthermore, many of the differences seen in LOS are thought to relate to practice variations between hospitals rather than differences in the underlying care requirements of patients. For these reasons cost data is generally regarded as the best data available for classification development.</w:t>
      </w:r>
      <w:r>
        <w:rPr>
          <w:rStyle w:val="FootnoteReference"/>
          <w:szCs w:val="24"/>
          <w:lang w:val="en-AU"/>
        </w:rPr>
        <w:footnoteReference w:id="6"/>
      </w:r>
    </w:p>
    <w:p w14:paraId="1C6E4C6B" w14:textId="77777777" w:rsidR="005B5818" w:rsidRPr="00D33F58" w:rsidRDefault="005B5818" w:rsidP="006056B9">
      <w:pPr>
        <w:rPr>
          <w:szCs w:val="24"/>
          <w:lang w:val="en-AU"/>
        </w:rPr>
      </w:pPr>
      <w:r w:rsidRPr="00D33F58">
        <w:rPr>
          <w:szCs w:val="24"/>
          <w:lang w:val="en-AU"/>
        </w:rPr>
        <w:lastRenderedPageBreak/>
        <w:t>The usefulness of cost data for classification development depends upon the sophistication and appropriateness of each hospital’s costing processes. In general cost modelled data are problematic as the patient groupings are used to allocate costs. In this case, analysis of cost differences may be confounded by the assumptions made in allocating the costs in the first instance. This means that the cost modelled data are not useful for classification development and so hospitals identified as cost modelled are not used in DRG and service weight development.</w:t>
      </w:r>
    </w:p>
    <w:p w14:paraId="4E767412" w14:textId="77777777" w:rsidR="005B5818" w:rsidRPr="00D33F58" w:rsidRDefault="005B5818" w:rsidP="006056B9">
      <w:pPr>
        <w:rPr>
          <w:szCs w:val="24"/>
          <w:lang w:val="en-AU"/>
        </w:rPr>
      </w:pPr>
      <w:r w:rsidRPr="00D33F58">
        <w:rPr>
          <w:szCs w:val="24"/>
          <w:lang w:val="en-AU"/>
        </w:rPr>
        <w:t>The Australian government has collected patient level cost information on patients treated in public hospitals for almost twenty years. These data are extracted by hospitals, sent to State and Territory health authorities who make modifications where necessary and then forward the data to the IHPA</w:t>
      </w:r>
      <w:r w:rsidR="00345851">
        <w:rPr>
          <w:szCs w:val="24"/>
          <w:lang w:val="en-AU"/>
        </w:rPr>
        <w:t>.</w:t>
      </w:r>
      <w:r>
        <w:rPr>
          <w:rStyle w:val="FootnoteReference"/>
          <w:szCs w:val="24"/>
          <w:lang w:val="en-AU"/>
        </w:rPr>
        <w:footnoteReference w:id="7"/>
      </w:r>
    </w:p>
    <w:p w14:paraId="314FB028" w14:textId="77777777" w:rsidR="005B5818" w:rsidRPr="00D33F58" w:rsidRDefault="005B5818" w:rsidP="006056B9">
      <w:pPr>
        <w:rPr>
          <w:szCs w:val="24"/>
          <w:lang w:val="en-AU"/>
        </w:rPr>
      </w:pPr>
      <w:r w:rsidRPr="00D33F58">
        <w:rPr>
          <w:szCs w:val="24"/>
          <w:lang w:val="en-AU"/>
        </w:rPr>
        <w:t>There has been an ongoing effort to increase the quality and consistency of the NHCDC over time with the development of the Australian Costing Standards by the Commonwealth. These have been developed with reference to the United Kingdom Clinical Costing Standards, which were in turn informed by work undertaken by the Clinical Costing Standards Association of Australia (CCSAA). The CCSAA’s functions are now under</w:t>
      </w:r>
      <w:r w:rsidR="00345851">
        <w:rPr>
          <w:szCs w:val="24"/>
          <w:lang w:val="en-AU"/>
        </w:rPr>
        <w:t>taken by IHPA.</w:t>
      </w:r>
    </w:p>
    <w:p w14:paraId="5925AB4C" w14:textId="77777777" w:rsidR="005B5818" w:rsidRPr="00A772EB" w:rsidRDefault="005B5818" w:rsidP="006056B9">
      <w:pPr>
        <w:rPr>
          <w:rFonts w:ascii="Calibri" w:eastAsia="Cambria" w:hAnsi="Calibri" w:cs="Times New Roman"/>
          <w:szCs w:val="24"/>
          <w:lang w:val="en-AU"/>
        </w:rPr>
      </w:pPr>
      <w:r w:rsidRPr="00D33F58">
        <w:rPr>
          <w:szCs w:val="24"/>
          <w:lang w:val="en-AU"/>
        </w:rPr>
        <w:t>While there are ongoing efforts to improve the quality of the cost data, the quality of the data remain</w:t>
      </w:r>
      <w:r w:rsidRPr="00A772EB">
        <w:rPr>
          <w:rFonts w:ascii="Calibri" w:eastAsia="Cambria" w:hAnsi="Calibri" w:cs="Times New Roman"/>
          <w:szCs w:val="24"/>
          <w:lang w:val="en-AU"/>
        </w:rPr>
        <w:t xml:space="preserve"> variable, depending in part on the extent to which individual hospitals have developed their costing processes, especially with r</w:t>
      </w:r>
      <w:r>
        <w:rPr>
          <w:rFonts w:ascii="Calibri" w:eastAsia="Cambria" w:hAnsi="Calibri" w:cs="Times New Roman"/>
          <w:szCs w:val="24"/>
          <w:lang w:val="en-AU"/>
        </w:rPr>
        <w:t>espect to the following points.</w:t>
      </w:r>
    </w:p>
    <w:p w14:paraId="1529685D" w14:textId="77777777" w:rsidR="005B5818" w:rsidRPr="0047597D" w:rsidRDefault="005B5818" w:rsidP="000E5B4A">
      <w:pPr>
        <w:pStyle w:val="ListBullet"/>
        <w:rPr>
          <w:lang w:val="en-AU"/>
        </w:rPr>
      </w:pPr>
      <w:r w:rsidRPr="0047597D">
        <w:rPr>
          <w:lang w:val="en-AU"/>
        </w:rPr>
        <w:t>The extent to which hospitals rely on ‘patient fractions’ to differentiate costs across the different care types and the reliability of the ‘patient fractions’.</w:t>
      </w:r>
    </w:p>
    <w:p w14:paraId="709584E2" w14:textId="77777777" w:rsidR="005B5818" w:rsidRPr="0047597D" w:rsidRDefault="005B5818" w:rsidP="000E5B4A">
      <w:pPr>
        <w:pStyle w:val="ListBullet"/>
        <w:rPr>
          <w:lang w:val="en-AU"/>
        </w:rPr>
      </w:pPr>
      <w:r w:rsidRPr="0047597D">
        <w:rPr>
          <w:lang w:val="en-AU"/>
        </w:rPr>
        <w:t>The accuracy and specificity to which hospitals map cost centres in their chart of accounts into the cost centre codes used for the NHCDC.</w:t>
      </w:r>
    </w:p>
    <w:p w14:paraId="3317CEC9" w14:textId="77777777" w:rsidR="005B5818" w:rsidRPr="0047597D" w:rsidRDefault="005B5818" w:rsidP="000E5B4A">
      <w:pPr>
        <w:pStyle w:val="ListBullet"/>
        <w:rPr>
          <w:lang w:val="en-AU"/>
        </w:rPr>
      </w:pPr>
      <w:r w:rsidRPr="0047597D">
        <w:rPr>
          <w:lang w:val="en-AU"/>
        </w:rPr>
        <w:t>The manner by which costs are allocated to individual patients (i.e. by actual costs, by cost weighted activity units, by bed day or hour, by service weight etc.).</w:t>
      </w:r>
    </w:p>
    <w:p w14:paraId="3364B216" w14:textId="77777777" w:rsidR="005B5818" w:rsidRPr="0047597D" w:rsidRDefault="005B5818" w:rsidP="000E5B4A">
      <w:pPr>
        <w:pStyle w:val="ListBullet"/>
        <w:rPr>
          <w:lang w:val="en-AU"/>
        </w:rPr>
      </w:pPr>
      <w:r w:rsidRPr="0047597D">
        <w:rPr>
          <w:lang w:val="en-AU"/>
        </w:rPr>
        <w:t>The experience of the costing staff and their understanding of the costing processes and national costing standard guidelines.</w:t>
      </w:r>
    </w:p>
    <w:p w14:paraId="3910D141" w14:textId="77777777" w:rsidR="005B5818" w:rsidRDefault="005B5818" w:rsidP="006056B9">
      <w:pPr>
        <w:rPr>
          <w:lang w:val="en-AU"/>
        </w:rPr>
      </w:pPr>
      <w:r w:rsidRPr="0029502B">
        <w:rPr>
          <w:lang w:val="en-AU"/>
        </w:rPr>
        <w:lastRenderedPageBreak/>
        <w:t>Despite these on-going concerns with the quality of NHCDC data, the NHCDC by international standards represents one of the best and most comprehensive data collections of its type and is considered a sound basis for DRG development in Australia.</w:t>
      </w:r>
    </w:p>
    <w:p w14:paraId="55388D98" w14:textId="77777777" w:rsidR="003D0CD8" w:rsidRDefault="003D0CD8" w:rsidP="00B60372">
      <w:pPr>
        <w:pStyle w:val="Heading3"/>
        <w:rPr>
          <w:rFonts w:eastAsia="Cambria"/>
        </w:rPr>
      </w:pPr>
      <w:r>
        <w:rPr>
          <w:rFonts w:eastAsia="Cambria"/>
        </w:rPr>
        <w:t>Current case complexity definitions</w:t>
      </w:r>
    </w:p>
    <w:p w14:paraId="759CD808" w14:textId="77777777" w:rsidR="003D0CD8" w:rsidRPr="00A021DB" w:rsidRDefault="003D0CD8" w:rsidP="006056B9">
      <w:r w:rsidRPr="00A021DB">
        <w:rPr>
          <w:lang w:val="en-AU"/>
        </w:rPr>
        <w:t xml:space="preserve">Treatment provided for a disease or condition can become difficult and more resource intensive and ultimately more expensive by the presence of a comorbidity or the development of a complication during the episode of care. AR-DRGs </w:t>
      </w:r>
      <w:r>
        <w:rPr>
          <w:lang w:val="en-AU"/>
        </w:rPr>
        <w:t>V7</w:t>
      </w:r>
      <w:r w:rsidRPr="00A021DB">
        <w:rPr>
          <w:lang w:val="en-AU"/>
        </w:rPr>
        <w:t xml:space="preserve">.0 identifies codes for </w:t>
      </w:r>
      <w:r>
        <w:rPr>
          <w:lang w:val="en-AU"/>
        </w:rPr>
        <w:t>CCs</w:t>
      </w:r>
      <w:r w:rsidRPr="00A021DB">
        <w:rPr>
          <w:lang w:val="en-AU"/>
        </w:rPr>
        <w:t xml:space="preserve"> that are known clinically to contribute to higher resource consumption. The following terms </w:t>
      </w:r>
      <w:r w:rsidR="00DD049D">
        <w:rPr>
          <w:lang w:val="en-AU"/>
        </w:rPr>
        <w:t xml:space="preserve">are </w:t>
      </w:r>
      <w:r w:rsidRPr="00A021DB">
        <w:rPr>
          <w:lang w:val="en-AU"/>
        </w:rPr>
        <w:t xml:space="preserve">used within AR-DRG </w:t>
      </w:r>
      <w:r>
        <w:rPr>
          <w:lang w:val="en-AU"/>
        </w:rPr>
        <w:t>V7</w:t>
      </w:r>
      <w:r w:rsidRPr="00A021DB">
        <w:rPr>
          <w:lang w:val="en-AU"/>
        </w:rPr>
        <w:t xml:space="preserve">.0 with regard to </w:t>
      </w:r>
      <w:r>
        <w:rPr>
          <w:lang w:val="en-AU"/>
        </w:rPr>
        <w:t>case complexity</w:t>
      </w:r>
      <w:r w:rsidRPr="00A021DB">
        <w:rPr>
          <w:lang w:val="en-AU"/>
        </w:rPr>
        <w:t>:</w:t>
      </w:r>
    </w:p>
    <w:p w14:paraId="1D18A69E" w14:textId="77777777" w:rsidR="003D0CD8" w:rsidRDefault="003D0CD8" w:rsidP="000E5B4A">
      <w:pPr>
        <w:pStyle w:val="ListBullet"/>
      </w:pPr>
      <w:r w:rsidRPr="0047597D">
        <w:rPr>
          <w:b/>
          <w:lang w:val="en-AU"/>
        </w:rPr>
        <w:t>Complication and/or Comorbidity</w:t>
      </w:r>
      <w:r w:rsidRPr="0047597D">
        <w:rPr>
          <w:lang w:val="en-AU"/>
        </w:rPr>
        <w:t xml:space="preserve"> (CC) codes are diagnoses that are likely to result in significantly greater resource consumption</w:t>
      </w:r>
      <w:r w:rsidR="0047597D">
        <w:rPr>
          <w:lang w:val="en-AU"/>
        </w:rPr>
        <w:t>.</w:t>
      </w:r>
    </w:p>
    <w:p w14:paraId="55BCAAAD" w14:textId="77777777" w:rsidR="003D0CD8" w:rsidRDefault="003D0CD8" w:rsidP="000E5B4A">
      <w:pPr>
        <w:pStyle w:val="ListBullet"/>
      </w:pPr>
      <w:r w:rsidRPr="0047597D">
        <w:rPr>
          <w:b/>
          <w:lang w:val="en-AU"/>
        </w:rPr>
        <w:t>Complication and Comorbidity Levels</w:t>
      </w:r>
      <w:r w:rsidRPr="0047597D">
        <w:rPr>
          <w:lang w:val="en-AU"/>
        </w:rPr>
        <w:t xml:space="preserve"> (CCLs) are case complexity weights given to all diagnoses. The actual CCL value allocated to a diagnosis depends on whether the code is a valid CC, and whether it has been categorised as minor, moderate, severe or catastrophic in terms of the ADRG for that episode of care. Only CC codes are given a value greater than zero. Therefore a diagnosis given a CCL value of ‘0’ is not a CC</w:t>
      </w:r>
      <w:r w:rsidR="0047597D">
        <w:rPr>
          <w:lang w:val="en-AU"/>
        </w:rPr>
        <w:t>.</w:t>
      </w:r>
    </w:p>
    <w:p w14:paraId="41ECA04A" w14:textId="77777777" w:rsidR="003D0CD8" w:rsidRPr="00A021DB" w:rsidRDefault="003D0CD8" w:rsidP="000E5B4A">
      <w:pPr>
        <w:pStyle w:val="ListBullet"/>
      </w:pPr>
      <w:r w:rsidRPr="0047597D">
        <w:rPr>
          <w:b/>
          <w:lang w:val="en-AU"/>
        </w:rPr>
        <w:t>Patient Clinical Complexity Level</w:t>
      </w:r>
      <w:r w:rsidRPr="0047597D">
        <w:rPr>
          <w:lang w:val="en-AU"/>
        </w:rPr>
        <w:t xml:space="preserve"> (PCCL) is a measure of the cumulative effect of a patient’s CCs, and is calculated for each episode of care. The calculation is complex and has been designed to prevent similar conditions from being counted more than once.</w:t>
      </w:r>
    </w:p>
    <w:p w14:paraId="2DCE10E0" w14:textId="77777777" w:rsidR="005B5818" w:rsidRPr="0006119F" w:rsidRDefault="005B5818" w:rsidP="00B60372">
      <w:pPr>
        <w:pStyle w:val="Heading3"/>
      </w:pPr>
      <w:bookmarkStart w:id="5" w:name="_Toc393276107"/>
      <w:bookmarkStart w:id="6" w:name="_Toc393288626"/>
      <w:bookmarkStart w:id="7" w:name="_Toc393299125"/>
      <w:bookmarkStart w:id="8" w:name="_Toc393356341"/>
      <w:bookmarkStart w:id="9" w:name="_Toc393368975"/>
      <w:bookmarkStart w:id="10" w:name="_Toc393369152"/>
      <w:bookmarkEnd w:id="5"/>
      <w:bookmarkEnd w:id="6"/>
      <w:bookmarkEnd w:id="7"/>
      <w:bookmarkEnd w:id="8"/>
      <w:bookmarkEnd w:id="9"/>
      <w:bookmarkEnd w:id="10"/>
      <w:r>
        <w:t>Case complexity processing within the current AR-DRG classification</w:t>
      </w:r>
      <w:r>
        <w:rPr>
          <w:rStyle w:val="FootnoteReference"/>
          <w:szCs w:val="28"/>
        </w:rPr>
        <w:footnoteReference w:id="8"/>
      </w:r>
    </w:p>
    <w:p w14:paraId="556A1A9F" w14:textId="77777777" w:rsidR="005B5818" w:rsidRPr="00861390" w:rsidRDefault="005B5818" w:rsidP="006056B9">
      <w:pPr>
        <w:rPr>
          <w:szCs w:val="24"/>
          <w:lang w:val="en-AU"/>
        </w:rPr>
      </w:pPr>
      <w:r w:rsidRPr="00861390">
        <w:rPr>
          <w:szCs w:val="24"/>
          <w:lang w:val="en-AU"/>
        </w:rPr>
        <w:t xml:space="preserve">The </w:t>
      </w:r>
      <w:r w:rsidR="003A5FDA">
        <w:rPr>
          <w:szCs w:val="24"/>
          <w:lang w:val="en-AU"/>
        </w:rPr>
        <w:t>CC</w:t>
      </w:r>
      <w:r w:rsidRPr="00861390">
        <w:rPr>
          <w:szCs w:val="24"/>
          <w:lang w:val="en-AU"/>
        </w:rPr>
        <w:t xml:space="preserve"> </w:t>
      </w:r>
      <w:r>
        <w:rPr>
          <w:szCs w:val="24"/>
          <w:lang w:val="en-AU"/>
        </w:rPr>
        <w:t xml:space="preserve">structure chosen as the basis of case complexity processing within AN-DRG versions </w:t>
      </w:r>
      <w:r w:rsidRPr="00861390">
        <w:rPr>
          <w:szCs w:val="24"/>
          <w:lang w:val="en-AU"/>
        </w:rPr>
        <w:t xml:space="preserve">was that used by the </w:t>
      </w:r>
      <w:r>
        <w:rPr>
          <w:szCs w:val="24"/>
          <w:lang w:val="en-AU"/>
        </w:rPr>
        <w:t xml:space="preserve">Refined DRG (RDRG) system, </w:t>
      </w:r>
      <w:r w:rsidRPr="00861390">
        <w:rPr>
          <w:szCs w:val="24"/>
          <w:lang w:val="en-AU"/>
        </w:rPr>
        <w:t>developed by Yal</w:t>
      </w:r>
      <w:r>
        <w:rPr>
          <w:szCs w:val="24"/>
          <w:lang w:val="en-AU"/>
        </w:rPr>
        <w:t>e University in the late 1980's.</w:t>
      </w:r>
      <w:r w:rsidR="00345851">
        <w:rPr>
          <w:szCs w:val="24"/>
          <w:lang w:val="en-AU"/>
        </w:rPr>
        <w:t xml:space="preserve"> </w:t>
      </w:r>
      <w:r w:rsidRPr="005734EE">
        <w:rPr>
          <w:szCs w:val="24"/>
          <w:lang w:val="en-AU"/>
        </w:rPr>
        <w:t xml:space="preserve">The structure </w:t>
      </w:r>
      <w:r>
        <w:rPr>
          <w:szCs w:val="24"/>
          <w:lang w:val="en-AU"/>
        </w:rPr>
        <w:t xml:space="preserve">included a diagnosis exclusion </w:t>
      </w:r>
      <w:r w:rsidRPr="005734EE">
        <w:rPr>
          <w:szCs w:val="24"/>
          <w:lang w:val="en-AU"/>
        </w:rPr>
        <w:t xml:space="preserve">list; to disregard diagnoses associated </w:t>
      </w:r>
      <w:r>
        <w:rPr>
          <w:szCs w:val="24"/>
          <w:lang w:val="en-AU"/>
        </w:rPr>
        <w:t>or related to</w:t>
      </w:r>
      <w:r w:rsidRPr="005734EE">
        <w:rPr>
          <w:szCs w:val="24"/>
          <w:lang w:val="en-AU"/>
        </w:rPr>
        <w:t xml:space="preserve"> another </w:t>
      </w:r>
      <w:r>
        <w:rPr>
          <w:szCs w:val="24"/>
          <w:lang w:val="en-AU"/>
        </w:rPr>
        <w:t xml:space="preserve">diagnosis already used to describe the case </w:t>
      </w:r>
      <w:r w:rsidRPr="00652C3D">
        <w:rPr>
          <w:szCs w:val="24"/>
          <w:lang w:val="en-AU"/>
        </w:rPr>
        <w:t>(some diagnoses provide additional information about a condition already coded and should not be considered a CC)</w:t>
      </w:r>
      <w:r>
        <w:rPr>
          <w:szCs w:val="24"/>
          <w:lang w:val="en-AU"/>
        </w:rPr>
        <w:t>.</w:t>
      </w:r>
    </w:p>
    <w:p w14:paraId="628C16E8" w14:textId="77777777" w:rsidR="005B5818" w:rsidRPr="00771100" w:rsidRDefault="005B5818" w:rsidP="006056B9">
      <w:pPr>
        <w:rPr>
          <w:szCs w:val="24"/>
          <w:lang w:val="en-AU"/>
        </w:rPr>
      </w:pPr>
      <w:r w:rsidRPr="00861390">
        <w:rPr>
          <w:szCs w:val="24"/>
          <w:lang w:val="en-AU"/>
        </w:rPr>
        <w:lastRenderedPageBreak/>
        <w:t xml:space="preserve">To further develop and improve measurement of </w:t>
      </w:r>
      <w:r>
        <w:rPr>
          <w:szCs w:val="24"/>
          <w:lang w:val="en-AU"/>
        </w:rPr>
        <w:t>case complexity</w:t>
      </w:r>
      <w:r w:rsidRPr="00861390">
        <w:rPr>
          <w:szCs w:val="24"/>
          <w:lang w:val="en-AU"/>
        </w:rPr>
        <w:t xml:space="preserve"> within </w:t>
      </w:r>
      <w:r>
        <w:rPr>
          <w:szCs w:val="24"/>
          <w:lang w:val="en-AU"/>
        </w:rPr>
        <w:t xml:space="preserve">AN-DRG V3.0, the Commonwealth undertook </w:t>
      </w:r>
      <w:r w:rsidRPr="00624EBA">
        <w:rPr>
          <w:szCs w:val="24"/>
          <w:lang w:val="en-AU"/>
        </w:rPr>
        <w:t>the Complication and Comorbidity Refinement project to examine the validity of the Y</w:t>
      </w:r>
      <w:r>
        <w:rPr>
          <w:szCs w:val="24"/>
          <w:lang w:val="en-AU"/>
        </w:rPr>
        <w:t xml:space="preserve">ale </w:t>
      </w:r>
      <w:r w:rsidR="00DD049D">
        <w:rPr>
          <w:szCs w:val="24"/>
          <w:lang w:val="en-AU"/>
        </w:rPr>
        <w:t>CC</w:t>
      </w:r>
      <w:r>
        <w:rPr>
          <w:szCs w:val="24"/>
          <w:lang w:val="en-AU"/>
        </w:rPr>
        <w:t xml:space="preserve"> structure.</w:t>
      </w:r>
    </w:p>
    <w:p w14:paraId="3357B79F" w14:textId="77777777" w:rsidR="005B5818" w:rsidRDefault="005B5818" w:rsidP="006056B9">
      <w:pPr>
        <w:rPr>
          <w:szCs w:val="24"/>
          <w:lang w:val="en-AU"/>
        </w:rPr>
      </w:pPr>
      <w:r>
        <w:rPr>
          <w:szCs w:val="24"/>
          <w:lang w:val="en-AU"/>
        </w:rPr>
        <w:t xml:space="preserve">The aim of the project was to specify CCLs </w:t>
      </w:r>
      <w:r w:rsidRPr="00624EBA">
        <w:rPr>
          <w:szCs w:val="24"/>
          <w:lang w:val="en-AU"/>
        </w:rPr>
        <w:t xml:space="preserve">appropriate for Australian </w:t>
      </w:r>
      <w:r>
        <w:rPr>
          <w:szCs w:val="24"/>
          <w:lang w:val="en-AU"/>
        </w:rPr>
        <w:t>clinical practice</w:t>
      </w:r>
      <w:r w:rsidRPr="00624EBA">
        <w:rPr>
          <w:szCs w:val="24"/>
          <w:lang w:val="en-AU"/>
        </w:rPr>
        <w:t xml:space="preserve"> and to introduce new CCs based on </w:t>
      </w:r>
      <w:r>
        <w:rPr>
          <w:szCs w:val="24"/>
          <w:lang w:val="en-AU"/>
        </w:rPr>
        <w:t>recommendations made by the then Clinical Classification and Coding Group (</w:t>
      </w:r>
      <w:r w:rsidRPr="00624EBA">
        <w:rPr>
          <w:szCs w:val="24"/>
          <w:lang w:val="en-AU"/>
        </w:rPr>
        <w:t>CCCG</w:t>
      </w:r>
      <w:r>
        <w:rPr>
          <w:szCs w:val="24"/>
          <w:lang w:val="en-AU"/>
        </w:rPr>
        <w:t>)</w:t>
      </w:r>
      <w:r w:rsidRPr="00624EBA">
        <w:rPr>
          <w:szCs w:val="24"/>
          <w:lang w:val="en-AU"/>
        </w:rPr>
        <w:t xml:space="preserve">. </w:t>
      </w:r>
      <w:r>
        <w:rPr>
          <w:szCs w:val="24"/>
          <w:lang w:val="en-AU"/>
        </w:rPr>
        <w:t>The project provided for</w:t>
      </w:r>
      <w:r w:rsidRPr="00624EBA">
        <w:rPr>
          <w:szCs w:val="24"/>
          <w:lang w:val="en-AU"/>
        </w:rPr>
        <w:t xml:space="preserve"> Commonwealth ownership and specification of the AR-DRG CC list, CCL values and CC exclusion list.</w:t>
      </w:r>
    </w:p>
    <w:p w14:paraId="472C1379" w14:textId="77777777" w:rsidR="005B5818" w:rsidRDefault="005B5818" w:rsidP="006056B9">
      <w:pPr>
        <w:rPr>
          <w:szCs w:val="24"/>
          <w:lang w:val="en-AU"/>
        </w:rPr>
      </w:pPr>
      <w:r w:rsidRPr="00A71578">
        <w:rPr>
          <w:szCs w:val="24"/>
          <w:lang w:val="en-AU"/>
        </w:rPr>
        <w:t>The project involved</w:t>
      </w:r>
      <w:r>
        <w:rPr>
          <w:szCs w:val="24"/>
          <w:lang w:val="en-AU"/>
        </w:rPr>
        <w:t xml:space="preserve"> a </w:t>
      </w:r>
      <w:r w:rsidRPr="00A71578">
        <w:rPr>
          <w:szCs w:val="24"/>
          <w:lang w:val="en-AU"/>
        </w:rPr>
        <w:t xml:space="preserve">code level upgrading </w:t>
      </w:r>
      <w:r>
        <w:rPr>
          <w:szCs w:val="24"/>
          <w:lang w:val="en-AU"/>
        </w:rPr>
        <w:t xml:space="preserve">(recursive) </w:t>
      </w:r>
      <w:r w:rsidRPr="00A71578">
        <w:rPr>
          <w:szCs w:val="24"/>
          <w:lang w:val="en-AU"/>
        </w:rPr>
        <w:t>process</w:t>
      </w:r>
      <w:r>
        <w:rPr>
          <w:szCs w:val="24"/>
          <w:lang w:val="en-AU"/>
        </w:rPr>
        <w:t xml:space="preserve"> </w:t>
      </w:r>
      <w:r w:rsidRPr="00A71578">
        <w:rPr>
          <w:szCs w:val="24"/>
          <w:lang w:val="en-AU"/>
        </w:rPr>
        <w:t xml:space="preserve">involving the CCL value suggested by statistical analyses based on the </w:t>
      </w:r>
      <w:r w:rsidRPr="00A71578">
        <w:rPr>
          <w:szCs w:val="24"/>
        </w:rPr>
        <w:t>1993-94 National Hospital Morbidity (</w:t>
      </w:r>
      <w:proofErr w:type="spellStart"/>
      <w:r w:rsidRPr="00A71578">
        <w:rPr>
          <w:szCs w:val="24"/>
        </w:rPr>
        <w:t>Casemix</w:t>
      </w:r>
      <w:proofErr w:type="spellEnd"/>
      <w:r w:rsidRPr="00A71578">
        <w:rPr>
          <w:szCs w:val="24"/>
        </w:rPr>
        <w:t xml:space="preserve">) Database grouped to AN-DRG </w:t>
      </w:r>
      <w:r>
        <w:rPr>
          <w:szCs w:val="24"/>
        </w:rPr>
        <w:t>V</w:t>
      </w:r>
      <w:r w:rsidRPr="00A71578">
        <w:rPr>
          <w:szCs w:val="24"/>
        </w:rPr>
        <w:t>3.0</w:t>
      </w:r>
      <w:r w:rsidRPr="00A71578">
        <w:rPr>
          <w:szCs w:val="24"/>
          <w:lang w:val="en-AU"/>
        </w:rPr>
        <w:t>, and clinical consultation</w:t>
      </w:r>
      <w:r>
        <w:rPr>
          <w:szCs w:val="24"/>
          <w:lang w:val="en-AU"/>
        </w:rPr>
        <w:t xml:space="preserve"> with various </w:t>
      </w:r>
      <w:r w:rsidRPr="00A71578">
        <w:rPr>
          <w:szCs w:val="24"/>
          <w:lang w:val="en-AU"/>
        </w:rPr>
        <w:t xml:space="preserve">disciplines. </w:t>
      </w:r>
      <w:r>
        <w:rPr>
          <w:szCs w:val="24"/>
          <w:lang w:val="en-AU"/>
        </w:rPr>
        <w:t>A</w:t>
      </w:r>
      <w:r w:rsidRPr="00A71578">
        <w:rPr>
          <w:szCs w:val="24"/>
          <w:lang w:val="en-AU"/>
        </w:rPr>
        <w:t xml:space="preserve">ppropriate CCLs for those codes found statistically to increase </w:t>
      </w:r>
      <w:r>
        <w:rPr>
          <w:szCs w:val="24"/>
          <w:lang w:val="en-AU"/>
        </w:rPr>
        <w:t>the length of stay (LOS)</w:t>
      </w:r>
      <w:r w:rsidRPr="00A71578">
        <w:rPr>
          <w:szCs w:val="24"/>
          <w:lang w:val="en-AU"/>
        </w:rPr>
        <w:t xml:space="preserve"> and a corresponding </w:t>
      </w:r>
      <w:r>
        <w:rPr>
          <w:szCs w:val="24"/>
          <w:lang w:val="en-AU"/>
        </w:rPr>
        <w:t xml:space="preserve">CC </w:t>
      </w:r>
      <w:r w:rsidRPr="00A71578">
        <w:rPr>
          <w:szCs w:val="24"/>
          <w:lang w:val="en-AU"/>
        </w:rPr>
        <w:t>exclusion</w:t>
      </w:r>
      <w:r>
        <w:rPr>
          <w:szCs w:val="24"/>
          <w:lang w:val="en-AU"/>
        </w:rPr>
        <w:t>s</w:t>
      </w:r>
      <w:r w:rsidRPr="00A71578">
        <w:rPr>
          <w:szCs w:val="24"/>
          <w:lang w:val="en-AU"/>
        </w:rPr>
        <w:t xml:space="preserve"> list</w:t>
      </w:r>
      <w:r>
        <w:rPr>
          <w:szCs w:val="24"/>
          <w:lang w:val="en-AU"/>
        </w:rPr>
        <w:t xml:space="preserve"> (3,215 codes) was then developed.</w:t>
      </w:r>
    </w:p>
    <w:p w14:paraId="00F3D217" w14:textId="77777777" w:rsidR="005B5818" w:rsidRDefault="005B5818" w:rsidP="006056B9">
      <w:pPr>
        <w:rPr>
          <w:szCs w:val="24"/>
          <w:lang w:val="en-AU"/>
        </w:rPr>
      </w:pPr>
      <w:r w:rsidRPr="00016A67">
        <w:rPr>
          <w:szCs w:val="24"/>
          <w:lang w:val="en-AU"/>
        </w:rPr>
        <w:t>The A</w:t>
      </w:r>
      <w:r>
        <w:rPr>
          <w:szCs w:val="24"/>
          <w:lang w:val="en-AU"/>
        </w:rPr>
        <w:t xml:space="preserve">ustralian </w:t>
      </w:r>
      <w:proofErr w:type="spellStart"/>
      <w:r w:rsidRPr="00016A67">
        <w:rPr>
          <w:szCs w:val="24"/>
          <w:lang w:val="en-AU"/>
        </w:rPr>
        <w:t>C</w:t>
      </w:r>
      <w:r>
        <w:rPr>
          <w:szCs w:val="24"/>
          <w:lang w:val="en-AU"/>
        </w:rPr>
        <w:t>asemix</w:t>
      </w:r>
      <w:proofErr w:type="spellEnd"/>
      <w:r>
        <w:rPr>
          <w:szCs w:val="24"/>
          <w:lang w:val="en-AU"/>
        </w:rPr>
        <w:t xml:space="preserve"> Clinical Committee (AC</w:t>
      </w:r>
      <w:r w:rsidRPr="00016A67">
        <w:rPr>
          <w:szCs w:val="24"/>
          <w:lang w:val="en-AU"/>
        </w:rPr>
        <w:t>CC</w:t>
      </w:r>
      <w:r>
        <w:rPr>
          <w:szCs w:val="24"/>
          <w:lang w:val="en-AU"/>
        </w:rPr>
        <w:t>)</w:t>
      </w:r>
      <w:r w:rsidRPr="00016A67">
        <w:rPr>
          <w:szCs w:val="24"/>
          <w:lang w:val="en-AU"/>
        </w:rPr>
        <w:t xml:space="preserve"> Complications and Comorbidities Subcommittee recommended that the Commonwealth provide to the NCCH the current CC exclusions with descriptions and a list of the </w:t>
      </w:r>
      <w:r>
        <w:rPr>
          <w:szCs w:val="24"/>
          <w:lang w:val="en-AU"/>
        </w:rPr>
        <w:t xml:space="preserve">proposed </w:t>
      </w:r>
      <w:r w:rsidRPr="00016A67">
        <w:rPr>
          <w:szCs w:val="24"/>
          <w:lang w:val="en-AU"/>
        </w:rPr>
        <w:t>additional CCs</w:t>
      </w:r>
      <w:r>
        <w:rPr>
          <w:szCs w:val="24"/>
          <w:lang w:val="en-AU"/>
        </w:rPr>
        <w:t xml:space="preserve"> for review and drafting of a provisional set of CC exclusions for use with AR-DRG V4.0. </w:t>
      </w:r>
      <w:r w:rsidRPr="00016A67">
        <w:rPr>
          <w:szCs w:val="24"/>
          <w:lang w:val="en-AU"/>
        </w:rPr>
        <w:t>While the ACCC's Complications and Comorbidities Subcommittee requested that all exclusion tables be reviewed by clinicians, this was not possible in the available time.</w:t>
      </w:r>
    </w:p>
    <w:p w14:paraId="24CF7A9F" w14:textId="77777777" w:rsidR="005B5818" w:rsidRDefault="005B5818" w:rsidP="006056B9">
      <w:pPr>
        <w:rPr>
          <w:szCs w:val="24"/>
          <w:lang w:val="en-AU"/>
        </w:rPr>
      </w:pPr>
      <w:r w:rsidRPr="00A71578">
        <w:rPr>
          <w:szCs w:val="24"/>
          <w:lang w:val="en-AU"/>
        </w:rPr>
        <w:t>In addition, research was conducted on the effects of multiple C</w:t>
      </w:r>
      <w:r>
        <w:rPr>
          <w:szCs w:val="24"/>
          <w:lang w:val="en-AU"/>
        </w:rPr>
        <w:t>Cs on resource use. In AN-DRG V</w:t>
      </w:r>
      <w:r w:rsidRPr="00A71578">
        <w:rPr>
          <w:szCs w:val="24"/>
          <w:lang w:val="en-AU"/>
        </w:rPr>
        <w:t>3</w:t>
      </w:r>
      <w:r>
        <w:rPr>
          <w:szCs w:val="24"/>
          <w:lang w:val="en-AU"/>
        </w:rPr>
        <w:t>.0</w:t>
      </w:r>
      <w:r w:rsidRPr="00A71578">
        <w:rPr>
          <w:szCs w:val="24"/>
          <w:lang w:val="en-AU"/>
        </w:rPr>
        <w:t xml:space="preserve">, a patient CC level is defined by the diagnosis with the highest CCL of all </w:t>
      </w:r>
      <w:proofErr w:type="spellStart"/>
      <w:r>
        <w:rPr>
          <w:szCs w:val="24"/>
          <w:lang w:val="en-AU"/>
        </w:rPr>
        <w:t>ADx</w:t>
      </w:r>
      <w:proofErr w:type="spellEnd"/>
      <w:r w:rsidRPr="00A71578">
        <w:rPr>
          <w:szCs w:val="24"/>
          <w:lang w:val="en-AU"/>
        </w:rPr>
        <w:t xml:space="preserve"> </w:t>
      </w:r>
      <w:r>
        <w:rPr>
          <w:szCs w:val="24"/>
          <w:lang w:val="en-AU"/>
        </w:rPr>
        <w:t>within an episode of care</w:t>
      </w:r>
      <w:r w:rsidRPr="00A71578">
        <w:rPr>
          <w:szCs w:val="24"/>
          <w:lang w:val="en-AU"/>
        </w:rPr>
        <w:t xml:space="preserve">. </w:t>
      </w:r>
      <w:r>
        <w:rPr>
          <w:szCs w:val="24"/>
          <w:lang w:val="en-AU"/>
        </w:rPr>
        <w:t xml:space="preserve">International research at the time however, determined that </w:t>
      </w:r>
      <w:r w:rsidRPr="00A71578">
        <w:rPr>
          <w:szCs w:val="24"/>
          <w:lang w:val="en-AU"/>
        </w:rPr>
        <w:t xml:space="preserve">this approach </w:t>
      </w:r>
      <w:r>
        <w:rPr>
          <w:szCs w:val="24"/>
          <w:lang w:val="en-AU"/>
        </w:rPr>
        <w:t>did</w:t>
      </w:r>
      <w:r w:rsidRPr="00A71578">
        <w:rPr>
          <w:szCs w:val="24"/>
          <w:lang w:val="en-AU"/>
        </w:rPr>
        <w:t xml:space="preserve"> not adequately address the cumulative effect of significant </w:t>
      </w:r>
      <w:proofErr w:type="spellStart"/>
      <w:r>
        <w:rPr>
          <w:szCs w:val="24"/>
          <w:lang w:val="en-AU"/>
        </w:rPr>
        <w:t>ADx</w:t>
      </w:r>
      <w:proofErr w:type="spellEnd"/>
      <w:r w:rsidRPr="00A71578">
        <w:rPr>
          <w:szCs w:val="24"/>
          <w:lang w:val="en-AU"/>
        </w:rPr>
        <w:t xml:space="preserve"> on </w:t>
      </w:r>
      <w:r>
        <w:rPr>
          <w:szCs w:val="24"/>
          <w:lang w:val="en-AU"/>
        </w:rPr>
        <w:t>r</w:t>
      </w:r>
      <w:r w:rsidRPr="00A71578">
        <w:rPr>
          <w:szCs w:val="24"/>
          <w:lang w:val="en-AU"/>
        </w:rPr>
        <w:t>esource</w:t>
      </w:r>
      <w:r>
        <w:rPr>
          <w:szCs w:val="24"/>
          <w:lang w:val="en-AU"/>
        </w:rPr>
        <w:t xml:space="preserve"> consumption</w:t>
      </w:r>
      <w:r w:rsidRPr="00A71578">
        <w:rPr>
          <w:szCs w:val="24"/>
          <w:lang w:val="en-AU"/>
        </w:rPr>
        <w:t xml:space="preserve">. An algorithm </w:t>
      </w:r>
      <w:r>
        <w:rPr>
          <w:szCs w:val="24"/>
          <w:lang w:val="en-AU"/>
        </w:rPr>
        <w:t>was therefore</w:t>
      </w:r>
      <w:r w:rsidRPr="00A71578">
        <w:rPr>
          <w:szCs w:val="24"/>
          <w:lang w:val="en-AU"/>
        </w:rPr>
        <w:t xml:space="preserve"> developed to create a new measure </w:t>
      </w:r>
      <w:r>
        <w:rPr>
          <w:szCs w:val="24"/>
          <w:lang w:val="en-AU"/>
        </w:rPr>
        <w:t xml:space="preserve">for </w:t>
      </w:r>
      <w:r w:rsidR="00DE7320">
        <w:rPr>
          <w:szCs w:val="24"/>
          <w:lang w:val="en-AU"/>
        </w:rPr>
        <w:t>PCCL</w:t>
      </w:r>
      <w:r w:rsidRPr="00A71578">
        <w:rPr>
          <w:szCs w:val="24"/>
          <w:lang w:val="en-AU"/>
        </w:rPr>
        <w:t xml:space="preserve">. </w:t>
      </w:r>
      <w:r>
        <w:rPr>
          <w:szCs w:val="24"/>
          <w:lang w:val="en-AU"/>
        </w:rPr>
        <w:t>As a consequence, w</w:t>
      </w:r>
      <w:r w:rsidRPr="00A71578">
        <w:rPr>
          <w:szCs w:val="24"/>
          <w:lang w:val="en-AU"/>
        </w:rPr>
        <w:t>here there are multiple CCs, a patient may be assigned a higher PCCL value than a patient with only one CC.</w:t>
      </w:r>
    </w:p>
    <w:p w14:paraId="469FFD6E" w14:textId="77777777" w:rsidR="007E5389" w:rsidRPr="00CD792B" w:rsidRDefault="007E5389" w:rsidP="00CD792B">
      <w:pPr>
        <w:pStyle w:val="KeyFinding"/>
        <w:keepNext/>
        <w:rPr>
          <w:b/>
          <w:color w:val="1F497D" w:themeColor="text2"/>
        </w:rPr>
      </w:pPr>
      <w:r w:rsidRPr="00CD792B">
        <w:rPr>
          <w:b/>
          <w:color w:val="1F497D" w:themeColor="text2"/>
        </w:rPr>
        <w:t>Key Finding 1</w:t>
      </w:r>
    </w:p>
    <w:p w14:paraId="02CA37E0" w14:textId="77777777" w:rsidR="007E5389" w:rsidRPr="00E1266C" w:rsidRDefault="007E5389" w:rsidP="00CD792B">
      <w:pPr>
        <w:pStyle w:val="KeyFinding"/>
      </w:pPr>
      <w:r w:rsidRPr="00E1266C">
        <w:t xml:space="preserve">A literature review and consultative process revealed that detailed information on the formal (i.e. theoretical) development of diagnosis level </w:t>
      </w:r>
      <w:r w:rsidRPr="003820F9">
        <w:t>(CCLs)</w:t>
      </w:r>
      <w:r w:rsidRPr="00E1266C">
        <w:t xml:space="preserve"> and episode level (</w:t>
      </w:r>
      <w:r w:rsidRPr="003820F9">
        <w:t>PCCLs)</w:t>
      </w:r>
      <w:r w:rsidRPr="00E1266C">
        <w:t xml:space="preserve"> case complexity measures was lacking.</w:t>
      </w:r>
    </w:p>
    <w:p w14:paraId="22CE2C26" w14:textId="77777777" w:rsidR="005B5818" w:rsidRDefault="005B5818" w:rsidP="00B60372">
      <w:pPr>
        <w:pStyle w:val="Heading3"/>
      </w:pPr>
      <w:bookmarkStart w:id="11" w:name="_Toc393276109"/>
      <w:bookmarkStart w:id="12" w:name="_Toc393288628"/>
      <w:bookmarkStart w:id="13" w:name="_Toc393299127"/>
      <w:bookmarkStart w:id="14" w:name="_Toc393356343"/>
      <w:bookmarkStart w:id="15" w:name="_Toc393368977"/>
      <w:bookmarkStart w:id="16" w:name="_Toc393369154"/>
      <w:bookmarkEnd w:id="11"/>
      <w:bookmarkEnd w:id="12"/>
      <w:bookmarkEnd w:id="13"/>
      <w:bookmarkEnd w:id="14"/>
      <w:bookmarkEnd w:id="15"/>
      <w:bookmarkEnd w:id="16"/>
      <w:r w:rsidRPr="0038015C">
        <w:lastRenderedPageBreak/>
        <w:t xml:space="preserve">Approaches to DRG development taken internationally to account for </w:t>
      </w:r>
      <w:r>
        <w:t>complications and comorbidities</w:t>
      </w:r>
      <w:r>
        <w:rPr>
          <w:rStyle w:val="FootnoteReference"/>
          <w:szCs w:val="28"/>
        </w:rPr>
        <w:footnoteReference w:id="9"/>
      </w:r>
    </w:p>
    <w:p w14:paraId="5A8061E2" w14:textId="77777777" w:rsidR="005B5818" w:rsidRPr="00B838FA" w:rsidRDefault="005B5818" w:rsidP="00B60372">
      <w:r w:rsidRPr="009D4942">
        <w:rPr>
          <w:szCs w:val="24"/>
          <w:lang w:val="en-AU"/>
        </w:rPr>
        <w:t xml:space="preserve">Identifying clinically homogeneous groups to better adjust for clinical complexity can be done in a variety of ways. Key differences are in how </w:t>
      </w:r>
      <w:proofErr w:type="spellStart"/>
      <w:r>
        <w:rPr>
          <w:szCs w:val="24"/>
          <w:lang w:val="en-AU"/>
        </w:rPr>
        <w:t>ADx</w:t>
      </w:r>
      <w:proofErr w:type="spellEnd"/>
      <w:r w:rsidRPr="009D4942">
        <w:rPr>
          <w:szCs w:val="24"/>
          <w:lang w:val="en-AU"/>
        </w:rPr>
        <w:t xml:space="preserve"> are used to modify the base grouping </w:t>
      </w:r>
      <w:r>
        <w:rPr>
          <w:szCs w:val="24"/>
          <w:lang w:val="en-AU"/>
        </w:rPr>
        <w:t>(or ADRGs)</w:t>
      </w:r>
      <w:r w:rsidRPr="009D4942">
        <w:rPr>
          <w:szCs w:val="24"/>
          <w:lang w:val="en-AU"/>
        </w:rPr>
        <w:t xml:space="preserve">, whether and how weighting of </w:t>
      </w:r>
      <w:proofErr w:type="spellStart"/>
      <w:r>
        <w:rPr>
          <w:szCs w:val="24"/>
          <w:lang w:val="en-AU"/>
        </w:rPr>
        <w:t>A</w:t>
      </w:r>
      <w:r w:rsidRPr="009D4942">
        <w:rPr>
          <w:szCs w:val="24"/>
          <w:lang w:val="en-AU"/>
        </w:rPr>
        <w:t>Dx</w:t>
      </w:r>
      <w:proofErr w:type="spellEnd"/>
      <w:r w:rsidRPr="009D4942">
        <w:rPr>
          <w:szCs w:val="24"/>
          <w:lang w:val="en-AU"/>
        </w:rPr>
        <w:t xml:space="preserve"> is undertaken, and whether and how any cumulative effects of multiple </w:t>
      </w:r>
      <w:proofErr w:type="spellStart"/>
      <w:r>
        <w:rPr>
          <w:szCs w:val="24"/>
          <w:lang w:val="en-AU"/>
        </w:rPr>
        <w:t>A</w:t>
      </w:r>
      <w:r w:rsidRPr="009D4942">
        <w:rPr>
          <w:szCs w:val="24"/>
          <w:lang w:val="en-AU"/>
        </w:rPr>
        <w:t>Dx</w:t>
      </w:r>
      <w:proofErr w:type="spellEnd"/>
      <w:r>
        <w:rPr>
          <w:szCs w:val="24"/>
          <w:lang w:val="en-AU"/>
        </w:rPr>
        <w:t xml:space="preserve"> are handled. These are described </w:t>
      </w:r>
      <w:r w:rsidRPr="009D4942">
        <w:rPr>
          <w:szCs w:val="24"/>
          <w:lang w:val="en-AU"/>
        </w:rPr>
        <w:t xml:space="preserve">for major </w:t>
      </w:r>
      <w:r>
        <w:rPr>
          <w:szCs w:val="24"/>
          <w:lang w:val="en-AU"/>
        </w:rPr>
        <w:t xml:space="preserve">international </w:t>
      </w:r>
      <w:r w:rsidRPr="009D4942">
        <w:rPr>
          <w:szCs w:val="24"/>
          <w:lang w:val="en-AU"/>
        </w:rPr>
        <w:t xml:space="preserve">systems </w:t>
      </w:r>
      <w:r>
        <w:rPr>
          <w:szCs w:val="24"/>
          <w:lang w:val="en-AU"/>
        </w:rPr>
        <w:t>below</w:t>
      </w:r>
      <w:r w:rsidRPr="00B838FA">
        <w:rPr>
          <w:szCs w:val="24"/>
        </w:rPr>
        <w:t>.</w:t>
      </w:r>
    </w:p>
    <w:p w14:paraId="0A37EECD" w14:textId="77777777" w:rsidR="005B5818" w:rsidRPr="00377B0A" w:rsidRDefault="005B5818" w:rsidP="00B60372">
      <w:pPr>
        <w:pStyle w:val="Heading4"/>
      </w:pPr>
      <w:r w:rsidRPr="00377B0A">
        <w:t>The United States</w:t>
      </w:r>
    </w:p>
    <w:p w14:paraId="1ED0DDD4" w14:textId="77777777" w:rsidR="005B5818" w:rsidRPr="009D4942" w:rsidRDefault="005B5818" w:rsidP="00B60372">
      <w:pPr>
        <w:rPr>
          <w:szCs w:val="24"/>
          <w:lang w:val="en-AU"/>
        </w:rPr>
      </w:pPr>
      <w:r w:rsidRPr="009D4942">
        <w:rPr>
          <w:szCs w:val="24"/>
          <w:lang w:val="en-AU"/>
        </w:rPr>
        <w:t>Initially, the Yale research team</w:t>
      </w:r>
      <w:r>
        <w:rPr>
          <w:szCs w:val="24"/>
          <w:lang w:val="en-AU"/>
        </w:rPr>
        <w:t xml:space="preserve"> (Fetter et al., 1991)</w:t>
      </w:r>
      <w:r w:rsidRPr="009D4942">
        <w:rPr>
          <w:szCs w:val="24"/>
          <w:lang w:val="en-AU"/>
        </w:rPr>
        <w:t xml:space="preserve"> convened clinical panels to assess whether </w:t>
      </w:r>
      <w:proofErr w:type="spellStart"/>
      <w:r>
        <w:rPr>
          <w:szCs w:val="24"/>
          <w:lang w:val="en-AU"/>
        </w:rPr>
        <w:t>A</w:t>
      </w:r>
      <w:r w:rsidRPr="009D4942">
        <w:rPr>
          <w:szCs w:val="24"/>
          <w:lang w:val="en-AU"/>
        </w:rPr>
        <w:t>Dx</w:t>
      </w:r>
      <w:proofErr w:type="spellEnd"/>
      <w:r w:rsidRPr="009D4942">
        <w:rPr>
          <w:szCs w:val="24"/>
          <w:lang w:val="en-AU"/>
        </w:rPr>
        <w:t xml:space="preserve"> codes with a particular </w:t>
      </w:r>
      <w:proofErr w:type="spellStart"/>
      <w:r>
        <w:rPr>
          <w:szCs w:val="24"/>
          <w:lang w:val="en-AU"/>
        </w:rPr>
        <w:t>PDx</w:t>
      </w:r>
      <w:proofErr w:type="spellEnd"/>
      <w:r>
        <w:rPr>
          <w:szCs w:val="24"/>
          <w:lang w:val="en-AU"/>
        </w:rPr>
        <w:t xml:space="preserve"> represented a substantial complication or co</w:t>
      </w:r>
      <w:r w:rsidRPr="009D4942">
        <w:rPr>
          <w:szCs w:val="24"/>
          <w:lang w:val="en-AU"/>
        </w:rPr>
        <w:t>morbidity, using the joint criteria that it would add at lea</w:t>
      </w:r>
      <w:r w:rsidR="00365566">
        <w:rPr>
          <w:szCs w:val="24"/>
          <w:lang w:val="en-AU"/>
        </w:rPr>
        <w:t>st 1 day of stay for at least 75 per</w:t>
      </w:r>
      <w:r w:rsidR="001E4BFF">
        <w:rPr>
          <w:szCs w:val="24"/>
          <w:lang w:val="en-AU"/>
        </w:rPr>
        <w:t xml:space="preserve"> cent</w:t>
      </w:r>
      <w:r w:rsidRPr="009D4942">
        <w:rPr>
          <w:szCs w:val="24"/>
          <w:lang w:val="en-AU"/>
        </w:rPr>
        <w:t xml:space="preserve"> of patients affected </w:t>
      </w:r>
      <w:r>
        <w:rPr>
          <w:szCs w:val="24"/>
          <w:lang w:val="en-AU"/>
        </w:rPr>
        <w:t>(</w:t>
      </w:r>
      <w:r w:rsidRPr="009D4942">
        <w:rPr>
          <w:szCs w:val="24"/>
          <w:lang w:val="en-AU"/>
        </w:rPr>
        <w:t>Averill, et al., 2008</w:t>
      </w:r>
      <w:r>
        <w:rPr>
          <w:szCs w:val="24"/>
          <w:lang w:val="en-AU"/>
        </w:rPr>
        <w:t>)</w:t>
      </w:r>
      <w:r w:rsidRPr="009D4942">
        <w:rPr>
          <w:szCs w:val="24"/>
          <w:lang w:val="en-AU"/>
        </w:rPr>
        <w:t xml:space="preserve">. Generic lists of complicating diagnoses were applied to most DRGs, but diagnoses closely related to the </w:t>
      </w:r>
      <w:proofErr w:type="spellStart"/>
      <w:r w:rsidRPr="009D4942">
        <w:rPr>
          <w:szCs w:val="24"/>
          <w:lang w:val="en-AU"/>
        </w:rPr>
        <w:t>PDx</w:t>
      </w:r>
      <w:proofErr w:type="spellEnd"/>
      <w:r w:rsidRPr="009D4942">
        <w:rPr>
          <w:szCs w:val="24"/>
          <w:lang w:val="en-AU"/>
        </w:rPr>
        <w:t xml:space="preserve"> were excluded for some DRGs. A set of ‘unrelated’ DRGs was created to account for patients whose in-hospital complications meant that they required surgery unrelated to the </w:t>
      </w:r>
      <w:proofErr w:type="spellStart"/>
      <w:r w:rsidRPr="009D4942">
        <w:rPr>
          <w:szCs w:val="24"/>
          <w:lang w:val="en-AU"/>
        </w:rPr>
        <w:t>PDx</w:t>
      </w:r>
      <w:proofErr w:type="spellEnd"/>
      <w:r w:rsidRPr="009D4942">
        <w:rPr>
          <w:szCs w:val="24"/>
          <w:lang w:val="en-AU"/>
        </w:rPr>
        <w:t>, or reason for admission.</w:t>
      </w:r>
    </w:p>
    <w:p w14:paraId="4DDAE010" w14:textId="77777777" w:rsidR="005B5818" w:rsidRPr="009D4942" w:rsidRDefault="005B5818" w:rsidP="00B60372">
      <w:pPr>
        <w:rPr>
          <w:szCs w:val="24"/>
          <w:lang w:val="en-AU"/>
        </w:rPr>
      </w:pPr>
      <w:r w:rsidRPr="009D4942">
        <w:rPr>
          <w:szCs w:val="24"/>
          <w:lang w:val="en-AU"/>
        </w:rPr>
        <w:t>Use of DRGs for US Medicare hospital payments in 1983 gave rise to intense research efforts to refin</w:t>
      </w:r>
      <w:r>
        <w:rPr>
          <w:szCs w:val="24"/>
          <w:lang w:val="en-AU"/>
        </w:rPr>
        <w:t>e definitions of complexity or severity</w:t>
      </w:r>
      <w:r w:rsidRPr="009D4942">
        <w:rPr>
          <w:szCs w:val="24"/>
          <w:lang w:val="en-AU"/>
        </w:rPr>
        <w:t xml:space="preserve">, including the Severity of Illness Index (SOI) </w:t>
      </w:r>
      <w:r>
        <w:rPr>
          <w:szCs w:val="24"/>
          <w:lang w:val="en-AU"/>
        </w:rPr>
        <w:t>(</w:t>
      </w:r>
      <w:r w:rsidRPr="009D4942">
        <w:rPr>
          <w:szCs w:val="24"/>
          <w:lang w:val="en-AU"/>
        </w:rPr>
        <w:t>Horn, et al., 1983; 1985</w:t>
      </w:r>
      <w:r>
        <w:rPr>
          <w:szCs w:val="24"/>
          <w:lang w:val="en-AU"/>
        </w:rPr>
        <w:t>)</w:t>
      </w:r>
      <w:r w:rsidRPr="009D4942">
        <w:rPr>
          <w:szCs w:val="24"/>
          <w:lang w:val="en-AU"/>
        </w:rPr>
        <w:t xml:space="preserve">; the Medical Illness Severity Grouping System (MEDISGRPS) </w:t>
      </w:r>
      <w:r>
        <w:rPr>
          <w:szCs w:val="24"/>
          <w:lang w:val="en-AU"/>
        </w:rPr>
        <w:t>(</w:t>
      </w:r>
      <w:r w:rsidRPr="009D4942">
        <w:rPr>
          <w:szCs w:val="24"/>
          <w:lang w:val="en-AU"/>
        </w:rPr>
        <w:t>Brewster, et al., 1985</w:t>
      </w:r>
      <w:r>
        <w:rPr>
          <w:szCs w:val="24"/>
          <w:lang w:val="en-AU"/>
        </w:rPr>
        <w:t>)</w:t>
      </w:r>
      <w:r w:rsidRPr="009D4942">
        <w:rPr>
          <w:szCs w:val="24"/>
          <w:lang w:val="en-AU"/>
        </w:rPr>
        <w:t xml:space="preserve">, and Disease Staging </w:t>
      </w:r>
      <w:r>
        <w:rPr>
          <w:szCs w:val="24"/>
          <w:lang w:val="en-AU"/>
        </w:rPr>
        <w:t>(</w:t>
      </w:r>
      <w:r w:rsidRPr="009D4942">
        <w:rPr>
          <w:szCs w:val="24"/>
          <w:lang w:val="en-AU"/>
        </w:rPr>
        <w:t>Gonnella, et al.1984</w:t>
      </w:r>
      <w:r>
        <w:rPr>
          <w:szCs w:val="24"/>
          <w:lang w:val="en-AU"/>
        </w:rPr>
        <w:t>)</w:t>
      </w:r>
      <w:r w:rsidRPr="009D4942">
        <w:rPr>
          <w:szCs w:val="24"/>
          <w:lang w:val="en-AU"/>
        </w:rPr>
        <w:t xml:space="preserve">, amongst others. Many required detailed chart review or additional data elements which were judged </w:t>
      </w:r>
      <w:r w:rsidR="00246C52">
        <w:rPr>
          <w:szCs w:val="24"/>
          <w:lang w:val="en-AU"/>
        </w:rPr>
        <w:t>as</w:t>
      </w:r>
      <w:r w:rsidRPr="009D4942">
        <w:rPr>
          <w:szCs w:val="24"/>
          <w:lang w:val="en-AU"/>
        </w:rPr>
        <w:t xml:space="preserve"> not feasible </w:t>
      </w:r>
      <w:r>
        <w:rPr>
          <w:szCs w:val="24"/>
          <w:lang w:val="en-AU"/>
        </w:rPr>
        <w:t>(</w:t>
      </w:r>
      <w:proofErr w:type="spellStart"/>
      <w:r w:rsidRPr="009D4942">
        <w:rPr>
          <w:szCs w:val="24"/>
          <w:lang w:val="en-AU"/>
        </w:rPr>
        <w:t>Gertman</w:t>
      </w:r>
      <w:proofErr w:type="spellEnd"/>
      <w:r w:rsidRPr="009D4942">
        <w:rPr>
          <w:szCs w:val="24"/>
          <w:lang w:val="en-AU"/>
        </w:rPr>
        <w:t xml:space="preserve"> &amp; Lowenstein, 1983; Smits, et al., 1983</w:t>
      </w:r>
      <w:r>
        <w:rPr>
          <w:szCs w:val="24"/>
          <w:lang w:val="en-AU"/>
        </w:rPr>
        <w:t>)</w:t>
      </w:r>
      <w:r w:rsidRPr="009D4942">
        <w:rPr>
          <w:szCs w:val="24"/>
          <w:lang w:val="en-AU"/>
        </w:rPr>
        <w:t xml:space="preserve">. A 1987 review of proposed refinements concluded ‘there is no available measure of severity of illness that would </w:t>
      </w:r>
      <w:r w:rsidRPr="009D4942">
        <w:rPr>
          <w:szCs w:val="24"/>
          <w:lang w:val="en-AU"/>
        </w:rPr>
        <w:lastRenderedPageBreak/>
        <w:t>produce a large improvement in the accuracy of Medicare payments…</w:t>
      </w:r>
      <w:r w:rsidR="006B44EE" w:rsidRPr="009D4942">
        <w:rPr>
          <w:szCs w:val="24"/>
          <w:lang w:val="en-AU"/>
        </w:rPr>
        <w:t>’</w:t>
      </w:r>
      <w:r w:rsidR="006B44EE">
        <w:rPr>
          <w:szCs w:val="24"/>
          <w:lang w:val="en-AU"/>
        </w:rPr>
        <w:t xml:space="preserve"> (</w:t>
      </w:r>
      <w:r w:rsidRPr="009D4942">
        <w:rPr>
          <w:szCs w:val="24"/>
          <w:lang w:val="en-AU"/>
        </w:rPr>
        <w:t>Jencks &amp; Dobson, 1987</w:t>
      </w:r>
      <w:r>
        <w:rPr>
          <w:szCs w:val="24"/>
          <w:lang w:val="en-AU"/>
        </w:rPr>
        <w:t>)</w:t>
      </w:r>
      <w:r w:rsidRPr="009D4942">
        <w:rPr>
          <w:szCs w:val="24"/>
          <w:lang w:val="en-AU"/>
        </w:rPr>
        <w:t>.</w:t>
      </w:r>
    </w:p>
    <w:p w14:paraId="60D29BAE" w14:textId="77777777" w:rsidR="005B5818" w:rsidRPr="009D4942" w:rsidRDefault="005B5818" w:rsidP="00B60372">
      <w:pPr>
        <w:rPr>
          <w:szCs w:val="24"/>
          <w:lang w:val="en-AU"/>
        </w:rPr>
      </w:pPr>
      <w:r w:rsidRPr="009D4942">
        <w:rPr>
          <w:szCs w:val="24"/>
          <w:lang w:val="en-AU"/>
        </w:rPr>
        <w:t xml:space="preserve">Outside the payment context, researchers also sought to predict how comorbidities might affect mortality outcomes. The </w:t>
      </w:r>
      <w:proofErr w:type="spellStart"/>
      <w:r w:rsidRPr="009D4942">
        <w:rPr>
          <w:szCs w:val="24"/>
          <w:lang w:val="en-AU"/>
        </w:rPr>
        <w:t>Charlson</w:t>
      </w:r>
      <w:proofErr w:type="spellEnd"/>
      <w:r w:rsidRPr="009D4942">
        <w:rPr>
          <w:szCs w:val="24"/>
          <w:lang w:val="en-AU"/>
        </w:rPr>
        <w:t xml:space="preserve"> Index </w:t>
      </w:r>
      <w:r>
        <w:rPr>
          <w:szCs w:val="24"/>
          <w:lang w:val="en-AU"/>
        </w:rPr>
        <w:t>(</w:t>
      </w:r>
      <w:proofErr w:type="spellStart"/>
      <w:r w:rsidRPr="009D4942">
        <w:rPr>
          <w:szCs w:val="24"/>
          <w:lang w:val="en-AU"/>
        </w:rPr>
        <w:t>Charlson</w:t>
      </w:r>
      <w:proofErr w:type="spellEnd"/>
      <w:r w:rsidRPr="009D4942">
        <w:rPr>
          <w:szCs w:val="24"/>
          <w:lang w:val="en-AU"/>
        </w:rPr>
        <w:t>, et al., 1987</w:t>
      </w:r>
      <w:r>
        <w:rPr>
          <w:szCs w:val="24"/>
          <w:lang w:val="en-AU"/>
        </w:rPr>
        <w:t>)</w:t>
      </w:r>
      <w:r w:rsidRPr="009D4942">
        <w:rPr>
          <w:szCs w:val="24"/>
          <w:lang w:val="en-AU"/>
        </w:rPr>
        <w:t xml:space="preserve"> was the first of these, later expanded by </w:t>
      </w:r>
      <w:proofErr w:type="spellStart"/>
      <w:r w:rsidRPr="009D4942">
        <w:rPr>
          <w:szCs w:val="24"/>
          <w:lang w:val="en-AU"/>
        </w:rPr>
        <w:t>Elixhauser</w:t>
      </w:r>
      <w:proofErr w:type="spellEnd"/>
      <w:r w:rsidRPr="009D4942">
        <w:rPr>
          <w:szCs w:val="24"/>
          <w:lang w:val="en-AU"/>
        </w:rPr>
        <w:t xml:space="preserve">, et al. </w:t>
      </w:r>
      <w:r>
        <w:rPr>
          <w:szCs w:val="24"/>
          <w:lang w:val="en-AU"/>
        </w:rPr>
        <w:t>(</w:t>
      </w:r>
      <w:r w:rsidRPr="009D4942">
        <w:rPr>
          <w:szCs w:val="24"/>
          <w:lang w:val="en-AU"/>
        </w:rPr>
        <w:t>1998</w:t>
      </w:r>
      <w:r>
        <w:rPr>
          <w:szCs w:val="24"/>
          <w:lang w:val="en-AU"/>
        </w:rPr>
        <w:t>)</w:t>
      </w:r>
      <w:r w:rsidRPr="009D4942">
        <w:rPr>
          <w:szCs w:val="24"/>
          <w:lang w:val="en-AU"/>
        </w:rPr>
        <w:t xml:space="preserve">, and tested on other hospitalisation outcomes including </w:t>
      </w:r>
      <w:r>
        <w:rPr>
          <w:szCs w:val="24"/>
          <w:lang w:val="en-AU"/>
        </w:rPr>
        <w:t>acute admitted</w:t>
      </w:r>
      <w:r w:rsidRPr="009D4942">
        <w:rPr>
          <w:szCs w:val="24"/>
          <w:lang w:val="en-AU"/>
        </w:rPr>
        <w:t xml:space="preserve"> costs and </w:t>
      </w:r>
      <w:r>
        <w:rPr>
          <w:szCs w:val="24"/>
          <w:lang w:val="en-AU"/>
        </w:rPr>
        <w:t xml:space="preserve">LOS. Quan, et al. (2005) </w:t>
      </w:r>
      <w:r w:rsidRPr="009D4942">
        <w:rPr>
          <w:szCs w:val="24"/>
          <w:lang w:val="en-AU"/>
        </w:rPr>
        <w:t xml:space="preserve">translated both algorithms into ICD-10. Both </w:t>
      </w:r>
      <w:proofErr w:type="spellStart"/>
      <w:r w:rsidRPr="009D4942">
        <w:rPr>
          <w:szCs w:val="24"/>
          <w:lang w:val="en-AU"/>
        </w:rPr>
        <w:t>Charlson</w:t>
      </w:r>
      <w:proofErr w:type="spellEnd"/>
      <w:r w:rsidRPr="009D4942">
        <w:rPr>
          <w:szCs w:val="24"/>
          <w:lang w:val="en-AU"/>
        </w:rPr>
        <w:t xml:space="preserve"> and </w:t>
      </w:r>
      <w:proofErr w:type="spellStart"/>
      <w:r w:rsidRPr="009D4942">
        <w:rPr>
          <w:szCs w:val="24"/>
          <w:lang w:val="en-AU"/>
        </w:rPr>
        <w:t>Elixhauser</w:t>
      </w:r>
      <w:proofErr w:type="spellEnd"/>
      <w:r w:rsidRPr="009D4942">
        <w:rPr>
          <w:szCs w:val="24"/>
          <w:lang w:val="en-AU"/>
        </w:rPr>
        <w:t xml:space="preserve"> (and their variants) identify a limited set of high-prevalence or high severity conditions, with weights derived from regression analysis on mortality or other outcomes. They have been used extensively as surrogates for </w:t>
      </w:r>
      <w:r>
        <w:rPr>
          <w:szCs w:val="24"/>
          <w:lang w:val="en-AU"/>
        </w:rPr>
        <w:t>acute admitted episode</w:t>
      </w:r>
      <w:r w:rsidRPr="009D4942">
        <w:rPr>
          <w:szCs w:val="24"/>
          <w:lang w:val="en-AU"/>
        </w:rPr>
        <w:t xml:space="preserve"> complexity, with and without DRG adjustment.</w:t>
      </w:r>
    </w:p>
    <w:p w14:paraId="0AAB4233" w14:textId="77777777" w:rsidR="005B5818" w:rsidRPr="009D4942" w:rsidRDefault="005B5818" w:rsidP="00B60372">
      <w:pPr>
        <w:rPr>
          <w:szCs w:val="24"/>
          <w:lang w:val="en-AU"/>
        </w:rPr>
      </w:pPr>
      <w:r w:rsidRPr="009D4942">
        <w:rPr>
          <w:szCs w:val="24"/>
          <w:lang w:val="en-AU"/>
        </w:rPr>
        <w:t>Recent UK research has shown that relative weights for these indices may have to be recalibrated for each hospital system because of coding conventions or system-specific clinical patterns (use of high cost drugs or imaging modalities, ICU ca</w:t>
      </w:r>
      <w:r>
        <w:rPr>
          <w:szCs w:val="24"/>
          <w:lang w:val="en-AU"/>
        </w:rPr>
        <w:t xml:space="preserve">pacity, etc.) (Bottle, &amp; Aylin, </w:t>
      </w:r>
      <w:r w:rsidRPr="009D4942">
        <w:rPr>
          <w:szCs w:val="24"/>
          <w:lang w:val="en-AU"/>
        </w:rPr>
        <w:t>2011</w:t>
      </w:r>
      <w:r>
        <w:rPr>
          <w:szCs w:val="24"/>
          <w:lang w:val="en-AU"/>
        </w:rPr>
        <w:t>)</w:t>
      </w:r>
      <w:r w:rsidRPr="009D4942">
        <w:rPr>
          <w:szCs w:val="24"/>
          <w:lang w:val="en-AU"/>
        </w:rPr>
        <w:t xml:space="preserve">. Application to AR DRG-grouped data in Australia has shown the </w:t>
      </w:r>
      <w:proofErr w:type="spellStart"/>
      <w:r w:rsidRPr="009D4942">
        <w:rPr>
          <w:szCs w:val="24"/>
          <w:lang w:val="en-AU"/>
        </w:rPr>
        <w:t>Charlson</w:t>
      </w:r>
      <w:proofErr w:type="spellEnd"/>
      <w:r w:rsidRPr="009D4942">
        <w:rPr>
          <w:szCs w:val="24"/>
          <w:lang w:val="en-AU"/>
        </w:rPr>
        <w:t xml:space="preserve"> weights add little explanatory power </w:t>
      </w:r>
      <w:r>
        <w:rPr>
          <w:szCs w:val="24"/>
          <w:lang w:val="en-AU"/>
        </w:rPr>
        <w:t>(</w:t>
      </w:r>
      <w:r w:rsidRPr="009D4942">
        <w:rPr>
          <w:szCs w:val="24"/>
          <w:lang w:val="en-AU"/>
        </w:rPr>
        <w:t>Jackson, et al., 2011</w:t>
      </w:r>
      <w:r>
        <w:rPr>
          <w:szCs w:val="24"/>
          <w:lang w:val="en-AU"/>
        </w:rPr>
        <w:t>)</w:t>
      </w:r>
      <w:r w:rsidRPr="009D4942">
        <w:rPr>
          <w:szCs w:val="24"/>
          <w:lang w:val="en-AU"/>
        </w:rPr>
        <w:t>.</w:t>
      </w:r>
    </w:p>
    <w:p w14:paraId="671745CA" w14:textId="77777777" w:rsidR="005B5818" w:rsidRPr="009D4942" w:rsidRDefault="005B5818" w:rsidP="00B60372">
      <w:pPr>
        <w:rPr>
          <w:szCs w:val="24"/>
          <w:lang w:val="en-AU"/>
        </w:rPr>
      </w:pPr>
      <w:r w:rsidRPr="009D4942">
        <w:rPr>
          <w:szCs w:val="24"/>
          <w:lang w:val="en-AU"/>
        </w:rPr>
        <w:t>Subsequent development</w:t>
      </w:r>
      <w:r>
        <w:rPr>
          <w:szCs w:val="24"/>
          <w:lang w:val="en-AU"/>
        </w:rPr>
        <w:t>s</w:t>
      </w:r>
      <w:r w:rsidRPr="009D4942">
        <w:rPr>
          <w:szCs w:val="24"/>
          <w:lang w:val="en-AU"/>
        </w:rPr>
        <w:t xml:space="preserve"> produced a hierarchical schema of </w:t>
      </w:r>
      <w:proofErr w:type="spellStart"/>
      <w:r>
        <w:rPr>
          <w:szCs w:val="24"/>
          <w:lang w:val="en-AU"/>
        </w:rPr>
        <w:t>A</w:t>
      </w:r>
      <w:r w:rsidRPr="009D4942">
        <w:rPr>
          <w:szCs w:val="24"/>
          <w:lang w:val="en-AU"/>
        </w:rPr>
        <w:t>Dx</w:t>
      </w:r>
      <w:proofErr w:type="spellEnd"/>
      <w:r w:rsidRPr="009D4942">
        <w:rPr>
          <w:szCs w:val="24"/>
          <w:lang w:val="en-AU"/>
        </w:rPr>
        <w:t xml:space="preserve"> to modify DRG assignment with 3 or 4 </w:t>
      </w:r>
      <w:r>
        <w:rPr>
          <w:szCs w:val="24"/>
          <w:lang w:val="en-AU"/>
        </w:rPr>
        <w:t>case complexity</w:t>
      </w:r>
      <w:r w:rsidRPr="009D4942">
        <w:rPr>
          <w:szCs w:val="24"/>
          <w:lang w:val="en-AU"/>
        </w:rPr>
        <w:t xml:space="preserve"> levels in many DRGs. In 2008, with the introduction of Medicare Severity DRGs (MS DRGs), these complication and comorbidity lists were reduced to lessen the impact on the classification of stable chronic condit</w:t>
      </w:r>
      <w:r>
        <w:rPr>
          <w:szCs w:val="24"/>
          <w:lang w:val="en-AU"/>
        </w:rPr>
        <w:t>ions, retaining only codes for ‘</w:t>
      </w:r>
      <w:r w:rsidRPr="009D4942">
        <w:rPr>
          <w:szCs w:val="24"/>
          <w:lang w:val="en-AU"/>
        </w:rPr>
        <w:t>s</w:t>
      </w:r>
      <w:r>
        <w:rPr>
          <w:szCs w:val="24"/>
          <w:lang w:val="en-AU"/>
        </w:rPr>
        <w:t>ignificant acute manifestations’</w:t>
      </w:r>
      <w:r w:rsidRPr="009D4942">
        <w:rPr>
          <w:szCs w:val="24"/>
          <w:lang w:val="en-AU"/>
        </w:rPr>
        <w:t xml:space="preserve"> of such conditions </w:t>
      </w:r>
      <w:r>
        <w:rPr>
          <w:szCs w:val="24"/>
          <w:lang w:val="en-AU"/>
        </w:rPr>
        <w:t>(</w:t>
      </w:r>
      <w:r w:rsidRPr="009D4942">
        <w:rPr>
          <w:szCs w:val="24"/>
          <w:lang w:val="en-AU"/>
        </w:rPr>
        <w:t>Averill, et al., 2008</w:t>
      </w:r>
      <w:r>
        <w:rPr>
          <w:szCs w:val="24"/>
          <w:lang w:val="en-AU"/>
        </w:rPr>
        <w:t>)</w:t>
      </w:r>
      <w:r w:rsidRPr="009D4942">
        <w:rPr>
          <w:szCs w:val="24"/>
          <w:lang w:val="en-AU"/>
        </w:rPr>
        <w:t>.</w:t>
      </w:r>
    </w:p>
    <w:p w14:paraId="02DD371F" w14:textId="77777777" w:rsidR="005B5818" w:rsidRPr="00C855E3" w:rsidRDefault="005B5818" w:rsidP="00B60372">
      <w:pPr>
        <w:pStyle w:val="Heading4"/>
      </w:pPr>
      <w:r w:rsidRPr="00C855E3">
        <w:t>Germany</w:t>
      </w:r>
    </w:p>
    <w:p w14:paraId="7B98407A" w14:textId="77777777" w:rsidR="005B5818" w:rsidRPr="009D4942" w:rsidRDefault="005B5818" w:rsidP="00B60372">
      <w:pPr>
        <w:rPr>
          <w:szCs w:val="24"/>
          <w:lang w:val="en-AU"/>
        </w:rPr>
      </w:pPr>
      <w:r w:rsidRPr="009D4942">
        <w:rPr>
          <w:szCs w:val="24"/>
          <w:lang w:val="en-AU"/>
        </w:rPr>
        <w:t xml:space="preserve">The German health care system adopted DRGs for hospital payment in 2003, basing their initial classification system on AR-DRGs. End classes were initially modelled on the Australian clinical complexity levels, but as local refinements were introduced, the initial 661 classes grew to 1137 by 2008 </w:t>
      </w:r>
      <w:r>
        <w:rPr>
          <w:szCs w:val="24"/>
          <w:lang w:val="en-AU"/>
        </w:rPr>
        <w:t>(</w:t>
      </w:r>
      <w:r w:rsidRPr="009D4942">
        <w:rPr>
          <w:szCs w:val="24"/>
          <w:lang w:val="en-AU"/>
        </w:rPr>
        <w:t>Kalman &amp; McCarthy, 2007</w:t>
      </w:r>
      <w:r>
        <w:rPr>
          <w:szCs w:val="24"/>
          <w:lang w:val="en-AU"/>
        </w:rPr>
        <w:t>)</w:t>
      </w:r>
      <w:r w:rsidRPr="009D4942">
        <w:rPr>
          <w:szCs w:val="24"/>
          <w:lang w:val="en-AU"/>
        </w:rPr>
        <w:t xml:space="preserve">. By 2011, the 1200 </w:t>
      </w:r>
      <w:r>
        <w:rPr>
          <w:szCs w:val="24"/>
          <w:lang w:val="en-AU"/>
        </w:rPr>
        <w:t>German DRGs (</w:t>
      </w:r>
      <w:r w:rsidRPr="009D4942">
        <w:rPr>
          <w:szCs w:val="24"/>
          <w:lang w:val="en-AU"/>
        </w:rPr>
        <w:t>GDRGs</w:t>
      </w:r>
      <w:r>
        <w:rPr>
          <w:szCs w:val="24"/>
          <w:lang w:val="en-AU"/>
        </w:rPr>
        <w:t>)</w:t>
      </w:r>
      <w:r w:rsidRPr="009D4942">
        <w:rPr>
          <w:szCs w:val="24"/>
          <w:lang w:val="en-AU"/>
        </w:rPr>
        <w:t xml:space="preserve"> comprised 594 base DRGs with up to 9 complexity levels </w:t>
      </w:r>
      <w:r>
        <w:rPr>
          <w:szCs w:val="24"/>
          <w:lang w:val="en-AU"/>
        </w:rPr>
        <w:t>(</w:t>
      </w:r>
      <w:r w:rsidRPr="009D4942">
        <w:rPr>
          <w:szCs w:val="24"/>
          <w:lang w:val="en-AU"/>
        </w:rPr>
        <w:t>Geissler, et al., 2011</w:t>
      </w:r>
      <w:r>
        <w:rPr>
          <w:szCs w:val="24"/>
          <w:lang w:val="en-AU"/>
        </w:rPr>
        <w:t>)</w:t>
      </w:r>
      <w:r w:rsidRPr="009D4942">
        <w:rPr>
          <w:szCs w:val="24"/>
          <w:lang w:val="en-AU"/>
        </w:rPr>
        <w:t xml:space="preserve">. More than </w:t>
      </w:r>
      <w:r w:rsidR="00E1212F">
        <w:rPr>
          <w:szCs w:val="24"/>
          <w:lang w:val="en-AU"/>
        </w:rPr>
        <w:t>two thirds</w:t>
      </w:r>
      <w:r w:rsidRPr="009D4942">
        <w:rPr>
          <w:szCs w:val="24"/>
          <w:lang w:val="en-AU"/>
        </w:rPr>
        <w:t xml:space="preserve"> of the end classes represent splits based on combinations of </w:t>
      </w:r>
      <w:proofErr w:type="spellStart"/>
      <w:r>
        <w:rPr>
          <w:szCs w:val="24"/>
          <w:lang w:val="en-AU"/>
        </w:rPr>
        <w:t>A</w:t>
      </w:r>
      <w:r w:rsidRPr="009D4942">
        <w:rPr>
          <w:szCs w:val="24"/>
          <w:lang w:val="en-AU"/>
        </w:rPr>
        <w:t>Dx</w:t>
      </w:r>
      <w:proofErr w:type="spellEnd"/>
      <w:r w:rsidRPr="009D4942">
        <w:rPr>
          <w:szCs w:val="24"/>
          <w:lang w:val="en-AU"/>
        </w:rPr>
        <w:t xml:space="preserve"> and patient age.</w:t>
      </w:r>
    </w:p>
    <w:p w14:paraId="1AEE8C93" w14:textId="77777777" w:rsidR="005B5818" w:rsidRPr="00C855E3" w:rsidRDefault="005B5818" w:rsidP="00B60372">
      <w:pPr>
        <w:pStyle w:val="Heading4"/>
      </w:pPr>
      <w:r w:rsidRPr="00C855E3">
        <w:lastRenderedPageBreak/>
        <w:t>France</w:t>
      </w:r>
    </w:p>
    <w:p w14:paraId="4C939E5F" w14:textId="77777777" w:rsidR="005B5818" w:rsidRPr="009D4942" w:rsidRDefault="005B5818" w:rsidP="00B60372">
      <w:pPr>
        <w:rPr>
          <w:szCs w:val="24"/>
          <w:lang w:val="en-AU"/>
        </w:rPr>
      </w:pPr>
      <w:r w:rsidRPr="009D4942">
        <w:rPr>
          <w:szCs w:val="24"/>
          <w:lang w:val="en-AU"/>
        </w:rPr>
        <w:t xml:space="preserve">France’s </w:t>
      </w:r>
      <w:proofErr w:type="spellStart"/>
      <w:r w:rsidRPr="00BF5415">
        <w:rPr>
          <w:szCs w:val="24"/>
          <w:lang w:val="en-AU"/>
        </w:rPr>
        <w:t>Groupes</w:t>
      </w:r>
      <w:proofErr w:type="spellEnd"/>
      <w:r w:rsidRPr="00BF5415">
        <w:rPr>
          <w:szCs w:val="24"/>
          <w:lang w:val="en-AU"/>
        </w:rPr>
        <w:t xml:space="preserve"> </w:t>
      </w:r>
      <w:proofErr w:type="spellStart"/>
      <w:r w:rsidRPr="00BF5415">
        <w:rPr>
          <w:szCs w:val="24"/>
          <w:lang w:val="en-AU"/>
        </w:rPr>
        <w:t>Homogene</w:t>
      </w:r>
      <w:proofErr w:type="spellEnd"/>
      <w:r w:rsidRPr="00BF5415">
        <w:rPr>
          <w:szCs w:val="24"/>
          <w:lang w:val="en-AU"/>
        </w:rPr>
        <w:t xml:space="preserve"> Medical </w:t>
      </w:r>
      <w:r>
        <w:rPr>
          <w:szCs w:val="24"/>
          <w:lang w:val="en-AU"/>
        </w:rPr>
        <w:t>(</w:t>
      </w:r>
      <w:r w:rsidRPr="009D4942">
        <w:rPr>
          <w:szCs w:val="24"/>
          <w:lang w:val="en-AU"/>
        </w:rPr>
        <w:t>GHM</w:t>
      </w:r>
      <w:r>
        <w:rPr>
          <w:szCs w:val="24"/>
          <w:lang w:val="en-AU"/>
        </w:rPr>
        <w:t>)</w:t>
      </w:r>
      <w:r w:rsidRPr="009D4942">
        <w:rPr>
          <w:szCs w:val="24"/>
          <w:lang w:val="en-AU"/>
        </w:rPr>
        <w:t xml:space="preserve"> classification development closely followed the US path, with simple without/with/severe CC splits. Version 11, however, entailed a major reconsideration of complexity adjustment, splitting most GHMs into four complexity levels and yielding some 2,300 end classes </w:t>
      </w:r>
      <w:r>
        <w:rPr>
          <w:szCs w:val="24"/>
          <w:lang w:val="en-AU"/>
        </w:rPr>
        <w:t>(</w:t>
      </w:r>
      <w:proofErr w:type="spellStart"/>
      <w:r w:rsidRPr="009D4942">
        <w:rPr>
          <w:szCs w:val="24"/>
          <w:lang w:val="en-AU"/>
        </w:rPr>
        <w:t>Patris</w:t>
      </w:r>
      <w:proofErr w:type="spellEnd"/>
      <w:r w:rsidRPr="009D4942">
        <w:rPr>
          <w:szCs w:val="24"/>
          <w:lang w:val="en-AU"/>
        </w:rPr>
        <w:t>, et al., 2008</w:t>
      </w:r>
      <w:r>
        <w:rPr>
          <w:szCs w:val="24"/>
          <w:lang w:val="en-AU"/>
        </w:rPr>
        <w:t>)</w:t>
      </w:r>
      <w:r w:rsidRPr="009D4942">
        <w:rPr>
          <w:szCs w:val="24"/>
          <w:lang w:val="en-AU"/>
        </w:rPr>
        <w:t>.</w:t>
      </w:r>
    </w:p>
    <w:p w14:paraId="562F7A7A" w14:textId="77777777" w:rsidR="005B5818" w:rsidRPr="009D4942" w:rsidRDefault="005B5818" w:rsidP="00B60372">
      <w:pPr>
        <w:rPr>
          <w:szCs w:val="24"/>
          <w:lang w:val="en-AU"/>
        </w:rPr>
      </w:pPr>
      <w:r w:rsidRPr="009D4942">
        <w:rPr>
          <w:szCs w:val="24"/>
          <w:lang w:val="en-AU"/>
        </w:rPr>
        <w:t xml:space="preserve">In this revision, exclusion criteria were determined for groups of ICD codes, yielding 5 million pairs of ICD codes for exclusion. Lists of included </w:t>
      </w:r>
      <w:proofErr w:type="spellStart"/>
      <w:r>
        <w:rPr>
          <w:szCs w:val="24"/>
          <w:lang w:val="en-AU"/>
        </w:rPr>
        <w:t>A</w:t>
      </w:r>
      <w:r w:rsidRPr="009D4942">
        <w:rPr>
          <w:szCs w:val="24"/>
          <w:lang w:val="en-AU"/>
        </w:rPr>
        <w:t>Dx</w:t>
      </w:r>
      <w:proofErr w:type="spellEnd"/>
      <w:r w:rsidRPr="009D4942">
        <w:rPr>
          <w:szCs w:val="24"/>
          <w:lang w:val="en-AU"/>
        </w:rPr>
        <w:t xml:space="preserve"> CCs were determined for each base GHM using iterative analysis of average LOS (ALOS) effects starting with the </w:t>
      </w:r>
      <w:proofErr w:type="spellStart"/>
      <w:r>
        <w:rPr>
          <w:szCs w:val="24"/>
          <w:lang w:val="en-AU"/>
        </w:rPr>
        <w:t>A</w:t>
      </w:r>
      <w:r w:rsidRPr="009D4942">
        <w:rPr>
          <w:szCs w:val="24"/>
          <w:lang w:val="en-AU"/>
        </w:rPr>
        <w:t>Dx</w:t>
      </w:r>
      <w:proofErr w:type="spellEnd"/>
      <w:r w:rsidRPr="009D4942">
        <w:rPr>
          <w:szCs w:val="24"/>
          <w:lang w:val="en-AU"/>
        </w:rPr>
        <w:t xml:space="preserve"> with the greatest effect (the so-called ‘isolated effect’), and successively adding </w:t>
      </w:r>
      <w:proofErr w:type="spellStart"/>
      <w:r>
        <w:rPr>
          <w:szCs w:val="24"/>
          <w:lang w:val="en-AU"/>
        </w:rPr>
        <w:t>A</w:t>
      </w:r>
      <w:r w:rsidRPr="009D4942">
        <w:rPr>
          <w:szCs w:val="24"/>
          <w:lang w:val="en-AU"/>
        </w:rPr>
        <w:t>Dx</w:t>
      </w:r>
      <w:proofErr w:type="spellEnd"/>
      <w:r w:rsidRPr="009D4942">
        <w:rPr>
          <w:szCs w:val="24"/>
          <w:lang w:val="en-AU"/>
        </w:rPr>
        <w:t xml:space="preserve"> until no additional explanatory power remained. CC lists were then trimmed </w:t>
      </w:r>
      <w:r>
        <w:rPr>
          <w:szCs w:val="24"/>
          <w:lang w:val="en-AU"/>
        </w:rPr>
        <w:t>using LOS criteria.</w:t>
      </w:r>
    </w:p>
    <w:p w14:paraId="767A7D99" w14:textId="77777777" w:rsidR="005B5818" w:rsidRPr="00C855E3" w:rsidRDefault="005B5818" w:rsidP="00B60372">
      <w:pPr>
        <w:pStyle w:val="Heading4"/>
      </w:pPr>
      <w:r w:rsidRPr="00C855E3">
        <w:t>Canada</w:t>
      </w:r>
    </w:p>
    <w:p w14:paraId="54314A45" w14:textId="77777777" w:rsidR="005B5818" w:rsidRPr="009D4942" w:rsidRDefault="005B5818" w:rsidP="00B60372">
      <w:pPr>
        <w:rPr>
          <w:szCs w:val="24"/>
          <w:lang w:val="en-AU"/>
        </w:rPr>
      </w:pPr>
      <w:r w:rsidRPr="009D4942">
        <w:rPr>
          <w:szCs w:val="24"/>
          <w:lang w:val="en-AU"/>
        </w:rPr>
        <w:t xml:space="preserve">Canada’s classification development took a different direction, striving for maximum risk adjustment, regardless of the number of end classes. Their </w:t>
      </w:r>
      <w:proofErr w:type="spellStart"/>
      <w:r>
        <w:rPr>
          <w:szCs w:val="24"/>
          <w:lang w:val="en-AU"/>
        </w:rPr>
        <w:t>Casemix</w:t>
      </w:r>
      <w:proofErr w:type="spellEnd"/>
      <w:r>
        <w:rPr>
          <w:szCs w:val="24"/>
          <w:lang w:val="en-AU"/>
        </w:rPr>
        <w:t xml:space="preserve"> Group Plus (</w:t>
      </w:r>
      <w:r w:rsidRPr="009D4942">
        <w:rPr>
          <w:szCs w:val="24"/>
          <w:lang w:val="en-AU"/>
        </w:rPr>
        <w:t>CMG+</w:t>
      </w:r>
      <w:r>
        <w:rPr>
          <w:szCs w:val="24"/>
          <w:lang w:val="en-AU"/>
        </w:rPr>
        <w:t>)</w:t>
      </w:r>
      <w:r w:rsidRPr="009D4942">
        <w:rPr>
          <w:szCs w:val="24"/>
          <w:lang w:val="en-AU"/>
        </w:rPr>
        <w:t xml:space="preserve"> system uses a range of factors weighted by regression coefficients (the extent to which each variable independently explains additional costs in a case) applied as adjusters to base </w:t>
      </w:r>
      <w:proofErr w:type="spellStart"/>
      <w:r w:rsidRPr="009D4942">
        <w:rPr>
          <w:szCs w:val="24"/>
          <w:lang w:val="en-AU"/>
        </w:rPr>
        <w:t>casemix</w:t>
      </w:r>
      <w:proofErr w:type="spellEnd"/>
      <w:r w:rsidRPr="009D4942">
        <w:rPr>
          <w:szCs w:val="24"/>
          <w:lang w:val="en-AU"/>
        </w:rPr>
        <w:t xml:space="preserve"> groups. In effect, coded patient separations are grouped into overlapping matrices by age cohorts, by 5 comorbidity levels, and by whether or not particular interventions (e.g. mechanical ventilation, return to theatre) were involved in their treatment. This results in a classification with thousands of end cells</w:t>
      </w:r>
      <w:r>
        <w:rPr>
          <w:szCs w:val="24"/>
          <w:lang w:val="en-AU"/>
        </w:rPr>
        <w:t>.</w:t>
      </w:r>
    </w:p>
    <w:p w14:paraId="01FB244B" w14:textId="77777777" w:rsidR="005B5818" w:rsidRPr="00C855E3" w:rsidRDefault="005B5818" w:rsidP="00B60372">
      <w:pPr>
        <w:pStyle w:val="Heading4"/>
      </w:pPr>
      <w:r w:rsidRPr="00C855E3">
        <w:t xml:space="preserve">England </w:t>
      </w:r>
    </w:p>
    <w:p w14:paraId="1AAC01F4" w14:textId="77777777" w:rsidR="005B5818" w:rsidRPr="009D4942" w:rsidRDefault="005B5818" w:rsidP="00B60372">
      <w:pPr>
        <w:rPr>
          <w:szCs w:val="24"/>
          <w:lang w:val="en-AU"/>
        </w:rPr>
      </w:pPr>
      <w:r w:rsidRPr="009D4942">
        <w:rPr>
          <w:szCs w:val="24"/>
          <w:lang w:val="en-AU"/>
        </w:rPr>
        <w:t xml:space="preserve">The Health Resource Groups </w:t>
      </w:r>
      <w:r>
        <w:rPr>
          <w:szCs w:val="24"/>
          <w:lang w:val="en-AU"/>
        </w:rPr>
        <w:t xml:space="preserve">(HRG) </w:t>
      </w:r>
      <w:r w:rsidRPr="009D4942">
        <w:rPr>
          <w:szCs w:val="24"/>
          <w:lang w:val="en-AU"/>
        </w:rPr>
        <w:t>system</w:t>
      </w:r>
      <w:r>
        <w:rPr>
          <w:szCs w:val="24"/>
          <w:lang w:val="en-AU"/>
        </w:rPr>
        <w:t xml:space="preserve"> is used in England. </w:t>
      </w:r>
      <w:r w:rsidRPr="009D4942">
        <w:rPr>
          <w:szCs w:val="24"/>
          <w:lang w:val="en-AU"/>
        </w:rPr>
        <w:t xml:space="preserve">In terms of complexity adjustment of the base HRG, three levels are employed (without CC, intermediate CCs, and major CCs). </w:t>
      </w:r>
      <w:r>
        <w:rPr>
          <w:szCs w:val="24"/>
          <w:lang w:val="en-AU"/>
        </w:rPr>
        <w:t>Intervention</w:t>
      </w:r>
      <w:r w:rsidRPr="009D4942">
        <w:rPr>
          <w:szCs w:val="24"/>
          <w:lang w:val="en-AU"/>
        </w:rPr>
        <w:t xml:space="preserve"> complexity also drives HRG assignment, with 11 complexity ‘bands’ into which principal </w:t>
      </w:r>
      <w:r>
        <w:rPr>
          <w:szCs w:val="24"/>
          <w:lang w:val="en-AU"/>
        </w:rPr>
        <w:t>interventions</w:t>
      </w:r>
      <w:r w:rsidRPr="009D4942">
        <w:rPr>
          <w:szCs w:val="24"/>
          <w:lang w:val="en-AU"/>
        </w:rPr>
        <w:t xml:space="preserve"> can be assigned, and secondary </w:t>
      </w:r>
      <w:r>
        <w:rPr>
          <w:szCs w:val="24"/>
          <w:lang w:val="en-AU"/>
        </w:rPr>
        <w:t>interventions</w:t>
      </w:r>
      <w:r w:rsidRPr="009D4942">
        <w:rPr>
          <w:szCs w:val="24"/>
          <w:lang w:val="en-AU"/>
        </w:rPr>
        <w:t xml:space="preserve"> included in CC lists for some HRGs.</w:t>
      </w:r>
    </w:p>
    <w:p w14:paraId="53D3A3AA" w14:textId="77777777" w:rsidR="005B5818" w:rsidRPr="00C855E3" w:rsidRDefault="005B5818" w:rsidP="00B60372">
      <w:pPr>
        <w:pStyle w:val="Heading4"/>
      </w:pPr>
      <w:r w:rsidRPr="00C855E3">
        <w:lastRenderedPageBreak/>
        <w:t>Other</w:t>
      </w:r>
    </w:p>
    <w:p w14:paraId="793AA02C" w14:textId="77777777" w:rsidR="005B5818" w:rsidRDefault="005B5818" w:rsidP="00B60372">
      <w:pPr>
        <w:rPr>
          <w:szCs w:val="24"/>
        </w:rPr>
      </w:pPr>
      <w:r w:rsidRPr="009D4942">
        <w:rPr>
          <w:szCs w:val="24"/>
          <w:lang w:val="en-AU"/>
        </w:rPr>
        <w:t xml:space="preserve">Many countries have adopted or adapted </w:t>
      </w:r>
      <w:proofErr w:type="spellStart"/>
      <w:r w:rsidRPr="009D4942">
        <w:rPr>
          <w:szCs w:val="24"/>
          <w:lang w:val="en-AU"/>
        </w:rPr>
        <w:t>casemix</w:t>
      </w:r>
      <w:proofErr w:type="spellEnd"/>
      <w:r w:rsidRPr="009D4942">
        <w:rPr>
          <w:szCs w:val="24"/>
          <w:lang w:val="en-AU"/>
        </w:rPr>
        <w:t xml:space="preserve"> classifications from these early systems. </w:t>
      </w:r>
      <w:proofErr w:type="spellStart"/>
      <w:r w:rsidRPr="00EF789F">
        <w:rPr>
          <w:szCs w:val="24"/>
          <w:lang w:val="en-AU"/>
        </w:rPr>
        <w:t>NordDRGs</w:t>
      </w:r>
      <w:proofErr w:type="spellEnd"/>
      <w:r w:rsidRPr="00EF789F">
        <w:rPr>
          <w:szCs w:val="24"/>
          <w:lang w:val="en-AU"/>
        </w:rPr>
        <w:t xml:space="preserve">, adapted for use in the Nordic and Baltic countries, are based on an early US system. Comorbidities are applied across the classification, rather than being specific to particular DRG groups. </w:t>
      </w:r>
      <w:r w:rsidRPr="00EF789F">
        <w:rPr>
          <w:szCs w:val="24"/>
        </w:rPr>
        <w:t xml:space="preserve">About 75 </w:t>
      </w:r>
      <w:r w:rsidR="004B767D">
        <w:rPr>
          <w:szCs w:val="24"/>
        </w:rPr>
        <w:t>per</w:t>
      </w:r>
      <w:r w:rsidR="001E4BFF">
        <w:rPr>
          <w:szCs w:val="24"/>
        </w:rPr>
        <w:t xml:space="preserve"> </w:t>
      </w:r>
      <w:r w:rsidR="004B767D">
        <w:rPr>
          <w:szCs w:val="24"/>
        </w:rPr>
        <w:t>cent</w:t>
      </w:r>
      <w:r w:rsidRPr="00EF789F">
        <w:rPr>
          <w:szCs w:val="24"/>
        </w:rPr>
        <w:t xml:space="preserve"> of the DRG's appear in pairs that are as</w:t>
      </w:r>
      <w:r>
        <w:rPr>
          <w:szCs w:val="24"/>
        </w:rPr>
        <w:t xml:space="preserve"> </w:t>
      </w:r>
      <w:r w:rsidR="002B1766">
        <w:rPr>
          <w:szCs w:val="24"/>
        </w:rPr>
        <w:t>non-complicated</w:t>
      </w:r>
      <w:r w:rsidRPr="00EF789F">
        <w:rPr>
          <w:szCs w:val="24"/>
        </w:rPr>
        <w:t xml:space="preserve"> (without </w:t>
      </w:r>
      <w:r w:rsidR="002B1766">
        <w:rPr>
          <w:szCs w:val="24"/>
        </w:rPr>
        <w:t>CC</w:t>
      </w:r>
      <w:r w:rsidRPr="00EF789F">
        <w:rPr>
          <w:szCs w:val="24"/>
        </w:rPr>
        <w:t>) and</w:t>
      </w:r>
      <w:r>
        <w:rPr>
          <w:szCs w:val="24"/>
        </w:rPr>
        <w:t xml:space="preserve"> </w:t>
      </w:r>
      <w:r w:rsidRPr="00EF789F">
        <w:rPr>
          <w:szCs w:val="24"/>
        </w:rPr>
        <w:t>complicated (with CC), i</w:t>
      </w:r>
      <w:r>
        <w:rPr>
          <w:szCs w:val="24"/>
        </w:rPr>
        <w:t>.</w:t>
      </w:r>
      <w:r w:rsidRPr="00EF789F">
        <w:rPr>
          <w:szCs w:val="24"/>
        </w:rPr>
        <w:t>e., the 'basic' DRG that includes both CC and non-CC cases is divided in two groups.</w:t>
      </w:r>
    </w:p>
    <w:p w14:paraId="591FBC02" w14:textId="77777777" w:rsidR="005B5818" w:rsidRDefault="005B5818" w:rsidP="00B60372">
      <w:pPr>
        <w:rPr>
          <w:szCs w:val="24"/>
          <w:lang w:val="en-AU"/>
        </w:rPr>
      </w:pPr>
      <w:r w:rsidRPr="009D4942">
        <w:rPr>
          <w:szCs w:val="24"/>
          <w:lang w:val="en-AU"/>
        </w:rPr>
        <w:t xml:space="preserve">Other ‘home grown’ European classification systems provide few relevant examples of complexity adjustment. Austria’s </w:t>
      </w:r>
      <w:proofErr w:type="spellStart"/>
      <w:r w:rsidR="00E1212F" w:rsidRPr="008E2DA1">
        <w:rPr>
          <w:szCs w:val="24"/>
          <w:lang w:val="en-AU"/>
        </w:rPr>
        <w:t>Leistungsorientierte</w:t>
      </w:r>
      <w:proofErr w:type="spellEnd"/>
      <w:r w:rsidR="00E1212F" w:rsidRPr="008E2DA1">
        <w:rPr>
          <w:szCs w:val="24"/>
          <w:lang w:val="en-AU"/>
        </w:rPr>
        <w:t xml:space="preserve"> </w:t>
      </w:r>
      <w:proofErr w:type="spellStart"/>
      <w:r w:rsidR="00E1212F" w:rsidRPr="008E2DA1">
        <w:rPr>
          <w:szCs w:val="24"/>
          <w:lang w:val="en-AU"/>
        </w:rPr>
        <w:t>DiagnoseFallgruppen</w:t>
      </w:r>
      <w:proofErr w:type="spellEnd"/>
      <w:r w:rsidR="00E1212F" w:rsidRPr="009D4942">
        <w:rPr>
          <w:szCs w:val="24"/>
          <w:lang w:val="en-AU"/>
        </w:rPr>
        <w:t xml:space="preserve"> </w:t>
      </w:r>
      <w:r w:rsidR="00E1212F">
        <w:rPr>
          <w:szCs w:val="24"/>
          <w:lang w:val="en-AU"/>
        </w:rPr>
        <w:t>(</w:t>
      </w:r>
      <w:r w:rsidRPr="009D4942">
        <w:rPr>
          <w:szCs w:val="24"/>
          <w:lang w:val="en-AU"/>
        </w:rPr>
        <w:t>LKF</w:t>
      </w:r>
      <w:r w:rsidR="00E1212F">
        <w:rPr>
          <w:szCs w:val="24"/>
          <w:lang w:val="en-AU"/>
        </w:rPr>
        <w:t>)</w:t>
      </w:r>
      <w:r w:rsidRPr="009D4942">
        <w:rPr>
          <w:szCs w:val="24"/>
          <w:lang w:val="en-AU"/>
        </w:rPr>
        <w:t xml:space="preserve"> system is highly oriented towards </w:t>
      </w:r>
      <w:r>
        <w:rPr>
          <w:szCs w:val="24"/>
          <w:lang w:val="en-AU"/>
        </w:rPr>
        <w:t>interventions</w:t>
      </w:r>
      <w:r w:rsidRPr="009D4942">
        <w:rPr>
          <w:szCs w:val="24"/>
          <w:lang w:val="en-AU"/>
        </w:rPr>
        <w:t>, and it has been noted that</w:t>
      </w:r>
      <w:r w:rsidR="000C2622">
        <w:rPr>
          <w:szCs w:val="24"/>
          <w:lang w:val="en-AU"/>
        </w:rPr>
        <w:t xml:space="preserve"> </w:t>
      </w:r>
      <w:proofErr w:type="spellStart"/>
      <w:r w:rsidR="000C2622">
        <w:rPr>
          <w:szCs w:val="24"/>
          <w:lang w:val="en-AU"/>
        </w:rPr>
        <w:t>ADx</w:t>
      </w:r>
      <w:proofErr w:type="spellEnd"/>
      <w:r w:rsidR="000C2622">
        <w:rPr>
          <w:szCs w:val="24"/>
          <w:lang w:val="en-AU"/>
        </w:rPr>
        <w:t xml:space="preserve"> or</w:t>
      </w:r>
      <w:r w:rsidRPr="009D4942">
        <w:rPr>
          <w:szCs w:val="24"/>
          <w:lang w:val="en-AU"/>
        </w:rPr>
        <w:t xml:space="preserve"> ‘secondary diagnoses play a very minor role in defining </w:t>
      </w:r>
      <w:r>
        <w:rPr>
          <w:szCs w:val="24"/>
          <w:lang w:val="en-AU"/>
        </w:rPr>
        <w:t>case complexity</w:t>
      </w:r>
      <w:r w:rsidRPr="009D4942">
        <w:rPr>
          <w:szCs w:val="24"/>
          <w:lang w:val="en-AU"/>
        </w:rPr>
        <w:t xml:space="preserve"> levels’ in the LKF system </w:t>
      </w:r>
      <w:r>
        <w:rPr>
          <w:szCs w:val="24"/>
          <w:lang w:val="en-AU"/>
        </w:rPr>
        <w:t>(</w:t>
      </w:r>
      <w:proofErr w:type="spellStart"/>
      <w:r w:rsidRPr="009D4942">
        <w:rPr>
          <w:szCs w:val="24"/>
          <w:lang w:val="en-AU"/>
        </w:rPr>
        <w:t>Kobel</w:t>
      </w:r>
      <w:proofErr w:type="spellEnd"/>
      <w:r w:rsidRPr="009D4942">
        <w:rPr>
          <w:szCs w:val="24"/>
          <w:lang w:val="en-AU"/>
        </w:rPr>
        <w:t xml:space="preserve"> &amp; Pfeiffer, 2011</w:t>
      </w:r>
      <w:r>
        <w:rPr>
          <w:szCs w:val="24"/>
          <w:lang w:val="en-AU"/>
        </w:rPr>
        <w:t>)</w:t>
      </w:r>
      <w:r w:rsidRPr="009D4942">
        <w:rPr>
          <w:szCs w:val="24"/>
          <w:lang w:val="en-AU"/>
        </w:rPr>
        <w:t xml:space="preserve">. </w:t>
      </w:r>
      <w:r>
        <w:rPr>
          <w:szCs w:val="24"/>
          <w:lang w:val="en-AU"/>
        </w:rPr>
        <w:t>T</w:t>
      </w:r>
      <w:r w:rsidRPr="009D4942">
        <w:rPr>
          <w:szCs w:val="24"/>
          <w:lang w:val="en-AU"/>
        </w:rPr>
        <w:t xml:space="preserve">he </w:t>
      </w:r>
      <w:proofErr w:type="spellStart"/>
      <w:r w:rsidR="004B767D">
        <w:rPr>
          <w:szCs w:val="24"/>
          <w:lang w:val="en-AU"/>
        </w:rPr>
        <w:t>PDx</w:t>
      </w:r>
      <w:proofErr w:type="spellEnd"/>
      <w:r w:rsidRPr="009D4942">
        <w:rPr>
          <w:szCs w:val="24"/>
          <w:lang w:val="en-AU"/>
        </w:rPr>
        <w:t xml:space="preserve"> is not used (or checked) in assigning episodes to LKF for many </w:t>
      </w:r>
      <w:r>
        <w:rPr>
          <w:szCs w:val="24"/>
          <w:lang w:val="en-AU"/>
        </w:rPr>
        <w:t>interventions</w:t>
      </w:r>
      <w:r w:rsidRPr="009D4942">
        <w:rPr>
          <w:szCs w:val="24"/>
          <w:lang w:val="en-AU"/>
        </w:rPr>
        <w:t xml:space="preserve">. </w:t>
      </w:r>
      <w:r w:rsidR="00E1212F" w:rsidRPr="00FC0D29">
        <w:rPr>
          <w:szCs w:val="24"/>
          <w:lang w:val="en-GB"/>
        </w:rPr>
        <w:t>Diagnose-</w:t>
      </w:r>
      <w:proofErr w:type="spellStart"/>
      <w:r w:rsidR="00E1212F" w:rsidRPr="00FC0D29">
        <w:rPr>
          <w:szCs w:val="24"/>
          <w:lang w:val="en-GB"/>
        </w:rPr>
        <w:t>Behandling</w:t>
      </w:r>
      <w:proofErr w:type="spellEnd"/>
      <w:r w:rsidR="00E1212F" w:rsidRPr="00FC0D29">
        <w:rPr>
          <w:szCs w:val="24"/>
          <w:lang w:val="en-GB"/>
        </w:rPr>
        <w:t xml:space="preserve"> </w:t>
      </w:r>
      <w:proofErr w:type="spellStart"/>
      <w:r w:rsidR="00E1212F" w:rsidRPr="00FC0D29">
        <w:rPr>
          <w:szCs w:val="24"/>
          <w:lang w:val="en-GB"/>
        </w:rPr>
        <w:t>Combinatie</w:t>
      </w:r>
      <w:proofErr w:type="spellEnd"/>
      <w:r w:rsidR="00E1212F" w:rsidRPr="009D4942">
        <w:rPr>
          <w:szCs w:val="24"/>
          <w:lang w:val="en-AU"/>
        </w:rPr>
        <w:t xml:space="preserve"> </w:t>
      </w:r>
      <w:r w:rsidR="00E1212F">
        <w:rPr>
          <w:szCs w:val="24"/>
          <w:lang w:val="en-AU"/>
        </w:rPr>
        <w:t>(</w:t>
      </w:r>
      <w:r w:rsidRPr="009D4942">
        <w:rPr>
          <w:szCs w:val="24"/>
          <w:lang w:val="en-AU"/>
        </w:rPr>
        <w:t>DBCs</w:t>
      </w:r>
      <w:r w:rsidR="00E1212F">
        <w:rPr>
          <w:szCs w:val="24"/>
          <w:lang w:val="en-AU"/>
        </w:rPr>
        <w:t>)</w:t>
      </w:r>
      <w:r w:rsidRPr="009D4942">
        <w:rPr>
          <w:szCs w:val="24"/>
          <w:lang w:val="en-AU"/>
        </w:rPr>
        <w:t xml:space="preserve"> in the Netherlands characterise complex treatment pathways and include some forms of outpatient care. What other systems term ‘secondary’ diagnoses are considered to be co-equal primary diagnoses, potentially generating additional DBCs in a single episode.</w:t>
      </w:r>
    </w:p>
    <w:p w14:paraId="317C74AA" w14:textId="77777777" w:rsidR="005B5818" w:rsidRDefault="005B5818" w:rsidP="00B60372">
      <w:pPr>
        <w:rPr>
          <w:szCs w:val="24"/>
          <w:lang w:val="en-AU"/>
        </w:rPr>
      </w:pPr>
      <w:r w:rsidRPr="003218E5">
        <w:rPr>
          <w:szCs w:val="24"/>
          <w:lang w:val="en-AU"/>
        </w:rPr>
        <w:t xml:space="preserve">It is notable that many countries use US developed </w:t>
      </w:r>
      <w:proofErr w:type="spellStart"/>
      <w:r w:rsidRPr="003218E5">
        <w:rPr>
          <w:szCs w:val="24"/>
          <w:lang w:val="en-AU"/>
        </w:rPr>
        <w:t>casemix</w:t>
      </w:r>
      <w:proofErr w:type="spellEnd"/>
      <w:r w:rsidRPr="003218E5">
        <w:rPr>
          <w:szCs w:val="24"/>
          <w:lang w:val="en-AU"/>
        </w:rPr>
        <w:t xml:space="preserve"> systems or the Australian DRGs, rather than undertake a separate development exercise.</w:t>
      </w:r>
    </w:p>
    <w:p w14:paraId="0E9472BB" w14:textId="77777777" w:rsidR="005B5818" w:rsidRPr="003A5FD6" w:rsidRDefault="005B5818" w:rsidP="00B60372">
      <w:pPr>
        <w:pStyle w:val="Heading4"/>
      </w:pPr>
      <w:r w:rsidRPr="003A5FD6">
        <w:t>In summary</w:t>
      </w:r>
    </w:p>
    <w:p w14:paraId="700222A8" w14:textId="77777777" w:rsidR="005B5818" w:rsidRDefault="005B5818" w:rsidP="006056B9">
      <w:pPr>
        <w:rPr>
          <w:szCs w:val="24"/>
          <w:lang w:val="en-AU"/>
        </w:rPr>
      </w:pPr>
      <w:r w:rsidRPr="003A5FD6">
        <w:rPr>
          <w:szCs w:val="24"/>
          <w:lang w:val="en-AU"/>
        </w:rPr>
        <w:t xml:space="preserve">Many health care systems have adopted </w:t>
      </w:r>
      <w:r>
        <w:rPr>
          <w:szCs w:val="24"/>
          <w:lang w:val="en-AU"/>
        </w:rPr>
        <w:t>acute admitted</w:t>
      </w:r>
      <w:r w:rsidRPr="003A5FD6">
        <w:rPr>
          <w:szCs w:val="24"/>
          <w:lang w:val="en-AU"/>
        </w:rPr>
        <w:t xml:space="preserve"> classification systems for a variety of purposes. All are influenced by the quality and depth of available </w:t>
      </w:r>
      <w:r>
        <w:rPr>
          <w:szCs w:val="24"/>
          <w:lang w:val="en-AU"/>
        </w:rPr>
        <w:t xml:space="preserve">clinical information </w:t>
      </w:r>
      <w:r w:rsidRPr="003A5FD6">
        <w:rPr>
          <w:szCs w:val="24"/>
          <w:lang w:val="en-AU"/>
        </w:rPr>
        <w:t>in their record abstracts</w:t>
      </w:r>
      <w:r w:rsidRPr="00E835E7">
        <w:rPr>
          <w:szCs w:val="24"/>
          <w:lang w:val="en-AU"/>
        </w:rPr>
        <w:t xml:space="preserve"> </w:t>
      </w:r>
      <w:r>
        <w:rPr>
          <w:szCs w:val="24"/>
          <w:lang w:val="en-AU"/>
        </w:rPr>
        <w:t>and by the coding classification system used to encode the clinical data</w:t>
      </w:r>
      <w:r w:rsidRPr="003A5FD6">
        <w:rPr>
          <w:szCs w:val="24"/>
          <w:lang w:val="en-AU"/>
        </w:rPr>
        <w:t xml:space="preserve">. They have applied a range of methods to account for the wide variation in the treatment decisions of health care providers and in patients’ basic physiology and response to treatment. There is little consensus on how increased complexity should be measured, whether it is generic or specific to each admission, and whether it should reflect only conditions present on admission, or other drivers of complexity such as the complications of </w:t>
      </w:r>
      <w:r>
        <w:rPr>
          <w:szCs w:val="24"/>
          <w:lang w:val="en-AU"/>
        </w:rPr>
        <w:t>acute admitted</w:t>
      </w:r>
      <w:r w:rsidRPr="003A5FD6">
        <w:rPr>
          <w:szCs w:val="24"/>
          <w:lang w:val="en-AU"/>
        </w:rPr>
        <w:t xml:space="preserve"> medical and surgical care.</w:t>
      </w:r>
    </w:p>
    <w:p w14:paraId="1CF8861D" w14:textId="77777777" w:rsidR="005B5818" w:rsidRDefault="005B5818" w:rsidP="006056B9">
      <w:pPr>
        <w:rPr>
          <w:szCs w:val="24"/>
        </w:rPr>
      </w:pPr>
      <w:r w:rsidRPr="00F63ED8">
        <w:rPr>
          <w:szCs w:val="24"/>
        </w:rPr>
        <w:lastRenderedPageBreak/>
        <w:t xml:space="preserve">The current PCCL measure was developed using constrained data and the concept itself has not been revised since its inception. </w:t>
      </w:r>
      <w:r>
        <w:rPr>
          <w:szCs w:val="24"/>
        </w:rPr>
        <w:t>M</w:t>
      </w:r>
      <w:r w:rsidRPr="00F63ED8">
        <w:rPr>
          <w:szCs w:val="24"/>
        </w:rPr>
        <w:t xml:space="preserve">uch of the earlier work on assessing </w:t>
      </w:r>
      <w:r>
        <w:rPr>
          <w:szCs w:val="24"/>
        </w:rPr>
        <w:t>CCs</w:t>
      </w:r>
      <w:r w:rsidRPr="00F63ED8">
        <w:rPr>
          <w:szCs w:val="24"/>
        </w:rPr>
        <w:t xml:space="preserve"> was based upon the extent to which LOS was increased, rather than costs.</w:t>
      </w:r>
      <w:r w:rsidR="00345851">
        <w:rPr>
          <w:szCs w:val="24"/>
        </w:rPr>
        <w:t xml:space="preserve"> </w:t>
      </w:r>
      <w:r w:rsidRPr="00F63ED8">
        <w:rPr>
          <w:szCs w:val="24"/>
        </w:rPr>
        <w:t xml:space="preserve">With the increased use of same day admissions the utility of LOS in describing cost differences is reducing </w:t>
      </w:r>
    </w:p>
    <w:p w14:paraId="053DBC6A" w14:textId="77777777" w:rsidR="005B5818" w:rsidRDefault="005B5818" w:rsidP="006056B9">
      <w:pPr>
        <w:rPr>
          <w:szCs w:val="24"/>
          <w:lang w:val="en-AU"/>
        </w:rPr>
      </w:pPr>
      <w:r w:rsidRPr="003218E5">
        <w:rPr>
          <w:szCs w:val="24"/>
          <w:lang w:val="en-AU"/>
        </w:rPr>
        <w:t xml:space="preserve">In light of the lack of consensus on how increased </w:t>
      </w:r>
      <w:r>
        <w:rPr>
          <w:szCs w:val="24"/>
          <w:lang w:val="en-AU"/>
        </w:rPr>
        <w:t>case complexity</w:t>
      </w:r>
      <w:r w:rsidRPr="003218E5">
        <w:rPr>
          <w:szCs w:val="24"/>
          <w:lang w:val="en-AU"/>
        </w:rPr>
        <w:t xml:space="preserve"> may be best measured, ACCD has developed an approach based on analysis of the sound statistical information on patient characteristics and costs now available in Australia.</w:t>
      </w:r>
    </w:p>
    <w:p w14:paraId="2C71D2A0" w14:textId="77777777" w:rsidR="007E5389" w:rsidRPr="00CD792B" w:rsidRDefault="007E5389" w:rsidP="00CD792B">
      <w:pPr>
        <w:pStyle w:val="KeyFinding"/>
        <w:rPr>
          <w:b/>
          <w:color w:val="1F497D" w:themeColor="text2"/>
        </w:rPr>
      </w:pPr>
      <w:r w:rsidRPr="00CD792B">
        <w:rPr>
          <w:b/>
          <w:color w:val="1F497D" w:themeColor="text2"/>
        </w:rPr>
        <w:t>Key Finding 2</w:t>
      </w:r>
    </w:p>
    <w:p w14:paraId="25AA0CBC" w14:textId="77777777" w:rsidR="00A75CEC" w:rsidRPr="00E1266C" w:rsidRDefault="007E5389" w:rsidP="00CD792B">
      <w:pPr>
        <w:pStyle w:val="KeyFinding"/>
      </w:pPr>
      <w:r w:rsidRPr="003820F9">
        <w:t xml:space="preserve">A further literature review of case complexity systems used in other DRG classifications internationally did not reveal an alternative system </w:t>
      </w:r>
      <w:r w:rsidRPr="00F35786">
        <w:t xml:space="preserve">that could be </w:t>
      </w:r>
      <w:r w:rsidR="007D3444">
        <w:t xml:space="preserve">readily </w:t>
      </w:r>
      <w:r w:rsidRPr="00F35786">
        <w:t>adapted for use in Australia.</w:t>
      </w:r>
    </w:p>
    <w:p w14:paraId="07B73C27" w14:textId="77777777" w:rsidR="005B5818" w:rsidRDefault="005B5818" w:rsidP="00B60372">
      <w:pPr>
        <w:pStyle w:val="Heading3"/>
      </w:pPr>
      <w:r w:rsidRPr="0087448D">
        <w:t xml:space="preserve">Episode Clinical Complexity </w:t>
      </w:r>
      <w:r w:rsidR="004C70DD">
        <w:t xml:space="preserve">Model </w:t>
      </w:r>
      <w:r w:rsidRPr="0087448D">
        <w:t>terminology</w:t>
      </w:r>
    </w:p>
    <w:p w14:paraId="1B8B4BF5" w14:textId="77777777" w:rsidR="005B5818" w:rsidRDefault="005B5818" w:rsidP="006056B9">
      <w:pPr>
        <w:rPr>
          <w:lang w:val="en-AU"/>
        </w:rPr>
      </w:pPr>
      <w:r w:rsidRPr="0087448D">
        <w:rPr>
          <w:lang w:val="en-AU"/>
        </w:rPr>
        <w:t xml:space="preserve">To avoid confusion with the </w:t>
      </w:r>
      <w:r>
        <w:rPr>
          <w:lang w:val="en-AU"/>
        </w:rPr>
        <w:t>current</w:t>
      </w:r>
      <w:r w:rsidRPr="0087448D">
        <w:rPr>
          <w:lang w:val="en-AU"/>
        </w:rPr>
        <w:t xml:space="preserve"> </w:t>
      </w:r>
      <w:r w:rsidR="007951DF">
        <w:rPr>
          <w:lang w:val="en-AU"/>
        </w:rPr>
        <w:t xml:space="preserve">case complexity </w:t>
      </w:r>
      <w:r w:rsidRPr="0087448D">
        <w:rPr>
          <w:lang w:val="en-AU"/>
        </w:rPr>
        <w:t>system, a new terminology</w:t>
      </w:r>
      <w:r w:rsidR="003820F9">
        <w:rPr>
          <w:lang w:val="en-AU"/>
        </w:rPr>
        <w:t xml:space="preserve"> has</w:t>
      </w:r>
      <w:r w:rsidRPr="0087448D">
        <w:rPr>
          <w:lang w:val="en-AU"/>
        </w:rPr>
        <w:t xml:space="preserve"> be</w:t>
      </w:r>
      <w:r w:rsidR="003820F9">
        <w:rPr>
          <w:lang w:val="en-AU"/>
        </w:rPr>
        <w:t>en</w:t>
      </w:r>
      <w:r w:rsidRPr="0087448D">
        <w:rPr>
          <w:lang w:val="en-AU"/>
        </w:rPr>
        <w:t xml:space="preserve"> adopted </w:t>
      </w:r>
      <w:r w:rsidR="003820F9">
        <w:rPr>
          <w:lang w:val="en-AU"/>
        </w:rPr>
        <w:t>for use in</w:t>
      </w:r>
      <w:r w:rsidR="003820F9" w:rsidRPr="0087448D">
        <w:rPr>
          <w:lang w:val="en-AU"/>
        </w:rPr>
        <w:t xml:space="preserve"> </w:t>
      </w:r>
      <w:r w:rsidRPr="0087448D">
        <w:rPr>
          <w:lang w:val="en-AU"/>
        </w:rPr>
        <w:t xml:space="preserve">AR-DRG </w:t>
      </w:r>
      <w:r>
        <w:rPr>
          <w:lang w:val="en-AU"/>
        </w:rPr>
        <w:t>V</w:t>
      </w:r>
      <w:r w:rsidRPr="0087448D">
        <w:rPr>
          <w:lang w:val="en-AU"/>
        </w:rPr>
        <w:t>8.0 and future versio</w:t>
      </w:r>
      <w:r>
        <w:rPr>
          <w:lang w:val="en-AU"/>
        </w:rPr>
        <w:t xml:space="preserve">ns of the AR-DRG classification. </w:t>
      </w:r>
      <w:r w:rsidR="00D20BB7">
        <w:rPr>
          <w:lang w:val="en-AU"/>
        </w:rPr>
        <w:t>The concepts associated with this new terminology are developed throughout this report.</w:t>
      </w:r>
    </w:p>
    <w:p w14:paraId="49EDBACA" w14:textId="77777777" w:rsidR="005B5818" w:rsidRPr="0087448D" w:rsidRDefault="005B5818" w:rsidP="006056B9">
      <w:pPr>
        <w:rPr>
          <w:rFonts w:ascii="Calibri" w:eastAsia="SimSun" w:hAnsi="Calibri" w:cs="Times New Roman"/>
        </w:rPr>
      </w:pPr>
      <w:r w:rsidRPr="0087448D">
        <w:rPr>
          <w:b/>
          <w:lang w:val="en-AU"/>
        </w:rPr>
        <w:t xml:space="preserve">Episode </w:t>
      </w:r>
      <w:r>
        <w:rPr>
          <w:b/>
          <w:lang w:val="en-AU"/>
        </w:rPr>
        <w:t>C</w:t>
      </w:r>
      <w:r w:rsidRPr="0087448D">
        <w:rPr>
          <w:b/>
          <w:lang w:val="en-AU"/>
        </w:rPr>
        <w:t xml:space="preserve">linical </w:t>
      </w:r>
      <w:r>
        <w:rPr>
          <w:b/>
          <w:lang w:val="en-AU"/>
        </w:rPr>
        <w:t>C</w:t>
      </w:r>
      <w:r w:rsidRPr="0087448D">
        <w:rPr>
          <w:b/>
          <w:lang w:val="en-AU"/>
        </w:rPr>
        <w:t xml:space="preserve">omplexity </w:t>
      </w:r>
      <w:r w:rsidRPr="0087448D">
        <w:rPr>
          <w:lang w:val="en-AU"/>
        </w:rPr>
        <w:t>(ECC) is the element of AR-DRGs that recognises and allows for cost variation within ADRGs</w:t>
      </w:r>
      <w:r w:rsidRPr="00FB0EA7">
        <w:rPr>
          <w:lang w:val="en-AU"/>
        </w:rPr>
        <w:t>. The following terms describe the variou</w:t>
      </w:r>
      <w:r w:rsidR="0047597D">
        <w:rPr>
          <w:lang w:val="en-AU"/>
        </w:rPr>
        <w:t>s concepts within the ECC Model</w:t>
      </w:r>
    </w:p>
    <w:p w14:paraId="4023A77B" w14:textId="77777777" w:rsidR="005B5818" w:rsidRPr="0047597D" w:rsidRDefault="005B5818" w:rsidP="000E5B4A">
      <w:pPr>
        <w:pStyle w:val="ListBullet"/>
      </w:pPr>
      <w:r w:rsidRPr="0047597D">
        <w:rPr>
          <w:rFonts w:ascii="Calibri" w:eastAsia="SimSun" w:hAnsi="Calibri" w:cs="Times New Roman"/>
          <w:b/>
        </w:rPr>
        <w:t xml:space="preserve">Complex Diagnoses </w:t>
      </w:r>
      <w:r w:rsidRPr="0047597D">
        <w:rPr>
          <w:rFonts w:ascii="Calibri" w:eastAsia="SimSun" w:hAnsi="Calibri" w:cs="Times New Roman"/>
        </w:rPr>
        <w:t>(</w:t>
      </w:r>
      <w:r w:rsidRPr="0047597D">
        <w:rPr>
          <w:lang w:val="en-AU"/>
        </w:rPr>
        <w:t>CDs) in a particular ADRG are the set (or list) of diagnoses that have a non-zero Diagnosis Complexity Level within an ADRG.</w:t>
      </w:r>
    </w:p>
    <w:p w14:paraId="32DCFA31" w14:textId="77777777" w:rsidR="005B5818" w:rsidRPr="0047597D" w:rsidRDefault="005B5818" w:rsidP="000E5B4A">
      <w:pPr>
        <w:pStyle w:val="ListBullet"/>
      </w:pPr>
      <w:r w:rsidRPr="0047597D">
        <w:rPr>
          <w:rFonts w:ascii="Calibri" w:eastAsia="SimSun" w:hAnsi="Calibri" w:cs="Times New Roman"/>
          <w:b/>
        </w:rPr>
        <w:t>Diagnosis Complexity Level</w:t>
      </w:r>
      <w:r w:rsidRPr="0047597D">
        <w:rPr>
          <w:rFonts w:ascii="Calibri" w:eastAsia="SimSun" w:hAnsi="Calibri" w:cs="Times New Roman"/>
        </w:rPr>
        <w:t xml:space="preserve"> (DCL) is the case complexity weight assigned to each diagnosis within a particular ADRG.</w:t>
      </w:r>
    </w:p>
    <w:p w14:paraId="627701D7" w14:textId="77777777" w:rsidR="005B5818" w:rsidRPr="0047597D" w:rsidRDefault="005B5818" w:rsidP="000E5B4A">
      <w:pPr>
        <w:pStyle w:val="ListBullet"/>
      </w:pPr>
      <w:r w:rsidRPr="0047597D">
        <w:rPr>
          <w:rFonts w:ascii="Calibri" w:eastAsia="SimSun" w:hAnsi="Calibri" w:cs="Times New Roman"/>
          <w:b/>
        </w:rPr>
        <w:t>Episode Clinical Complexity Score</w:t>
      </w:r>
      <w:r w:rsidRPr="0047597D">
        <w:rPr>
          <w:rFonts w:ascii="Calibri" w:eastAsia="SimSun" w:hAnsi="Calibri" w:cs="Times New Roman"/>
        </w:rPr>
        <w:t xml:space="preserve"> (ECCS) is the measure of the cumulative effect of DCLs for a specific episode.</w:t>
      </w:r>
    </w:p>
    <w:p w14:paraId="0A8E7F5B" w14:textId="77777777" w:rsidR="005B5818" w:rsidRDefault="005B5818" w:rsidP="00B60372">
      <w:pPr>
        <w:pStyle w:val="Heading3"/>
        <w:rPr>
          <w:rFonts w:eastAsia="SimSun"/>
        </w:rPr>
      </w:pPr>
      <w:r w:rsidRPr="0039209D">
        <w:rPr>
          <w:rFonts w:eastAsia="SimSun"/>
        </w:rPr>
        <w:lastRenderedPageBreak/>
        <w:t>Governance</w:t>
      </w:r>
      <w:r>
        <w:rPr>
          <w:rFonts w:eastAsia="SimSun"/>
        </w:rPr>
        <w:t xml:space="preserve"> and consultation process</w:t>
      </w:r>
    </w:p>
    <w:p w14:paraId="17B88F44" w14:textId="77777777" w:rsidR="005B5818" w:rsidRPr="00891A30" w:rsidRDefault="005B5818" w:rsidP="006056B9">
      <w:pPr>
        <w:rPr>
          <w:szCs w:val="24"/>
        </w:rPr>
      </w:pPr>
      <w:r w:rsidRPr="00891A30">
        <w:rPr>
          <w:szCs w:val="24"/>
        </w:rPr>
        <w:t>The Pricing Authority</w:t>
      </w:r>
      <w:r>
        <w:rPr>
          <w:szCs w:val="24"/>
        </w:rPr>
        <w:t xml:space="preserve"> (PA)</w:t>
      </w:r>
      <w:r w:rsidRPr="00891A30">
        <w:rPr>
          <w:szCs w:val="24"/>
        </w:rPr>
        <w:t xml:space="preserve"> has the overall governance role and is responsible for the proper and efficient performance of IHPA's functions. The final decision on the AR-DRG Classification System rests with the </w:t>
      </w:r>
      <w:r>
        <w:rPr>
          <w:szCs w:val="24"/>
        </w:rPr>
        <w:t>PA</w:t>
      </w:r>
      <w:r w:rsidRPr="00891A30">
        <w:rPr>
          <w:szCs w:val="24"/>
        </w:rPr>
        <w:t>.</w:t>
      </w:r>
    </w:p>
    <w:p w14:paraId="1E5CE8F0" w14:textId="77777777" w:rsidR="005B5818" w:rsidRPr="00891A30" w:rsidRDefault="005B5818" w:rsidP="006056B9">
      <w:pPr>
        <w:rPr>
          <w:szCs w:val="24"/>
        </w:rPr>
      </w:pPr>
      <w:r>
        <w:rPr>
          <w:szCs w:val="24"/>
        </w:rPr>
        <w:t xml:space="preserve">ACCD’s </w:t>
      </w:r>
      <w:r w:rsidRPr="00891A30">
        <w:rPr>
          <w:szCs w:val="24"/>
        </w:rPr>
        <w:t xml:space="preserve">governance arrangements, endorsed by IHPA include the establishment and management of the following technical groups to ensure appropriate communication channels: </w:t>
      </w:r>
    </w:p>
    <w:p w14:paraId="6D6112BB" w14:textId="77777777" w:rsidR="005B5818" w:rsidRPr="00891A30" w:rsidRDefault="005B5818" w:rsidP="006056B9">
      <w:pPr>
        <w:numPr>
          <w:ilvl w:val="0"/>
          <w:numId w:val="26"/>
        </w:numPr>
        <w:rPr>
          <w:szCs w:val="24"/>
        </w:rPr>
      </w:pPr>
      <w:r w:rsidRPr="00891A30">
        <w:rPr>
          <w:szCs w:val="24"/>
        </w:rPr>
        <w:t xml:space="preserve">International Classification of Diseases (ICD) technical group (ITG): </w:t>
      </w:r>
      <w:r w:rsidR="00E1212F">
        <w:rPr>
          <w:szCs w:val="24"/>
        </w:rPr>
        <w:t>classification</w:t>
      </w:r>
      <w:r w:rsidRPr="00891A30">
        <w:rPr>
          <w:szCs w:val="24"/>
        </w:rPr>
        <w:t xml:space="preserve"> advice in regard to ICD-10-AM/ACHI/ACS.</w:t>
      </w:r>
    </w:p>
    <w:p w14:paraId="40187E14" w14:textId="77777777" w:rsidR="005B5818" w:rsidRPr="00891A30" w:rsidRDefault="005B5818" w:rsidP="006056B9">
      <w:pPr>
        <w:numPr>
          <w:ilvl w:val="0"/>
          <w:numId w:val="25"/>
        </w:numPr>
        <w:rPr>
          <w:szCs w:val="24"/>
        </w:rPr>
      </w:pPr>
      <w:r w:rsidRPr="00891A30">
        <w:rPr>
          <w:szCs w:val="24"/>
        </w:rPr>
        <w:t>Diagnosis Related Groups (DRG) technical group (DTG): advice in regard to the refinement and development of AR-DRGs in Australia.</w:t>
      </w:r>
    </w:p>
    <w:p w14:paraId="06A99FB5" w14:textId="77777777" w:rsidR="005B5818" w:rsidRPr="00891A30" w:rsidRDefault="005B5818" w:rsidP="006056B9">
      <w:pPr>
        <w:numPr>
          <w:ilvl w:val="0"/>
          <w:numId w:val="25"/>
        </w:numPr>
        <w:rPr>
          <w:szCs w:val="24"/>
        </w:rPr>
      </w:pPr>
      <w:r w:rsidRPr="00891A30">
        <w:rPr>
          <w:szCs w:val="24"/>
        </w:rPr>
        <w:t>Classifications Clinical Advisory Group (CCAG): to facilitate broad canvassing of clinicians to ensure that there is likely to be general acceptance of the developed proposals.</w:t>
      </w:r>
    </w:p>
    <w:p w14:paraId="34609F72" w14:textId="77777777" w:rsidR="005B5818" w:rsidRPr="00891A30" w:rsidRDefault="005B5818" w:rsidP="006056B9">
      <w:pPr>
        <w:numPr>
          <w:ilvl w:val="0"/>
          <w:numId w:val="25"/>
        </w:numPr>
        <w:rPr>
          <w:szCs w:val="24"/>
        </w:rPr>
      </w:pPr>
      <w:r w:rsidRPr="00891A30">
        <w:rPr>
          <w:szCs w:val="24"/>
        </w:rPr>
        <w:t>Clinical technical groups: as required to provide specialty related clinical advice.</w:t>
      </w:r>
    </w:p>
    <w:p w14:paraId="79D1B732" w14:textId="77777777" w:rsidR="005B5818" w:rsidRDefault="005559F5" w:rsidP="006056B9">
      <w:pPr>
        <w:rPr>
          <w:szCs w:val="24"/>
        </w:rPr>
      </w:pPr>
      <w:r>
        <w:rPr>
          <w:szCs w:val="24"/>
        </w:rPr>
        <w:fldChar w:fldCharType="begin"/>
      </w:r>
      <w:r w:rsidR="005B5818">
        <w:rPr>
          <w:szCs w:val="24"/>
        </w:rPr>
        <w:instrText xml:space="preserve"> REF _Ref392756210 \h </w:instrText>
      </w:r>
      <w:r>
        <w:rPr>
          <w:szCs w:val="24"/>
        </w:rPr>
      </w:r>
      <w:r>
        <w:rPr>
          <w:szCs w:val="24"/>
        </w:rPr>
        <w:fldChar w:fldCharType="separate"/>
      </w:r>
      <w:r w:rsidR="0031717B">
        <w:t xml:space="preserve">Figure </w:t>
      </w:r>
      <w:r w:rsidR="0031717B">
        <w:rPr>
          <w:noProof/>
        </w:rPr>
        <w:t>1</w:t>
      </w:r>
      <w:r>
        <w:rPr>
          <w:szCs w:val="24"/>
        </w:rPr>
        <w:fldChar w:fldCharType="end"/>
      </w:r>
      <w:r w:rsidR="005B5818">
        <w:rPr>
          <w:szCs w:val="24"/>
        </w:rPr>
        <w:t xml:space="preserve"> </w:t>
      </w:r>
      <w:r w:rsidR="005B5818" w:rsidRPr="00424555">
        <w:rPr>
          <w:szCs w:val="24"/>
        </w:rPr>
        <w:t>below</w:t>
      </w:r>
      <w:r w:rsidR="005B5818" w:rsidRPr="00B72650">
        <w:rPr>
          <w:szCs w:val="24"/>
        </w:rPr>
        <w:t xml:space="preserve"> depicts the AR-DRG Classification System Development and Refinement Services Governance Structure</w:t>
      </w:r>
      <w:r w:rsidR="005B5818">
        <w:rPr>
          <w:szCs w:val="24"/>
        </w:rPr>
        <w:t>.</w:t>
      </w:r>
    </w:p>
    <w:p w14:paraId="7D6DF0BF" w14:textId="77777777" w:rsidR="005B5818" w:rsidRDefault="005B5818" w:rsidP="00AB5225">
      <w:pPr>
        <w:pStyle w:val="Caption"/>
      </w:pPr>
      <w:bookmarkStart w:id="17" w:name="_Ref392756210"/>
      <w:bookmarkStart w:id="18" w:name="_Ref398294512"/>
      <w:bookmarkStart w:id="19" w:name="_Toc401061054"/>
      <w:r>
        <w:lastRenderedPageBreak/>
        <w:t xml:space="preserve">Figure </w:t>
      </w:r>
      <w:r w:rsidR="005559F5">
        <w:fldChar w:fldCharType="begin"/>
      </w:r>
      <w:r>
        <w:instrText xml:space="preserve"> SEQ Figure \* ARABIC </w:instrText>
      </w:r>
      <w:r w:rsidR="005559F5">
        <w:fldChar w:fldCharType="separate"/>
      </w:r>
      <w:r w:rsidR="0031717B">
        <w:rPr>
          <w:noProof/>
        </w:rPr>
        <w:t>1</w:t>
      </w:r>
      <w:r w:rsidR="005559F5">
        <w:fldChar w:fldCharType="end"/>
      </w:r>
      <w:bookmarkEnd w:id="17"/>
      <w:r>
        <w:t xml:space="preserve">: </w:t>
      </w:r>
      <w:r w:rsidRPr="008E0FA5">
        <w:t>The AR-DRG Classification System Development and Refinement Services Governance Structure</w:t>
      </w:r>
      <w:bookmarkEnd w:id="18"/>
      <w:r w:rsidR="000E4FA5">
        <w:t>.</w:t>
      </w:r>
      <w:bookmarkEnd w:id="19"/>
    </w:p>
    <w:p w14:paraId="7DB9CBB0" w14:textId="77777777" w:rsidR="005B5818" w:rsidRPr="0044582C" w:rsidRDefault="005B5818" w:rsidP="002506C3">
      <w:pPr>
        <w:spacing w:after="360"/>
        <w:rPr>
          <w:szCs w:val="24"/>
        </w:rPr>
      </w:pPr>
      <w:r w:rsidRPr="0044582C">
        <w:rPr>
          <w:noProof/>
          <w:lang w:val="en-AU" w:eastAsia="en-AU"/>
        </w:rPr>
        <w:drawing>
          <wp:inline distT="0" distB="0" distL="0" distR="0" wp14:anchorId="48B3A49C" wp14:editId="2EBED841">
            <wp:extent cx="5427874" cy="4403188"/>
            <wp:effectExtent l="0" t="0" r="1905" b="0"/>
            <wp:docPr id="1" name="Picture 1" descr="The Australian Consortium for Classification Development (ACCD) is responsible to the Pricing Authority. ACCD is advised by three groups: the Classifications Clinical Advisory Group, the ICD Technical Group and the DRG Technical Group. The ACCD also has a less formal link with the National Hospital Data Collection Working Group, through common stakeholders. The Classifications Clinical Advisory Group (CCAG) has representatives on the Technical Groups. CCAG can establish specialist Clinical Technical Groups as required. The ICD Technical Group advises the DRG Technical Group, but not vice versa. " title="The AR-DRG Classification System Development and Refinement Services Governanc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438012" cy="4411412"/>
                    </a:xfrm>
                    <a:prstGeom prst="rect">
                      <a:avLst/>
                    </a:prstGeom>
                  </pic:spPr>
                </pic:pic>
              </a:graphicData>
            </a:graphic>
          </wp:inline>
        </w:drawing>
      </w:r>
    </w:p>
    <w:p w14:paraId="5BC82C53" w14:textId="77777777" w:rsidR="005B5818" w:rsidRDefault="005B5818" w:rsidP="006056B9">
      <w:pPr>
        <w:rPr>
          <w:szCs w:val="24"/>
        </w:rPr>
      </w:pPr>
      <w:r w:rsidRPr="0044582C">
        <w:rPr>
          <w:szCs w:val="24"/>
        </w:rPr>
        <w:t xml:space="preserve">During the project, ACCD worked closely </w:t>
      </w:r>
      <w:r w:rsidRPr="0039209D">
        <w:rPr>
          <w:szCs w:val="24"/>
        </w:rPr>
        <w:t xml:space="preserve">with both the </w:t>
      </w:r>
      <w:r>
        <w:rPr>
          <w:szCs w:val="24"/>
        </w:rPr>
        <w:t>DRG Technical Group (</w:t>
      </w:r>
      <w:r w:rsidRPr="0039209D">
        <w:rPr>
          <w:szCs w:val="24"/>
        </w:rPr>
        <w:t>DTG</w:t>
      </w:r>
      <w:r>
        <w:rPr>
          <w:szCs w:val="24"/>
        </w:rPr>
        <w:t xml:space="preserve">) </w:t>
      </w:r>
      <w:r w:rsidRPr="0039209D">
        <w:rPr>
          <w:szCs w:val="24"/>
        </w:rPr>
        <w:t>and C</w:t>
      </w:r>
      <w:r>
        <w:rPr>
          <w:szCs w:val="24"/>
        </w:rPr>
        <w:t>lassification</w:t>
      </w:r>
      <w:r w:rsidR="00E1212F">
        <w:rPr>
          <w:szCs w:val="24"/>
        </w:rPr>
        <w:t>s</w:t>
      </w:r>
      <w:r>
        <w:rPr>
          <w:szCs w:val="24"/>
        </w:rPr>
        <w:t xml:space="preserve"> </w:t>
      </w:r>
      <w:r w:rsidRPr="0039209D">
        <w:rPr>
          <w:szCs w:val="24"/>
        </w:rPr>
        <w:t>C</w:t>
      </w:r>
      <w:r>
        <w:rPr>
          <w:szCs w:val="24"/>
        </w:rPr>
        <w:t xml:space="preserve">linical </w:t>
      </w:r>
      <w:r w:rsidRPr="0039209D">
        <w:rPr>
          <w:szCs w:val="24"/>
        </w:rPr>
        <w:t>A</w:t>
      </w:r>
      <w:r>
        <w:rPr>
          <w:szCs w:val="24"/>
        </w:rPr>
        <w:t xml:space="preserve">dvisory </w:t>
      </w:r>
      <w:r w:rsidRPr="0039209D">
        <w:rPr>
          <w:szCs w:val="24"/>
        </w:rPr>
        <w:t>G</w:t>
      </w:r>
      <w:r>
        <w:rPr>
          <w:szCs w:val="24"/>
        </w:rPr>
        <w:t xml:space="preserve">roup (CCAG) </w:t>
      </w:r>
      <w:r w:rsidRPr="0039209D">
        <w:rPr>
          <w:szCs w:val="24"/>
        </w:rPr>
        <w:t xml:space="preserve">in </w:t>
      </w:r>
      <w:r>
        <w:rPr>
          <w:szCs w:val="24"/>
        </w:rPr>
        <w:t>developing the</w:t>
      </w:r>
      <w:r w:rsidRPr="0039209D">
        <w:rPr>
          <w:szCs w:val="24"/>
        </w:rPr>
        <w:t xml:space="preserve"> proposed methodology for the ECC Model.</w:t>
      </w:r>
    </w:p>
    <w:p w14:paraId="29596311" w14:textId="77777777" w:rsidR="005B5818" w:rsidRDefault="005B5818" w:rsidP="006056B9">
      <w:pPr>
        <w:rPr>
          <w:szCs w:val="24"/>
        </w:rPr>
      </w:pPr>
      <w:r>
        <w:rPr>
          <w:szCs w:val="24"/>
        </w:rPr>
        <w:t>In this way, e</w:t>
      </w:r>
      <w:r w:rsidRPr="0039209D">
        <w:rPr>
          <w:szCs w:val="24"/>
        </w:rPr>
        <w:t xml:space="preserve">ach Australian jurisdiction </w:t>
      </w:r>
      <w:r>
        <w:rPr>
          <w:szCs w:val="24"/>
        </w:rPr>
        <w:t xml:space="preserve">including the Commonwealth Department of Health and a number of key health </w:t>
      </w:r>
      <w:proofErr w:type="spellStart"/>
      <w:r>
        <w:rPr>
          <w:szCs w:val="24"/>
        </w:rPr>
        <w:t>organisations</w:t>
      </w:r>
      <w:proofErr w:type="spellEnd"/>
      <w:r>
        <w:rPr>
          <w:szCs w:val="24"/>
        </w:rPr>
        <w:t xml:space="preserve"> </w:t>
      </w:r>
      <w:r w:rsidR="005C625C">
        <w:rPr>
          <w:szCs w:val="24"/>
        </w:rPr>
        <w:t>were</w:t>
      </w:r>
      <w:r>
        <w:rPr>
          <w:szCs w:val="24"/>
        </w:rPr>
        <w:t xml:space="preserve"> exposed and had input into the development of the methodology for the ECC Model via their representative on the DTG.</w:t>
      </w:r>
      <w:r w:rsidRPr="00ED6CBB">
        <w:rPr>
          <w:szCs w:val="24"/>
        </w:rPr>
        <w:t xml:space="preserve"> To date, the DTG met on </w:t>
      </w:r>
      <w:r>
        <w:rPr>
          <w:szCs w:val="24"/>
        </w:rPr>
        <w:t>four</w:t>
      </w:r>
      <w:r w:rsidRPr="00ED6CBB">
        <w:rPr>
          <w:szCs w:val="24"/>
        </w:rPr>
        <w:t xml:space="preserve"> occasions</w:t>
      </w:r>
      <w:r>
        <w:rPr>
          <w:szCs w:val="24"/>
        </w:rPr>
        <w:t>, with the first full day face to face meeting held</w:t>
      </w:r>
      <w:r w:rsidRPr="00ED6CBB">
        <w:rPr>
          <w:szCs w:val="24"/>
        </w:rPr>
        <w:t xml:space="preserve"> </w:t>
      </w:r>
      <w:r>
        <w:rPr>
          <w:szCs w:val="24"/>
        </w:rPr>
        <w:t>in</w:t>
      </w:r>
      <w:r w:rsidRPr="00ED6CBB">
        <w:rPr>
          <w:szCs w:val="24"/>
        </w:rPr>
        <w:t xml:space="preserve"> February 2014</w:t>
      </w:r>
      <w:r>
        <w:rPr>
          <w:szCs w:val="24"/>
        </w:rPr>
        <w:t>.</w:t>
      </w:r>
    </w:p>
    <w:p w14:paraId="653A40C4" w14:textId="77777777" w:rsidR="005B5818" w:rsidRPr="0039209D" w:rsidRDefault="005B5818" w:rsidP="006056B9">
      <w:pPr>
        <w:rPr>
          <w:szCs w:val="24"/>
        </w:rPr>
      </w:pPr>
      <w:r>
        <w:rPr>
          <w:szCs w:val="24"/>
        </w:rPr>
        <w:t xml:space="preserve">Clinical input throughout the project </w:t>
      </w:r>
      <w:r w:rsidR="005C625C">
        <w:rPr>
          <w:szCs w:val="24"/>
        </w:rPr>
        <w:t>was</w:t>
      </w:r>
      <w:r>
        <w:rPr>
          <w:szCs w:val="24"/>
        </w:rPr>
        <w:t xml:space="preserve"> provided by CCAG. Since February 2014, CCAG met via teleconference on two occasions and had one face-to-face meeting on 23 June 2014. CCAG </w:t>
      </w:r>
      <w:r w:rsidR="00E1212F">
        <w:rPr>
          <w:szCs w:val="24"/>
        </w:rPr>
        <w:t>is</w:t>
      </w:r>
      <w:r>
        <w:rPr>
          <w:szCs w:val="24"/>
        </w:rPr>
        <w:t xml:space="preserve"> chaired by a</w:t>
      </w:r>
      <w:r w:rsidRPr="007E5288">
        <w:rPr>
          <w:szCs w:val="24"/>
        </w:rPr>
        <w:t xml:space="preserve"> member of IHPA's Clinical Advisory Committee (CAC) </w:t>
      </w:r>
      <w:r w:rsidR="00E1212F">
        <w:rPr>
          <w:szCs w:val="24"/>
        </w:rPr>
        <w:t>and includes</w:t>
      </w:r>
      <w:r w:rsidRPr="007E5288">
        <w:rPr>
          <w:szCs w:val="24"/>
        </w:rPr>
        <w:t xml:space="preserve"> </w:t>
      </w:r>
      <w:r w:rsidRPr="0044131D">
        <w:rPr>
          <w:szCs w:val="24"/>
        </w:rPr>
        <w:t xml:space="preserve">a </w:t>
      </w:r>
      <w:r w:rsidRPr="0044131D">
        <w:rPr>
          <w:szCs w:val="24"/>
        </w:rPr>
        <w:lastRenderedPageBreak/>
        <w:t>small number of clinicians with a broad knowledge range and interest/expertise in classifications with support from ACCD including the NCCH’s Principal Clinical Advisor (PCA)</w:t>
      </w:r>
      <w:r>
        <w:rPr>
          <w:szCs w:val="24"/>
        </w:rPr>
        <w:t>.</w:t>
      </w:r>
    </w:p>
    <w:p w14:paraId="06D384E2" w14:textId="77777777" w:rsidR="005B5818" w:rsidRDefault="005B5818" w:rsidP="006056B9">
      <w:pPr>
        <w:rPr>
          <w:szCs w:val="24"/>
        </w:rPr>
      </w:pPr>
      <w:r w:rsidRPr="0039209D">
        <w:rPr>
          <w:szCs w:val="24"/>
        </w:rPr>
        <w:t xml:space="preserve">The </w:t>
      </w:r>
      <w:r>
        <w:rPr>
          <w:szCs w:val="24"/>
        </w:rPr>
        <w:t xml:space="preserve">initial analysis of the current case complexity system, the proposed ECC Model methodology, its continued progress and refinement and all associated discussion papers </w:t>
      </w:r>
      <w:r w:rsidR="005C625C">
        <w:rPr>
          <w:szCs w:val="24"/>
        </w:rPr>
        <w:t>were</w:t>
      </w:r>
      <w:r>
        <w:rPr>
          <w:szCs w:val="24"/>
        </w:rPr>
        <w:t xml:space="preserve"> progressively presented to the DTG </w:t>
      </w:r>
      <w:r w:rsidRPr="0039209D">
        <w:rPr>
          <w:szCs w:val="24"/>
        </w:rPr>
        <w:t xml:space="preserve">and </w:t>
      </w:r>
      <w:r>
        <w:rPr>
          <w:szCs w:val="24"/>
        </w:rPr>
        <w:t xml:space="preserve">CCAG. The proposed approach was welcomed and the foundation for continued refinement along the lines of the proposed approach </w:t>
      </w:r>
      <w:r w:rsidR="005C625C">
        <w:rPr>
          <w:szCs w:val="24"/>
        </w:rPr>
        <w:t>was</w:t>
      </w:r>
      <w:r>
        <w:rPr>
          <w:szCs w:val="24"/>
        </w:rPr>
        <w:t xml:space="preserve"> endorsed by the DTG and CCAG.</w:t>
      </w:r>
    </w:p>
    <w:p w14:paraId="7B9D983B" w14:textId="77777777" w:rsidR="005B5818" w:rsidRPr="0039209D" w:rsidRDefault="005B5818" w:rsidP="006056B9">
      <w:pPr>
        <w:rPr>
          <w:b/>
          <w:szCs w:val="24"/>
        </w:rPr>
      </w:pPr>
      <w:r>
        <w:rPr>
          <w:szCs w:val="24"/>
        </w:rPr>
        <w:t xml:space="preserve">A DTG subgroup was formed at the DTG meeting on 30 April 2014. Subgroup membership included clinical and classification experts from the ACCD and the DTG. The subgroup met on 27 May 2014 to review and </w:t>
      </w:r>
      <w:proofErr w:type="spellStart"/>
      <w:r>
        <w:rPr>
          <w:szCs w:val="24"/>
        </w:rPr>
        <w:t>formalise</w:t>
      </w:r>
      <w:proofErr w:type="spellEnd"/>
      <w:r>
        <w:rPr>
          <w:szCs w:val="24"/>
        </w:rPr>
        <w:t xml:space="preserve"> g</w:t>
      </w:r>
      <w:r w:rsidRPr="00AD14D6">
        <w:rPr>
          <w:szCs w:val="24"/>
        </w:rPr>
        <w:t xml:space="preserve">uiding </w:t>
      </w:r>
      <w:r>
        <w:rPr>
          <w:szCs w:val="24"/>
        </w:rPr>
        <w:t>p</w:t>
      </w:r>
      <w:r w:rsidRPr="00AD14D6">
        <w:rPr>
          <w:szCs w:val="24"/>
        </w:rPr>
        <w:t xml:space="preserve">rinciples for the scope of the </w:t>
      </w:r>
      <w:r>
        <w:rPr>
          <w:szCs w:val="24"/>
        </w:rPr>
        <w:t>DCL</w:t>
      </w:r>
      <w:r w:rsidRPr="00AD14D6">
        <w:rPr>
          <w:szCs w:val="24"/>
        </w:rPr>
        <w:t xml:space="preserve"> within the </w:t>
      </w:r>
      <w:r>
        <w:rPr>
          <w:szCs w:val="24"/>
        </w:rPr>
        <w:t xml:space="preserve">ECC Model. The outcomes of this subgroup meeting were presented and endorsed at the 3 June DTG meeting </w:t>
      </w:r>
      <w:r w:rsidRPr="00ED6CBB">
        <w:rPr>
          <w:szCs w:val="24"/>
        </w:rPr>
        <w:t>and CCAG on 23 June 2014.</w:t>
      </w:r>
    </w:p>
    <w:p w14:paraId="67E6103C" w14:textId="77777777" w:rsidR="005B5818" w:rsidRDefault="005B5818" w:rsidP="00B60372">
      <w:pPr>
        <w:pStyle w:val="Heading3"/>
      </w:pPr>
      <w:r>
        <w:t>Project Overview</w:t>
      </w:r>
    </w:p>
    <w:p w14:paraId="0009B0EE" w14:textId="77777777" w:rsidR="005B5818" w:rsidRDefault="005B5818" w:rsidP="005B5818">
      <w:pPr>
        <w:rPr>
          <w:szCs w:val="24"/>
          <w:lang w:val="en-AU"/>
        </w:rPr>
      </w:pPr>
      <w:r>
        <w:rPr>
          <w:szCs w:val="24"/>
          <w:lang w:val="en-AU"/>
        </w:rPr>
        <w:t xml:space="preserve">This project forms Phase One of the overall development and refinement for AR-DRG V8.0 and future versions of the AR-DRGs. </w:t>
      </w:r>
    </w:p>
    <w:p w14:paraId="0ED559DB" w14:textId="77777777" w:rsidR="005B5818" w:rsidRDefault="005B5818" w:rsidP="005B5818">
      <w:pPr>
        <w:rPr>
          <w:szCs w:val="24"/>
          <w:lang w:val="en-AU"/>
        </w:rPr>
      </w:pPr>
      <w:r w:rsidRPr="00ED6CBB">
        <w:rPr>
          <w:szCs w:val="24"/>
          <w:lang w:val="en-AU"/>
        </w:rPr>
        <w:t>The</w:t>
      </w:r>
      <w:r>
        <w:rPr>
          <w:szCs w:val="24"/>
          <w:lang w:val="en-AU"/>
        </w:rPr>
        <w:t xml:space="preserve"> d</w:t>
      </w:r>
      <w:r w:rsidRPr="00ED6CBB">
        <w:rPr>
          <w:szCs w:val="24"/>
          <w:lang w:val="en-AU"/>
        </w:rPr>
        <w:t>evelopment of the ECC Model</w:t>
      </w:r>
      <w:r>
        <w:rPr>
          <w:szCs w:val="24"/>
          <w:lang w:val="en-AU"/>
        </w:rPr>
        <w:t xml:space="preserve"> has involved a number of stages:</w:t>
      </w:r>
    </w:p>
    <w:p w14:paraId="29E4CD4D" w14:textId="07770C9C" w:rsidR="005B5818" w:rsidRPr="0047597D" w:rsidRDefault="005B5818" w:rsidP="000E4FA5">
      <w:pPr>
        <w:pStyle w:val="ListBullet"/>
      </w:pPr>
      <w:r w:rsidRPr="00FB653B">
        <w:rPr>
          <w:i/>
        </w:rPr>
        <w:t>Data preparation</w:t>
      </w:r>
      <w:r w:rsidRPr="0047597D">
        <w:t xml:space="preserve"> (</w:t>
      </w:r>
      <w:r w:rsidR="001C1979">
        <w:t xml:space="preserve">page </w:t>
      </w:r>
      <w:r w:rsidR="001C1979">
        <w:fldChar w:fldCharType="begin"/>
      </w:r>
      <w:r w:rsidR="001C1979">
        <w:instrText xml:space="preserve"> PAGEREF _Ref400541175 \h </w:instrText>
      </w:r>
      <w:r w:rsidR="001C1979">
        <w:fldChar w:fldCharType="separate"/>
      </w:r>
      <w:r w:rsidR="0031717B">
        <w:rPr>
          <w:noProof/>
        </w:rPr>
        <w:t>28</w:t>
      </w:r>
      <w:r w:rsidR="001C1979">
        <w:fldChar w:fldCharType="end"/>
      </w:r>
      <w:r w:rsidRPr="0047597D">
        <w:t>)</w:t>
      </w:r>
      <w:r w:rsidR="00AB5225">
        <w:t>.</w:t>
      </w:r>
    </w:p>
    <w:p w14:paraId="49A4C095" w14:textId="4FCBF7C8" w:rsidR="005B5818" w:rsidRPr="0047597D" w:rsidRDefault="003820F9" w:rsidP="000E4FA5">
      <w:pPr>
        <w:pStyle w:val="ListBullet"/>
      </w:pPr>
      <w:r w:rsidRPr="00FB653B">
        <w:rPr>
          <w:i/>
        </w:rPr>
        <w:t xml:space="preserve">Using ADRG and diagnosis cost profiles to evaluate AR-DRG </w:t>
      </w:r>
      <w:r w:rsidR="00E1212F" w:rsidRPr="00FB653B">
        <w:rPr>
          <w:i/>
        </w:rPr>
        <w:t>V</w:t>
      </w:r>
      <w:r w:rsidRPr="00FB653B">
        <w:rPr>
          <w:i/>
        </w:rPr>
        <w:t>7.0 Complications and Comorbidities Levels</w:t>
      </w:r>
      <w:r w:rsidRPr="0047597D">
        <w:t xml:space="preserve"> </w:t>
      </w:r>
      <w:r w:rsidR="005B5818" w:rsidRPr="0047597D">
        <w:t>(</w:t>
      </w:r>
      <w:r w:rsidR="001C1979">
        <w:t xml:space="preserve">page </w:t>
      </w:r>
      <w:r w:rsidR="001C1979">
        <w:fldChar w:fldCharType="begin"/>
      </w:r>
      <w:r w:rsidR="001C1979">
        <w:instrText xml:space="preserve"> PAGEREF _Ref400541186 \h </w:instrText>
      </w:r>
      <w:r w:rsidR="001C1979">
        <w:fldChar w:fldCharType="separate"/>
      </w:r>
      <w:r w:rsidR="0031717B">
        <w:rPr>
          <w:noProof/>
        </w:rPr>
        <w:t>30</w:t>
      </w:r>
      <w:r w:rsidR="001C1979">
        <w:fldChar w:fldCharType="end"/>
      </w:r>
      <w:r w:rsidR="005B5818" w:rsidRPr="0047597D">
        <w:t>)</w:t>
      </w:r>
      <w:r w:rsidR="00AB5225">
        <w:t>.</w:t>
      </w:r>
    </w:p>
    <w:p w14:paraId="507CF1F0" w14:textId="59E9F7DA" w:rsidR="005B5818" w:rsidRPr="0047597D" w:rsidRDefault="003820F9" w:rsidP="00FB653B">
      <w:pPr>
        <w:pStyle w:val="ListBullet"/>
      </w:pPr>
      <w:r w:rsidRPr="00FB653B">
        <w:rPr>
          <w:i/>
        </w:rPr>
        <w:t>The Episode Clinical</w:t>
      </w:r>
      <w:r w:rsidR="005B5818" w:rsidRPr="00FB653B">
        <w:rPr>
          <w:i/>
        </w:rPr>
        <w:t xml:space="preserve"> </w:t>
      </w:r>
      <w:r w:rsidRPr="00FB653B">
        <w:rPr>
          <w:i/>
        </w:rPr>
        <w:t>Complexity Model</w:t>
      </w:r>
      <w:r w:rsidRPr="0047597D">
        <w:t xml:space="preserve"> </w:t>
      </w:r>
      <w:r w:rsidR="005B5818" w:rsidRPr="0047597D">
        <w:t>(</w:t>
      </w:r>
      <w:r w:rsidR="001C1979">
        <w:t xml:space="preserve">page </w:t>
      </w:r>
      <w:r w:rsidR="001C1979">
        <w:fldChar w:fldCharType="begin"/>
      </w:r>
      <w:r w:rsidR="001C1979">
        <w:instrText xml:space="preserve"> PAGEREF _Ref400541195 \h </w:instrText>
      </w:r>
      <w:r w:rsidR="001C1979">
        <w:fldChar w:fldCharType="separate"/>
      </w:r>
      <w:r w:rsidR="0031717B">
        <w:rPr>
          <w:noProof/>
        </w:rPr>
        <w:t>37</w:t>
      </w:r>
      <w:r w:rsidR="001C1979">
        <w:fldChar w:fldCharType="end"/>
      </w:r>
      <w:r w:rsidR="005B5818" w:rsidRPr="0047597D">
        <w:t>)</w:t>
      </w:r>
      <w:r w:rsidR="00AB5225">
        <w:t>.</w:t>
      </w:r>
    </w:p>
    <w:p w14:paraId="645A6DE9" w14:textId="5A68FF2C" w:rsidR="003820F9" w:rsidRPr="0047597D" w:rsidRDefault="003820F9" w:rsidP="00FB653B">
      <w:pPr>
        <w:pStyle w:val="ListBullet"/>
      </w:pPr>
      <w:r w:rsidRPr="00FB653B">
        <w:rPr>
          <w:i/>
        </w:rPr>
        <w:t>Treatment of the Principal diagnosis in classification design</w:t>
      </w:r>
      <w:r w:rsidRPr="0047597D">
        <w:t xml:space="preserve"> (</w:t>
      </w:r>
      <w:r w:rsidR="001C1979">
        <w:t xml:space="preserve">page </w:t>
      </w:r>
      <w:r w:rsidR="001C1979">
        <w:fldChar w:fldCharType="begin"/>
      </w:r>
      <w:r w:rsidR="001C1979">
        <w:instrText xml:space="preserve"> PAGEREF _Ref400541210 \h </w:instrText>
      </w:r>
      <w:r w:rsidR="001C1979">
        <w:fldChar w:fldCharType="separate"/>
      </w:r>
      <w:r w:rsidR="0031717B">
        <w:rPr>
          <w:noProof/>
        </w:rPr>
        <w:t>68</w:t>
      </w:r>
      <w:r w:rsidR="001C1979">
        <w:fldChar w:fldCharType="end"/>
      </w:r>
      <w:r w:rsidRPr="0047597D">
        <w:t>)</w:t>
      </w:r>
      <w:r w:rsidR="00AB5225">
        <w:t>.</w:t>
      </w:r>
    </w:p>
    <w:p w14:paraId="7C3768CB" w14:textId="16F1E61A" w:rsidR="005B5818" w:rsidRPr="0047597D" w:rsidRDefault="005B5818" w:rsidP="00FB653B">
      <w:pPr>
        <w:pStyle w:val="ListBullet"/>
      </w:pPr>
      <w:r w:rsidRPr="00FB653B">
        <w:rPr>
          <w:i/>
        </w:rPr>
        <w:t xml:space="preserve">Guiding principles for Diagnosis Complexity Level </w:t>
      </w:r>
      <w:r w:rsidR="00E7146F" w:rsidRPr="00FB653B">
        <w:rPr>
          <w:i/>
        </w:rPr>
        <w:t>assignment</w:t>
      </w:r>
      <w:r w:rsidR="00E7146F" w:rsidRPr="0047597D">
        <w:t xml:space="preserve"> </w:t>
      </w:r>
      <w:r w:rsidR="003820F9" w:rsidRPr="0047597D">
        <w:t>(</w:t>
      </w:r>
      <w:r w:rsidR="001C1979">
        <w:t xml:space="preserve">page </w:t>
      </w:r>
      <w:r w:rsidR="001C1979">
        <w:fldChar w:fldCharType="begin"/>
      </w:r>
      <w:r w:rsidR="001C1979">
        <w:instrText xml:space="preserve"> PAGEREF _Ref400541226 \h </w:instrText>
      </w:r>
      <w:r w:rsidR="001C1979">
        <w:fldChar w:fldCharType="separate"/>
      </w:r>
      <w:r w:rsidR="0031717B">
        <w:rPr>
          <w:noProof/>
        </w:rPr>
        <w:t>79</w:t>
      </w:r>
      <w:r w:rsidR="001C1979">
        <w:fldChar w:fldCharType="end"/>
      </w:r>
      <w:r w:rsidR="003820F9" w:rsidRPr="0047597D">
        <w:t>)</w:t>
      </w:r>
      <w:r w:rsidR="00AB5225">
        <w:t>.</w:t>
      </w:r>
      <w:r w:rsidR="003820F9" w:rsidRPr="0047597D">
        <w:t xml:space="preserve"> </w:t>
      </w:r>
    </w:p>
    <w:p w14:paraId="74BC3C30" w14:textId="60BEF00D" w:rsidR="005B5818" w:rsidRPr="0047597D" w:rsidRDefault="003820F9" w:rsidP="00FB653B">
      <w:pPr>
        <w:pStyle w:val="ListBullet"/>
      </w:pPr>
      <w:r w:rsidRPr="00FB653B">
        <w:rPr>
          <w:i/>
        </w:rPr>
        <w:t xml:space="preserve">The use of the </w:t>
      </w:r>
      <w:r w:rsidR="004C70DD" w:rsidRPr="00FB653B">
        <w:rPr>
          <w:i/>
        </w:rPr>
        <w:t>condition onset flag</w:t>
      </w:r>
      <w:r w:rsidRPr="00FB653B">
        <w:rPr>
          <w:i/>
        </w:rPr>
        <w:t xml:space="preserve"> in classification design</w:t>
      </w:r>
      <w:r w:rsidR="005B5818" w:rsidRPr="0047597D">
        <w:t xml:space="preserve"> </w:t>
      </w:r>
      <w:r w:rsidRPr="0047597D">
        <w:t>(</w:t>
      </w:r>
      <w:r w:rsidR="001C1979">
        <w:t xml:space="preserve">page </w:t>
      </w:r>
      <w:r w:rsidR="001C1979">
        <w:fldChar w:fldCharType="begin"/>
      </w:r>
      <w:r w:rsidR="001C1979">
        <w:instrText xml:space="preserve"> PAGEREF _Ref400541252 \h </w:instrText>
      </w:r>
      <w:r w:rsidR="001C1979">
        <w:fldChar w:fldCharType="separate"/>
      </w:r>
      <w:r w:rsidR="0031717B">
        <w:rPr>
          <w:noProof/>
        </w:rPr>
        <w:t>86</w:t>
      </w:r>
      <w:r w:rsidR="001C1979">
        <w:fldChar w:fldCharType="end"/>
      </w:r>
      <w:r w:rsidRPr="0047597D">
        <w:t>)</w:t>
      </w:r>
      <w:r w:rsidR="00AB5225">
        <w:t>.</w:t>
      </w:r>
    </w:p>
    <w:p w14:paraId="745DF4CC" w14:textId="2641A2E3" w:rsidR="003820F9" w:rsidRPr="0047597D" w:rsidRDefault="003820F9" w:rsidP="00FB653B">
      <w:pPr>
        <w:pStyle w:val="ListBullet"/>
      </w:pPr>
      <w:r w:rsidRPr="00FB653B">
        <w:rPr>
          <w:i/>
        </w:rPr>
        <w:t>Evaluation of performance of the Episode Clinical Complexity Model</w:t>
      </w:r>
      <w:r w:rsidRPr="0047597D">
        <w:t xml:space="preserve"> (</w:t>
      </w:r>
      <w:r w:rsidR="001C1979">
        <w:t xml:space="preserve">page </w:t>
      </w:r>
      <w:r w:rsidR="001C1979">
        <w:fldChar w:fldCharType="begin"/>
      </w:r>
      <w:r w:rsidR="001C1979">
        <w:instrText xml:space="preserve"> PAGEREF _Ref400541286 \h </w:instrText>
      </w:r>
      <w:r w:rsidR="001C1979">
        <w:fldChar w:fldCharType="separate"/>
      </w:r>
      <w:r w:rsidR="0031717B">
        <w:rPr>
          <w:noProof/>
        </w:rPr>
        <w:t>92</w:t>
      </w:r>
      <w:r w:rsidR="001C1979">
        <w:fldChar w:fldCharType="end"/>
      </w:r>
      <w:r w:rsidRPr="0047597D">
        <w:t>)</w:t>
      </w:r>
      <w:r w:rsidR="00AB5225">
        <w:t>.</w:t>
      </w:r>
    </w:p>
    <w:p w14:paraId="53851D96" w14:textId="7940BFBE" w:rsidR="005B5818" w:rsidRPr="0047597D" w:rsidRDefault="005B5818" w:rsidP="00FB653B">
      <w:pPr>
        <w:pStyle w:val="ListBullet"/>
      </w:pPr>
      <w:r w:rsidRPr="00FB653B">
        <w:rPr>
          <w:i/>
        </w:rPr>
        <w:t>Continued refinement of ECC Model</w:t>
      </w:r>
      <w:r w:rsidRPr="0047597D">
        <w:t xml:space="preserve"> </w:t>
      </w:r>
      <w:r w:rsidR="00F35786" w:rsidRPr="0047597D">
        <w:t>(</w:t>
      </w:r>
      <w:r w:rsidR="001C1979">
        <w:t xml:space="preserve">page </w:t>
      </w:r>
      <w:r w:rsidR="001C1979">
        <w:fldChar w:fldCharType="begin"/>
      </w:r>
      <w:r w:rsidR="001C1979">
        <w:instrText xml:space="preserve"> PAGEREF _Ref400541297 \h </w:instrText>
      </w:r>
      <w:r w:rsidR="001C1979">
        <w:fldChar w:fldCharType="separate"/>
      </w:r>
      <w:r w:rsidR="0031717B">
        <w:rPr>
          <w:noProof/>
        </w:rPr>
        <w:t>112</w:t>
      </w:r>
      <w:r w:rsidR="001C1979">
        <w:fldChar w:fldCharType="end"/>
      </w:r>
      <w:r w:rsidR="00F35786" w:rsidRPr="0047597D">
        <w:t>)</w:t>
      </w:r>
      <w:r w:rsidR="00AB5225">
        <w:t>.</w:t>
      </w:r>
    </w:p>
    <w:p w14:paraId="34CCD77D" w14:textId="6FCFE970" w:rsidR="005B5818" w:rsidRPr="0047597D" w:rsidRDefault="005B5818" w:rsidP="00FB653B">
      <w:pPr>
        <w:pStyle w:val="ListBullet"/>
      </w:pPr>
      <w:r w:rsidRPr="00FB653B">
        <w:rPr>
          <w:i/>
        </w:rPr>
        <w:t>Conclusion</w:t>
      </w:r>
      <w:r w:rsidRPr="0047597D">
        <w:t xml:space="preserve"> </w:t>
      </w:r>
      <w:r w:rsidR="00F35786" w:rsidRPr="0047597D">
        <w:t>(</w:t>
      </w:r>
      <w:r w:rsidR="001C1979">
        <w:t xml:space="preserve">page </w:t>
      </w:r>
      <w:r w:rsidR="001C1979">
        <w:fldChar w:fldCharType="begin"/>
      </w:r>
      <w:r w:rsidR="001C1979">
        <w:instrText xml:space="preserve"> PAGEREF Conclusion \h </w:instrText>
      </w:r>
      <w:r w:rsidR="001C1979">
        <w:fldChar w:fldCharType="separate"/>
      </w:r>
      <w:r w:rsidR="0031717B">
        <w:rPr>
          <w:noProof/>
        </w:rPr>
        <w:t>120</w:t>
      </w:r>
      <w:r w:rsidR="001C1979">
        <w:fldChar w:fldCharType="end"/>
      </w:r>
      <w:r w:rsidR="00F35786" w:rsidRPr="0047597D">
        <w:t>)</w:t>
      </w:r>
      <w:r w:rsidR="00AB5225">
        <w:t>.</w:t>
      </w:r>
    </w:p>
    <w:p w14:paraId="3173A1A4" w14:textId="77777777" w:rsidR="005B5818" w:rsidRDefault="005B5818" w:rsidP="00B60372">
      <w:pPr>
        <w:pStyle w:val="Heading2"/>
      </w:pPr>
      <w:bookmarkStart w:id="20" w:name="_Data_preparation"/>
      <w:bookmarkStart w:id="21" w:name="DataPreparation"/>
      <w:bookmarkStart w:id="22" w:name="_Ref400541175"/>
      <w:bookmarkStart w:id="23" w:name="_Toc401061041"/>
      <w:bookmarkEnd w:id="20"/>
      <w:r w:rsidRPr="00161266">
        <w:lastRenderedPageBreak/>
        <w:t xml:space="preserve">Data </w:t>
      </w:r>
      <w:bookmarkEnd w:id="21"/>
      <w:r w:rsidR="004C70DD">
        <w:t>p</w:t>
      </w:r>
      <w:r w:rsidR="004C70DD" w:rsidRPr="00161266">
        <w:t>reparation</w:t>
      </w:r>
      <w:bookmarkEnd w:id="22"/>
      <w:bookmarkEnd w:id="23"/>
    </w:p>
    <w:p w14:paraId="3C0CD224" w14:textId="77777777" w:rsidR="00F35786" w:rsidRPr="00E1266C" w:rsidRDefault="00F35786" w:rsidP="006056B9">
      <w:pPr>
        <w:pStyle w:val="SectionIntroduction"/>
        <w:rPr>
          <w:lang w:val="en-AU"/>
        </w:rPr>
      </w:pPr>
      <w:r w:rsidRPr="00E1266C">
        <w:rPr>
          <w:lang w:val="en-AU"/>
        </w:rPr>
        <w:t>This section summarises the process used for data preparation, preceding the initial data analysis phase</w:t>
      </w:r>
      <w:r>
        <w:rPr>
          <w:lang w:val="en-AU"/>
        </w:rPr>
        <w:t xml:space="preserve"> of the project.</w:t>
      </w:r>
    </w:p>
    <w:p w14:paraId="52E68672" w14:textId="77777777" w:rsidR="005B5818" w:rsidRPr="00A0609E" w:rsidRDefault="005B5818" w:rsidP="00B60372">
      <w:pPr>
        <w:pStyle w:val="Heading3"/>
      </w:pPr>
      <w:r w:rsidRPr="00A0609E">
        <w:t>Source data</w:t>
      </w:r>
    </w:p>
    <w:p w14:paraId="70C0954F" w14:textId="77777777" w:rsidR="005B5818" w:rsidRDefault="005B5818" w:rsidP="006056B9">
      <w:pPr>
        <w:rPr>
          <w:szCs w:val="24"/>
        </w:rPr>
      </w:pPr>
      <w:r w:rsidRPr="00A0609E">
        <w:rPr>
          <w:szCs w:val="24"/>
        </w:rPr>
        <w:t xml:space="preserve">The project draws upon data from six years of acute admitted episodes </w:t>
      </w:r>
      <w:r>
        <w:rPr>
          <w:szCs w:val="24"/>
        </w:rPr>
        <w:t xml:space="preserve">for public hospitals </w:t>
      </w:r>
      <w:r w:rsidRPr="00A0609E">
        <w:rPr>
          <w:szCs w:val="24"/>
        </w:rPr>
        <w:t xml:space="preserve">from 2006-07 to 2011-12, as reported in the Admitted Patient Care (APC) National Minimum Dataset (NMDS) and the National Hospital Cost Data Collection (NHCDC). The majority of modelling and analysis </w:t>
      </w:r>
      <w:r w:rsidR="005C625C">
        <w:rPr>
          <w:szCs w:val="24"/>
        </w:rPr>
        <w:t>was</w:t>
      </w:r>
      <w:r w:rsidRPr="00A0609E">
        <w:rPr>
          <w:szCs w:val="24"/>
        </w:rPr>
        <w:t xml:space="preserve"> undertaken using data from patient-costed public establishments reported in the 2009-10, 2010-11 and 2011-12 NHCDC. Supplementary analyses, including validation and sensitivity analysis, </w:t>
      </w:r>
      <w:r w:rsidR="005C625C">
        <w:rPr>
          <w:szCs w:val="24"/>
        </w:rPr>
        <w:t>was</w:t>
      </w:r>
      <w:r w:rsidRPr="00A0609E">
        <w:rPr>
          <w:szCs w:val="24"/>
        </w:rPr>
        <w:t xml:space="preserve"> undertaken using the earlier three years of the NHCDC, and some further analyses undertaken across the broader collection of APC episodes, including those from private establishments.</w:t>
      </w:r>
    </w:p>
    <w:p w14:paraId="272CE5FF" w14:textId="77777777" w:rsidR="005B5818" w:rsidRPr="00A0609E" w:rsidRDefault="005B5818" w:rsidP="00B60372">
      <w:pPr>
        <w:pStyle w:val="Heading3"/>
      </w:pPr>
      <w:r w:rsidRPr="00A0609E">
        <w:t>ICD-10-AM mapping</w:t>
      </w:r>
    </w:p>
    <w:p w14:paraId="00802981" w14:textId="77777777" w:rsidR="005B5818" w:rsidRPr="00D22475" w:rsidRDefault="005B5818" w:rsidP="006056B9">
      <w:pPr>
        <w:rPr>
          <w:szCs w:val="24"/>
          <w:lang w:val="en-AU"/>
        </w:rPr>
      </w:pPr>
      <w:r w:rsidRPr="00A0609E">
        <w:rPr>
          <w:szCs w:val="24"/>
          <w:lang w:val="en-AU"/>
        </w:rPr>
        <w:t xml:space="preserve">The diagnosis and </w:t>
      </w:r>
      <w:r>
        <w:rPr>
          <w:szCs w:val="24"/>
          <w:lang w:val="en-AU"/>
        </w:rPr>
        <w:t xml:space="preserve">intervention </w:t>
      </w:r>
      <w:r w:rsidRPr="00A0609E">
        <w:rPr>
          <w:szCs w:val="24"/>
          <w:lang w:val="en-AU"/>
        </w:rPr>
        <w:t xml:space="preserve">arrays of each year’s APC data </w:t>
      </w:r>
      <w:r>
        <w:rPr>
          <w:szCs w:val="24"/>
          <w:lang w:val="en-AU"/>
        </w:rPr>
        <w:t xml:space="preserve">were </w:t>
      </w:r>
      <w:r w:rsidRPr="00A0609E">
        <w:rPr>
          <w:szCs w:val="24"/>
          <w:lang w:val="en-AU"/>
        </w:rPr>
        <w:t xml:space="preserve">mapped from the edition of ICD-10-AM native </w:t>
      </w:r>
      <w:r>
        <w:rPr>
          <w:szCs w:val="24"/>
          <w:lang w:val="en-AU"/>
        </w:rPr>
        <w:t>for</w:t>
      </w:r>
      <w:r w:rsidRPr="00A0609E">
        <w:rPr>
          <w:szCs w:val="24"/>
          <w:lang w:val="en-AU"/>
        </w:rPr>
        <w:t xml:space="preserve"> that year forward to Eighth Edition. Morphology codes </w:t>
      </w:r>
      <w:r>
        <w:rPr>
          <w:szCs w:val="24"/>
          <w:lang w:val="en-AU"/>
        </w:rPr>
        <w:t xml:space="preserve">were </w:t>
      </w:r>
      <w:r w:rsidRPr="00A0609E">
        <w:rPr>
          <w:szCs w:val="24"/>
          <w:lang w:val="en-AU"/>
        </w:rPr>
        <w:t xml:space="preserve">removed from the diagnosis arrays during this process and episodes with diagnosis or </w:t>
      </w:r>
      <w:r>
        <w:rPr>
          <w:szCs w:val="24"/>
          <w:lang w:val="en-AU"/>
        </w:rPr>
        <w:t xml:space="preserve">intervention </w:t>
      </w:r>
      <w:r w:rsidRPr="00A0609E">
        <w:rPr>
          <w:szCs w:val="24"/>
          <w:lang w:val="en-AU"/>
        </w:rPr>
        <w:t xml:space="preserve">codes that </w:t>
      </w:r>
      <w:r>
        <w:rPr>
          <w:szCs w:val="24"/>
          <w:lang w:val="en-AU"/>
        </w:rPr>
        <w:t xml:space="preserve">were </w:t>
      </w:r>
      <w:r w:rsidRPr="00A0609E">
        <w:rPr>
          <w:szCs w:val="24"/>
          <w:lang w:val="en-AU"/>
        </w:rPr>
        <w:t xml:space="preserve">not valid with respect to the </w:t>
      </w:r>
      <w:r>
        <w:rPr>
          <w:szCs w:val="24"/>
          <w:lang w:val="en-AU"/>
        </w:rPr>
        <w:t>relevant</w:t>
      </w:r>
      <w:r w:rsidRPr="00A0609E">
        <w:rPr>
          <w:szCs w:val="24"/>
          <w:lang w:val="en-AU"/>
        </w:rPr>
        <w:t xml:space="preserve"> edition of ICD-10-AM </w:t>
      </w:r>
      <w:r>
        <w:rPr>
          <w:szCs w:val="24"/>
          <w:lang w:val="en-AU"/>
        </w:rPr>
        <w:t xml:space="preserve">were </w:t>
      </w:r>
      <w:r w:rsidRPr="00A0609E">
        <w:rPr>
          <w:szCs w:val="24"/>
          <w:lang w:val="en-AU"/>
        </w:rPr>
        <w:t>identified and excluded.</w:t>
      </w:r>
    </w:p>
    <w:p w14:paraId="4FC4E060" w14:textId="77777777" w:rsidR="005B5818" w:rsidRDefault="005B5818" w:rsidP="00B60372">
      <w:pPr>
        <w:pStyle w:val="Heading3"/>
        <w:rPr>
          <w:rFonts w:eastAsia="Cambria"/>
        </w:rPr>
      </w:pPr>
      <w:r>
        <w:rPr>
          <w:rFonts w:eastAsia="Cambria"/>
        </w:rPr>
        <w:t>Data exclusions</w:t>
      </w:r>
    </w:p>
    <w:p w14:paraId="4EE0AAA7" w14:textId="77777777" w:rsidR="005B5818" w:rsidRPr="00BC63F0" w:rsidRDefault="005B5818" w:rsidP="005B5818">
      <w:pPr>
        <w:rPr>
          <w:szCs w:val="24"/>
          <w:lang w:val="en-AU"/>
        </w:rPr>
      </w:pPr>
      <w:r w:rsidRPr="00BC63F0">
        <w:rPr>
          <w:szCs w:val="24"/>
          <w:lang w:val="en-AU"/>
        </w:rPr>
        <w:t xml:space="preserve">Changes to the classification of admitted patients in New South Wales and Victoria </w:t>
      </w:r>
      <w:r>
        <w:rPr>
          <w:szCs w:val="24"/>
          <w:lang w:val="en-AU"/>
        </w:rPr>
        <w:t xml:space="preserve">were </w:t>
      </w:r>
      <w:r w:rsidRPr="00BC63F0">
        <w:rPr>
          <w:szCs w:val="24"/>
          <w:lang w:val="en-AU"/>
        </w:rPr>
        <w:t xml:space="preserve">back-cast onto earlier years </w:t>
      </w:r>
      <w:r>
        <w:rPr>
          <w:szCs w:val="24"/>
          <w:lang w:val="en-AU"/>
        </w:rPr>
        <w:t>to ensure consistency of definition of admitted patient episodes</w:t>
      </w:r>
      <w:r w:rsidRPr="00BC63F0">
        <w:rPr>
          <w:szCs w:val="24"/>
          <w:lang w:val="en-AU"/>
        </w:rPr>
        <w:t xml:space="preserve">. Specifically, so-called </w:t>
      </w:r>
      <w:r>
        <w:rPr>
          <w:szCs w:val="24"/>
          <w:lang w:val="en-AU"/>
        </w:rPr>
        <w:t xml:space="preserve">emergency department (ED) only or </w:t>
      </w:r>
      <w:r w:rsidRPr="00BC63F0">
        <w:rPr>
          <w:szCs w:val="24"/>
          <w:lang w:val="en-AU"/>
        </w:rPr>
        <w:t xml:space="preserve">‘ED-only’ episodes, which </w:t>
      </w:r>
      <w:r w:rsidR="006B0620">
        <w:rPr>
          <w:szCs w:val="24"/>
          <w:lang w:val="en-AU"/>
        </w:rPr>
        <w:t>were</w:t>
      </w:r>
      <w:r w:rsidRPr="00BC63F0">
        <w:rPr>
          <w:szCs w:val="24"/>
          <w:lang w:val="en-AU"/>
        </w:rPr>
        <w:t xml:space="preserve"> no longer classified as being admitted, </w:t>
      </w:r>
      <w:r>
        <w:rPr>
          <w:szCs w:val="24"/>
          <w:lang w:val="en-AU"/>
        </w:rPr>
        <w:t xml:space="preserve">were </w:t>
      </w:r>
      <w:r w:rsidRPr="00BC63F0">
        <w:rPr>
          <w:szCs w:val="24"/>
          <w:lang w:val="en-AU"/>
        </w:rPr>
        <w:t>identified and excluded from earlier years of the data.</w:t>
      </w:r>
    </w:p>
    <w:p w14:paraId="1BFF9D90" w14:textId="77777777" w:rsidR="005B5818" w:rsidRPr="00BC63F0" w:rsidRDefault="005B5818" w:rsidP="005B5818">
      <w:pPr>
        <w:rPr>
          <w:szCs w:val="24"/>
          <w:lang w:val="en-AU"/>
        </w:rPr>
      </w:pPr>
      <w:r w:rsidRPr="00BC63F0">
        <w:rPr>
          <w:szCs w:val="24"/>
          <w:lang w:val="en-AU"/>
        </w:rPr>
        <w:lastRenderedPageBreak/>
        <w:t xml:space="preserve">All episode costs reported in the NHCDC, except those reported within the depreciation cost bucket, </w:t>
      </w:r>
      <w:r>
        <w:rPr>
          <w:szCs w:val="24"/>
          <w:lang w:val="en-AU"/>
        </w:rPr>
        <w:t xml:space="preserve">were </w:t>
      </w:r>
      <w:r w:rsidRPr="00BC63F0">
        <w:rPr>
          <w:szCs w:val="24"/>
          <w:lang w:val="en-AU"/>
        </w:rPr>
        <w:t xml:space="preserve">used. Costs </w:t>
      </w:r>
      <w:r>
        <w:rPr>
          <w:szCs w:val="24"/>
          <w:lang w:val="en-AU"/>
        </w:rPr>
        <w:t xml:space="preserve">were </w:t>
      </w:r>
      <w:r w:rsidRPr="00BC63F0">
        <w:rPr>
          <w:szCs w:val="24"/>
          <w:lang w:val="en-AU"/>
        </w:rPr>
        <w:t>indexed to 2011-12 using a national indexation mode</w:t>
      </w:r>
      <w:r>
        <w:rPr>
          <w:szCs w:val="24"/>
          <w:lang w:val="en-AU"/>
        </w:rPr>
        <w:t>l that controls</w:t>
      </w:r>
      <w:r w:rsidRPr="00BC63F0">
        <w:rPr>
          <w:szCs w:val="24"/>
          <w:lang w:val="en-AU"/>
        </w:rPr>
        <w:t xml:space="preserve"> for changes in establishments and </w:t>
      </w:r>
      <w:proofErr w:type="spellStart"/>
      <w:r w:rsidRPr="00BC63F0">
        <w:rPr>
          <w:szCs w:val="24"/>
          <w:lang w:val="en-AU"/>
        </w:rPr>
        <w:t>casemix</w:t>
      </w:r>
      <w:proofErr w:type="spellEnd"/>
      <w:r w:rsidRPr="00BC63F0">
        <w:rPr>
          <w:szCs w:val="24"/>
          <w:lang w:val="en-AU"/>
        </w:rPr>
        <w:t xml:space="preserve"> (i.e. DRG and LOS).</w:t>
      </w:r>
    </w:p>
    <w:p w14:paraId="384C6F6F" w14:textId="77777777" w:rsidR="005B5818" w:rsidRPr="00BC63F0" w:rsidRDefault="005B5818" w:rsidP="005B5818">
      <w:pPr>
        <w:rPr>
          <w:szCs w:val="24"/>
          <w:lang w:val="en-AU"/>
        </w:rPr>
      </w:pPr>
      <w:r w:rsidRPr="00BC63F0">
        <w:rPr>
          <w:szCs w:val="24"/>
          <w:lang w:val="en-AU"/>
        </w:rPr>
        <w:t xml:space="preserve">Records </w:t>
      </w:r>
      <w:r>
        <w:rPr>
          <w:szCs w:val="24"/>
          <w:lang w:val="en-AU"/>
        </w:rPr>
        <w:t>were</w:t>
      </w:r>
      <w:r w:rsidRPr="00BC63F0">
        <w:rPr>
          <w:szCs w:val="24"/>
          <w:lang w:val="en-AU"/>
        </w:rPr>
        <w:t xml:space="preserve"> identified and excluded from the cost data on the basis of:</w:t>
      </w:r>
    </w:p>
    <w:p w14:paraId="675BD229" w14:textId="77777777" w:rsidR="005B5818" w:rsidRPr="00BC63F0" w:rsidRDefault="005B5818" w:rsidP="005B5818">
      <w:pPr>
        <w:numPr>
          <w:ilvl w:val="0"/>
          <w:numId w:val="18"/>
        </w:numPr>
        <w:contextualSpacing/>
        <w:rPr>
          <w:szCs w:val="24"/>
          <w:lang w:val="en-AU"/>
        </w:rPr>
      </w:pPr>
      <w:r w:rsidRPr="00BC63F0">
        <w:rPr>
          <w:szCs w:val="24"/>
          <w:lang w:val="en-AU"/>
        </w:rPr>
        <w:t>being from establishments with less than 100 costed episodes;</w:t>
      </w:r>
    </w:p>
    <w:p w14:paraId="489A4AC2" w14:textId="77777777" w:rsidR="005B5818" w:rsidRDefault="005B5818" w:rsidP="005B5818">
      <w:pPr>
        <w:numPr>
          <w:ilvl w:val="0"/>
          <w:numId w:val="18"/>
        </w:numPr>
        <w:contextualSpacing/>
        <w:rPr>
          <w:szCs w:val="24"/>
          <w:lang w:val="en-AU"/>
        </w:rPr>
      </w:pPr>
      <w:r w:rsidRPr="00BC63F0">
        <w:rPr>
          <w:szCs w:val="24"/>
          <w:lang w:val="en-AU"/>
        </w:rPr>
        <w:t>having identical costs across significant LOS intervals (indicating simple cost modelling);</w:t>
      </w:r>
    </w:p>
    <w:p w14:paraId="6232C27A" w14:textId="77777777" w:rsidR="005B5818" w:rsidRDefault="005B5818" w:rsidP="005B5818">
      <w:pPr>
        <w:numPr>
          <w:ilvl w:val="0"/>
          <w:numId w:val="18"/>
        </w:numPr>
        <w:contextualSpacing/>
        <w:rPr>
          <w:szCs w:val="24"/>
          <w:lang w:val="en-AU"/>
        </w:rPr>
      </w:pPr>
      <w:r w:rsidRPr="00D22475">
        <w:rPr>
          <w:szCs w:val="24"/>
          <w:lang w:val="en-AU"/>
        </w:rPr>
        <w:t>having implausibly low costs ($25 or less); or</w:t>
      </w:r>
    </w:p>
    <w:p w14:paraId="505B9F88" w14:textId="77777777" w:rsidR="005B5818" w:rsidRPr="00D22475" w:rsidRDefault="005B5818" w:rsidP="005B5818">
      <w:pPr>
        <w:numPr>
          <w:ilvl w:val="0"/>
          <w:numId w:val="18"/>
        </w:numPr>
        <w:contextualSpacing/>
        <w:rPr>
          <w:szCs w:val="24"/>
          <w:lang w:val="en-AU"/>
        </w:rPr>
      </w:pPr>
      <w:r w:rsidRPr="00D22475">
        <w:rPr>
          <w:szCs w:val="24"/>
          <w:lang w:val="en-AU"/>
        </w:rPr>
        <w:t>advice received on costing anomalies.</w:t>
      </w:r>
    </w:p>
    <w:p w14:paraId="6603FCBF" w14:textId="77777777" w:rsidR="005B5818" w:rsidRPr="0044582C" w:rsidRDefault="00CC0F16" w:rsidP="005B5818">
      <w:pPr>
        <w:spacing w:before="240"/>
        <w:rPr>
          <w:szCs w:val="24"/>
          <w:lang w:val="en-AU"/>
        </w:rPr>
      </w:pPr>
      <w:r>
        <w:fldChar w:fldCharType="begin"/>
      </w:r>
      <w:r>
        <w:instrText xml:space="preserve"> REF _Ref390966590 \h  \* MERGEFORMAT </w:instrText>
      </w:r>
      <w:r>
        <w:fldChar w:fldCharType="separate"/>
      </w:r>
      <w:r w:rsidR="0031717B" w:rsidRPr="0031717B">
        <w:rPr>
          <w:szCs w:val="24"/>
          <w:lang w:val="en-AU"/>
        </w:rPr>
        <w:t>Table 1</w:t>
      </w:r>
      <w:r>
        <w:fldChar w:fldCharType="end"/>
      </w:r>
      <w:r w:rsidR="005B5818" w:rsidRPr="00424555">
        <w:rPr>
          <w:szCs w:val="24"/>
          <w:lang w:val="en-AU"/>
        </w:rPr>
        <w:t xml:space="preserve"> provides</w:t>
      </w:r>
      <w:r w:rsidR="005B5818" w:rsidRPr="00BC63F0">
        <w:rPr>
          <w:szCs w:val="24"/>
          <w:lang w:val="en-AU"/>
        </w:rPr>
        <w:t xml:space="preserve"> a summary of the final data used in the project. The table pools the cost data exclusions with the public establishment episodes without costs. The table excludes records remove</w:t>
      </w:r>
      <w:r w:rsidR="005B5818">
        <w:rPr>
          <w:szCs w:val="24"/>
          <w:lang w:val="en-AU"/>
        </w:rPr>
        <w:t>d</w:t>
      </w:r>
      <w:r w:rsidR="005B5818" w:rsidRPr="00BC63F0">
        <w:rPr>
          <w:szCs w:val="24"/>
          <w:lang w:val="en-AU"/>
        </w:rPr>
        <w:t xml:space="preserve"> through the ICD-10-AM mapping process and those identified as ED-</w:t>
      </w:r>
      <w:r w:rsidR="005B5818" w:rsidRPr="0044582C">
        <w:rPr>
          <w:szCs w:val="24"/>
          <w:lang w:val="en-AU"/>
        </w:rPr>
        <w:t>only.</w:t>
      </w:r>
    </w:p>
    <w:p w14:paraId="42040B25" w14:textId="77777777" w:rsidR="005B5818" w:rsidRPr="0044582C" w:rsidRDefault="005B5818" w:rsidP="00AB5225">
      <w:pPr>
        <w:pStyle w:val="Caption"/>
        <w:rPr>
          <w:sz w:val="24"/>
          <w:szCs w:val="24"/>
          <w:lang w:val="en-AU"/>
        </w:rPr>
      </w:pPr>
      <w:bookmarkStart w:id="24" w:name="_Ref390966590"/>
      <w:bookmarkStart w:id="25" w:name="_Ref390695356"/>
      <w:bookmarkStart w:id="26" w:name="_Toc401061088"/>
      <w:r w:rsidRPr="0044582C">
        <w:t xml:space="preserve">Table </w:t>
      </w:r>
      <w:r w:rsidR="005559F5" w:rsidRPr="0044582C">
        <w:fldChar w:fldCharType="begin"/>
      </w:r>
      <w:r w:rsidRPr="0044582C">
        <w:instrText xml:space="preserve"> SEQ Table \* ARABIC </w:instrText>
      </w:r>
      <w:r w:rsidR="005559F5" w:rsidRPr="0044582C">
        <w:fldChar w:fldCharType="separate"/>
      </w:r>
      <w:r w:rsidR="0031717B">
        <w:rPr>
          <w:noProof/>
        </w:rPr>
        <w:t>1</w:t>
      </w:r>
      <w:r w:rsidR="005559F5" w:rsidRPr="0044582C">
        <w:rPr>
          <w:noProof/>
        </w:rPr>
        <w:fldChar w:fldCharType="end"/>
      </w:r>
      <w:bookmarkEnd w:id="24"/>
      <w:r w:rsidRPr="0044582C">
        <w:t>: Summary of final data used in the project</w:t>
      </w:r>
      <w:bookmarkEnd w:id="25"/>
      <w:r w:rsidR="009C130A">
        <w:t xml:space="preserve"> (private and public establishments)</w:t>
      </w:r>
      <w:r w:rsidR="000E4FA5">
        <w:t>.</w:t>
      </w:r>
      <w:bookmarkEnd w:id="26"/>
    </w:p>
    <w:tbl>
      <w:tblPr>
        <w:tblStyle w:val="Style1"/>
        <w:tblW w:w="8658" w:type="dxa"/>
        <w:tblLook w:val="0520" w:firstRow="1" w:lastRow="0" w:firstColumn="0" w:lastColumn="1" w:noHBand="0" w:noVBand="1"/>
        <w:tblCaption w:val="Summary of final data used in the project (private and public establishments)"/>
        <w:tblDescription w:val="This table provides a summary of final data used in the project by establishment, costing, and yearly period. The table has five columns: the first column lists the year period; the second lists the data for private establishments (non-costed); the third column lists the data for public establishments (non-costed); the fourth column lists the data for public establishments (costed); and the final column sums the total data for each year period."/>
      </w:tblPr>
      <w:tblGrid>
        <w:gridCol w:w="1630"/>
        <w:gridCol w:w="1757"/>
        <w:gridCol w:w="1757"/>
        <w:gridCol w:w="1757"/>
        <w:gridCol w:w="1757"/>
      </w:tblGrid>
      <w:tr w:rsidR="009C130A" w:rsidRPr="009C130A" w14:paraId="4CFFF71C" w14:textId="77777777" w:rsidTr="002C2518">
        <w:trPr>
          <w:cnfStyle w:val="100000000000" w:firstRow="1" w:lastRow="0" w:firstColumn="0" w:lastColumn="0" w:oddVBand="0" w:evenVBand="0" w:oddHBand="0" w:evenHBand="0" w:firstRowFirstColumn="0" w:firstRowLastColumn="0" w:lastRowFirstColumn="0" w:lastRowLastColumn="0"/>
          <w:trHeight w:val="320"/>
          <w:tblHeader/>
        </w:trPr>
        <w:tc>
          <w:tcPr>
            <w:tcW w:w="1630" w:type="dxa"/>
            <w:noWrap/>
            <w:hideMark/>
          </w:tcPr>
          <w:p w14:paraId="302C6987" w14:textId="77777777" w:rsidR="009C130A" w:rsidRPr="009C130A" w:rsidRDefault="009C130A" w:rsidP="00944D36">
            <w:pPr>
              <w:pStyle w:val="Table"/>
            </w:pPr>
            <w:bookmarkStart w:id="27" w:name="_Using_Adjacent_DRG"/>
            <w:bookmarkEnd w:id="27"/>
            <w:r>
              <w:t>Year</w:t>
            </w:r>
          </w:p>
        </w:tc>
        <w:tc>
          <w:tcPr>
            <w:tcW w:w="1757" w:type="dxa"/>
            <w:noWrap/>
            <w:hideMark/>
          </w:tcPr>
          <w:p w14:paraId="32D926C7" w14:textId="77777777" w:rsidR="009C130A" w:rsidRPr="009C130A" w:rsidRDefault="009C130A">
            <w:pPr>
              <w:pStyle w:val="Table"/>
            </w:pPr>
            <w:r w:rsidRPr="009C130A">
              <w:t>Private</w:t>
            </w:r>
            <w:r>
              <w:br/>
              <w:t>(not costed)</w:t>
            </w:r>
          </w:p>
        </w:tc>
        <w:tc>
          <w:tcPr>
            <w:tcW w:w="1757" w:type="dxa"/>
            <w:noWrap/>
            <w:hideMark/>
          </w:tcPr>
          <w:p w14:paraId="4FB165C0" w14:textId="77777777" w:rsidR="009C130A" w:rsidRPr="009C130A" w:rsidRDefault="009C130A">
            <w:pPr>
              <w:pStyle w:val="Table"/>
              <w:rPr>
                <w:b w:val="0"/>
              </w:rPr>
            </w:pPr>
            <w:r w:rsidRPr="009C130A">
              <w:t>Public</w:t>
            </w:r>
            <w:r>
              <w:br/>
              <w:t>(not costed)</w:t>
            </w:r>
          </w:p>
        </w:tc>
        <w:tc>
          <w:tcPr>
            <w:tcW w:w="1757" w:type="dxa"/>
          </w:tcPr>
          <w:p w14:paraId="63995F33" w14:textId="77777777" w:rsidR="009C130A" w:rsidRPr="009C130A" w:rsidRDefault="009C130A">
            <w:pPr>
              <w:pStyle w:val="Table"/>
            </w:pPr>
            <w:r>
              <w:t>Public</w:t>
            </w:r>
            <w:r>
              <w:br/>
              <w:t>(costed)</w:t>
            </w:r>
          </w:p>
        </w:tc>
        <w:tc>
          <w:tcPr>
            <w:cnfStyle w:val="000100000000" w:firstRow="0" w:lastRow="0" w:firstColumn="0" w:lastColumn="1" w:oddVBand="0" w:evenVBand="0" w:oddHBand="0" w:evenHBand="0" w:firstRowFirstColumn="0" w:firstRowLastColumn="0" w:lastRowFirstColumn="0" w:lastRowLastColumn="0"/>
            <w:tcW w:w="1757" w:type="dxa"/>
            <w:noWrap/>
            <w:hideMark/>
          </w:tcPr>
          <w:p w14:paraId="0DE60950" w14:textId="77777777" w:rsidR="009C130A" w:rsidRPr="009C130A" w:rsidRDefault="009C130A">
            <w:pPr>
              <w:pStyle w:val="Table"/>
            </w:pPr>
            <w:r w:rsidRPr="009C130A">
              <w:t>TOTAL</w:t>
            </w:r>
          </w:p>
        </w:tc>
      </w:tr>
      <w:tr w:rsidR="009C130A" w:rsidRPr="009C130A" w14:paraId="49B7E5F7" w14:textId="77777777" w:rsidTr="009C130A">
        <w:trPr>
          <w:trHeight w:val="320"/>
        </w:trPr>
        <w:tc>
          <w:tcPr>
            <w:tcW w:w="1630" w:type="dxa"/>
            <w:noWrap/>
            <w:hideMark/>
          </w:tcPr>
          <w:p w14:paraId="12B7DE18" w14:textId="77777777" w:rsidR="009C130A" w:rsidRPr="009C130A" w:rsidRDefault="009C130A" w:rsidP="002F7E33">
            <w:pPr>
              <w:pStyle w:val="Table"/>
              <w:keepNext/>
            </w:pPr>
            <w:r w:rsidRPr="009C130A">
              <w:t>2006-07</w:t>
            </w:r>
          </w:p>
        </w:tc>
        <w:tc>
          <w:tcPr>
            <w:tcW w:w="1757" w:type="dxa"/>
            <w:noWrap/>
            <w:hideMark/>
          </w:tcPr>
          <w:p w14:paraId="32CFE7EE" w14:textId="77777777" w:rsidR="009C130A" w:rsidRPr="009C130A" w:rsidRDefault="009C130A" w:rsidP="00944D36">
            <w:pPr>
              <w:pStyle w:val="TableNumber"/>
            </w:pPr>
            <w:r>
              <w:t xml:space="preserve"> $2,826,152.00 </w:t>
            </w:r>
          </w:p>
        </w:tc>
        <w:tc>
          <w:tcPr>
            <w:tcW w:w="1757" w:type="dxa"/>
            <w:noWrap/>
            <w:hideMark/>
          </w:tcPr>
          <w:p w14:paraId="6D016B8D" w14:textId="77777777" w:rsidR="009C130A" w:rsidRPr="009C130A" w:rsidRDefault="009C130A">
            <w:pPr>
              <w:pStyle w:val="TableNumber"/>
            </w:pPr>
            <w:r>
              <w:t xml:space="preserve"> $2,419,095.00 </w:t>
            </w:r>
          </w:p>
        </w:tc>
        <w:tc>
          <w:tcPr>
            <w:tcW w:w="1757" w:type="dxa"/>
            <w:noWrap/>
            <w:hideMark/>
          </w:tcPr>
          <w:p w14:paraId="6A87F51C" w14:textId="77777777" w:rsidR="009C130A" w:rsidRPr="009C130A" w:rsidRDefault="009C130A">
            <w:pPr>
              <w:pStyle w:val="TableNumber"/>
            </w:pPr>
            <w:r>
              <w:t xml:space="preserve"> $1,911,673.00 </w:t>
            </w:r>
          </w:p>
        </w:tc>
        <w:tc>
          <w:tcPr>
            <w:cnfStyle w:val="000100000000" w:firstRow="0" w:lastRow="0" w:firstColumn="0" w:lastColumn="1" w:oddVBand="0" w:evenVBand="0" w:oddHBand="0" w:evenHBand="0" w:firstRowFirstColumn="0" w:firstRowLastColumn="0" w:lastRowFirstColumn="0" w:lastRowLastColumn="0"/>
            <w:tcW w:w="1757" w:type="dxa"/>
            <w:noWrap/>
            <w:hideMark/>
          </w:tcPr>
          <w:p w14:paraId="7CD31ACB" w14:textId="77777777" w:rsidR="009C130A" w:rsidRPr="009C130A" w:rsidRDefault="009C130A">
            <w:pPr>
              <w:pStyle w:val="TableNumber"/>
            </w:pPr>
            <w:r>
              <w:t xml:space="preserve"> $7,156,920.00 </w:t>
            </w:r>
          </w:p>
        </w:tc>
      </w:tr>
      <w:tr w:rsidR="009C130A" w:rsidRPr="009C130A" w14:paraId="38D4FB51" w14:textId="77777777" w:rsidTr="009C130A">
        <w:trPr>
          <w:trHeight w:val="320"/>
        </w:trPr>
        <w:tc>
          <w:tcPr>
            <w:tcW w:w="1630" w:type="dxa"/>
            <w:noWrap/>
            <w:hideMark/>
          </w:tcPr>
          <w:p w14:paraId="2EFE1743" w14:textId="77777777" w:rsidR="009C130A" w:rsidRPr="009C130A" w:rsidRDefault="009C130A" w:rsidP="002F7E33">
            <w:pPr>
              <w:pStyle w:val="Table"/>
              <w:keepNext/>
            </w:pPr>
            <w:r w:rsidRPr="009C130A">
              <w:t>2007-08</w:t>
            </w:r>
          </w:p>
        </w:tc>
        <w:tc>
          <w:tcPr>
            <w:tcW w:w="1757" w:type="dxa"/>
            <w:noWrap/>
            <w:hideMark/>
          </w:tcPr>
          <w:p w14:paraId="64CF39B5" w14:textId="77777777" w:rsidR="009C130A" w:rsidRPr="009C130A" w:rsidRDefault="009C130A" w:rsidP="00944D36">
            <w:pPr>
              <w:pStyle w:val="TableNumber"/>
            </w:pPr>
            <w:r>
              <w:t xml:space="preserve"> $2,979,938.00 </w:t>
            </w:r>
          </w:p>
        </w:tc>
        <w:tc>
          <w:tcPr>
            <w:tcW w:w="1757" w:type="dxa"/>
            <w:noWrap/>
            <w:hideMark/>
          </w:tcPr>
          <w:p w14:paraId="7CE5C2D2" w14:textId="77777777" w:rsidR="009C130A" w:rsidRPr="009C130A" w:rsidRDefault="009C130A">
            <w:pPr>
              <w:pStyle w:val="TableNumber"/>
            </w:pPr>
            <w:r>
              <w:t xml:space="preserve"> $904,538.00 </w:t>
            </w:r>
          </w:p>
        </w:tc>
        <w:tc>
          <w:tcPr>
            <w:tcW w:w="1757" w:type="dxa"/>
            <w:noWrap/>
            <w:hideMark/>
          </w:tcPr>
          <w:p w14:paraId="156FEBFA" w14:textId="77777777" w:rsidR="009C130A" w:rsidRPr="009C130A" w:rsidRDefault="009C130A">
            <w:pPr>
              <w:pStyle w:val="TableNumber"/>
            </w:pPr>
            <w:r>
              <w:t xml:space="preserve"> $3,430,194.00 </w:t>
            </w:r>
          </w:p>
        </w:tc>
        <w:tc>
          <w:tcPr>
            <w:cnfStyle w:val="000100000000" w:firstRow="0" w:lastRow="0" w:firstColumn="0" w:lastColumn="1" w:oddVBand="0" w:evenVBand="0" w:oddHBand="0" w:evenHBand="0" w:firstRowFirstColumn="0" w:firstRowLastColumn="0" w:lastRowFirstColumn="0" w:lastRowLastColumn="0"/>
            <w:tcW w:w="1757" w:type="dxa"/>
            <w:noWrap/>
            <w:hideMark/>
          </w:tcPr>
          <w:p w14:paraId="01BC88B3" w14:textId="77777777" w:rsidR="009C130A" w:rsidRPr="009C130A" w:rsidRDefault="009C130A">
            <w:pPr>
              <w:pStyle w:val="TableNumber"/>
            </w:pPr>
            <w:r>
              <w:t xml:space="preserve"> $7,314,670.00 </w:t>
            </w:r>
          </w:p>
        </w:tc>
      </w:tr>
      <w:tr w:rsidR="009C130A" w:rsidRPr="009C130A" w14:paraId="192AC38A" w14:textId="77777777" w:rsidTr="009C130A">
        <w:trPr>
          <w:trHeight w:val="320"/>
        </w:trPr>
        <w:tc>
          <w:tcPr>
            <w:tcW w:w="1630" w:type="dxa"/>
            <w:noWrap/>
            <w:hideMark/>
          </w:tcPr>
          <w:p w14:paraId="5DBA266C" w14:textId="77777777" w:rsidR="009C130A" w:rsidRPr="009C130A" w:rsidRDefault="009C130A" w:rsidP="002F7E33">
            <w:pPr>
              <w:pStyle w:val="Table"/>
              <w:keepNext/>
            </w:pPr>
            <w:r w:rsidRPr="009C130A">
              <w:t>2008-09</w:t>
            </w:r>
          </w:p>
        </w:tc>
        <w:tc>
          <w:tcPr>
            <w:tcW w:w="1757" w:type="dxa"/>
            <w:noWrap/>
            <w:hideMark/>
          </w:tcPr>
          <w:p w14:paraId="4960DF77" w14:textId="77777777" w:rsidR="009C130A" w:rsidRPr="009C130A" w:rsidRDefault="009C130A" w:rsidP="00944D36">
            <w:pPr>
              <w:pStyle w:val="TableNumber"/>
            </w:pPr>
            <w:r>
              <w:t xml:space="preserve"> $3,084,132.00 </w:t>
            </w:r>
          </w:p>
        </w:tc>
        <w:tc>
          <w:tcPr>
            <w:tcW w:w="1757" w:type="dxa"/>
            <w:noWrap/>
            <w:hideMark/>
          </w:tcPr>
          <w:p w14:paraId="2469B717" w14:textId="77777777" w:rsidR="009C130A" w:rsidRPr="009C130A" w:rsidRDefault="009C130A">
            <w:pPr>
              <w:pStyle w:val="TableNumber"/>
            </w:pPr>
            <w:r>
              <w:t xml:space="preserve"> $835,388.00 </w:t>
            </w:r>
          </w:p>
        </w:tc>
        <w:tc>
          <w:tcPr>
            <w:tcW w:w="1757" w:type="dxa"/>
            <w:noWrap/>
            <w:hideMark/>
          </w:tcPr>
          <w:p w14:paraId="06A1C58D" w14:textId="77777777" w:rsidR="009C130A" w:rsidRPr="009C130A" w:rsidRDefault="009C130A">
            <w:pPr>
              <w:pStyle w:val="TableNumber"/>
            </w:pPr>
            <w:r>
              <w:t xml:space="preserve"> $3,626,264.00 </w:t>
            </w:r>
          </w:p>
        </w:tc>
        <w:tc>
          <w:tcPr>
            <w:cnfStyle w:val="000100000000" w:firstRow="0" w:lastRow="0" w:firstColumn="0" w:lastColumn="1" w:oddVBand="0" w:evenVBand="0" w:oddHBand="0" w:evenHBand="0" w:firstRowFirstColumn="0" w:firstRowLastColumn="0" w:lastRowFirstColumn="0" w:lastRowLastColumn="0"/>
            <w:tcW w:w="1757" w:type="dxa"/>
            <w:noWrap/>
            <w:hideMark/>
          </w:tcPr>
          <w:p w14:paraId="07245DAF" w14:textId="77777777" w:rsidR="009C130A" w:rsidRPr="009C130A" w:rsidRDefault="009C130A">
            <w:pPr>
              <w:pStyle w:val="TableNumber"/>
            </w:pPr>
            <w:r>
              <w:t xml:space="preserve"> $7,545,784.00 </w:t>
            </w:r>
          </w:p>
        </w:tc>
      </w:tr>
      <w:tr w:rsidR="009C130A" w:rsidRPr="009C130A" w14:paraId="50417B51" w14:textId="77777777" w:rsidTr="009C130A">
        <w:trPr>
          <w:trHeight w:val="320"/>
        </w:trPr>
        <w:tc>
          <w:tcPr>
            <w:tcW w:w="1630" w:type="dxa"/>
            <w:noWrap/>
            <w:hideMark/>
          </w:tcPr>
          <w:p w14:paraId="189C4B1E" w14:textId="77777777" w:rsidR="009C130A" w:rsidRPr="009C130A" w:rsidRDefault="009C130A" w:rsidP="002F7E33">
            <w:pPr>
              <w:pStyle w:val="Table"/>
              <w:keepNext/>
            </w:pPr>
            <w:r w:rsidRPr="009C130A">
              <w:t>2009-10</w:t>
            </w:r>
          </w:p>
        </w:tc>
        <w:tc>
          <w:tcPr>
            <w:tcW w:w="1757" w:type="dxa"/>
            <w:noWrap/>
            <w:hideMark/>
          </w:tcPr>
          <w:p w14:paraId="3EFA8A67" w14:textId="77777777" w:rsidR="009C130A" w:rsidRPr="009C130A" w:rsidRDefault="009C130A" w:rsidP="00944D36">
            <w:pPr>
              <w:pStyle w:val="TableNumber"/>
            </w:pPr>
            <w:r>
              <w:t xml:space="preserve"> $3,272,166.00 </w:t>
            </w:r>
          </w:p>
        </w:tc>
        <w:tc>
          <w:tcPr>
            <w:tcW w:w="1757" w:type="dxa"/>
            <w:noWrap/>
            <w:hideMark/>
          </w:tcPr>
          <w:p w14:paraId="2C9C565A" w14:textId="77777777" w:rsidR="009C130A" w:rsidRPr="009C130A" w:rsidRDefault="009C130A">
            <w:pPr>
              <w:pStyle w:val="TableNumber"/>
            </w:pPr>
            <w:r>
              <w:t xml:space="preserve"> $812,083.00 </w:t>
            </w:r>
          </w:p>
        </w:tc>
        <w:tc>
          <w:tcPr>
            <w:tcW w:w="1757" w:type="dxa"/>
            <w:noWrap/>
            <w:hideMark/>
          </w:tcPr>
          <w:p w14:paraId="04A998BC" w14:textId="77777777" w:rsidR="009C130A" w:rsidRPr="009C130A" w:rsidRDefault="009C130A">
            <w:pPr>
              <w:pStyle w:val="TableNumber"/>
            </w:pPr>
            <w:r>
              <w:t xml:space="preserve"> $3,890,835.00 </w:t>
            </w:r>
          </w:p>
        </w:tc>
        <w:tc>
          <w:tcPr>
            <w:cnfStyle w:val="000100000000" w:firstRow="0" w:lastRow="0" w:firstColumn="0" w:lastColumn="1" w:oddVBand="0" w:evenVBand="0" w:oddHBand="0" w:evenHBand="0" w:firstRowFirstColumn="0" w:firstRowLastColumn="0" w:lastRowFirstColumn="0" w:lastRowLastColumn="0"/>
            <w:tcW w:w="1757" w:type="dxa"/>
            <w:noWrap/>
            <w:hideMark/>
          </w:tcPr>
          <w:p w14:paraId="79551632" w14:textId="77777777" w:rsidR="009C130A" w:rsidRPr="009C130A" w:rsidRDefault="009C130A">
            <w:pPr>
              <w:pStyle w:val="TableNumber"/>
            </w:pPr>
            <w:r>
              <w:t xml:space="preserve"> $7,975,084.00 </w:t>
            </w:r>
          </w:p>
        </w:tc>
      </w:tr>
      <w:tr w:rsidR="009C130A" w:rsidRPr="009C130A" w14:paraId="495E4E2B" w14:textId="77777777" w:rsidTr="009C130A">
        <w:trPr>
          <w:trHeight w:val="320"/>
        </w:trPr>
        <w:tc>
          <w:tcPr>
            <w:tcW w:w="1630" w:type="dxa"/>
            <w:noWrap/>
            <w:hideMark/>
          </w:tcPr>
          <w:p w14:paraId="7B24B5B4" w14:textId="77777777" w:rsidR="009C130A" w:rsidRPr="009C130A" w:rsidRDefault="009C130A" w:rsidP="002F7E33">
            <w:pPr>
              <w:pStyle w:val="Table"/>
              <w:keepNext/>
            </w:pPr>
            <w:r w:rsidRPr="009C130A">
              <w:t>2010-11</w:t>
            </w:r>
          </w:p>
        </w:tc>
        <w:tc>
          <w:tcPr>
            <w:tcW w:w="1757" w:type="dxa"/>
            <w:noWrap/>
            <w:hideMark/>
          </w:tcPr>
          <w:p w14:paraId="4A5BAE14" w14:textId="77777777" w:rsidR="009C130A" w:rsidRPr="009C130A" w:rsidRDefault="009C130A" w:rsidP="00944D36">
            <w:pPr>
              <w:pStyle w:val="TableNumber"/>
            </w:pPr>
            <w:r>
              <w:t xml:space="preserve"> $3,354,398.00 </w:t>
            </w:r>
          </w:p>
        </w:tc>
        <w:tc>
          <w:tcPr>
            <w:tcW w:w="1757" w:type="dxa"/>
            <w:noWrap/>
            <w:hideMark/>
          </w:tcPr>
          <w:p w14:paraId="3A32207D" w14:textId="77777777" w:rsidR="009C130A" w:rsidRPr="009C130A" w:rsidRDefault="009C130A">
            <w:pPr>
              <w:pStyle w:val="TableNumber"/>
            </w:pPr>
            <w:r>
              <w:t xml:space="preserve"> $712,905.00 </w:t>
            </w:r>
          </w:p>
        </w:tc>
        <w:tc>
          <w:tcPr>
            <w:tcW w:w="1757" w:type="dxa"/>
            <w:noWrap/>
            <w:hideMark/>
          </w:tcPr>
          <w:p w14:paraId="3015327A" w14:textId="77777777" w:rsidR="009C130A" w:rsidRPr="009C130A" w:rsidRDefault="009C130A">
            <w:pPr>
              <w:pStyle w:val="TableNumber"/>
            </w:pPr>
            <w:r>
              <w:t xml:space="preserve"> $4,134,248.00 </w:t>
            </w:r>
          </w:p>
        </w:tc>
        <w:tc>
          <w:tcPr>
            <w:cnfStyle w:val="000100000000" w:firstRow="0" w:lastRow="0" w:firstColumn="0" w:lastColumn="1" w:oddVBand="0" w:evenVBand="0" w:oddHBand="0" w:evenHBand="0" w:firstRowFirstColumn="0" w:firstRowLastColumn="0" w:lastRowFirstColumn="0" w:lastRowLastColumn="0"/>
            <w:tcW w:w="1757" w:type="dxa"/>
            <w:noWrap/>
            <w:hideMark/>
          </w:tcPr>
          <w:p w14:paraId="383E4EB5" w14:textId="77777777" w:rsidR="009C130A" w:rsidRPr="009C130A" w:rsidRDefault="009C130A">
            <w:pPr>
              <w:pStyle w:val="TableNumber"/>
            </w:pPr>
            <w:r>
              <w:t xml:space="preserve"> $8,201,551.00 </w:t>
            </w:r>
          </w:p>
        </w:tc>
      </w:tr>
      <w:tr w:rsidR="009C130A" w:rsidRPr="009C130A" w14:paraId="4E220B3B" w14:textId="77777777" w:rsidTr="009C130A">
        <w:trPr>
          <w:trHeight w:val="320"/>
        </w:trPr>
        <w:tc>
          <w:tcPr>
            <w:tcW w:w="1630" w:type="dxa"/>
            <w:noWrap/>
            <w:hideMark/>
          </w:tcPr>
          <w:p w14:paraId="41E9AE59" w14:textId="77777777" w:rsidR="009C130A" w:rsidRPr="009C130A" w:rsidRDefault="009C130A" w:rsidP="009C130A">
            <w:pPr>
              <w:pStyle w:val="Table"/>
            </w:pPr>
            <w:r w:rsidRPr="009C130A">
              <w:t>2011-12</w:t>
            </w:r>
          </w:p>
        </w:tc>
        <w:tc>
          <w:tcPr>
            <w:tcW w:w="1757" w:type="dxa"/>
            <w:noWrap/>
            <w:hideMark/>
          </w:tcPr>
          <w:p w14:paraId="3CD2674C" w14:textId="77777777" w:rsidR="009C130A" w:rsidRPr="009C130A" w:rsidRDefault="009C130A" w:rsidP="009C130A">
            <w:pPr>
              <w:pStyle w:val="TableNumber"/>
            </w:pPr>
            <w:r>
              <w:t xml:space="preserve"> $3,507,672.00 </w:t>
            </w:r>
          </w:p>
        </w:tc>
        <w:tc>
          <w:tcPr>
            <w:tcW w:w="1757" w:type="dxa"/>
            <w:noWrap/>
            <w:hideMark/>
          </w:tcPr>
          <w:p w14:paraId="6ED195B7" w14:textId="77777777" w:rsidR="009C130A" w:rsidRPr="009C130A" w:rsidRDefault="009C130A" w:rsidP="009C130A">
            <w:pPr>
              <w:pStyle w:val="TableNumber"/>
            </w:pPr>
            <w:r>
              <w:t xml:space="preserve"> $623,429.00 </w:t>
            </w:r>
          </w:p>
        </w:tc>
        <w:tc>
          <w:tcPr>
            <w:tcW w:w="1757" w:type="dxa"/>
            <w:noWrap/>
            <w:hideMark/>
          </w:tcPr>
          <w:p w14:paraId="796975C7" w14:textId="77777777" w:rsidR="009C130A" w:rsidRPr="009C130A" w:rsidRDefault="009C130A" w:rsidP="009C130A">
            <w:pPr>
              <w:pStyle w:val="TableNumber"/>
            </w:pPr>
            <w:r>
              <w:t xml:space="preserve"> $4,406,981.00 </w:t>
            </w:r>
          </w:p>
        </w:tc>
        <w:tc>
          <w:tcPr>
            <w:cnfStyle w:val="000100000000" w:firstRow="0" w:lastRow="0" w:firstColumn="0" w:lastColumn="1" w:oddVBand="0" w:evenVBand="0" w:oddHBand="0" w:evenHBand="0" w:firstRowFirstColumn="0" w:firstRowLastColumn="0" w:lastRowFirstColumn="0" w:lastRowLastColumn="0"/>
            <w:tcW w:w="1757" w:type="dxa"/>
            <w:noWrap/>
            <w:hideMark/>
          </w:tcPr>
          <w:p w14:paraId="5DD84D80" w14:textId="77777777" w:rsidR="009C130A" w:rsidRPr="009C130A" w:rsidRDefault="009C130A" w:rsidP="009C130A">
            <w:pPr>
              <w:pStyle w:val="TableNumber"/>
            </w:pPr>
            <w:r>
              <w:t xml:space="preserve"> $8,538,082.00 </w:t>
            </w:r>
          </w:p>
        </w:tc>
      </w:tr>
    </w:tbl>
    <w:p w14:paraId="0B15A736" w14:textId="77777777" w:rsidR="005B5818" w:rsidRPr="00020791" w:rsidRDefault="005B5818" w:rsidP="00B60372">
      <w:pPr>
        <w:pStyle w:val="Heading2"/>
      </w:pPr>
      <w:bookmarkStart w:id="28" w:name="_Ref400541186"/>
      <w:bookmarkStart w:id="29" w:name="_Toc401061042"/>
      <w:r>
        <w:lastRenderedPageBreak/>
        <w:t>Using A</w:t>
      </w:r>
      <w:r w:rsidR="004C70DD">
        <w:t xml:space="preserve">djacent </w:t>
      </w:r>
      <w:r>
        <w:t xml:space="preserve">DRG and diagnosis cost profiles to evaluate </w:t>
      </w:r>
      <w:r w:rsidRPr="00020791">
        <w:t>AR-DRG Version 7.0</w:t>
      </w:r>
      <w:r>
        <w:t xml:space="preserve"> Complications and Comorbidities Levels</w:t>
      </w:r>
      <w:bookmarkEnd w:id="28"/>
      <w:bookmarkEnd w:id="29"/>
    </w:p>
    <w:p w14:paraId="58BC6EC0" w14:textId="77777777" w:rsidR="005B5818" w:rsidRPr="00E1266C" w:rsidRDefault="005B5818" w:rsidP="0047597D">
      <w:pPr>
        <w:pStyle w:val="SectionIntroduction"/>
        <w:rPr>
          <w:lang w:val="en-AU"/>
        </w:rPr>
      </w:pPr>
      <w:r w:rsidRPr="00E1266C">
        <w:rPr>
          <w:lang w:val="en-AU"/>
        </w:rPr>
        <w:t xml:space="preserve">This section details the </w:t>
      </w:r>
      <w:r w:rsidR="00B84234">
        <w:rPr>
          <w:lang w:val="en-AU"/>
        </w:rPr>
        <w:t xml:space="preserve">initial analytical </w:t>
      </w:r>
      <w:r w:rsidRPr="00E1266C">
        <w:rPr>
          <w:lang w:val="en-AU"/>
        </w:rPr>
        <w:t xml:space="preserve">approach taken to evaluate the AR-DRG </w:t>
      </w:r>
      <w:r w:rsidR="00C237B4">
        <w:rPr>
          <w:lang w:val="en-AU"/>
        </w:rPr>
        <w:t>V</w:t>
      </w:r>
      <w:r w:rsidRPr="00E1266C">
        <w:rPr>
          <w:lang w:val="en-AU"/>
        </w:rPr>
        <w:t>7.0 Complications and Comorbidities Levels (CCLs).</w:t>
      </w:r>
    </w:p>
    <w:p w14:paraId="4FF19510" w14:textId="77777777" w:rsidR="005B5818" w:rsidRPr="00020791" w:rsidRDefault="005B5818" w:rsidP="005B5818">
      <w:pPr>
        <w:rPr>
          <w:szCs w:val="24"/>
          <w:lang w:val="en-AU"/>
        </w:rPr>
      </w:pPr>
      <w:r w:rsidRPr="00020791">
        <w:rPr>
          <w:szCs w:val="24"/>
          <w:lang w:val="en-AU"/>
        </w:rPr>
        <w:t>The purpose of CC</w:t>
      </w:r>
      <w:r>
        <w:rPr>
          <w:szCs w:val="24"/>
          <w:lang w:val="en-AU"/>
        </w:rPr>
        <w:t>Ls</w:t>
      </w:r>
      <w:r w:rsidRPr="00020791">
        <w:rPr>
          <w:szCs w:val="24"/>
          <w:lang w:val="en-AU"/>
        </w:rPr>
        <w:t xml:space="preserve"> </w:t>
      </w:r>
      <w:r>
        <w:rPr>
          <w:szCs w:val="24"/>
          <w:lang w:val="en-AU"/>
        </w:rPr>
        <w:t xml:space="preserve">is to identify </w:t>
      </w:r>
      <w:r w:rsidRPr="00020791">
        <w:rPr>
          <w:szCs w:val="24"/>
          <w:lang w:val="en-AU"/>
        </w:rPr>
        <w:t>diagnoses that are associated with higher levels of resource utilisation</w:t>
      </w:r>
      <w:r>
        <w:rPr>
          <w:szCs w:val="24"/>
          <w:lang w:val="en-AU"/>
        </w:rPr>
        <w:t xml:space="preserve"> and to quantify</w:t>
      </w:r>
      <w:r w:rsidRPr="00020791">
        <w:rPr>
          <w:szCs w:val="24"/>
          <w:lang w:val="en-AU"/>
        </w:rPr>
        <w:t xml:space="preserve"> this higher level of resource utilisation relative to levels within each ADRG.</w:t>
      </w:r>
    </w:p>
    <w:p w14:paraId="01F07470" w14:textId="77777777" w:rsidR="005B5818" w:rsidRPr="00020791" w:rsidRDefault="005B5818" w:rsidP="005B5818">
      <w:pPr>
        <w:rPr>
          <w:szCs w:val="24"/>
          <w:lang w:val="en-AU"/>
        </w:rPr>
      </w:pPr>
      <w:r w:rsidRPr="00020791">
        <w:rPr>
          <w:szCs w:val="24"/>
          <w:lang w:val="en-AU"/>
        </w:rPr>
        <w:t>CCL values a</w:t>
      </w:r>
      <w:r w:rsidR="00E1266C">
        <w:rPr>
          <w:szCs w:val="24"/>
          <w:lang w:val="en-AU"/>
        </w:rPr>
        <w:t>re integers ranging from 0 to 4;</w:t>
      </w:r>
      <w:r w:rsidRPr="00020791">
        <w:rPr>
          <w:szCs w:val="24"/>
          <w:lang w:val="en-AU"/>
        </w:rPr>
        <w:t xml:space="preserve"> where 0 </w:t>
      </w:r>
      <w:r>
        <w:rPr>
          <w:szCs w:val="24"/>
          <w:lang w:val="en-AU"/>
        </w:rPr>
        <w:t>is intended to represent</w:t>
      </w:r>
      <w:r w:rsidRPr="00020791">
        <w:rPr>
          <w:szCs w:val="24"/>
          <w:lang w:val="en-AU"/>
        </w:rPr>
        <w:t xml:space="preserve"> no </w:t>
      </w:r>
      <w:r>
        <w:rPr>
          <w:szCs w:val="24"/>
          <w:lang w:val="en-AU"/>
        </w:rPr>
        <w:t xml:space="preserve">associated higher </w:t>
      </w:r>
      <w:r w:rsidRPr="00020791">
        <w:rPr>
          <w:szCs w:val="24"/>
          <w:lang w:val="en-AU"/>
        </w:rPr>
        <w:t xml:space="preserve">relative resource utilisation and 4 </w:t>
      </w:r>
      <w:r>
        <w:rPr>
          <w:szCs w:val="24"/>
          <w:lang w:val="en-AU"/>
        </w:rPr>
        <w:t>is intended to represent</w:t>
      </w:r>
      <w:r w:rsidRPr="00020791">
        <w:rPr>
          <w:szCs w:val="24"/>
          <w:lang w:val="en-AU"/>
        </w:rPr>
        <w:t xml:space="preserve"> the greatest relative impact. Medical ADRGs have CCL values ranging from 0 to 3, and surgical and other ADRGs have CCL values ranging from 0 to 4.</w:t>
      </w:r>
    </w:p>
    <w:p w14:paraId="00AF9634" w14:textId="77777777" w:rsidR="005B5818" w:rsidRPr="00020791" w:rsidRDefault="005B5818" w:rsidP="005B5818">
      <w:pPr>
        <w:rPr>
          <w:szCs w:val="24"/>
          <w:lang w:val="en-AU"/>
        </w:rPr>
      </w:pPr>
      <w:r w:rsidRPr="00020791">
        <w:rPr>
          <w:szCs w:val="24"/>
          <w:lang w:val="en-AU"/>
        </w:rPr>
        <w:t xml:space="preserve">The review of the CCLs </w:t>
      </w:r>
      <w:r>
        <w:rPr>
          <w:szCs w:val="24"/>
          <w:lang w:val="en-AU"/>
        </w:rPr>
        <w:t>was</w:t>
      </w:r>
      <w:r w:rsidRPr="00020791">
        <w:rPr>
          <w:szCs w:val="24"/>
          <w:lang w:val="en-AU"/>
        </w:rPr>
        <w:t xml:space="preserve"> undertaken by profiling the costs of ADRGs and diagnoses in such a way that allows comparative assessments to be made using associations between diagnoses and costs within each ADRG.</w:t>
      </w:r>
    </w:p>
    <w:p w14:paraId="6B21EE21" w14:textId="77777777" w:rsidR="005B5818" w:rsidRPr="00E42583" w:rsidRDefault="005B5818" w:rsidP="005B5818">
      <w:pPr>
        <w:rPr>
          <w:szCs w:val="24"/>
          <w:lang w:val="en-AU"/>
        </w:rPr>
      </w:pPr>
      <w:r w:rsidRPr="00020791">
        <w:rPr>
          <w:szCs w:val="24"/>
          <w:lang w:val="en-AU"/>
        </w:rPr>
        <w:t xml:space="preserve">This </w:t>
      </w:r>
      <w:r>
        <w:rPr>
          <w:szCs w:val="24"/>
          <w:lang w:val="en-AU"/>
        </w:rPr>
        <w:t xml:space="preserve">section </w:t>
      </w:r>
      <w:r w:rsidRPr="00020791">
        <w:rPr>
          <w:szCs w:val="24"/>
          <w:lang w:val="en-AU"/>
        </w:rPr>
        <w:t xml:space="preserve">first introduces ADRG and diagnosis </w:t>
      </w:r>
      <w:r>
        <w:rPr>
          <w:szCs w:val="24"/>
          <w:lang w:val="en-AU"/>
        </w:rPr>
        <w:t xml:space="preserve">cost </w:t>
      </w:r>
      <w:r w:rsidRPr="00020791">
        <w:rPr>
          <w:szCs w:val="24"/>
          <w:lang w:val="en-AU"/>
        </w:rPr>
        <w:t xml:space="preserve">profiles, and </w:t>
      </w:r>
      <w:r>
        <w:rPr>
          <w:szCs w:val="24"/>
          <w:lang w:val="en-AU"/>
        </w:rPr>
        <w:t xml:space="preserve">then discusses </w:t>
      </w:r>
      <w:r w:rsidRPr="00020791">
        <w:rPr>
          <w:szCs w:val="24"/>
          <w:lang w:val="en-AU"/>
        </w:rPr>
        <w:t xml:space="preserve">the use of these </w:t>
      </w:r>
      <w:r>
        <w:rPr>
          <w:szCs w:val="24"/>
          <w:lang w:val="en-AU"/>
        </w:rPr>
        <w:t xml:space="preserve">cost </w:t>
      </w:r>
      <w:r w:rsidRPr="00020791">
        <w:rPr>
          <w:szCs w:val="24"/>
          <w:lang w:val="en-AU"/>
        </w:rPr>
        <w:t>profiles to evaluate CCLs within each ADRG.</w:t>
      </w:r>
    </w:p>
    <w:p w14:paraId="0FB96365" w14:textId="77777777" w:rsidR="005B5818" w:rsidRPr="00E42583" w:rsidRDefault="005B5818" w:rsidP="005B5818">
      <w:pPr>
        <w:rPr>
          <w:szCs w:val="24"/>
          <w:lang w:val="en-AU"/>
        </w:rPr>
      </w:pPr>
      <w:r>
        <w:rPr>
          <w:szCs w:val="24"/>
          <w:lang w:val="en-AU"/>
        </w:rPr>
        <w:t>A</w:t>
      </w:r>
      <w:r w:rsidRPr="00E42583">
        <w:rPr>
          <w:szCs w:val="24"/>
          <w:lang w:val="en-AU"/>
        </w:rPr>
        <w:t xml:space="preserve">nalysis </w:t>
      </w:r>
      <w:r>
        <w:rPr>
          <w:szCs w:val="24"/>
          <w:lang w:val="en-AU"/>
        </w:rPr>
        <w:t xml:space="preserve">was </w:t>
      </w:r>
      <w:r w:rsidRPr="00E42583">
        <w:rPr>
          <w:szCs w:val="24"/>
          <w:lang w:val="en-AU"/>
        </w:rPr>
        <w:t>undertaken on the three years of costed episodes from 2009-10 to 2011-12.</w:t>
      </w:r>
      <w:r>
        <w:rPr>
          <w:szCs w:val="24"/>
          <w:lang w:val="en-AU"/>
        </w:rPr>
        <w:t xml:space="preserve"> Particular </w:t>
      </w:r>
      <w:r w:rsidRPr="00E42583">
        <w:rPr>
          <w:szCs w:val="24"/>
          <w:lang w:val="en-AU"/>
        </w:rPr>
        <w:t xml:space="preserve">diagnosis codes </w:t>
      </w:r>
      <w:r>
        <w:rPr>
          <w:szCs w:val="24"/>
          <w:lang w:val="en-AU"/>
        </w:rPr>
        <w:t xml:space="preserve">were </w:t>
      </w:r>
      <w:r w:rsidRPr="00E42583">
        <w:rPr>
          <w:szCs w:val="24"/>
          <w:lang w:val="en-AU"/>
        </w:rPr>
        <w:t>excluded from the data prior to the analysis</w:t>
      </w:r>
      <w:r>
        <w:rPr>
          <w:szCs w:val="24"/>
          <w:lang w:val="en-AU"/>
        </w:rPr>
        <w:t xml:space="preserve"> being undertaken</w:t>
      </w:r>
      <w:r w:rsidRPr="00E42583">
        <w:rPr>
          <w:szCs w:val="24"/>
          <w:lang w:val="en-AU"/>
        </w:rPr>
        <w:t>; namely, external cause codes (U90.0 to Y91.9 and Y95 to Y98), place of occurrence codes (Y92.00 to Y92.9) and activity codes (U50.00 to U73.9).</w:t>
      </w:r>
    </w:p>
    <w:p w14:paraId="5626C047" w14:textId="77777777" w:rsidR="005B5818" w:rsidRPr="00504754" w:rsidRDefault="005B5818" w:rsidP="00B60372">
      <w:pPr>
        <w:pStyle w:val="Heading3"/>
      </w:pPr>
      <w:r w:rsidRPr="00504754">
        <w:t>ADRG cost profiles</w:t>
      </w:r>
    </w:p>
    <w:p w14:paraId="27AB528A" w14:textId="77777777" w:rsidR="005B5818" w:rsidRDefault="005B5818" w:rsidP="005B5818">
      <w:pPr>
        <w:rPr>
          <w:szCs w:val="24"/>
          <w:lang w:val="en-AU"/>
        </w:rPr>
      </w:pPr>
      <w:r>
        <w:rPr>
          <w:szCs w:val="24"/>
          <w:lang w:val="en-AU"/>
        </w:rPr>
        <w:t xml:space="preserve">ADRG cost profiles </w:t>
      </w:r>
      <w:r w:rsidR="006B0620">
        <w:rPr>
          <w:szCs w:val="24"/>
          <w:lang w:val="en-AU"/>
        </w:rPr>
        <w:t>were</w:t>
      </w:r>
      <w:r>
        <w:rPr>
          <w:szCs w:val="24"/>
          <w:lang w:val="en-AU"/>
        </w:rPr>
        <w:t xml:space="preserve"> derived by partitioning each ADRG </w:t>
      </w:r>
      <w:r w:rsidRPr="00E42583">
        <w:rPr>
          <w:szCs w:val="24"/>
          <w:lang w:val="en-AU"/>
        </w:rPr>
        <w:t xml:space="preserve">into sets of episodes </w:t>
      </w:r>
      <w:r>
        <w:rPr>
          <w:szCs w:val="24"/>
          <w:lang w:val="en-AU"/>
        </w:rPr>
        <w:t>with common numbers of diagnoses. The diagnosis array within the data allows up to 100 diagnoses to be recorded against each episode, although generally there are significantly less than 100 diagnoses recorded against each episode, with less than 0.1</w:t>
      </w:r>
      <w:r w:rsidR="001E4BFF">
        <w:rPr>
          <w:szCs w:val="24"/>
          <w:lang w:val="en-AU"/>
        </w:rPr>
        <w:t xml:space="preserve"> per cent</w:t>
      </w:r>
      <w:r>
        <w:rPr>
          <w:szCs w:val="24"/>
          <w:lang w:val="en-AU"/>
        </w:rPr>
        <w:t xml:space="preserve"> of </w:t>
      </w:r>
      <w:r>
        <w:rPr>
          <w:szCs w:val="24"/>
          <w:lang w:val="en-AU"/>
        </w:rPr>
        <w:lastRenderedPageBreak/>
        <w:t>episodes having 25 or more diagnoses (not counting the external cause and other code exclusions referred to above).</w:t>
      </w:r>
    </w:p>
    <w:p w14:paraId="728A3D70" w14:textId="77777777" w:rsidR="005B5818" w:rsidRPr="00E42583" w:rsidRDefault="005B5818" w:rsidP="005B5818">
      <w:pPr>
        <w:rPr>
          <w:szCs w:val="24"/>
          <w:lang w:val="en-AU"/>
        </w:rPr>
      </w:pPr>
      <w:r w:rsidRPr="00E42583">
        <w:rPr>
          <w:szCs w:val="24"/>
          <w:lang w:val="en-AU"/>
        </w:rPr>
        <w:t xml:space="preserve">The following notation is used to describe </w:t>
      </w:r>
      <w:r>
        <w:rPr>
          <w:szCs w:val="24"/>
          <w:lang w:val="en-AU"/>
        </w:rPr>
        <w:t>the formation of ADRG cost profiles</w:t>
      </w:r>
      <w:r w:rsidRPr="00E42583">
        <w:rPr>
          <w:szCs w:val="24"/>
          <w:lang w:val="en-AU"/>
        </w:rPr>
        <w:t>:</w:t>
      </w:r>
    </w:p>
    <w:p w14:paraId="3C63F291" w14:textId="77777777" w:rsidR="005B5818" w:rsidRPr="00E42583" w:rsidRDefault="005B5818" w:rsidP="006056B9">
      <w:pPr>
        <w:spacing w:after="0"/>
        <w:rPr>
          <w:lang w:val="en-AU"/>
        </w:rPr>
      </w:pPr>
      <w:r w:rsidRPr="00E42583">
        <w:rPr>
          <w:rFonts w:eastAsiaTheme="majorEastAsia"/>
          <w:lang w:val="en-AU"/>
        </w:rPr>
        <w:t xml:space="preserve">For each ADRG </w:t>
      </w:r>
      <w:r w:rsidR="0084513A" w:rsidRPr="00025957">
        <w:rPr>
          <w:position w:val="-4"/>
        </w:rPr>
        <w:object w:dxaOrig="240" w:dyaOrig="260" w14:anchorId="6A7AF8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2.75pt" o:ole="">
            <v:imagedata r:id="rId17" o:title=""/>
          </v:shape>
          <o:OLEObject Type="Embed" ProgID="Equation.DSMT4" ShapeID="_x0000_i1025" DrawAspect="Content" ObjectID="_1775045661" r:id="rId18"/>
        </w:object>
      </w:r>
      <w:r w:rsidRPr="00E42583">
        <w:rPr>
          <w:lang w:val="en-AU"/>
        </w:rPr>
        <w:t xml:space="preserve"> and </w:t>
      </w:r>
      <w:r w:rsidR="0084513A" w:rsidRPr="0084513A">
        <w:rPr>
          <w:position w:val="-10"/>
        </w:rPr>
        <w:object w:dxaOrig="1219" w:dyaOrig="320" w14:anchorId="0A9A2E85">
          <v:shape id="_x0000_i1026" type="#_x0000_t75" style="width:60.75pt;height:15.75pt" o:ole="">
            <v:imagedata r:id="rId19" o:title=""/>
          </v:shape>
          <o:OLEObject Type="Embed" ProgID="Equation.DSMT4" ShapeID="_x0000_i1026" DrawAspect="Content" ObjectID="_1775045662" r:id="rId20"/>
        </w:object>
      </w:r>
    </w:p>
    <w:p w14:paraId="615D6856" w14:textId="77777777" w:rsidR="005B5818" w:rsidRPr="00E42583" w:rsidRDefault="0084513A" w:rsidP="005B5818">
      <w:pPr>
        <w:numPr>
          <w:ilvl w:val="0"/>
          <w:numId w:val="19"/>
        </w:numPr>
        <w:contextualSpacing/>
        <w:rPr>
          <w:szCs w:val="24"/>
          <w:lang w:val="en-AU"/>
        </w:rPr>
      </w:pPr>
      <w:r w:rsidRPr="0084513A">
        <w:rPr>
          <w:position w:val="-14"/>
        </w:rPr>
        <w:object w:dxaOrig="620" w:dyaOrig="400" w14:anchorId="57F75684">
          <v:shape id="_x0000_i1027" type="#_x0000_t75" style="width:30.75pt;height:20.25pt" o:ole="">
            <v:imagedata r:id="rId21" o:title=""/>
          </v:shape>
          <o:OLEObject Type="Embed" ProgID="Equation.DSMT4" ShapeID="_x0000_i1027" DrawAspect="Content" ObjectID="_1775045663" r:id="rId22"/>
        </w:object>
      </w:r>
      <w:r w:rsidR="005B5818" w:rsidRPr="00E42583">
        <w:rPr>
          <w:rFonts w:eastAsiaTheme="minorEastAsia"/>
          <w:szCs w:val="24"/>
          <w:lang w:val="en-AU"/>
        </w:rPr>
        <w:t xml:space="preserve"> denotes the set of all episodes that belong to </w:t>
      </w:r>
      <w:r w:rsidRPr="00025957">
        <w:rPr>
          <w:position w:val="-4"/>
        </w:rPr>
        <w:object w:dxaOrig="240" w:dyaOrig="260" w14:anchorId="46BEFA9E">
          <v:shape id="_x0000_i1028" type="#_x0000_t75" style="width:12pt;height:12.75pt" o:ole="">
            <v:imagedata r:id="rId23" o:title=""/>
          </v:shape>
          <o:OLEObject Type="Embed" ProgID="Equation.DSMT4" ShapeID="_x0000_i1028" DrawAspect="Content" ObjectID="_1775045664" r:id="rId24"/>
        </w:object>
      </w:r>
      <w:r w:rsidR="005B5818" w:rsidRPr="00E42583">
        <w:rPr>
          <w:rFonts w:eastAsiaTheme="minorEastAsia"/>
          <w:szCs w:val="24"/>
          <w:lang w:val="en-AU"/>
        </w:rPr>
        <w:t>, and</w:t>
      </w:r>
    </w:p>
    <w:p w14:paraId="577885E8" w14:textId="77777777" w:rsidR="005B5818" w:rsidRPr="00E42583" w:rsidRDefault="0084513A" w:rsidP="005B5818">
      <w:pPr>
        <w:numPr>
          <w:ilvl w:val="0"/>
          <w:numId w:val="19"/>
        </w:numPr>
        <w:contextualSpacing/>
        <w:rPr>
          <w:szCs w:val="24"/>
          <w:lang w:val="en-AU"/>
        </w:rPr>
      </w:pPr>
      <w:r w:rsidRPr="0084513A">
        <w:rPr>
          <w:position w:val="-14"/>
        </w:rPr>
        <w:object w:dxaOrig="660" w:dyaOrig="400" w14:anchorId="27A1521F">
          <v:shape id="_x0000_i1029" type="#_x0000_t75" style="width:33pt;height:20.25pt" o:ole="">
            <v:imagedata r:id="rId25" o:title=""/>
          </v:shape>
          <o:OLEObject Type="Embed" ProgID="Equation.DSMT4" ShapeID="_x0000_i1029" DrawAspect="Content" ObjectID="_1775045665" r:id="rId26"/>
        </w:object>
      </w:r>
      <w:r w:rsidR="005B5818" w:rsidRPr="00E42583">
        <w:rPr>
          <w:rFonts w:eastAsiaTheme="minorEastAsia"/>
          <w:szCs w:val="24"/>
          <w:lang w:val="en-AU"/>
        </w:rPr>
        <w:t xml:space="preserve"> denotes the set of episodes in </w:t>
      </w:r>
      <w:r w:rsidRPr="0084513A">
        <w:rPr>
          <w:position w:val="-14"/>
        </w:rPr>
        <w:object w:dxaOrig="620" w:dyaOrig="400" w14:anchorId="72D8371D">
          <v:shape id="_x0000_i1030" type="#_x0000_t75" style="width:30.75pt;height:20.25pt" o:ole="">
            <v:imagedata r:id="rId27" o:title=""/>
          </v:shape>
          <o:OLEObject Type="Embed" ProgID="Equation.DSMT4" ShapeID="_x0000_i1030" DrawAspect="Content" ObjectID="_1775045666" r:id="rId28"/>
        </w:object>
      </w:r>
      <w:r w:rsidR="005B5818" w:rsidRPr="00E42583">
        <w:rPr>
          <w:rFonts w:eastAsiaTheme="minorEastAsia"/>
          <w:szCs w:val="24"/>
          <w:lang w:val="en-AU"/>
        </w:rPr>
        <w:t xml:space="preserve"> with precisely </w:t>
      </w:r>
      <w:r w:rsidRPr="0084513A">
        <w:rPr>
          <w:position w:val="-6"/>
        </w:rPr>
        <w:object w:dxaOrig="139" w:dyaOrig="260" w14:anchorId="6BC75B27">
          <v:shape id="_x0000_i1031" type="#_x0000_t75" style="width:6.75pt;height:12.75pt" o:ole="">
            <v:imagedata r:id="rId29" o:title=""/>
          </v:shape>
          <o:OLEObject Type="Embed" ProgID="Equation.DSMT4" ShapeID="_x0000_i1031" DrawAspect="Content" ObjectID="_1775045667" r:id="rId30"/>
        </w:object>
      </w:r>
      <w:r w:rsidR="005B5818" w:rsidRPr="00E42583">
        <w:rPr>
          <w:rFonts w:eastAsiaTheme="minorEastAsia"/>
          <w:szCs w:val="24"/>
          <w:lang w:val="en-AU"/>
        </w:rPr>
        <w:t xml:space="preserve"> diagnoses.</w:t>
      </w:r>
    </w:p>
    <w:p w14:paraId="45B5E6E1" w14:textId="77777777" w:rsidR="005B5818" w:rsidRDefault="005B5818" w:rsidP="005B5818">
      <w:pPr>
        <w:spacing w:before="240"/>
        <w:rPr>
          <w:rFonts w:eastAsiaTheme="minorEastAsia"/>
          <w:szCs w:val="24"/>
          <w:lang w:val="en-AU"/>
        </w:rPr>
      </w:pPr>
      <w:r w:rsidRPr="00E42583">
        <w:rPr>
          <w:rFonts w:eastAsiaTheme="minorEastAsia"/>
          <w:szCs w:val="24"/>
          <w:lang w:val="en-AU"/>
        </w:rPr>
        <w:t xml:space="preserve">Each </w:t>
      </w:r>
      <w:r w:rsidR="0084513A" w:rsidRPr="0084513A">
        <w:rPr>
          <w:position w:val="-14"/>
        </w:rPr>
        <w:object w:dxaOrig="620" w:dyaOrig="400" w14:anchorId="5A00DEAD">
          <v:shape id="_x0000_i1032" type="#_x0000_t75" style="width:30.75pt;height:20.25pt" o:ole="">
            <v:imagedata r:id="rId31" o:title=""/>
          </v:shape>
          <o:OLEObject Type="Embed" ProgID="Equation.DSMT4" ShapeID="_x0000_i1032" DrawAspect="Content" ObjectID="_1775045668" r:id="rId32"/>
        </w:object>
      </w:r>
      <w:r w:rsidRPr="00E42583">
        <w:rPr>
          <w:rFonts w:eastAsiaTheme="minorEastAsia"/>
          <w:szCs w:val="24"/>
          <w:lang w:val="en-AU"/>
        </w:rPr>
        <w:t xml:space="preserve"> is the </w:t>
      </w:r>
      <w:r w:rsidRPr="00E42583">
        <w:rPr>
          <w:rFonts w:eastAsiaTheme="minorEastAsia"/>
          <w:i/>
          <w:szCs w:val="24"/>
          <w:lang w:val="en-AU"/>
        </w:rPr>
        <w:t>disjoint union</w:t>
      </w:r>
      <w:r w:rsidRPr="00E42583">
        <w:rPr>
          <w:rFonts w:eastAsiaTheme="minorEastAsia"/>
          <w:szCs w:val="24"/>
          <w:lang w:val="en-AU"/>
        </w:rPr>
        <w:t xml:space="preserve"> of </w:t>
      </w:r>
      <w:proofErr w:type="spellStart"/>
      <w:r w:rsidRPr="00E42583">
        <w:rPr>
          <w:rFonts w:eastAsiaTheme="minorEastAsia"/>
          <w:szCs w:val="24"/>
          <w:lang w:val="en-AU"/>
        </w:rPr>
        <w:t>its</w:t>
      </w:r>
      <w:proofErr w:type="spellEnd"/>
      <w:r w:rsidRPr="00E42583">
        <w:rPr>
          <w:rFonts w:eastAsiaTheme="minorEastAsia"/>
          <w:szCs w:val="24"/>
          <w:lang w:val="en-AU"/>
        </w:rPr>
        <w:t xml:space="preserve"> </w:t>
      </w:r>
      <w:r w:rsidR="0084513A" w:rsidRPr="0084513A">
        <w:rPr>
          <w:position w:val="-14"/>
        </w:rPr>
        <w:object w:dxaOrig="660" w:dyaOrig="400" w14:anchorId="6E6B8842">
          <v:shape id="_x0000_i1033" type="#_x0000_t75" style="width:33pt;height:20.25pt" o:ole="">
            <v:imagedata r:id="rId33" o:title=""/>
          </v:shape>
          <o:OLEObject Type="Embed" ProgID="Equation.DSMT4" ShapeID="_x0000_i1033" DrawAspect="Content" ObjectID="_1775045669" r:id="rId34"/>
        </w:object>
      </w:r>
      <w:r w:rsidRPr="00E42583">
        <w:rPr>
          <w:rFonts w:eastAsiaTheme="minorEastAsia"/>
          <w:szCs w:val="24"/>
          <w:lang w:val="en-AU"/>
        </w:rPr>
        <w:t xml:space="preserve"> in the sense that every episode of </w:t>
      </w:r>
      <w:r w:rsidR="0084513A" w:rsidRPr="0084513A">
        <w:rPr>
          <w:position w:val="-14"/>
        </w:rPr>
        <w:object w:dxaOrig="620" w:dyaOrig="400" w14:anchorId="2E573E05">
          <v:shape id="_x0000_i1034" type="#_x0000_t75" style="width:30.75pt;height:20.25pt" o:ole="">
            <v:imagedata r:id="rId35" o:title=""/>
          </v:shape>
          <o:OLEObject Type="Embed" ProgID="Equation.DSMT4" ShapeID="_x0000_i1034" DrawAspect="Content" ObjectID="_1775045670" r:id="rId36"/>
        </w:object>
      </w:r>
      <w:r w:rsidRPr="00E42583">
        <w:rPr>
          <w:rFonts w:eastAsiaTheme="minorEastAsia"/>
          <w:szCs w:val="24"/>
          <w:lang w:val="en-AU"/>
        </w:rPr>
        <w:t xml:space="preserve"> is contained in </w:t>
      </w:r>
      <w:r w:rsidRPr="00E42583">
        <w:rPr>
          <w:rFonts w:eastAsiaTheme="minorEastAsia"/>
          <w:i/>
          <w:szCs w:val="24"/>
          <w:lang w:val="en-AU"/>
        </w:rPr>
        <w:t>one and only one</w:t>
      </w:r>
      <w:r w:rsidRPr="00E42583">
        <w:rPr>
          <w:rFonts w:eastAsiaTheme="minorEastAsia"/>
          <w:szCs w:val="24"/>
          <w:lang w:val="en-AU"/>
        </w:rPr>
        <w:t xml:space="preserve"> </w:t>
      </w:r>
      <w:r w:rsidR="0084513A" w:rsidRPr="0084513A">
        <w:rPr>
          <w:position w:val="-14"/>
        </w:rPr>
        <w:object w:dxaOrig="660" w:dyaOrig="400" w14:anchorId="63F30AF9">
          <v:shape id="_x0000_i1035" type="#_x0000_t75" style="width:33pt;height:20.25pt" o:ole="">
            <v:imagedata r:id="rId37" o:title=""/>
          </v:shape>
          <o:OLEObject Type="Embed" ProgID="Equation.DSMT4" ShapeID="_x0000_i1035" DrawAspect="Content" ObjectID="_1775045671" r:id="rId38"/>
        </w:object>
      </w:r>
      <w:r w:rsidRPr="00E42583">
        <w:rPr>
          <w:rFonts w:eastAsiaTheme="minorEastAsia"/>
          <w:szCs w:val="24"/>
          <w:lang w:val="en-AU"/>
        </w:rPr>
        <w:t>.</w:t>
      </w:r>
    </w:p>
    <w:p w14:paraId="6E671828" w14:textId="77777777" w:rsidR="005B5818" w:rsidRPr="00E42583" w:rsidRDefault="005B5818" w:rsidP="005B5818">
      <w:pPr>
        <w:rPr>
          <w:rFonts w:eastAsiaTheme="minorEastAsia"/>
          <w:szCs w:val="24"/>
          <w:lang w:val="en-AU"/>
        </w:rPr>
      </w:pPr>
      <w:r>
        <w:rPr>
          <w:szCs w:val="24"/>
          <w:lang w:val="en-AU"/>
        </w:rPr>
        <w:t>The episode costs of each</w:t>
      </w:r>
      <w:r w:rsidRPr="00E42583">
        <w:rPr>
          <w:szCs w:val="24"/>
          <w:lang w:val="en-AU"/>
        </w:rPr>
        <w:t xml:space="preserve"> </w:t>
      </w:r>
      <w:r w:rsidR="0084513A" w:rsidRPr="0084513A">
        <w:rPr>
          <w:position w:val="-14"/>
        </w:rPr>
        <w:object w:dxaOrig="660" w:dyaOrig="400" w14:anchorId="7DF8E565">
          <v:shape id="_x0000_i1036" type="#_x0000_t75" style="width:33pt;height:20.25pt" o:ole="">
            <v:imagedata r:id="rId39" o:title=""/>
          </v:shape>
          <o:OLEObject Type="Embed" ProgID="Equation.DSMT4" ShapeID="_x0000_i1036" DrawAspect="Content" ObjectID="_1775045672" r:id="rId40"/>
        </w:object>
      </w:r>
      <w:r w:rsidRPr="00E42583">
        <w:rPr>
          <w:rFonts w:eastAsiaTheme="minorEastAsia"/>
          <w:szCs w:val="24"/>
          <w:lang w:val="en-AU"/>
        </w:rPr>
        <w:t xml:space="preserve"> </w:t>
      </w:r>
      <w:r>
        <w:rPr>
          <w:rFonts w:eastAsiaTheme="minorEastAsia"/>
          <w:szCs w:val="24"/>
          <w:lang w:val="en-AU"/>
        </w:rPr>
        <w:t>collectively form cost profiles</w:t>
      </w:r>
      <w:r w:rsidRPr="00E42583">
        <w:rPr>
          <w:rFonts w:eastAsiaTheme="minorEastAsia"/>
          <w:szCs w:val="24"/>
          <w:lang w:val="en-AU"/>
        </w:rPr>
        <w:t xml:space="preserve"> </w:t>
      </w:r>
      <w:r>
        <w:rPr>
          <w:rFonts w:eastAsiaTheme="minorEastAsia"/>
          <w:szCs w:val="24"/>
          <w:lang w:val="en-AU"/>
        </w:rPr>
        <w:t xml:space="preserve">that characterise the cost distribution of </w:t>
      </w:r>
      <w:r w:rsidRPr="00E42583">
        <w:rPr>
          <w:rFonts w:eastAsiaTheme="minorEastAsia"/>
          <w:szCs w:val="24"/>
          <w:lang w:val="en-AU"/>
        </w:rPr>
        <w:t>episodes with common numbers of diagnoses</w:t>
      </w:r>
      <w:r>
        <w:rPr>
          <w:rFonts w:eastAsiaTheme="minorEastAsia"/>
          <w:szCs w:val="24"/>
          <w:lang w:val="en-AU"/>
        </w:rPr>
        <w:t>. T</w:t>
      </w:r>
      <w:r w:rsidRPr="00E42583">
        <w:rPr>
          <w:rFonts w:eastAsiaTheme="minorEastAsia"/>
          <w:szCs w:val="24"/>
          <w:lang w:val="en-AU"/>
        </w:rPr>
        <w:t xml:space="preserve">hese </w:t>
      </w:r>
      <w:r>
        <w:rPr>
          <w:rFonts w:eastAsiaTheme="minorEastAsia"/>
          <w:szCs w:val="24"/>
          <w:lang w:val="en-AU"/>
        </w:rPr>
        <w:t xml:space="preserve">cost </w:t>
      </w:r>
      <w:r w:rsidRPr="00E42583">
        <w:rPr>
          <w:rFonts w:eastAsiaTheme="minorEastAsia"/>
          <w:szCs w:val="24"/>
          <w:lang w:val="en-AU"/>
        </w:rPr>
        <w:t xml:space="preserve">profiles </w:t>
      </w:r>
      <w:r>
        <w:rPr>
          <w:rFonts w:eastAsiaTheme="minorEastAsia"/>
          <w:szCs w:val="24"/>
          <w:lang w:val="en-AU"/>
        </w:rPr>
        <w:t xml:space="preserve">can be examined individually or </w:t>
      </w:r>
      <w:r w:rsidRPr="00E42583">
        <w:rPr>
          <w:rFonts w:eastAsiaTheme="minorEastAsia"/>
          <w:szCs w:val="24"/>
          <w:lang w:val="en-AU"/>
        </w:rPr>
        <w:t xml:space="preserve">compared across </w:t>
      </w:r>
      <w:r w:rsidR="0084513A" w:rsidRPr="0084513A">
        <w:rPr>
          <w:position w:val="-6"/>
        </w:rPr>
        <w:object w:dxaOrig="139" w:dyaOrig="260" w14:anchorId="508545F5">
          <v:shape id="_x0000_i1037" type="#_x0000_t75" style="width:6.75pt;height:12.75pt" o:ole="">
            <v:imagedata r:id="rId41" o:title=""/>
          </v:shape>
          <o:OLEObject Type="Embed" ProgID="Equation.DSMT4" ShapeID="_x0000_i1037" DrawAspect="Content" ObjectID="_1775045673" r:id="rId42"/>
        </w:object>
      </w:r>
      <w:r w:rsidRPr="00E42583">
        <w:rPr>
          <w:rFonts w:eastAsiaTheme="minorEastAsia"/>
          <w:szCs w:val="24"/>
          <w:lang w:val="en-AU"/>
        </w:rPr>
        <w:t xml:space="preserve"> to </w:t>
      </w:r>
      <w:r>
        <w:rPr>
          <w:rFonts w:eastAsiaTheme="minorEastAsia"/>
          <w:szCs w:val="24"/>
          <w:lang w:val="en-AU"/>
        </w:rPr>
        <w:t xml:space="preserve">examine the relationship between changes in </w:t>
      </w:r>
      <w:r w:rsidRPr="00E42583">
        <w:rPr>
          <w:rFonts w:eastAsiaTheme="minorEastAsia"/>
          <w:szCs w:val="24"/>
          <w:lang w:val="en-AU"/>
        </w:rPr>
        <w:t xml:space="preserve">costs </w:t>
      </w:r>
      <w:r>
        <w:rPr>
          <w:rFonts w:eastAsiaTheme="minorEastAsia"/>
          <w:szCs w:val="24"/>
          <w:lang w:val="en-AU"/>
        </w:rPr>
        <w:t xml:space="preserve">and </w:t>
      </w:r>
      <w:r w:rsidRPr="00E42583">
        <w:rPr>
          <w:rFonts w:eastAsiaTheme="minorEastAsia"/>
          <w:szCs w:val="24"/>
          <w:lang w:val="en-AU"/>
        </w:rPr>
        <w:t>changes in diagnosis counts</w:t>
      </w:r>
      <w:r>
        <w:rPr>
          <w:rFonts w:eastAsiaTheme="minorEastAsia"/>
          <w:szCs w:val="24"/>
          <w:lang w:val="en-AU"/>
        </w:rPr>
        <w:t xml:space="preserve"> within each ADRG</w:t>
      </w:r>
      <w:r w:rsidRPr="00E42583">
        <w:rPr>
          <w:rFonts w:eastAsiaTheme="minorEastAsia"/>
          <w:szCs w:val="24"/>
          <w:lang w:val="en-AU"/>
        </w:rPr>
        <w:t>.</w:t>
      </w:r>
      <w:r>
        <w:rPr>
          <w:rFonts w:eastAsiaTheme="minorEastAsia"/>
          <w:szCs w:val="24"/>
          <w:lang w:val="en-AU"/>
        </w:rPr>
        <w:t xml:space="preserve"> </w:t>
      </w:r>
      <w:r w:rsidR="00CC0F16">
        <w:fldChar w:fldCharType="begin"/>
      </w:r>
      <w:r w:rsidR="00CC0F16">
        <w:instrText xml:space="preserve"> REF _Ref391072807 \h  \* MERGEFORMAT </w:instrText>
      </w:r>
      <w:r w:rsidR="00CC0F16">
        <w:fldChar w:fldCharType="separate"/>
      </w:r>
      <w:r w:rsidR="0031717B" w:rsidRPr="0031717B">
        <w:rPr>
          <w:szCs w:val="24"/>
        </w:rPr>
        <w:t>Figure 2</w:t>
      </w:r>
      <w:r w:rsidR="00CC0F16">
        <w:fldChar w:fldCharType="end"/>
      </w:r>
      <w:r w:rsidR="00345851">
        <w:rPr>
          <w:szCs w:val="24"/>
        </w:rPr>
        <w:t xml:space="preserve"> </w:t>
      </w:r>
      <w:r w:rsidRPr="00633B33">
        <w:rPr>
          <w:rFonts w:eastAsiaTheme="minorEastAsia"/>
          <w:szCs w:val="24"/>
          <w:lang w:val="en-AU"/>
        </w:rPr>
        <w:t>illustrates</w:t>
      </w:r>
      <w:r w:rsidRPr="00E42583">
        <w:rPr>
          <w:rFonts w:eastAsiaTheme="minorEastAsia"/>
          <w:szCs w:val="24"/>
          <w:lang w:val="en-AU"/>
        </w:rPr>
        <w:t xml:space="preserve"> how the </w:t>
      </w:r>
      <w:r w:rsidR="0084513A" w:rsidRPr="0084513A">
        <w:rPr>
          <w:position w:val="-14"/>
        </w:rPr>
        <w:object w:dxaOrig="660" w:dyaOrig="400" w14:anchorId="23D9A1FF">
          <v:shape id="_x0000_i1038" type="#_x0000_t75" style="width:33pt;height:20.25pt" o:ole="">
            <v:imagedata r:id="rId43" o:title=""/>
          </v:shape>
          <o:OLEObject Type="Embed" ProgID="Equation.DSMT4" ShapeID="_x0000_i1038" DrawAspect="Content" ObjectID="_1775045674" r:id="rId44"/>
        </w:object>
      </w:r>
      <w:r w:rsidRPr="00E42583">
        <w:rPr>
          <w:rFonts w:eastAsiaTheme="minorEastAsia"/>
          <w:szCs w:val="24"/>
          <w:lang w:val="en-AU"/>
        </w:rPr>
        <w:t xml:space="preserve"> </w:t>
      </w:r>
      <w:r w:rsidRPr="00C542C2">
        <w:rPr>
          <w:rFonts w:eastAsiaTheme="minorEastAsia"/>
          <w:szCs w:val="24"/>
          <w:lang w:val="en-AU"/>
        </w:rPr>
        <w:t xml:space="preserve">can be used to profile costs within each ADRG. The parenthesised numbers along the x axis of </w:t>
      </w:r>
      <w:r w:rsidR="00CC0F16">
        <w:fldChar w:fldCharType="begin"/>
      </w:r>
      <w:r w:rsidR="00CC0F16">
        <w:instrText xml:space="preserve"> REF _Ref391072807 \h  \* MERGEFORMAT </w:instrText>
      </w:r>
      <w:r w:rsidR="00CC0F16">
        <w:fldChar w:fldCharType="separate"/>
      </w:r>
      <w:r w:rsidR="0031717B" w:rsidRPr="0031717B">
        <w:rPr>
          <w:szCs w:val="24"/>
        </w:rPr>
        <w:t>Figure 2</w:t>
      </w:r>
      <w:r w:rsidR="00CC0F16">
        <w:fldChar w:fldCharType="end"/>
      </w:r>
      <w:r>
        <w:rPr>
          <w:rFonts w:eastAsiaTheme="minorEastAsia"/>
          <w:szCs w:val="24"/>
          <w:lang w:val="en-AU"/>
        </w:rPr>
        <w:t xml:space="preserve"> specify the count of episodes in each </w:t>
      </w:r>
      <w:r w:rsidR="0084513A" w:rsidRPr="0084513A">
        <w:rPr>
          <w:position w:val="-14"/>
        </w:rPr>
        <w:object w:dxaOrig="900" w:dyaOrig="400" w14:anchorId="6F286CE1">
          <v:shape id="_x0000_i1039" type="#_x0000_t75" style="width:45pt;height:20.25pt" o:ole="">
            <v:imagedata r:id="rId45" o:title=""/>
          </v:shape>
          <o:OLEObject Type="Embed" ProgID="Equation.DSMT4" ShapeID="_x0000_i1039" DrawAspect="Content" ObjectID="_1775045675" r:id="rId46"/>
        </w:object>
      </w:r>
      <w:r>
        <w:rPr>
          <w:rFonts w:eastAsiaTheme="minorEastAsia"/>
          <w:szCs w:val="24"/>
          <w:lang w:val="en-AU"/>
        </w:rPr>
        <w:t>.</w:t>
      </w:r>
    </w:p>
    <w:p w14:paraId="0416AF3F" w14:textId="77777777" w:rsidR="005B5818" w:rsidRPr="00633B33" w:rsidRDefault="005B5818" w:rsidP="00AB5225">
      <w:pPr>
        <w:pStyle w:val="Caption"/>
        <w:rPr>
          <w:lang w:val="en-AU"/>
        </w:rPr>
      </w:pPr>
      <w:bookmarkStart w:id="30" w:name="_Ref391072807"/>
      <w:bookmarkStart w:id="31" w:name="_Toc401061055"/>
      <w:bookmarkStart w:id="32" w:name="_Ref390703225"/>
      <w:r w:rsidRPr="00633B33">
        <w:lastRenderedPageBreak/>
        <w:t xml:space="preserve">Figure </w:t>
      </w:r>
      <w:r w:rsidR="005559F5" w:rsidRPr="00633B33">
        <w:fldChar w:fldCharType="begin"/>
      </w:r>
      <w:r w:rsidRPr="00633B33">
        <w:instrText xml:space="preserve"> SEQ Figure \* ARABIC </w:instrText>
      </w:r>
      <w:r w:rsidR="005559F5" w:rsidRPr="00633B33">
        <w:fldChar w:fldCharType="separate"/>
      </w:r>
      <w:r w:rsidR="0031717B">
        <w:rPr>
          <w:noProof/>
        </w:rPr>
        <w:t>2</w:t>
      </w:r>
      <w:r w:rsidR="005559F5" w:rsidRPr="00633B33">
        <w:rPr>
          <w:noProof/>
        </w:rPr>
        <w:fldChar w:fldCharType="end"/>
      </w:r>
      <w:bookmarkEnd w:id="30"/>
      <w:r w:rsidRPr="00633B33">
        <w:t xml:space="preserve">: Illustration of </w:t>
      </w:r>
      <w:r>
        <w:t>ADRG</w:t>
      </w:r>
      <w:r w:rsidRPr="00633B33">
        <w:t xml:space="preserve"> cost profiles</w:t>
      </w:r>
      <w:r>
        <w:t xml:space="preserve"> – mean, median and interquartile range costs of </w:t>
      </w:r>
      <w:r w:rsidR="0084513A" w:rsidRPr="0084513A">
        <w:rPr>
          <w:position w:val="-14"/>
        </w:rPr>
        <w:object w:dxaOrig="900" w:dyaOrig="400" w14:anchorId="7CE5EB3F">
          <v:shape id="_x0000_i1040" type="#_x0000_t75" style="width:46.5pt;height:20.25pt" o:ole="">
            <v:imagedata r:id="rId47" o:title=""/>
          </v:shape>
          <o:OLEObject Type="Embed" ProgID="Equation.DSMT4" ShapeID="_x0000_i1040" DrawAspect="Content" ObjectID="_1775045676" r:id="rId48"/>
        </w:object>
      </w:r>
      <w:r>
        <w:rPr>
          <w:rFonts w:eastAsiaTheme="minorEastAsia"/>
        </w:rPr>
        <w:t xml:space="preserve"> for</w:t>
      </w:r>
      <w:r w:rsidR="001D4E85">
        <w:rPr>
          <w:rFonts w:eastAsiaTheme="minorEastAsia"/>
        </w:rPr>
        <w:t xml:space="preserve"> </w:t>
      </w:r>
      <w:r w:rsidR="004866E3" w:rsidRPr="0084513A">
        <w:rPr>
          <w:position w:val="-10"/>
        </w:rPr>
        <w:object w:dxaOrig="1060" w:dyaOrig="320" w14:anchorId="1B7EC54D">
          <v:shape id="_x0000_i1041" type="#_x0000_t75" style="width:53.25pt;height:15.75pt" o:ole="">
            <v:imagedata r:id="rId49" o:title=""/>
          </v:shape>
          <o:OLEObject Type="Embed" ProgID="Equation.DSMT4" ShapeID="_x0000_i1041" DrawAspect="Content" ObjectID="_1775045677" r:id="rId50"/>
        </w:object>
      </w:r>
      <w:r w:rsidR="00981B6D">
        <w:t>.</w:t>
      </w:r>
      <w:bookmarkEnd w:id="31"/>
    </w:p>
    <w:bookmarkEnd w:id="32"/>
    <w:p w14:paraId="754DA8F9" w14:textId="77777777" w:rsidR="005B5818" w:rsidRDefault="004D24CA" w:rsidP="005B5818">
      <w:pPr>
        <w:jc w:val="center"/>
        <w:rPr>
          <w:rFonts w:eastAsiaTheme="minorEastAsia"/>
          <w:lang w:val="en-AU"/>
        </w:rPr>
      </w:pPr>
      <w:r w:rsidRPr="004D24CA">
        <w:rPr>
          <w:noProof/>
          <w:lang w:val="en-AU" w:eastAsia="en-AU"/>
        </w:rPr>
        <w:drawing>
          <wp:inline distT="0" distB="0" distL="0" distR="0" wp14:anchorId="6963E6B9" wp14:editId="3897398C">
            <wp:extent cx="5732145" cy="3869127"/>
            <wp:effectExtent l="0" t="0" r="1905" b="0"/>
            <wp:docPr id="14363" name="Picture 14363" descr="The figure illustrates a positive linear relationship between episode cost and the number of diagnoses in E_i(B66), for values of i=1,...,10. As the diagnosis count increases from one to ten, the mean episode cost increased from $3,450 to $16,140; the median episode cost increased from $2,160 to $11,350; and the total interquartile episode cost range increased from $3,160 to $13,070." title="Illustration of ADRG cost profiles – mean, median and interquartile range costs of E_i (B66) for i=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32145" cy="3869127"/>
                    </a:xfrm>
                    <a:prstGeom prst="rect">
                      <a:avLst/>
                    </a:prstGeom>
                    <a:noFill/>
                    <a:ln>
                      <a:noFill/>
                    </a:ln>
                  </pic:spPr>
                </pic:pic>
              </a:graphicData>
            </a:graphic>
          </wp:inline>
        </w:drawing>
      </w:r>
    </w:p>
    <w:p w14:paraId="3F58554A" w14:textId="77777777" w:rsidR="005B5818" w:rsidRPr="00504754" w:rsidRDefault="005B5818" w:rsidP="00B60372">
      <w:pPr>
        <w:pStyle w:val="Heading3"/>
      </w:pPr>
      <w:r w:rsidRPr="00504754">
        <w:t>Diagnosis cost profiles</w:t>
      </w:r>
    </w:p>
    <w:p w14:paraId="3ACCC309" w14:textId="77777777" w:rsidR="005B5818" w:rsidRPr="00E42583" w:rsidRDefault="005B5818" w:rsidP="005B5818">
      <w:pPr>
        <w:rPr>
          <w:rFonts w:eastAsiaTheme="minorEastAsia"/>
          <w:szCs w:val="24"/>
          <w:lang w:val="en-AU"/>
        </w:rPr>
      </w:pPr>
      <w:r>
        <w:rPr>
          <w:szCs w:val="24"/>
          <w:lang w:val="en-AU"/>
        </w:rPr>
        <w:t xml:space="preserve">The profiling of costs can be extended from the ADRG level </w:t>
      </w:r>
      <w:r w:rsidRPr="00E42583">
        <w:rPr>
          <w:szCs w:val="24"/>
          <w:lang w:val="en-AU"/>
        </w:rPr>
        <w:t>dow</w:t>
      </w:r>
      <w:r>
        <w:rPr>
          <w:szCs w:val="24"/>
          <w:lang w:val="en-AU"/>
        </w:rPr>
        <w:t xml:space="preserve">n to the level of the diagnoses </w:t>
      </w:r>
      <w:r w:rsidRPr="00E42583">
        <w:rPr>
          <w:rFonts w:eastAsiaTheme="minorEastAsia"/>
          <w:szCs w:val="24"/>
          <w:lang w:val="en-AU"/>
        </w:rPr>
        <w:t>appearing within the episodes of each</w:t>
      </w:r>
      <w:r>
        <w:rPr>
          <w:rFonts w:eastAsiaTheme="minorEastAsia"/>
          <w:szCs w:val="24"/>
          <w:lang w:val="en-AU"/>
        </w:rPr>
        <w:t xml:space="preserve"> ADRG</w:t>
      </w:r>
      <w:r w:rsidRPr="00E42583">
        <w:rPr>
          <w:rFonts w:eastAsiaTheme="minorEastAsia"/>
          <w:szCs w:val="24"/>
          <w:lang w:val="en-AU"/>
        </w:rPr>
        <w:t>. The following notation is used to describe this process.</w:t>
      </w:r>
    </w:p>
    <w:p w14:paraId="5C63113A" w14:textId="77777777" w:rsidR="005B5818" w:rsidRPr="00E42583" w:rsidRDefault="005B5818" w:rsidP="006056B9">
      <w:pPr>
        <w:spacing w:after="0"/>
        <w:rPr>
          <w:lang w:val="en-AU"/>
        </w:rPr>
      </w:pPr>
      <w:r w:rsidRPr="00E42583">
        <w:rPr>
          <w:lang w:val="en-AU"/>
        </w:rPr>
        <w:t xml:space="preserve">For each diagnosis </w:t>
      </w:r>
      <w:r w:rsidR="006924B6" w:rsidRPr="006924B6">
        <w:rPr>
          <w:position w:val="-6"/>
        </w:rPr>
        <w:object w:dxaOrig="200" w:dyaOrig="220" w14:anchorId="1C8790BF">
          <v:shape id="_x0000_i1042" type="#_x0000_t75" style="width:9.75pt;height:11.25pt" o:ole="">
            <v:imagedata r:id="rId52" o:title=""/>
          </v:shape>
          <o:OLEObject Type="Embed" ProgID="Equation.DSMT4" ShapeID="_x0000_i1042" DrawAspect="Content" ObjectID="_1775045678" r:id="rId53"/>
        </w:object>
      </w:r>
      <w:r w:rsidRPr="00E42583">
        <w:rPr>
          <w:lang w:val="en-AU"/>
        </w:rPr>
        <w:t xml:space="preserve">, ADRG </w:t>
      </w:r>
      <w:r w:rsidR="006924B6" w:rsidRPr="00025957">
        <w:rPr>
          <w:position w:val="-4"/>
        </w:rPr>
        <w:object w:dxaOrig="240" w:dyaOrig="260" w14:anchorId="17C89D8C">
          <v:shape id="_x0000_i1043" type="#_x0000_t75" style="width:12pt;height:12.75pt" o:ole="">
            <v:imagedata r:id="rId54" o:title=""/>
          </v:shape>
          <o:OLEObject Type="Embed" ProgID="Equation.DSMT4" ShapeID="_x0000_i1043" DrawAspect="Content" ObjectID="_1775045679" r:id="rId55"/>
        </w:object>
      </w:r>
      <w:r w:rsidRPr="00E42583">
        <w:rPr>
          <w:lang w:val="en-AU"/>
        </w:rPr>
        <w:t xml:space="preserve"> and </w:t>
      </w:r>
      <w:r w:rsidR="006924B6" w:rsidRPr="006924B6">
        <w:rPr>
          <w:position w:val="-10"/>
        </w:rPr>
        <w:object w:dxaOrig="1219" w:dyaOrig="320" w14:anchorId="0650B325">
          <v:shape id="_x0000_i1044" type="#_x0000_t75" style="width:60.75pt;height:15.75pt" o:ole="">
            <v:imagedata r:id="rId56" o:title=""/>
          </v:shape>
          <o:OLEObject Type="Embed" ProgID="Equation.DSMT4" ShapeID="_x0000_i1044" DrawAspect="Content" ObjectID="_1775045680" r:id="rId57"/>
        </w:object>
      </w:r>
    </w:p>
    <w:p w14:paraId="5F98B98E" w14:textId="77777777" w:rsidR="005B5818" w:rsidRPr="00E42583" w:rsidRDefault="006924B6" w:rsidP="005B5818">
      <w:pPr>
        <w:numPr>
          <w:ilvl w:val="0"/>
          <w:numId w:val="20"/>
        </w:numPr>
        <w:contextualSpacing/>
        <w:rPr>
          <w:szCs w:val="24"/>
          <w:lang w:val="en-AU"/>
        </w:rPr>
      </w:pPr>
      <w:r w:rsidRPr="006924B6">
        <w:rPr>
          <w:position w:val="-14"/>
        </w:rPr>
        <w:object w:dxaOrig="820" w:dyaOrig="400" w14:anchorId="60F53728">
          <v:shape id="_x0000_i1045" type="#_x0000_t75" style="width:41.25pt;height:20.25pt" o:ole="">
            <v:imagedata r:id="rId58" o:title=""/>
          </v:shape>
          <o:OLEObject Type="Embed" ProgID="Equation.DSMT4" ShapeID="_x0000_i1045" DrawAspect="Content" ObjectID="_1775045681" r:id="rId59"/>
        </w:object>
      </w:r>
      <w:r w:rsidR="005B5818" w:rsidRPr="00E42583">
        <w:rPr>
          <w:rFonts w:eastAsiaTheme="minorEastAsia"/>
          <w:szCs w:val="24"/>
          <w:lang w:val="en-AU"/>
        </w:rPr>
        <w:t xml:space="preserve"> denotes the set of all episodes in </w:t>
      </w:r>
      <w:r w:rsidRPr="006924B6">
        <w:rPr>
          <w:position w:val="-14"/>
        </w:rPr>
        <w:object w:dxaOrig="620" w:dyaOrig="400" w14:anchorId="3A51D385">
          <v:shape id="_x0000_i1046" type="#_x0000_t75" style="width:30.75pt;height:20.25pt" o:ole="">
            <v:imagedata r:id="rId60" o:title=""/>
          </v:shape>
          <o:OLEObject Type="Embed" ProgID="Equation.DSMT4" ShapeID="_x0000_i1046" DrawAspect="Content" ObjectID="_1775045682" r:id="rId61"/>
        </w:object>
      </w:r>
      <w:r w:rsidR="005B5818" w:rsidRPr="00E42583">
        <w:rPr>
          <w:rFonts w:eastAsiaTheme="minorEastAsia"/>
          <w:szCs w:val="24"/>
          <w:lang w:val="en-AU"/>
        </w:rPr>
        <w:t xml:space="preserve"> that contain </w:t>
      </w:r>
      <w:r w:rsidRPr="006924B6">
        <w:rPr>
          <w:position w:val="-6"/>
        </w:rPr>
        <w:object w:dxaOrig="200" w:dyaOrig="220" w14:anchorId="702C74EC">
          <v:shape id="_x0000_i1047" type="#_x0000_t75" style="width:9.75pt;height:11.25pt" o:ole="">
            <v:imagedata r:id="rId62" o:title=""/>
          </v:shape>
          <o:OLEObject Type="Embed" ProgID="Equation.DSMT4" ShapeID="_x0000_i1047" DrawAspect="Content" ObjectID="_1775045683" r:id="rId63"/>
        </w:object>
      </w:r>
      <w:r w:rsidR="005B5818" w:rsidRPr="00E42583">
        <w:rPr>
          <w:rFonts w:eastAsiaTheme="minorEastAsia"/>
          <w:szCs w:val="24"/>
          <w:lang w:val="en-AU"/>
        </w:rPr>
        <w:t>, and</w:t>
      </w:r>
    </w:p>
    <w:p w14:paraId="0113747A" w14:textId="77777777" w:rsidR="005B5818" w:rsidRPr="00E42583" w:rsidRDefault="006924B6" w:rsidP="005B5818">
      <w:pPr>
        <w:numPr>
          <w:ilvl w:val="0"/>
          <w:numId w:val="20"/>
        </w:numPr>
        <w:contextualSpacing/>
        <w:rPr>
          <w:szCs w:val="24"/>
          <w:lang w:val="en-AU"/>
        </w:rPr>
      </w:pPr>
      <w:r w:rsidRPr="006924B6">
        <w:rPr>
          <w:position w:val="-14"/>
        </w:rPr>
        <w:object w:dxaOrig="880" w:dyaOrig="400" w14:anchorId="748E793E">
          <v:shape id="_x0000_i1048" type="#_x0000_t75" style="width:44.25pt;height:20.25pt" o:ole="">
            <v:imagedata r:id="rId64" o:title=""/>
          </v:shape>
          <o:OLEObject Type="Embed" ProgID="Equation.DSMT4" ShapeID="_x0000_i1048" DrawAspect="Content" ObjectID="_1775045684" r:id="rId65"/>
        </w:object>
      </w:r>
      <w:r w:rsidR="005B5818" w:rsidRPr="00E42583">
        <w:rPr>
          <w:rFonts w:eastAsiaTheme="minorEastAsia"/>
          <w:szCs w:val="24"/>
          <w:lang w:val="en-AU"/>
        </w:rPr>
        <w:t xml:space="preserve"> denotes the set of all episodes in </w:t>
      </w:r>
      <w:r w:rsidRPr="006924B6">
        <w:rPr>
          <w:position w:val="-14"/>
        </w:rPr>
        <w:object w:dxaOrig="660" w:dyaOrig="400" w14:anchorId="18CE34F0">
          <v:shape id="_x0000_i1049" type="#_x0000_t75" style="width:33pt;height:20.25pt" o:ole="">
            <v:imagedata r:id="rId66" o:title=""/>
          </v:shape>
          <o:OLEObject Type="Embed" ProgID="Equation.DSMT4" ShapeID="_x0000_i1049" DrawAspect="Content" ObjectID="_1775045685" r:id="rId67"/>
        </w:object>
      </w:r>
      <w:r w:rsidR="005B5818" w:rsidRPr="00E42583">
        <w:rPr>
          <w:rFonts w:eastAsiaTheme="minorEastAsia"/>
          <w:szCs w:val="24"/>
          <w:lang w:val="en-AU"/>
        </w:rPr>
        <w:t xml:space="preserve"> that contain </w:t>
      </w:r>
      <w:r w:rsidRPr="006924B6">
        <w:rPr>
          <w:position w:val="-6"/>
        </w:rPr>
        <w:object w:dxaOrig="200" w:dyaOrig="220" w14:anchorId="39D1A6F1">
          <v:shape id="_x0000_i1050" type="#_x0000_t75" style="width:9.75pt;height:11.25pt" o:ole="">
            <v:imagedata r:id="rId68" o:title=""/>
          </v:shape>
          <o:OLEObject Type="Embed" ProgID="Equation.DSMT4" ShapeID="_x0000_i1050" DrawAspect="Content" ObjectID="_1775045686" r:id="rId69"/>
        </w:object>
      </w:r>
      <w:r w:rsidR="005B5818" w:rsidRPr="00E42583">
        <w:rPr>
          <w:rFonts w:eastAsiaTheme="minorEastAsia"/>
          <w:szCs w:val="24"/>
          <w:lang w:val="en-AU"/>
        </w:rPr>
        <w:t>.</w:t>
      </w:r>
    </w:p>
    <w:p w14:paraId="62681168" w14:textId="77777777" w:rsidR="005B5818" w:rsidRPr="00E42583" w:rsidRDefault="005B5818" w:rsidP="005B5818">
      <w:pPr>
        <w:spacing w:before="240"/>
        <w:rPr>
          <w:szCs w:val="24"/>
          <w:lang w:val="en-AU"/>
        </w:rPr>
      </w:pPr>
      <w:r w:rsidRPr="00E42583">
        <w:rPr>
          <w:szCs w:val="24"/>
          <w:lang w:val="en-AU"/>
        </w:rPr>
        <w:t>It</w:t>
      </w:r>
      <w:r>
        <w:rPr>
          <w:szCs w:val="24"/>
          <w:lang w:val="en-AU"/>
        </w:rPr>
        <w:t xml:space="preserve"> i</w:t>
      </w:r>
      <w:r w:rsidRPr="00E42583">
        <w:rPr>
          <w:szCs w:val="24"/>
          <w:lang w:val="en-AU"/>
        </w:rPr>
        <w:t xml:space="preserve">s important to note that the diagnosis </w:t>
      </w:r>
      <w:r w:rsidR="006924B6" w:rsidRPr="006924B6">
        <w:rPr>
          <w:position w:val="-6"/>
        </w:rPr>
        <w:object w:dxaOrig="200" w:dyaOrig="220" w14:anchorId="3AFE3787">
          <v:shape id="_x0000_i1051" type="#_x0000_t75" style="width:9.75pt;height:11.25pt" o:ole="">
            <v:imagedata r:id="rId70" o:title=""/>
          </v:shape>
          <o:OLEObject Type="Embed" ProgID="Equation.DSMT4" ShapeID="_x0000_i1051" DrawAspect="Content" ObjectID="_1775045687" r:id="rId71"/>
        </w:object>
      </w:r>
      <w:r w:rsidRPr="00E42583">
        <w:rPr>
          <w:rFonts w:eastAsiaTheme="minorEastAsia"/>
          <w:szCs w:val="24"/>
          <w:lang w:val="en-AU"/>
        </w:rPr>
        <w:t xml:space="preserve"> appearing in each episode of </w:t>
      </w:r>
      <w:r w:rsidR="006924B6" w:rsidRPr="006924B6">
        <w:rPr>
          <w:position w:val="-14"/>
        </w:rPr>
        <w:object w:dxaOrig="820" w:dyaOrig="400" w14:anchorId="45A516ED">
          <v:shape id="_x0000_i1052" type="#_x0000_t75" style="width:41.25pt;height:20.25pt" o:ole="">
            <v:imagedata r:id="rId72" o:title=""/>
          </v:shape>
          <o:OLEObject Type="Embed" ProgID="Equation.DSMT4" ShapeID="_x0000_i1052" DrawAspect="Content" ObjectID="_1775045688" r:id="rId73"/>
        </w:object>
      </w:r>
      <w:r w:rsidRPr="00E42583">
        <w:rPr>
          <w:rFonts w:eastAsiaTheme="minorEastAsia"/>
          <w:szCs w:val="24"/>
          <w:lang w:val="en-AU"/>
        </w:rPr>
        <w:t xml:space="preserve"> or </w:t>
      </w:r>
      <w:r w:rsidR="006924B6" w:rsidRPr="006924B6">
        <w:rPr>
          <w:position w:val="-14"/>
        </w:rPr>
        <w:object w:dxaOrig="880" w:dyaOrig="400" w14:anchorId="696D569D">
          <v:shape id="_x0000_i1053" type="#_x0000_t75" style="width:44.25pt;height:20.25pt" o:ole="">
            <v:imagedata r:id="rId74" o:title=""/>
          </v:shape>
          <o:OLEObject Type="Embed" ProgID="Equation.DSMT4" ShapeID="_x0000_i1053" DrawAspect="Content" ObjectID="_1775045689" r:id="rId75"/>
        </w:object>
      </w:r>
      <w:r w:rsidRPr="00E42583">
        <w:rPr>
          <w:rFonts w:eastAsiaTheme="minorEastAsia"/>
          <w:szCs w:val="24"/>
          <w:lang w:val="en-AU"/>
        </w:rPr>
        <w:t xml:space="preserve"> can appear at any place in the diagnosis array. For example, an episode </w:t>
      </w:r>
      <w:r w:rsidR="006924B6" w:rsidRPr="006924B6">
        <w:rPr>
          <w:position w:val="-14"/>
        </w:rPr>
        <w:object w:dxaOrig="1240" w:dyaOrig="400" w14:anchorId="22A0C10B">
          <v:shape id="_x0000_i1054" type="#_x0000_t75" style="width:62.25pt;height:20.25pt" o:ole="">
            <v:imagedata r:id="rId76" o:title=""/>
          </v:shape>
          <o:OLEObject Type="Embed" ProgID="Equation.DSMT4" ShapeID="_x0000_i1054" DrawAspect="Content" ObjectID="_1775045690" r:id="rId77"/>
        </w:object>
      </w:r>
      <w:r w:rsidRPr="00E42583">
        <w:rPr>
          <w:rFonts w:eastAsiaTheme="minorEastAsia"/>
          <w:szCs w:val="24"/>
          <w:lang w:val="en-AU"/>
        </w:rPr>
        <w:t xml:space="preserve"> may have </w:t>
      </w:r>
      <w:r w:rsidR="006924B6" w:rsidRPr="006924B6">
        <w:rPr>
          <w:position w:val="-6"/>
        </w:rPr>
        <w:object w:dxaOrig="200" w:dyaOrig="220" w14:anchorId="0C1A8E14">
          <v:shape id="_x0000_i1055" type="#_x0000_t75" style="width:9.75pt;height:11.25pt" o:ole="">
            <v:imagedata r:id="rId78" o:title=""/>
          </v:shape>
          <o:OLEObject Type="Embed" ProgID="Equation.DSMT4" ShapeID="_x0000_i1055" DrawAspect="Content" ObjectID="_1775045691" r:id="rId79"/>
        </w:object>
      </w:r>
      <w:r w:rsidRPr="00E42583">
        <w:rPr>
          <w:rFonts w:eastAsiaTheme="minorEastAsia"/>
          <w:szCs w:val="24"/>
          <w:lang w:val="en-AU"/>
        </w:rPr>
        <w:t xml:space="preserve"> appearing as its </w:t>
      </w:r>
      <w:proofErr w:type="spellStart"/>
      <w:r w:rsidR="00E161DC">
        <w:rPr>
          <w:rFonts w:eastAsiaTheme="minorEastAsia"/>
          <w:szCs w:val="24"/>
          <w:lang w:val="en-AU"/>
        </w:rPr>
        <w:t>PDx</w:t>
      </w:r>
      <w:proofErr w:type="spellEnd"/>
      <w:r w:rsidRPr="00E42583">
        <w:rPr>
          <w:rFonts w:eastAsiaTheme="minorEastAsia"/>
          <w:szCs w:val="24"/>
          <w:lang w:val="en-AU"/>
        </w:rPr>
        <w:t xml:space="preserve"> (if possible) or as any one of its four </w:t>
      </w:r>
      <w:proofErr w:type="spellStart"/>
      <w:r w:rsidR="00E161DC">
        <w:rPr>
          <w:rFonts w:eastAsiaTheme="minorEastAsia"/>
          <w:szCs w:val="24"/>
          <w:lang w:val="en-AU"/>
        </w:rPr>
        <w:t>ADx</w:t>
      </w:r>
      <w:proofErr w:type="spellEnd"/>
      <w:r w:rsidRPr="00E42583">
        <w:rPr>
          <w:rFonts w:eastAsiaTheme="minorEastAsia"/>
          <w:szCs w:val="24"/>
          <w:lang w:val="en-AU"/>
        </w:rPr>
        <w:t>.</w:t>
      </w:r>
    </w:p>
    <w:p w14:paraId="4D70BF9D" w14:textId="77777777" w:rsidR="005B5818" w:rsidRPr="00E42583" w:rsidRDefault="005B5818" w:rsidP="00923D9A">
      <w:pPr>
        <w:rPr>
          <w:lang w:val="en-AU"/>
        </w:rPr>
      </w:pPr>
      <w:r w:rsidRPr="00E42583">
        <w:rPr>
          <w:lang w:val="en-AU"/>
        </w:rPr>
        <w:lastRenderedPageBreak/>
        <w:t xml:space="preserve">Similar to the relationship between </w:t>
      </w:r>
      <w:r w:rsidR="004866E3" w:rsidRPr="004866E3">
        <w:rPr>
          <w:position w:val="-14"/>
        </w:rPr>
        <w:object w:dxaOrig="620" w:dyaOrig="400" w14:anchorId="71C948E3">
          <v:shape id="_x0000_i1056" type="#_x0000_t75" style="width:30.75pt;height:20.25pt" o:ole="">
            <v:imagedata r:id="rId80" o:title=""/>
          </v:shape>
          <o:OLEObject Type="Embed" ProgID="Equation.DSMT4" ShapeID="_x0000_i1056" DrawAspect="Content" ObjectID="_1775045692" r:id="rId81"/>
        </w:object>
      </w:r>
      <w:r w:rsidRPr="00E42583">
        <w:rPr>
          <w:lang w:val="en-AU"/>
        </w:rPr>
        <w:t xml:space="preserve"> and its </w:t>
      </w:r>
      <w:r w:rsidR="004866E3" w:rsidRPr="004866E3">
        <w:rPr>
          <w:position w:val="-14"/>
        </w:rPr>
        <w:object w:dxaOrig="660" w:dyaOrig="400" w14:anchorId="51FE3270">
          <v:shape id="_x0000_i1057" type="#_x0000_t75" style="width:33pt;height:20.25pt" o:ole="">
            <v:imagedata r:id="rId82" o:title=""/>
          </v:shape>
          <o:OLEObject Type="Embed" ProgID="Equation.DSMT4" ShapeID="_x0000_i1057" DrawAspect="Content" ObjectID="_1775045693" r:id="rId83"/>
        </w:object>
      </w:r>
      <w:r w:rsidRPr="00E42583">
        <w:rPr>
          <w:lang w:val="en-AU"/>
        </w:rPr>
        <w:t xml:space="preserve">, each </w:t>
      </w:r>
      <w:r w:rsidR="004866E3" w:rsidRPr="004866E3">
        <w:rPr>
          <w:position w:val="-14"/>
        </w:rPr>
        <w:object w:dxaOrig="820" w:dyaOrig="400" w14:anchorId="1FE1C3D6">
          <v:shape id="_x0000_i1058" type="#_x0000_t75" style="width:41.25pt;height:20.25pt" o:ole="">
            <v:imagedata r:id="rId84" o:title=""/>
          </v:shape>
          <o:OLEObject Type="Embed" ProgID="Equation.DSMT4" ShapeID="_x0000_i1058" DrawAspect="Content" ObjectID="_1775045694" r:id="rId85"/>
        </w:object>
      </w:r>
      <w:r w:rsidRPr="00E42583">
        <w:rPr>
          <w:lang w:val="en-AU"/>
        </w:rPr>
        <w:t xml:space="preserve"> is the disjoint union of its </w:t>
      </w:r>
      <w:r w:rsidR="004866E3" w:rsidRPr="004866E3">
        <w:rPr>
          <w:position w:val="-14"/>
        </w:rPr>
        <w:object w:dxaOrig="880" w:dyaOrig="400" w14:anchorId="3322B7B8">
          <v:shape id="_x0000_i1059" type="#_x0000_t75" style="width:44.25pt;height:20.25pt" o:ole="">
            <v:imagedata r:id="rId86" o:title=""/>
          </v:shape>
          <o:OLEObject Type="Embed" ProgID="Equation.DSMT4" ShapeID="_x0000_i1059" DrawAspect="Content" ObjectID="_1775045695" r:id="rId87"/>
        </w:object>
      </w:r>
      <w:r w:rsidRPr="00E42583">
        <w:rPr>
          <w:lang w:val="en-AU"/>
        </w:rPr>
        <w:t xml:space="preserve">; that is, every episode of </w:t>
      </w:r>
      <w:r w:rsidR="004866E3" w:rsidRPr="004866E3">
        <w:rPr>
          <w:position w:val="-14"/>
        </w:rPr>
        <w:object w:dxaOrig="620" w:dyaOrig="400" w14:anchorId="55EED28D">
          <v:shape id="_x0000_i1060" type="#_x0000_t75" style="width:30.75pt;height:20.25pt" o:ole="">
            <v:imagedata r:id="rId88" o:title=""/>
          </v:shape>
          <o:OLEObject Type="Embed" ProgID="Equation.DSMT4" ShapeID="_x0000_i1060" DrawAspect="Content" ObjectID="_1775045696" r:id="rId89"/>
        </w:object>
      </w:r>
      <w:r w:rsidRPr="00E42583">
        <w:rPr>
          <w:lang w:val="en-AU"/>
        </w:rPr>
        <w:t xml:space="preserve"> containing a particular diagnosis </w:t>
      </w:r>
      <w:r w:rsidR="004866E3" w:rsidRPr="004866E3">
        <w:rPr>
          <w:position w:val="-6"/>
        </w:rPr>
        <w:object w:dxaOrig="200" w:dyaOrig="220" w14:anchorId="46105AB7">
          <v:shape id="_x0000_i1061" type="#_x0000_t75" style="width:9.75pt;height:11.25pt" o:ole="">
            <v:imagedata r:id="rId90" o:title=""/>
          </v:shape>
          <o:OLEObject Type="Embed" ProgID="Equation.DSMT4" ShapeID="_x0000_i1061" DrawAspect="Content" ObjectID="_1775045697" r:id="rId91"/>
        </w:object>
      </w:r>
      <w:r w:rsidRPr="00E42583">
        <w:rPr>
          <w:lang w:val="en-AU"/>
        </w:rPr>
        <w:t xml:space="preserve"> must be contained in one and only one of the </w:t>
      </w:r>
      <w:r w:rsidR="004866E3" w:rsidRPr="004866E3">
        <w:rPr>
          <w:position w:val="-14"/>
        </w:rPr>
        <w:object w:dxaOrig="880" w:dyaOrig="400" w14:anchorId="7C75031B">
          <v:shape id="_x0000_i1062" type="#_x0000_t75" style="width:44.25pt;height:20.25pt" o:ole="">
            <v:imagedata r:id="rId92" o:title=""/>
          </v:shape>
          <o:OLEObject Type="Embed" ProgID="Equation.DSMT4" ShapeID="_x0000_i1062" DrawAspect="Content" ObjectID="_1775045698" r:id="rId93"/>
        </w:object>
      </w:r>
      <w:r w:rsidRPr="00E42583">
        <w:rPr>
          <w:lang w:val="en-AU"/>
        </w:rPr>
        <w:t xml:space="preserve">. However, each episode within an </w:t>
      </w:r>
      <w:r w:rsidR="004866E3" w:rsidRPr="004866E3">
        <w:rPr>
          <w:position w:val="-14"/>
        </w:rPr>
        <w:object w:dxaOrig="660" w:dyaOrig="400" w14:anchorId="300520D7">
          <v:shape id="_x0000_i1063" type="#_x0000_t75" style="width:33pt;height:20.25pt" o:ole="">
            <v:imagedata r:id="rId94" o:title=""/>
          </v:shape>
          <o:OLEObject Type="Embed" ProgID="Equation.DSMT4" ShapeID="_x0000_i1063" DrawAspect="Content" ObjectID="_1775045699" r:id="rId95"/>
        </w:object>
      </w:r>
      <w:r w:rsidRPr="00E42583">
        <w:rPr>
          <w:lang w:val="en-AU"/>
        </w:rPr>
        <w:t xml:space="preserve"> appears in multiple </w:t>
      </w:r>
      <w:r w:rsidR="004866E3" w:rsidRPr="004866E3">
        <w:rPr>
          <w:position w:val="-14"/>
        </w:rPr>
        <w:object w:dxaOrig="880" w:dyaOrig="400" w14:anchorId="4FC99FA9">
          <v:shape id="_x0000_i1064" type="#_x0000_t75" style="width:44.25pt;height:20.25pt" o:ole="">
            <v:imagedata r:id="rId96" o:title=""/>
          </v:shape>
          <o:OLEObject Type="Embed" ProgID="Equation.DSMT4" ShapeID="_x0000_i1064" DrawAspect="Content" ObjectID="_1775045700" r:id="rId97"/>
        </w:object>
      </w:r>
      <w:r w:rsidRPr="00E42583">
        <w:rPr>
          <w:lang w:val="en-AU"/>
        </w:rPr>
        <w:t xml:space="preserve">. For example, an episode </w:t>
      </w:r>
      <w:r w:rsidR="004866E3" w:rsidRPr="004866E3">
        <w:rPr>
          <w:position w:val="-14"/>
        </w:rPr>
        <w:object w:dxaOrig="1020" w:dyaOrig="400" w14:anchorId="04FF0225">
          <v:shape id="_x0000_i1065" type="#_x0000_t75" style="width:51pt;height:20.25pt" o:ole="">
            <v:imagedata r:id="rId98" o:title=""/>
          </v:shape>
          <o:OLEObject Type="Embed" ProgID="Equation.DSMT4" ShapeID="_x0000_i1065" DrawAspect="Content" ObjectID="_1775045701" r:id="rId99"/>
        </w:object>
      </w:r>
      <w:r w:rsidRPr="00E42583">
        <w:rPr>
          <w:lang w:val="en-AU"/>
        </w:rPr>
        <w:t xml:space="preserve"> with the five diagnoses </w:t>
      </w:r>
      <w:r w:rsidR="004866E3" w:rsidRPr="004866E3">
        <w:rPr>
          <w:position w:val="-12"/>
        </w:rPr>
        <w:object w:dxaOrig="1120" w:dyaOrig="360" w14:anchorId="4602008F">
          <v:shape id="_x0000_i1066" type="#_x0000_t75" style="width:56.25pt;height:18pt" o:ole="">
            <v:imagedata r:id="rId100" o:title=""/>
          </v:shape>
          <o:OLEObject Type="Embed" ProgID="Equation.DSMT4" ShapeID="_x0000_i1066" DrawAspect="Content" ObjectID="_1775045702" r:id="rId101"/>
        </w:object>
      </w:r>
      <w:r w:rsidRPr="00E42583">
        <w:rPr>
          <w:lang w:val="en-AU"/>
        </w:rPr>
        <w:t xml:space="preserve"> appears in each of the five sets </w:t>
      </w:r>
      <w:r w:rsidR="004866E3" w:rsidRPr="004866E3">
        <w:rPr>
          <w:position w:val="-14"/>
        </w:rPr>
        <w:object w:dxaOrig="3300" w:dyaOrig="400" w14:anchorId="55DC53DA">
          <v:shape id="_x0000_i1067" type="#_x0000_t75" style="width:165pt;height:20.25pt" o:ole="">
            <v:imagedata r:id="rId102" o:title=""/>
          </v:shape>
          <o:OLEObject Type="Embed" ProgID="Equation.DSMT4" ShapeID="_x0000_i1067" DrawAspect="Content" ObjectID="_1775045703" r:id="rId103"/>
        </w:object>
      </w:r>
      <w:r w:rsidRPr="00E42583">
        <w:rPr>
          <w:lang w:val="en-AU"/>
        </w:rPr>
        <w:t>.</w:t>
      </w:r>
    </w:p>
    <w:p w14:paraId="7973C080" w14:textId="77777777" w:rsidR="005B5818" w:rsidRPr="0044582C" w:rsidRDefault="005B5818" w:rsidP="00923D9A">
      <w:pPr>
        <w:rPr>
          <w:lang w:val="en-AU"/>
        </w:rPr>
      </w:pPr>
      <w:r w:rsidRPr="00E42583">
        <w:rPr>
          <w:lang w:val="en-AU"/>
        </w:rPr>
        <w:t xml:space="preserve">Each </w:t>
      </w:r>
      <w:r w:rsidR="004866E3" w:rsidRPr="004866E3">
        <w:rPr>
          <w:position w:val="-14"/>
        </w:rPr>
        <w:object w:dxaOrig="880" w:dyaOrig="400" w14:anchorId="0089AD3D">
          <v:shape id="_x0000_i1068" type="#_x0000_t75" style="width:44.25pt;height:20.25pt" o:ole="">
            <v:imagedata r:id="rId104" o:title=""/>
          </v:shape>
          <o:OLEObject Type="Embed" ProgID="Equation.DSMT4" ShapeID="_x0000_i1068" DrawAspect="Content" ObjectID="_1775045704" r:id="rId105"/>
        </w:object>
      </w:r>
      <w:r w:rsidRPr="00E42583">
        <w:rPr>
          <w:lang w:val="en-AU"/>
        </w:rPr>
        <w:t xml:space="preserve"> </w:t>
      </w:r>
      <w:r w:rsidR="006B0620">
        <w:rPr>
          <w:lang w:val="en-AU"/>
        </w:rPr>
        <w:t>has been</w:t>
      </w:r>
      <w:r w:rsidRPr="00E42583">
        <w:rPr>
          <w:lang w:val="en-AU"/>
        </w:rPr>
        <w:t xml:space="preserve"> used to profile the costs associated with </w:t>
      </w:r>
      <w:r w:rsidR="004866E3" w:rsidRPr="004866E3">
        <w:rPr>
          <w:position w:val="-6"/>
        </w:rPr>
        <w:object w:dxaOrig="200" w:dyaOrig="220" w14:anchorId="3CC7A4DF">
          <v:shape id="_x0000_i1069" type="#_x0000_t75" style="width:9.75pt;height:11.25pt" o:ole="">
            <v:imagedata r:id="rId106" o:title=""/>
          </v:shape>
          <o:OLEObject Type="Embed" ProgID="Equation.DSMT4" ShapeID="_x0000_i1069" DrawAspect="Content" ObjectID="_1775045705" r:id="rId107"/>
        </w:object>
      </w:r>
      <w:r w:rsidRPr="00E42583">
        <w:rPr>
          <w:lang w:val="en-AU"/>
        </w:rPr>
        <w:t xml:space="preserve"> among </w:t>
      </w:r>
      <w:r w:rsidRPr="008F3D3E">
        <w:rPr>
          <w:lang w:val="en-AU"/>
        </w:rPr>
        <w:t xml:space="preserve">episodes of </w:t>
      </w:r>
      <w:r w:rsidR="004866E3" w:rsidRPr="004866E3">
        <w:rPr>
          <w:position w:val="-14"/>
        </w:rPr>
        <w:object w:dxaOrig="660" w:dyaOrig="400" w14:anchorId="520CE331">
          <v:shape id="_x0000_i1070" type="#_x0000_t75" style="width:33pt;height:20.25pt" o:ole="">
            <v:imagedata r:id="rId108" o:title=""/>
          </v:shape>
          <o:OLEObject Type="Embed" ProgID="Equation.DSMT4" ShapeID="_x0000_i1070" DrawAspect="Content" ObjectID="_1775045706" r:id="rId109"/>
        </w:object>
      </w:r>
      <w:r w:rsidRPr="008F3D3E">
        <w:rPr>
          <w:lang w:val="en-AU"/>
        </w:rPr>
        <w:t xml:space="preserve">. </w:t>
      </w:r>
      <w:r w:rsidR="00CC0F16">
        <w:fldChar w:fldCharType="begin"/>
      </w:r>
      <w:r w:rsidR="00CC0F16">
        <w:instrText xml:space="preserve"> REF _Ref391712556 \h  \* MERGEFORMAT </w:instrText>
      </w:r>
      <w:r w:rsidR="00CC0F16">
        <w:fldChar w:fldCharType="separate"/>
      </w:r>
      <w:r w:rsidR="0031717B" w:rsidRPr="006400E1">
        <w:t xml:space="preserve">Figure </w:t>
      </w:r>
      <w:r w:rsidR="0031717B">
        <w:t>3</w:t>
      </w:r>
      <w:r w:rsidR="00CC0F16">
        <w:fldChar w:fldCharType="end"/>
      </w:r>
      <w:r w:rsidRPr="008F3D3E">
        <w:rPr>
          <w:lang w:val="en-AU"/>
        </w:rPr>
        <w:t xml:space="preserve"> illustrates how the means </w:t>
      </w:r>
      <w:r>
        <w:rPr>
          <w:lang w:val="en-AU"/>
        </w:rPr>
        <w:t xml:space="preserve">costs of the </w:t>
      </w:r>
      <w:r w:rsidRPr="008F3D3E">
        <w:rPr>
          <w:lang w:val="en-AU"/>
        </w:rPr>
        <w:t>profile</w:t>
      </w:r>
      <w:r w:rsidRPr="00E42583">
        <w:rPr>
          <w:lang w:val="en-AU"/>
        </w:rPr>
        <w:t xml:space="preserve"> of diagnos</w:t>
      </w:r>
      <w:r w:rsidR="002170C2">
        <w:rPr>
          <w:lang w:val="en-AU"/>
        </w:rPr>
        <w:t>i</w:t>
      </w:r>
      <w:r w:rsidRPr="00E42583">
        <w:rPr>
          <w:lang w:val="en-AU"/>
        </w:rPr>
        <w:t xml:space="preserve">s </w:t>
      </w:r>
      <w:r w:rsidR="004866E3" w:rsidRPr="004866E3">
        <w:rPr>
          <w:position w:val="-6"/>
        </w:rPr>
        <w:object w:dxaOrig="200" w:dyaOrig="220" w14:anchorId="5374AE7C">
          <v:shape id="_x0000_i1071" type="#_x0000_t75" style="width:9.75pt;height:11.25pt" o:ole="">
            <v:imagedata r:id="rId110" o:title=""/>
          </v:shape>
          <o:OLEObject Type="Embed" ProgID="Equation.DSMT4" ShapeID="_x0000_i1071" DrawAspect="Content" ObjectID="_1775045707" r:id="rId111"/>
        </w:object>
      </w:r>
      <w:r w:rsidRPr="00E42583">
        <w:rPr>
          <w:lang w:val="en-AU"/>
        </w:rPr>
        <w:t xml:space="preserve"> </w:t>
      </w:r>
      <w:r w:rsidR="00BE708F">
        <w:rPr>
          <w:lang w:val="en-AU"/>
        </w:rPr>
        <w:t>is</w:t>
      </w:r>
      <w:r>
        <w:rPr>
          <w:lang w:val="en-AU"/>
        </w:rPr>
        <w:t xml:space="preserve"> comparable </w:t>
      </w:r>
      <w:r w:rsidR="00BE708F">
        <w:rPr>
          <w:lang w:val="en-AU"/>
        </w:rPr>
        <w:t xml:space="preserve">against the mean cost of </w:t>
      </w:r>
      <w:r w:rsidR="004866E3" w:rsidRPr="004866E3">
        <w:rPr>
          <w:position w:val="-14"/>
        </w:rPr>
        <w:object w:dxaOrig="700" w:dyaOrig="400" w14:anchorId="3E56A32A">
          <v:shape id="_x0000_i1072" type="#_x0000_t75" style="width:35.25pt;height:20.25pt" o:ole="">
            <v:imagedata r:id="rId112" o:title=""/>
          </v:shape>
          <o:OLEObject Type="Embed" ProgID="Equation.DSMT4" ShapeID="_x0000_i1072" DrawAspect="Content" ObjectID="_1775045708" r:id="rId113"/>
        </w:object>
      </w:r>
      <w:r>
        <w:rPr>
          <w:lang w:val="en-AU"/>
        </w:rPr>
        <w:t xml:space="preserve">within a single </w:t>
      </w:r>
      <w:r w:rsidR="004866E3" w:rsidRPr="004866E3">
        <w:rPr>
          <w:position w:val="-14"/>
        </w:rPr>
        <w:object w:dxaOrig="660" w:dyaOrig="400" w14:anchorId="1CBE4D1D">
          <v:shape id="_x0000_i1073" type="#_x0000_t75" style="width:33pt;height:20.25pt" o:ole="">
            <v:imagedata r:id="rId114" o:title=""/>
          </v:shape>
          <o:OLEObject Type="Embed" ProgID="Equation.DSMT4" ShapeID="_x0000_i1073" DrawAspect="Content" ObjectID="_1775045709" r:id="rId115"/>
        </w:object>
      </w:r>
      <w:r>
        <w:rPr>
          <w:lang w:val="en-AU"/>
        </w:rPr>
        <w:t xml:space="preserve"> or across multiple </w:t>
      </w:r>
      <w:r w:rsidR="004866E3" w:rsidRPr="004866E3">
        <w:rPr>
          <w:position w:val="-14"/>
        </w:rPr>
        <w:object w:dxaOrig="660" w:dyaOrig="400" w14:anchorId="4BA1169E">
          <v:shape id="_x0000_i1074" type="#_x0000_t75" style="width:33pt;height:20.25pt" o:ole="">
            <v:imagedata r:id="rId116" o:title=""/>
          </v:shape>
          <o:OLEObject Type="Embed" ProgID="Equation.DSMT4" ShapeID="_x0000_i1074" DrawAspect="Content" ObjectID="_1775045710" r:id="rId117"/>
        </w:object>
      </w:r>
      <w:r>
        <w:rPr>
          <w:lang w:val="en-AU"/>
        </w:rPr>
        <w:t>.</w:t>
      </w:r>
    </w:p>
    <w:p w14:paraId="68ACDFDD" w14:textId="163B67E6" w:rsidR="005B5818" w:rsidRPr="0044582C" w:rsidRDefault="005B5818" w:rsidP="00AB5225">
      <w:pPr>
        <w:pStyle w:val="Caption"/>
        <w:rPr>
          <w:lang w:val="en-AU"/>
        </w:rPr>
      </w:pPr>
      <w:bookmarkStart w:id="33" w:name="_Ref391712556"/>
      <w:bookmarkStart w:id="34" w:name="_Ref396211157"/>
      <w:bookmarkStart w:id="35" w:name="_Toc401061056"/>
      <w:bookmarkStart w:id="36" w:name="_Ref390761020"/>
      <w:r w:rsidRPr="006400E1">
        <w:t xml:space="preserve">Figure </w:t>
      </w:r>
      <w:r w:rsidR="005559F5" w:rsidRPr="006400E1">
        <w:fldChar w:fldCharType="begin"/>
      </w:r>
      <w:r w:rsidRPr="006400E1">
        <w:instrText xml:space="preserve"> SEQ Figure \* ARABIC </w:instrText>
      </w:r>
      <w:r w:rsidR="005559F5" w:rsidRPr="006400E1">
        <w:fldChar w:fldCharType="separate"/>
      </w:r>
      <w:r w:rsidR="0031717B">
        <w:rPr>
          <w:noProof/>
        </w:rPr>
        <w:t>3</w:t>
      </w:r>
      <w:r w:rsidR="005559F5" w:rsidRPr="006400E1">
        <w:rPr>
          <w:noProof/>
        </w:rPr>
        <w:fldChar w:fldCharType="end"/>
      </w:r>
      <w:bookmarkEnd w:id="33"/>
      <w:r w:rsidRPr="006400E1">
        <w:t>: Illustration of mean diagnosis profile costs of diagnos</w:t>
      </w:r>
      <w:r w:rsidR="00FA5F6F">
        <w:t>i</w:t>
      </w:r>
      <w:r w:rsidRPr="006400E1">
        <w:t xml:space="preserve">s </w:t>
      </w:r>
      <w:r w:rsidR="006400E1" w:rsidRPr="006400E1">
        <w:rPr>
          <w:position w:val="-6"/>
        </w:rPr>
        <w:object w:dxaOrig="200" w:dyaOrig="220" w14:anchorId="7DED975E">
          <v:shape id="_x0000_i1075" type="#_x0000_t75" style="width:9.75pt;height:11.25pt" o:ole="">
            <v:imagedata r:id="rId52" o:title=""/>
          </v:shape>
          <o:OLEObject Type="Embed" ProgID="Equation.DSMT4" ShapeID="_x0000_i1075" DrawAspect="Content" ObjectID="_1775045711" r:id="rId118"/>
        </w:object>
      </w:r>
      <w:r w:rsidRPr="006400E1">
        <w:t xml:space="preserve"> in B66</w:t>
      </w:r>
      <w:bookmarkEnd w:id="34"/>
      <w:r w:rsidR="00981B6D">
        <w:t>.</w:t>
      </w:r>
      <w:bookmarkEnd w:id="35"/>
    </w:p>
    <w:bookmarkEnd w:id="36"/>
    <w:p w14:paraId="4B151ABE" w14:textId="77777777" w:rsidR="005B5818" w:rsidRPr="00504754" w:rsidRDefault="00BE708F" w:rsidP="0047597D">
      <w:pPr>
        <w:jc w:val="center"/>
        <w:rPr>
          <w:rFonts w:eastAsiaTheme="minorEastAsia"/>
          <w:lang w:val="en-AU"/>
        </w:rPr>
      </w:pPr>
      <w:r w:rsidRPr="00BE708F">
        <w:rPr>
          <w:noProof/>
          <w:lang w:val="en-AU" w:eastAsia="en-AU"/>
        </w:rPr>
        <w:drawing>
          <wp:inline distT="0" distB="0" distL="0" distR="0" wp14:anchorId="1ED4E78A" wp14:editId="68C34C4F">
            <wp:extent cx="5727700" cy="4222750"/>
            <wp:effectExtent l="0" t="0" r="6350" b="6350"/>
            <wp:docPr id="30" name="Picture 30" descr="The figure illustrates a positive linear relationship between episode cost and the number of diagnoses in E_i(x;B66), for values of i=1,...,20. This relationship is compared with that of the relationship between E_i(x;B66) and E_1(B66) (given in the previous figure) will vary for different diagnoses x. In this example, the difference between the E_i(B66) mean cost and the E_i(x;B66) mean cost is +$448 at one diagnosis; +$917 at two diagnoses; $340 at three diagnoses; -$439 at four diagnoses; +$1,288 at five diagnoses; +$1,301 at six diagnoses; +$3,2136 at seven diagnoses; +$2,511 at eight diagnoses; $2,623 at nine diagnoses; and +$2,466 at ten diagnoses.  " title="Illustration of mean diagnosis profile costs of diagnoses x in B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27700" cy="4222750"/>
                    </a:xfrm>
                    <a:prstGeom prst="rect">
                      <a:avLst/>
                    </a:prstGeom>
                    <a:noFill/>
                    <a:ln>
                      <a:noFill/>
                    </a:ln>
                  </pic:spPr>
                </pic:pic>
              </a:graphicData>
            </a:graphic>
          </wp:inline>
        </w:drawing>
      </w:r>
    </w:p>
    <w:p w14:paraId="03AFD5BA" w14:textId="77777777" w:rsidR="005B5818" w:rsidRPr="00504754" w:rsidRDefault="005B5818" w:rsidP="00B60372">
      <w:pPr>
        <w:pStyle w:val="Heading3"/>
      </w:pPr>
      <w:r>
        <w:lastRenderedPageBreak/>
        <w:t>Evaluation of AR-DRG V7.0 CCLs using diagnosis cost profiles</w:t>
      </w:r>
    </w:p>
    <w:p w14:paraId="0BA6E6DD" w14:textId="77777777" w:rsidR="005B5818" w:rsidRPr="00E42583" w:rsidRDefault="005B5818" w:rsidP="00C83D03">
      <w:pPr>
        <w:keepNext/>
        <w:keepLines/>
        <w:rPr>
          <w:rFonts w:eastAsiaTheme="minorEastAsia"/>
          <w:szCs w:val="24"/>
          <w:lang w:val="en-AU"/>
        </w:rPr>
      </w:pPr>
      <w:r>
        <w:rPr>
          <w:rFonts w:eastAsiaTheme="minorEastAsia"/>
          <w:szCs w:val="24"/>
          <w:lang w:val="en-AU"/>
        </w:rPr>
        <w:t xml:space="preserve">The effectiveness of the PCCL process in measuring patient clinical complexity is critically dependent on the ability of CCLs to quantify relative levels of resource utilisation associated with diagnoses within the context </w:t>
      </w:r>
      <w:r w:rsidR="006B0620">
        <w:rPr>
          <w:rFonts w:eastAsiaTheme="minorEastAsia"/>
          <w:szCs w:val="24"/>
          <w:lang w:val="en-AU"/>
        </w:rPr>
        <w:t xml:space="preserve">of </w:t>
      </w:r>
      <w:r>
        <w:rPr>
          <w:rFonts w:eastAsiaTheme="minorEastAsia"/>
          <w:szCs w:val="24"/>
          <w:lang w:val="en-AU"/>
        </w:rPr>
        <w:t>ADRGs. Diagnosis cost profiles were used to evaluate CCL performance by</w:t>
      </w:r>
      <w:r w:rsidRPr="00E42583">
        <w:rPr>
          <w:rFonts w:eastAsiaTheme="minorEastAsia"/>
          <w:szCs w:val="24"/>
          <w:lang w:val="en-AU"/>
        </w:rPr>
        <w:t xml:space="preserve"> </w:t>
      </w:r>
      <w:r>
        <w:rPr>
          <w:rFonts w:eastAsiaTheme="minorEastAsia"/>
          <w:szCs w:val="24"/>
          <w:lang w:val="en-AU"/>
        </w:rPr>
        <w:t>measuring the correlation between diagnosis costs</w:t>
      </w:r>
      <w:r w:rsidRPr="00E42583">
        <w:rPr>
          <w:rFonts w:eastAsiaTheme="minorEastAsia"/>
          <w:szCs w:val="24"/>
          <w:lang w:val="en-AU"/>
        </w:rPr>
        <w:t xml:space="preserve"> </w:t>
      </w:r>
      <w:r>
        <w:rPr>
          <w:rFonts w:eastAsiaTheme="minorEastAsia"/>
          <w:szCs w:val="24"/>
          <w:lang w:val="en-AU"/>
        </w:rPr>
        <w:t>and their CCLs</w:t>
      </w:r>
      <w:r w:rsidRPr="00E42583">
        <w:rPr>
          <w:rFonts w:eastAsiaTheme="minorEastAsia"/>
          <w:szCs w:val="24"/>
          <w:lang w:val="en-AU"/>
        </w:rPr>
        <w:t xml:space="preserve"> </w:t>
      </w:r>
      <w:r>
        <w:rPr>
          <w:rFonts w:eastAsiaTheme="minorEastAsia"/>
          <w:szCs w:val="24"/>
          <w:lang w:val="en-AU"/>
        </w:rPr>
        <w:t>within</w:t>
      </w:r>
      <w:r w:rsidRPr="00E42583">
        <w:rPr>
          <w:rFonts w:eastAsiaTheme="minorEastAsia"/>
          <w:szCs w:val="24"/>
          <w:lang w:val="en-AU"/>
        </w:rPr>
        <w:t xml:space="preserve"> </w:t>
      </w:r>
      <w:r>
        <w:rPr>
          <w:rFonts w:eastAsiaTheme="minorEastAsia"/>
          <w:szCs w:val="24"/>
          <w:lang w:val="en-AU"/>
        </w:rPr>
        <w:t>each</w:t>
      </w:r>
      <w:r w:rsidRPr="00E42583">
        <w:rPr>
          <w:rFonts w:eastAsiaTheme="minorEastAsia"/>
          <w:szCs w:val="24"/>
          <w:lang w:val="en-AU"/>
        </w:rPr>
        <w:t xml:space="preserve"> </w:t>
      </w:r>
      <w:r w:rsidR="00F57A4C" w:rsidRPr="00F57A4C">
        <w:rPr>
          <w:position w:val="-14"/>
        </w:rPr>
        <w:object w:dxaOrig="660" w:dyaOrig="400" w14:anchorId="27534EDD">
          <v:shape id="_x0000_i1076" type="#_x0000_t75" style="width:33pt;height:20.25pt" o:ole="">
            <v:imagedata r:id="rId120" o:title=""/>
          </v:shape>
          <o:OLEObject Type="Embed" ProgID="Equation.DSMT4" ShapeID="_x0000_i1076" DrawAspect="Content" ObjectID="_1775045712" r:id="rId121"/>
        </w:object>
      </w:r>
      <w:r>
        <w:rPr>
          <w:rFonts w:eastAsiaTheme="minorEastAsia"/>
          <w:szCs w:val="24"/>
          <w:lang w:val="en-AU"/>
        </w:rPr>
        <w:t xml:space="preserve">. </w:t>
      </w:r>
      <w:r w:rsidR="00CC0F16">
        <w:fldChar w:fldCharType="begin"/>
      </w:r>
      <w:r w:rsidR="00CC0F16">
        <w:instrText xml:space="preserve"> REF _Ref391712556 \h  \* MERGEFORMAT </w:instrText>
      </w:r>
      <w:r w:rsidR="00CC0F16">
        <w:fldChar w:fldCharType="separate"/>
      </w:r>
      <w:r w:rsidR="0031717B" w:rsidRPr="0031717B">
        <w:rPr>
          <w:szCs w:val="24"/>
        </w:rPr>
        <w:t>Figure 3</w:t>
      </w:r>
      <w:r w:rsidR="00CC0F16">
        <w:fldChar w:fldCharType="end"/>
      </w:r>
      <w:r>
        <w:rPr>
          <w:rFonts w:eastAsiaTheme="minorEastAsia"/>
          <w:szCs w:val="24"/>
          <w:lang w:val="en-AU"/>
        </w:rPr>
        <w:t xml:space="preserve"> and </w:t>
      </w:r>
      <w:r w:rsidR="00CC0F16">
        <w:fldChar w:fldCharType="begin"/>
      </w:r>
      <w:r w:rsidR="00CC0F16">
        <w:instrText xml:space="preserve"> REF _Ref390968302 \h  \* MERGEFORMAT </w:instrText>
      </w:r>
      <w:r w:rsidR="00CC0F16">
        <w:fldChar w:fldCharType="separate"/>
      </w:r>
      <w:r w:rsidR="0031717B" w:rsidRPr="0031717B">
        <w:rPr>
          <w:szCs w:val="24"/>
        </w:rPr>
        <w:t>Figure 4</w:t>
      </w:r>
      <w:r w:rsidR="00CC0F16">
        <w:fldChar w:fldCharType="end"/>
      </w:r>
      <w:r w:rsidRPr="002271A4">
        <w:rPr>
          <w:rFonts w:eastAsiaTheme="minorEastAsia"/>
          <w:szCs w:val="24"/>
          <w:lang w:val="en-AU"/>
        </w:rPr>
        <w:t xml:space="preserve"> </w:t>
      </w:r>
      <w:r>
        <w:rPr>
          <w:rFonts w:eastAsiaTheme="minorEastAsia"/>
          <w:szCs w:val="24"/>
          <w:lang w:val="en-AU"/>
        </w:rPr>
        <w:t xml:space="preserve">illustrate how this was </w:t>
      </w:r>
      <w:r w:rsidR="00E161DC">
        <w:rPr>
          <w:rFonts w:eastAsiaTheme="minorEastAsia"/>
          <w:szCs w:val="24"/>
          <w:lang w:val="en-AU"/>
        </w:rPr>
        <w:t>achieved;</w:t>
      </w:r>
      <w:r>
        <w:rPr>
          <w:rFonts w:eastAsiaTheme="minorEastAsia"/>
          <w:szCs w:val="24"/>
          <w:lang w:val="en-AU"/>
        </w:rPr>
        <w:t xml:space="preserve"> </w:t>
      </w:r>
      <w:r w:rsidRPr="002805FF">
        <w:rPr>
          <w:rFonts w:eastAsiaTheme="minorEastAsia"/>
          <w:szCs w:val="24"/>
          <w:lang w:val="en-AU"/>
        </w:rPr>
        <w:t>show</w:t>
      </w:r>
      <w:r>
        <w:rPr>
          <w:rFonts w:eastAsiaTheme="minorEastAsia"/>
          <w:szCs w:val="24"/>
          <w:lang w:val="en-AU"/>
        </w:rPr>
        <w:t>ing</w:t>
      </w:r>
      <w:r w:rsidRPr="002805FF">
        <w:rPr>
          <w:rFonts w:eastAsiaTheme="minorEastAsia"/>
          <w:szCs w:val="24"/>
          <w:lang w:val="en-AU"/>
        </w:rPr>
        <w:t xml:space="preserve"> scatter plots of diagno</w:t>
      </w:r>
      <w:r>
        <w:rPr>
          <w:rFonts w:eastAsiaTheme="minorEastAsia"/>
          <w:szCs w:val="24"/>
          <w:lang w:val="en-AU"/>
        </w:rPr>
        <w:t xml:space="preserve">sis profile mean costs within </w:t>
      </w:r>
      <w:r w:rsidR="00F57A4C" w:rsidRPr="00F57A4C">
        <w:rPr>
          <w:position w:val="-14"/>
        </w:rPr>
        <w:object w:dxaOrig="940" w:dyaOrig="400" w14:anchorId="420537CC">
          <v:shape id="_x0000_i1077" type="#_x0000_t75" style="width:47.25pt;height:20.25pt" o:ole="">
            <v:imagedata r:id="rId122" o:title=""/>
          </v:shape>
          <o:OLEObject Type="Embed" ProgID="Equation.DSMT4" ShapeID="_x0000_i1077" DrawAspect="Content" ObjectID="_1775045713" r:id="rId123"/>
        </w:object>
      </w:r>
      <w:r>
        <w:rPr>
          <w:rFonts w:eastAsiaTheme="minorEastAsia"/>
          <w:szCs w:val="24"/>
          <w:lang w:val="en-AU"/>
        </w:rPr>
        <w:t xml:space="preserve"> and </w:t>
      </w:r>
      <w:r w:rsidR="00F57A4C" w:rsidRPr="00F57A4C">
        <w:rPr>
          <w:position w:val="-14"/>
        </w:rPr>
        <w:object w:dxaOrig="920" w:dyaOrig="400" w14:anchorId="5D3A59D6">
          <v:shape id="_x0000_i1078" type="#_x0000_t75" style="width:45.75pt;height:20.25pt" o:ole="">
            <v:imagedata r:id="rId124" o:title=""/>
          </v:shape>
          <o:OLEObject Type="Embed" ProgID="Equation.DSMT4" ShapeID="_x0000_i1078" DrawAspect="Content" ObjectID="_1775045714" r:id="rId125"/>
        </w:object>
      </w:r>
      <w:r w:rsidRPr="002805FF">
        <w:rPr>
          <w:rFonts w:eastAsiaTheme="minorEastAsia"/>
          <w:szCs w:val="24"/>
          <w:lang w:val="en-AU"/>
        </w:rPr>
        <w:t xml:space="preserve"> against each </w:t>
      </w:r>
      <w:r>
        <w:rPr>
          <w:rFonts w:eastAsiaTheme="minorEastAsia"/>
          <w:szCs w:val="24"/>
          <w:lang w:val="en-AU"/>
        </w:rPr>
        <w:t>diagnosis’</w:t>
      </w:r>
      <w:r w:rsidRPr="002805FF">
        <w:rPr>
          <w:rFonts w:eastAsiaTheme="minorEastAsia"/>
          <w:szCs w:val="24"/>
          <w:lang w:val="en-AU"/>
        </w:rPr>
        <w:t xml:space="preserve"> CCL value</w:t>
      </w:r>
      <w:r>
        <w:rPr>
          <w:rFonts w:eastAsiaTheme="minorEastAsia"/>
          <w:szCs w:val="24"/>
          <w:lang w:val="en-AU"/>
        </w:rPr>
        <w:t>.</w:t>
      </w:r>
    </w:p>
    <w:p w14:paraId="1CF358CC" w14:textId="77777777" w:rsidR="005B5818" w:rsidRDefault="005B5818" w:rsidP="00AB5225">
      <w:pPr>
        <w:pStyle w:val="Caption"/>
      </w:pPr>
      <w:bookmarkStart w:id="37" w:name="_Ref390968302"/>
      <w:bookmarkStart w:id="38" w:name="_Ref390769062"/>
      <w:bookmarkStart w:id="39" w:name="_Toc401061057"/>
      <w:r w:rsidRPr="0044582C">
        <w:t xml:space="preserve">Figure </w:t>
      </w:r>
      <w:r w:rsidR="005559F5" w:rsidRPr="0044582C">
        <w:fldChar w:fldCharType="begin"/>
      </w:r>
      <w:r w:rsidRPr="0044582C">
        <w:instrText xml:space="preserve"> SEQ Figure \* ARABIC </w:instrText>
      </w:r>
      <w:r w:rsidR="005559F5" w:rsidRPr="0044582C">
        <w:fldChar w:fldCharType="separate"/>
      </w:r>
      <w:r w:rsidR="0031717B">
        <w:rPr>
          <w:noProof/>
        </w:rPr>
        <w:t>4</w:t>
      </w:r>
      <w:r w:rsidR="005559F5" w:rsidRPr="0044582C">
        <w:rPr>
          <w:noProof/>
        </w:rPr>
        <w:fldChar w:fldCharType="end"/>
      </w:r>
      <w:bookmarkEnd w:id="37"/>
      <w:r w:rsidRPr="0044582C">
        <w:t xml:space="preserve">: Scatter plot of diagnosis profile mean cost by CCL value for diseases occurring in </w:t>
      </w:r>
      <w:bookmarkStart w:id="40" w:name="_Ref390769070"/>
      <w:bookmarkEnd w:id="38"/>
      <w:r w:rsidR="00F57A4C" w:rsidRPr="00F57A4C">
        <w:rPr>
          <w:position w:val="-14"/>
        </w:rPr>
        <w:object w:dxaOrig="940" w:dyaOrig="400" w14:anchorId="22954095">
          <v:shape id="_x0000_i1079" type="#_x0000_t75" style="width:47.25pt;height:20.25pt" o:ole="">
            <v:imagedata r:id="rId122" o:title=""/>
          </v:shape>
          <o:OLEObject Type="Embed" ProgID="Equation.DSMT4" ShapeID="_x0000_i1079" DrawAspect="Content" ObjectID="_1775045715" r:id="rId126"/>
        </w:object>
      </w:r>
      <w:r w:rsidR="00981B6D">
        <w:t>.</w:t>
      </w:r>
      <w:bookmarkEnd w:id="39"/>
    </w:p>
    <w:p w14:paraId="3EA2398A" w14:textId="77777777" w:rsidR="00B97E11" w:rsidRPr="00F71558" w:rsidRDefault="00B97E11" w:rsidP="00F71558">
      <w:r w:rsidRPr="00B97E11">
        <w:rPr>
          <w:noProof/>
          <w:lang w:val="en-AU" w:eastAsia="en-AU"/>
        </w:rPr>
        <w:drawing>
          <wp:inline distT="0" distB="0" distL="0" distR="0" wp14:anchorId="52DB65CD" wp14:editId="45DD42DD">
            <wp:extent cx="5989916" cy="3672000"/>
            <wp:effectExtent l="0" t="0" r="0" b="5080"/>
            <wp:docPr id="14364" name="Picture 14364" descr="The E_2(F14) mean cost is shown at $7,200. At a CCL value of zero, the E_2(x;F14) mean cost is $7,500 with a standard deviation of $2,900. There are no observations at a CCL value of one. At a CCL value of two, the E_2(x;F14) mean cost is $6,100 with a standard deviation of $2,900. At a CCL value of three, the E_2(x;F14) mean cost is $9,200 with a standard deviation of $3,800. At a CCL value of four, the E_2(x;F14) mean cost is $7,100 with a standard deviation of $2,300." title="Scatter plot of diagnosis profile mean cost by CCL value for diseases occurring in  E_2(F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3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989916" cy="3672000"/>
                    </a:xfrm>
                    <a:prstGeom prst="rect">
                      <a:avLst/>
                    </a:prstGeom>
                    <a:noFill/>
                    <a:ln>
                      <a:noFill/>
                    </a:ln>
                  </pic:spPr>
                </pic:pic>
              </a:graphicData>
            </a:graphic>
          </wp:inline>
        </w:drawing>
      </w:r>
    </w:p>
    <w:p w14:paraId="70863C25" w14:textId="77777777" w:rsidR="005B5818" w:rsidRPr="0044582C" w:rsidRDefault="005B5818" w:rsidP="00AB5225">
      <w:pPr>
        <w:pStyle w:val="Caption"/>
        <w:rPr>
          <w:lang w:val="en-AU"/>
        </w:rPr>
      </w:pPr>
      <w:bookmarkStart w:id="41" w:name="_Ref390968327"/>
      <w:bookmarkStart w:id="42" w:name="_Toc401061058"/>
      <w:r w:rsidRPr="0044582C">
        <w:lastRenderedPageBreak/>
        <w:t xml:space="preserve">Figure </w:t>
      </w:r>
      <w:r w:rsidR="005559F5" w:rsidRPr="0044582C">
        <w:fldChar w:fldCharType="begin"/>
      </w:r>
      <w:r w:rsidRPr="0044582C">
        <w:instrText xml:space="preserve"> SEQ Figure \* ARABIC </w:instrText>
      </w:r>
      <w:r w:rsidR="005559F5" w:rsidRPr="0044582C">
        <w:fldChar w:fldCharType="separate"/>
      </w:r>
      <w:r w:rsidR="0031717B">
        <w:rPr>
          <w:noProof/>
        </w:rPr>
        <w:t>5</w:t>
      </w:r>
      <w:r w:rsidR="005559F5" w:rsidRPr="0044582C">
        <w:rPr>
          <w:noProof/>
        </w:rPr>
        <w:fldChar w:fldCharType="end"/>
      </w:r>
      <w:bookmarkEnd w:id="41"/>
      <w:r w:rsidRPr="0044582C">
        <w:t xml:space="preserve">: Scatter plot of diagnosis profile mean cost by CCL value for diseases occurring in </w:t>
      </w:r>
      <w:r w:rsidR="00F57A4C" w:rsidRPr="00F57A4C">
        <w:rPr>
          <w:position w:val="-14"/>
        </w:rPr>
        <w:object w:dxaOrig="920" w:dyaOrig="400" w14:anchorId="545AE682">
          <v:shape id="_x0000_i1080" type="#_x0000_t75" style="width:45.75pt;height:20.25pt" o:ole="">
            <v:imagedata r:id="rId124" o:title=""/>
          </v:shape>
          <o:OLEObject Type="Embed" ProgID="Equation.DSMT4" ShapeID="_x0000_i1080" DrawAspect="Content" ObjectID="_1775045716" r:id="rId128"/>
        </w:object>
      </w:r>
      <w:r w:rsidR="00A507A6">
        <w:t>.</w:t>
      </w:r>
      <w:bookmarkEnd w:id="42"/>
    </w:p>
    <w:bookmarkEnd w:id="40"/>
    <w:p w14:paraId="68BE4F8D" w14:textId="77777777" w:rsidR="0083600C" w:rsidRDefault="00B97E11" w:rsidP="0083600C">
      <w:pPr>
        <w:keepLines/>
        <w:rPr>
          <w:rFonts w:eastAsiaTheme="minorEastAsia"/>
          <w:szCs w:val="24"/>
          <w:lang w:val="en-AU"/>
        </w:rPr>
      </w:pPr>
      <w:r w:rsidRPr="00B97E11">
        <w:rPr>
          <w:noProof/>
          <w:lang w:val="en-AU" w:eastAsia="en-AU"/>
        </w:rPr>
        <w:drawing>
          <wp:inline distT="0" distB="0" distL="0" distR="0" wp14:anchorId="3E49FB58" wp14:editId="373C2AF2">
            <wp:extent cx="5989918" cy="3672000"/>
            <wp:effectExtent l="0" t="0" r="0" b="5080"/>
            <wp:docPr id="14366" name="Picture 14366" descr="The E_3(F14) mean cost is shown as $7,200. At a CCL value of zero, the E_3(x;F14) mean cost is $9,000 with a standard deviation of $3,700. There are no observations at a CCL value of one. At a CCL value of two, the E_3(x;F14) mean cost is $9,000 with a standard deviation of $3,100. At a CCL value of three, the E_3(x;F14) mean cost is $9,600 with a standard deviation of $3,900. At a CCL value of four, the E_3(x;F14) mean cost is $10,400 with a standard deviation of $3,100.    " title="Scatter plot of diagnosis profile mean cost by CCL value for diseases occurring in E_3(F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35"/>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989918" cy="3672000"/>
                    </a:xfrm>
                    <a:prstGeom prst="rect">
                      <a:avLst/>
                    </a:prstGeom>
                    <a:noFill/>
                    <a:ln>
                      <a:noFill/>
                    </a:ln>
                  </pic:spPr>
                </pic:pic>
              </a:graphicData>
            </a:graphic>
          </wp:inline>
        </w:drawing>
      </w:r>
    </w:p>
    <w:p w14:paraId="67FEB4A7" w14:textId="77777777" w:rsidR="005B5818" w:rsidRDefault="005B5818" w:rsidP="0083600C">
      <w:pPr>
        <w:keepLines/>
        <w:rPr>
          <w:rFonts w:eastAsiaTheme="minorEastAsia"/>
          <w:szCs w:val="24"/>
          <w:lang w:val="en-AU"/>
        </w:rPr>
      </w:pPr>
      <w:r>
        <w:rPr>
          <w:rFonts w:eastAsiaTheme="minorEastAsia"/>
          <w:szCs w:val="24"/>
          <w:lang w:val="en-AU"/>
        </w:rPr>
        <w:t xml:space="preserve">The performance of CCLs within an ADRG can be measured by the level of correlation between diagnosis profile mean costs and corresponding CCLs, and in this respect, </w:t>
      </w:r>
      <w:r w:rsidR="00CC0F16">
        <w:fldChar w:fldCharType="begin"/>
      </w:r>
      <w:r w:rsidR="00CC0F16">
        <w:instrText xml:space="preserve"> REF _Ref390968302 \h  \* MERGEFORMAT </w:instrText>
      </w:r>
      <w:r w:rsidR="00CC0F16">
        <w:fldChar w:fldCharType="separate"/>
      </w:r>
      <w:r w:rsidR="0031717B" w:rsidRPr="0031717B">
        <w:rPr>
          <w:szCs w:val="24"/>
        </w:rPr>
        <w:t>Figure 4</w:t>
      </w:r>
      <w:r w:rsidR="00CC0F16">
        <w:fldChar w:fldCharType="end"/>
      </w:r>
      <w:r w:rsidRPr="00E51E42">
        <w:rPr>
          <w:rFonts w:eastAsiaTheme="minorEastAsia"/>
          <w:szCs w:val="24"/>
          <w:lang w:val="en-AU"/>
        </w:rPr>
        <w:t xml:space="preserve"> and </w:t>
      </w:r>
      <w:r w:rsidR="00CC0F16">
        <w:fldChar w:fldCharType="begin"/>
      </w:r>
      <w:r w:rsidR="00CC0F16">
        <w:instrText xml:space="preserve"> REF _Ref390968327 \h  \* MERGEFORMAT </w:instrText>
      </w:r>
      <w:r w:rsidR="00CC0F16">
        <w:fldChar w:fldCharType="separate"/>
      </w:r>
      <w:r w:rsidR="0031717B" w:rsidRPr="0031717B">
        <w:rPr>
          <w:szCs w:val="24"/>
        </w:rPr>
        <w:t>Figure 5</w:t>
      </w:r>
      <w:r w:rsidR="00CC0F16">
        <w:fldChar w:fldCharType="end"/>
      </w:r>
      <w:r w:rsidRPr="00424555">
        <w:rPr>
          <w:rFonts w:eastAsiaTheme="minorEastAsia"/>
          <w:szCs w:val="24"/>
          <w:lang w:val="en-AU"/>
        </w:rPr>
        <w:t xml:space="preserve"> </w:t>
      </w:r>
      <w:r>
        <w:rPr>
          <w:rFonts w:eastAsiaTheme="minorEastAsia"/>
          <w:szCs w:val="24"/>
          <w:lang w:val="en-AU"/>
        </w:rPr>
        <w:t xml:space="preserve">demonstrate </w:t>
      </w:r>
      <w:r w:rsidRPr="00E42583">
        <w:rPr>
          <w:rFonts w:eastAsiaTheme="minorEastAsia"/>
          <w:szCs w:val="24"/>
          <w:lang w:val="en-AU"/>
        </w:rPr>
        <w:t xml:space="preserve">that CCL assignments </w:t>
      </w:r>
      <w:r>
        <w:rPr>
          <w:rFonts w:eastAsiaTheme="minorEastAsia"/>
          <w:szCs w:val="24"/>
          <w:lang w:val="en-AU"/>
        </w:rPr>
        <w:t xml:space="preserve">within </w:t>
      </w:r>
      <w:r w:rsidR="00F57A4C" w:rsidRPr="00025957">
        <w:rPr>
          <w:position w:val="-4"/>
        </w:rPr>
        <w:object w:dxaOrig="480" w:dyaOrig="260" w14:anchorId="1A4866CD">
          <v:shape id="_x0000_i1081" type="#_x0000_t75" style="width:24pt;height:12.75pt" o:ole="">
            <v:imagedata r:id="rId130" o:title=""/>
          </v:shape>
          <o:OLEObject Type="Embed" ProgID="Equation.DSMT4" ShapeID="_x0000_i1081" DrawAspect="Content" ObjectID="_1775045717" r:id="rId131"/>
        </w:object>
      </w:r>
      <w:r>
        <w:rPr>
          <w:rFonts w:eastAsiaTheme="minorEastAsia"/>
          <w:szCs w:val="24"/>
          <w:lang w:val="en-AU"/>
        </w:rPr>
        <w:t xml:space="preserve"> are performing poorly. </w:t>
      </w:r>
      <w:r w:rsidRPr="00E42583">
        <w:rPr>
          <w:rFonts w:eastAsiaTheme="minorEastAsia"/>
          <w:szCs w:val="24"/>
          <w:lang w:val="en-AU"/>
        </w:rPr>
        <w:t>Specifically, the plotted values of diagnoses with CCL values of 2, 3 or 4 are not exhibiting any distinguishing cost characteristics compared to the plotted values of d</w:t>
      </w:r>
      <w:r>
        <w:rPr>
          <w:rFonts w:eastAsiaTheme="minorEastAsia"/>
          <w:szCs w:val="24"/>
          <w:lang w:val="en-AU"/>
        </w:rPr>
        <w:t>iagnoses with a CCL value of 0.</w:t>
      </w:r>
    </w:p>
    <w:p w14:paraId="3165621B" w14:textId="77777777" w:rsidR="005B5818" w:rsidRDefault="005B5818" w:rsidP="005B5818">
      <w:pPr>
        <w:rPr>
          <w:rFonts w:eastAsiaTheme="minorEastAsia"/>
          <w:szCs w:val="24"/>
          <w:lang w:val="en-AU"/>
        </w:rPr>
      </w:pPr>
      <w:r w:rsidRPr="00E42583">
        <w:rPr>
          <w:rFonts w:eastAsiaTheme="minorEastAsia"/>
          <w:szCs w:val="24"/>
          <w:lang w:val="en-AU"/>
        </w:rPr>
        <w:t xml:space="preserve">This </w:t>
      </w:r>
      <w:r>
        <w:rPr>
          <w:rFonts w:eastAsiaTheme="minorEastAsia"/>
          <w:szCs w:val="24"/>
          <w:lang w:val="en-AU"/>
        </w:rPr>
        <w:t xml:space="preserve">very low </w:t>
      </w:r>
      <w:r w:rsidRPr="00E42583">
        <w:rPr>
          <w:rFonts w:eastAsiaTheme="minorEastAsia"/>
          <w:szCs w:val="24"/>
          <w:lang w:val="en-AU"/>
        </w:rPr>
        <w:t xml:space="preserve">correlation </w:t>
      </w:r>
      <w:r>
        <w:rPr>
          <w:rFonts w:eastAsiaTheme="minorEastAsia"/>
          <w:szCs w:val="24"/>
          <w:lang w:val="en-AU"/>
        </w:rPr>
        <w:t xml:space="preserve">of </w:t>
      </w:r>
      <w:r w:rsidRPr="00E42583">
        <w:rPr>
          <w:rFonts w:eastAsiaTheme="minorEastAsia"/>
          <w:szCs w:val="24"/>
          <w:lang w:val="en-AU"/>
        </w:rPr>
        <w:t xml:space="preserve">CCLs and diagnosis profile mean costs is </w:t>
      </w:r>
      <w:r>
        <w:rPr>
          <w:rFonts w:eastAsiaTheme="minorEastAsia"/>
          <w:szCs w:val="24"/>
          <w:lang w:val="en-AU"/>
        </w:rPr>
        <w:t xml:space="preserve">strikingly evident across almost all ADRGs. </w:t>
      </w:r>
      <w:r w:rsidR="003346A7">
        <w:rPr>
          <w:rFonts w:eastAsiaTheme="minorEastAsia"/>
          <w:szCs w:val="24"/>
          <w:lang w:val="en-AU"/>
        </w:rPr>
        <w:t xml:space="preserve">For example, </w:t>
      </w:r>
      <w:r w:rsidR="00CC0F16">
        <w:fldChar w:fldCharType="begin"/>
      </w:r>
      <w:r w:rsidR="00CC0F16">
        <w:instrText xml:space="preserve"> REF _Ref392789514 \h  \* MERGEFORMAT </w:instrText>
      </w:r>
      <w:r w:rsidR="00CC0F16">
        <w:fldChar w:fldCharType="separate"/>
      </w:r>
      <w:r w:rsidR="0031717B" w:rsidRPr="0031717B">
        <w:rPr>
          <w:szCs w:val="24"/>
        </w:rPr>
        <w:t>Figure 6</w:t>
      </w:r>
      <w:r w:rsidR="00CC0F16">
        <w:fldChar w:fldCharType="end"/>
      </w:r>
      <w:r>
        <w:rPr>
          <w:rFonts w:eastAsiaTheme="minorEastAsia"/>
          <w:szCs w:val="24"/>
          <w:lang w:val="en-AU"/>
        </w:rPr>
        <w:t xml:space="preserve"> shows the distribution of Pearson correlation coefficients across ADRGs resulting from the comparison of CCLs and diagnosis profile mean costs of episodes with precisely two diagnoses (i.e. within each </w:t>
      </w:r>
      <w:r w:rsidR="00F57A4C" w:rsidRPr="00F57A4C">
        <w:rPr>
          <w:position w:val="-14"/>
        </w:rPr>
        <w:object w:dxaOrig="700" w:dyaOrig="400" w14:anchorId="669C74A0">
          <v:shape id="_x0000_i1082" type="#_x0000_t75" style="width:35.25pt;height:20.25pt" o:ole="">
            <v:imagedata r:id="rId132" o:title=""/>
          </v:shape>
          <o:OLEObject Type="Embed" ProgID="Equation.DSMT4" ShapeID="_x0000_i1082" DrawAspect="Content" ObjectID="_1775045718" r:id="rId133"/>
        </w:object>
      </w:r>
      <w:r>
        <w:rPr>
          <w:rFonts w:eastAsiaTheme="minorEastAsia"/>
          <w:szCs w:val="24"/>
          <w:lang w:val="en-AU"/>
        </w:rPr>
        <w:t>).</w:t>
      </w:r>
      <w:r w:rsidR="0073157E">
        <w:rPr>
          <w:rFonts w:eastAsiaTheme="minorEastAsia"/>
          <w:szCs w:val="24"/>
          <w:lang w:val="en-AU"/>
        </w:rPr>
        <w:t xml:space="preserve"> </w:t>
      </w:r>
      <w:r w:rsidR="00715789">
        <w:rPr>
          <w:rFonts w:eastAsiaTheme="minorEastAsia"/>
          <w:szCs w:val="24"/>
          <w:lang w:val="en-AU"/>
        </w:rPr>
        <w:t>These coefficients ranged between -0.6 and 0.8, with a mean value of 0.21 and a standard deviation of 0.26.</w:t>
      </w:r>
    </w:p>
    <w:p w14:paraId="19716DD1" w14:textId="77777777" w:rsidR="005B5818" w:rsidRDefault="005B5818" w:rsidP="005B5818">
      <w:pPr>
        <w:rPr>
          <w:rFonts w:eastAsiaTheme="minorEastAsia"/>
          <w:szCs w:val="24"/>
          <w:lang w:val="en-AU"/>
        </w:rPr>
      </w:pPr>
      <w:r>
        <w:rPr>
          <w:rFonts w:eastAsiaTheme="minorEastAsia"/>
          <w:szCs w:val="24"/>
          <w:lang w:val="en-AU"/>
        </w:rPr>
        <w:t xml:space="preserve">Note that the correlation coefficients </w:t>
      </w:r>
      <w:r w:rsidRPr="00ED248F">
        <w:rPr>
          <w:rFonts w:eastAsiaTheme="minorEastAsia"/>
          <w:szCs w:val="24"/>
          <w:lang w:val="en-AU"/>
        </w:rPr>
        <w:t xml:space="preserve">represented in </w:t>
      </w:r>
      <w:r w:rsidR="00CC0F16">
        <w:fldChar w:fldCharType="begin"/>
      </w:r>
      <w:r w:rsidR="00CC0F16">
        <w:instrText xml:space="preserve"> REF _Ref392789514 \h  \* MERGEFORMAT </w:instrText>
      </w:r>
      <w:r w:rsidR="00CC0F16">
        <w:fldChar w:fldCharType="separate"/>
      </w:r>
      <w:r w:rsidR="0031717B" w:rsidRPr="0031717B">
        <w:rPr>
          <w:szCs w:val="24"/>
        </w:rPr>
        <w:t>Figure 6</w:t>
      </w:r>
      <w:r w:rsidR="00CC0F16">
        <w:fldChar w:fldCharType="end"/>
      </w:r>
      <w:r w:rsidRPr="00ED248F">
        <w:rPr>
          <w:rFonts w:eastAsiaTheme="minorEastAsia"/>
          <w:szCs w:val="24"/>
          <w:lang w:val="en-AU"/>
        </w:rPr>
        <w:t xml:space="preserve"> </w:t>
      </w:r>
      <w:r w:rsidR="006B0620">
        <w:rPr>
          <w:rFonts w:eastAsiaTheme="minorEastAsia"/>
          <w:szCs w:val="24"/>
          <w:lang w:val="en-AU"/>
        </w:rPr>
        <w:t>have been</w:t>
      </w:r>
      <w:r w:rsidRPr="00ED248F">
        <w:rPr>
          <w:rFonts w:eastAsiaTheme="minorEastAsia"/>
          <w:szCs w:val="24"/>
          <w:lang w:val="en-AU"/>
        </w:rPr>
        <w:t xml:space="preserve"> calculated</w:t>
      </w:r>
      <w:r>
        <w:rPr>
          <w:rFonts w:eastAsiaTheme="minorEastAsia"/>
          <w:szCs w:val="24"/>
          <w:lang w:val="en-AU"/>
        </w:rPr>
        <w:t xml:space="preserve"> on only those diagnosis profiles containing at least 30 episodes, and furthermore, </w:t>
      </w:r>
      <w:r w:rsidR="00CC0F16">
        <w:fldChar w:fldCharType="begin"/>
      </w:r>
      <w:r w:rsidR="00CC0F16">
        <w:instrText xml:space="preserve"> REF _Ref392789514 \h  \* MERGEFORMAT </w:instrText>
      </w:r>
      <w:r w:rsidR="00CC0F16">
        <w:fldChar w:fldCharType="separate"/>
      </w:r>
      <w:r w:rsidR="0031717B" w:rsidRPr="0031717B">
        <w:rPr>
          <w:szCs w:val="24"/>
        </w:rPr>
        <w:t>Figure 6</w:t>
      </w:r>
      <w:r w:rsidR="00CC0F16">
        <w:fldChar w:fldCharType="end"/>
      </w:r>
      <w:r>
        <w:rPr>
          <w:rFonts w:eastAsiaTheme="minorEastAsia"/>
          <w:szCs w:val="24"/>
          <w:lang w:val="en-AU"/>
        </w:rPr>
        <w:t xml:space="preserve"> only includes those ADRGs with at least 100 episodes and 10 diagnosis profiles.</w:t>
      </w:r>
    </w:p>
    <w:p w14:paraId="2F8EB3C2" w14:textId="77777777" w:rsidR="005B5818" w:rsidRDefault="005B5818" w:rsidP="00AB5225">
      <w:pPr>
        <w:pStyle w:val="Caption"/>
      </w:pPr>
      <w:bookmarkStart w:id="43" w:name="_Ref392789514"/>
      <w:bookmarkStart w:id="44" w:name="_Toc401061059"/>
      <w:r>
        <w:lastRenderedPageBreak/>
        <w:t xml:space="preserve">Figure </w:t>
      </w:r>
      <w:r w:rsidR="005559F5">
        <w:fldChar w:fldCharType="begin"/>
      </w:r>
      <w:r>
        <w:instrText xml:space="preserve"> SEQ Figure \* ARABIC </w:instrText>
      </w:r>
      <w:r w:rsidR="005559F5">
        <w:fldChar w:fldCharType="separate"/>
      </w:r>
      <w:r w:rsidR="0031717B">
        <w:rPr>
          <w:noProof/>
        </w:rPr>
        <w:t>6</w:t>
      </w:r>
      <w:r w:rsidR="005559F5">
        <w:fldChar w:fldCharType="end"/>
      </w:r>
      <w:bookmarkEnd w:id="43"/>
      <w:r>
        <w:t xml:space="preserve">: Distribution of Pearson correlation coefficients across ADRGs resulting from comparison of </w:t>
      </w:r>
      <w:r>
        <w:rPr>
          <w:noProof/>
        </w:rPr>
        <w:t>CCLs and diagnosis profile mean costs of episodes with two diagnoses</w:t>
      </w:r>
      <w:r w:rsidR="00981B6D">
        <w:rPr>
          <w:noProof/>
        </w:rPr>
        <w:t>.</w:t>
      </w:r>
      <w:bookmarkEnd w:id="44"/>
    </w:p>
    <w:p w14:paraId="1092E23C" w14:textId="77777777" w:rsidR="005B5818" w:rsidRDefault="0068659F" w:rsidP="0083600C">
      <w:pPr>
        <w:rPr>
          <w:rFonts w:eastAsiaTheme="minorEastAsia"/>
          <w:szCs w:val="24"/>
          <w:lang w:val="en-AU"/>
        </w:rPr>
      </w:pPr>
      <w:r w:rsidRPr="0068659F">
        <w:rPr>
          <w:noProof/>
          <w:lang w:val="en-AU" w:eastAsia="en-AU"/>
        </w:rPr>
        <w:drawing>
          <wp:inline distT="0" distB="0" distL="0" distR="0" wp14:anchorId="1B331A22" wp14:editId="127E556F">
            <wp:extent cx="5120201" cy="3312000"/>
            <wp:effectExtent l="0" t="0" r="4445" b="3175"/>
            <wp:docPr id="14357" name="Picture 14357" descr="See the above text for the statistics relating to this figure." title="Distribution of Pearson correlation coefficients across ADRGs resulting from comparison of CCLs and diagnosis profile mean costs of episodes with two diagn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120201" cy="3312000"/>
                    </a:xfrm>
                    <a:prstGeom prst="rect">
                      <a:avLst/>
                    </a:prstGeom>
                    <a:noFill/>
                    <a:ln>
                      <a:noFill/>
                    </a:ln>
                  </pic:spPr>
                </pic:pic>
              </a:graphicData>
            </a:graphic>
          </wp:inline>
        </w:drawing>
      </w:r>
    </w:p>
    <w:p w14:paraId="6DFDD995" w14:textId="77777777" w:rsidR="005B5818" w:rsidRDefault="005B5818" w:rsidP="00BA02D0">
      <w:pPr>
        <w:rPr>
          <w:rFonts w:eastAsiaTheme="minorEastAsia"/>
          <w:szCs w:val="24"/>
          <w:lang w:val="en-AU"/>
        </w:rPr>
      </w:pPr>
      <w:r w:rsidRPr="00BB6824">
        <w:rPr>
          <w:rFonts w:eastAsiaTheme="minorEastAsia"/>
          <w:szCs w:val="24"/>
          <w:lang w:val="en-AU"/>
        </w:rPr>
        <w:t>The same lack of correlation is exhibited when comparisons are made among episodes with three, four or five diagnoses.</w:t>
      </w:r>
    </w:p>
    <w:p w14:paraId="3E911567" w14:textId="77777777" w:rsidR="007E5389" w:rsidRPr="00CD792B" w:rsidRDefault="007E5389" w:rsidP="00CD792B">
      <w:pPr>
        <w:pStyle w:val="KeyFinding"/>
        <w:rPr>
          <w:b/>
          <w:color w:val="1F497D" w:themeColor="text2"/>
        </w:rPr>
      </w:pPr>
      <w:r w:rsidRPr="00CD792B">
        <w:rPr>
          <w:b/>
          <w:color w:val="1F497D" w:themeColor="text2"/>
        </w:rPr>
        <w:t>Key Finding 3</w:t>
      </w:r>
    </w:p>
    <w:p w14:paraId="5EEED606" w14:textId="77777777" w:rsidR="00C4059B" w:rsidRPr="00C4059B" w:rsidRDefault="00C4059B" w:rsidP="00CD792B">
      <w:pPr>
        <w:pStyle w:val="KeyFinding"/>
      </w:pPr>
      <w:r w:rsidRPr="00C4059B">
        <w:t xml:space="preserve">The current method of measuring case complexity, the CCLs, exhibits very little (if any) correlation with cost. This was based on an in depth review of the existing case complexity system using three years of patient level cost and activity data from 2009-10 to 2011-12. </w:t>
      </w:r>
    </w:p>
    <w:p w14:paraId="0B959A92" w14:textId="77777777" w:rsidR="005B5818" w:rsidRDefault="005B5818" w:rsidP="005B5818">
      <w:pPr>
        <w:rPr>
          <w:rFonts w:eastAsiaTheme="minorEastAsia"/>
          <w:szCs w:val="24"/>
          <w:lang w:val="en-AU"/>
        </w:rPr>
      </w:pPr>
    </w:p>
    <w:p w14:paraId="05578638" w14:textId="77777777" w:rsidR="00086EE0" w:rsidRPr="0047597D" w:rsidRDefault="00086EE0" w:rsidP="002506C3">
      <w:pPr>
        <w:pStyle w:val="Recommendation"/>
        <w:keepNext/>
        <w:rPr>
          <w:b/>
          <w:color w:val="1F497D" w:themeColor="text2"/>
        </w:rPr>
      </w:pPr>
      <w:r w:rsidRPr="0047597D">
        <w:rPr>
          <w:b/>
          <w:color w:val="1F497D" w:themeColor="text2"/>
        </w:rPr>
        <w:t>Recommendation 1</w:t>
      </w:r>
    </w:p>
    <w:p w14:paraId="09C4C825" w14:textId="77777777" w:rsidR="005B5818" w:rsidRPr="0047597D" w:rsidRDefault="00086EE0" w:rsidP="0047597D">
      <w:pPr>
        <w:pStyle w:val="Recommendation"/>
      </w:pPr>
      <w:r w:rsidRPr="00086EE0">
        <w:t xml:space="preserve">Based on Key Findings 1 – 3, ACCD in consultation with the </w:t>
      </w:r>
      <w:r w:rsidR="007951DF">
        <w:t>DTG</w:t>
      </w:r>
      <w:r w:rsidRPr="00086EE0">
        <w:t xml:space="preserve"> and </w:t>
      </w:r>
      <w:r w:rsidR="007951DF">
        <w:t xml:space="preserve">CCAG </w:t>
      </w:r>
      <w:r w:rsidRPr="00086EE0">
        <w:t xml:space="preserve">recommends that </w:t>
      </w:r>
      <w:r w:rsidR="007D3444" w:rsidRPr="007D3444">
        <w:t>a new conceptually based, formally derived and data driven case complexity system</w:t>
      </w:r>
      <w:r w:rsidRPr="00086EE0">
        <w:t xml:space="preserve"> be developed for AR-DRG Version 8.0 and future versions of the AR-DRG classification.</w:t>
      </w:r>
    </w:p>
    <w:p w14:paraId="5D3EF6F3" w14:textId="77777777" w:rsidR="005B5818" w:rsidRPr="00BB6824" w:rsidRDefault="005B5818" w:rsidP="00B60372">
      <w:pPr>
        <w:pStyle w:val="Heading2"/>
      </w:pPr>
      <w:bookmarkStart w:id="45" w:name="_The_Episode_Clinical"/>
      <w:bookmarkStart w:id="46" w:name="_Ref400541195"/>
      <w:bookmarkStart w:id="47" w:name="_Toc401061043"/>
      <w:bookmarkEnd w:id="45"/>
      <w:r>
        <w:lastRenderedPageBreak/>
        <w:t>The Episode Clinical Complexity Model</w:t>
      </w:r>
      <w:bookmarkEnd w:id="46"/>
      <w:bookmarkEnd w:id="47"/>
    </w:p>
    <w:p w14:paraId="5394BB5E" w14:textId="77777777" w:rsidR="005B5818" w:rsidRPr="00E1266C" w:rsidRDefault="005B5818" w:rsidP="006056B9">
      <w:pPr>
        <w:pStyle w:val="SectionIntroduction"/>
        <w:rPr>
          <w:lang w:val="en-AU"/>
        </w:rPr>
      </w:pPr>
      <w:r w:rsidRPr="00E1266C">
        <w:rPr>
          <w:lang w:val="en-AU"/>
        </w:rPr>
        <w:t>The observed poor performance of CCLs, together with their lack of recorded conceptual foundation, prompted the development of a conceptually based, formally derived and empirically driven approach to quantifying diagnosis complexity. This in turn led to a revised approach to measuring episode clinical complexity. This section details the development of this Episode Clinical Complexity (ECC) Model.</w:t>
      </w:r>
    </w:p>
    <w:p w14:paraId="0BE4DEFE" w14:textId="77777777" w:rsidR="005B5818" w:rsidRDefault="005B5818" w:rsidP="00B60372">
      <w:pPr>
        <w:pStyle w:val="Heading3"/>
      </w:pPr>
      <w:r w:rsidRPr="00923D9A">
        <w:t>Summary</w:t>
      </w:r>
      <w:r>
        <w:t xml:space="preserve"> of</w:t>
      </w:r>
      <w:r w:rsidRPr="00DB5470">
        <w:t xml:space="preserve"> </w:t>
      </w:r>
      <w:r>
        <w:t xml:space="preserve">the </w:t>
      </w:r>
      <w:r w:rsidRPr="00DB5470">
        <w:t>development of the E</w:t>
      </w:r>
      <w:r w:rsidR="004C70DD">
        <w:t xml:space="preserve">pisode </w:t>
      </w:r>
      <w:r w:rsidRPr="00DB5470">
        <w:t>C</w:t>
      </w:r>
      <w:r w:rsidR="004C70DD">
        <w:t xml:space="preserve">linical </w:t>
      </w:r>
      <w:r w:rsidRPr="00DB5470">
        <w:t>C</w:t>
      </w:r>
      <w:r w:rsidR="004C70DD">
        <w:t>omplexity</w:t>
      </w:r>
      <w:r w:rsidRPr="00DB5470">
        <w:t xml:space="preserve"> </w:t>
      </w:r>
      <w:r>
        <w:t>M</w:t>
      </w:r>
      <w:r w:rsidRPr="00DB5470">
        <w:t>odel</w:t>
      </w:r>
    </w:p>
    <w:p w14:paraId="664B6194" w14:textId="77777777" w:rsidR="005B5818" w:rsidRPr="00AA19D8" w:rsidRDefault="005B5818" w:rsidP="00B60372">
      <w:pPr>
        <w:rPr>
          <w:rFonts w:eastAsiaTheme="minorEastAsia"/>
          <w:szCs w:val="24"/>
          <w:lang w:val="en-AU"/>
        </w:rPr>
      </w:pPr>
      <w:r w:rsidRPr="00AA19D8">
        <w:rPr>
          <w:rFonts w:eastAsiaTheme="minorEastAsia"/>
          <w:szCs w:val="24"/>
          <w:lang w:val="en-AU"/>
        </w:rPr>
        <w:t>The formal development of the ECC Model is introduced by first outlining the conceptual structure of the model.</w:t>
      </w:r>
    </w:p>
    <w:p w14:paraId="74EB6A84" w14:textId="77777777" w:rsidR="005B5818" w:rsidRPr="00E51E42" w:rsidRDefault="005B5818" w:rsidP="00B60372">
      <w:pPr>
        <w:pStyle w:val="Heading4"/>
        <w:rPr>
          <w:szCs w:val="24"/>
        </w:rPr>
      </w:pPr>
      <w:bookmarkStart w:id="48" w:name="_Ref390778663"/>
      <w:r w:rsidRPr="00504754">
        <w:t xml:space="preserve">Measuring </w:t>
      </w:r>
      <w:r>
        <w:t xml:space="preserve">relative </w:t>
      </w:r>
      <w:r w:rsidRPr="00504754">
        <w:t>changes in cost associated with diagnosis cost profiles</w:t>
      </w:r>
      <w:bookmarkStart w:id="49" w:name="_Ref391717447"/>
      <w:bookmarkEnd w:id="48"/>
    </w:p>
    <w:bookmarkEnd w:id="49"/>
    <w:p w14:paraId="06623E8C" w14:textId="77777777" w:rsidR="005B5818" w:rsidRPr="00E42583" w:rsidRDefault="005559F5" w:rsidP="00B60372">
      <w:pPr>
        <w:rPr>
          <w:rFonts w:eastAsiaTheme="minorEastAsia"/>
          <w:szCs w:val="24"/>
          <w:lang w:val="en-AU"/>
        </w:rPr>
      </w:pPr>
      <w:r w:rsidRPr="00CD59DD">
        <w:rPr>
          <w:rFonts w:eastAsiaTheme="minorEastAsia"/>
          <w:szCs w:val="24"/>
          <w:lang w:val="en-AU"/>
        </w:rPr>
        <w:fldChar w:fldCharType="begin"/>
      </w:r>
      <w:r w:rsidR="005B5818" w:rsidRPr="00E51E42">
        <w:rPr>
          <w:rFonts w:eastAsiaTheme="minorEastAsia"/>
          <w:szCs w:val="24"/>
          <w:lang w:val="en-AU"/>
        </w:rPr>
        <w:instrText xml:space="preserve"> REF _Ref391712556 \h </w:instrText>
      </w:r>
      <w:r w:rsidR="005B5818">
        <w:rPr>
          <w:rFonts w:eastAsiaTheme="minorEastAsia"/>
          <w:szCs w:val="24"/>
          <w:lang w:val="en-AU"/>
        </w:rPr>
        <w:instrText xml:space="preserve"> \* MERGEFORMAT </w:instrText>
      </w:r>
      <w:r w:rsidRPr="00CD59DD">
        <w:rPr>
          <w:rFonts w:eastAsiaTheme="minorEastAsia"/>
          <w:szCs w:val="24"/>
          <w:lang w:val="en-AU"/>
        </w:rPr>
      </w:r>
      <w:r w:rsidRPr="00CD59DD">
        <w:rPr>
          <w:rFonts w:eastAsiaTheme="minorEastAsia"/>
          <w:szCs w:val="24"/>
          <w:lang w:val="en-AU"/>
        </w:rPr>
        <w:fldChar w:fldCharType="separate"/>
      </w:r>
      <w:r w:rsidR="0031717B" w:rsidRPr="0031717B">
        <w:rPr>
          <w:szCs w:val="24"/>
        </w:rPr>
        <w:t xml:space="preserve">Figure </w:t>
      </w:r>
      <w:r w:rsidR="0031717B" w:rsidRPr="0031717B">
        <w:rPr>
          <w:noProof/>
          <w:szCs w:val="24"/>
        </w:rPr>
        <w:t>3</w:t>
      </w:r>
      <w:r w:rsidRPr="00CD59DD">
        <w:rPr>
          <w:rFonts w:eastAsiaTheme="minorEastAsia"/>
          <w:szCs w:val="24"/>
          <w:lang w:val="en-AU"/>
        </w:rPr>
        <w:fldChar w:fldCharType="end"/>
      </w:r>
      <w:r w:rsidR="005B5818" w:rsidRPr="00CD59DD">
        <w:rPr>
          <w:rFonts w:eastAsiaTheme="minorEastAsia"/>
          <w:szCs w:val="24"/>
          <w:lang w:val="en-AU"/>
        </w:rPr>
        <w:t xml:space="preserve"> </w:t>
      </w:r>
      <w:r w:rsidR="00D932B3">
        <w:rPr>
          <w:rFonts w:eastAsiaTheme="minorEastAsia"/>
          <w:szCs w:val="24"/>
          <w:lang w:val="en-AU"/>
        </w:rPr>
        <w:t xml:space="preserve">on page </w:t>
      </w:r>
      <w:r w:rsidR="00D932B3">
        <w:rPr>
          <w:rFonts w:eastAsiaTheme="minorEastAsia"/>
          <w:szCs w:val="24"/>
          <w:lang w:val="en-AU"/>
        </w:rPr>
        <w:fldChar w:fldCharType="begin"/>
      </w:r>
      <w:r w:rsidR="00D932B3">
        <w:rPr>
          <w:rFonts w:eastAsiaTheme="minorEastAsia"/>
          <w:szCs w:val="24"/>
          <w:lang w:val="en-AU"/>
        </w:rPr>
        <w:instrText xml:space="preserve"> PAGEREF _Ref396211157 \h </w:instrText>
      </w:r>
      <w:r w:rsidR="00D932B3">
        <w:rPr>
          <w:rFonts w:eastAsiaTheme="minorEastAsia"/>
          <w:szCs w:val="24"/>
          <w:lang w:val="en-AU"/>
        </w:rPr>
      </w:r>
      <w:r w:rsidR="00D932B3">
        <w:rPr>
          <w:rFonts w:eastAsiaTheme="minorEastAsia"/>
          <w:szCs w:val="24"/>
          <w:lang w:val="en-AU"/>
        </w:rPr>
        <w:fldChar w:fldCharType="separate"/>
      </w:r>
      <w:r w:rsidR="0031717B">
        <w:rPr>
          <w:rFonts w:eastAsiaTheme="minorEastAsia"/>
          <w:noProof/>
          <w:szCs w:val="24"/>
          <w:lang w:val="en-AU"/>
        </w:rPr>
        <w:t>33</w:t>
      </w:r>
      <w:r w:rsidR="00D932B3">
        <w:rPr>
          <w:rFonts w:eastAsiaTheme="minorEastAsia"/>
          <w:szCs w:val="24"/>
          <w:lang w:val="en-AU"/>
        </w:rPr>
        <w:fldChar w:fldCharType="end"/>
      </w:r>
      <w:r w:rsidR="00D932B3">
        <w:rPr>
          <w:rFonts w:eastAsiaTheme="minorEastAsia"/>
          <w:szCs w:val="24"/>
          <w:lang w:val="en-AU"/>
        </w:rPr>
        <w:t xml:space="preserve"> </w:t>
      </w:r>
      <w:r w:rsidR="005B5818" w:rsidRPr="00CD59DD">
        <w:rPr>
          <w:rFonts w:eastAsiaTheme="minorEastAsia"/>
          <w:szCs w:val="24"/>
          <w:lang w:val="en-AU"/>
        </w:rPr>
        <w:t>provided a</w:t>
      </w:r>
      <w:r w:rsidR="0056171F">
        <w:rPr>
          <w:rFonts w:eastAsiaTheme="minorEastAsia"/>
          <w:szCs w:val="24"/>
          <w:lang w:val="en-AU"/>
        </w:rPr>
        <w:t>n</w:t>
      </w:r>
      <w:r w:rsidR="005B5818" w:rsidRPr="00CD59DD">
        <w:rPr>
          <w:rFonts w:eastAsiaTheme="minorEastAsia"/>
          <w:szCs w:val="24"/>
          <w:lang w:val="en-AU"/>
        </w:rPr>
        <w:t xml:space="preserve"> illustration of how </w:t>
      </w:r>
      <w:r w:rsidR="0056171F">
        <w:rPr>
          <w:rFonts w:eastAsiaTheme="minorEastAsia"/>
          <w:szCs w:val="24"/>
          <w:lang w:val="en-AU"/>
        </w:rPr>
        <w:t xml:space="preserve">the cost within an ARDG varies for a particular diagnosis as the number of </w:t>
      </w:r>
      <w:r w:rsidR="00D932B3">
        <w:rPr>
          <w:rFonts w:eastAsiaTheme="minorEastAsia"/>
          <w:szCs w:val="24"/>
          <w:lang w:val="en-AU"/>
        </w:rPr>
        <w:t xml:space="preserve">total </w:t>
      </w:r>
      <w:r w:rsidR="0056171F">
        <w:rPr>
          <w:rFonts w:eastAsiaTheme="minorEastAsia"/>
          <w:szCs w:val="24"/>
          <w:lang w:val="en-AU"/>
        </w:rPr>
        <w:t xml:space="preserve">diagnoses </w:t>
      </w:r>
      <w:r w:rsidR="00D932B3">
        <w:rPr>
          <w:rFonts w:eastAsiaTheme="minorEastAsia"/>
          <w:szCs w:val="24"/>
          <w:lang w:val="en-AU"/>
        </w:rPr>
        <w:t xml:space="preserve">in an episode </w:t>
      </w:r>
      <w:r w:rsidR="0056171F">
        <w:rPr>
          <w:rFonts w:eastAsiaTheme="minorEastAsia"/>
          <w:szCs w:val="24"/>
          <w:lang w:val="en-AU"/>
        </w:rPr>
        <w:t>increases. The relative impact of each diagnosis may be formalised as follows. E</w:t>
      </w:r>
      <w:r w:rsidR="005B5818" w:rsidRPr="00E42583">
        <w:rPr>
          <w:rFonts w:eastAsiaTheme="minorEastAsia"/>
          <w:szCs w:val="24"/>
          <w:lang w:val="en-AU"/>
        </w:rPr>
        <w:t xml:space="preserve">ach of the diagnosis profiles within a particular </w:t>
      </w:r>
      <w:r w:rsidR="00974730" w:rsidRPr="0084513A">
        <w:rPr>
          <w:position w:val="-14"/>
        </w:rPr>
        <w:object w:dxaOrig="660" w:dyaOrig="400" w14:anchorId="13A036F4">
          <v:shape id="_x0000_i1083" type="#_x0000_t75" style="width:33pt;height:20.25pt" o:ole="">
            <v:imagedata r:id="rId25" o:title=""/>
          </v:shape>
          <o:OLEObject Type="Embed" ProgID="Equation.DSMT4" ShapeID="_x0000_i1083" DrawAspect="Content" ObjectID="_1775045719" r:id="rId135"/>
        </w:object>
      </w:r>
      <w:r w:rsidR="005B5818" w:rsidRPr="00E42583">
        <w:rPr>
          <w:rFonts w:eastAsiaTheme="minorEastAsia"/>
          <w:szCs w:val="24"/>
          <w:lang w:val="en-AU"/>
        </w:rPr>
        <w:t xml:space="preserve"> </w:t>
      </w:r>
      <w:r w:rsidR="0056171F">
        <w:rPr>
          <w:rFonts w:eastAsiaTheme="minorEastAsia"/>
          <w:szCs w:val="24"/>
          <w:lang w:val="en-AU"/>
        </w:rPr>
        <w:t xml:space="preserve">can be considered </w:t>
      </w:r>
      <w:r w:rsidR="005B5818" w:rsidRPr="00E42583">
        <w:rPr>
          <w:rFonts w:eastAsiaTheme="minorEastAsia"/>
          <w:szCs w:val="24"/>
          <w:lang w:val="en-AU"/>
        </w:rPr>
        <w:t xml:space="preserve">relative to the previous ADRG </w:t>
      </w:r>
      <w:r w:rsidR="00D32B5E" w:rsidRPr="00E42583">
        <w:rPr>
          <w:rFonts w:eastAsiaTheme="minorEastAsia"/>
          <w:szCs w:val="24"/>
          <w:lang w:val="en-AU"/>
        </w:rPr>
        <w:t>profile</w:t>
      </w:r>
      <w:r w:rsidR="006400E1" w:rsidRPr="00F968BD">
        <w:rPr>
          <w:position w:val="-14"/>
        </w:rPr>
        <w:object w:dxaOrig="800" w:dyaOrig="400" w14:anchorId="0468E7E4">
          <v:shape id="_x0000_i1084" type="#_x0000_t75" style="width:39.75pt;height:20.25pt" o:ole="">
            <v:imagedata r:id="rId136" o:title=""/>
          </v:shape>
          <o:OLEObject Type="Embed" ProgID="Equation.DSMT4" ShapeID="_x0000_i1084" DrawAspect="Content" ObjectID="_1775045720" r:id="rId137"/>
        </w:object>
      </w:r>
      <w:r w:rsidR="005B5818" w:rsidRPr="00E42583">
        <w:rPr>
          <w:rFonts w:eastAsiaTheme="minorEastAsia"/>
          <w:szCs w:val="24"/>
          <w:lang w:val="en-AU"/>
        </w:rPr>
        <w:t xml:space="preserve">. This provides a way of quantifying the </w:t>
      </w:r>
      <w:r w:rsidR="005B5818">
        <w:rPr>
          <w:rFonts w:eastAsiaTheme="minorEastAsia"/>
          <w:szCs w:val="24"/>
          <w:lang w:val="en-AU"/>
        </w:rPr>
        <w:t xml:space="preserve">relative </w:t>
      </w:r>
      <w:r w:rsidR="005B5818" w:rsidRPr="00E42583">
        <w:rPr>
          <w:rFonts w:eastAsiaTheme="minorEastAsia"/>
          <w:szCs w:val="24"/>
          <w:lang w:val="en-AU"/>
        </w:rPr>
        <w:t xml:space="preserve">cost associated with a particular diagnosis </w:t>
      </w:r>
      <w:r w:rsidR="00D32B5E" w:rsidRPr="00E42583">
        <w:rPr>
          <w:rFonts w:eastAsiaTheme="minorEastAsia"/>
          <w:szCs w:val="24"/>
          <w:lang w:val="en-AU"/>
        </w:rPr>
        <w:t>profile</w:t>
      </w:r>
      <w:r w:rsidR="00974730" w:rsidRPr="00974730">
        <w:rPr>
          <w:position w:val="-14"/>
        </w:rPr>
        <w:object w:dxaOrig="900" w:dyaOrig="400" w14:anchorId="4794C09D">
          <v:shape id="_x0000_i1085" type="#_x0000_t75" style="width:45pt;height:20.25pt" o:ole="">
            <v:imagedata r:id="rId138" o:title=""/>
          </v:shape>
          <o:OLEObject Type="Embed" ProgID="Equation.DSMT4" ShapeID="_x0000_i1085" DrawAspect="Content" ObjectID="_1775045721" r:id="rId139"/>
        </w:object>
      </w:r>
      <w:r w:rsidR="005B5818" w:rsidRPr="00E42583">
        <w:rPr>
          <w:rFonts w:eastAsiaTheme="minorEastAsia"/>
          <w:szCs w:val="24"/>
          <w:lang w:val="en-AU"/>
        </w:rPr>
        <w:t xml:space="preserve">, and these </w:t>
      </w:r>
      <w:r w:rsidR="005B5818">
        <w:rPr>
          <w:rFonts w:eastAsiaTheme="minorEastAsia"/>
          <w:szCs w:val="24"/>
          <w:lang w:val="en-AU"/>
        </w:rPr>
        <w:t xml:space="preserve">relative </w:t>
      </w:r>
      <w:r w:rsidR="005B5818" w:rsidRPr="00E42583">
        <w:rPr>
          <w:rFonts w:eastAsiaTheme="minorEastAsia"/>
          <w:szCs w:val="24"/>
          <w:lang w:val="en-AU"/>
        </w:rPr>
        <w:t xml:space="preserve">costs can then be combined across the </w:t>
      </w:r>
      <w:r w:rsidR="00780E93" w:rsidRPr="00780E93">
        <w:rPr>
          <w:rFonts w:eastAsiaTheme="minorEastAsia"/>
          <w:position w:val="-6"/>
          <w:szCs w:val="24"/>
          <w:lang w:val="en-AU"/>
        </w:rPr>
        <w:object w:dxaOrig="139" w:dyaOrig="260" w14:anchorId="30AE1603">
          <v:shape id="_x0000_i1086" type="#_x0000_t75" style="width:6.75pt;height:12.75pt" o:ole="">
            <v:imagedata r:id="rId140" o:title=""/>
          </v:shape>
          <o:OLEObject Type="Embed" ProgID="Equation.DSMT4" ShapeID="_x0000_i1086" DrawAspect="Content" ObjectID="_1775045722" r:id="rId141"/>
        </w:object>
      </w:r>
      <w:r w:rsidR="00780E93">
        <w:rPr>
          <w:rFonts w:eastAsiaTheme="minorEastAsia"/>
          <w:szCs w:val="24"/>
          <w:lang w:val="en-AU"/>
        </w:rPr>
        <w:t xml:space="preserve"> </w:t>
      </w:r>
      <w:r w:rsidR="005B5818" w:rsidRPr="00E42583">
        <w:rPr>
          <w:rFonts w:eastAsiaTheme="minorEastAsia"/>
          <w:szCs w:val="24"/>
          <w:lang w:val="en-AU"/>
        </w:rPr>
        <w:t>taking into account the sample size of each profile.</w:t>
      </w:r>
    </w:p>
    <w:p w14:paraId="02062641" w14:textId="77777777" w:rsidR="005B5818" w:rsidRPr="00E42583" w:rsidRDefault="00CC0F16" w:rsidP="00B60372">
      <w:pPr>
        <w:rPr>
          <w:rFonts w:eastAsiaTheme="minorEastAsia"/>
          <w:szCs w:val="24"/>
          <w:lang w:val="en-AU"/>
        </w:rPr>
      </w:pPr>
      <w:r>
        <w:fldChar w:fldCharType="begin"/>
      </w:r>
      <w:r>
        <w:instrText xml:space="preserve"> REF _Ref390968601 \h  \* MERGEFORMAT </w:instrText>
      </w:r>
      <w:r>
        <w:fldChar w:fldCharType="separate"/>
      </w:r>
      <w:r w:rsidR="0031717B" w:rsidRPr="0031717B">
        <w:rPr>
          <w:szCs w:val="24"/>
        </w:rPr>
        <w:t>Figure 7</w:t>
      </w:r>
      <w:r>
        <w:fldChar w:fldCharType="end"/>
      </w:r>
      <w:r w:rsidR="005B5818" w:rsidRPr="00692996">
        <w:rPr>
          <w:rFonts w:eastAsiaTheme="minorEastAsia"/>
          <w:szCs w:val="24"/>
          <w:lang w:val="en-AU"/>
        </w:rPr>
        <w:t xml:space="preserve"> illustrat</w:t>
      </w:r>
      <w:r w:rsidR="0056171F">
        <w:rPr>
          <w:rFonts w:eastAsiaTheme="minorEastAsia"/>
          <w:szCs w:val="24"/>
          <w:lang w:val="en-AU"/>
        </w:rPr>
        <w:t>es</w:t>
      </w:r>
      <w:r w:rsidR="005B5818" w:rsidRPr="00E42583">
        <w:rPr>
          <w:rFonts w:eastAsiaTheme="minorEastAsia"/>
          <w:szCs w:val="24"/>
          <w:lang w:val="en-AU"/>
        </w:rPr>
        <w:t xml:space="preserve"> how the cost profiles of </w:t>
      </w:r>
      <w:r w:rsidR="00974730" w:rsidRPr="00974730">
        <w:rPr>
          <w:position w:val="-14"/>
        </w:rPr>
        <w:object w:dxaOrig="900" w:dyaOrig="400" w14:anchorId="218F35CD">
          <v:shape id="_x0000_i1087" type="#_x0000_t75" style="width:45pt;height:20.25pt" o:ole="">
            <v:imagedata r:id="rId142" o:title=""/>
          </v:shape>
          <o:OLEObject Type="Embed" ProgID="Equation.DSMT4" ShapeID="_x0000_i1087" DrawAspect="Content" ObjectID="_1775045723" r:id="rId143"/>
        </w:object>
      </w:r>
      <w:r w:rsidR="005B5818" w:rsidRPr="00E42583">
        <w:rPr>
          <w:rFonts w:eastAsiaTheme="minorEastAsia"/>
          <w:szCs w:val="24"/>
          <w:lang w:val="en-AU"/>
        </w:rPr>
        <w:t xml:space="preserve"> may be compared to the cost profile of </w:t>
      </w:r>
      <w:r w:rsidR="00974730" w:rsidRPr="00974730">
        <w:rPr>
          <w:position w:val="-14"/>
        </w:rPr>
        <w:object w:dxaOrig="700" w:dyaOrig="400" w14:anchorId="0E0FC29B">
          <v:shape id="_x0000_i1088" type="#_x0000_t75" style="width:35.25pt;height:20.25pt" o:ole="">
            <v:imagedata r:id="rId144" o:title=""/>
          </v:shape>
          <o:OLEObject Type="Embed" ProgID="Equation.DSMT4" ShapeID="_x0000_i1088" DrawAspect="Content" ObjectID="_1775045724" r:id="rId145"/>
        </w:object>
      </w:r>
      <w:r w:rsidR="005B5818" w:rsidRPr="00E42583">
        <w:rPr>
          <w:rFonts w:eastAsiaTheme="minorEastAsia"/>
          <w:szCs w:val="24"/>
          <w:lang w:val="en-AU"/>
        </w:rPr>
        <w:t xml:space="preserve"> to derive </w:t>
      </w:r>
      <w:r w:rsidR="005B5818">
        <w:rPr>
          <w:rFonts w:eastAsiaTheme="minorEastAsia"/>
          <w:szCs w:val="24"/>
          <w:lang w:val="en-AU"/>
        </w:rPr>
        <w:t xml:space="preserve">the relative contribution of </w:t>
      </w:r>
      <w:r w:rsidR="00780E93" w:rsidRPr="00780E93">
        <w:rPr>
          <w:rFonts w:eastAsiaTheme="minorEastAsia"/>
          <w:position w:val="-6"/>
          <w:szCs w:val="24"/>
          <w:lang w:val="en-AU"/>
        </w:rPr>
        <w:object w:dxaOrig="200" w:dyaOrig="220" w14:anchorId="0DA97294">
          <v:shape id="_x0000_i1089" type="#_x0000_t75" style="width:9.75pt;height:11.25pt" o:ole="">
            <v:imagedata r:id="rId146" o:title=""/>
          </v:shape>
          <o:OLEObject Type="Embed" ProgID="Equation.DSMT4" ShapeID="_x0000_i1089" DrawAspect="Content" ObjectID="_1775045725" r:id="rId147"/>
        </w:object>
      </w:r>
      <w:r w:rsidR="00780E93">
        <w:rPr>
          <w:rFonts w:eastAsiaTheme="minorEastAsia"/>
          <w:szCs w:val="24"/>
          <w:lang w:val="en-AU"/>
        </w:rPr>
        <w:t xml:space="preserve"> </w:t>
      </w:r>
      <w:r w:rsidR="005B5818">
        <w:rPr>
          <w:rFonts w:eastAsiaTheme="minorEastAsia"/>
          <w:szCs w:val="24"/>
          <w:lang w:val="en-AU"/>
        </w:rPr>
        <w:t>in explaining the change in cost from</w:t>
      </w:r>
      <w:r w:rsidR="00974730" w:rsidRPr="00974730">
        <w:rPr>
          <w:position w:val="-14"/>
        </w:rPr>
        <w:object w:dxaOrig="700" w:dyaOrig="400" w14:anchorId="389D4912">
          <v:shape id="_x0000_i1090" type="#_x0000_t75" style="width:35.25pt;height:20.25pt" o:ole="">
            <v:imagedata r:id="rId144" o:title=""/>
          </v:shape>
          <o:OLEObject Type="Embed" ProgID="Equation.DSMT4" ShapeID="_x0000_i1090" DrawAspect="Content" ObjectID="_1775045726" r:id="rId148"/>
        </w:object>
      </w:r>
      <w:r w:rsidR="005B5818" w:rsidRPr="00E42583">
        <w:rPr>
          <w:rFonts w:eastAsiaTheme="minorEastAsia"/>
          <w:szCs w:val="24"/>
          <w:lang w:val="en-AU"/>
        </w:rPr>
        <w:t xml:space="preserve"> </w:t>
      </w:r>
      <w:r w:rsidR="00974730">
        <w:rPr>
          <w:rFonts w:eastAsiaTheme="minorEastAsia"/>
          <w:szCs w:val="24"/>
          <w:lang w:val="en-AU"/>
        </w:rPr>
        <w:t xml:space="preserve">to </w:t>
      </w:r>
      <w:r w:rsidR="006400E1" w:rsidRPr="00974730">
        <w:rPr>
          <w:position w:val="-14"/>
        </w:rPr>
        <w:object w:dxaOrig="700" w:dyaOrig="400" w14:anchorId="0508FEF3">
          <v:shape id="_x0000_i1091" type="#_x0000_t75" style="width:35.25pt;height:20.25pt" o:ole="">
            <v:imagedata r:id="rId149" o:title=""/>
          </v:shape>
          <o:OLEObject Type="Embed" ProgID="Equation.DSMT4" ShapeID="_x0000_i1091" DrawAspect="Content" ObjectID="_1775045727" r:id="rId150"/>
        </w:object>
      </w:r>
      <w:r w:rsidR="005B5818" w:rsidRPr="00E42583">
        <w:rPr>
          <w:rFonts w:eastAsiaTheme="minorEastAsia"/>
          <w:szCs w:val="24"/>
          <w:lang w:val="en-AU"/>
        </w:rPr>
        <w:t>.</w:t>
      </w:r>
      <w:r w:rsidR="001A058B">
        <w:rPr>
          <w:rFonts w:eastAsiaTheme="minorEastAsia"/>
          <w:szCs w:val="24"/>
          <w:lang w:val="en-AU"/>
        </w:rPr>
        <w:t xml:space="preserve"> Essentially, t</w:t>
      </w:r>
      <w:r w:rsidR="001A058B" w:rsidRPr="001A058B">
        <w:rPr>
          <w:rFonts w:eastAsiaTheme="minorEastAsia"/>
          <w:szCs w:val="24"/>
          <w:lang w:val="en-AU"/>
        </w:rPr>
        <w:t xml:space="preserve">he total change in mean costs associated </w:t>
      </w:r>
      <w:r w:rsidR="00910103" w:rsidRPr="001A058B">
        <w:rPr>
          <w:rFonts w:eastAsiaTheme="minorEastAsia"/>
          <w:szCs w:val="24"/>
          <w:lang w:val="en-AU"/>
        </w:rPr>
        <w:t>with</w:t>
      </w:r>
      <w:r w:rsidR="00974730" w:rsidRPr="00974730">
        <w:rPr>
          <w:position w:val="-14"/>
        </w:rPr>
        <w:object w:dxaOrig="900" w:dyaOrig="400" w14:anchorId="452967B9">
          <v:shape id="_x0000_i1092" type="#_x0000_t75" style="width:45pt;height:20.25pt" o:ole="">
            <v:imagedata r:id="rId142" o:title=""/>
          </v:shape>
          <o:OLEObject Type="Embed" ProgID="Equation.DSMT4" ShapeID="_x0000_i1092" DrawAspect="Content" ObjectID="_1775045728" r:id="rId151"/>
        </w:object>
      </w:r>
      <w:r w:rsidR="001A058B" w:rsidRPr="001A058B">
        <w:rPr>
          <w:rFonts w:eastAsiaTheme="minorEastAsia"/>
          <w:szCs w:val="24"/>
          <w:lang w:val="en-AU"/>
        </w:rPr>
        <w:t xml:space="preserve">, from a diagnosis count of seven, is equal to the difference between the mean cost of </w:t>
      </w:r>
      <w:r w:rsidR="00974730" w:rsidRPr="00974730">
        <w:rPr>
          <w:position w:val="-14"/>
        </w:rPr>
        <w:object w:dxaOrig="700" w:dyaOrig="400" w14:anchorId="607D0DEE">
          <v:shape id="_x0000_i1093" type="#_x0000_t75" style="width:35.25pt;height:20.25pt" o:ole="">
            <v:imagedata r:id="rId144" o:title=""/>
          </v:shape>
          <o:OLEObject Type="Embed" ProgID="Equation.DSMT4" ShapeID="_x0000_i1093" DrawAspect="Content" ObjectID="_1775045729" r:id="rId152"/>
        </w:object>
      </w:r>
      <w:r w:rsidR="001A058B" w:rsidRPr="001A058B">
        <w:rPr>
          <w:rFonts w:eastAsiaTheme="minorEastAsia"/>
          <w:szCs w:val="24"/>
          <w:lang w:val="en-AU"/>
        </w:rPr>
        <w:t xml:space="preserve"> and the mean cost </w:t>
      </w:r>
      <w:r w:rsidR="00910103" w:rsidRPr="001A058B">
        <w:rPr>
          <w:rFonts w:eastAsiaTheme="minorEastAsia"/>
          <w:szCs w:val="24"/>
          <w:lang w:val="en-AU"/>
        </w:rPr>
        <w:t>of</w:t>
      </w:r>
      <w:r w:rsidR="00974730" w:rsidRPr="00974730">
        <w:rPr>
          <w:position w:val="-14"/>
        </w:rPr>
        <w:object w:dxaOrig="900" w:dyaOrig="400" w14:anchorId="388C489D">
          <v:shape id="_x0000_i1094" type="#_x0000_t75" style="width:45pt;height:20.25pt" o:ole="">
            <v:imagedata r:id="rId142" o:title=""/>
          </v:shape>
          <o:OLEObject Type="Embed" ProgID="Equation.DSMT4" ShapeID="_x0000_i1094" DrawAspect="Content" ObjectID="_1775045730" r:id="rId153"/>
        </w:object>
      </w:r>
      <w:r w:rsidR="001A058B" w:rsidRPr="001A058B">
        <w:rPr>
          <w:rFonts w:eastAsiaTheme="minorEastAsia"/>
          <w:szCs w:val="24"/>
          <w:lang w:val="en-AU"/>
        </w:rPr>
        <w:t>.</w:t>
      </w:r>
    </w:p>
    <w:p w14:paraId="40F6313A" w14:textId="5C89DAB9" w:rsidR="005B5818" w:rsidRPr="0044582C" w:rsidRDefault="005B5818" w:rsidP="00B60372">
      <w:pPr>
        <w:pStyle w:val="Caption"/>
        <w:rPr>
          <w:lang w:val="en-AU"/>
        </w:rPr>
      </w:pPr>
      <w:bookmarkStart w:id="50" w:name="_Ref390968601"/>
      <w:bookmarkStart w:id="51" w:name="_Toc401061060"/>
      <w:r w:rsidRPr="0044582C">
        <w:lastRenderedPageBreak/>
        <w:t xml:space="preserve">Figure </w:t>
      </w:r>
      <w:r w:rsidR="005559F5" w:rsidRPr="0044582C">
        <w:fldChar w:fldCharType="begin"/>
      </w:r>
      <w:r w:rsidRPr="0044582C">
        <w:instrText xml:space="preserve"> SEQ Figure \* ARABIC </w:instrText>
      </w:r>
      <w:r w:rsidR="005559F5" w:rsidRPr="0044582C">
        <w:fldChar w:fldCharType="separate"/>
      </w:r>
      <w:r w:rsidR="0031717B">
        <w:rPr>
          <w:noProof/>
        </w:rPr>
        <w:t>7</w:t>
      </w:r>
      <w:r w:rsidR="005559F5" w:rsidRPr="0044582C">
        <w:rPr>
          <w:noProof/>
        </w:rPr>
        <w:fldChar w:fldCharType="end"/>
      </w:r>
      <w:bookmarkEnd w:id="50"/>
      <w:r w:rsidRPr="0044582C">
        <w:t xml:space="preserve">: Illustration of the change in cost associated with </w:t>
      </w:r>
      <w:r w:rsidR="006400E1" w:rsidRPr="006400E1">
        <w:rPr>
          <w:position w:val="-6"/>
        </w:rPr>
        <w:object w:dxaOrig="200" w:dyaOrig="220" w14:anchorId="78CA911D">
          <v:shape id="_x0000_i1095" type="#_x0000_t75" style="width:9.75pt;height:11.25pt" o:ole="">
            <v:imagedata r:id="rId154" o:title=""/>
          </v:shape>
          <o:OLEObject Type="Embed" ProgID="Equation.DSMT4" ShapeID="_x0000_i1095" DrawAspect="Content" ObjectID="_1775045731" r:id="rId155"/>
        </w:object>
      </w:r>
      <w:r w:rsidRPr="0044582C">
        <w:t xml:space="preserve"> in </w:t>
      </w:r>
      <w:r w:rsidR="00FA5F6F" w:rsidRPr="00974730">
        <w:rPr>
          <w:position w:val="-14"/>
        </w:rPr>
        <w:object w:dxaOrig="940" w:dyaOrig="400" w14:anchorId="1548E4BA">
          <v:shape id="_x0000_i1096" type="#_x0000_t75" style="width:47.25pt;height:20.25pt" o:ole="">
            <v:imagedata r:id="rId156" o:title=""/>
          </v:shape>
          <o:OLEObject Type="Embed" ProgID="Equation.DSMT4" ShapeID="_x0000_i1096" DrawAspect="Content" ObjectID="_1775045732" r:id="rId157"/>
        </w:object>
      </w:r>
      <w:r w:rsidR="006400E1">
        <w:t>.</w:t>
      </w:r>
      <w:bookmarkEnd w:id="51"/>
    </w:p>
    <w:p w14:paraId="7806A229" w14:textId="77777777" w:rsidR="00A84142" w:rsidRDefault="00A84142" w:rsidP="00B60372">
      <w:pPr>
        <w:rPr>
          <w:rFonts w:eastAsiaTheme="minorEastAsia"/>
          <w:szCs w:val="24"/>
          <w:lang w:val="en-AU"/>
        </w:rPr>
      </w:pPr>
      <w:r w:rsidRPr="00A84142">
        <w:rPr>
          <w:noProof/>
          <w:lang w:val="en-AU" w:eastAsia="en-AU"/>
        </w:rPr>
        <w:drawing>
          <wp:inline distT="0" distB="0" distL="0" distR="0" wp14:anchorId="287B5E48" wp14:editId="1FDCB82A">
            <wp:extent cx="5732145" cy="4065824"/>
            <wp:effectExtent l="0" t="0" r="1905" b="0"/>
            <wp:docPr id="14347" name="Picture 14347" descr="This figure illustrates the in-text explanation given above." title="Illustration of the change in cost associated with x and y in E8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39"/>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732145" cy="4065824"/>
                    </a:xfrm>
                    <a:prstGeom prst="rect">
                      <a:avLst/>
                    </a:prstGeom>
                    <a:noFill/>
                    <a:ln>
                      <a:noFill/>
                    </a:ln>
                  </pic:spPr>
                </pic:pic>
              </a:graphicData>
            </a:graphic>
          </wp:inline>
        </w:drawing>
      </w:r>
    </w:p>
    <w:p w14:paraId="3187F1D6" w14:textId="77777777" w:rsidR="005B5818" w:rsidRPr="00E42583" w:rsidRDefault="0056171F" w:rsidP="00B60372">
      <w:pPr>
        <w:rPr>
          <w:rFonts w:eastAsiaTheme="minorEastAsia"/>
          <w:szCs w:val="24"/>
          <w:lang w:val="en-AU"/>
        </w:rPr>
      </w:pPr>
      <w:r>
        <w:rPr>
          <w:rFonts w:eastAsiaTheme="minorEastAsia"/>
          <w:szCs w:val="24"/>
          <w:lang w:val="en-AU"/>
        </w:rPr>
        <w:t>T</w:t>
      </w:r>
      <w:r w:rsidR="005B5818" w:rsidRPr="00E42583">
        <w:rPr>
          <w:rFonts w:eastAsiaTheme="minorEastAsia"/>
          <w:szCs w:val="24"/>
          <w:lang w:val="en-AU"/>
        </w:rPr>
        <w:t>hree points</w:t>
      </w:r>
      <w:r>
        <w:rPr>
          <w:rFonts w:eastAsiaTheme="minorEastAsia"/>
          <w:szCs w:val="24"/>
          <w:lang w:val="en-AU"/>
        </w:rPr>
        <w:t xml:space="preserve"> should be highlighted</w:t>
      </w:r>
      <w:r w:rsidR="005B5818" w:rsidRPr="00E42583">
        <w:rPr>
          <w:rFonts w:eastAsiaTheme="minorEastAsia"/>
          <w:szCs w:val="24"/>
          <w:lang w:val="en-AU"/>
        </w:rPr>
        <w:t>:</w:t>
      </w:r>
    </w:p>
    <w:p w14:paraId="47556ACB" w14:textId="77777777" w:rsidR="005B5818" w:rsidRPr="002C3992" w:rsidRDefault="005B5818" w:rsidP="00B60372">
      <w:pPr>
        <w:numPr>
          <w:ilvl w:val="0"/>
          <w:numId w:val="74"/>
        </w:numPr>
        <w:rPr>
          <w:lang w:val="en-AU"/>
        </w:rPr>
      </w:pPr>
      <w:r w:rsidRPr="002C3992">
        <w:rPr>
          <w:lang w:val="en-AU"/>
        </w:rPr>
        <w:t>The method used to quantify relative contribution to costs does not attempt to isolate the costs of individual diagnoses, nor does it attempt to establish causality between diagnosis and cost;</w:t>
      </w:r>
    </w:p>
    <w:p w14:paraId="32EED599" w14:textId="77777777" w:rsidR="005B5818" w:rsidRPr="002C3992" w:rsidRDefault="005B5818" w:rsidP="00B60372">
      <w:pPr>
        <w:numPr>
          <w:ilvl w:val="0"/>
          <w:numId w:val="74"/>
        </w:numPr>
        <w:rPr>
          <w:lang w:val="en-AU"/>
        </w:rPr>
      </w:pPr>
      <w:r w:rsidRPr="002C3992">
        <w:rPr>
          <w:lang w:val="en-AU"/>
        </w:rPr>
        <w:t xml:space="preserve">Estimates of change are affected by sample size and variation of the ADRG profile of </w:t>
      </w:r>
      <w:r w:rsidR="00974730" w:rsidRPr="00974730">
        <w:rPr>
          <w:position w:val="-14"/>
        </w:rPr>
        <w:object w:dxaOrig="700" w:dyaOrig="400" w14:anchorId="7191EC16">
          <v:shape id="_x0000_i1097" type="#_x0000_t75" style="width:35.25pt;height:20.25pt" o:ole="">
            <v:imagedata r:id="rId144" o:title=""/>
          </v:shape>
          <o:OLEObject Type="Embed" ProgID="Equation.DSMT4" ShapeID="_x0000_i1097" DrawAspect="Content" ObjectID="_1775045733" r:id="rId159"/>
        </w:object>
      </w:r>
      <w:r w:rsidRPr="002C3992">
        <w:rPr>
          <w:lang w:val="en-AU"/>
        </w:rPr>
        <w:t xml:space="preserve"> as well as that of the diagnosis profiles within </w:t>
      </w:r>
      <w:r w:rsidR="00DD0CDE" w:rsidRPr="00DD0CDE">
        <w:rPr>
          <w:position w:val="-14"/>
        </w:rPr>
        <w:object w:dxaOrig="700" w:dyaOrig="400" w14:anchorId="061AF71D">
          <v:shape id="_x0000_i1098" type="#_x0000_t75" style="width:35.25pt;height:20.25pt" o:ole="">
            <v:imagedata r:id="rId160" o:title=""/>
          </v:shape>
          <o:OLEObject Type="Embed" ProgID="Equation.DSMT4" ShapeID="_x0000_i1098" DrawAspect="Content" ObjectID="_1775045734" r:id="rId161"/>
        </w:object>
      </w:r>
      <w:r w:rsidRPr="002C3992">
        <w:rPr>
          <w:lang w:val="en-AU"/>
        </w:rPr>
        <w:t>; and</w:t>
      </w:r>
    </w:p>
    <w:p w14:paraId="0F851EFC" w14:textId="77777777" w:rsidR="005B5818" w:rsidRPr="002C3992" w:rsidRDefault="005B5818" w:rsidP="00B60372">
      <w:pPr>
        <w:numPr>
          <w:ilvl w:val="0"/>
          <w:numId w:val="74"/>
        </w:numPr>
        <w:rPr>
          <w:lang w:val="en-AU"/>
        </w:rPr>
      </w:pPr>
      <w:bookmarkStart w:id="52" w:name="_Ref390777817"/>
      <w:r w:rsidRPr="002C3992">
        <w:rPr>
          <w:lang w:val="en-AU"/>
        </w:rPr>
        <w:t xml:space="preserve">The change in cost may be measured in absolute terms or relative terms (i.e. in terms of an absolute change or a percentage change from the ADRG profile of </w:t>
      </w:r>
      <w:r w:rsidR="00974730" w:rsidRPr="00974730">
        <w:rPr>
          <w:position w:val="-14"/>
        </w:rPr>
        <w:object w:dxaOrig="700" w:dyaOrig="400" w14:anchorId="5386D565">
          <v:shape id="_x0000_i1099" type="#_x0000_t75" style="width:35.25pt;height:20.25pt" o:ole="">
            <v:imagedata r:id="rId144" o:title=""/>
          </v:shape>
          <o:OLEObject Type="Embed" ProgID="Equation.DSMT4" ShapeID="_x0000_i1099" DrawAspect="Content" ObjectID="_1775045735" r:id="rId162"/>
        </w:object>
      </w:r>
      <w:r w:rsidRPr="002C3992">
        <w:rPr>
          <w:lang w:val="en-AU"/>
        </w:rPr>
        <w:t xml:space="preserve"> to the diagnosis profiles of </w:t>
      </w:r>
      <w:r w:rsidR="00DD0CDE" w:rsidRPr="00DD0CDE">
        <w:rPr>
          <w:position w:val="-14"/>
        </w:rPr>
        <w:object w:dxaOrig="700" w:dyaOrig="400" w14:anchorId="76B576EE">
          <v:shape id="_x0000_i1100" type="#_x0000_t75" style="width:35.25pt;height:20.25pt" o:ole="">
            <v:imagedata r:id="rId160" o:title=""/>
          </v:shape>
          <o:OLEObject Type="Embed" ProgID="Equation.DSMT4" ShapeID="_x0000_i1100" DrawAspect="Content" ObjectID="_1775045736" r:id="rId163"/>
        </w:object>
      </w:r>
      <w:r w:rsidRPr="002C3992">
        <w:rPr>
          <w:lang w:val="en-AU"/>
        </w:rPr>
        <w:t>).</w:t>
      </w:r>
      <w:bookmarkEnd w:id="52"/>
    </w:p>
    <w:p w14:paraId="01025935" w14:textId="2F98D229" w:rsidR="005B5818" w:rsidRPr="00E42583" w:rsidRDefault="005B5818" w:rsidP="00B60372">
      <w:pPr>
        <w:rPr>
          <w:rFonts w:eastAsiaTheme="minorEastAsia"/>
          <w:szCs w:val="24"/>
          <w:lang w:val="en-AU"/>
        </w:rPr>
      </w:pPr>
      <w:r w:rsidRPr="00E42583">
        <w:rPr>
          <w:rFonts w:eastAsiaTheme="minorEastAsia"/>
          <w:szCs w:val="24"/>
          <w:lang w:val="en-AU"/>
        </w:rPr>
        <w:t xml:space="preserve">To </w:t>
      </w:r>
      <w:r w:rsidR="00F76DD7">
        <w:rPr>
          <w:rFonts w:eastAsiaTheme="minorEastAsia"/>
          <w:szCs w:val="24"/>
          <w:lang w:val="en-AU"/>
        </w:rPr>
        <w:t xml:space="preserve">add further clarity to </w:t>
      </w:r>
      <w:r>
        <w:rPr>
          <w:rFonts w:eastAsiaTheme="minorEastAsia"/>
          <w:szCs w:val="24"/>
          <w:lang w:val="en-AU"/>
        </w:rPr>
        <w:t>the</w:t>
      </w:r>
      <w:r w:rsidRPr="00E42583">
        <w:rPr>
          <w:rFonts w:eastAsiaTheme="minorEastAsia"/>
          <w:szCs w:val="24"/>
          <w:lang w:val="en-AU"/>
        </w:rPr>
        <w:t xml:space="preserve"> first point</w:t>
      </w:r>
      <w:r>
        <w:rPr>
          <w:rFonts w:eastAsiaTheme="minorEastAsia"/>
          <w:szCs w:val="24"/>
          <w:lang w:val="en-AU"/>
        </w:rPr>
        <w:t xml:space="preserve"> above</w:t>
      </w:r>
      <w:r w:rsidRPr="00E42583">
        <w:rPr>
          <w:rFonts w:eastAsiaTheme="minorEastAsia"/>
          <w:szCs w:val="24"/>
          <w:lang w:val="en-AU"/>
        </w:rPr>
        <w:t xml:space="preserve">, the method used to measure cost associated with </w:t>
      </w:r>
      <w:r w:rsidR="00974730" w:rsidRPr="00974730">
        <w:rPr>
          <w:position w:val="-14"/>
        </w:rPr>
        <w:object w:dxaOrig="900" w:dyaOrig="400" w14:anchorId="2AA0703D">
          <v:shape id="_x0000_i1101" type="#_x0000_t75" style="width:45pt;height:20.25pt" o:ole="">
            <v:imagedata r:id="rId138" o:title=""/>
          </v:shape>
          <o:OLEObject Type="Embed" ProgID="Equation.DSMT4" ShapeID="_x0000_i1101" DrawAspect="Content" ObjectID="_1775045737" r:id="rId164"/>
        </w:object>
      </w:r>
      <w:r w:rsidRPr="00E42583">
        <w:rPr>
          <w:rFonts w:eastAsiaTheme="minorEastAsia"/>
          <w:szCs w:val="24"/>
          <w:lang w:val="en-AU"/>
        </w:rPr>
        <w:t xml:space="preserve"> does not distinguish between costs that may be caused by </w:t>
      </w:r>
      <w:r w:rsidR="00DD0CDE" w:rsidRPr="00DD0CDE">
        <w:rPr>
          <w:position w:val="-6"/>
        </w:rPr>
        <w:object w:dxaOrig="200" w:dyaOrig="220" w14:anchorId="67FE9DAA">
          <v:shape id="_x0000_i1102" type="#_x0000_t75" style="width:9.75pt;height:11.25pt" o:ole="">
            <v:imagedata r:id="rId165" o:title=""/>
          </v:shape>
          <o:OLEObject Type="Embed" ProgID="Equation.DSMT4" ShapeID="_x0000_i1102" DrawAspect="Content" ObjectID="_1775045738" r:id="rId166"/>
        </w:object>
      </w:r>
      <w:r w:rsidRPr="00E42583">
        <w:rPr>
          <w:rFonts w:eastAsiaTheme="minorEastAsia"/>
          <w:szCs w:val="24"/>
          <w:lang w:val="en-AU"/>
        </w:rPr>
        <w:t xml:space="preserve"> in isolation and other costs which may be present due to correlations among appearance of </w:t>
      </w:r>
      <w:r w:rsidR="00DD0CDE" w:rsidRPr="00DD0CDE">
        <w:rPr>
          <w:position w:val="-6"/>
        </w:rPr>
        <w:object w:dxaOrig="200" w:dyaOrig="220" w14:anchorId="2DF363DE">
          <v:shape id="_x0000_i1103" type="#_x0000_t75" style="width:9.75pt;height:11.25pt" o:ole="">
            <v:imagedata r:id="rId165" o:title=""/>
          </v:shape>
          <o:OLEObject Type="Embed" ProgID="Equation.DSMT4" ShapeID="_x0000_i1103" DrawAspect="Content" ObjectID="_1775045739" r:id="rId167"/>
        </w:object>
      </w:r>
      <w:r w:rsidRPr="00E42583">
        <w:rPr>
          <w:rFonts w:eastAsiaTheme="minorEastAsia"/>
          <w:szCs w:val="24"/>
          <w:lang w:val="en-AU"/>
        </w:rPr>
        <w:t xml:space="preserve"> with other </w:t>
      </w:r>
      <w:r w:rsidRPr="00E42583">
        <w:rPr>
          <w:rFonts w:eastAsiaTheme="minorEastAsia"/>
          <w:szCs w:val="24"/>
          <w:lang w:val="en-AU"/>
        </w:rPr>
        <w:lastRenderedPageBreak/>
        <w:t>diagnoses. To make clear that there is no causality being established, these costs are referred to as cost associations. The ‘overlapping’ of cost associations among diagnoses is accounted for through the process of combining the cost associations at the episode level.</w:t>
      </w:r>
    </w:p>
    <w:p w14:paraId="5224E772" w14:textId="77777777" w:rsidR="005B5818" w:rsidRPr="00E42583" w:rsidRDefault="005B5818" w:rsidP="00B60372">
      <w:pPr>
        <w:rPr>
          <w:rFonts w:eastAsiaTheme="minorEastAsia"/>
          <w:szCs w:val="24"/>
          <w:lang w:val="en-AU"/>
        </w:rPr>
      </w:pPr>
      <w:r w:rsidRPr="00E42583">
        <w:rPr>
          <w:rFonts w:eastAsiaTheme="minorEastAsia"/>
          <w:szCs w:val="24"/>
          <w:lang w:val="en-AU"/>
        </w:rPr>
        <w:t xml:space="preserve">The second point is addressed by deriving and using a modelled form of the </w:t>
      </w:r>
      <w:r w:rsidR="00974730" w:rsidRPr="0084513A">
        <w:rPr>
          <w:position w:val="-14"/>
        </w:rPr>
        <w:object w:dxaOrig="660" w:dyaOrig="400" w14:anchorId="6D4AFEB5">
          <v:shape id="_x0000_i1104" type="#_x0000_t75" style="width:33pt;height:20.25pt" o:ole="">
            <v:imagedata r:id="rId25" o:title=""/>
          </v:shape>
          <o:OLEObject Type="Embed" ProgID="Equation.DSMT4" ShapeID="_x0000_i1104" DrawAspect="Content" ObjectID="_1775045740" r:id="rId168"/>
        </w:object>
      </w:r>
      <w:r w:rsidRPr="00E42583">
        <w:rPr>
          <w:rFonts w:eastAsiaTheme="minorEastAsia"/>
          <w:szCs w:val="24"/>
          <w:lang w:val="en-AU"/>
        </w:rPr>
        <w:t xml:space="preserve"> profiles based on the empirical distribution across the </w:t>
      </w:r>
      <w:r w:rsidR="00974730" w:rsidRPr="0084513A">
        <w:rPr>
          <w:position w:val="-14"/>
        </w:rPr>
        <w:object w:dxaOrig="660" w:dyaOrig="400" w14:anchorId="711A5565">
          <v:shape id="_x0000_i1105" type="#_x0000_t75" style="width:33pt;height:20.25pt" o:ole="">
            <v:imagedata r:id="rId25" o:title=""/>
          </v:shape>
          <o:OLEObject Type="Embed" ProgID="Equation.DSMT4" ShapeID="_x0000_i1105" DrawAspect="Content" ObjectID="_1775045741" r:id="rId169"/>
        </w:object>
      </w:r>
      <w:r w:rsidRPr="00E42583">
        <w:rPr>
          <w:rFonts w:eastAsiaTheme="minorEastAsia"/>
          <w:szCs w:val="24"/>
          <w:lang w:val="en-AU"/>
        </w:rPr>
        <w:t xml:space="preserve"> instead of using the empirical distributions themselves. These models provide a best-fit trend across the </w:t>
      </w:r>
      <w:r w:rsidR="00974730" w:rsidRPr="0084513A">
        <w:rPr>
          <w:position w:val="-14"/>
        </w:rPr>
        <w:object w:dxaOrig="660" w:dyaOrig="400" w14:anchorId="1A4AF669">
          <v:shape id="_x0000_i1106" type="#_x0000_t75" style="width:33pt;height:20.25pt" o:ole="">
            <v:imagedata r:id="rId25" o:title=""/>
          </v:shape>
          <o:OLEObject Type="Embed" ProgID="Equation.DSMT4" ShapeID="_x0000_i1106" DrawAspect="Content" ObjectID="_1775045742" r:id="rId170"/>
        </w:object>
      </w:r>
      <w:r w:rsidRPr="00E42583">
        <w:rPr>
          <w:rFonts w:eastAsiaTheme="minorEastAsia"/>
          <w:szCs w:val="24"/>
          <w:lang w:val="en-AU"/>
        </w:rPr>
        <w:t xml:space="preserve"> that all adhere to a specified model form.</w:t>
      </w:r>
    </w:p>
    <w:p w14:paraId="6CCFEC29" w14:textId="77777777" w:rsidR="005B5818" w:rsidRPr="00E42583" w:rsidRDefault="005B5818" w:rsidP="00B60372">
      <w:pPr>
        <w:rPr>
          <w:rFonts w:eastAsiaTheme="minorEastAsia"/>
          <w:szCs w:val="24"/>
          <w:lang w:val="en-AU"/>
        </w:rPr>
      </w:pPr>
      <w:r w:rsidRPr="00E42583">
        <w:rPr>
          <w:rFonts w:eastAsiaTheme="minorEastAsia"/>
          <w:szCs w:val="24"/>
          <w:lang w:val="en-AU"/>
        </w:rPr>
        <w:t xml:space="preserve">With regard to the third point, both absolute and relative approaches were tested against the data, and both were shown to provide acceptable measurements of cost associations. </w:t>
      </w:r>
      <w:r>
        <w:rPr>
          <w:rFonts w:eastAsiaTheme="minorEastAsia"/>
          <w:szCs w:val="24"/>
          <w:lang w:val="en-AU"/>
        </w:rPr>
        <w:t>T</w:t>
      </w:r>
      <w:r w:rsidRPr="00E42583">
        <w:rPr>
          <w:rFonts w:eastAsiaTheme="minorEastAsia"/>
          <w:szCs w:val="24"/>
          <w:lang w:val="en-AU"/>
        </w:rPr>
        <w:t xml:space="preserve">he relative change approach </w:t>
      </w:r>
      <w:r>
        <w:rPr>
          <w:rFonts w:eastAsiaTheme="minorEastAsia"/>
          <w:szCs w:val="24"/>
          <w:lang w:val="en-AU"/>
        </w:rPr>
        <w:t xml:space="preserve">was </w:t>
      </w:r>
      <w:r w:rsidRPr="00E42583">
        <w:rPr>
          <w:rFonts w:eastAsiaTheme="minorEastAsia"/>
          <w:szCs w:val="24"/>
          <w:lang w:val="en-AU"/>
        </w:rPr>
        <w:t xml:space="preserve">selected as the preferred option for </w:t>
      </w:r>
      <w:r>
        <w:rPr>
          <w:rFonts w:eastAsiaTheme="minorEastAsia"/>
          <w:szCs w:val="24"/>
          <w:lang w:val="en-AU"/>
        </w:rPr>
        <w:t>the ECC Model</w:t>
      </w:r>
      <w:r w:rsidRPr="00E42583">
        <w:rPr>
          <w:rFonts w:eastAsiaTheme="minorEastAsia"/>
          <w:szCs w:val="24"/>
          <w:lang w:val="en-AU"/>
        </w:rPr>
        <w:t xml:space="preserve"> as it provide</w:t>
      </w:r>
      <w:r>
        <w:rPr>
          <w:rFonts w:eastAsiaTheme="minorEastAsia"/>
          <w:szCs w:val="24"/>
          <w:lang w:val="en-AU"/>
        </w:rPr>
        <w:t>d</w:t>
      </w:r>
      <w:r w:rsidRPr="00E42583">
        <w:rPr>
          <w:rFonts w:eastAsiaTheme="minorEastAsia"/>
          <w:szCs w:val="24"/>
          <w:lang w:val="en-AU"/>
        </w:rPr>
        <w:t xml:space="preserve"> a</w:t>
      </w:r>
      <w:r>
        <w:rPr>
          <w:rFonts w:eastAsiaTheme="minorEastAsia"/>
          <w:szCs w:val="24"/>
          <w:lang w:val="en-AU"/>
        </w:rPr>
        <w:t xml:space="preserve"> </w:t>
      </w:r>
      <w:r w:rsidRPr="00E42583">
        <w:rPr>
          <w:rFonts w:eastAsiaTheme="minorEastAsia"/>
          <w:szCs w:val="24"/>
          <w:lang w:val="en-AU"/>
        </w:rPr>
        <w:t xml:space="preserve">narrower distribution of </w:t>
      </w:r>
      <w:r>
        <w:rPr>
          <w:rFonts w:eastAsiaTheme="minorEastAsia"/>
          <w:szCs w:val="24"/>
          <w:lang w:val="en-AU"/>
        </w:rPr>
        <w:t xml:space="preserve">diagnosis relative </w:t>
      </w:r>
      <w:r w:rsidRPr="00E42583">
        <w:rPr>
          <w:rFonts w:eastAsiaTheme="minorEastAsia"/>
          <w:szCs w:val="24"/>
          <w:lang w:val="en-AU"/>
        </w:rPr>
        <w:t xml:space="preserve">cost </w:t>
      </w:r>
      <w:r>
        <w:rPr>
          <w:rFonts w:eastAsiaTheme="minorEastAsia"/>
          <w:szCs w:val="24"/>
          <w:lang w:val="en-AU"/>
        </w:rPr>
        <w:t>associations</w:t>
      </w:r>
      <w:r w:rsidRPr="00E42583">
        <w:rPr>
          <w:rFonts w:eastAsiaTheme="minorEastAsia"/>
          <w:szCs w:val="24"/>
          <w:lang w:val="en-AU"/>
        </w:rPr>
        <w:t>. Specificall</w:t>
      </w:r>
      <w:r>
        <w:rPr>
          <w:rFonts w:eastAsiaTheme="minorEastAsia"/>
          <w:szCs w:val="24"/>
          <w:lang w:val="en-AU"/>
        </w:rPr>
        <w:t>y, the absolute approach resulted</w:t>
      </w:r>
      <w:r w:rsidRPr="00E42583">
        <w:rPr>
          <w:rFonts w:eastAsiaTheme="minorEastAsia"/>
          <w:szCs w:val="24"/>
          <w:lang w:val="en-AU"/>
        </w:rPr>
        <w:t xml:space="preserve"> in </w:t>
      </w:r>
      <w:r>
        <w:rPr>
          <w:rFonts w:eastAsiaTheme="minorEastAsia"/>
          <w:szCs w:val="24"/>
          <w:lang w:val="en-AU"/>
        </w:rPr>
        <w:t xml:space="preserve">the majority of </w:t>
      </w:r>
      <w:r w:rsidRPr="00E42583">
        <w:rPr>
          <w:rFonts w:eastAsiaTheme="minorEastAsia"/>
          <w:szCs w:val="24"/>
          <w:lang w:val="en-AU"/>
        </w:rPr>
        <w:t xml:space="preserve">absolute changes in cost </w:t>
      </w:r>
      <w:r>
        <w:rPr>
          <w:rFonts w:eastAsiaTheme="minorEastAsia"/>
          <w:szCs w:val="24"/>
          <w:lang w:val="en-AU"/>
        </w:rPr>
        <w:t xml:space="preserve">association </w:t>
      </w:r>
      <w:r w:rsidRPr="00E42583">
        <w:rPr>
          <w:rFonts w:eastAsiaTheme="minorEastAsia"/>
          <w:szCs w:val="24"/>
          <w:lang w:val="en-AU"/>
        </w:rPr>
        <w:t>between $500 and $5,000, whereas the relative change approach results in</w:t>
      </w:r>
      <w:r>
        <w:rPr>
          <w:rFonts w:eastAsiaTheme="minorEastAsia"/>
          <w:szCs w:val="24"/>
          <w:lang w:val="en-AU"/>
        </w:rPr>
        <w:t xml:space="preserve"> the majority of</w:t>
      </w:r>
      <w:r w:rsidRPr="00E42583">
        <w:rPr>
          <w:rFonts w:eastAsiaTheme="minorEastAsia"/>
          <w:szCs w:val="24"/>
          <w:lang w:val="en-AU"/>
        </w:rPr>
        <w:t xml:space="preserve"> relative changes in cost </w:t>
      </w:r>
      <w:r>
        <w:rPr>
          <w:rFonts w:eastAsiaTheme="minorEastAsia"/>
          <w:szCs w:val="24"/>
          <w:lang w:val="en-AU"/>
        </w:rPr>
        <w:t>association</w:t>
      </w:r>
      <w:r w:rsidRPr="003577FE">
        <w:rPr>
          <w:rFonts w:eastAsiaTheme="minorEastAsia"/>
          <w:szCs w:val="24"/>
          <w:lang w:val="en-AU"/>
        </w:rPr>
        <w:t xml:space="preserve"> </w:t>
      </w:r>
      <w:r w:rsidRPr="00F876A6">
        <w:rPr>
          <w:rFonts w:eastAsiaTheme="minorEastAsia"/>
          <w:szCs w:val="24"/>
          <w:lang w:val="en-AU"/>
        </w:rPr>
        <w:t>between 1.05 and 1.5 (i.e. between 5</w:t>
      </w:r>
      <w:r w:rsidR="001E4BFF">
        <w:rPr>
          <w:rFonts w:eastAsiaTheme="minorEastAsia"/>
          <w:szCs w:val="24"/>
          <w:lang w:val="en-AU"/>
        </w:rPr>
        <w:t xml:space="preserve"> per cent</w:t>
      </w:r>
      <w:r w:rsidRPr="00F876A6">
        <w:rPr>
          <w:rFonts w:eastAsiaTheme="minorEastAsia"/>
          <w:szCs w:val="24"/>
          <w:lang w:val="en-AU"/>
        </w:rPr>
        <w:t xml:space="preserve"> and 50</w:t>
      </w:r>
      <w:r w:rsidR="001E4BFF">
        <w:rPr>
          <w:rFonts w:eastAsiaTheme="minorEastAsia"/>
          <w:szCs w:val="24"/>
          <w:lang w:val="en-AU"/>
        </w:rPr>
        <w:t xml:space="preserve"> per cent</w:t>
      </w:r>
      <w:r w:rsidRPr="00F876A6">
        <w:rPr>
          <w:rFonts w:eastAsiaTheme="minorEastAsia"/>
          <w:szCs w:val="24"/>
          <w:lang w:val="en-AU"/>
        </w:rPr>
        <w:t xml:space="preserve"> increase).</w:t>
      </w:r>
    </w:p>
    <w:p w14:paraId="7FA3CDD6" w14:textId="2057822A" w:rsidR="005B5818" w:rsidRPr="00E42583" w:rsidRDefault="005B5818" w:rsidP="00B60372">
      <w:pPr>
        <w:rPr>
          <w:rFonts w:eastAsiaTheme="minorEastAsia"/>
          <w:szCs w:val="24"/>
          <w:lang w:val="en-AU"/>
        </w:rPr>
      </w:pPr>
      <w:r w:rsidRPr="00E42583">
        <w:rPr>
          <w:rFonts w:eastAsiaTheme="minorEastAsia"/>
          <w:szCs w:val="24"/>
          <w:lang w:val="en-AU"/>
        </w:rPr>
        <w:t xml:space="preserve">The selection of a relative approach to measuring changes in cost also has implications in terms of the statistical model used to estimate change across the ADRG profiles </w:t>
      </w:r>
      <w:r w:rsidR="00974730" w:rsidRPr="0084513A">
        <w:rPr>
          <w:position w:val="-14"/>
        </w:rPr>
        <w:object w:dxaOrig="660" w:dyaOrig="400" w14:anchorId="48DBD137">
          <v:shape id="_x0000_i1107" type="#_x0000_t75" style="width:33pt;height:20.25pt" o:ole="">
            <v:imagedata r:id="rId25" o:title=""/>
          </v:shape>
          <o:OLEObject Type="Embed" ProgID="Equation.DSMT4" ShapeID="_x0000_i1107" DrawAspect="Content" ObjectID="_1775045743" r:id="rId171"/>
        </w:object>
      </w:r>
      <w:r w:rsidRPr="00E42583">
        <w:rPr>
          <w:rFonts w:eastAsiaTheme="minorEastAsia"/>
          <w:szCs w:val="24"/>
          <w:lang w:val="en-AU"/>
        </w:rPr>
        <w:t xml:space="preserve"> and the estimation method on which the relative changes are based. Specifically, the ADRG profile model is selected as a multiplicative model as opposed to an additive model, and the estimation of that model and use of it to measure changes associated with diagnosis cost profiles use geometric methods as opposed to arithmetic methods. For example, geometric means are used to estimate the ‘average’ relative change rather than the usual arithmetic mean, which would relate to an ‘average’ additive change.</w:t>
      </w:r>
      <w:r>
        <w:rPr>
          <w:rFonts w:eastAsiaTheme="minorEastAsia"/>
          <w:szCs w:val="24"/>
          <w:lang w:val="en-AU"/>
        </w:rPr>
        <w:t xml:space="preserve"> These issues are discussed in further detail in </w:t>
      </w:r>
      <w:r w:rsidR="00F76DD7">
        <w:rPr>
          <w:rFonts w:eastAsiaTheme="minorEastAsia"/>
          <w:szCs w:val="24"/>
          <w:lang w:val="en-AU"/>
        </w:rPr>
        <w:t xml:space="preserve">the </w:t>
      </w:r>
      <w:r w:rsidR="00F76DD7" w:rsidRPr="00FB653B">
        <w:rPr>
          <w:rFonts w:eastAsiaTheme="minorEastAsia"/>
          <w:i/>
          <w:szCs w:val="24"/>
          <w:lang w:val="en-AU"/>
        </w:rPr>
        <w:fldChar w:fldCharType="begin"/>
      </w:r>
      <w:r w:rsidR="00F76DD7" w:rsidRPr="00FB653B">
        <w:rPr>
          <w:rFonts w:eastAsiaTheme="minorEastAsia"/>
          <w:i/>
          <w:szCs w:val="24"/>
          <w:lang w:val="en-AU"/>
        </w:rPr>
        <w:instrText xml:space="preserve"> REF _Ref393696557 \h </w:instrText>
      </w:r>
      <w:r w:rsidR="009F69D0">
        <w:rPr>
          <w:rFonts w:eastAsiaTheme="minorEastAsia"/>
          <w:i/>
          <w:szCs w:val="24"/>
          <w:lang w:val="en-AU"/>
        </w:rPr>
        <w:instrText xml:space="preserve"> \* MERGEFORMAT </w:instrText>
      </w:r>
      <w:r w:rsidR="00F76DD7" w:rsidRPr="00FB653B">
        <w:rPr>
          <w:rFonts w:eastAsiaTheme="minorEastAsia"/>
          <w:i/>
          <w:szCs w:val="24"/>
          <w:lang w:val="en-AU"/>
        </w:rPr>
      </w:r>
      <w:r w:rsidR="00F76DD7" w:rsidRPr="00FB653B">
        <w:rPr>
          <w:rFonts w:eastAsiaTheme="minorEastAsia"/>
          <w:i/>
          <w:szCs w:val="24"/>
          <w:lang w:val="en-AU"/>
        </w:rPr>
        <w:fldChar w:fldCharType="separate"/>
      </w:r>
      <w:r w:rsidR="0031717B" w:rsidRPr="0031717B">
        <w:rPr>
          <w:i/>
        </w:rPr>
        <w:t>Modelling of ADRG costs</w:t>
      </w:r>
      <w:r w:rsidR="00F76DD7" w:rsidRPr="00FB653B">
        <w:rPr>
          <w:rFonts w:eastAsiaTheme="minorEastAsia"/>
          <w:i/>
          <w:szCs w:val="24"/>
          <w:lang w:val="en-AU"/>
        </w:rPr>
        <w:fldChar w:fldCharType="end"/>
      </w:r>
      <w:r w:rsidR="00F76DD7">
        <w:rPr>
          <w:rFonts w:eastAsiaTheme="minorEastAsia"/>
          <w:szCs w:val="24"/>
          <w:lang w:val="en-AU"/>
        </w:rPr>
        <w:t xml:space="preserve"> section (see page </w:t>
      </w:r>
      <w:r w:rsidR="00F76DD7">
        <w:rPr>
          <w:rFonts w:eastAsiaTheme="minorEastAsia"/>
          <w:szCs w:val="24"/>
          <w:lang w:val="en-AU"/>
        </w:rPr>
        <w:fldChar w:fldCharType="begin"/>
      </w:r>
      <w:r w:rsidR="00F76DD7">
        <w:rPr>
          <w:rFonts w:eastAsiaTheme="minorEastAsia"/>
          <w:szCs w:val="24"/>
          <w:lang w:val="en-AU"/>
        </w:rPr>
        <w:instrText xml:space="preserve"> PAGEREF _Ref393696557 \h </w:instrText>
      </w:r>
      <w:r w:rsidR="00F76DD7">
        <w:rPr>
          <w:rFonts w:eastAsiaTheme="minorEastAsia"/>
          <w:szCs w:val="24"/>
          <w:lang w:val="en-AU"/>
        </w:rPr>
      </w:r>
      <w:r w:rsidR="00F76DD7">
        <w:rPr>
          <w:rFonts w:eastAsiaTheme="minorEastAsia"/>
          <w:szCs w:val="24"/>
          <w:lang w:val="en-AU"/>
        </w:rPr>
        <w:fldChar w:fldCharType="separate"/>
      </w:r>
      <w:r w:rsidR="0031717B">
        <w:rPr>
          <w:rFonts w:eastAsiaTheme="minorEastAsia"/>
          <w:noProof/>
          <w:szCs w:val="24"/>
          <w:lang w:val="en-AU"/>
        </w:rPr>
        <w:t>41</w:t>
      </w:r>
      <w:r w:rsidR="00F76DD7">
        <w:rPr>
          <w:rFonts w:eastAsiaTheme="minorEastAsia"/>
          <w:szCs w:val="24"/>
          <w:lang w:val="en-AU"/>
        </w:rPr>
        <w:fldChar w:fldCharType="end"/>
      </w:r>
      <w:r w:rsidR="00F76DD7">
        <w:rPr>
          <w:rFonts w:eastAsiaTheme="minorEastAsia"/>
          <w:szCs w:val="24"/>
          <w:lang w:val="en-AU"/>
        </w:rPr>
        <w:t>)</w:t>
      </w:r>
      <w:r>
        <w:rPr>
          <w:rFonts w:eastAsiaTheme="minorEastAsia"/>
          <w:szCs w:val="24"/>
          <w:lang w:val="en-AU"/>
        </w:rPr>
        <w:t>.</w:t>
      </w:r>
    </w:p>
    <w:p w14:paraId="4A1C8F24" w14:textId="77777777" w:rsidR="005B5818" w:rsidRPr="00923D9A" w:rsidRDefault="005B5818" w:rsidP="00B60372">
      <w:pPr>
        <w:pStyle w:val="Heading4"/>
      </w:pPr>
      <w:r w:rsidRPr="00923D9A">
        <w:lastRenderedPageBreak/>
        <w:t>Standardising the diagnosis relative costs within each ADRG</w:t>
      </w:r>
    </w:p>
    <w:p w14:paraId="44AC306B" w14:textId="77777777" w:rsidR="005B5818" w:rsidRPr="00E42583" w:rsidRDefault="005B5818" w:rsidP="00B60372">
      <w:pPr>
        <w:keepLines/>
        <w:rPr>
          <w:rFonts w:eastAsiaTheme="minorEastAsia"/>
          <w:szCs w:val="24"/>
          <w:lang w:val="en-AU"/>
        </w:rPr>
      </w:pPr>
      <w:r w:rsidRPr="00E42583">
        <w:rPr>
          <w:szCs w:val="24"/>
          <w:lang w:val="en-AU"/>
        </w:rPr>
        <w:t xml:space="preserve">Once the costs associated with each diagnosis profile </w:t>
      </w:r>
      <w:r w:rsidR="006400E1" w:rsidRPr="006924B6">
        <w:rPr>
          <w:position w:val="-14"/>
        </w:rPr>
        <w:object w:dxaOrig="880" w:dyaOrig="400" w14:anchorId="33F6183A">
          <v:shape id="_x0000_i1108" type="#_x0000_t75" style="width:44.25pt;height:20.25pt" o:ole="">
            <v:imagedata r:id="rId64" o:title=""/>
          </v:shape>
          <o:OLEObject Type="Embed" ProgID="Equation.DSMT4" ShapeID="_x0000_i1108" DrawAspect="Content" ObjectID="_1775045744" r:id="rId172"/>
        </w:object>
      </w:r>
      <w:r w:rsidRPr="00E42583">
        <w:rPr>
          <w:rFonts w:eastAsiaTheme="minorEastAsia"/>
          <w:szCs w:val="24"/>
          <w:lang w:val="en-AU"/>
        </w:rPr>
        <w:t xml:space="preserve"> are combined across the ADRG, the resulting value is expressed in terms of an average, or standard, </w:t>
      </w:r>
      <w:proofErr w:type="spellStart"/>
      <w:r w:rsidR="00AC67E7">
        <w:rPr>
          <w:rFonts w:eastAsiaTheme="minorEastAsia"/>
          <w:szCs w:val="24"/>
          <w:lang w:val="en-AU"/>
        </w:rPr>
        <w:t>ADx</w:t>
      </w:r>
      <w:proofErr w:type="spellEnd"/>
      <w:r w:rsidRPr="00E42583">
        <w:rPr>
          <w:rFonts w:eastAsiaTheme="minorEastAsia"/>
          <w:szCs w:val="24"/>
          <w:lang w:val="en-AU"/>
        </w:rPr>
        <w:t xml:space="preserve"> in </w:t>
      </w:r>
      <w:r w:rsidR="00DD0CDE" w:rsidRPr="00025957">
        <w:rPr>
          <w:position w:val="-4"/>
        </w:rPr>
        <w:object w:dxaOrig="240" w:dyaOrig="260" w14:anchorId="030C3C78">
          <v:shape id="_x0000_i1109" type="#_x0000_t75" style="width:12pt;height:12.75pt" o:ole="">
            <v:imagedata r:id="rId17" o:title=""/>
          </v:shape>
          <o:OLEObject Type="Embed" ProgID="Equation.DSMT4" ShapeID="_x0000_i1109" DrawAspect="Content" ObjectID="_1775045745" r:id="rId173"/>
        </w:object>
      </w:r>
      <w:r w:rsidRPr="00E42583">
        <w:rPr>
          <w:rFonts w:eastAsiaTheme="minorEastAsia"/>
          <w:szCs w:val="24"/>
          <w:lang w:val="en-AU"/>
        </w:rPr>
        <w:t xml:space="preserve">. Consequently, costs associated with diagnoses in </w:t>
      </w:r>
      <w:r w:rsidR="00DD0CDE" w:rsidRPr="00025957">
        <w:rPr>
          <w:position w:val="-4"/>
        </w:rPr>
        <w:object w:dxaOrig="240" w:dyaOrig="260" w14:anchorId="07788171">
          <v:shape id="_x0000_i1110" type="#_x0000_t75" style="width:12pt;height:12.75pt" o:ole="">
            <v:imagedata r:id="rId17" o:title=""/>
          </v:shape>
          <o:OLEObject Type="Embed" ProgID="Equation.DSMT4" ShapeID="_x0000_i1110" DrawAspect="Content" ObjectID="_1775045746" r:id="rId174"/>
        </w:object>
      </w:r>
      <w:r w:rsidRPr="00E42583">
        <w:rPr>
          <w:rFonts w:eastAsiaTheme="minorEastAsia"/>
          <w:szCs w:val="24"/>
          <w:lang w:val="en-AU"/>
        </w:rPr>
        <w:t xml:space="preserve"> are measured in terms of standard </w:t>
      </w:r>
      <w:proofErr w:type="spellStart"/>
      <w:r>
        <w:rPr>
          <w:rFonts w:eastAsiaTheme="minorEastAsia"/>
          <w:szCs w:val="24"/>
          <w:lang w:val="en-AU"/>
        </w:rPr>
        <w:t>ADx</w:t>
      </w:r>
      <w:proofErr w:type="spellEnd"/>
      <w:r w:rsidRPr="00E42583">
        <w:rPr>
          <w:rFonts w:eastAsiaTheme="minorEastAsia"/>
          <w:szCs w:val="24"/>
          <w:lang w:val="en-AU"/>
        </w:rPr>
        <w:t xml:space="preserve">. For example, a diagnosis </w:t>
      </w:r>
      <w:r w:rsidR="00DD0CDE" w:rsidRPr="00DD0CDE">
        <w:rPr>
          <w:position w:val="-6"/>
        </w:rPr>
        <w:object w:dxaOrig="200" w:dyaOrig="220" w14:anchorId="350A8839">
          <v:shape id="_x0000_i1111" type="#_x0000_t75" style="width:9.75pt;height:11.25pt" o:ole="">
            <v:imagedata r:id="rId165" o:title=""/>
          </v:shape>
          <o:OLEObject Type="Embed" ProgID="Equation.DSMT4" ShapeID="_x0000_i1111" DrawAspect="Content" ObjectID="_1775045747" r:id="rId175"/>
        </w:object>
      </w:r>
      <w:r w:rsidRPr="00E42583">
        <w:rPr>
          <w:rFonts w:eastAsiaTheme="minorEastAsia"/>
          <w:szCs w:val="24"/>
          <w:lang w:val="en-AU"/>
        </w:rPr>
        <w:t xml:space="preserve"> with a standardised cost of 3 in an ADRG </w:t>
      </w:r>
      <w:r w:rsidR="00DD0CDE" w:rsidRPr="00025957">
        <w:rPr>
          <w:position w:val="-4"/>
        </w:rPr>
        <w:object w:dxaOrig="240" w:dyaOrig="260" w14:anchorId="7018B7B4">
          <v:shape id="_x0000_i1112" type="#_x0000_t75" style="width:12pt;height:12.75pt" o:ole="">
            <v:imagedata r:id="rId17" o:title=""/>
          </v:shape>
          <o:OLEObject Type="Embed" ProgID="Equation.DSMT4" ShapeID="_x0000_i1112" DrawAspect="Content" ObjectID="_1775045748" r:id="rId176"/>
        </w:object>
      </w:r>
      <w:r w:rsidRPr="00E42583">
        <w:rPr>
          <w:rFonts w:eastAsiaTheme="minorEastAsia"/>
          <w:szCs w:val="24"/>
          <w:lang w:val="en-AU"/>
        </w:rPr>
        <w:t xml:space="preserve"> has been estimated to have a cost association three times that of an average </w:t>
      </w:r>
      <w:proofErr w:type="spellStart"/>
      <w:r>
        <w:rPr>
          <w:rFonts w:eastAsiaTheme="minorEastAsia"/>
          <w:szCs w:val="24"/>
          <w:lang w:val="en-AU"/>
        </w:rPr>
        <w:t>ADx</w:t>
      </w:r>
      <w:proofErr w:type="spellEnd"/>
      <w:r w:rsidRPr="00E42583">
        <w:rPr>
          <w:rFonts w:eastAsiaTheme="minorEastAsia"/>
          <w:szCs w:val="24"/>
          <w:lang w:val="en-AU"/>
        </w:rPr>
        <w:t xml:space="preserve"> in </w:t>
      </w:r>
      <w:r w:rsidR="00DD0CDE" w:rsidRPr="00025957">
        <w:rPr>
          <w:position w:val="-4"/>
        </w:rPr>
        <w:object w:dxaOrig="240" w:dyaOrig="260" w14:anchorId="7F4C7081">
          <v:shape id="_x0000_i1113" type="#_x0000_t75" style="width:12pt;height:12.75pt" o:ole="">
            <v:imagedata r:id="rId17" o:title=""/>
          </v:shape>
          <o:OLEObject Type="Embed" ProgID="Equation.DSMT4" ShapeID="_x0000_i1113" DrawAspect="Content" ObjectID="_1775045749" r:id="rId177"/>
        </w:object>
      </w:r>
      <w:r w:rsidRPr="00E42583">
        <w:rPr>
          <w:rFonts w:eastAsiaTheme="minorEastAsia"/>
          <w:szCs w:val="24"/>
          <w:lang w:val="en-AU"/>
        </w:rPr>
        <w:t>.</w:t>
      </w:r>
    </w:p>
    <w:p w14:paraId="1CCA58A2" w14:textId="77777777" w:rsidR="005B5818" w:rsidRPr="00E42583" w:rsidRDefault="005B5818" w:rsidP="00B60372">
      <w:pPr>
        <w:rPr>
          <w:szCs w:val="24"/>
          <w:lang w:val="en-AU"/>
        </w:rPr>
      </w:pPr>
      <w:r w:rsidRPr="00E42583">
        <w:rPr>
          <w:rFonts w:eastAsiaTheme="minorEastAsia"/>
          <w:szCs w:val="24"/>
          <w:lang w:val="en-AU"/>
        </w:rPr>
        <w:t xml:space="preserve">The estimation of a standard </w:t>
      </w:r>
      <w:proofErr w:type="spellStart"/>
      <w:r>
        <w:rPr>
          <w:rFonts w:eastAsiaTheme="minorEastAsia"/>
          <w:szCs w:val="24"/>
          <w:lang w:val="en-AU"/>
        </w:rPr>
        <w:t>ADx</w:t>
      </w:r>
      <w:proofErr w:type="spellEnd"/>
      <w:r w:rsidRPr="00E42583">
        <w:rPr>
          <w:rFonts w:eastAsiaTheme="minorEastAsia"/>
          <w:szCs w:val="24"/>
          <w:lang w:val="en-AU"/>
        </w:rPr>
        <w:t xml:space="preserve"> within each ADRG is based on the best-fit model that is used to estimate trends across the ADRG profiles </w:t>
      </w:r>
      <w:r w:rsidR="00DD0CDE" w:rsidRPr="0084513A">
        <w:rPr>
          <w:position w:val="-14"/>
        </w:rPr>
        <w:object w:dxaOrig="660" w:dyaOrig="400" w14:anchorId="3285140D">
          <v:shape id="_x0000_i1114" type="#_x0000_t75" style="width:33pt;height:20.25pt" o:ole="">
            <v:imagedata r:id="rId25" o:title=""/>
          </v:shape>
          <o:OLEObject Type="Embed" ProgID="Equation.DSMT4" ShapeID="_x0000_i1114" DrawAspect="Content" ObjectID="_1775045750" r:id="rId178"/>
        </w:object>
      </w:r>
      <w:r w:rsidRPr="00E42583">
        <w:rPr>
          <w:rFonts w:eastAsiaTheme="minorEastAsia"/>
          <w:szCs w:val="24"/>
          <w:lang w:val="en-AU"/>
        </w:rPr>
        <w:t>.</w:t>
      </w:r>
    </w:p>
    <w:p w14:paraId="19B6F793" w14:textId="77777777" w:rsidR="005B5818" w:rsidRPr="00504754" w:rsidRDefault="005B5818" w:rsidP="00B60372">
      <w:pPr>
        <w:pStyle w:val="Heading4"/>
      </w:pPr>
      <w:bookmarkStart w:id="53" w:name="_Ref390779687"/>
      <w:r w:rsidRPr="00504754">
        <w:t xml:space="preserve">Combined diagnosis </w:t>
      </w:r>
      <w:r>
        <w:t xml:space="preserve">relative </w:t>
      </w:r>
      <w:r w:rsidRPr="00504754">
        <w:t>cost associations at the episode level</w:t>
      </w:r>
      <w:bookmarkEnd w:id="53"/>
    </w:p>
    <w:p w14:paraId="1B448923" w14:textId="77777777" w:rsidR="005B5818" w:rsidRPr="00E42583" w:rsidRDefault="005B5818" w:rsidP="006056B9">
      <w:pPr>
        <w:rPr>
          <w:szCs w:val="24"/>
          <w:lang w:val="en-AU"/>
        </w:rPr>
      </w:pPr>
      <w:r w:rsidRPr="00E42583">
        <w:rPr>
          <w:szCs w:val="24"/>
          <w:lang w:val="en-AU"/>
        </w:rPr>
        <w:t xml:space="preserve">The standardised </w:t>
      </w:r>
      <w:r>
        <w:rPr>
          <w:szCs w:val="24"/>
          <w:lang w:val="en-AU"/>
        </w:rPr>
        <w:t xml:space="preserve">relative </w:t>
      </w:r>
      <w:r w:rsidRPr="00E42583">
        <w:rPr>
          <w:szCs w:val="24"/>
          <w:lang w:val="en-AU"/>
        </w:rPr>
        <w:t xml:space="preserve">costs of diagnoses within ADRGs are combined across each episode in a way that can be used to estimate the overall costs </w:t>
      </w:r>
      <w:r>
        <w:rPr>
          <w:szCs w:val="24"/>
          <w:lang w:val="en-AU"/>
        </w:rPr>
        <w:t xml:space="preserve">of </w:t>
      </w:r>
      <w:r w:rsidRPr="00E42583">
        <w:rPr>
          <w:szCs w:val="24"/>
          <w:lang w:val="en-AU"/>
        </w:rPr>
        <w:t>the episode. This process takes into account the correlation among diagnoses and overlapping of cost associations by diminishing the contribution of each diagnosis to the overall episode cost estimate. For example, two diagnoses each with standardised values of 1 will combine to form an episode score less than 2, and three diagnoses,</w:t>
      </w:r>
      <w:r>
        <w:rPr>
          <w:szCs w:val="24"/>
          <w:lang w:val="en-AU"/>
        </w:rPr>
        <w:t xml:space="preserve"> each with a standardised value</w:t>
      </w:r>
      <w:r w:rsidRPr="00E42583">
        <w:rPr>
          <w:szCs w:val="24"/>
          <w:lang w:val="en-AU"/>
        </w:rPr>
        <w:t xml:space="preserve"> of 2 will combine to form an episode score less than 6.</w:t>
      </w:r>
    </w:p>
    <w:p w14:paraId="2F4DC92D" w14:textId="42C83B12" w:rsidR="00C4059B" w:rsidRDefault="005B5818" w:rsidP="006056B9">
      <w:pPr>
        <w:rPr>
          <w:rFonts w:eastAsiaTheme="majorEastAsia" w:cstheme="majorBidi"/>
          <w:b/>
          <w:color w:val="1F497D" w:themeColor="text2"/>
          <w:sz w:val="28"/>
          <w:szCs w:val="26"/>
          <w:lang w:val="en-AU"/>
        </w:rPr>
      </w:pPr>
      <w:r w:rsidRPr="00E42583">
        <w:rPr>
          <w:szCs w:val="24"/>
          <w:lang w:val="en-AU"/>
        </w:rPr>
        <w:t>The diminishing contribution of multiple diagnoses is empirically based. The process by which this is derived is detailed in</w:t>
      </w:r>
      <w:r>
        <w:rPr>
          <w:szCs w:val="24"/>
          <w:lang w:val="en-AU"/>
        </w:rPr>
        <w:t xml:space="preserve"> </w:t>
      </w:r>
      <w:r w:rsidR="009F69D0">
        <w:rPr>
          <w:szCs w:val="24"/>
          <w:lang w:val="en-AU"/>
        </w:rPr>
        <w:t xml:space="preserve">the </w:t>
      </w:r>
      <w:r w:rsidR="009F69D0" w:rsidRPr="00FB653B">
        <w:rPr>
          <w:i/>
          <w:szCs w:val="24"/>
          <w:lang w:val="en-AU"/>
        </w:rPr>
        <w:fldChar w:fldCharType="begin"/>
      </w:r>
      <w:r w:rsidR="009F69D0" w:rsidRPr="00FB653B">
        <w:rPr>
          <w:i/>
          <w:szCs w:val="24"/>
          <w:lang w:val="en-AU"/>
        </w:rPr>
        <w:instrText xml:space="preserve"> REF _Ref400543887 \h </w:instrText>
      </w:r>
      <w:r w:rsidR="009F69D0">
        <w:rPr>
          <w:i/>
          <w:szCs w:val="24"/>
          <w:lang w:val="en-AU"/>
        </w:rPr>
        <w:instrText xml:space="preserve"> \* MERGEFORMAT </w:instrText>
      </w:r>
      <w:r w:rsidR="009F69D0" w:rsidRPr="00FB653B">
        <w:rPr>
          <w:i/>
          <w:szCs w:val="24"/>
          <w:lang w:val="en-AU"/>
        </w:rPr>
      </w:r>
      <w:r w:rsidR="009F69D0" w:rsidRPr="00FB653B">
        <w:rPr>
          <w:i/>
          <w:szCs w:val="24"/>
          <w:lang w:val="en-AU"/>
        </w:rPr>
        <w:fldChar w:fldCharType="separate"/>
      </w:r>
      <w:r w:rsidR="0031717B" w:rsidRPr="0031717B">
        <w:rPr>
          <w:i/>
        </w:rPr>
        <w:t xml:space="preserve">Combining </w:t>
      </w:r>
      <w:r w:rsidR="0031717B" w:rsidRPr="0031717B">
        <w:rPr>
          <w:rFonts w:eastAsiaTheme="majorEastAsia"/>
          <w:i/>
        </w:rPr>
        <w:t>Diagnosis</w:t>
      </w:r>
      <w:r w:rsidR="0031717B" w:rsidRPr="0031717B">
        <w:rPr>
          <w:i/>
        </w:rPr>
        <w:t xml:space="preserve"> Complexity Levels across episodes and derivation of the Episode Clinical Complexity Score</w:t>
      </w:r>
      <w:r w:rsidR="009F69D0" w:rsidRPr="00FB653B">
        <w:rPr>
          <w:i/>
          <w:szCs w:val="24"/>
          <w:lang w:val="en-AU"/>
        </w:rPr>
        <w:fldChar w:fldCharType="end"/>
      </w:r>
      <w:r w:rsidR="009F69D0">
        <w:rPr>
          <w:szCs w:val="24"/>
          <w:lang w:val="en-AU"/>
        </w:rPr>
        <w:t xml:space="preserve"> section (page </w:t>
      </w:r>
      <w:r w:rsidR="009F69D0">
        <w:rPr>
          <w:szCs w:val="24"/>
          <w:lang w:val="en-AU"/>
        </w:rPr>
        <w:fldChar w:fldCharType="begin"/>
      </w:r>
      <w:r w:rsidR="009F69D0">
        <w:rPr>
          <w:szCs w:val="24"/>
          <w:lang w:val="en-AU"/>
        </w:rPr>
        <w:instrText xml:space="preserve"> PAGEREF _Ref400543887 \h </w:instrText>
      </w:r>
      <w:r w:rsidR="009F69D0">
        <w:rPr>
          <w:szCs w:val="24"/>
          <w:lang w:val="en-AU"/>
        </w:rPr>
      </w:r>
      <w:r w:rsidR="009F69D0">
        <w:rPr>
          <w:szCs w:val="24"/>
          <w:lang w:val="en-AU"/>
        </w:rPr>
        <w:fldChar w:fldCharType="separate"/>
      </w:r>
      <w:r w:rsidR="0031717B">
        <w:rPr>
          <w:noProof/>
          <w:szCs w:val="24"/>
          <w:lang w:val="en-AU"/>
        </w:rPr>
        <w:t>62</w:t>
      </w:r>
      <w:r w:rsidR="009F69D0">
        <w:rPr>
          <w:szCs w:val="24"/>
          <w:lang w:val="en-AU"/>
        </w:rPr>
        <w:fldChar w:fldCharType="end"/>
      </w:r>
      <w:r w:rsidR="009F69D0">
        <w:rPr>
          <w:szCs w:val="24"/>
          <w:lang w:val="en-AU"/>
        </w:rPr>
        <w:t>)</w:t>
      </w:r>
      <w:r>
        <w:rPr>
          <w:szCs w:val="24"/>
          <w:lang w:val="en-AU"/>
        </w:rPr>
        <w:t xml:space="preserve">. </w:t>
      </w:r>
      <w:bookmarkStart w:id="54" w:name="_Ref390769836"/>
    </w:p>
    <w:p w14:paraId="562B856F" w14:textId="77777777" w:rsidR="005B5818" w:rsidRPr="00504754" w:rsidRDefault="005B5818" w:rsidP="00B60372">
      <w:pPr>
        <w:pStyle w:val="Heading3"/>
      </w:pPr>
      <w:r w:rsidRPr="00504754">
        <w:t>Formal development of the E</w:t>
      </w:r>
      <w:r w:rsidR="004C70DD">
        <w:t xml:space="preserve">pisode </w:t>
      </w:r>
      <w:r w:rsidRPr="00504754">
        <w:t>C</w:t>
      </w:r>
      <w:r w:rsidR="004C70DD">
        <w:t xml:space="preserve">linical </w:t>
      </w:r>
      <w:r w:rsidRPr="00504754">
        <w:t>C</w:t>
      </w:r>
      <w:r w:rsidR="004C70DD">
        <w:t>omplexity</w:t>
      </w:r>
      <w:r w:rsidRPr="00504754">
        <w:t xml:space="preserve"> </w:t>
      </w:r>
      <w:r>
        <w:t>M</w:t>
      </w:r>
      <w:r w:rsidRPr="00504754">
        <w:t>odel</w:t>
      </w:r>
      <w:bookmarkEnd w:id="54"/>
    </w:p>
    <w:p w14:paraId="5EAAD51B" w14:textId="77777777" w:rsidR="005B5818" w:rsidRPr="00E42583" w:rsidRDefault="005B5818" w:rsidP="00B60372">
      <w:pPr>
        <w:rPr>
          <w:szCs w:val="24"/>
          <w:lang w:val="en-AU"/>
        </w:rPr>
      </w:pPr>
      <w:r w:rsidRPr="00E42583">
        <w:rPr>
          <w:szCs w:val="24"/>
          <w:lang w:val="en-AU"/>
        </w:rPr>
        <w:t>The formal development of the ECC model is set out in five stages:</w:t>
      </w:r>
    </w:p>
    <w:p w14:paraId="5ABE4838" w14:textId="77777777" w:rsidR="005B5818" w:rsidRPr="00E42583" w:rsidRDefault="005B5818" w:rsidP="00B60372">
      <w:pPr>
        <w:numPr>
          <w:ilvl w:val="0"/>
          <w:numId w:val="22"/>
        </w:numPr>
        <w:contextualSpacing/>
        <w:rPr>
          <w:szCs w:val="24"/>
          <w:lang w:val="en-AU"/>
        </w:rPr>
      </w:pPr>
      <w:r w:rsidRPr="00E42583">
        <w:rPr>
          <w:szCs w:val="24"/>
          <w:lang w:val="en-AU"/>
        </w:rPr>
        <w:t>Diagnosis exclusions;</w:t>
      </w:r>
    </w:p>
    <w:p w14:paraId="50E57D43" w14:textId="77777777" w:rsidR="005B5818" w:rsidRPr="00E42583" w:rsidRDefault="005B5818" w:rsidP="00B60372">
      <w:pPr>
        <w:numPr>
          <w:ilvl w:val="0"/>
          <w:numId w:val="22"/>
        </w:numPr>
        <w:contextualSpacing/>
        <w:rPr>
          <w:szCs w:val="24"/>
          <w:lang w:val="en-AU"/>
        </w:rPr>
      </w:pPr>
      <w:r w:rsidRPr="00E42583">
        <w:rPr>
          <w:szCs w:val="24"/>
          <w:lang w:val="en-AU"/>
        </w:rPr>
        <w:t>Modelling of ADRG costs</w:t>
      </w:r>
      <w:r w:rsidRPr="00E42583">
        <w:rPr>
          <w:rFonts w:eastAsiaTheme="minorEastAsia"/>
          <w:szCs w:val="24"/>
          <w:lang w:val="en-AU"/>
        </w:rPr>
        <w:t>;</w:t>
      </w:r>
    </w:p>
    <w:p w14:paraId="0F0342EB" w14:textId="77777777" w:rsidR="005B5818" w:rsidRPr="00E42583" w:rsidRDefault="005B5818" w:rsidP="00B60372">
      <w:pPr>
        <w:numPr>
          <w:ilvl w:val="0"/>
          <w:numId w:val="22"/>
        </w:numPr>
        <w:contextualSpacing/>
        <w:rPr>
          <w:szCs w:val="24"/>
          <w:lang w:val="en-AU"/>
        </w:rPr>
      </w:pPr>
      <w:r w:rsidRPr="00E42583">
        <w:rPr>
          <w:rFonts w:eastAsiaTheme="minorEastAsia"/>
          <w:szCs w:val="24"/>
          <w:lang w:val="en-AU"/>
        </w:rPr>
        <w:t>Estimation of</w:t>
      </w:r>
      <w:r>
        <w:rPr>
          <w:rFonts w:eastAsiaTheme="minorEastAsia"/>
          <w:szCs w:val="24"/>
          <w:lang w:val="en-AU"/>
        </w:rPr>
        <w:t xml:space="preserve"> relative</w:t>
      </w:r>
      <w:r w:rsidRPr="00E42583">
        <w:rPr>
          <w:rFonts w:eastAsiaTheme="minorEastAsia"/>
          <w:szCs w:val="24"/>
          <w:lang w:val="en-AU"/>
        </w:rPr>
        <w:t xml:space="preserve"> costs associated with diagnoses within the context of ADRGs;</w:t>
      </w:r>
    </w:p>
    <w:p w14:paraId="0B2AE11B" w14:textId="77777777" w:rsidR="005B5818" w:rsidRPr="00E42583" w:rsidRDefault="005B5818" w:rsidP="00B60372">
      <w:pPr>
        <w:numPr>
          <w:ilvl w:val="0"/>
          <w:numId w:val="22"/>
        </w:numPr>
        <w:contextualSpacing/>
        <w:rPr>
          <w:szCs w:val="24"/>
          <w:lang w:val="en-AU"/>
        </w:rPr>
      </w:pPr>
      <w:r>
        <w:rPr>
          <w:rFonts w:eastAsiaTheme="minorEastAsia"/>
          <w:szCs w:val="24"/>
          <w:lang w:val="en-AU"/>
        </w:rPr>
        <w:t>D</w:t>
      </w:r>
      <w:r w:rsidRPr="00E42583">
        <w:rPr>
          <w:rFonts w:eastAsiaTheme="minorEastAsia"/>
          <w:szCs w:val="24"/>
          <w:lang w:val="en-AU"/>
        </w:rPr>
        <w:t xml:space="preserve">erivation of the </w:t>
      </w:r>
      <w:r w:rsidR="00E61CD1">
        <w:rPr>
          <w:rFonts w:eastAsiaTheme="minorEastAsia"/>
          <w:szCs w:val="24"/>
          <w:lang w:val="en-AU"/>
        </w:rPr>
        <w:t>DCL</w:t>
      </w:r>
      <w:r w:rsidRPr="00E42583">
        <w:rPr>
          <w:rFonts w:eastAsiaTheme="minorEastAsia"/>
          <w:szCs w:val="24"/>
          <w:lang w:val="en-AU"/>
        </w:rPr>
        <w:t>; and</w:t>
      </w:r>
    </w:p>
    <w:p w14:paraId="070A70F9" w14:textId="77777777" w:rsidR="005B5818" w:rsidRPr="00E22893" w:rsidRDefault="005B5818" w:rsidP="00B60372">
      <w:pPr>
        <w:numPr>
          <w:ilvl w:val="0"/>
          <w:numId w:val="22"/>
        </w:numPr>
        <w:contextualSpacing/>
        <w:rPr>
          <w:szCs w:val="24"/>
          <w:lang w:val="en-AU"/>
        </w:rPr>
      </w:pPr>
      <w:r w:rsidRPr="00E42583">
        <w:rPr>
          <w:szCs w:val="24"/>
          <w:lang w:val="en-AU"/>
        </w:rPr>
        <w:t xml:space="preserve">Combining </w:t>
      </w:r>
      <w:r w:rsidR="00E61CD1">
        <w:rPr>
          <w:szCs w:val="24"/>
          <w:lang w:val="en-AU"/>
        </w:rPr>
        <w:t>DCLs</w:t>
      </w:r>
      <w:r w:rsidRPr="00E42583">
        <w:rPr>
          <w:szCs w:val="24"/>
          <w:lang w:val="en-AU"/>
        </w:rPr>
        <w:t xml:space="preserve"> across episodes and derivation of the </w:t>
      </w:r>
      <w:r w:rsidR="00E61CD1">
        <w:rPr>
          <w:szCs w:val="24"/>
          <w:lang w:val="en-AU"/>
        </w:rPr>
        <w:t>ECCS</w:t>
      </w:r>
      <w:r w:rsidRPr="00E42583">
        <w:rPr>
          <w:szCs w:val="24"/>
          <w:lang w:val="en-AU"/>
        </w:rPr>
        <w:t>.</w:t>
      </w:r>
    </w:p>
    <w:p w14:paraId="369CC1B8" w14:textId="77777777" w:rsidR="005B5818" w:rsidRPr="00504754" w:rsidRDefault="005B5818" w:rsidP="00B60372">
      <w:pPr>
        <w:pStyle w:val="Heading4"/>
      </w:pPr>
      <w:r w:rsidRPr="00504754">
        <w:lastRenderedPageBreak/>
        <w:t>Diagnosis exclusions</w:t>
      </w:r>
    </w:p>
    <w:p w14:paraId="36C091B3" w14:textId="77777777" w:rsidR="005B5818" w:rsidRPr="00E42583" w:rsidRDefault="005B5818" w:rsidP="00B60372">
      <w:pPr>
        <w:keepLines/>
        <w:rPr>
          <w:szCs w:val="24"/>
          <w:lang w:val="en-AU"/>
        </w:rPr>
      </w:pPr>
      <w:r w:rsidRPr="00E42583">
        <w:rPr>
          <w:szCs w:val="24"/>
          <w:lang w:val="en-AU"/>
        </w:rPr>
        <w:t xml:space="preserve">The first stage in the process of defining the </w:t>
      </w:r>
      <w:r>
        <w:rPr>
          <w:szCs w:val="24"/>
          <w:lang w:val="en-AU"/>
        </w:rPr>
        <w:t>ECC</w:t>
      </w:r>
      <w:r w:rsidRPr="00E42583">
        <w:rPr>
          <w:szCs w:val="24"/>
          <w:lang w:val="en-AU"/>
        </w:rPr>
        <w:t xml:space="preserve"> Model defines the scope of the model in terms of diagnoses considered relevant for DRG classification purposes. This process is guided by principles which aim to characterise the scope of the ECC model and have the effect of identifying diagnoses permitted to be assigned nonzero </w:t>
      </w:r>
      <w:r>
        <w:rPr>
          <w:szCs w:val="24"/>
          <w:lang w:val="en-AU"/>
        </w:rPr>
        <w:t>DCLs</w:t>
      </w:r>
      <w:r w:rsidRPr="00E42583">
        <w:rPr>
          <w:szCs w:val="24"/>
          <w:lang w:val="en-AU"/>
        </w:rPr>
        <w:t>. The diagnoses not identified as in-scope are called exclusions, some of which are excluded unconditionally and others excluded conditionally (i.e. some diagnoses are excluded in circumstances where another diagnosis is present in the same episode).</w:t>
      </w:r>
    </w:p>
    <w:p w14:paraId="14A26269" w14:textId="04436174" w:rsidR="005B5818" w:rsidRPr="00E42583" w:rsidRDefault="005B5818" w:rsidP="00B60372">
      <w:pPr>
        <w:rPr>
          <w:szCs w:val="24"/>
          <w:lang w:val="en-AU"/>
        </w:rPr>
      </w:pPr>
      <w:r w:rsidRPr="00E42583">
        <w:rPr>
          <w:szCs w:val="24"/>
          <w:lang w:val="en-AU"/>
        </w:rPr>
        <w:t xml:space="preserve">Out of scope diagnoses are removed from the data (i.e. the diagnosis array) prior to its use in the development of the ECC Model. The ECC model scope principles </w:t>
      </w:r>
      <w:r>
        <w:rPr>
          <w:szCs w:val="24"/>
          <w:lang w:val="en-AU"/>
        </w:rPr>
        <w:t xml:space="preserve">are discussed in </w:t>
      </w:r>
      <w:r w:rsidR="009F69D0">
        <w:rPr>
          <w:szCs w:val="24"/>
          <w:lang w:val="en-AU"/>
        </w:rPr>
        <w:t xml:space="preserve">the </w:t>
      </w:r>
      <w:r w:rsidR="009F69D0" w:rsidRPr="00FB653B">
        <w:rPr>
          <w:i/>
          <w:szCs w:val="24"/>
          <w:lang w:val="en-AU"/>
        </w:rPr>
        <w:fldChar w:fldCharType="begin"/>
      </w:r>
      <w:r w:rsidR="009F69D0" w:rsidRPr="00FB653B">
        <w:rPr>
          <w:i/>
          <w:szCs w:val="24"/>
          <w:lang w:val="en-AU"/>
        </w:rPr>
        <w:instrText xml:space="preserve"> REF _Ref393696697 \h </w:instrText>
      </w:r>
      <w:r w:rsidR="009F69D0">
        <w:rPr>
          <w:i/>
          <w:szCs w:val="24"/>
          <w:lang w:val="en-AU"/>
        </w:rPr>
        <w:instrText xml:space="preserve"> \* MERGEFORMAT </w:instrText>
      </w:r>
      <w:r w:rsidR="009F69D0" w:rsidRPr="00FB653B">
        <w:rPr>
          <w:i/>
          <w:szCs w:val="24"/>
          <w:lang w:val="en-AU"/>
        </w:rPr>
      </w:r>
      <w:r w:rsidR="009F69D0" w:rsidRPr="00FB653B">
        <w:rPr>
          <w:i/>
          <w:szCs w:val="24"/>
          <w:lang w:val="en-AU"/>
        </w:rPr>
        <w:fldChar w:fldCharType="separate"/>
      </w:r>
      <w:r w:rsidR="0031717B" w:rsidRPr="0031717B">
        <w:rPr>
          <w:i/>
        </w:rPr>
        <w:t>Guiding principles for Diagnosis Complexity Level assignment</w:t>
      </w:r>
      <w:r w:rsidR="009F69D0" w:rsidRPr="00FB653B">
        <w:rPr>
          <w:i/>
          <w:szCs w:val="24"/>
          <w:lang w:val="en-AU"/>
        </w:rPr>
        <w:fldChar w:fldCharType="end"/>
      </w:r>
      <w:r w:rsidR="009F69D0">
        <w:rPr>
          <w:szCs w:val="24"/>
          <w:lang w:val="en-AU"/>
        </w:rPr>
        <w:t xml:space="preserve"> section (page </w:t>
      </w:r>
      <w:r w:rsidR="009F69D0">
        <w:rPr>
          <w:szCs w:val="24"/>
          <w:lang w:val="en-AU"/>
        </w:rPr>
        <w:fldChar w:fldCharType="begin"/>
      </w:r>
      <w:r w:rsidR="009F69D0">
        <w:rPr>
          <w:szCs w:val="24"/>
          <w:lang w:val="en-AU"/>
        </w:rPr>
        <w:instrText xml:space="preserve"> PAGEREF _Ref393696697 \h </w:instrText>
      </w:r>
      <w:r w:rsidR="009F69D0">
        <w:rPr>
          <w:szCs w:val="24"/>
          <w:lang w:val="en-AU"/>
        </w:rPr>
      </w:r>
      <w:r w:rsidR="009F69D0">
        <w:rPr>
          <w:szCs w:val="24"/>
          <w:lang w:val="en-AU"/>
        </w:rPr>
        <w:fldChar w:fldCharType="separate"/>
      </w:r>
      <w:r w:rsidR="0031717B">
        <w:rPr>
          <w:noProof/>
          <w:szCs w:val="24"/>
          <w:lang w:val="en-AU"/>
        </w:rPr>
        <w:t>78</w:t>
      </w:r>
      <w:r w:rsidR="009F69D0">
        <w:rPr>
          <w:szCs w:val="24"/>
          <w:lang w:val="en-AU"/>
        </w:rPr>
        <w:fldChar w:fldCharType="end"/>
      </w:r>
      <w:r w:rsidR="009F69D0">
        <w:rPr>
          <w:szCs w:val="24"/>
          <w:lang w:val="en-AU"/>
        </w:rPr>
        <w:t>)</w:t>
      </w:r>
      <w:r>
        <w:rPr>
          <w:szCs w:val="24"/>
          <w:lang w:val="en-AU"/>
        </w:rPr>
        <w:t xml:space="preserve"> and the </w:t>
      </w:r>
      <w:r w:rsidRPr="00E42583">
        <w:rPr>
          <w:szCs w:val="24"/>
          <w:lang w:val="en-AU"/>
        </w:rPr>
        <w:t xml:space="preserve">exclusions </w:t>
      </w:r>
      <w:r>
        <w:rPr>
          <w:szCs w:val="24"/>
          <w:lang w:val="en-AU"/>
        </w:rPr>
        <w:t>can be found</w:t>
      </w:r>
      <w:r w:rsidRPr="00E42583">
        <w:rPr>
          <w:szCs w:val="24"/>
          <w:lang w:val="en-AU"/>
        </w:rPr>
        <w:t xml:space="preserve"> at </w:t>
      </w:r>
      <w:r w:rsidRPr="00446951">
        <w:rPr>
          <w:szCs w:val="24"/>
          <w:lang w:val="en-AU"/>
        </w:rPr>
        <w:t xml:space="preserve">Appendices </w:t>
      </w:r>
      <w:r>
        <w:rPr>
          <w:szCs w:val="24"/>
          <w:lang w:val="en-AU"/>
        </w:rPr>
        <w:t>2</w:t>
      </w:r>
      <w:r w:rsidRPr="00446951">
        <w:rPr>
          <w:szCs w:val="24"/>
          <w:lang w:val="en-AU"/>
        </w:rPr>
        <w:t xml:space="preserve"> -</w:t>
      </w:r>
      <w:r>
        <w:rPr>
          <w:szCs w:val="24"/>
          <w:lang w:val="en-AU"/>
        </w:rPr>
        <w:t xml:space="preserve"> 7</w:t>
      </w:r>
      <w:r w:rsidRPr="00E42583">
        <w:rPr>
          <w:szCs w:val="24"/>
          <w:lang w:val="en-AU"/>
        </w:rPr>
        <w:t>.</w:t>
      </w:r>
    </w:p>
    <w:p w14:paraId="34A61C94" w14:textId="77777777" w:rsidR="005B5818" w:rsidRPr="00504754" w:rsidRDefault="005B5818" w:rsidP="00B60372">
      <w:pPr>
        <w:pStyle w:val="Heading4"/>
      </w:pPr>
      <w:bookmarkStart w:id="55" w:name="_Ref393696557"/>
      <w:r w:rsidRPr="00504754">
        <w:t>Modelling of ADRG costs</w:t>
      </w:r>
      <w:bookmarkEnd w:id="55"/>
    </w:p>
    <w:p w14:paraId="63A329B6" w14:textId="77777777" w:rsidR="005B5818" w:rsidRDefault="005B5818" w:rsidP="00B60372">
      <w:pPr>
        <w:rPr>
          <w:rFonts w:eastAsiaTheme="minorEastAsia"/>
          <w:szCs w:val="24"/>
          <w:lang w:val="en-AU"/>
        </w:rPr>
      </w:pPr>
      <w:r>
        <w:rPr>
          <w:rFonts w:eastAsiaTheme="minorEastAsia"/>
          <w:szCs w:val="24"/>
          <w:lang w:val="en-AU"/>
        </w:rPr>
        <w:t>The objective at the diagnosis level is to</w:t>
      </w:r>
      <w:r w:rsidRPr="005C19E0">
        <w:rPr>
          <w:rFonts w:eastAsiaTheme="minorEastAsia"/>
          <w:szCs w:val="24"/>
          <w:lang w:val="en-AU"/>
        </w:rPr>
        <w:t xml:space="preserve"> measure the change in cost associated with a particular diagnosis profile relative to the previous ADRG profile; that is, for each ADRG </w:t>
      </w:r>
      <w:r w:rsidR="00DD0CDE" w:rsidRPr="00025957">
        <w:rPr>
          <w:position w:val="-4"/>
        </w:rPr>
        <w:object w:dxaOrig="240" w:dyaOrig="260" w14:anchorId="365F150F">
          <v:shape id="_x0000_i1115" type="#_x0000_t75" style="width:12pt;height:12.75pt" o:ole="">
            <v:imagedata r:id="rId17" o:title=""/>
          </v:shape>
          <o:OLEObject Type="Embed" ProgID="Equation.DSMT4" ShapeID="_x0000_i1115" DrawAspect="Content" ObjectID="_1775045751" r:id="rId179"/>
        </w:object>
      </w:r>
      <w:r w:rsidRPr="005C19E0">
        <w:rPr>
          <w:rFonts w:eastAsiaTheme="minorEastAsia"/>
          <w:szCs w:val="24"/>
          <w:lang w:val="en-AU"/>
        </w:rPr>
        <w:t xml:space="preserve">, diagnosis </w:t>
      </w:r>
      <w:r w:rsidR="00780E93" w:rsidRPr="00780E93">
        <w:rPr>
          <w:rFonts w:eastAsiaTheme="minorEastAsia"/>
          <w:position w:val="-6"/>
          <w:szCs w:val="24"/>
          <w:lang w:val="en-AU"/>
        </w:rPr>
        <w:object w:dxaOrig="200" w:dyaOrig="220" w14:anchorId="78B7AE39">
          <v:shape id="_x0000_i1116" type="#_x0000_t75" style="width:9.75pt;height:11.25pt" o:ole="">
            <v:imagedata r:id="rId180" o:title=""/>
          </v:shape>
          <o:OLEObject Type="Embed" ProgID="Equation.DSMT4" ShapeID="_x0000_i1116" DrawAspect="Content" ObjectID="_1775045752" r:id="rId181"/>
        </w:object>
      </w:r>
      <w:r w:rsidR="00780E93">
        <w:rPr>
          <w:rFonts w:eastAsiaTheme="minorEastAsia"/>
          <w:szCs w:val="24"/>
          <w:lang w:val="en-AU"/>
        </w:rPr>
        <w:t xml:space="preserve"> </w:t>
      </w:r>
      <w:r w:rsidRPr="005C19E0">
        <w:rPr>
          <w:rFonts w:eastAsiaTheme="minorEastAsia"/>
          <w:szCs w:val="24"/>
          <w:lang w:val="en-AU"/>
        </w:rPr>
        <w:t xml:space="preserve">and positive integer </w:t>
      </w:r>
      <w:r w:rsidR="00F968BD" w:rsidRPr="00F968BD">
        <w:rPr>
          <w:position w:val="-6"/>
        </w:rPr>
        <w:object w:dxaOrig="139" w:dyaOrig="260" w14:anchorId="39A3AF60">
          <v:shape id="_x0000_i1117" type="#_x0000_t75" style="width:6.75pt;height:12.75pt" o:ole="">
            <v:imagedata r:id="rId182" o:title=""/>
          </v:shape>
          <o:OLEObject Type="Embed" ProgID="Equation.DSMT4" ShapeID="_x0000_i1117" DrawAspect="Content" ObjectID="_1775045753" r:id="rId183"/>
        </w:object>
      </w:r>
      <w:r w:rsidRPr="005C19E0">
        <w:rPr>
          <w:rFonts w:eastAsiaTheme="minorEastAsia"/>
          <w:szCs w:val="24"/>
          <w:lang w:val="en-AU"/>
        </w:rPr>
        <w:t xml:space="preserve">, the cost profile of </w:t>
      </w:r>
      <w:r w:rsidR="00F968BD" w:rsidRPr="006924B6">
        <w:rPr>
          <w:position w:val="-14"/>
        </w:rPr>
        <w:object w:dxaOrig="880" w:dyaOrig="400" w14:anchorId="578BDAA7">
          <v:shape id="_x0000_i1118" type="#_x0000_t75" style="width:44.25pt;height:20.25pt" o:ole="">
            <v:imagedata r:id="rId64" o:title=""/>
          </v:shape>
          <o:OLEObject Type="Embed" ProgID="Equation.DSMT4" ShapeID="_x0000_i1118" DrawAspect="Content" ObjectID="_1775045754" r:id="rId184"/>
        </w:object>
      </w:r>
      <w:r w:rsidRPr="005C19E0">
        <w:rPr>
          <w:rFonts w:eastAsiaTheme="minorEastAsia"/>
          <w:szCs w:val="24"/>
          <w:lang w:val="en-AU"/>
        </w:rPr>
        <w:t xml:space="preserve"> is compared in relative terms to the cost profile of </w:t>
      </w:r>
      <w:r w:rsidR="00F968BD" w:rsidRPr="00F968BD">
        <w:rPr>
          <w:position w:val="-14"/>
        </w:rPr>
        <w:object w:dxaOrig="800" w:dyaOrig="400" w14:anchorId="2B501E46">
          <v:shape id="_x0000_i1119" type="#_x0000_t75" style="width:39.75pt;height:20.25pt" o:ole="">
            <v:imagedata r:id="rId136" o:title=""/>
          </v:shape>
          <o:OLEObject Type="Embed" ProgID="Equation.DSMT4" ShapeID="_x0000_i1119" DrawAspect="Content" ObjectID="_1775045755" r:id="rId185"/>
        </w:object>
      </w:r>
      <w:r w:rsidRPr="005C19E0">
        <w:rPr>
          <w:rFonts w:eastAsiaTheme="minorEastAsia"/>
          <w:szCs w:val="24"/>
          <w:lang w:val="en-AU"/>
        </w:rPr>
        <w:t>.</w:t>
      </w:r>
    </w:p>
    <w:p w14:paraId="0584240E" w14:textId="77777777" w:rsidR="005B5818" w:rsidRPr="005C19E0" w:rsidRDefault="005B5818" w:rsidP="00B60372">
      <w:pPr>
        <w:rPr>
          <w:rFonts w:eastAsiaTheme="minorEastAsia"/>
          <w:szCs w:val="24"/>
          <w:lang w:val="en-AU"/>
        </w:rPr>
      </w:pPr>
      <w:r w:rsidRPr="005C19E0">
        <w:rPr>
          <w:rFonts w:eastAsiaTheme="minorEastAsia"/>
          <w:szCs w:val="24"/>
          <w:lang w:val="en-AU"/>
        </w:rPr>
        <w:t xml:space="preserve">Since these comparisons are relative rather than absolute, the average relative change in cost from </w:t>
      </w:r>
      <w:r w:rsidR="00F968BD" w:rsidRPr="00F968BD">
        <w:rPr>
          <w:position w:val="-14"/>
        </w:rPr>
        <w:object w:dxaOrig="800" w:dyaOrig="400" w14:anchorId="3BA62298">
          <v:shape id="_x0000_i1120" type="#_x0000_t75" style="width:39.75pt;height:20.25pt" o:ole="">
            <v:imagedata r:id="rId136" o:title=""/>
          </v:shape>
          <o:OLEObject Type="Embed" ProgID="Equation.DSMT4" ShapeID="_x0000_i1120" DrawAspect="Content" ObjectID="_1775045756" r:id="rId186"/>
        </w:object>
      </w:r>
      <w:r w:rsidRPr="005C19E0">
        <w:rPr>
          <w:rFonts w:eastAsiaTheme="minorEastAsia"/>
          <w:szCs w:val="24"/>
          <w:lang w:val="en-AU"/>
        </w:rPr>
        <w:t xml:space="preserve"> to </w:t>
      </w:r>
      <w:r w:rsidR="00F968BD" w:rsidRPr="006924B6">
        <w:rPr>
          <w:position w:val="-14"/>
        </w:rPr>
        <w:object w:dxaOrig="880" w:dyaOrig="400" w14:anchorId="6F89FFC7">
          <v:shape id="_x0000_i1121" type="#_x0000_t75" style="width:44.25pt;height:20.25pt" o:ole="">
            <v:imagedata r:id="rId64" o:title=""/>
          </v:shape>
          <o:OLEObject Type="Embed" ProgID="Equation.DSMT4" ShapeID="_x0000_i1121" DrawAspect="Content" ObjectID="_1775045757" r:id="rId187"/>
        </w:object>
      </w:r>
      <w:r w:rsidRPr="005C19E0">
        <w:rPr>
          <w:rFonts w:eastAsiaTheme="minorEastAsia"/>
          <w:szCs w:val="24"/>
          <w:lang w:val="en-AU"/>
        </w:rPr>
        <w:t xml:space="preserve"> is equal to the geometric mean cost of </w:t>
      </w:r>
      <w:r w:rsidR="00F968BD" w:rsidRPr="006924B6">
        <w:rPr>
          <w:position w:val="-14"/>
        </w:rPr>
        <w:object w:dxaOrig="880" w:dyaOrig="400" w14:anchorId="1C2657FA">
          <v:shape id="_x0000_i1122" type="#_x0000_t75" style="width:44.25pt;height:20.25pt" o:ole="">
            <v:imagedata r:id="rId64" o:title=""/>
          </v:shape>
          <o:OLEObject Type="Embed" ProgID="Equation.DSMT4" ShapeID="_x0000_i1122" DrawAspect="Content" ObjectID="_1775045758" r:id="rId188"/>
        </w:object>
      </w:r>
      <w:r w:rsidRPr="005C19E0">
        <w:rPr>
          <w:rFonts w:eastAsiaTheme="minorEastAsia"/>
          <w:szCs w:val="24"/>
          <w:lang w:val="en-AU"/>
        </w:rPr>
        <w:t xml:space="preserve"> divided by the geometric mean cost of </w:t>
      </w:r>
      <w:r w:rsidR="00F968BD" w:rsidRPr="00F968BD">
        <w:rPr>
          <w:position w:val="-14"/>
        </w:rPr>
        <w:object w:dxaOrig="800" w:dyaOrig="400" w14:anchorId="0609CDD7">
          <v:shape id="_x0000_i1123" type="#_x0000_t75" style="width:39.75pt;height:20.25pt" o:ole="">
            <v:imagedata r:id="rId136" o:title=""/>
          </v:shape>
          <o:OLEObject Type="Embed" ProgID="Equation.DSMT4" ShapeID="_x0000_i1123" DrawAspect="Content" ObjectID="_1775045759" r:id="rId189"/>
        </w:object>
      </w:r>
      <w:r>
        <w:rPr>
          <w:rFonts w:eastAsiaTheme="minorEastAsia"/>
          <w:szCs w:val="24"/>
          <w:lang w:val="en-AU"/>
        </w:rPr>
        <w:t xml:space="preserve">. </w:t>
      </w:r>
      <w:r w:rsidRPr="005C19E0">
        <w:rPr>
          <w:rFonts w:eastAsiaTheme="minorEastAsia"/>
          <w:szCs w:val="24"/>
          <w:lang w:val="en-AU"/>
        </w:rPr>
        <w:t xml:space="preserve">However, </w:t>
      </w:r>
      <w:r>
        <w:rPr>
          <w:rFonts w:eastAsiaTheme="minorEastAsia"/>
          <w:szCs w:val="24"/>
          <w:lang w:val="en-AU"/>
        </w:rPr>
        <w:t xml:space="preserve">given that the </w:t>
      </w:r>
      <w:r w:rsidRPr="005C19E0">
        <w:rPr>
          <w:rFonts w:eastAsiaTheme="minorEastAsia"/>
          <w:szCs w:val="24"/>
          <w:lang w:val="en-AU"/>
        </w:rPr>
        <w:t xml:space="preserve">sample size of </w:t>
      </w:r>
      <w:r w:rsidR="00F968BD" w:rsidRPr="00F968BD">
        <w:rPr>
          <w:position w:val="-14"/>
        </w:rPr>
        <w:object w:dxaOrig="800" w:dyaOrig="400" w14:anchorId="412A778A">
          <v:shape id="_x0000_i1124" type="#_x0000_t75" style="width:39.75pt;height:20.25pt" o:ole="">
            <v:imagedata r:id="rId136" o:title=""/>
          </v:shape>
          <o:OLEObject Type="Embed" ProgID="Equation.DSMT4" ShapeID="_x0000_i1124" DrawAspect="Content" ObjectID="_1775045760" r:id="rId190"/>
        </w:object>
      </w:r>
      <w:r w:rsidRPr="005C19E0">
        <w:rPr>
          <w:rFonts w:eastAsiaTheme="minorEastAsia"/>
          <w:szCs w:val="24"/>
          <w:lang w:val="en-AU"/>
        </w:rPr>
        <w:t xml:space="preserve"> may be small or even zero</w:t>
      </w:r>
      <w:r>
        <w:rPr>
          <w:rFonts w:eastAsiaTheme="minorEastAsia"/>
          <w:szCs w:val="24"/>
          <w:lang w:val="en-AU"/>
        </w:rPr>
        <w:t xml:space="preserve"> </w:t>
      </w:r>
      <w:r w:rsidRPr="005C19E0">
        <w:rPr>
          <w:rFonts w:eastAsiaTheme="minorEastAsia"/>
          <w:szCs w:val="24"/>
          <w:lang w:val="en-AU"/>
        </w:rPr>
        <w:t xml:space="preserve">regardless of the sample size of </w:t>
      </w:r>
      <w:r w:rsidR="00F968BD" w:rsidRPr="006924B6">
        <w:rPr>
          <w:position w:val="-14"/>
        </w:rPr>
        <w:object w:dxaOrig="880" w:dyaOrig="400" w14:anchorId="1538B916">
          <v:shape id="_x0000_i1125" type="#_x0000_t75" style="width:44.25pt;height:20.25pt" o:ole="">
            <v:imagedata r:id="rId64" o:title=""/>
          </v:shape>
          <o:OLEObject Type="Embed" ProgID="Equation.DSMT4" ShapeID="_x0000_i1125" DrawAspect="Content" ObjectID="_1775045761" r:id="rId191"/>
        </w:object>
      </w:r>
      <w:r w:rsidRPr="005C19E0">
        <w:rPr>
          <w:rFonts w:eastAsiaTheme="minorEastAsia"/>
          <w:szCs w:val="24"/>
          <w:lang w:val="en-AU"/>
        </w:rPr>
        <w:t xml:space="preserve">, </w:t>
      </w:r>
      <w:r>
        <w:rPr>
          <w:rFonts w:eastAsiaTheme="minorEastAsia"/>
          <w:szCs w:val="24"/>
          <w:lang w:val="en-AU"/>
        </w:rPr>
        <w:t xml:space="preserve">modelling is used to estimate the </w:t>
      </w:r>
      <w:r w:rsidRPr="005C19E0">
        <w:rPr>
          <w:rFonts w:eastAsiaTheme="minorEastAsia"/>
          <w:szCs w:val="24"/>
          <w:lang w:val="en-AU"/>
        </w:rPr>
        <w:t xml:space="preserve">geometric mean cost of </w:t>
      </w:r>
      <w:r>
        <w:rPr>
          <w:rFonts w:eastAsiaTheme="minorEastAsia"/>
          <w:szCs w:val="24"/>
          <w:lang w:val="en-AU"/>
        </w:rPr>
        <w:t>the</w:t>
      </w:r>
      <w:r w:rsidRPr="005C19E0">
        <w:rPr>
          <w:rFonts w:eastAsiaTheme="minorEastAsia"/>
          <w:szCs w:val="24"/>
          <w:lang w:val="en-AU"/>
        </w:rPr>
        <w:t xml:space="preserve"> </w:t>
      </w:r>
      <w:r w:rsidR="00F968BD" w:rsidRPr="00F968BD">
        <w:rPr>
          <w:position w:val="-14"/>
        </w:rPr>
        <w:object w:dxaOrig="800" w:dyaOrig="400" w14:anchorId="3C212D33">
          <v:shape id="_x0000_i1126" type="#_x0000_t75" style="width:39.75pt;height:20.25pt" o:ole="">
            <v:imagedata r:id="rId136" o:title=""/>
          </v:shape>
          <o:OLEObject Type="Embed" ProgID="Equation.DSMT4" ShapeID="_x0000_i1126" DrawAspect="Content" ObjectID="_1775045762" r:id="rId192"/>
        </w:object>
      </w:r>
      <w:r w:rsidRPr="005C19E0">
        <w:rPr>
          <w:rFonts w:eastAsiaTheme="minorEastAsia"/>
          <w:szCs w:val="24"/>
          <w:lang w:val="en-AU"/>
        </w:rPr>
        <w:t xml:space="preserve"> across </w:t>
      </w:r>
      <w:r>
        <w:rPr>
          <w:rFonts w:eastAsiaTheme="minorEastAsia"/>
          <w:szCs w:val="24"/>
          <w:lang w:val="en-AU"/>
        </w:rPr>
        <w:t xml:space="preserve">each </w:t>
      </w:r>
      <w:r w:rsidRPr="005C19E0">
        <w:rPr>
          <w:rFonts w:eastAsiaTheme="minorEastAsia"/>
          <w:szCs w:val="24"/>
          <w:lang w:val="en-AU"/>
        </w:rPr>
        <w:t>ADRG</w:t>
      </w:r>
      <w:r w:rsidR="006400E1">
        <w:rPr>
          <w:rFonts w:eastAsiaTheme="minorEastAsia"/>
          <w:szCs w:val="24"/>
          <w:lang w:val="en-AU"/>
        </w:rPr>
        <w:t xml:space="preserve"> </w:t>
      </w:r>
      <w:r w:rsidR="006400E1" w:rsidRPr="006400E1">
        <w:rPr>
          <w:rFonts w:eastAsiaTheme="minorEastAsia"/>
          <w:position w:val="-4"/>
          <w:szCs w:val="24"/>
          <w:lang w:val="en-AU"/>
        </w:rPr>
        <w:object w:dxaOrig="240" w:dyaOrig="260" w14:anchorId="5FCFDDCF">
          <v:shape id="_x0000_i1127" type="#_x0000_t75" style="width:12pt;height:12.75pt" o:ole="">
            <v:imagedata r:id="rId193" o:title=""/>
          </v:shape>
          <o:OLEObject Type="Embed" ProgID="Equation.DSMT4" ShapeID="_x0000_i1127" DrawAspect="Content" ObjectID="_1775045763" r:id="rId194"/>
        </w:object>
      </w:r>
      <w:r w:rsidRPr="005C19E0">
        <w:rPr>
          <w:rFonts w:eastAsiaTheme="minorEastAsia"/>
          <w:szCs w:val="24"/>
          <w:lang w:val="en-AU"/>
        </w:rPr>
        <w:t>.</w:t>
      </w:r>
    </w:p>
    <w:p w14:paraId="3967E702" w14:textId="70ACC89B" w:rsidR="00E65065" w:rsidRDefault="005B5818" w:rsidP="00B60372">
      <w:pPr>
        <w:rPr>
          <w:szCs w:val="24"/>
          <w:lang w:val="en-AU"/>
        </w:rPr>
      </w:pPr>
      <w:r>
        <w:rPr>
          <w:szCs w:val="24"/>
          <w:lang w:val="en-AU"/>
        </w:rPr>
        <w:t xml:space="preserve">To this end, the </w:t>
      </w:r>
      <w:r w:rsidRPr="005C19E0">
        <w:rPr>
          <w:szCs w:val="24"/>
          <w:lang w:val="en-AU"/>
        </w:rPr>
        <w:t xml:space="preserve">second stage in the process of defining the </w:t>
      </w:r>
      <w:r>
        <w:rPr>
          <w:szCs w:val="24"/>
          <w:lang w:val="en-AU"/>
        </w:rPr>
        <w:t>ECC</w:t>
      </w:r>
      <w:r w:rsidRPr="005C19E0">
        <w:rPr>
          <w:szCs w:val="24"/>
          <w:lang w:val="en-AU"/>
        </w:rPr>
        <w:t xml:space="preserve"> Model involves the derivation of models that estimate </w:t>
      </w:r>
      <w:r>
        <w:rPr>
          <w:szCs w:val="24"/>
          <w:lang w:val="en-AU"/>
        </w:rPr>
        <w:t xml:space="preserve">geometric mean costs </w:t>
      </w:r>
      <w:r w:rsidRPr="005C19E0">
        <w:rPr>
          <w:szCs w:val="24"/>
          <w:lang w:val="en-AU"/>
        </w:rPr>
        <w:t>across ADRG profiles</w:t>
      </w:r>
      <w:r w:rsidRPr="00E42583">
        <w:rPr>
          <w:szCs w:val="24"/>
          <w:lang w:val="en-AU"/>
        </w:rPr>
        <w:t xml:space="preserve"> </w:t>
      </w:r>
      <w:r w:rsidR="00F968BD" w:rsidRPr="0084513A">
        <w:rPr>
          <w:position w:val="-14"/>
        </w:rPr>
        <w:object w:dxaOrig="660" w:dyaOrig="400" w14:anchorId="447D37B3">
          <v:shape id="_x0000_i1128" type="#_x0000_t75" style="width:33pt;height:20.25pt" o:ole="">
            <v:imagedata r:id="rId25" o:title=""/>
          </v:shape>
          <o:OLEObject Type="Embed" ProgID="Equation.DSMT4" ShapeID="_x0000_i1128" DrawAspect="Content" ObjectID="_1775045764" r:id="rId195"/>
        </w:object>
      </w:r>
      <w:r w:rsidRPr="00E42583">
        <w:rPr>
          <w:rFonts w:eastAsiaTheme="minorEastAsia"/>
          <w:szCs w:val="24"/>
          <w:lang w:val="en-AU"/>
        </w:rPr>
        <w:t>. As discussed in</w:t>
      </w:r>
      <w:r>
        <w:rPr>
          <w:rFonts w:eastAsiaTheme="minorEastAsia"/>
          <w:szCs w:val="24"/>
          <w:lang w:val="en-AU"/>
        </w:rPr>
        <w:t xml:space="preserve"> </w:t>
      </w:r>
      <w:r w:rsidR="009F69D0">
        <w:rPr>
          <w:rFonts w:eastAsiaTheme="minorEastAsia"/>
          <w:szCs w:val="24"/>
          <w:lang w:val="en-AU"/>
        </w:rPr>
        <w:t xml:space="preserve">the </w:t>
      </w:r>
      <w:r w:rsidR="009F69D0" w:rsidRPr="00FB653B">
        <w:rPr>
          <w:rFonts w:eastAsiaTheme="minorEastAsia"/>
          <w:i/>
          <w:szCs w:val="24"/>
          <w:lang w:val="en-AU"/>
        </w:rPr>
        <w:fldChar w:fldCharType="begin"/>
      </w:r>
      <w:r w:rsidR="009F69D0" w:rsidRPr="00FB653B">
        <w:rPr>
          <w:rFonts w:eastAsiaTheme="minorEastAsia"/>
          <w:i/>
          <w:szCs w:val="24"/>
          <w:lang w:val="en-AU"/>
        </w:rPr>
        <w:instrText xml:space="preserve"> REF _Ref390778663 \h </w:instrText>
      </w:r>
      <w:r w:rsidR="009F69D0">
        <w:rPr>
          <w:rFonts w:eastAsiaTheme="minorEastAsia"/>
          <w:i/>
          <w:szCs w:val="24"/>
          <w:lang w:val="en-AU"/>
        </w:rPr>
        <w:instrText xml:space="preserve"> \* MERGEFORMAT </w:instrText>
      </w:r>
      <w:r w:rsidR="009F69D0" w:rsidRPr="00FB653B">
        <w:rPr>
          <w:rFonts w:eastAsiaTheme="minorEastAsia"/>
          <w:i/>
          <w:szCs w:val="24"/>
          <w:lang w:val="en-AU"/>
        </w:rPr>
      </w:r>
      <w:r w:rsidR="009F69D0" w:rsidRPr="00FB653B">
        <w:rPr>
          <w:rFonts w:eastAsiaTheme="minorEastAsia"/>
          <w:i/>
          <w:szCs w:val="24"/>
          <w:lang w:val="en-AU"/>
        </w:rPr>
        <w:fldChar w:fldCharType="separate"/>
      </w:r>
      <w:r w:rsidR="0031717B" w:rsidRPr="0031717B">
        <w:rPr>
          <w:i/>
        </w:rPr>
        <w:t>Measuring relative changes in cost associated with diagnosis cost profiles</w:t>
      </w:r>
      <w:r w:rsidR="009F69D0" w:rsidRPr="00FB653B">
        <w:rPr>
          <w:rFonts w:eastAsiaTheme="minorEastAsia"/>
          <w:i/>
          <w:szCs w:val="24"/>
          <w:lang w:val="en-AU"/>
        </w:rPr>
        <w:fldChar w:fldCharType="end"/>
      </w:r>
      <w:r w:rsidR="009F69D0">
        <w:rPr>
          <w:rFonts w:eastAsiaTheme="minorEastAsia"/>
          <w:szCs w:val="24"/>
          <w:lang w:val="en-AU"/>
        </w:rPr>
        <w:t xml:space="preserve"> section (page </w:t>
      </w:r>
      <w:r w:rsidR="009F69D0">
        <w:rPr>
          <w:rFonts w:eastAsiaTheme="minorEastAsia"/>
          <w:szCs w:val="24"/>
          <w:lang w:val="en-AU"/>
        </w:rPr>
        <w:fldChar w:fldCharType="begin"/>
      </w:r>
      <w:r w:rsidR="009F69D0">
        <w:rPr>
          <w:rFonts w:eastAsiaTheme="minorEastAsia"/>
          <w:szCs w:val="24"/>
          <w:lang w:val="en-AU"/>
        </w:rPr>
        <w:instrText xml:space="preserve"> PAGEREF _Ref390778663 \h </w:instrText>
      </w:r>
      <w:r w:rsidR="009F69D0">
        <w:rPr>
          <w:rFonts w:eastAsiaTheme="minorEastAsia"/>
          <w:szCs w:val="24"/>
          <w:lang w:val="en-AU"/>
        </w:rPr>
      </w:r>
      <w:r w:rsidR="009F69D0">
        <w:rPr>
          <w:rFonts w:eastAsiaTheme="minorEastAsia"/>
          <w:szCs w:val="24"/>
          <w:lang w:val="en-AU"/>
        </w:rPr>
        <w:fldChar w:fldCharType="separate"/>
      </w:r>
      <w:r w:rsidR="0031717B">
        <w:rPr>
          <w:rFonts w:eastAsiaTheme="minorEastAsia"/>
          <w:noProof/>
          <w:szCs w:val="24"/>
          <w:lang w:val="en-AU"/>
        </w:rPr>
        <w:t>37</w:t>
      </w:r>
      <w:r w:rsidR="009F69D0">
        <w:rPr>
          <w:rFonts w:eastAsiaTheme="minorEastAsia"/>
          <w:szCs w:val="24"/>
          <w:lang w:val="en-AU"/>
        </w:rPr>
        <w:fldChar w:fldCharType="end"/>
      </w:r>
      <w:r w:rsidR="009F69D0">
        <w:rPr>
          <w:rFonts w:eastAsiaTheme="minorEastAsia"/>
          <w:szCs w:val="24"/>
          <w:lang w:val="en-AU"/>
        </w:rPr>
        <w:t>)</w:t>
      </w:r>
      <w:r w:rsidRPr="00E42583">
        <w:rPr>
          <w:rFonts w:eastAsiaTheme="minorEastAsia"/>
          <w:szCs w:val="24"/>
          <w:lang w:val="en-AU"/>
        </w:rPr>
        <w:t xml:space="preserve">, a multiplicative model form is used to estimate ADRG costs by diagnosis </w:t>
      </w:r>
      <w:r w:rsidRPr="00E42583">
        <w:rPr>
          <w:rFonts w:eastAsiaTheme="minorEastAsia"/>
          <w:szCs w:val="24"/>
          <w:lang w:val="en-AU"/>
        </w:rPr>
        <w:lastRenderedPageBreak/>
        <w:t xml:space="preserve">count. Further to this, to align with the diminished combined effect of multiple diagnoses </w:t>
      </w:r>
      <w:r w:rsidR="009F69D0">
        <w:rPr>
          <w:rFonts w:eastAsiaTheme="minorEastAsia"/>
          <w:szCs w:val="24"/>
          <w:lang w:val="en-AU"/>
        </w:rPr>
        <w:t>introduced</w:t>
      </w:r>
      <w:r w:rsidR="009F69D0" w:rsidRPr="00E42583">
        <w:rPr>
          <w:rFonts w:eastAsiaTheme="minorEastAsia"/>
          <w:szCs w:val="24"/>
          <w:lang w:val="en-AU"/>
        </w:rPr>
        <w:t xml:space="preserve"> </w:t>
      </w:r>
      <w:r w:rsidRPr="00E42583">
        <w:rPr>
          <w:rFonts w:eastAsiaTheme="minorEastAsia"/>
          <w:szCs w:val="24"/>
          <w:lang w:val="en-AU"/>
        </w:rPr>
        <w:t xml:space="preserve">in </w:t>
      </w:r>
      <w:r w:rsidR="009F69D0">
        <w:rPr>
          <w:rFonts w:eastAsiaTheme="minorEastAsia"/>
          <w:szCs w:val="24"/>
          <w:lang w:val="en-AU"/>
        </w:rPr>
        <w:t xml:space="preserve">the </w:t>
      </w:r>
      <w:r w:rsidR="009F69D0" w:rsidRPr="00FB653B">
        <w:rPr>
          <w:rFonts w:eastAsiaTheme="minorEastAsia"/>
          <w:i/>
          <w:szCs w:val="24"/>
          <w:lang w:val="en-AU"/>
        </w:rPr>
        <w:fldChar w:fldCharType="begin"/>
      </w:r>
      <w:r w:rsidR="009F69D0" w:rsidRPr="00FB653B">
        <w:rPr>
          <w:rFonts w:eastAsiaTheme="minorEastAsia"/>
          <w:i/>
          <w:szCs w:val="24"/>
          <w:lang w:val="en-AU"/>
        </w:rPr>
        <w:instrText xml:space="preserve"> REF _Ref390779687 \h </w:instrText>
      </w:r>
      <w:r w:rsidR="009F69D0">
        <w:rPr>
          <w:rFonts w:eastAsiaTheme="minorEastAsia"/>
          <w:i/>
          <w:szCs w:val="24"/>
          <w:lang w:val="en-AU"/>
        </w:rPr>
        <w:instrText xml:space="preserve"> \* MERGEFORMAT </w:instrText>
      </w:r>
      <w:r w:rsidR="009F69D0" w:rsidRPr="00FB653B">
        <w:rPr>
          <w:rFonts w:eastAsiaTheme="minorEastAsia"/>
          <w:i/>
          <w:szCs w:val="24"/>
          <w:lang w:val="en-AU"/>
        </w:rPr>
      </w:r>
      <w:r w:rsidR="009F69D0" w:rsidRPr="00FB653B">
        <w:rPr>
          <w:rFonts w:eastAsiaTheme="minorEastAsia"/>
          <w:i/>
          <w:szCs w:val="24"/>
          <w:lang w:val="en-AU"/>
        </w:rPr>
        <w:fldChar w:fldCharType="separate"/>
      </w:r>
      <w:r w:rsidR="0031717B" w:rsidRPr="0031717B">
        <w:rPr>
          <w:i/>
        </w:rPr>
        <w:t>Combined diagnosis relative cost associations at the episode level</w:t>
      </w:r>
      <w:r w:rsidR="009F69D0" w:rsidRPr="00FB653B">
        <w:rPr>
          <w:rFonts w:eastAsiaTheme="minorEastAsia"/>
          <w:i/>
          <w:szCs w:val="24"/>
          <w:lang w:val="en-AU"/>
        </w:rPr>
        <w:fldChar w:fldCharType="end"/>
      </w:r>
      <w:r w:rsidR="009F69D0" w:rsidRPr="00FB653B">
        <w:rPr>
          <w:rFonts w:eastAsiaTheme="minorEastAsia"/>
          <w:i/>
          <w:szCs w:val="24"/>
          <w:lang w:val="en-AU"/>
        </w:rPr>
        <w:t xml:space="preserve"> </w:t>
      </w:r>
      <w:r w:rsidR="009F69D0">
        <w:rPr>
          <w:rFonts w:eastAsiaTheme="minorEastAsia"/>
          <w:szCs w:val="24"/>
          <w:lang w:val="en-AU"/>
        </w:rPr>
        <w:t xml:space="preserve">section (page </w:t>
      </w:r>
      <w:r w:rsidR="009F69D0">
        <w:rPr>
          <w:rFonts w:eastAsiaTheme="minorEastAsia"/>
          <w:szCs w:val="24"/>
          <w:lang w:val="en-AU"/>
        </w:rPr>
        <w:fldChar w:fldCharType="begin"/>
      </w:r>
      <w:r w:rsidR="009F69D0">
        <w:rPr>
          <w:rFonts w:eastAsiaTheme="minorEastAsia"/>
          <w:szCs w:val="24"/>
          <w:lang w:val="en-AU"/>
        </w:rPr>
        <w:instrText xml:space="preserve"> PAGEREF _Ref390779687 \h </w:instrText>
      </w:r>
      <w:r w:rsidR="009F69D0">
        <w:rPr>
          <w:rFonts w:eastAsiaTheme="minorEastAsia"/>
          <w:szCs w:val="24"/>
          <w:lang w:val="en-AU"/>
        </w:rPr>
      </w:r>
      <w:r w:rsidR="009F69D0">
        <w:rPr>
          <w:rFonts w:eastAsiaTheme="minorEastAsia"/>
          <w:szCs w:val="24"/>
          <w:lang w:val="en-AU"/>
        </w:rPr>
        <w:fldChar w:fldCharType="separate"/>
      </w:r>
      <w:r w:rsidR="0031717B">
        <w:rPr>
          <w:rFonts w:eastAsiaTheme="minorEastAsia"/>
          <w:noProof/>
          <w:szCs w:val="24"/>
          <w:lang w:val="en-AU"/>
        </w:rPr>
        <w:t>40</w:t>
      </w:r>
      <w:r w:rsidR="009F69D0">
        <w:rPr>
          <w:rFonts w:eastAsiaTheme="minorEastAsia"/>
          <w:szCs w:val="24"/>
          <w:lang w:val="en-AU"/>
        </w:rPr>
        <w:fldChar w:fldCharType="end"/>
      </w:r>
      <w:r w:rsidR="009F69D0">
        <w:rPr>
          <w:rFonts w:eastAsiaTheme="minorEastAsia"/>
          <w:szCs w:val="24"/>
          <w:lang w:val="en-AU"/>
        </w:rPr>
        <w:t>)</w:t>
      </w:r>
      <w:r w:rsidRPr="00E42583">
        <w:rPr>
          <w:rFonts w:eastAsiaTheme="minorEastAsia"/>
          <w:szCs w:val="24"/>
          <w:lang w:val="en-AU"/>
        </w:rPr>
        <w:t>, a decay factor is introduced into the model form.</w:t>
      </w:r>
    </w:p>
    <w:p w14:paraId="6215FADC" w14:textId="77777777" w:rsidR="005B5818" w:rsidRPr="00E42583" w:rsidRDefault="005B5818" w:rsidP="00B60372">
      <w:pPr>
        <w:keepNext/>
        <w:rPr>
          <w:szCs w:val="24"/>
          <w:lang w:val="en-AU"/>
        </w:rPr>
      </w:pPr>
      <w:r w:rsidRPr="00E42583">
        <w:rPr>
          <w:szCs w:val="24"/>
          <w:lang w:val="en-AU"/>
        </w:rPr>
        <w:t xml:space="preserve">Each ADRG </w:t>
      </w:r>
      <w:r>
        <w:rPr>
          <w:szCs w:val="24"/>
          <w:lang w:val="en-AU"/>
        </w:rPr>
        <w:t xml:space="preserve">geometric mean </w:t>
      </w:r>
      <w:r w:rsidRPr="00E42583">
        <w:rPr>
          <w:szCs w:val="24"/>
          <w:lang w:val="en-AU"/>
        </w:rPr>
        <w:t xml:space="preserve">cost model takes the </w:t>
      </w:r>
      <w:r w:rsidR="00706E5D">
        <w:rPr>
          <w:szCs w:val="24"/>
          <w:lang w:val="en-AU"/>
        </w:rPr>
        <w:t xml:space="preserve">defined </w:t>
      </w:r>
      <w:r w:rsidRPr="00E42583">
        <w:rPr>
          <w:szCs w:val="24"/>
          <w:lang w:val="en-AU"/>
        </w:rPr>
        <w:t>form:</w:t>
      </w:r>
      <w:r w:rsidR="00DF058B" w:rsidRPr="00DF058B">
        <w:rPr>
          <w:rStyle w:val="FootnoteReference"/>
          <w:szCs w:val="24"/>
          <w:lang w:val="en-AU"/>
        </w:rPr>
        <w:t xml:space="preserve"> </w:t>
      </w:r>
      <w:r w:rsidR="00DF058B">
        <w:rPr>
          <w:rStyle w:val="FootnoteReference"/>
          <w:szCs w:val="24"/>
          <w:lang w:val="en-AU"/>
        </w:rPr>
        <w:footnoteReference w:id="10"/>
      </w:r>
    </w:p>
    <w:p w14:paraId="0045C08A" w14:textId="77777777" w:rsidR="00F968BD" w:rsidRDefault="009F69D0" w:rsidP="00B60372">
      <w:pPr>
        <w:pStyle w:val="MTDisplayEquation"/>
        <w:jc w:val="center"/>
      </w:pPr>
      <w:r w:rsidRPr="0037330B">
        <w:rPr>
          <w:position w:val="-46"/>
        </w:rPr>
        <w:object w:dxaOrig="4020" w:dyaOrig="1040" w14:anchorId="12CE9E47">
          <v:shape id="_x0000_i1129" type="#_x0000_t75" style="width:201pt;height:51.75pt" o:ole="">
            <v:imagedata r:id="rId196" o:title=""/>
          </v:shape>
          <o:OLEObject Type="Embed" ProgID="Equation.DSMT4" ShapeID="_x0000_i1129" DrawAspect="Content" ObjectID="_1775045765" r:id="rId197"/>
        </w:object>
      </w:r>
    </w:p>
    <w:p w14:paraId="0EF80FDB" w14:textId="2F98CB5C" w:rsidR="005B5818" w:rsidRPr="00E42583" w:rsidRDefault="009F69D0" w:rsidP="002F7E33">
      <w:pPr>
        <w:rPr>
          <w:rFonts w:eastAsiaTheme="minorEastAsia"/>
          <w:szCs w:val="24"/>
          <w:lang w:val="en-AU"/>
        </w:rPr>
      </w:pPr>
      <w:r>
        <w:rPr>
          <w:szCs w:val="24"/>
          <w:lang w:val="en-AU"/>
        </w:rPr>
        <w:t>W</w:t>
      </w:r>
      <w:r w:rsidR="005B5818" w:rsidRPr="00E42583">
        <w:rPr>
          <w:szCs w:val="24"/>
          <w:lang w:val="en-AU"/>
        </w:rPr>
        <w:t xml:space="preserve">here </w:t>
      </w:r>
      <w:r>
        <w:rPr>
          <w:szCs w:val="24"/>
          <w:lang w:val="en-AU"/>
        </w:rPr>
        <w:t>the base cost</w:t>
      </w:r>
      <w:r w:rsidR="0037330B" w:rsidRPr="0037330B">
        <w:rPr>
          <w:position w:val="-6"/>
        </w:rPr>
        <w:object w:dxaOrig="200" w:dyaOrig="220" w14:anchorId="1B9AD1E0">
          <v:shape id="_x0000_i1130" type="#_x0000_t75" style="width:9.75pt;height:11.25pt" o:ole="">
            <v:imagedata r:id="rId198" o:title=""/>
          </v:shape>
          <o:OLEObject Type="Embed" ProgID="Equation.DSMT4" ShapeID="_x0000_i1130" DrawAspect="Content" ObjectID="_1775045766" r:id="rId199"/>
        </w:object>
      </w:r>
      <w:r w:rsidR="005B5818" w:rsidRPr="00E42583">
        <w:rPr>
          <w:rFonts w:eastAsiaTheme="minorEastAsia"/>
          <w:szCs w:val="24"/>
          <w:lang w:val="en-AU"/>
        </w:rPr>
        <w:t>,</w:t>
      </w:r>
      <w:r>
        <w:rPr>
          <w:rFonts w:eastAsiaTheme="minorEastAsia"/>
          <w:szCs w:val="24"/>
          <w:lang w:val="en-AU"/>
        </w:rPr>
        <w:t xml:space="preserve"> change parameter</w:t>
      </w:r>
      <w:r w:rsidR="005B5818" w:rsidRPr="00E42583">
        <w:rPr>
          <w:rFonts w:eastAsiaTheme="minorEastAsia"/>
          <w:szCs w:val="24"/>
          <w:lang w:val="en-AU"/>
        </w:rPr>
        <w:t xml:space="preserve"> </w:t>
      </w:r>
      <w:r w:rsidR="0037330B" w:rsidRPr="0037330B">
        <w:rPr>
          <w:position w:val="-6"/>
        </w:rPr>
        <w:object w:dxaOrig="200" w:dyaOrig="279" w14:anchorId="1D724E2D">
          <v:shape id="_x0000_i1131" type="#_x0000_t75" style="width:9.75pt;height:14.25pt" o:ole="">
            <v:imagedata r:id="rId200" o:title=""/>
          </v:shape>
          <o:OLEObject Type="Embed" ProgID="Equation.DSMT4" ShapeID="_x0000_i1131" DrawAspect="Content" ObjectID="_1775045767" r:id="rId201"/>
        </w:object>
      </w:r>
      <w:r w:rsidR="005B5818" w:rsidRPr="00E42583">
        <w:rPr>
          <w:rFonts w:eastAsiaTheme="minorEastAsia"/>
          <w:szCs w:val="24"/>
          <w:lang w:val="en-AU"/>
        </w:rPr>
        <w:t xml:space="preserve"> and</w:t>
      </w:r>
      <w:r>
        <w:rPr>
          <w:rFonts w:eastAsiaTheme="minorEastAsia"/>
          <w:szCs w:val="24"/>
          <w:lang w:val="en-AU"/>
        </w:rPr>
        <w:t xml:space="preserve"> decay parameter</w:t>
      </w:r>
      <w:r w:rsidR="005B5818" w:rsidRPr="00E42583">
        <w:rPr>
          <w:rFonts w:eastAsiaTheme="minorEastAsia"/>
          <w:szCs w:val="24"/>
          <w:lang w:val="en-AU"/>
        </w:rPr>
        <w:t xml:space="preserve"> </w:t>
      </w:r>
      <w:r w:rsidR="0037330B" w:rsidRPr="00025957">
        <w:rPr>
          <w:position w:val="-4"/>
        </w:rPr>
        <w:object w:dxaOrig="180" w:dyaOrig="200" w14:anchorId="452DD8FB">
          <v:shape id="_x0000_i1132" type="#_x0000_t75" style="width:9pt;height:9.75pt" o:ole="">
            <v:imagedata r:id="rId202" o:title=""/>
          </v:shape>
          <o:OLEObject Type="Embed" ProgID="Equation.DSMT4" ShapeID="_x0000_i1132" DrawAspect="Content" ObjectID="_1775045768" r:id="rId203"/>
        </w:object>
      </w:r>
      <w:r w:rsidR="005B5818" w:rsidRPr="00E42583">
        <w:rPr>
          <w:rFonts w:eastAsiaTheme="minorEastAsia"/>
          <w:szCs w:val="24"/>
          <w:lang w:val="en-AU"/>
        </w:rPr>
        <w:t xml:space="preserve"> are specific to each ADRG, </w:t>
      </w:r>
      <w:r>
        <w:rPr>
          <w:rFonts w:eastAsiaTheme="minorEastAsia"/>
          <w:szCs w:val="24"/>
          <w:lang w:val="en-AU"/>
        </w:rPr>
        <w:t xml:space="preserve">and </w:t>
      </w:r>
      <w:r w:rsidR="0037330B" w:rsidRPr="0037330B">
        <w:rPr>
          <w:position w:val="-6"/>
        </w:rPr>
        <w:object w:dxaOrig="560" w:dyaOrig="279" w14:anchorId="0AE9FDB6">
          <v:shape id="_x0000_i1133" type="#_x0000_t75" style="width:27.75pt;height:14.25pt" o:ole="">
            <v:imagedata r:id="rId204" o:title=""/>
          </v:shape>
          <o:OLEObject Type="Embed" ProgID="Equation.DSMT4" ShapeID="_x0000_i1133" DrawAspect="Content" ObjectID="_1775045769" r:id="rId205"/>
        </w:object>
      </w:r>
      <w:r w:rsidR="005B5818" w:rsidRPr="00E42583">
        <w:rPr>
          <w:rFonts w:eastAsiaTheme="minorEastAsia"/>
          <w:szCs w:val="24"/>
          <w:lang w:val="en-AU"/>
        </w:rPr>
        <w:t xml:space="preserve">, </w:t>
      </w:r>
      <w:r w:rsidR="0037330B" w:rsidRPr="0037330B">
        <w:rPr>
          <w:position w:val="-6"/>
        </w:rPr>
        <w:object w:dxaOrig="499" w:dyaOrig="279" w14:anchorId="4DB6F181">
          <v:shape id="_x0000_i1134" type="#_x0000_t75" style="width:24.75pt;height:14.25pt" o:ole="">
            <v:imagedata r:id="rId206" o:title=""/>
          </v:shape>
          <o:OLEObject Type="Embed" ProgID="Equation.DSMT4" ShapeID="_x0000_i1134" DrawAspect="Content" ObjectID="_1775045770" r:id="rId207"/>
        </w:object>
      </w:r>
      <w:r w:rsidR="005B5818" w:rsidRPr="00E42583">
        <w:rPr>
          <w:rFonts w:eastAsiaTheme="minorEastAsia"/>
          <w:szCs w:val="24"/>
          <w:lang w:val="en-AU"/>
        </w:rPr>
        <w:t xml:space="preserve"> and </w:t>
      </w:r>
      <w:r w:rsidR="0037330B" w:rsidRPr="0037330B">
        <w:rPr>
          <w:position w:val="-6"/>
        </w:rPr>
        <w:object w:dxaOrig="840" w:dyaOrig="279" w14:anchorId="7E5BB927">
          <v:shape id="_x0000_i1135" type="#_x0000_t75" style="width:42pt;height:14.25pt" o:ole="">
            <v:imagedata r:id="rId208" o:title=""/>
          </v:shape>
          <o:OLEObject Type="Embed" ProgID="Equation.DSMT4" ShapeID="_x0000_i1135" DrawAspect="Content" ObjectID="_1775045771" r:id="rId209"/>
        </w:object>
      </w:r>
      <w:r w:rsidR="005B5818" w:rsidRPr="00E42583">
        <w:rPr>
          <w:rFonts w:eastAsiaTheme="minorEastAsia"/>
          <w:szCs w:val="24"/>
          <w:lang w:val="en-AU"/>
        </w:rPr>
        <w:t>.</w:t>
      </w:r>
    </w:p>
    <w:p w14:paraId="5D84EDFE" w14:textId="77777777" w:rsidR="005B5818" w:rsidRPr="00E42583" w:rsidRDefault="005B5818" w:rsidP="00B60372">
      <w:pPr>
        <w:rPr>
          <w:rFonts w:eastAsiaTheme="minorEastAsia"/>
          <w:szCs w:val="24"/>
          <w:lang w:val="en-AU"/>
        </w:rPr>
      </w:pPr>
      <w:r w:rsidRPr="00E42583">
        <w:rPr>
          <w:szCs w:val="24"/>
          <w:lang w:val="en-AU"/>
        </w:rPr>
        <w:t>To illustrate with an example, if</w:t>
      </w:r>
      <w:r w:rsidR="00FD3A53">
        <w:rPr>
          <w:szCs w:val="24"/>
          <w:lang w:val="en-AU"/>
        </w:rPr>
        <w:t xml:space="preserve"> </w:t>
      </w:r>
      <w:r w:rsidR="00FD3A53" w:rsidRPr="00FD3A53">
        <w:rPr>
          <w:position w:val="-10"/>
        </w:rPr>
        <w:object w:dxaOrig="1100" w:dyaOrig="320" w14:anchorId="1FDAFE76">
          <v:shape id="_x0000_i1136" type="#_x0000_t75" style="width:54.75pt;height:15.75pt" o:ole="">
            <v:imagedata r:id="rId210" o:title=""/>
          </v:shape>
          <o:OLEObject Type="Embed" ProgID="Equation.DSMT4" ShapeID="_x0000_i1136" DrawAspect="Content" ObjectID="_1775045772" r:id="rId211"/>
        </w:object>
      </w:r>
      <w:r w:rsidRPr="00E42583">
        <w:rPr>
          <w:rFonts w:eastAsiaTheme="minorEastAsia"/>
          <w:szCs w:val="24"/>
          <w:lang w:val="en-AU"/>
        </w:rPr>
        <w:t>,</w:t>
      </w:r>
      <w:r w:rsidR="00FD3A53">
        <w:rPr>
          <w:rFonts w:eastAsiaTheme="minorEastAsia"/>
          <w:szCs w:val="24"/>
          <w:lang w:val="en-AU"/>
        </w:rPr>
        <w:t xml:space="preserve"> </w:t>
      </w:r>
      <w:r w:rsidR="00FD3A53" w:rsidRPr="00FD3A53">
        <w:rPr>
          <w:rFonts w:eastAsiaTheme="minorEastAsia"/>
          <w:position w:val="-6"/>
          <w:szCs w:val="24"/>
          <w:lang w:val="en-AU"/>
        </w:rPr>
        <w:object w:dxaOrig="700" w:dyaOrig="279" w14:anchorId="2F60C0EC">
          <v:shape id="_x0000_i1137" type="#_x0000_t75" style="width:35.25pt;height:14.25pt" o:ole="">
            <v:imagedata r:id="rId212" o:title=""/>
          </v:shape>
          <o:OLEObject Type="Embed" ProgID="Equation.DSMT4" ShapeID="_x0000_i1137" DrawAspect="Content" ObjectID="_1775045773" r:id="rId213"/>
        </w:object>
      </w:r>
      <w:r w:rsidR="00FD3A53">
        <w:rPr>
          <w:rFonts w:eastAsiaTheme="minorEastAsia"/>
          <w:szCs w:val="24"/>
          <w:lang w:val="en-AU"/>
        </w:rPr>
        <w:t xml:space="preserve"> </w:t>
      </w:r>
      <w:r w:rsidRPr="00E42583">
        <w:rPr>
          <w:rFonts w:eastAsiaTheme="minorEastAsia"/>
          <w:szCs w:val="24"/>
          <w:lang w:val="en-AU"/>
        </w:rPr>
        <w:t xml:space="preserve">and </w:t>
      </w:r>
      <w:r w:rsidR="00FD3A53" w:rsidRPr="00FD3A53">
        <w:rPr>
          <w:rFonts w:eastAsiaTheme="minorEastAsia"/>
          <w:position w:val="-6"/>
          <w:szCs w:val="24"/>
          <w:lang w:val="en-AU"/>
        </w:rPr>
        <w:object w:dxaOrig="840" w:dyaOrig="279" w14:anchorId="2DD5DF39">
          <v:shape id="_x0000_i1138" type="#_x0000_t75" style="width:42pt;height:14.25pt" o:ole="">
            <v:imagedata r:id="rId214" o:title=""/>
          </v:shape>
          <o:OLEObject Type="Embed" ProgID="Equation.DSMT4" ShapeID="_x0000_i1138" DrawAspect="Content" ObjectID="_1775045774" r:id="rId215"/>
        </w:object>
      </w:r>
      <w:r w:rsidRPr="00E42583">
        <w:rPr>
          <w:rFonts w:eastAsiaTheme="minorEastAsia"/>
          <w:szCs w:val="24"/>
          <w:lang w:val="en-AU"/>
        </w:rPr>
        <w:t>, then</w:t>
      </w:r>
    </w:p>
    <w:p w14:paraId="4FAB22A3" w14:textId="77777777" w:rsidR="005B5818" w:rsidRPr="00923D9A" w:rsidRDefault="00FD3A53" w:rsidP="00B60372">
      <w:pPr>
        <w:numPr>
          <w:ilvl w:val="0"/>
          <w:numId w:val="101"/>
        </w:numPr>
        <w:rPr>
          <w:lang w:val="en-AU"/>
        </w:rPr>
      </w:pPr>
      <w:r w:rsidRPr="0084513A">
        <w:rPr>
          <w:position w:val="-14"/>
        </w:rPr>
        <w:object w:dxaOrig="2140" w:dyaOrig="400" w14:anchorId="00E15E1C">
          <v:shape id="_x0000_i1139" type="#_x0000_t75" style="width:107.25pt;height:20.25pt" o:ole="">
            <v:imagedata r:id="rId216" o:title=""/>
          </v:shape>
          <o:OLEObject Type="Embed" ProgID="Equation.DSMT4" ShapeID="_x0000_i1139" DrawAspect="Content" ObjectID="_1775045775" r:id="rId217"/>
        </w:object>
      </w:r>
    </w:p>
    <w:p w14:paraId="735CB2CF" w14:textId="77777777" w:rsidR="005B5818" w:rsidRPr="00923D9A" w:rsidRDefault="00FD3A53" w:rsidP="00B60372">
      <w:pPr>
        <w:numPr>
          <w:ilvl w:val="0"/>
          <w:numId w:val="101"/>
        </w:numPr>
        <w:rPr>
          <w:lang w:val="en-AU"/>
        </w:rPr>
      </w:pPr>
      <w:r w:rsidRPr="0084513A">
        <w:rPr>
          <w:position w:val="-14"/>
        </w:rPr>
        <w:object w:dxaOrig="4940" w:dyaOrig="400" w14:anchorId="60E407D3">
          <v:shape id="_x0000_i1140" type="#_x0000_t75" style="width:246.75pt;height:20.25pt" o:ole="">
            <v:imagedata r:id="rId218" o:title=""/>
          </v:shape>
          <o:OLEObject Type="Embed" ProgID="Equation.DSMT4" ShapeID="_x0000_i1140" DrawAspect="Content" ObjectID="_1775045776" r:id="rId219"/>
        </w:object>
      </w:r>
    </w:p>
    <w:p w14:paraId="4644A91C" w14:textId="77777777" w:rsidR="005B5818" w:rsidRPr="00923D9A" w:rsidRDefault="00FD3A53" w:rsidP="00B60372">
      <w:pPr>
        <w:numPr>
          <w:ilvl w:val="0"/>
          <w:numId w:val="101"/>
        </w:numPr>
        <w:rPr>
          <w:lang w:val="en-AU"/>
        </w:rPr>
      </w:pPr>
      <w:r w:rsidRPr="0084513A">
        <w:rPr>
          <w:position w:val="-14"/>
        </w:rPr>
        <w:object w:dxaOrig="6700" w:dyaOrig="499" w14:anchorId="270D1793">
          <v:shape id="_x0000_i1141" type="#_x0000_t75" style="width:335.25pt;height:24.75pt" o:ole="">
            <v:imagedata r:id="rId220" o:title=""/>
          </v:shape>
          <o:OLEObject Type="Embed" ProgID="Equation.DSMT4" ShapeID="_x0000_i1141" DrawAspect="Content" ObjectID="_1775045777" r:id="rId221"/>
        </w:object>
      </w:r>
    </w:p>
    <w:p w14:paraId="53185F07" w14:textId="77777777" w:rsidR="005B5818" w:rsidRPr="00FD3A53" w:rsidRDefault="00FD3A53" w:rsidP="00B60372">
      <w:pPr>
        <w:numPr>
          <w:ilvl w:val="0"/>
          <w:numId w:val="101"/>
        </w:numPr>
        <w:rPr>
          <w:position w:val="-14"/>
        </w:rPr>
      </w:pPr>
      <w:r w:rsidRPr="00FD3A53">
        <w:rPr>
          <w:position w:val="-14"/>
        </w:rPr>
        <w:object w:dxaOrig="8160" w:dyaOrig="499" w14:anchorId="3C4E3340">
          <v:shape id="_x0000_i1142" type="#_x0000_t75" style="width:408pt;height:24.75pt" o:ole="">
            <v:imagedata r:id="rId222" o:title=""/>
          </v:shape>
          <o:OLEObject Type="Embed" ProgID="Equation.DSMT4" ShapeID="_x0000_i1142" DrawAspect="Content" ObjectID="_1775045778" r:id="rId223"/>
        </w:object>
      </w:r>
    </w:p>
    <w:p w14:paraId="690270CC" w14:textId="77777777" w:rsidR="005B5818" w:rsidRPr="00E42583" w:rsidRDefault="005B5818" w:rsidP="00B60372">
      <w:pPr>
        <w:rPr>
          <w:rFonts w:eastAsiaTheme="minorEastAsia"/>
          <w:lang w:val="en-AU"/>
        </w:rPr>
      </w:pPr>
      <w:r w:rsidRPr="00E42583">
        <w:rPr>
          <w:lang w:val="en-AU"/>
        </w:rPr>
        <w:t>So, the first (princip</w:t>
      </w:r>
      <w:r>
        <w:rPr>
          <w:lang w:val="en-AU"/>
        </w:rPr>
        <w:t>al</w:t>
      </w:r>
      <w:r w:rsidRPr="00E42583">
        <w:rPr>
          <w:lang w:val="en-AU"/>
        </w:rPr>
        <w:t xml:space="preserve">) diagnosis increases the base cost of </w:t>
      </w:r>
      <w:r w:rsidR="00804FF0">
        <w:rPr>
          <w:lang w:val="en-AU"/>
        </w:rPr>
        <w:t>$1,000</w:t>
      </w:r>
      <w:r w:rsidRPr="00E42583">
        <w:rPr>
          <w:rFonts w:eastAsiaTheme="minorEastAsia"/>
          <w:lang w:val="en-AU"/>
        </w:rPr>
        <w:t xml:space="preserve"> </w:t>
      </w:r>
      <w:r w:rsidRPr="00E42583">
        <w:rPr>
          <w:lang w:val="en-AU"/>
        </w:rPr>
        <w:t>by</w:t>
      </w:r>
      <w:r w:rsidR="00FD3A53">
        <w:rPr>
          <w:lang w:val="en-AU"/>
        </w:rPr>
        <w:t xml:space="preserve"> </w:t>
      </w:r>
      <w:r w:rsidR="00804FF0">
        <w:rPr>
          <w:lang w:val="en-AU"/>
        </w:rPr>
        <w:t>30%</w:t>
      </w:r>
      <w:r w:rsidRPr="00E42583">
        <w:rPr>
          <w:lang w:val="en-AU"/>
        </w:rPr>
        <w:t>, the second diagnosis then increases the cost by</w:t>
      </w:r>
      <w:r w:rsidR="00804FF0">
        <w:rPr>
          <w:lang w:val="en-AU"/>
        </w:rPr>
        <w:t xml:space="preserve"> 25%</w:t>
      </w:r>
      <w:r w:rsidRPr="00E42583">
        <w:rPr>
          <w:rFonts w:eastAsiaTheme="minorEastAsia"/>
          <w:lang w:val="en-AU"/>
        </w:rPr>
        <w:t>, the third by</w:t>
      </w:r>
      <w:r w:rsidR="00804FF0">
        <w:rPr>
          <w:rFonts w:eastAsiaTheme="minorEastAsia"/>
          <w:lang w:val="en-AU"/>
        </w:rPr>
        <w:t xml:space="preserve"> 21%</w:t>
      </w:r>
      <w:r w:rsidRPr="00E42583">
        <w:rPr>
          <w:rFonts w:eastAsiaTheme="minorEastAsia"/>
          <w:lang w:val="en-AU"/>
        </w:rPr>
        <w:t>, the fourth by</w:t>
      </w:r>
      <w:r w:rsidR="00804FF0">
        <w:rPr>
          <w:rFonts w:eastAsiaTheme="minorEastAsia"/>
          <w:lang w:val="en-AU"/>
        </w:rPr>
        <w:t>17%</w:t>
      </w:r>
      <w:r w:rsidRPr="00E42583">
        <w:rPr>
          <w:rFonts w:eastAsiaTheme="minorEastAsia"/>
          <w:lang w:val="en-AU"/>
        </w:rPr>
        <w:t>, and so on with ever decreasing levels of growth.</w:t>
      </w:r>
    </w:p>
    <w:p w14:paraId="1DAE3979" w14:textId="77777777" w:rsidR="005B5818" w:rsidRPr="00E42583" w:rsidRDefault="005B5818" w:rsidP="00B60372">
      <w:pPr>
        <w:rPr>
          <w:rFonts w:eastAsiaTheme="minorEastAsia"/>
          <w:szCs w:val="24"/>
          <w:lang w:val="en-AU"/>
        </w:rPr>
      </w:pPr>
      <w:r w:rsidRPr="00E42583">
        <w:rPr>
          <w:rFonts w:eastAsiaTheme="minorEastAsia"/>
          <w:szCs w:val="24"/>
          <w:lang w:val="en-AU"/>
        </w:rPr>
        <w:t xml:space="preserve">The parameters </w:t>
      </w:r>
      <w:r w:rsidR="00804FF0" w:rsidRPr="0037330B">
        <w:rPr>
          <w:position w:val="-6"/>
        </w:rPr>
        <w:object w:dxaOrig="200" w:dyaOrig="220" w14:anchorId="1F10F7B7">
          <v:shape id="_x0000_i1143" type="#_x0000_t75" style="width:9.75pt;height:11.25pt" o:ole="">
            <v:imagedata r:id="rId198" o:title=""/>
          </v:shape>
          <o:OLEObject Type="Embed" ProgID="Equation.DSMT4" ShapeID="_x0000_i1143" DrawAspect="Content" ObjectID="_1775045779" r:id="rId224"/>
        </w:object>
      </w:r>
      <w:r w:rsidRPr="00E42583">
        <w:rPr>
          <w:rFonts w:eastAsiaTheme="minorEastAsia"/>
          <w:szCs w:val="24"/>
          <w:lang w:val="en-AU"/>
        </w:rPr>
        <w:t xml:space="preserve">, </w:t>
      </w:r>
      <w:r w:rsidR="00804FF0" w:rsidRPr="0037330B">
        <w:rPr>
          <w:position w:val="-6"/>
        </w:rPr>
        <w:object w:dxaOrig="200" w:dyaOrig="279" w14:anchorId="68FBFCAC">
          <v:shape id="_x0000_i1144" type="#_x0000_t75" style="width:9.75pt;height:14.25pt" o:ole="">
            <v:imagedata r:id="rId200" o:title=""/>
          </v:shape>
          <o:OLEObject Type="Embed" ProgID="Equation.DSMT4" ShapeID="_x0000_i1144" DrawAspect="Content" ObjectID="_1775045780" r:id="rId225"/>
        </w:object>
      </w:r>
      <w:r w:rsidRPr="00E42583">
        <w:rPr>
          <w:rFonts w:eastAsiaTheme="minorEastAsia"/>
          <w:szCs w:val="24"/>
          <w:lang w:val="en-AU"/>
        </w:rPr>
        <w:t xml:space="preserve"> and </w:t>
      </w:r>
      <w:r w:rsidR="00804FF0" w:rsidRPr="00025957">
        <w:rPr>
          <w:position w:val="-4"/>
        </w:rPr>
        <w:object w:dxaOrig="180" w:dyaOrig="200" w14:anchorId="2619407B">
          <v:shape id="_x0000_i1145" type="#_x0000_t75" style="width:9pt;height:9.75pt" o:ole="">
            <v:imagedata r:id="rId202" o:title=""/>
          </v:shape>
          <o:OLEObject Type="Embed" ProgID="Equation.DSMT4" ShapeID="_x0000_i1145" DrawAspect="Content" ObjectID="_1775045781" r:id="rId226"/>
        </w:object>
      </w:r>
      <w:r w:rsidRPr="00E42583">
        <w:rPr>
          <w:rFonts w:eastAsiaTheme="minorEastAsia"/>
          <w:szCs w:val="24"/>
          <w:lang w:val="en-AU"/>
        </w:rPr>
        <w:t xml:space="preserve"> together determine the model form by specifying the base level of cost, the underlying relative change in cost associated with </w:t>
      </w:r>
      <w:proofErr w:type="spellStart"/>
      <w:r w:rsidR="00AC67E7">
        <w:rPr>
          <w:rFonts w:eastAsiaTheme="minorEastAsia"/>
          <w:szCs w:val="24"/>
          <w:lang w:val="en-AU"/>
        </w:rPr>
        <w:t>ADx</w:t>
      </w:r>
      <w:proofErr w:type="spellEnd"/>
      <w:r w:rsidRPr="00E42583">
        <w:rPr>
          <w:rFonts w:eastAsiaTheme="minorEastAsia"/>
          <w:szCs w:val="24"/>
          <w:lang w:val="en-AU"/>
        </w:rPr>
        <w:t xml:space="preserve">, and the diminished effect of </w:t>
      </w:r>
      <w:proofErr w:type="spellStart"/>
      <w:r w:rsidR="00AC67E7">
        <w:rPr>
          <w:rFonts w:eastAsiaTheme="minorEastAsia"/>
          <w:szCs w:val="24"/>
          <w:lang w:val="en-AU"/>
        </w:rPr>
        <w:t>ADx</w:t>
      </w:r>
      <w:proofErr w:type="spellEnd"/>
      <w:r w:rsidRPr="00E42583">
        <w:rPr>
          <w:rFonts w:eastAsiaTheme="minorEastAsia"/>
          <w:szCs w:val="24"/>
          <w:lang w:val="en-AU"/>
        </w:rPr>
        <w:t xml:space="preserve"> in combination. </w:t>
      </w:r>
      <w:r w:rsidR="00CC0F16">
        <w:fldChar w:fldCharType="begin"/>
      </w:r>
      <w:r w:rsidR="00CC0F16">
        <w:instrText xml:space="preserve"> REF _Ref390804962 \h  \* MERGEFORMAT </w:instrText>
      </w:r>
      <w:r w:rsidR="00CC0F16">
        <w:fldChar w:fldCharType="separate"/>
      </w:r>
      <w:r w:rsidR="0031717B" w:rsidRPr="0031717B">
        <w:rPr>
          <w:bCs/>
          <w:szCs w:val="24"/>
          <w:lang w:val="en-AU"/>
        </w:rPr>
        <w:t>Figure 8</w:t>
      </w:r>
      <w:r w:rsidR="00CC0F16">
        <w:fldChar w:fldCharType="end"/>
      </w:r>
      <w:r>
        <w:rPr>
          <w:rFonts w:eastAsiaTheme="minorEastAsia"/>
          <w:szCs w:val="24"/>
          <w:lang w:val="en-AU"/>
        </w:rPr>
        <w:t xml:space="preserve"> </w:t>
      </w:r>
      <w:r w:rsidRPr="00E42583">
        <w:rPr>
          <w:rFonts w:eastAsiaTheme="minorEastAsia"/>
          <w:szCs w:val="24"/>
          <w:lang w:val="en-AU"/>
        </w:rPr>
        <w:t xml:space="preserve">illustrates the way in which the decay parameter </w:t>
      </w:r>
      <w:r w:rsidR="00804FF0" w:rsidRPr="00025957">
        <w:rPr>
          <w:position w:val="-4"/>
        </w:rPr>
        <w:object w:dxaOrig="180" w:dyaOrig="200" w14:anchorId="31CB7B09">
          <v:shape id="_x0000_i1146" type="#_x0000_t75" style="width:9pt;height:9.75pt" o:ole="">
            <v:imagedata r:id="rId202" o:title=""/>
          </v:shape>
          <o:OLEObject Type="Embed" ProgID="Equation.DSMT4" ShapeID="_x0000_i1146" DrawAspect="Content" ObjectID="_1775045782" r:id="rId227"/>
        </w:object>
      </w:r>
      <w:r w:rsidRPr="00E42583">
        <w:rPr>
          <w:rFonts w:eastAsiaTheme="minorEastAsia"/>
          <w:szCs w:val="24"/>
          <w:lang w:val="en-AU"/>
        </w:rPr>
        <w:t xml:space="preserve"> offsets the change parameter </w:t>
      </w:r>
      <w:r w:rsidR="00804FF0" w:rsidRPr="0037330B">
        <w:rPr>
          <w:position w:val="-6"/>
        </w:rPr>
        <w:object w:dxaOrig="200" w:dyaOrig="279" w14:anchorId="663BE5A1">
          <v:shape id="_x0000_i1147" type="#_x0000_t75" style="width:9.75pt;height:14.25pt" o:ole="">
            <v:imagedata r:id="rId200" o:title=""/>
          </v:shape>
          <o:OLEObject Type="Embed" ProgID="Equation.DSMT4" ShapeID="_x0000_i1147" DrawAspect="Content" ObjectID="_1775045783" r:id="rId228"/>
        </w:object>
      </w:r>
      <w:r w:rsidRPr="00E42583">
        <w:rPr>
          <w:rFonts w:eastAsiaTheme="minorEastAsia"/>
          <w:szCs w:val="24"/>
          <w:lang w:val="en-AU"/>
        </w:rPr>
        <w:t>.</w:t>
      </w:r>
    </w:p>
    <w:p w14:paraId="3FDF97FF" w14:textId="77777777" w:rsidR="005B5818" w:rsidRPr="005B1FB3" w:rsidRDefault="005B5818" w:rsidP="00B60372">
      <w:pPr>
        <w:pStyle w:val="Caption"/>
        <w:rPr>
          <w:lang w:val="en-AU"/>
        </w:rPr>
      </w:pPr>
      <w:bookmarkStart w:id="56" w:name="_Ref390804962"/>
      <w:bookmarkStart w:id="57" w:name="_Toc401061061"/>
      <w:r w:rsidRPr="005B1FB3">
        <w:rPr>
          <w:lang w:val="en-AU"/>
        </w:rPr>
        <w:lastRenderedPageBreak/>
        <w:t xml:space="preserve">Figure </w:t>
      </w:r>
      <w:r w:rsidR="005559F5" w:rsidRPr="005B1FB3">
        <w:rPr>
          <w:lang w:val="en-AU"/>
        </w:rPr>
        <w:fldChar w:fldCharType="begin"/>
      </w:r>
      <w:r w:rsidRPr="005B1FB3">
        <w:rPr>
          <w:lang w:val="en-AU"/>
        </w:rPr>
        <w:instrText xml:space="preserve"> SEQ Figure \* ARABIC </w:instrText>
      </w:r>
      <w:r w:rsidR="005559F5" w:rsidRPr="005B1FB3">
        <w:rPr>
          <w:lang w:val="en-AU"/>
        </w:rPr>
        <w:fldChar w:fldCharType="separate"/>
      </w:r>
      <w:r w:rsidR="0031717B">
        <w:rPr>
          <w:noProof/>
          <w:lang w:val="en-AU"/>
        </w:rPr>
        <w:t>8</w:t>
      </w:r>
      <w:r w:rsidR="005559F5" w:rsidRPr="005B1FB3">
        <w:rPr>
          <w:lang w:val="en-AU"/>
        </w:rPr>
        <w:fldChar w:fldCharType="end"/>
      </w:r>
      <w:bookmarkEnd w:id="56"/>
      <w:r w:rsidRPr="005B1FB3">
        <w:rPr>
          <w:lang w:val="en-AU"/>
        </w:rPr>
        <w:t xml:space="preserve">: Illustration of </w:t>
      </w:r>
      <w:r w:rsidR="00804FF0" w:rsidRPr="00804FF0">
        <w:rPr>
          <w:position w:val="-12"/>
          <w:lang w:val="en-AU"/>
        </w:rPr>
        <w:object w:dxaOrig="660" w:dyaOrig="360" w14:anchorId="22E537C4">
          <v:shape id="_x0000_i1148" type="#_x0000_t75" style="width:33pt;height:18pt" o:ole="">
            <v:imagedata r:id="rId229" o:title=""/>
          </v:shape>
          <o:OLEObject Type="Embed" ProgID="Equation.DSMT4" ShapeID="_x0000_i1148" DrawAspect="Content" ObjectID="_1775045784" r:id="rId230"/>
        </w:object>
      </w:r>
      <w:r w:rsidRPr="005B1FB3">
        <w:rPr>
          <w:lang w:val="en-AU"/>
        </w:rPr>
        <w:t xml:space="preserve"> model form with </w:t>
      </w:r>
      <w:r w:rsidR="00804FF0" w:rsidRPr="00FD3A53">
        <w:rPr>
          <w:position w:val="-10"/>
        </w:rPr>
        <w:object w:dxaOrig="1100" w:dyaOrig="320" w14:anchorId="4E9931B8">
          <v:shape id="_x0000_i1149" type="#_x0000_t75" style="width:54.75pt;height:15.75pt" o:ole="">
            <v:imagedata r:id="rId210" o:title=""/>
          </v:shape>
          <o:OLEObject Type="Embed" ProgID="Equation.DSMT4" ShapeID="_x0000_i1149" DrawAspect="Content" ObjectID="_1775045785" r:id="rId231"/>
        </w:object>
      </w:r>
      <w:r w:rsidRPr="005B1FB3">
        <w:rPr>
          <w:lang w:val="en-AU"/>
        </w:rPr>
        <w:t xml:space="preserve">, </w:t>
      </w:r>
      <w:r w:rsidR="00804FF0" w:rsidRPr="00FD3A53">
        <w:rPr>
          <w:rFonts w:eastAsiaTheme="minorEastAsia"/>
          <w:position w:val="-6"/>
          <w:szCs w:val="24"/>
          <w:lang w:val="en-AU"/>
        </w:rPr>
        <w:object w:dxaOrig="700" w:dyaOrig="279" w14:anchorId="66153FAD">
          <v:shape id="_x0000_i1150" type="#_x0000_t75" style="width:35.25pt;height:14.25pt" o:ole="">
            <v:imagedata r:id="rId212" o:title=""/>
          </v:shape>
          <o:OLEObject Type="Embed" ProgID="Equation.DSMT4" ShapeID="_x0000_i1150" DrawAspect="Content" ObjectID="_1775045786" r:id="rId232"/>
        </w:object>
      </w:r>
      <w:r w:rsidRPr="005B1FB3">
        <w:rPr>
          <w:lang w:val="en-AU"/>
        </w:rPr>
        <w:t xml:space="preserve"> and three choices of </w:t>
      </w:r>
      <w:r w:rsidR="00804FF0">
        <w:rPr>
          <w:lang w:val="en-AU"/>
        </w:rPr>
        <w:br/>
      </w:r>
      <w:r w:rsidR="00804FF0" w:rsidRPr="00025957">
        <w:rPr>
          <w:position w:val="-4"/>
        </w:rPr>
        <w:object w:dxaOrig="180" w:dyaOrig="200" w14:anchorId="5838B5E6">
          <v:shape id="_x0000_i1151" type="#_x0000_t75" style="width:9pt;height:9.75pt" o:ole="">
            <v:imagedata r:id="rId202" o:title=""/>
          </v:shape>
          <o:OLEObject Type="Embed" ProgID="Equation.DSMT4" ShapeID="_x0000_i1151" DrawAspect="Content" ObjectID="_1775045787" r:id="rId233"/>
        </w:object>
      </w:r>
      <w:r w:rsidRPr="005B1FB3">
        <w:rPr>
          <w:lang w:val="en-AU"/>
        </w:rPr>
        <w:t xml:space="preserve">: </w:t>
      </w:r>
      <w:r w:rsidR="00804FF0" w:rsidRPr="00804FF0">
        <w:rPr>
          <w:position w:val="-6"/>
          <w:lang w:val="en-AU"/>
        </w:rPr>
        <w:object w:dxaOrig="720" w:dyaOrig="279" w14:anchorId="12A72188">
          <v:shape id="_x0000_i1152" type="#_x0000_t75" style="width:36pt;height:14.25pt" o:ole="">
            <v:imagedata r:id="rId234" o:title=""/>
          </v:shape>
          <o:OLEObject Type="Embed" ProgID="Equation.DSMT4" ShapeID="_x0000_i1152" DrawAspect="Content" ObjectID="_1775045788" r:id="rId235"/>
        </w:object>
      </w:r>
      <w:r w:rsidR="005A7C49">
        <w:rPr>
          <w:lang w:val="en-AU"/>
        </w:rPr>
        <w:t>;</w:t>
      </w:r>
      <w:r w:rsidR="00804FF0">
        <w:rPr>
          <w:lang w:val="en-AU"/>
        </w:rPr>
        <w:t xml:space="preserve"> </w:t>
      </w:r>
      <w:r w:rsidR="00804FF0" w:rsidRPr="00804FF0">
        <w:rPr>
          <w:position w:val="-6"/>
          <w:lang w:val="en-AU"/>
        </w:rPr>
        <w:object w:dxaOrig="840" w:dyaOrig="279" w14:anchorId="30BE243E">
          <v:shape id="_x0000_i1153" type="#_x0000_t75" style="width:42pt;height:14.25pt" o:ole="">
            <v:imagedata r:id="rId236" o:title=""/>
          </v:shape>
          <o:OLEObject Type="Embed" ProgID="Equation.DSMT4" ShapeID="_x0000_i1153" DrawAspect="Content" ObjectID="_1775045789" r:id="rId237"/>
        </w:object>
      </w:r>
      <w:r w:rsidR="005A7C49">
        <w:rPr>
          <w:lang w:val="en-AU"/>
        </w:rPr>
        <w:t>;</w:t>
      </w:r>
      <w:r w:rsidR="00804FF0">
        <w:rPr>
          <w:lang w:val="en-AU"/>
        </w:rPr>
        <w:t xml:space="preserve"> </w:t>
      </w:r>
      <w:r w:rsidRPr="005B1FB3">
        <w:rPr>
          <w:lang w:val="en-AU"/>
        </w:rPr>
        <w:t>and</w:t>
      </w:r>
      <w:r w:rsidR="00804FF0">
        <w:rPr>
          <w:lang w:val="en-AU"/>
        </w:rPr>
        <w:t xml:space="preserve"> </w:t>
      </w:r>
      <w:r w:rsidR="00804FF0" w:rsidRPr="00804FF0">
        <w:rPr>
          <w:position w:val="-6"/>
          <w:lang w:val="en-AU"/>
        </w:rPr>
        <w:object w:dxaOrig="840" w:dyaOrig="279" w14:anchorId="09811D18">
          <v:shape id="_x0000_i1154" type="#_x0000_t75" style="width:42pt;height:14.25pt" o:ole="">
            <v:imagedata r:id="rId238" o:title=""/>
          </v:shape>
          <o:OLEObject Type="Embed" ProgID="Equation.DSMT4" ShapeID="_x0000_i1154" DrawAspect="Content" ObjectID="_1775045790" r:id="rId239"/>
        </w:object>
      </w:r>
      <w:r w:rsidR="00804FF0">
        <w:rPr>
          <w:lang w:val="en-AU"/>
        </w:rPr>
        <w:t>.</w:t>
      </w:r>
      <w:bookmarkEnd w:id="57"/>
    </w:p>
    <w:p w14:paraId="7FD6DE96" w14:textId="77777777" w:rsidR="005B5818" w:rsidRPr="00C351B7" w:rsidRDefault="00632FF4" w:rsidP="00B60372">
      <w:pPr>
        <w:rPr>
          <w:rFonts w:eastAsiaTheme="minorEastAsia"/>
          <w:lang w:val="en-AU"/>
        </w:rPr>
      </w:pPr>
      <w:r w:rsidRPr="00632FF4">
        <w:rPr>
          <w:noProof/>
          <w:lang w:val="en-AU" w:eastAsia="en-AU"/>
        </w:rPr>
        <w:drawing>
          <wp:inline distT="0" distB="0" distL="0" distR="0" wp14:anchorId="3945C888" wp14:editId="452AE6B1">
            <wp:extent cx="5732145" cy="4039786"/>
            <wp:effectExtent l="0" t="0" r="1905" b="0"/>
            <wp:docPr id="14349" name="Picture 14349" descr="With a decay parameter of r=0.8, C_i(A) increases at an increasing rate from $1,000 (base cost) at C_1(A), to $3,700 at C_20(A). With a decay parameter of r=0.88, C_i(A) increases in a linear fashion from $1,000 (base cost) at C_1(A), to $7,500 at C_20(A). With a decay parameter of r=0.95, C_i(A) increases at a decreasing rate from $1,000 (base cost) at C_1(A), to over $10,000 (maximum value for the y-axis) by C_11(A). " title="Illustration of C_1(A) model form with a=$1,000, B=1.3 and three choices of r: r=0.8; r=0.88; and r =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06"/>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5732145" cy="4039786"/>
                    </a:xfrm>
                    <a:prstGeom prst="rect">
                      <a:avLst/>
                    </a:prstGeom>
                    <a:noFill/>
                    <a:ln>
                      <a:noFill/>
                    </a:ln>
                  </pic:spPr>
                </pic:pic>
              </a:graphicData>
            </a:graphic>
          </wp:inline>
        </w:drawing>
      </w:r>
    </w:p>
    <w:p w14:paraId="71260F3C" w14:textId="77777777" w:rsidR="005B5818" w:rsidRDefault="005B5818" w:rsidP="00B60372">
      <w:pPr>
        <w:keepNext/>
        <w:rPr>
          <w:rFonts w:eastAsiaTheme="minorEastAsia"/>
          <w:szCs w:val="24"/>
          <w:lang w:val="en-AU"/>
        </w:rPr>
      </w:pPr>
      <w:r>
        <w:rPr>
          <w:rFonts w:eastAsiaTheme="minorEastAsia"/>
          <w:szCs w:val="24"/>
          <w:lang w:val="en-AU"/>
        </w:rPr>
        <w:t xml:space="preserve">The geometric mean of a set of numbers can be calculated by taking the logarithm of each number in the set, taking the arithmetic mean of the resulting log values, and transforming the arithmetic mean back using exponentiation. That is, for a set of positive values </w:t>
      </w:r>
      <w:r w:rsidR="00804FF0" w:rsidRPr="00804FF0">
        <w:rPr>
          <w:position w:val="-16"/>
        </w:rPr>
        <w:object w:dxaOrig="1700" w:dyaOrig="440" w14:anchorId="19E0F39D">
          <v:shape id="_x0000_i1155" type="#_x0000_t75" style="width:84.75pt;height:21.75pt" o:ole="">
            <v:imagedata r:id="rId241" o:title=""/>
          </v:shape>
          <o:OLEObject Type="Embed" ProgID="Equation.DSMT4" ShapeID="_x0000_i1155" DrawAspect="Content" ObjectID="_1775045791" r:id="rId242"/>
        </w:object>
      </w:r>
      <w:r>
        <w:rPr>
          <w:rFonts w:eastAsiaTheme="minorEastAsia"/>
          <w:szCs w:val="24"/>
          <w:lang w:val="en-AU"/>
        </w:rPr>
        <w:t>, the following equation shows two equivalent ways of calculating the geometric mean of the set:</w:t>
      </w:r>
    </w:p>
    <w:p w14:paraId="5C235C9E" w14:textId="77777777" w:rsidR="005B5818" w:rsidRDefault="00804FF0" w:rsidP="00B60372">
      <w:pPr>
        <w:pStyle w:val="MTDisplayEquation"/>
        <w:jc w:val="center"/>
        <w:rPr>
          <w:rFonts w:eastAsiaTheme="minorEastAsia"/>
          <w:szCs w:val="24"/>
          <w:lang w:val="en-AU"/>
        </w:rPr>
      </w:pPr>
      <w:r w:rsidRPr="00804FF0">
        <w:rPr>
          <w:position w:val="-38"/>
        </w:rPr>
        <w:object w:dxaOrig="2400" w:dyaOrig="1040" w14:anchorId="65EE834F">
          <v:shape id="_x0000_i1156" type="#_x0000_t75" style="width:120pt;height:51.75pt" o:ole="">
            <v:imagedata r:id="rId243" o:title=""/>
          </v:shape>
          <o:OLEObject Type="Embed" ProgID="Equation.DSMT4" ShapeID="_x0000_i1156" DrawAspect="Content" ObjectID="_1775045792" r:id="rId244"/>
        </w:object>
      </w:r>
    </w:p>
    <w:p w14:paraId="53A501EC" w14:textId="77777777" w:rsidR="005B5818" w:rsidRDefault="005B5818" w:rsidP="00B60372">
      <w:pPr>
        <w:rPr>
          <w:rFonts w:eastAsiaTheme="minorEastAsia"/>
          <w:szCs w:val="24"/>
          <w:lang w:val="en-AU"/>
        </w:rPr>
      </w:pPr>
      <w:r>
        <w:rPr>
          <w:rFonts w:eastAsiaTheme="minorEastAsia"/>
          <w:szCs w:val="24"/>
          <w:lang w:val="en-AU"/>
        </w:rPr>
        <w:t xml:space="preserve">Similar to this relationship between geometric and (transformed) arithmetic means, a model estimating geometric mean costs across the </w:t>
      </w:r>
      <w:r w:rsidR="00804FF0" w:rsidRPr="0084513A">
        <w:rPr>
          <w:position w:val="-14"/>
        </w:rPr>
        <w:object w:dxaOrig="660" w:dyaOrig="400" w14:anchorId="0A304D29">
          <v:shape id="_x0000_i1157" type="#_x0000_t75" style="width:33pt;height:20.25pt" o:ole="">
            <v:imagedata r:id="rId25" o:title=""/>
          </v:shape>
          <o:OLEObject Type="Embed" ProgID="Equation.DSMT4" ShapeID="_x0000_i1157" DrawAspect="Content" ObjectID="_1775045793" r:id="rId245"/>
        </w:object>
      </w:r>
      <w:r>
        <w:rPr>
          <w:rFonts w:eastAsiaTheme="minorEastAsia"/>
          <w:szCs w:val="24"/>
          <w:lang w:val="en-AU"/>
        </w:rPr>
        <w:t xml:space="preserve"> of each ADRG </w:t>
      </w:r>
      <w:r w:rsidR="00804FF0" w:rsidRPr="00025957">
        <w:rPr>
          <w:position w:val="-4"/>
        </w:rPr>
        <w:object w:dxaOrig="240" w:dyaOrig="260" w14:anchorId="7A0CE11A">
          <v:shape id="_x0000_i1158" type="#_x0000_t75" style="width:12pt;height:12.75pt" o:ole="">
            <v:imagedata r:id="rId17" o:title=""/>
          </v:shape>
          <o:OLEObject Type="Embed" ProgID="Equation.DSMT4" ShapeID="_x0000_i1158" DrawAspect="Content" ObjectID="_1775045794" r:id="rId246"/>
        </w:object>
      </w:r>
      <w:r w:rsidR="006400E1">
        <w:t xml:space="preserve"> </w:t>
      </w:r>
      <w:r>
        <w:rPr>
          <w:rFonts w:eastAsiaTheme="minorEastAsia"/>
          <w:szCs w:val="24"/>
          <w:lang w:val="en-AU"/>
        </w:rPr>
        <w:t>can be derived by taking the logarithm of all episode costs, finding a least squares best fit model of the log values, and taking the exponent of the model.</w:t>
      </w:r>
    </w:p>
    <w:p w14:paraId="7C47A37B" w14:textId="77777777" w:rsidR="005B5818" w:rsidRPr="004C334B" w:rsidRDefault="005B5818" w:rsidP="00B60372">
      <w:pPr>
        <w:rPr>
          <w:rFonts w:eastAsiaTheme="minorEastAsia"/>
          <w:szCs w:val="24"/>
          <w:lang w:val="en-AU"/>
        </w:rPr>
      </w:pPr>
      <w:r>
        <w:rPr>
          <w:rFonts w:eastAsiaTheme="minorEastAsia"/>
          <w:szCs w:val="24"/>
          <w:lang w:val="en-AU"/>
        </w:rPr>
        <w:lastRenderedPageBreak/>
        <w:t xml:space="preserve">To minimise the influence of high leverage observations on the estimation of </w:t>
      </w:r>
      <w:r w:rsidR="00804FF0" w:rsidRPr="0084513A">
        <w:rPr>
          <w:position w:val="-14"/>
        </w:rPr>
        <w:object w:dxaOrig="660" w:dyaOrig="400" w14:anchorId="5B24A006">
          <v:shape id="_x0000_i1159" type="#_x0000_t75" style="width:33pt;height:20.25pt" o:ole="">
            <v:imagedata r:id="rId247" o:title=""/>
          </v:shape>
          <o:OLEObject Type="Embed" ProgID="Equation.DSMT4" ShapeID="_x0000_i1159" DrawAspect="Content" ObjectID="_1775045795" r:id="rId248"/>
        </w:object>
      </w:r>
      <w:r>
        <w:rPr>
          <w:rFonts w:eastAsiaTheme="minorEastAsia"/>
          <w:szCs w:val="24"/>
          <w:lang w:val="en-AU"/>
        </w:rPr>
        <w:t xml:space="preserve"> model parameters, data on which they are derived is restricted to episodes containing less than or equal to </w:t>
      </w:r>
      <w:r w:rsidR="00804FF0">
        <w:rPr>
          <w:rFonts w:eastAsiaTheme="minorEastAsia"/>
          <w:szCs w:val="24"/>
          <w:lang w:val="en-AU"/>
        </w:rPr>
        <w:t>20</w:t>
      </w:r>
      <w:r>
        <w:rPr>
          <w:rFonts w:eastAsiaTheme="minorEastAsia"/>
          <w:szCs w:val="24"/>
          <w:lang w:val="en-AU"/>
        </w:rPr>
        <w:t xml:space="preserve"> diagnosis codes; that is, </w:t>
      </w:r>
      <w:r w:rsidR="00804FF0" w:rsidRPr="0084513A">
        <w:rPr>
          <w:position w:val="-14"/>
        </w:rPr>
        <w:object w:dxaOrig="660" w:dyaOrig="400" w14:anchorId="271BF081">
          <v:shape id="_x0000_i1160" type="#_x0000_t75" style="width:33pt;height:20.25pt" o:ole="">
            <v:imagedata r:id="rId25" o:title=""/>
          </v:shape>
          <o:OLEObject Type="Embed" ProgID="Equation.DSMT4" ShapeID="_x0000_i1160" DrawAspect="Content" ObjectID="_1775045796" r:id="rId249"/>
        </w:object>
      </w:r>
      <w:r>
        <w:rPr>
          <w:rFonts w:eastAsiaTheme="minorEastAsia"/>
          <w:szCs w:val="24"/>
          <w:lang w:val="en-AU"/>
        </w:rPr>
        <w:t xml:space="preserve"> where </w:t>
      </w:r>
      <w:r w:rsidR="00F77323" w:rsidRPr="00F77323">
        <w:rPr>
          <w:rFonts w:eastAsiaTheme="minorEastAsia"/>
          <w:position w:val="-10"/>
          <w:szCs w:val="24"/>
          <w:lang w:val="en-AU"/>
        </w:rPr>
        <w:object w:dxaOrig="620" w:dyaOrig="320" w14:anchorId="75E65509">
          <v:shape id="_x0000_i1161" type="#_x0000_t75" style="width:30.75pt;height:15.75pt" o:ole="">
            <v:imagedata r:id="rId250" o:title=""/>
          </v:shape>
          <o:OLEObject Type="Embed" ProgID="Equation.DSMT4" ShapeID="_x0000_i1161" DrawAspect="Content" ObjectID="_1775045797" r:id="rId251"/>
        </w:object>
      </w:r>
      <w:r>
        <w:rPr>
          <w:rFonts w:eastAsiaTheme="minorEastAsia"/>
          <w:szCs w:val="24"/>
          <w:lang w:val="en-AU"/>
        </w:rPr>
        <w:t>.</w:t>
      </w:r>
    </w:p>
    <w:p w14:paraId="6357A356" w14:textId="77777777" w:rsidR="005B5818" w:rsidRDefault="005B5818" w:rsidP="00B60372">
      <w:pPr>
        <w:rPr>
          <w:rFonts w:eastAsiaTheme="minorEastAsia"/>
          <w:szCs w:val="24"/>
          <w:lang w:val="en-AU"/>
        </w:rPr>
      </w:pPr>
      <w:r>
        <w:rPr>
          <w:rFonts w:eastAsiaTheme="minorEastAsia"/>
          <w:szCs w:val="24"/>
          <w:lang w:val="en-AU"/>
        </w:rPr>
        <w:t xml:space="preserve">Since the </w:t>
      </w:r>
      <w:r w:rsidR="00F77323" w:rsidRPr="0084513A">
        <w:rPr>
          <w:position w:val="-14"/>
        </w:rPr>
        <w:object w:dxaOrig="660" w:dyaOrig="400" w14:anchorId="205921BF">
          <v:shape id="_x0000_i1162" type="#_x0000_t75" style="width:33pt;height:20.25pt" o:ole="">
            <v:imagedata r:id="rId247" o:title=""/>
          </v:shape>
          <o:OLEObject Type="Embed" ProgID="Equation.DSMT4" ShapeID="_x0000_i1162" DrawAspect="Content" ObjectID="_1775045798" r:id="rId252"/>
        </w:object>
      </w:r>
      <w:r w:rsidRPr="004C334B">
        <w:rPr>
          <w:rFonts w:eastAsiaTheme="minorEastAsia"/>
          <w:szCs w:val="24"/>
          <w:lang w:val="en-AU"/>
        </w:rPr>
        <w:t xml:space="preserve"> models are </w:t>
      </w:r>
      <w:r>
        <w:rPr>
          <w:rFonts w:eastAsiaTheme="minorEastAsia"/>
          <w:szCs w:val="24"/>
          <w:lang w:val="en-AU"/>
        </w:rPr>
        <w:t>defined to have a decayed multiplicative form</w:t>
      </w:r>
      <w:r w:rsidR="00F77323">
        <w:rPr>
          <w:rFonts w:eastAsiaTheme="minorEastAsia"/>
          <w:szCs w:val="24"/>
          <w:lang w:val="en-AU"/>
        </w:rPr>
        <w:t xml:space="preserve"> </w:t>
      </w:r>
      <w:r w:rsidR="00706E5D" w:rsidRPr="00F77323">
        <w:rPr>
          <w:rFonts w:eastAsiaTheme="minorEastAsia"/>
          <w:position w:val="-12"/>
          <w:szCs w:val="24"/>
          <w:lang w:val="en-AU"/>
        </w:rPr>
        <w:object w:dxaOrig="1760" w:dyaOrig="580" w14:anchorId="16707062">
          <v:shape id="_x0000_i1163" type="#_x0000_t75" style="width:105.75pt;height:35.25pt" o:ole="">
            <v:imagedata r:id="rId253" o:title=""/>
          </v:shape>
          <o:OLEObject Type="Embed" ProgID="Equation.DSMT4" ShapeID="_x0000_i1163" DrawAspect="Content" ObjectID="_1775045799" r:id="rId254"/>
        </w:object>
      </w:r>
      <w:r>
        <w:rPr>
          <w:rFonts w:eastAsiaTheme="minorEastAsia"/>
          <w:szCs w:val="24"/>
          <w:lang w:val="en-AU"/>
        </w:rPr>
        <w:t>, the log-transformed models have the form:</w:t>
      </w:r>
    </w:p>
    <w:p w14:paraId="34220B9C" w14:textId="77777777" w:rsidR="005B5818" w:rsidRPr="007F0C74" w:rsidRDefault="00F77323" w:rsidP="00B60372">
      <w:pPr>
        <w:jc w:val="center"/>
        <w:rPr>
          <w:rFonts w:eastAsiaTheme="minorEastAsia"/>
          <w:szCs w:val="24"/>
          <w:lang w:val="en-AU"/>
        </w:rPr>
      </w:pPr>
      <w:r w:rsidRPr="00F77323">
        <w:rPr>
          <w:rFonts w:eastAsiaTheme="minorEastAsia"/>
          <w:position w:val="-76"/>
          <w:szCs w:val="24"/>
          <w:lang w:val="en-AU"/>
        </w:rPr>
        <w:object w:dxaOrig="3700" w:dyaOrig="1640" w14:anchorId="72942AD4">
          <v:shape id="_x0000_i1164" type="#_x0000_t75" style="width:185.25pt;height:81.75pt" o:ole="">
            <v:imagedata r:id="rId255" o:title=""/>
          </v:shape>
          <o:OLEObject Type="Embed" ProgID="Equation.DSMT4" ShapeID="_x0000_i1164" DrawAspect="Content" ObjectID="_1775045800" r:id="rId256"/>
        </w:object>
      </w:r>
    </w:p>
    <w:p w14:paraId="192432B2" w14:textId="77777777" w:rsidR="005B5818" w:rsidRPr="000E56B3" w:rsidRDefault="005B5818" w:rsidP="00B60372">
      <w:pPr>
        <w:rPr>
          <w:rFonts w:eastAsiaTheme="minorEastAsia"/>
          <w:szCs w:val="24"/>
          <w:lang w:val="en-AU"/>
        </w:rPr>
      </w:pPr>
      <w:r>
        <w:rPr>
          <w:rFonts w:eastAsiaTheme="minorEastAsia"/>
          <w:szCs w:val="24"/>
          <w:lang w:val="en-AU"/>
        </w:rPr>
        <w:t xml:space="preserve">Since these log-transformed models have a decayed linear (or additive) form as opposed to a simple linear form, numerical methods are used to find a least-squares best fit solution for each ADRG. The solutions are then transformed back to their original multiplicative form using </w:t>
      </w:r>
      <w:r w:rsidRPr="00194F6D">
        <w:rPr>
          <w:rFonts w:eastAsiaTheme="minorEastAsia"/>
          <w:szCs w:val="24"/>
          <w:lang w:val="en-AU"/>
        </w:rPr>
        <w:t>exponentiation.</w:t>
      </w:r>
      <w:r>
        <w:rPr>
          <w:rFonts w:eastAsiaTheme="minorEastAsia"/>
          <w:szCs w:val="24"/>
          <w:lang w:val="en-AU"/>
        </w:rPr>
        <w:t xml:space="preserve"> To illustrate the result of this process,</w:t>
      </w:r>
      <w:r w:rsidRPr="00194F6D">
        <w:rPr>
          <w:rFonts w:eastAsiaTheme="minorEastAsia"/>
          <w:szCs w:val="24"/>
          <w:lang w:val="en-AU"/>
        </w:rPr>
        <w:t xml:space="preserve"> </w:t>
      </w:r>
      <w:r w:rsidR="00CC0F16">
        <w:fldChar w:fldCharType="begin"/>
      </w:r>
      <w:r w:rsidR="00CC0F16">
        <w:instrText xml:space="preserve"> REF _Ref390954416 \h  \* MERGEFORMAT </w:instrText>
      </w:r>
      <w:r w:rsidR="00CC0F16">
        <w:fldChar w:fldCharType="separate"/>
      </w:r>
      <w:r w:rsidR="0031717B" w:rsidRPr="0031717B">
        <w:rPr>
          <w:szCs w:val="24"/>
        </w:rPr>
        <w:t>Figure 9</w:t>
      </w:r>
      <w:r w:rsidR="00CC0F16">
        <w:fldChar w:fldCharType="end"/>
      </w:r>
      <w:r w:rsidRPr="00194F6D">
        <w:rPr>
          <w:rFonts w:eastAsiaTheme="minorEastAsia"/>
          <w:szCs w:val="24"/>
          <w:lang w:val="en-AU"/>
        </w:rPr>
        <w:t xml:space="preserve"> shows</w:t>
      </w:r>
      <w:r>
        <w:rPr>
          <w:rFonts w:eastAsiaTheme="minorEastAsia"/>
          <w:szCs w:val="24"/>
          <w:lang w:val="en-AU"/>
        </w:rPr>
        <w:t xml:space="preserve"> the decayed multiplicative model</w:t>
      </w:r>
      <w:r w:rsidR="00F77323">
        <w:rPr>
          <w:rFonts w:eastAsiaTheme="minorEastAsia"/>
          <w:szCs w:val="24"/>
          <w:lang w:val="en-AU"/>
        </w:rPr>
        <w:t xml:space="preserve"> </w:t>
      </w:r>
      <w:r w:rsidR="00F77323" w:rsidRPr="00F77323">
        <w:rPr>
          <w:position w:val="-12"/>
        </w:rPr>
        <w:object w:dxaOrig="880" w:dyaOrig="360" w14:anchorId="393BEEF1">
          <v:shape id="_x0000_i1165" type="#_x0000_t75" style="width:44.25pt;height:18pt" o:ole="">
            <v:imagedata r:id="rId257" o:title=""/>
          </v:shape>
          <o:OLEObject Type="Embed" ProgID="Equation.DSMT4" ShapeID="_x0000_i1165" DrawAspect="Content" ObjectID="_1775045801" r:id="rId258"/>
        </w:object>
      </w:r>
      <w:r>
        <w:rPr>
          <w:rFonts w:eastAsiaTheme="minorEastAsia"/>
          <w:szCs w:val="24"/>
          <w:lang w:val="en-AU"/>
        </w:rPr>
        <w:t xml:space="preserve"> along with the geometric mean cost of </w:t>
      </w:r>
      <w:r w:rsidR="00425DFD">
        <w:rPr>
          <w:rFonts w:eastAsiaTheme="minorEastAsia"/>
          <w:szCs w:val="24"/>
          <w:lang w:val="en-AU"/>
        </w:rPr>
        <w:t>each</w:t>
      </w:r>
      <w:r w:rsidR="00F77323" w:rsidRPr="00F77323">
        <w:rPr>
          <w:position w:val="-12"/>
        </w:rPr>
        <w:object w:dxaOrig="880" w:dyaOrig="360" w14:anchorId="4B4A6AFE">
          <v:shape id="_x0000_i1166" type="#_x0000_t75" style="width:44.25pt;height:18pt" o:ole="">
            <v:imagedata r:id="rId259" o:title=""/>
          </v:shape>
          <o:OLEObject Type="Embed" ProgID="Equation.DSMT4" ShapeID="_x0000_i1166" DrawAspect="Content" ObjectID="_1775045802" r:id="rId260"/>
        </w:object>
      </w:r>
      <w:r w:rsidR="002E583B">
        <w:rPr>
          <w:rFonts w:eastAsiaTheme="minorEastAsia"/>
          <w:szCs w:val="24"/>
          <w:lang w:val="en-AU"/>
        </w:rPr>
        <w:t xml:space="preserve">. </w:t>
      </w:r>
    </w:p>
    <w:p w14:paraId="1CB99408" w14:textId="77777777" w:rsidR="005B5818" w:rsidRPr="00345541" w:rsidRDefault="005B5818" w:rsidP="00B60372">
      <w:pPr>
        <w:pStyle w:val="Caption"/>
      </w:pPr>
      <w:bookmarkStart w:id="58" w:name="_Ref390954416"/>
      <w:bookmarkStart w:id="59" w:name="_Toc401061062"/>
      <w:r w:rsidRPr="00345541">
        <w:lastRenderedPageBreak/>
        <w:t xml:space="preserve">Figure </w:t>
      </w:r>
      <w:r w:rsidR="005559F5" w:rsidRPr="00345541">
        <w:fldChar w:fldCharType="begin"/>
      </w:r>
      <w:r w:rsidRPr="00345541">
        <w:instrText xml:space="preserve"> SEQ Figure \* ARABIC </w:instrText>
      </w:r>
      <w:r w:rsidR="005559F5" w:rsidRPr="00345541">
        <w:fldChar w:fldCharType="separate"/>
      </w:r>
      <w:r w:rsidR="0031717B">
        <w:rPr>
          <w:noProof/>
        </w:rPr>
        <w:t>9</w:t>
      </w:r>
      <w:r w:rsidR="005559F5" w:rsidRPr="00345541">
        <w:fldChar w:fldCharType="end"/>
      </w:r>
      <w:bookmarkEnd w:id="58"/>
      <w:r w:rsidRPr="00345541">
        <w:t xml:space="preserve">: </w:t>
      </w:r>
      <w:r>
        <w:t>T</w:t>
      </w:r>
      <w:r w:rsidRPr="00345541">
        <w:t xml:space="preserve">he decayed multiplicative </w:t>
      </w:r>
      <w:r>
        <w:t xml:space="preserve">model </w:t>
      </w:r>
      <w:r w:rsidR="00F77323" w:rsidRPr="00F77323">
        <w:rPr>
          <w:position w:val="-12"/>
        </w:rPr>
        <w:object w:dxaOrig="880" w:dyaOrig="360" w14:anchorId="00F76B24">
          <v:shape id="_x0000_i1167" type="#_x0000_t75" style="width:44.25pt;height:18pt" o:ole="">
            <v:imagedata r:id="rId257" o:title=""/>
          </v:shape>
          <o:OLEObject Type="Embed" ProgID="Equation.DSMT4" ShapeID="_x0000_i1167" DrawAspect="Content" ObjectID="_1775045803" r:id="rId261"/>
        </w:object>
      </w:r>
      <w:r w:rsidRPr="00345541">
        <w:t xml:space="preserve"> </w:t>
      </w:r>
      <w:r>
        <w:t xml:space="preserve">together </w:t>
      </w:r>
      <w:r w:rsidRPr="00345541">
        <w:t xml:space="preserve">with </w:t>
      </w:r>
      <w:r>
        <w:t xml:space="preserve">the </w:t>
      </w:r>
      <w:r w:rsidRPr="00345541">
        <w:t>geometr</w:t>
      </w:r>
      <w:r>
        <w:t xml:space="preserve">ic mean cost of each ADRG profile </w:t>
      </w:r>
      <w:r w:rsidR="00F77323" w:rsidRPr="00F77323">
        <w:rPr>
          <w:position w:val="-12"/>
        </w:rPr>
        <w:object w:dxaOrig="880" w:dyaOrig="360" w14:anchorId="2ED607E4">
          <v:shape id="_x0000_i1168" type="#_x0000_t75" style="width:44.25pt;height:18pt" o:ole="">
            <v:imagedata r:id="rId259" o:title=""/>
          </v:shape>
          <o:OLEObject Type="Embed" ProgID="Equation.DSMT4" ShapeID="_x0000_i1168" DrawAspect="Content" ObjectID="_1775045804" r:id="rId262"/>
        </w:object>
      </w:r>
      <w:r w:rsidR="00F77323">
        <w:t>.</w:t>
      </w:r>
      <w:bookmarkEnd w:id="59"/>
    </w:p>
    <w:p w14:paraId="1670C7AF" w14:textId="77777777" w:rsidR="005B5818" w:rsidRDefault="00632FF4" w:rsidP="00B60372">
      <w:pPr>
        <w:rPr>
          <w:rFonts w:eastAsiaTheme="minorEastAsia"/>
          <w:szCs w:val="24"/>
          <w:lang w:val="en-AU"/>
        </w:rPr>
      </w:pPr>
      <w:r w:rsidRPr="00632FF4">
        <w:rPr>
          <w:noProof/>
          <w:lang w:val="en-AU" w:eastAsia="en-AU"/>
        </w:rPr>
        <w:drawing>
          <wp:inline distT="0" distB="0" distL="0" distR="0" wp14:anchorId="63F97810" wp14:editId="747FF907">
            <wp:extent cx="5760000" cy="4059414"/>
            <wp:effectExtent l="0" t="0" r="0" b="0"/>
            <wp:docPr id="14350" name="Picture 14350" descr="The figure shows a positive linear relationship between the mean cost of C_i(G03) and the number of diagnoses (i=1,...,20). This relationship is shown to correspond closely to that of the geometric mean cost E_i(G03) for values of i less than 10. For values of i greater or equal to 10, there are increasingly lower sample sizes and thus a higher level of variance between the mean costs of E_i(G03) and the geometric mean costs." title="The decayed multiplicative model C_i(F03) together with the geometric mean cost of each ADRG profile E_i(G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07"/>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5760000" cy="4059414"/>
                    </a:xfrm>
                    <a:prstGeom prst="rect">
                      <a:avLst/>
                    </a:prstGeom>
                    <a:noFill/>
                    <a:ln>
                      <a:noFill/>
                    </a:ln>
                  </pic:spPr>
                </pic:pic>
              </a:graphicData>
            </a:graphic>
          </wp:inline>
        </w:drawing>
      </w:r>
    </w:p>
    <w:p w14:paraId="7FA930B4" w14:textId="77777777" w:rsidR="0083600C" w:rsidRDefault="0083600C" w:rsidP="00B60372">
      <w:pPr>
        <w:rPr>
          <w:rFonts w:eastAsiaTheme="minorEastAsia"/>
          <w:szCs w:val="24"/>
          <w:lang w:val="en-AU"/>
        </w:rPr>
      </w:pPr>
      <w:r>
        <w:rPr>
          <w:rFonts w:eastAsiaTheme="minorEastAsia"/>
          <w:szCs w:val="24"/>
          <w:lang w:val="en-AU"/>
        </w:rPr>
        <w:fldChar w:fldCharType="begin"/>
      </w:r>
      <w:r>
        <w:rPr>
          <w:rFonts w:eastAsiaTheme="minorEastAsia"/>
          <w:szCs w:val="24"/>
          <w:lang w:val="en-AU"/>
        </w:rPr>
        <w:instrText xml:space="preserve"> REF _Ref396895904 \h </w:instrText>
      </w:r>
      <w:r>
        <w:rPr>
          <w:rFonts w:eastAsiaTheme="minorEastAsia"/>
          <w:szCs w:val="24"/>
          <w:lang w:val="en-AU"/>
        </w:rPr>
      </w:r>
      <w:r>
        <w:rPr>
          <w:rFonts w:eastAsiaTheme="minorEastAsia"/>
          <w:szCs w:val="24"/>
          <w:lang w:val="en-AU"/>
        </w:rPr>
        <w:fldChar w:fldCharType="separate"/>
      </w:r>
      <w:r w:rsidR="0031717B" w:rsidRPr="001956F2">
        <w:t xml:space="preserve">Table </w:t>
      </w:r>
      <w:r w:rsidR="0031717B">
        <w:rPr>
          <w:noProof/>
        </w:rPr>
        <w:t>2</w:t>
      </w:r>
      <w:r>
        <w:rPr>
          <w:rFonts w:eastAsiaTheme="minorEastAsia"/>
          <w:szCs w:val="24"/>
          <w:lang w:val="en-AU"/>
        </w:rPr>
        <w:fldChar w:fldCharType="end"/>
      </w:r>
      <w:r>
        <w:rPr>
          <w:rFonts w:eastAsiaTheme="minorEastAsia"/>
          <w:szCs w:val="24"/>
          <w:lang w:val="en-AU"/>
        </w:rPr>
        <w:t xml:space="preserve"> provides the values of </w:t>
      </w:r>
      <w:r w:rsidRPr="00F77323">
        <w:rPr>
          <w:position w:val="-12"/>
        </w:rPr>
        <w:object w:dxaOrig="880" w:dyaOrig="360" w14:anchorId="6C8189C3">
          <v:shape id="_x0000_i1169" type="#_x0000_t75" style="width:44.25pt;height:18pt" o:ole="">
            <v:imagedata r:id="rId257" o:title=""/>
          </v:shape>
          <o:OLEObject Type="Embed" ProgID="Equation.DSMT4" ShapeID="_x0000_i1169" DrawAspect="Content" ObjectID="_1775045805" r:id="rId264"/>
        </w:object>
      </w:r>
      <w:r>
        <w:rPr>
          <w:rFonts w:eastAsiaTheme="minorEastAsia"/>
          <w:szCs w:val="24"/>
          <w:lang w:val="en-AU"/>
        </w:rPr>
        <w:t>,</w:t>
      </w:r>
      <w:r w:rsidRPr="00F77323">
        <w:rPr>
          <w:position w:val="-12"/>
        </w:rPr>
        <w:object w:dxaOrig="880" w:dyaOrig="360" w14:anchorId="408EE05F">
          <v:shape id="_x0000_i1170" type="#_x0000_t75" style="width:44.25pt;height:18pt" o:ole="">
            <v:imagedata r:id="rId259" o:title=""/>
          </v:shape>
          <o:OLEObject Type="Embed" ProgID="Equation.DSMT4" ShapeID="_x0000_i1170" DrawAspect="Content" ObjectID="_1775045806" r:id="rId265"/>
        </w:object>
      </w:r>
      <w:r>
        <w:rPr>
          <w:rFonts w:eastAsiaTheme="minorEastAsia"/>
          <w:szCs w:val="24"/>
          <w:lang w:val="en-AU"/>
        </w:rPr>
        <w:t xml:space="preserve">, and the proportional variation of </w:t>
      </w:r>
      <w:r w:rsidRPr="00F77323">
        <w:rPr>
          <w:position w:val="-12"/>
        </w:rPr>
        <w:object w:dxaOrig="880" w:dyaOrig="360" w14:anchorId="444270F5">
          <v:shape id="_x0000_i1171" type="#_x0000_t75" style="width:44.25pt;height:18pt" o:ole="">
            <v:imagedata r:id="rId257" o:title=""/>
          </v:shape>
          <o:OLEObject Type="Embed" ProgID="Equation.DSMT4" ShapeID="_x0000_i1171" DrawAspect="Content" ObjectID="_1775045807" r:id="rId266"/>
        </w:object>
      </w:r>
      <w:r>
        <w:rPr>
          <w:rFonts w:eastAsiaTheme="minorEastAsia"/>
          <w:szCs w:val="24"/>
          <w:lang w:val="en-AU"/>
        </w:rPr>
        <w:t xml:space="preserve"> </w:t>
      </w:r>
      <w:proofErr w:type="spellStart"/>
      <w:r>
        <w:rPr>
          <w:rFonts w:eastAsiaTheme="minorEastAsia"/>
          <w:szCs w:val="24"/>
          <w:lang w:val="en-AU"/>
        </w:rPr>
        <w:t>to</w:t>
      </w:r>
      <w:proofErr w:type="spellEnd"/>
      <w:r>
        <w:rPr>
          <w:rFonts w:eastAsiaTheme="minorEastAsia"/>
          <w:szCs w:val="24"/>
          <w:lang w:val="en-AU"/>
        </w:rPr>
        <w:t xml:space="preserve"> </w:t>
      </w:r>
      <w:r w:rsidRPr="00F77323">
        <w:rPr>
          <w:position w:val="-12"/>
        </w:rPr>
        <w:object w:dxaOrig="880" w:dyaOrig="360" w14:anchorId="43F435AE">
          <v:shape id="_x0000_i1172" type="#_x0000_t75" style="width:44.25pt;height:18pt" o:ole="">
            <v:imagedata r:id="rId259" o:title=""/>
          </v:shape>
          <o:OLEObject Type="Embed" ProgID="Equation.DSMT4" ShapeID="_x0000_i1172" DrawAspect="Content" ObjectID="_1775045808" r:id="rId267"/>
        </w:object>
      </w:r>
      <w:r>
        <w:rPr>
          <w:rFonts w:eastAsiaTheme="minorEastAsia"/>
          <w:szCs w:val="24"/>
          <w:lang w:val="en-AU"/>
        </w:rPr>
        <w:t xml:space="preserve"> for each value of </w:t>
      </w:r>
      <w:r w:rsidRPr="00F77323">
        <w:rPr>
          <w:rFonts w:eastAsiaTheme="minorEastAsia"/>
          <w:position w:val="-6"/>
          <w:szCs w:val="24"/>
          <w:lang w:val="en-AU"/>
        </w:rPr>
        <w:object w:dxaOrig="139" w:dyaOrig="260" w14:anchorId="0ABC236A">
          <v:shape id="_x0000_i1173" type="#_x0000_t75" style="width:6.75pt;height:12.75pt" o:ole="">
            <v:imagedata r:id="rId268" o:title=""/>
          </v:shape>
          <o:OLEObject Type="Embed" ProgID="Equation.DSMT4" ShapeID="_x0000_i1173" DrawAspect="Content" ObjectID="_1775045809" r:id="rId269"/>
        </w:object>
      </w:r>
      <w:r>
        <w:rPr>
          <w:rFonts w:eastAsiaTheme="minorEastAsia"/>
          <w:szCs w:val="24"/>
          <w:lang w:val="en-AU"/>
        </w:rPr>
        <w:t xml:space="preserve">. The approximated parameters of </w:t>
      </w:r>
      <w:r w:rsidRPr="00F77323">
        <w:rPr>
          <w:position w:val="-12"/>
        </w:rPr>
        <w:object w:dxaOrig="880" w:dyaOrig="360" w14:anchorId="6EA74CC2">
          <v:shape id="_x0000_i1174" type="#_x0000_t75" style="width:44.25pt;height:18pt" o:ole="">
            <v:imagedata r:id="rId257" o:title=""/>
          </v:shape>
          <o:OLEObject Type="Embed" ProgID="Equation.DSMT4" ShapeID="_x0000_i1174" DrawAspect="Content" ObjectID="_1775045810" r:id="rId270"/>
        </w:object>
      </w:r>
      <w:r>
        <w:rPr>
          <w:rFonts w:eastAsiaTheme="minorEastAsia"/>
          <w:szCs w:val="24"/>
          <w:lang w:val="en-AU"/>
        </w:rPr>
        <w:t xml:space="preserve"> are </w:t>
      </w:r>
      <w:r w:rsidRPr="00F77323">
        <w:rPr>
          <w:rFonts w:eastAsiaTheme="minorEastAsia"/>
          <w:position w:val="-10"/>
          <w:szCs w:val="24"/>
          <w:lang w:val="en-AU"/>
        </w:rPr>
        <w:object w:dxaOrig="1120" w:dyaOrig="320" w14:anchorId="2338919C">
          <v:shape id="_x0000_i1175" type="#_x0000_t75" style="width:56.25pt;height:15.75pt" o:ole="">
            <v:imagedata r:id="rId271" o:title=""/>
          </v:shape>
          <o:OLEObject Type="Embed" ProgID="Equation.DSMT4" ShapeID="_x0000_i1175" DrawAspect="Content" ObjectID="_1775045811" r:id="rId272"/>
        </w:object>
      </w:r>
      <w:r>
        <w:rPr>
          <w:rFonts w:eastAsiaTheme="minorEastAsia"/>
          <w:szCs w:val="24"/>
          <w:lang w:val="en-AU"/>
        </w:rPr>
        <w:t xml:space="preserve">, </w:t>
      </w:r>
      <w:r w:rsidRPr="00F77323">
        <w:rPr>
          <w:rFonts w:eastAsiaTheme="minorEastAsia"/>
          <w:position w:val="-6"/>
          <w:szCs w:val="24"/>
          <w:lang w:val="en-AU"/>
        </w:rPr>
        <w:object w:dxaOrig="820" w:dyaOrig="279" w14:anchorId="4C36CD23">
          <v:shape id="_x0000_i1176" type="#_x0000_t75" style="width:41.25pt;height:14.25pt" o:ole="">
            <v:imagedata r:id="rId273" o:title=""/>
          </v:shape>
          <o:OLEObject Type="Embed" ProgID="Equation.DSMT4" ShapeID="_x0000_i1176" DrawAspect="Content" ObjectID="_1775045812" r:id="rId274"/>
        </w:object>
      </w:r>
      <w:r>
        <w:rPr>
          <w:rFonts w:eastAsiaTheme="minorEastAsia"/>
          <w:szCs w:val="24"/>
          <w:lang w:val="en-AU"/>
        </w:rPr>
        <w:t xml:space="preserve"> and </w:t>
      </w:r>
      <w:r w:rsidRPr="00F77323">
        <w:rPr>
          <w:rFonts w:eastAsiaTheme="minorEastAsia"/>
          <w:position w:val="-6"/>
          <w:szCs w:val="24"/>
          <w:lang w:val="en-AU"/>
        </w:rPr>
        <w:object w:dxaOrig="840" w:dyaOrig="279" w14:anchorId="6D688BC8">
          <v:shape id="_x0000_i1177" type="#_x0000_t75" style="width:42pt;height:14.25pt" o:ole="">
            <v:imagedata r:id="rId275" o:title=""/>
          </v:shape>
          <o:OLEObject Type="Embed" ProgID="Equation.DSMT4" ShapeID="_x0000_i1177" DrawAspect="Content" ObjectID="_1775045813" r:id="rId276"/>
        </w:object>
      </w:r>
      <w:r>
        <w:rPr>
          <w:rFonts w:eastAsiaTheme="minorEastAsia"/>
          <w:szCs w:val="24"/>
          <w:lang w:val="en-AU"/>
        </w:rPr>
        <w:t>; that is,</w:t>
      </w:r>
    </w:p>
    <w:p w14:paraId="18BE6912" w14:textId="77777777" w:rsidR="0083600C" w:rsidRDefault="0083600C" w:rsidP="00B60372">
      <w:pPr>
        <w:pStyle w:val="MTDisplayEquation"/>
        <w:jc w:val="center"/>
      </w:pPr>
      <w:r w:rsidRPr="00F77323">
        <w:rPr>
          <w:position w:val="-14"/>
        </w:rPr>
        <w:object w:dxaOrig="3240" w:dyaOrig="600" w14:anchorId="5EC77037">
          <v:shape id="_x0000_i1178" type="#_x0000_t75" style="width:209.25pt;height:39pt" o:ole="">
            <v:imagedata r:id="rId277" o:title=""/>
          </v:shape>
          <o:OLEObject Type="Embed" ProgID="Equation.DSMT4" ShapeID="_x0000_i1178" DrawAspect="Content" ObjectID="_1775045814" r:id="rId278"/>
        </w:object>
      </w:r>
    </w:p>
    <w:p w14:paraId="5BD19ECB" w14:textId="77777777" w:rsidR="0083600C" w:rsidRPr="0083600C" w:rsidRDefault="0083600C" w:rsidP="00B60372">
      <w:pPr>
        <w:keepLines/>
        <w:spacing w:before="360"/>
        <w:rPr>
          <w:rFonts w:eastAsiaTheme="minorEastAsia"/>
          <w:lang w:val="en-AU"/>
        </w:rPr>
      </w:pPr>
      <w:r>
        <w:fldChar w:fldCharType="begin"/>
      </w:r>
      <w:r>
        <w:instrText xml:space="preserve"> REF _Ref390965586 \h  \* MERGEFORMAT </w:instrText>
      </w:r>
      <w:r>
        <w:fldChar w:fldCharType="separate"/>
      </w:r>
      <w:r w:rsidR="0031717B" w:rsidRPr="00D87E24">
        <w:t xml:space="preserve">Figure </w:t>
      </w:r>
      <w:r w:rsidR="0031717B">
        <w:t>10</w:t>
      </w:r>
      <w:r>
        <w:fldChar w:fldCharType="end"/>
      </w:r>
      <w:r w:rsidRPr="008A1F7B">
        <w:rPr>
          <w:rFonts w:eastAsiaTheme="minorEastAsia"/>
          <w:lang w:val="en-AU"/>
        </w:rPr>
        <w:t xml:space="preserve"> and </w:t>
      </w:r>
      <w:r>
        <w:fldChar w:fldCharType="begin"/>
      </w:r>
      <w:r>
        <w:instrText xml:space="preserve"> REF _Ref390965587 \h  \* MERGEFORMAT </w:instrText>
      </w:r>
      <w:r>
        <w:fldChar w:fldCharType="separate"/>
      </w:r>
      <w:r w:rsidR="0031717B" w:rsidRPr="00D87E24">
        <w:t xml:space="preserve">Figure </w:t>
      </w:r>
      <w:r w:rsidR="0031717B">
        <w:t>11</w:t>
      </w:r>
      <w:r>
        <w:fldChar w:fldCharType="end"/>
      </w:r>
      <w:r w:rsidRPr="008A1F7B">
        <w:rPr>
          <w:rFonts w:eastAsiaTheme="minorEastAsia"/>
          <w:lang w:val="en-AU"/>
        </w:rPr>
        <w:t xml:space="preserve"> </w:t>
      </w:r>
      <w:r>
        <w:rPr>
          <w:rFonts w:eastAsiaTheme="minorEastAsia"/>
          <w:lang w:val="en-AU"/>
        </w:rPr>
        <w:t xml:space="preserve">respectively </w:t>
      </w:r>
      <w:r w:rsidRPr="008A1F7B">
        <w:rPr>
          <w:rFonts w:eastAsiaTheme="minorEastAsia"/>
          <w:lang w:val="en-AU"/>
        </w:rPr>
        <w:t>show the di</w:t>
      </w:r>
      <w:r>
        <w:rPr>
          <w:rFonts w:eastAsiaTheme="minorEastAsia"/>
          <w:lang w:val="en-AU"/>
        </w:rPr>
        <w:t xml:space="preserve">stributions of </w:t>
      </w:r>
      <w:r w:rsidRPr="00974730">
        <w:rPr>
          <w:position w:val="-14"/>
        </w:rPr>
        <w:object w:dxaOrig="660" w:dyaOrig="400" w14:anchorId="2428D1DD">
          <v:shape id="_x0000_i1179" type="#_x0000_t75" style="width:33pt;height:20.25pt" o:ole="">
            <v:imagedata r:id="rId279" o:title=""/>
          </v:shape>
          <o:OLEObject Type="Embed" ProgID="Equation.DSMT4" ShapeID="_x0000_i1179" DrawAspect="Content" ObjectID="_1775045815" r:id="rId280"/>
        </w:object>
      </w:r>
      <w:r>
        <w:rPr>
          <w:rFonts w:eastAsiaTheme="minorEastAsia"/>
          <w:lang w:val="en-AU"/>
        </w:rPr>
        <w:t xml:space="preserve"> relative change and decay parameters </w:t>
      </w:r>
      <w:r w:rsidRPr="00905110">
        <w:rPr>
          <w:rFonts w:eastAsiaTheme="minorEastAsia"/>
          <w:lang w:val="en-AU"/>
        </w:rPr>
        <w:t xml:space="preserve">across ADRGs, and </w:t>
      </w:r>
      <w:r>
        <w:fldChar w:fldCharType="begin"/>
      </w:r>
      <w:r>
        <w:instrText xml:space="preserve"> REF _Ref390965737 \h  \* MERGEFORMAT </w:instrText>
      </w:r>
      <w:r>
        <w:fldChar w:fldCharType="separate"/>
      </w:r>
      <w:r w:rsidR="0031717B" w:rsidRPr="00D87E24">
        <w:t xml:space="preserve">Figure </w:t>
      </w:r>
      <w:r w:rsidR="0031717B">
        <w:rPr>
          <w:noProof/>
        </w:rPr>
        <w:t>12</w:t>
      </w:r>
      <w:r>
        <w:fldChar w:fldCharType="end"/>
      </w:r>
      <w:r w:rsidRPr="00905110">
        <w:rPr>
          <w:rFonts w:eastAsiaTheme="minorEastAsia"/>
          <w:lang w:val="en-AU"/>
        </w:rPr>
        <w:t xml:space="preserve"> </w:t>
      </w:r>
      <w:r>
        <w:rPr>
          <w:rFonts w:eastAsiaTheme="minorEastAsia"/>
          <w:lang w:val="en-AU"/>
        </w:rPr>
        <w:t xml:space="preserve">displays a scatter plot showing the joint distribution of the two parameters. </w:t>
      </w:r>
      <w:r>
        <w:fldChar w:fldCharType="begin"/>
      </w:r>
      <w:r>
        <w:instrText xml:space="preserve"> REF _Ref390965737 \h  \* MERGEFORMAT </w:instrText>
      </w:r>
      <w:r>
        <w:fldChar w:fldCharType="separate"/>
      </w:r>
      <w:r w:rsidR="0031717B" w:rsidRPr="00D87E24">
        <w:t xml:space="preserve">Figure </w:t>
      </w:r>
      <w:r w:rsidR="0031717B">
        <w:rPr>
          <w:noProof/>
        </w:rPr>
        <w:t>12</w:t>
      </w:r>
      <w:r>
        <w:fldChar w:fldCharType="end"/>
      </w:r>
      <w:r w:rsidRPr="00905110">
        <w:rPr>
          <w:rFonts w:eastAsiaTheme="minorEastAsia"/>
          <w:lang w:val="en-AU"/>
        </w:rPr>
        <w:t xml:space="preserve"> </w:t>
      </w:r>
      <w:r>
        <w:rPr>
          <w:rFonts w:eastAsiaTheme="minorEastAsia"/>
          <w:lang w:val="en-AU"/>
        </w:rPr>
        <w:t xml:space="preserve">shows a strong negative correlation between the relative change and decay parameters of </w:t>
      </w:r>
      <w:r w:rsidRPr="00974730">
        <w:rPr>
          <w:position w:val="-14"/>
        </w:rPr>
        <w:object w:dxaOrig="660" w:dyaOrig="400" w14:anchorId="4D07C3A1">
          <v:shape id="_x0000_i1180" type="#_x0000_t75" style="width:33pt;height:20.25pt" o:ole="">
            <v:imagedata r:id="rId281" o:title=""/>
          </v:shape>
          <o:OLEObject Type="Embed" ProgID="Equation.DSMT4" ShapeID="_x0000_i1180" DrawAspect="Content" ObjectID="_1775045816" r:id="rId282"/>
        </w:object>
      </w:r>
      <w:r>
        <w:rPr>
          <w:rFonts w:eastAsiaTheme="minorEastAsia"/>
          <w:lang w:val="en-AU"/>
        </w:rPr>
        <w:t>, that demonstrates the way in which higher levels of growth are offset by higher levels of decay.</w:t>
      </w:r>
    </w:p>
    <w:p w14:paraId="13C5C7FC" w14:textId="77777777" w:rsidR="006B6EDB" w:rsidRPr="001956F2" w:rsidRDefault="001956F2" w:rsidP="00B60372">
      <w:pPr>
        <w:pStyle w:val="Caption"/>
      </w:pPr>
      <w:bookmarkStart w:id="60" w:name="_Ref396895904"/>
      <w:bookmarkStart w:id="61" w:name="_Toc401061089"/>
      <w:r w:rsidRPr="001956F2">
        <w:lastRenderedPageBreak/>
        <w:t xml:space="preserve">Table </w:t>
      </w:r>
      <w:r w:rsidRPr="001956F2">
        <w:fldChar w:fldCharType="begin"/>
      </w:r>
      <w:r w:rsidRPr="001956F2">
        <w:instrText xml:space="preserve"> SEQ Table \* ARABIC </w:instrText>
      </w:r>
      <w:r w:rsidRPr="001956F2">
        <w:fldChar w:fldCharType="separate"/>
      </w:r>
      <w:r w:rsidR="0031717B">
        <w:rPr>
          <w:noProof/>
        </w:rPr>
        <w:t>2</w:t>
      </w:r>
      <w:r w:rsidRPr="001956F2">
        <w:fldChar w:fldCharType="end"/>
      </w:r>
      <w:bookmarkEnd w:id="60"/>
      <w:r w:rsidRPr="001956F2">
        <w:t xml:space="preserve">: The decayed multiplicative model </w:t>
      </w:r>
      <w:r w:rsidR="00F77323" w:rsidRPr="00F77323">
        <w:rPr>
          <w:position w:val="-12"/>
        </w:rPr>
        <w:object w:dxaOrig="880" w:dyaOrig="360" w14:anchorId="3DE8E81B">
          <v:shape id="_x0000_i1181" type="#_x0000_t75" style="width:44.25pt;height:18pt" o:ole="">
            <v:imagedata r:id="rId257" o:title=""/>
          </v:shape>
          <o:OLEObject Type="Embed" ProgID="Equation.DSMT4" ShapeID="_x0000_i1181" DrawAspect="Content" ObjectID="_1775045817" r:id="rId283"/>
        </w:object>
      </w:r>
      <w:r w:rsidRPr="001956F2">
        <w:t>together with the geometric mean cost of each ADRG profile</w:t>
      </w:r>
      <w:r w:rsidR="00F77323" w:rsidRPr="00F77323">
        <w:rPr>
          <w:position w:val="-12"/>
        </w:rPr>
        <w:object w:dxaOrig="880" w:dyaOrig="360" w14:anchorId="2B1D2DE0">
          <v:shape id="_x0000_i1182" type="#_x0000_t75" style="width:44.25pt;height:18pt" o:ole="">
            <v:imagedata r:id="rId259" o:title=""/>
          </v:shape>
          <o:OLEObject Type="Embed" ProgID="Equation.DSMT4" ShapeID="_x0000_i1182" DrawAspect="Content" ObjectID="_1775045818" r:id="rId284"/>
        </w:object>
      </w:r>
      <w:r w:rsidR="00706E5D">
        <w:t>.</w:t>
      </w:r>
      <w:bookmarkEnd w:id="61"/>
    </w:p>
    <w:tbl>
      <w:tblPr>
        <w:tblStyle w:val="Style1"/>
        <w:tblW w:w="9127" w:type="dxa"/>
        <w:tblLook w:val="0460" w:firstRow="1" w:lastRow="1" w:firstColumn="0" w:lastColumn="0" w:noHBand="0" w:noVBand="1"/>
        <w:tblCaption w:val="The decayed multiplicative model C_i (G03) together with the geometric mean cost of each ADRG profile E_i (G03)"/>
        <w:tblDescription w:val="The table has four columns: the first column lists each ADRG profile E_i(G03) (with sample size in closed brackets) for i=1,...,20; the second column provides the value of the decayed multiplicative model C_i(G03) at each profile E_i(G03); the third column provides the value of the geometric mean cost of each profile E_i(G03); the fourth column shows the proportional variation of the decayed multiplicative model to the geometric mean cost. "/>
      </w:tblPr>
      <w:tblGrid>
        <w:gridCol w:w="2268"/>
        <w:gridCol w:w="1984"/>
        <w:gridCol w:w="2147"/>
        <w:gridCol w:w="2728"/>
      </w:tblGrid>
      <w:tr w:rsidR="002E583B" w:rsidRPr="006B6EDB" w14:paraId="3AB70FF4" w14:textId="77777777" w:rsidTr="00721499">
        <w:trPr>
          <w:cnfStyle w:val="100000000000" w:firstRow="1" w:lastRow="0" w:firstColumn="0" w:lastColumn="0" w:oddVBand="0" w:evenVBand="0" w:oddHBand="0" w:evenHBand="0" w:firstRowFirstColumn="0" w:firstRowLastColumn="0" w:lastRowFirstColumn="0" w:lastRowLastColumn="0"/>
          <w:trHeight w:val="290"/>
          <w:tblHeader/>
        </w:trPr>
        <w:tc>
          <w:tcPr>
            <w:tcW w:w="2268" w:type="dxa"/>
            <w:noWrap/>
            <w:hideMark/>
          </w:tcPr>
          <w:p w14:paraId="2595DA27" w14:textId="77777777" w:rsidR="002E583B" w:rsidRPr="006B6EDB" w:rsidRDefault="00F77323" w:rsidP="00B60372">
            <w:pPr>
              <w:pStyle w:val="Table"/>
            </w:pPr>
            <w:r w:rsidRPr="00F77323">
              <w:rPr>
                <w:b w:val="0"/>
                <w:position w:val="-12"/>
              </w:rPr>
              <w:object w:dxaOrig="880" w:dyaOrig="360" w14:anchorId="1975AA97">
                <v:shape id="_x0000_i1183" type="#_x0000_t75" style="width:44.25pt;height:18pt" o:ole="">
                  <v:imagedata r:id="rId259" o:title=""/>
                </v:shape>
                <o:OLEObject Type="Embed" ProgID="Equation.DSMT4" ShapeID="_x0000_i1183" DrawAspect="Content" ObjectID="_1775045819" r:id="rId285"/>
              </w:object>
            </w:r>
            <w:r w:rsidR="002E583B" w:rsidRPr="006B6EDB">
              <w:t xml:space="preserve"> subset (sample size)</w:t>
            </w:r>
          </w:p>
        </w:tc>
        <w:tc>
          <w:tcPr>
            <w:tcW w:w="1984" w:type="dxa"/>
            <w:noWrap/>
            <w:hideMark/>
          </w:tcPr>
          <w:p w14:paraId="00DEC836" w14:textId="77777777" w:rsidR="002E583B" w:rsidRPr="006B6EDB" w:rsidRDefault="00F77323" w:rsidP="00B60372">
            <w:pPr>
              <w:pStyle w:val="Table"/>
            </w:pPr>
            <w:r w:rsidRPr="00F77323">
              <w:rPr>
                <w:b w:val="0"/>
                <w:position w:val="-12"/>
              </w:rPr>
              <w:object w:dxaOrig="880" w:dyaOrig="360" w14:anchorId="521E2FE2">
                <v:shape id="_x0000_i1184" type="#_x0000_t75" style="width:44.25pt;height:18pt" o:ole="">
                  <v:imagedata r:id="rId257" o:title=""/>
                </v:shape>
                <o:OLEObject Type="Embed" ProgID="Equation.DSMT4" ShapeID="_x0000_i1184" DrawAspect="Content" ObjectID="_1775045820" r:id="rId286"/>
              </w:object>
            </w:r>
          </w:p>
        </w:tc>
        <w:tc>
          <w:tcPr>
            <w:tcW w:w="2147" w:type="dxa"/>
            <w:noWrap/>
            <w:hideMark/>
          </w:tcPr>
          <w:p w14:paraId="7DB38260" w14:textId="77777777" w:rsidR="002E583B" w:rsidRPr="006B6EDB" w:rsidRDefault="00F77323" w:rsidP="00B60372">
            <w:pPr>
              <w:pStyle w:val="Table"/>
            </w:pPr>
            <w:r w:rsidRPr="00F77323">
              <w:rPr>
                <w:b w:val="0"/>
                <w:position w:val="-12"/>
              </w:rPr>
              <w:object w:dxaOrig="880" w:dyaOrig="360" w14:anchorId="6B1FC073">
                <v:shape id="_x0000_i1185" type="#_x0000_t75" style="width:44.25pt;height:18pt" o:ole="">
                  <v:imagedata r:id="rId259" o:title=""/>
                </v:shape>
                <o:OLEObject Type="Embed" ProgID="Equation.DSMT4" ShapeID="_x0000_i1185" DrawAspect="Content" ObjectID="_1775045821" r:id="rId287"/>
              </w:object>
            </w:r>
            <w:r w:rsidR="002E583B" w:rsidRPr="006B6EDB">
              <w:t>geometric mean cost</w:t>
            </w:r>
          </w:p>
        </w:tc>
        <w:tc>
          <w:tcPr>
            <w:tcW w:w="2728" w:type="dxa"/>
            <w:noWrap/>
            <w:hideMark/>
          </w:tcPr>
          <w:p w14:paraId="6A9D9702" w14:textId="77777777" w:rsidR="002E583B" w:rsidRPr="006B6EDB" w:rsidRDefault="00425DFD" w:rsidP="00B60372">
            <w:pPr>
              <w:pStyle w:val="Table"/>
            </w:pPr>
            <w:r>
              <w:t xml:space="preserve">Proportional variation of </w:t>
            </w:r>
            <w:r w:rsidR="00F77323" w:rsidRPr="00F77323">
              <w:rPr>
                <w:b w:val="0"/>
                <w:position w:val="-12"/>
              </w:rPr>
              <w:object w:dxaOrig="880" w:dyaOrig="360" w14:anchorId="3C26E354">
                <v:shape id="_x0000_i1186" type="#_x0000_t75" style="width:44.25pt;height:18pt" o:ole="">
                  <v:imagedata r:id="rId257" o:title=""/>
                </v:shape>
                <o:OLEObject Type="Embed" ProgID="Equation.DSMT4" ShapeID="_x0000_i1186" DrawAspect="Content" ObjectID="_1775045822" r:id="rId288"/>
              </w:object>
            </w:r>
            <w:r>
              <w:t xml:space="preserve"> </w:t>
            </w:r>
            <w:r>
              <w:rPr>
                <w:rFonts w:eastAsiaTheme="minorEastAsia"/>
              </w:rPr>
              <w:t xml:space="preserve">to </w:t>
            </w:r>
            <w:r w:rsidR="00F77323" w:rsidRPr="00F77323">
              <w:rPr>
                <w:b w:val="0"/>
                <w:position w:val="-12"/>
              </w:rPr>
              <w:object w:dxaOrig="880" w:dyaOrig="360" w14:anchorId="3AEBE88E">
                <v:shape id="_x0000_i1187" type="#_x0000_t75" style="width:44.25pt;height:18pt" o:ole="">
                  <v:imagedata r:id="rId259" o:title=""/>
                </v:shape>
                <o:OLEObject Type="Embed" ProgID="Equation.DSMT4" ShapeID="_x0000_i1187" DrawAspect="Content" ObjectID="_1775045823" r:id="rId289"/>
              </w:object>
            </w:r>
          </w:p>
        </w:tc>
      </w:tr>
      <w:tr w:rsidR="002E583B" w:rsidRPr="006B6EDB" w14:paraId="4C2F1247" w14:textId="77777777" w:rsidTr="00721499">
        <w:trPr>
          <w:trHeight w:val="290"/>
        </w:trPr>
        <w:tc>
          <w:tcPr>
            <w:tcW w:w="2268" w:type="dxa"/>
            <w:noWrap/>
            <w:hideMark/>
          </w:tcPr>
          <w:p w14:paraId="1BEBD085" w14:textId="77777777" w:rsidR="002E583B" w:rsidRPr="006B6EDB" w:rsidRDefault="002E583B" w:rsidP="002F7E33">
            <w:pPr>
              <w:pStyle w:val="Table"/>
              <w:keepNext/>
            </w:pPr>
            <w:r w:rsidRPr="006B6EDB">
              <w:t>1 (2,142)</w:t>
            </w:r>
          </w:p>
        </w:tc>
        <w:tc>
          <w:tcPr>
            <w:tcW w:w="1984" w:type="dxa"/>
            <w:noWrap/>
            <w:hideMark/>
          </w:tcPr>
          <w:p w14:paraId="40AB3FBB" w14:textId="77777777" w:rsidR="002E583B" w:rsidRPr="006B6EDB" w:rsidRDefault="002E583B" w:rsidP="00B60372">
            <w:pPr>
              <w:pStyle w:val="TableNumber"/>
            </w:pPr>
            <w:r w:rsidRPr="006B6EDB">
              <w:t>$8,268</w:t>
            </w:r>
          </w:p>
        </w:tc>
        <w:tc>
          <w:tcPr>
            <w:tcW w:w="2147" w:type="dxa"/>
            <w:noWrap/>
            <w:hideMark/>
          </w:tcPr>
          <w:p w14:paraId="04B8B25E" w14:textId="77777777" w:rsidR="002E583B" w:rsidRPr="006B6EDB" w:rsidRDefault="002E583B" w:rsidP="00B60372">
            <w:pPr>
              <w:pStyle w:val="TableNumber"/>
            </w:pPr>
            <w:r w:rsidRPr="006B6EDB">
              <w:t>$8,755</w:t>
            </w:r>
          </w:p>
        </w:tc>
        <w:tc>
          <w:tcPr>
            <w:tcW w:w="2728" w:type="dxa"/>
            <w:noWrap/>
            <w:hideMark/>
          </w:tcPr>
          <w:p w14:paraId="3C9F73ED" w14:textId="77777777" w:rsidR="002E583B" w:rsidRPr="006B6EDB" w:rsidRDefault="00F575D7" w:rsidP="00B60372">
            <w:pPr>
              <w:pStyle w:val="TableNumber"/>
            </w:pPr>
            <w:r>
              <w:t>+</w:t>
            </w:r>
            <w:r w:rsidR="002E583B" w:rsidRPr="00F725AB">
              <w:t>6%</w:t>
            </w:r>
          </w:p>
        </w:tc>
      </w:tr>
      <w:tr w:rsidR="002E583B" w:rsidRPr="006B6EDB" w14:paraId="23CD335C" w14:textId="77777777" w:rsidTr="00721499">
        <w:trPr>
          <w:trHeight w:val="290"/>
        </w:trPr>
        <w:tc>
          <w:tcPr>
            <w:tcW w:w="2268" w:type="dxa"/>
            <w:noWrap/>
            <w:hideMark/>
          </w:tcPr>
          <w:p w14:paraId="44DD1D10" w14:textId="77777777" w:rsidR="002E583B" w:rsidRPr="006B6EDB" w:rsidRDefault="002E583B" w:rsidP="002F7E33">
            <w:pPr>
              <w:pStyle w:val="Table"/>
              <w:keepNext/>
            </w:pPr>
            <w:r w:rsidRPr="006B6EDB">
              <w:t>2 (1,945)</w:t>
            </w:r>
          </w:p>
        </w:tc>
        <w:tc>
          <w:tcPr>
            <w:tcW w:w="1984" w:type="dxa"/>
            <w:noWrap/>
            <w:hideMark/>
          </w:tcPr>
          <w:p w14:paraId="71B0BE89" w14:textId="77777777" w:rsidR="002E583B" w:rsidRPr="006B6EDB" w:rsidRDefault="002E583B" w:rsidP="00B60372">
            <w:pPr>
              <w:pStyle w:val="TableNumber"/>
            </w:pPr>
            <w:r w:rsidRPr="006B6EDB">
              <w:t>$11,333</w:t>
            </w:r>
          </w:p>
        </w:tc>
        <w:tc>
          <w:tcPr>
            <w:tcW w:w="2147" w:type="dxa"/>
            <w:noWrap/>
            <w:hideMark/>
          </w:tcPr>
          <w:p w14:paraId="248A71CD" w14:textId="77777777" w:rsidR="002E583B" w:rsidRPr="006B6EDB" w:rsidRDefault="002E583B" w:rsidP="00B60372">
            <w:pPr>
              <w:pStyle w:val="TableNumber"/>
            </w:pPr>
            <w:r w:rsidRPr="006B6EDB">
              <w:t>$10,889</w:t>
            </w:r>
          </w:p>
        </w:tc>
        <w:tc>
          <w:tcPr>
            <w:tcW w:w="2728" w:type="dxa"/>
            <w:noWrap/>
            <w:hideMark/>
          </w:tcPr>
          <w:p w14:paraId="6E3C8BD4" w14:textId="77777777" w:rsidR="002E583B" w:rsidRPr="006B6EDB" w:rsidRDefault="002E583B" w:rsidP="00B60372">
            <w:pPr>
              <w:pStyle w:val="TableNumber"/>
            </w:pPr>
            <w:r w:rsidRPr="00F725AB">
              <w:t>-4%</w:t>
            </w:r>
          </w:p>
        </w:tc>
      </w:tr>
      <w:tr w:rsidR="002E583B" w:rsidRPr="006B6EDB" w14:paraId="41EE1DA3" w14:textId="77777777" w:rsidTr="00721499">
        <w:trPr>
          <w:trHeight w:val="290"/>
        </w:trPr>
        <w:tc>
          <w:tcPr>
            <w:tcW w:w="2268" w:type="dxa"/>
            <w:noWrap/>
            <w:hideMark/>
          </w:tcPr>
          <w:p w14:paraId="12382744" w14:textId="77777777" w:rsidR="002E583B" w:rsidRPr="006B6EDB" w:rsidRDefault="002E583B" w:rsidP="002F7E33">
            <w:pPr>
              <w:pStyle w:val="Table"/>
              <w:keepNext/>
            </w:pPr>
            <w:r w:rsidRPr="006B6EDB">
              <w:t>3 (1,293)</w:t>
            </w:r>
          </w:p>
        </w:tc>
        <w:tc>
          <w:tcPr>
            <w:tcW w:w="1984" w:type="dxa"/>
            <w:noWrap/>
            <w:hideMark/>
          </w:tcPr>
          <w:p w14:paraId="0F472330" w14:textId="77777777" w:rsidR="002E583B" w:rsidRPr="006B6EDB" w:rsidRDefault="002E583B" w:rsidP="00B60372">
            <w:pPr>
              <w:pStyle w:val="TableNumber"/>
            </w:pPr>
            <w:r w:rsidRPr="006B6EDB">
              <w:t>$14,822</w:t>
            </w:r>
          </w:p>
        </w:tc>
        <w:tc>
          <w:tcPr>
            <w:tcW w:w="2147" w:type="dxa"/>
            <w:noWrap/>
            <w:hideMark/>
          </w:tcPr>
          <w:p w14:paraId="371DA6DB" w14:textId="77777777" w:rsidR="002E583B" w:rsidRPr="006B6EDB" w:rsidRDefault="002E583B" w:rsidP="00B60372">
            <w:pPr>
              <w:pStyle w:val="TableNumber"/>
            </w:pPr>
            <w:r w:rsidRPr="006B6EDB">
              <w:t>$14,422</w:t>
            </w:r>
          </w:p>
        </w:tc>
        <w:tc>
          <w:tcPr>
            <w:tcW w:w="2728" w:type="dxa"/>
            <w:noWrap/>
            <w:hideMark/>
          </w:tcPr>
          <w:p w14:paraId="0796DECD" w14:textId="77777777" w:rsidR="002E583B" w:rsidRPr="006B6EDB" w:rsidRDefault="002E583B" w:rsidP="00B60372">
            <w:pPr>
              <w:pStyle w:val="TableNumber"/>
            </w:pPr>
            <w:r w:rsidRPr="00F725AB">
              <w:t>-3%</w:t>
            </w:r>
          </w:p>
        </w:tc>
      </w:tr>
      <w:tr w:rsidR="002E583B" w:rsidRPr="006B6EDB" w14:paraId="406BCC60" w14:textId="77777777" w:rsidTr="00721499">
        <w:trPr>
          <w:trHeight w:val="290"/>
        </w:trPr>
        <w:tc>
          <w:tcPr>
            <w:tcW w:w="2268" w:type="dxa"/>
            <w:noWrap/>
            <w:hideMark/>
          </w:tcPr>
          <w:p w14:paraId="66F3D4C6" w14:textId="77777777" w:rsidR="002E583B" w:rsidRPr="006B6EDB" w:rsidRDefault="002E583B" w:rsidP="002F7E33">
            <w:pPr>
              <w:pStyle w:val="Table"/>
              <w:keepNext/>
            </w:pPr>
            <w:r w:rsidRPr="006B6EDB">
              <w:t>4 (982)</w:t>
            </w:r>
          </w:p>
        </w:tc>
        <w:tc>
          <w:tcPr>
            <w:tcW w:w="1984" w:type="dxa"/>
            <w:noWrap/>
            <w:hideMark/>
          </w:tcPr>
          <w:p w14:paraId="3336929D" w14:textId="77777777" w:rsidR="002E583B" w:rsidRPr="006B6EDB" w:rsidRDefault="002E583B" w:rsidP="00B60372">
            <w:pPr>
              <w:pStyle w:val="TableNumber"/>
            </w:pPr>
            <w:r w:rsidRPr="006B6EDB">
              <w:t>$18,626</w:t>
            </w:r>
          </w:p>
        </w:tc>
        <w:tc>
          <w:tcPr>
            <w:tcW w:w="2147" w:type="dxa"/>
            <w:noWrap/>
            <w:hideMark/>
          </w:tcPr>
          <w:p w14:paraId="4FA34CFA" w14:textId="77777777" w:rsidR="002E583B" w:rsidRPr="006B6EDB" w:rsidRDefault="002E583B" w:rsidP="00B60372">
            <w:pPr>
              <w:pStyle w:val="TableNumber"/>
            </w:pPr>
            <w:r w:rsidRPr="006B6EDB">
              <w:t>$19,346</w:t>
            </w:r>
          </w:p>
        </w:tc>
        <w:tc>
          <w:tcPr>
            <w:tcW w:w="2728" w:type="dxa"/>
            <w:noWrap/>
            <w:hideMark/>
          </w:tcPr>
          <w:p w14:paraId="46CCF8A6" w14:textId="77777777" w:rsidR="002E583B" w:rsidRPr="006B6EDB" w:rsidRDefault="00F575D7" w:rsidP="00B60372">
            <w:pPr>
              <w:pStyle w:val="TableNumber"/>
            </w:pPr>
            <w:r>
              <w:t>+</w:t>
            </w:r>
            <w:r w:rsidR="002E583B" w:rsidRPr="00F725AB">
              <w:t>4%</w:t>
            </w:r>
          </w:p>
        </w:tc>
      </w:tr>
      <w:tr w:rsidR="002E583B" w:rsidRPr="006B6EDB" w14:paraId="265705C3" w14:textId="77777777" w:rsidTr="00721499">
        <w:trPr>
          <w:trHeight w:val="290"/>
        </w:trPr>
        <w:tc>
          <w:tcPr>
            <w:tcW w:w="2268" w:type="dxa"/>
            <w:noWrap/>
            <w:hideMark/>
          </w:tcPr>
          <w:p w14:paraId="028C5113" w14:textId="77777777" w:rsidR="002E583B" w:rsidRPr="006B6EDB" w:rsidRDefault="002E583B" w:rsidP="002F7E33">
            <w:pPr>
              <w:pStyle w:val="Table"/>
              <w:keepNext/>
            </w:pPr>
            <w:r w:rsidRPr="006B6EDB">
              <w:t>5 (640)</w:t>
            </w:r>
          </w:p>
        </w:tc>
        <w:tc>
          <w:tcPr>
            <w:tcW w:w="1984" w:type="dxa"/>
            <w:noWrap/>
            <w:hideMark/>
          </w:tcPr>
          <w:p w14:paraId="5C0F0358" w14:textId="77777777" w:rsidR="002E583B" w:rsidRPr="006B6EDB" w:rsidRDefault="002E583B" w:rsidP="00B60372">
            <w:pPr>
              <w:pStyle w:val="TableNumber"/>
            </w:pPr>
            <w:r w:rsidRPr="006B6EDB">
              <w:t>$22,623</w:t>
            </w:r>
          </w:p>
        </w:tc>
        <w:tc>
          <w:tcPr>
            <w:tcW w:w="2147" w:type="dxa"/>
            <w:noWrap/>
            <w:hideMark/>
          </w:tcPr>
          <w:p w14:paraId="47001EB6" w14:textId="77777777" w:rsidR="002E583B" w:rsidRPr="006B6EDB" w:rsidRDefault="002E583B" w:rsidP="00B60372">
            <w:pPr>
              <w:pStyle w:val="TableNumber"/>
            </w:pPr>
            <w:r w:rsidRPr="006B6EDB">
              <w:t>$23,156</w:t>
            </w:r>
          </w:p>
        </w:tc>
        <w:tc>
          <w:tcPr>
            <w:tcW w:w="2728" w:type="dxa"/>
            <w:noWrap/>
            <w:hideMark/>
          </w:tcPr>
          <w:p w14:paraId="6AA7117E" w14:textId="77777777" w:rsidR="002E583B" w:rsidRPr="006B6EDB" w:rsidRDefault="00F575D7" w:rsidP="00B60372">
            <w:pPr>
              <w:pStyle w:val="TableNumber"/>
            </w:pPr>
            <w:r>
              <w:t>+</w:t>
            </w:r>
            <w:r w:rsidR="002E583B" w:rsidRPr="00F725AB">
              <w:t>2%</w:t>
            </w:r>
          </w:p>
        </w:tc>
      </w:tr>
      <w:tr w:rsidR="002E583B" w:rsidRPr="006B6EDB" w14:paraId="064B18BE" w14:textId="77777777" w:rsidTr="00721499">
        <w:trPr>
          <w:trHeight w:val="290"/>
        </w:trPr>
        <w:tc>
          <w:tcPr>
            <w:tcW w:w="2268" w:type="dxa"/>
            <w:noWrap/>
            <w:hideMark/>
          </w:tcPr>
          <w:p w14:paraId="7384CE65" w14:textId="77777777" w:rsidR="002E583B" w:rsidRPr="006B6EDB" w:rsidRDefault="002E583B" w:rsidP="002F7E33">
            <w:pPr>
              <w:pStyle w:val="Table"/>
              <w:keepNext/>
            </w:pPr>
            <w:r w:rsidRPr="006B6EDB">
              <w:t>6 (510)</w:t>
            </w:r>
          </w:p>
        </w:tc>
        <w:tc>
          <w:tcPr>
            <w:tcW w:w="1984" w:type="dxa"/>
            <w:noWrap/>
            <w:hideMark/>
          </w:tcPr>
          <w:p w14:paraId="48EF009C" w14:textId="77777777" w:rsidR="002E583B" w:rsidRPr="006B6EDB" w:rsidRDefault="002E583B" w:rsidP="00B60372">
            <w:pPr>
              <w:pStyle w:val="TableNumber"/>
            </w:pPr>
            <w:r w:rsidRPr="006B6EDB">
              <w:t>$26,694</w:t>
            </w:r>
          </w:p>
        </w:tc>
        <w:tc>
          <w:tcPr>
            <w:tcW w:w="2147" w:type="dxa"/>
            <w:noWrap/>
            <w:hideMark/>
          </w:tcPr>
          <w:p w14:paraId="13F74DB2" w14:textId="77777777" w:rsidR="002E583B" w:rsidRPr="006B6EDB" w:rsidRDefault="002E583B" w:rsidP="00B60372">
            <w:pPr>
              <w:pStyle w:val="TableNumber"/>
            </w:pPr>
            <w:r w:rsidRPr="006B6EDB">
              <w:t>$26,267</w:t>
            </w:r>
          </w:p>
        </w:tc>
        <w:tc>
          <w:tcPr>
            <w:tcW w:w="2728" w:type="dxa"/>
            <w:noWrap/>
            <w:hideMark/>
          </w:tcPr>
          <w:p w14:paraId="116C6428" w14:textId="77777777" w:rsidR="002E583B" w:rsidRPr="006B6EDB" w:rsidRDefault="002E583B" w:rsidP="00B60372">
            <w:pPr>
              <w:pStyle w:val="TableNumber"/>
            </w:pPr>
            <w:r w:rsidRPr="00F725AB">
              <w:t>-2%</w:t>
            </w:r>
          </w:p>
        </w:tc>
      </w:tr>
      <w:tr w:rsidR="002E583B" w:rsidRPr="006B6EDB" w14:paraId="14735378" w14:textId="77777777" w:rsidTr="00721499">
        <w:trPr>
          <w:trHeight w:val="290"/>
        </w:trPr>
        <w:tc>
          <w:tcPr>
            <w:tcW w:w="2268" w:type="dxa"/>
            <w:noWrap/>
            <w:hideMark/>
          </w:tcPr>
          <w:p w14:paraId="0A00EC12" w14:textId="77777777" w:rsidR="002E583B" w:rsidRPr="006B6EDB" w:rsidRDefault="002E583B" w:rsidP="002F7E33">
            <w:pPr>
              <w:pStyle w:val="Table"/>
              <w:keepNext/>
            </w:pPr>
            <w:r w:rsidRPr="006B6EDB">
              <w:t>7 (375)</w:t>
            </w:r>
          </w:p>
        </w:tc>
        <w:tc>
          <w:tcPr>
            <w:tcW w:w="1984" w:type="dxa"/>
            <w:noWrap/>
            <w:hideMark/>
          </w:tcPr>
          <w:p w14:paraId="606D271C" w14:textId="77777777" w:rsidR="002E583B" w:rsidRPr="006B6EDB" w:rsidRDefault="002E583B" w:rsidP="00B60372">
            <w:pPr>
              <w:pStyle w:val="TableNumber"/>
            </w:pPr>
            <w:r w:rsidRPr="006B6EDB">
              <w:t>$30,731</w:t>
            </w:r>
          </w:p>
        </w:tc>
        <w:tc>
          <w:tcPr>
            <w:tcW w:w="2147" w:type="dxa"/>
            <w:noWrap/>
            <w:hideMark/>
          </w:tcPr>
          <w:p w14:paraId="56823C54" w14:textId="77777777" w:rsidR="002E583B" w:rsidRPr="006B6EDB" w:rsidRDefault="002E583B" w:rsidP="00B60372">
            <w:pPr>
              <w:pStyle w:val="TableNumber"/>
            </w:pPr>
            <w:r w:rsidRPr="006B6EDB">
              <w:t>$32,412</w:t>
            </w:r>
          </w:p>
        </w:tc>
        <w:tc>
          <w:tcPr>
            <w:tcW w:w="2728" w:type="dxa"/>
            <w:noWrap/>
            <w:hideMark/>
          </w:tcPr>
          <w:p w14:paraId="5D515694" w14:textId="77777777" w:rsidR="002E583B" w:rsidRPr="006B6EDB" w:rsidRDefault="00F575D7" w:rsidP="00B60372">
            <w:pPr>
              <w:pStyle w:val="TableNumber"/>
            </w:pPr>
            <w:r>
              <w:t>+</w:t>
            </w:r>
            <w:r w:rsidR="002E583B" w:rsidRPr="00F725AB">
              <w:t>5%</w:t>
            </w:r>
          </w:p>
        </w:tc>
      </w:tr>
      <w:tr w:rsidR="002E583B" w:rsidRPr="006B6EDB" w14:paraId="6F719331" w14:textId="77777777" w:rsidTr="00721499">
        <w:trPr>
          <w:trHeight w:val="290"/>
        </w:trPr>
        <w:tc>
          <w:tcPr>
            <w:tcW w:w="2268" w:type="dxa"/>
            <w:noWrap/>
            <w:hideMark/>
          </w:tcPr>
          <w:p w14:paraId="2755E50F" w14:textId="77777777" w:rsidR="002E583B" w:rsidRPr="006B6EDB" w:rsidRDefault="002E583B" w:rsidP="002F7E33">
            <w:pPr>
              <w:pStyle w:val="Table"/>
              <w:keepNext/>
            </w:pPr>
            <w:r w:rsidRPr="006B6EDB">
              <w:t>8 (308)</w:t>
            </w:r>
          </w:p>
        </w:tc>
        <w:tc>
          <w:tcPr>
            <w:tcW w:w="1984" w:type="dxa"/>
            <w:noWrap/>
            <w:hideMark/>
          </w:tcPr>
          <w:p w14:paraId="25412859" w14:textId="77777777" w:rsidR="002E583B" w:rsidRPr="006B6EDB" w:rsidRDefault="002E583B" w:rsidP="00B60372">
            <w:pPr>
              <w:pStyle w:val="TableNumber"/>
            </w:pPr>
            <w:r w:rsidRPr="006B6EDB">
              <w:t>$34,645</w:t>
            </w:r>
          </w:p>
        </w:tc>
        <w:tc>
          <w:tcPr>
            <w:tcW w:w="2147" w:type="dxa"/>
            <w:noWrap/>
            <w:hideMark/>
          </w:tcPr>
          <w:p w14:paraId="4FB5A523" w14:textId="77777777" w:rsidR="002E583B" w:rsidRPr="006B6EDB" w:rsidRDefault="002E583B" w:rsidP="00B60372">
            <w:pPr>
              <w:pStyle w:val="TableNumber"/>
            </w:pPr>
            <w:r w:rsidRPr="006B6EDB">
              <w:t>$32,918</w:t>
            </w:r>
          </w:p>
        </w:tc>
        <w:tc>
          <w:tcPr>
            <w:tcW w:w="2728" w:type="dxa"/>
            <w:noWrap/>
            <w:hideMark/>
          </w:tcPr>
          <w:p w14:paraId="068D2282" w14:textId="77777777" w:rsidR="002E583B" w:rsidRPr="006B6EDB" w:rsidRDefault="002E583B" w:rsidP="00B60372">
            <w:pPr>
              <w:pStyle w:val="TableNumber"/>
            </w:pPr>
            <w:r w:rsidRPr="00F725AB">
              <w:t>-5%</w:t>
            </w:r>
          </w:p>
        </w:tc>
      </w:tr>
      <w:tr w:rsidR="002E583B" w:rsidRPr="006B6EDB" w14:paraId="150234B7" w14:textId="77777777" w:rsidTr="00721499">
        <w:trPr>
          <w:trHeight w:val="290"/>
        </w:trPr>
        <w:tc>
          <w:tcPr>
            <w:tcW w:w="2268" w:type="dxa"/>
            <w:noWrap/>
            <w:hideMark/>
          </w:tcPr>
          <w:p w14:paraId="7328A0F4" w14:textId="77777777" w:rsidR="002E583B" w:rsidRPr="006B6EDB" w:rsidRDefault="002E583B" w:rsidP="002F7E33">
            <w:pPr>
              <w:pStyle w:val="Table"/>
              <w:keepNext/>
            </w:pPr>
            <w:r w:rsidRPr="006B6EDB">
              <w:t>9 (228)</w:t>
            </w:r>
          </w:p>
        </w:tc>
        <w:tc>
          <w:tcPr>
            <w:tcW w:w="1984" w:type="dxa"/>
            <w:noWrap/>
            <w:hideMark/>
          </w:tcPr>
          <w:p w14:paraId="78B3AF0B" w14:textId="77777777" w:rsidR="002E583B" w:rsidRPr="006B6EDB" w:rsidRDefault="002E583B" w:rsidP="00B60372">
            <w:pPr>
              <w:pStyle w:val="TableNumber"/>
            </w:pPr>
            <w:r w:rsidRPr="006B6EDB">
              <w:t>$38,367</w:t>
            </w:r>
          </w:p>
        </w:tc>
        <w:tc>
          <w:tcPr>
            <w:tcW w:w="2147" w:type="dxa"/>
            <w:noWrap/>
            <w:hideMark/>
          </w:tcPr>
          <w:p w14:paraId="204F2352" w14:textId="77777777" w:rsidR="002E583B" w:rsidRPr="006B6EDB" w:rsidRDefault="002E583B" w:rsidP="00B60372">
            <w:pPr>
              <w:pStyle w:val="TableNumber"/>
            </w:pPr>
            <w:r w:rsidRPr="006B6EDB">
              <w:t>$37,905</w:t>
            </w:r>
          </w:p>
        </w:tc>
        <w:tc>
          <w:tcPr>
            <w:tcW w:w="2728" w:type="dxa"/>
            <w:noWrap/>
            <w:hideMark/>
          </w:tcPr>
          <w:p w14:paraId="170AD10A" w14:textId="77777777" w:rsidR="002E583B" w:rsidRPr="006B6EDB" w:rsidRDefault="002E583B" w:rsidP="00B60372">
            <w:pPr>
              <w:pStyle w:val="TableNumber"/>
            </w:pPr>
            <w:r w:rsidRPr="00F725AB">
              <w:t>-1%</w:t>
            </w:r>
          </w:p>
        </w:tc>
      </w:tr>
      <w:tr w:rsidR="002E583B" w:rsidRPr="006B6EDB" w14:paraId="14CA1E33" w14:textId="77777777" w:rsidTr="00721499">
        <w:trPr>
          <w:trHeight w:val="290"/>
        </w:trPr>
        <w:tc>
          <w:tcPr>
            <w:tcW w:w="2268" w:type="dxa"/>
            <w:noWrap/>
            <w:hideMark/>
          </w:tcPr>
          <w:p w14:paraId="10AD2048" w14:textId="77777777" w:rsidR="002E583B" w:rsidRPr="006B6EDB" w:rsidRDefault="002E583B" w:rsidP="002F7E33">
            <w:pPr>
              <w:pStyle w:val="Table"/>
              <w:keepNext/>
            </w:pPr>
            <w:r w:rsidRPr="006B6EDB">
              <w:t>10 (159)</w:t>
            </w:r>
          </w:p>
        </w:tc>
        <w:tc>
          <w:tcPr>
            <w:tcW w:w="1984" w:type="dxa"/>
            <w:noWrap/>
            <w:hideMark/>
          </w:tcPr>
          <w:p w14:paraId="5CBC2ECA" w14:textId="77777777" w:rsidR="002E583B" w:rsidRPr="006B6EDB" w:rsidRDefault="002E583B" w:rsidP="00B60372">
            <w:pPr>
              <w:pStyle w:val="TableNumber"/>
            </w:pPr>
            <w:r w:rsidRPr="006B6EDB">
              <w:t>$41,848</w:t>
            </w:r>
          </w:p>
        </w:tc>
        <w:tc>
          <w:tcPr>
            <w:tcW w:w="2147" w:type="dxa"/>
            <w:noWrap/>
            <w:hideMark/>
          </w:tcPr>
          <w:p w14:paraId="3A5BE3E9" w14:textId="77777777" w:rsidR="002E583B" w:rsidRPr="006B6EDB" w:rsidRDefault="002E583B" w:rsidP="00B60372">
            <w:pPr>
              <w:pStyle w:val="TableNumber"/>
            </w:pPr>
            <w:r w:rsidRPr="006B6EDB">
              <w:t>$40,750</w:t>
            </w:r>
          </w:p>
        </w:tc>
        <w:tc>
          <w:tcPr>
            <w:tcW w:w="2728" w:type="dxa"/>
            <w:noWrap/>
            <w:hideMark/>
          </w:tcPr>
          <w:p w14:paraId="72432407" w14:textId="77777777" w:rsidR="002E583B" w:rsidRPr="006B6EDB" w:rsidRDefault="002E583B" w:rsidP="00B60372">
            <w:pPr>
              <w:pStyle w:val="TableNumber"/>
            </w:pPr>
            <w:r w:rsidRPr="00F725AB">
              <w:t>-3%</w:t>
            </w:r>
          </w:p>
        </w:tc>
      </w:tr>
      <w:tr w:rsidR="002E583B" w:rsidRPr="006B6EDB" w14:paraId="36667E61" w14:textId="77777777" w:rsidTr="00721499">
        <w:trPr>
          <w:trHeight w:val="290"/>
        </w:trPr>
        <w:tc>
          <w:tcPr>
            <w:tcW w:w="2268" w:type="dxa"/>
            <w:noWrap/>
            <w:hideMark/>
          </w:tcPr>
          <w:p w14:paraId="28F55588" w14:textId="77777777" w:rsidR="002E583B" w:rsidRPr="006B6EDB" w:rsidRDefault="002E583B" w:rsidP="002F7E33">
            <w:pPr>
              <w:pStyle w:val="Table"/>
              <w:keepNext/>
            </w:pPr>
            <w:r w:rsidRPr="006B6EDB">
              <w:t>11 (123)</w:t>
            </w:r>
          </w:p>
        </w:tc>
        <w:tc>
          <w:tcPr>
            <w:tcW w:w="1984" w:type="dxa"/>
            <w:noWrap/>
            <w:hideMark/>
          </w:tcPr>
          <w:p w14:paraId="66DF156D" w14:textId="77777777" w:rsidR="002E583B" w:rsidRPr="006B6EDB" w:rsidRDefault="002E583B" w:rsidP="00B60372">
            <w:pPr>
              <w:pStyle w:val="TableNumber"/>
            </w:pPr>
            <w:r w:rsidRPr="006B6EDB">
              <w:t>$45,059</w:t>
            </w:r>
          </w:p>
        </w:tc>
        <w:tc>
          <w:tcPr>
            <w:tcW w:w="2147" w:type="dxa"/>
            <w:noWrap/>
            <w:hideMark/>
          </w:tcPr>
          <w:p w14:paraId="1745DA54" w14:textId="77777777" w:rsidR="002E583B" w:rsidRPr="006B6EDB" w:rsidRDefault="002E583B" w:rsidP="00B60372">
            <w:pPr>
              <w:pStyle w:val="TableNumber"/>
            </w:pPr>
            <w:r w:rsidRPr="006B6EDB">
              <w:t>$40,907</w:t>
            </w:r>
          </w:p>
        </w:tc>
        <w:tc>
          <w:tcPr>
            <w:tcW w:w="2728" w:type="dxa"/>
            <w:noWrap/>
            <w:hideMark/>
          </w:tcPr>
          <w:p w14:paraId="6DD59949" w14:textId="77777777" w:rsidR="002E583B" w:rsidRPr="006B6EDB" w:rsidRDefault="002E583B" w:rsidP="00B60372">
            <w:pPr>
              <w:pStyle w:val="TableNumber"/>
            </w:pPr>
            <w:r w:rsidRPr="00F725AB">
              <w:t>-10%</w:t>
            </w:r>
          </w:p>
        </w:tc>
      </w:tr>
      <w:tr w:rsidR="002E583B" w:rsidRPr="006B6EDB" w14:paraId="30B2D7D0" w14:textId="77777777" w:rsidTr="00721499">
        <w:trPr>
          <w:trHeight w:val="290"/>
        </w:trPr>
        <w:tc>
          <w:tcPr>
            <w:tcW w:w="2268" w:type="dxa"/>
            <w:noWrap/>
            <w:hideMark/>
          </w:tcPr>
          <w:p w14:paraId="150B28A1" w14:textId="77777777" w:rsidR="002E583B" w:rsidRPr="006B6EDB" w:rsidRDefault="002E583B" w:rsidP="002F7E33">
            <w:pPr>
              <w:pStyle w:val="Table"/>
              <w:keepNext/>
            </w:pPr>
            <w:r w:rsidRPr="006B6EDB">
              <w:t>12 (83)</w:t>
            </w:r>
          </w:p>
        </w:tc>
        <w:tc>
          <w:tcPr>
            <w:tcW w:w="1984" w:type="dxa"/>
            <w:noWrap/>
            <w:hideMark/>
          </w:tcPr>
          <w:p w14:paraId="682276B6" w14:textId="77777777" w:rsidR="002E583B" w:rsidRPr="006B6EDB" w:rsidRDefault="002E583B" w:rsidP="00B60372">
            <w:pPr>
              <w:pStyle w:val="TableNumber"/>
            </w:pPr>
            <w:r w:rsidRPr="006B6EDB">
              <w:t>$47,985</w:t>
            </w:r>
          </w:p>
        </w:tc>
        <w:tc>
          <w:tcPr>
            <w:tcW w:w="2147" w:type="dxa"/>
            <w:noWrap/>
            <w:hideMark/>
          </w:tcPr>
          <w:p w14:paraId="0D31163D" w14:textId="77777777" w:rsidR="002E583B" w:rsidRPr="006B6EDB" w:rsidRDefault="002E583B" w:rsidP="00B60372">
            <w:pPr>
              <w:pStyle w:val="TableNumber"/>
            </w:pPr>
            <w:r w:rsidRPr="006B6EDB">
              <w:t>$44,709</w:t>
            </w:r>
          </w:p>
        </w:tc>
        <w:tc>
          <w:tcPr>
            <w:tcW w:w="2728" w:type="dxa"/>
            <w:noWrap/>
            <w:hideMark/>
          </w:tcPr>
          <w:p w14:paraId="2F2EC7C7" w14:textId="77777777" w:rsidR="002E583B" w:rsidRPr="006B6EDB" w:rsidRDefault="002E583B" w:rsidP="00B60372">
            <w:pPr>
              <w:pStyle w:val="TableNumber"/>
            </w:pPr>
            <w:r w:rsidRPr="00F725AB">
              <w:t>-7%</w:t>
            </w:r>
          </w:p>
        </w:tc>
      </w:tr>
      <w:tr w:rsidR="002E583B" w:rsidRPr="006B6EDB" w14:paraId="44AA7897" w14:textId="77777777" w:rsidTr="00721499">
        <w:trPr>
          <w:trHeight w:val="290"/>
        </w:trPr>
        <w:tc>
          <w:tcPr>
            <w:tcW w:w="2268" w:type="dxa"/>
            <w:noWrap/>
            <w:hideMark/>
          </w:tcPr>
          <w:p w14:paraId="580E1B15" w14:textId="77777777" w:rsidR="002E583B" w:rsidRPr="006B6EDB" w:rsidRDefault="002E583B" w:rsidP="002F7E33">
            <w:pPr>
              <w:pStyle w:val="Table"/>
              <w:keepNext/>
            </w:pPr>
            <w:r w:rsidRPr="006B6EDB">
              <w:t>13 (77)</w:t>
            </w:r>
          </w:p>
        </w:tc>
        <w:tc>
          <w:tcPr>
            <w:tcW w:w="1984" w:type="dxa"/>
            <w:noWrap/>
            <w:hideMark/>
          </w:tcPr>
          <w:p w14:paraId="3031CA46" w14:textId="77777777" w:rsidR="002E583B" w:rsidRPr="006B6EDB" w:rsidRDefault="002E583B" w:rsidP="00B60372">
            <w:pPr>
              <w:pStyle w:val="TableNumber"/>
            </w:pPr>
            <w:r w:rsidRPr="006B6EDB">
              <w:t>$50,625</w:t>
            </w:r>
          </w:p>
        </w:tc>
        <w:tc>
          <w:tcPr>
            <w:tcW w:w="2147" w:type="dxa"/>
            <w:noWrap/>
            <w:hideMark/>
          </w:tcPr>
          <w:p w14:paraId="0129AA83" w14:textId="77777777" w:rsidR="002E583B" w:rsidRPr="006B6EDB" w:rsidRDefault="002E583B" w:rsidP="00B60372">
            <w:pPr>
              <w:pStyle w:val="TableNumber"/>
            </w:pPr>
            <w:r w:rsidRPr="006B6EDB">
              <w:t>$50,485</w:t>
            </w:r>
          </w:p>
        </w:tc>
        <w:tc>
          <w:tcPr>
            <w:tcW w:w="2728" w:type="dxa"/>
            <w:noWrap/>
            <w:hideMark/>
          </w:tcPr>
          <w:p w14:paraId="367F1737" w14:textId="77777777" w:rsidR="002E583B" w:rsidRPr="006B6EDB" w:rsidRDefault="002E583B" w:rsidP="00B60372">
            <w:pPr>
              <w:pStyle w:val="TableNumber"/>
            </w:pPr>
            <w:r w:rsidRPr="00F725AB">
              <w:t>0%</w:t>
            </w:r>
          </w:p>
        </w:tc>
      </w:tr>
      <w:tr w:rsidR="002E583B" w:rsidRPr="006B6EDB" w14:paraId="351950AC" w14:textId="77777777" w:rsidTr="00721499">
        <w:trPr>
          <w:trHeight w:val="290"/>
        </w:trPr>
        <w:tc>
          <w:tcPr>
            <w:tcW w:w="2268" w:type="dxa"/>
            <w:noWrap/>
            <w:hideMark/>
          </w:tcPr>
          <w:p w14:paraId="5AE11577" w14:textId="77777777" w:rsidR="002E583B" w:rsidRPr="006B6EDB" w:rsidRDefault="002E583B" w:rsidP="002F7E33">
            <w:pPr>
              <w:pStyle w:val="Table"/>
              <w:keepNext/>
            </w:pPr>
            <w:r w:rsidRPr="006B6EDB">
              <w:t>14 (75)</w:t>
            </w:r>
          </w:p>
        </w:tc>
        <w:tc>
          <w:tcPr>
            <w:tcW w:w="1984" w:type="dxa"/>
            <w:noWrap/>
            <w:hideMark/>
          </w:tcPr>
          <w:p w14:paraId="0801638E" w14:textId="77777777" w:rsidR="002E583B" w:rsidRPr="006B6EDB" w:rsidRDefault="002E583B" w:rsidP="00B60372">
            <w:pPr>
              <w:pStyle w:val="TableNumber"/>
            </w:pPr>
            <w:r w:rsidRPr="006B6EDB">
              <w:t>$52,986</w:t>
            </w:r>
          </w:p>
        </w:tc>
        <w:tc>
          <w:tcPr>
            <w:tcW w:w="2147" w:type="dxa"/>
            <w:noWrap/>
            <w:hideMark/>
          </w:tcPr>
          <w:p w14:paraId="3854F296" w14:textId="77777777" w:rsidR="002E583B" w:rsidRPr="006B6EDB" w:rsidRDefault="002E583B" w:rsidP="00B60372">
            <w:pPr>
              <w:pStyle w:val="TableNumber"/>
            </w:pPr>
            <w:r w:rsidRPr="006B6EDB">
              <w:t>$55,307</w:t>
            </w:r>
          </w:p>
        </w:tc>
        <w:tc>
          <w:tcPr>
            <w:tcW w:w="2728" w:type="dxa"/>
            <w:noWrap/>
            <w:hideMark/>
          </w:tcPr>
          <w:p w14:paraId="2DEB4095" w14:textId="77777777" w:rsidR="002E583B" w:rsidRPr="006B6EDB" w:rsidRDefault="00F575D7" w:rsidP="00B60372">
            <w:pPr>
              <w:pStyle w:val="TableNumber"/>
            </w:pPr>
            <w:r>
              <w:t>+</w:t>
            </w:r>
            <w:r w:rsidR="002E583B" w:rsidRPr="00F725AB">
              <w:t>4%</w:t>
            </w:r>
          </w:p>
        </w:tc>
      </w:tr>
      <w:tr w:rsidR="002E583B" w:rsidRPr="006B6EDB" w14:paraId="5508B32E" w14:textId="77777777" w:rsidTr="00721499">
        <w:trPr>
          <w:trHeight w:val="290"/>
        </w:trPr>
        <w:tc>
          <w:tcPr>
            <w:tcW w:w="2268" w:type="dxa"/>
            <w:noWrap/>
            <w:hideMark/>
          </w:tcPr>
          <w:p w14:paraId="2738A755" w14:textId="77777777" w:rsidR="002E583B" w:rsidRPr="006B6EDB" w:rsidRDefault="002E583B" w:rsidP="002F7E33">
            <w:pPr>
              <w:pStyle w:val="Table"/>
              <w:keepNext/>
            </w:pPr>
            <w:r w:rsidRPr="006B6EDB">
              <w:t>15 (44)</w:t>
            </w:r>
          </w:p>
        </w:tc>
        <w:tc>
          <w:tcPr>
            <w:tcW w:w="1984" w:type="dxa"/>
            <w:noWrap/>
            <w:hideMark/>
          </w:tcPr>
          <w:p w14:paraId="43784158" w14:textId="77777777" w:rsidR="002E583B" w:rsidRPr="006B6EDB" w:rsidRDefault="002E583B" w:rsidP="00B60372">
            <w:pPr>
              <w:pStyle w:val="TableNumber"/>
            </w:pPr>
            <w:r w:rsidRPr="006B6EDB">
              <w:t>$55,082</w:t>
            </w:r>
          </w:p>
        </w:tc>
        <w:tc>
          <w:tcPr>
            <w:tcW w:w="2147" w:type="dxa"/>
            <w:noWrap/>
            <w:hideMark/>
          </w:tcPr>
          <w:p w14:paraId="776FA229" w14:textId="77777777" w:rsidR="002E583B" w:rsidRPr="006B6EDB" w:rsidRDefault="002E583B" w:rsidP="00B60372">
            <w:pPr>
              <w:pStyle w:val="TableNumber"/>
            </w:pPr>
            <w:r w:rsidRPr="006B6EDB">
              <w:t>$58,800</w:t>
            </w:r>
          </w:p>
        </w:tc>
        <w:tc>
          <w:tcPr>
            <w:tcW w:w="2728" w:type="dxa"/>
            <w:noWrap/>
            <w:hideMark/>
          </w:tcPr>
          <w:p w14:paraId="10ACECE4" w14:textId="77777777" w:rsidR="002E583B" w:rsidRPr="006B6EDB" w:rsidRDefault="00F575D7" w:rsidP="00B60372">
            <w:pPr>
              <w:pStyle w:val="TableNumber"/>
            </w:pPr>
            <w:r>
              <w:t>+</w:t>
            </w:r>
            <w:r w:rsidR="002E583B" w:rsidRPr="00F725AB">
              <w:t>6%</w:t>
            </w:r>
          </w:p>
        </w:tc>
      </w:tr>
      <w:tr w:rsidR="002E583B" w:rsidRPr="006B6EDB" w14:paraId="7B46DC27" w14:textId="77777777" w:rsidTr="00721499">
        <w:trPr>
          <w:trHeight w:val="290"/>
        </w:trPr>
        <w:tc>
          <w:tcPr>
            <w:tcW w:w="2268" w:type="dxa"/>
            <w:noWrap/>
            <w:hideMark/>
          </w:tcPr>
          <w:p w14:paraId="49CEC912" w14:textId="77777777" w:rsidR="002E583B" w:rsidRPr="006B6EDB" w:rsidRDefault="002E583B" w:rsidP="002F7E33">
            <w:pPr>
              <w:pStyle w:val="Table"/>
              <w:keepNext/>
            </w:pPr>
            <w:r w:rsidRPr="006B6EDB">
              <w:t>16 (25)</w:t>
            </w:r>
          </w:p>
        </w:tc>
        <w:tc>
          <w:tcPr>
            <w:tcW w:w="1984" w:type="dxa"/>
            <w:noWrap/>
            <w:hideMark/>
          </w:tcPr>
          <w:p w14:paraId="1D049DD2" w14:textId="77777777" w:rsidR="002E583B" w:rsidRPr="006B6EDB" w:rsidRDefault="002E583B" w:rsidP="00B60372">
            <w:pPr>
              <w:pStyle w:val="TableNumber"/>
            </w:pPr>
            <w:r w:rsidRPr="006B6EDB">
              <w:t>$56,931</w:t>
            </w:r>
          </w:p>
        </w:tc>
        <w:tc>
          <w:tcPr>
            <w:tcW w:w="2147" w:type="dxa"/>
            <w:noWrap/>
            <w:hideMark/>
          </w:tcPr>
          <w:p w14:paraId="55273271" w14:textId="77777777" w:rsidR="002E583B" w:rsidRPr="006B6EDB" w:rsidRDefault="002E583B" w:rsidP="00B60372">
            <w:pPr>
              <w:pStyle w:val="TableNumber"/>
            </w:pPr>
            <w:r w:rsidRPr="006B6EDB">
              <w:t>$56,746</w:t>
            </w:r>
          </w:p>
        </w:tc>
        <w:tc>
          <w:tcPr>
            <w:tcW w:w="2728" w:type="dxa"/>
            <w:noWrap/>
            <w:hideMark/>
          </w:tcPr>
          <w:p w14:paraId="5BC6F8E2" w14:textId="77777777" w:rsidR="002E583B" w:rsidRPr="006B6EDB" w:rsidRDefault="002E583B" w:rsidP="00B60372">
            <w:pPr>
              <w:pStyle w:val="TableNumber"/>
            </w:pPr>
            <w:r w:rsidRPr="00F725AB">
              <w:t>0%</w:t>
            </w:r>
          </w:p>
        </w:tc>
      </w:tr>
      <w:tr w:rsidR="002E583B" w:rsidRPr="006B6EDB" w14:paraId="21D65D13" w14:textId="77777777" w:rsidTr="00721499">
        <w:trPr>
          <w:trHeight w:val="290"/>
        </w:trPr>
        <w:tc>
          <w:tcPr>
            <w:tcW w:w="2268" w:type="dxa"/>
            <w:noWrap/>
            <w:hideMark/>
          </w:tcPr>
          <w:p w14:paraId="6878AD24" w14:textId="77777777" w:rsidR="002E583B" w:rsidRPr="006B6EDB" w:rsidRDefault="002E583B" w:rsidP="002F7E33">
            <w:pPr>
              <w:pStyle w:val="Table"/>
              <w:keepNext/>
            </w:pPr>
            <w:r w:rsidRPr="006B6EDB">
              <w:t>17 (17)</w:t>
            </w:r>
          </w:p>
        </w:tc>
        <w:tc>
          <w:tcPr>
            <w:tcW w:w="1984" w:type="dxa"/>
            <w:noWrap/>
            <w:hideMark/>
          </w:tcPr>
          <w:p w14:paraId="78972A59" w14:textId="77777777" w:rsidR="002E583B" w:rsidRPr="006B6EDB" w:rsidRDefault="002E583B" w:rsidP="00B60372">
            <w:pPr>
              <w:pStyle w:val="TableNumber"/>
            </w:pPr>
            <w:r w:rsidRPr="006B6EDB">
              <w:t>$58,554</w:t>
            </w:r>
          </w:p>
        </w:tc>
        <w:tc>
          <w:tcPr>
            <w:tcW w:w="2147" w:type="dxa"/>
            <w:noWrap/>
            <w:hideMark/>
          </w:tcPr>
          <w:p w14:paraId="5A40843A" w14:textId="77777777" w:rsidR="002E583B" w:rsidRPr="006B6EDB" w:rsidRDefault="002E583B" w:rsidP="00B60372">
            <w:pPr>
              <w:pStyle w:val="TableNumber"/>
            </w:pPr>
            <w:r w:rsidRPr="006B6EDB">
              <w:t>$65,109</w:t>
            </w:r>
          </w:p>
        </w:tc>
        <w:tc>
          <w:tcPr>
            <w:tcW w:w="2728" w:type="dxa"/>
            <w:noWrap/>
            <w:hideMark/>
          </w:tcPr>
          <w:p w14:paraId="781D947C" w14:textId="77777777" w:rsidR="002E583B" w:rsidRPr="006B6EDB" w:rsidRDefault="00F575D7" w:rsidP="00B60372">
            <w:pPr>
              <w:pStyle w:val="TableNumber"/>
            </w:pPr>
            <w:r>
              <w:t>+</w:t>
            </w:r>
            <w:r w:rsidR="002E583B" w:rsidRPr="00F725AB">
              <w:t>10%</w:t>
            </w:r>
          </w:p>
        </w:tc>
      </w:tr>
      <w:tr w:rsidR="002E583B" w:rsidRPr="006B6EDB" w14:paraId="7D7B7817" w14:textId="77777777" w:rsidTr="00721499">
        <w:trPr>
          <w:trHeight w:val="290"/>
        </w:trPr>
        <w:tc>
          <w:tcPr>
            <w:tcW w:w="2268" w:type="dxa"/>
            <w:noWrap/>
            <w:hideMark/>
          </w:tcPr>
          <w:p w14:paraId="37BD577A" w14:textId="77777777" w:rsidR="002E583B" w:rsidRPr="006B6EDB" w:rsidRDefault="002E583B" w:rsidP="002F7E33">
            <w:pPr>
              <w:pStyle w:val="Table"/>
              <w:keepNext/>
            </w:pPr>
            <w:r w:rsidRPr="006B6EDB">
              <w:t>18 (23)</w:t>
            </w:r>
          </w:p>
        </w:tc>
        <w:tc>
          <w:tcPr>
            <w:tcW w:w="1984" w:type="dxa"/>
            <w:noWrap/>
            <w:hideMark/>
          </w:tcPr>
          <w:p w14:paraId="75D1B849" w14:textId="77777777" w:rsidR="002E583B" w:rsidRPr="006B6EDB" w:rsidRDefault="002E583B" w:rsidP="00B60372">
            <w:pPr>
              <w:pStyle w:val="TableNumber"/>
            </w:pPr>
            <w:r w:rsidRPr="006B6EDB">
              <w:t>$59,971</w:t>
            </w:r>
          </w:p>
        </w:tc>
        <w:tc>
          <w:tcPr>
            <w:tcW w:w="2147" w:type="dxa"/>
            <w:noWrap/>
            <w:hideMark/>
          </w:tcPr>
          <w:p w14:paraId="0997C7FA" w14:textId="77777777" w:rsidR="002E583B" w:rsidRPr="006B6EDB" w:rsidRDefault="002E583B" w:rsidP="00B60372">
            <w:pPr>
              <w:pStyle w:val="TableNumber"/>
            </w:pPr>
            <w:r w:rsidRPr="006B6EDB">
              <w:t>$74,189</w:t>
            </w:r>
          </w:p>
        </w:tc>
        <w:tc>
          <w:tcPr>
            <w:tcW w:w="2728" w:type="dxa"/>
            <w:noWrap/>
            <w:hideMark/>
          </w:tcPr>
          <w:p w14:paraId="1EDF7440" w14:textId="77777777" w:rsidR="002E583B" w:rsidRPr="006B6EDB" w:rsidRDefault="00F575D7" w:rsidP="00B60372">
            <w:pPr>
              <w:pStyle w:val="TableNumber"/>
            </w:pPr>
            <w:r>
              <w:t>+</w:t>
            </w:r>
            <w:r w:rsidR="002E583B" w:rsidRPr="00F725AB">
              <w:t>19%</w:t>
            </w:r>
          </w:p>
        </w:tc>
      </w:tr>
      <w:tr w:rsidR="002E583B" w:rsidRPr="006B6EDB" w14:paraId="07990AB6" w14:textId="77777777" w:rsidTr="00721499">
        <w:trPr>
          <w:trHeight w:val="290"/>
        </w:trPr>
        <w:tc>
          <w:tcPr>
            <w:tcW w:w="2268" w:type="dxa"/>
            <w:noWrap/>
            <w:hideMark/>
          </w:tcPr>
          <w:p w14:paraId="04BAF715" w14:textId="77777777" w:rsidR="002E583B" w:rsidRPr="006B6EDB" w:rsidRDefault="002E583B" w:rsidP="002F7E33">
            <w:pPr>
              <w:pStyle w:val="Table"/>
              <w:keepNext/>
            </w:pPr>
            <w:r w:rsidRPr="006B6EDB">
              <w:t>19 (19)</w:t>
            </w:r>
          </w:p>
        </w:tc>
        <w:tc>
          <w:tcPr>
            <w:tcW w:w="1984" w:type="dxa"/>
            <w:noWrap/>
            <w:hideMark/>
          </w:tcPr>
          <w:p w14:paraId="13A58353" w14:textId="77777777" w:rsidR="002E583B" w:rsidRPr="006B6EDB" w:rsidRDefault="002E583B" w:rsidP="00B60372">
            <w:pPr>
              <w:pStyle w:val="TableNumber"/>
            </w:pPr>
            <w:r w:rsidRPr="006B6EDB">
              <w:t>$61,205</w:t>
            </w:r>
          </w:p>
        </w:tc>
        <w:tc>
          <w:tcPr>
            <w:tcW w:w="2147" w:type="dxa"/>
            <w:noWrap/>
            <w:hideMark/>
          </w:tcPr>
          <w:p w14:paraId="4FABBE73" w14:textId="77777777" w:rsidR="002E583B" w:rsidRPr="006B6EDB" w:rsidRDefault="002E583B" w:rsidP="00B60372">
            <w:pPr>
              <w:pStyle w:val="TableNumber"/>
            </w:pPr>
            <w:r w:rsidRPr="006B6EDB">
              <w:t>$62,343</w:t>
            </w:r>
          </w:p>
        </w:tc>
        <w:tc>
          <w:tcPr>
            <w:tcW w:w="2728" w:type="dxa"/>
            <w:noWrap/>
            <w:hideMark/>
          </w:tcPr>
          <w:p w14:paraId="0AB61D91" w14:textId="77777777" w:rsidR="002E583B" w:rsidRPr="006B6EDB" w:rsidRDefault="00F575D7" w:rsidP="00B60372">
            <w:pPr>
              <w:pStyle w:val="TableNumber"/>
            </w:pPr>
            <w:r>
              <w:t>+</w:t>
            </w:r>
            <w:r w:rsidR="002E583B" w:rsidRPr="00F725AB">
              <w:t>2%</w:t>
            </w:r>
          </w:p>
        </w:tc>
      </w:tr>
      <w:tr w:rsidR="002E583B" w:rsidRPr="006B6EDB" w14:paraId="6F3D9EB0" w14:textId="77777777" w:rsidTr="00721499">
        <w:trPr>
          <w:cnfStyle w:val="010000000000" w:firstRow="0" w:lastRow="1" w:firstColumn="0" w:lastColumn="0" w:oddVBand="0" w:evenVBand="0" w:oddHBand="0" w:evenHBand="0" w:firstRowFirstColumn="0" w:firstRowLastColumn="0" w:lastRowFirstColumn="0" w:lastRowLastColumn="0"/>
          <w:trHeight w:val="290"/>
        </w:trPr>
        <w:tc>
          <w:tcPr>
            <w:tcW w:w="2268" w:type="dxa"/>
            <w:noWrap/>
            <w:hideMark/>
          </w:tcPr>
          <w:p w14:paraId="153CA317" w14:textId="77777777" w:rsidR="002E583B" w:rsidRPr="006B6EDB" w:rsidRDefault="002E583B" w:rsidP="00B60372">
            <w:pPr>
              <w:pStyle w:val="Table"/>
            </w:pPr>
            <w:r w:rsidRPr="006B6EDB">
              <w:t>20 (12)</w:t>
            </w:r>
          </w:p>
        </w:tc>
        <w:tc>
          <w:tcPr>
            <w:tcW w:w="1984" w:type="dxa"/>
            <w:noWrap/>
            <w:hideMark/>
          </w:tcPr>
          <w:p w14:paraId="52495AF5" w14:textId="77777777" w:rsidR="002E583B" w:rsidRPr="006B6EDB" w:rsidRDefault="002E583B" w:rsidP="00B60372">
            <w:pPr>
              <w:pStyle w:val="TableNumber"/>
            </w:pPr>
            <w:r w:rsidRPr="006B6EDB">
              <w:t>$62,275</w:t>
            </w:r>
          </w:p>
        </w:tc>
        <w:tc>
          <w:tcPr>
            <w:tcW w:w="2147" w:type="dxa"/>
            <w:noWrap/>
            <w:hideMark/>
          </w:tcPr>
          <w:p w14:paraId="63334C48" w14:textId="77777777" w:rsidR="002E583B" w:rsidRPr="006B6EDB" w:rsidRDefault="002E583B" w:rsidP="00B60372">
            <w:pPr>
              <w:pStyle w:val="TableNumber"/>
            </w:pPr>
            <w:r w:rsidRPr="006B6EDB">
              <w:t>$76,027</w:t>
            </w:r>
          </w:p>
        </w:tc>
        <w:tc>
          <w:tcPr>
            <w:tcW w:w="2728" w:type="dxa"/>
            <w:noWrap/>
            <w:hideMark/>
          </w:tcPr>
          <w:p w14:paraId="420259D9" w14:textId="77777777" w:rsidR="002E583B" w:rsidRPr="006B6EDB" w:rsidRDefault="00F575D7" w:rsidP="00B60372">
            <w:pPr>
              <w:pStyle w:val="TableNumber"/>
            </w:pPr>
            <w:r>
              <w:t>+</w:t>
            </w:r>
            <w:r w:rsidR="002E583B" w:rsidRPr="00F725AB">
              <w:t>18%</w:t>
            </w:r>
          </w:p>
        </w:tc>
      </w:tr>
    </w:tbl>
    <w:p w14:paraId="29FDC35F" w14:textId="77777777" w:rsidR="005B5818" w:rsidRPr="00D87E24" w:rsidRDefault="005B5818" w:rsidP="00B60372">
      <w:pPr>
        <w:pStyle w:val="Caption"/>
      </w:pPr>
      <w:bookmarkStart w:id="62" w:name="_Ref390965586"/>
      <w:bookmarkStart w:id="63" w:name="_Toc401061063"/>
      <w:r w:rsidRPr="00D87E24">
        <w:lastRenderedPageBreak/>
        <w:t xml:space="preserve">Figure </w:t>
      </w:r>
      <w:r w:rsidR="005559F5" w:rsidRPr="00D87E24">
        <w:fldChar w:fldCharType="begin"/>
      </w:r>
      <w:r w:rsidRPr="00D87E24">
        <w:instrText xml:space="preserve"> SEQ Figure \* ARABIC </w:instrText>
      </w:r>
      <w:r w:rsidR="005559F5" w:rsidRPr="00D87E24">
        <w:fldChar w:fldCharType="separate"/>
      </w:r>
      <w:r w:rsidR="0031717B">
        <w:rPr>
          <w:noProof/>
        </w:rPr>
        <w:t>10</w:t>
      </w:r>
      <w:r w:rsidR="005559F5" w:rsidRPr="00D87E24">
        <w:fldChar w:fldCharType="end"/>
      </w:r>
      <w:bookmarkEnd w:id="62"/>
      <w:r w:rsidRPr="00D87E24">
        <w:t xml:space="preserve">: Distribution of </w:t>
      </w:r>
      <w:r w:rsidR="00974730" w:rsidRPr="00974730">
        <w:rPr>
          <w:position w:val="-14"/>
        </w:rPr>
        <w:object w:dxaOrig="660" w:dyaOrig="400" w14:anchorId="07455DAA">
          <v:shape id="_x0000_i1188" type="#_x0000_t75" style="width:33pt;height:20.25pt" o:ole="">
            <v:imagedata r:id="rId290" o:title=""/>
          </v:shape>
          <o:OLEObject Type="Embed" ProgID="Equation.DSMT4" ShapeID="_x0000_i1188" DrawAspect="Content" ObjectID="_1775045824" r:id="rId291"/>
        </w:object>
      </w:r>
      <w:r>
        <w:rPr>
          <w:rFonts w:eastAsiaTheme="minorEastAsia"/>
        </w:rPr>
        <w:t xml:space="preserve"> </w:t>
      </w:r>
      <w:r w:rsidRPr="00D87E24">
        <w:t xml:space="preserve">relative change parameter (i.e. </w:t>
      </w:r>
      <w:r w:rsidR="00974730" w:rsidRPr="00974730">
        <w:rPr>
          <w:position w:val="-6"/>
        </w:rPr>
        <w:object w:dxaOrig="200" w:dyaOrig="279" w14:anchorId="0B270094">
          <v:shape id="_x0000_i1189" type="#_x0000_t75" style="width:9.75pt;height:14.25pt" o:ole="">
            <v:imagedata r:id="rId292" o:title=""/>
          </v:shape>
          <o:OLEObject Type="Embed" ProgID="Equation.DSMT4" ShapeID="_x0000_i1189" DrawAspect="Content" ObjectID="_1775045825" r:id="rId293"/>
        </w:object>
      </w:r>
      <w:r w:rsidRPr="00D87E24">
        <w:t>)</w:t>
      </w:r>
      <w:r w:rsidR="00981B6D">
        <w:t>.</w:t>
      </w:r>
      <w:bookmarkEnd w:id="63"/>
    </w:p>
    <w:p w14:paraId="073CC9B0" w14:textId="77777777" w:rsidR="00BA7E37" w:rsidRDefault="00461A7A" w:rsidP="00B60372">
      <w:pPr>
        <w:rPr>
          <w:szCs w:val="24"/>
          <w:lang w:val="en-AU"/>
        </w:rPr>
      </w:pPr>
      <w:r w:rsidRPr="00461A7A">
        <w:rPr>
          <w:noProof/>
          <w:lang w:val="en-AU" w:eastAsia="en-AU"/>
        </w:rPr>
        <w:drawing>
          <wp:inline distT="0" distB="0" distL="0" distR="0" wp14:anchorId="724DDB9E" wp14:editId="2FEF42E5">
            <wp:extent cx="5760000" cy="3725855"/>
            <wp:effectExtent l="0" t="0" r="0" b="8255"/>
            <wp:docPr id="14374" name="Picture 14374" descr="The graph shows the distribution of C_i(A) relative decay parameter (b), which is skewed to the left. Values of b range between 1 and 3, with a mode of 1.2. Ninety two per cent of ADRGs have a value of b less than 2.0." title="Distribution of C_i (A) relative change parameter (i.e.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5760000" cy="3725855"/>
                    </a:xfrm>
                    <a:prstGeom prst="rect">
                      <a:avLst/>
                    </a:prstGeom>
                    <a:noFill/>
                    <a:ln>
                      <a:noFill/>
                    </a:ln>
                  </pic:spPr>
                </pic:pic>
              </a:graphicData>
            </a:graphic>
          </wp:inline>
        </w:drawing>
      </w:r>
    </w:p>
    <w:p w14:paraId="421224ED" w14:textId="77777777" w:rsidR="005B5818" w:rsidRPr="00D87E24" w:rsidRDefault="005B5818" w:rsidP="00B60372">
      <w:pPr>
        <w:pStyle w:val="Caption"/>
      </w:pPr>
      <w:bookmarkStart w:id="64" w:name="_Ref390965587"/>
      <w:bookmarkStart w:id="65" w:name="_Toc401061064"/>
      <w:r w:rsidRPr="00D87E24">
        <w:t xml:space="preserve">Figure </w:t>
      </w:r>
      <w:r w:rsidR="005559F5" w:rsidRPr="00D87E24">
        <w:fldChar w:fldCharType="begin"/>
      </w:r>
      <w:r w:rsidRPr="00D87E24">
        <w:instrText xml:space="preserve"> SEQ Figure \* ARABIC </w:instrText>
      </w:r>
      <w:r w:rsidR="005559F5" w:rsidRPr="00D87E24">
        <w:fldChar w:fldCharType="separate"/>
      </w:r>
      <w:r w:rsidR="0031717B">
        <w:rPr>
          <w:noProof/>
        </w:rPr>
        <w:t>11</w:t>
      </w:r>
      <w:r w:rsidR="005559F5" w:rsidRPr="00D87E24">
        <w:fldChar w:fldCharType="end"/>
      </w:r>
      <w:bookmarkEnd w:id="64"/>
      <w:r w:rsidRPr="00D87E24">
        <w:t>: Distribution of</w:t>
      </w:r>
      <w:r w:rsidRPr="004262B5">
        <w:t xml:space="preserve"> </w:t>
      </w:r>
      <w:r w:rsidR="00974730" w:rsidRPr="00974730">
        <w:rPr>
          <w:position w:val="-14"/>
        </w:rPr>
        <w:object w:dxaOrig="660" w:dyaOrig="400" w14:anchorId="08E626D5">
          <v:shape id="_x0000_i1190" type="#_x0000_t75" style="width:33pt;height:20.25pt" o:ole="">
            <v:imagedata r:id="rId295" o:title=""/>
          </v:shape>
          <o:OLEObject Type="Embed" ProgID="Equation.DSMT4" ShapeID="_x0000_i1190" DrawAspect="Content" ObjectID="_1775045826" r:id="rId296"/>
        </w:object>
      </w:r>
      <w:r>
        <w:rPr>
          <w:rFonts w:eastAsiaTheme="minorEastAsia"/>
        </w:rPr>
        <w:t xml:space="preserve"> </w:t>
      </w:r>
      <w:r>
        <w:t xml:space="preserve">decay parameter (i.e. </w:t>
      </w:r>
      <w:r w:rsidR="00974730" w:rsidRPr="00025957">
        <w:rPr>
          <w:position w:val="-4"/>
        </w:rPr>
        <w:object w:dxaOrig="180" w:dyaOrig="200" w14:anchorId="006C727A">
          <v:shape id="_x0000_i1191" type="#_x0000_t75" style="width:9pt;height:9.75pt" o:ole="">
            <v:imagedata r:id="rId297" o:title=""/>
          </v:shape>
          <o:OLEObject Type="Embed" ProgID="Equation.DSMT4" ShapeID="_x0000_i1191" DrawAspect="Content" ObjectID="_1775045827" r:id="rId298"/>
        </w:object>
      </w:r>
      <w:r w:rsidRPr="00D87E24">
        <w:t>)</w:t>
      </w:r>
      <w:r w:rsidR="00981B6D">
        <w:t>.</w:t>
      </w:r>
      <w:bookmarkEnd w:id="65"/>
    </w:p>
    <w:p w14:paraId="4D1F7695" w14:textId="77777777" w:rsidR="005B5818" w:rsidRDefault="00461A7A" w:rsidP="00B60372">
      <w:pPr>
        <w:jc w:val="center"/>
        <w:rPr>
          <w:szCs w:val="24"/>
          <w:lang w:val="en-AU"/>
        </w:rPr>
      </w:pPr>
      <w:r w:rsidRPr="00461A7A">
        <w:rPr>
          <w:noProof/>
          <w:lang w:val="en-AU" w:eastAsia="en-AU"/>
        </w:rPr>
        <w:drawing>
          <wp:inline distT="0" distB="0" distL="0" distR="0" wp14:anchorId="5B707588" wp14:editId="0459B9A1">
            <wp:extent cx="5760000" cy="3725857"/>
            <wp:effectExtent l="0" t="0" r="0" b="8255"/>
            <wp:docPr id="14375" name="Picture 14375" descr="The graph shows the distribution of C_i(A) relative decay parameter (r), which is skewed to the right. Values of r range between 0.50 and 1.00, with a mode of 1.00. Ninety per cent of ADRGs have a value of r greater than 0.75." title="Distribution of C_i (A) decay parameter (i.e.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5760000" cy="3725857"/>
                    </a:xfrm>
                    <a:prstGeom prst="rect">
                      <a:avLst/>
                    </a:prstGeom>
                    <a:noFill/>
                    <a:ln>
                      <a:noFill/>
                    </a:ln>
                  </pic:spPr>
                </pic:pic>
              </a:graphicData>
            </a:graphic>
          </wp:inline>
        </w:drawing>
      </w:r>
    </w:p>
    <w:p w14:paraId="4B150DD7" w14:textId="77777777" w:rsidR="005B5818" w:rsidRPr="00D87E24" w:rsidRDefault="005B5818" w:rsidP="00B60372">
      <w:pPr>
        <w:pStyle w:val="Caption"/>
      </w:pPr>
      <w:bookmarkStart w:id="66" w:name="_Ref390965737"/>
      <w:bookmarkStart w:id="67" w:name="_Toc401061065"/>
      <w:r w:rsidRPr="00D87E24">
        <w:lastRenderedPageBreak/>
        <w:t xml:space="preserve">Figure </w:t>
      </w:r>
      <w:r w:rsidR="005559F5" w:rsidRPr="00D87E24">
        <w:fldChar w:fldCharType="begin"/>
      </w:r>
      <w:r w:rsidRPr="00D87E24">
        <w:instrText xml:space="preserve"> SEQ Figure \* ARABIC </w:instrText>
      </w:r>
      <w:r w:rsidR="005559F5" w:rsidRPr="00D87E24">
        <w:fldChar w:fldCharType="separate"/>
      </w:r>
      <w:r w:rsidR="0031717B">
        <w:rPr>
          <w:noProof/>
        </w:rPr>
        <w:t>12</w:t>
      </w:r>
      <w:r w:rsidR="005559F5" w:rsidRPr="00D87E24">
        <w:fldChar w:fldCharType="end"/>
      </w:r>
      <w:bookmarkEnd w:id="66"/>
      <w:r w:rsidRPr="00D87E24">
        <w:t xml:space="preserve">: Scatter showing joint distribution of </w:t>
      </w:r>
      <w:r w:rsidR="00974730" w:rsidRPr="00974730">
        <w:rPr>
          <w:position w:val="-14"/>
        </w:rPr>
        <w:object w:dxaOrig="660" w:dyaOrig="400" w14:anchorId="0132FE8E">
          <v:shape id="_x0000_i1192" type="#_x0000_t75" style="width:33pt;height:20.25pt" o:ole="">
            <v:imagedata r:id="rId300" o:title=""/>
          </v:shape>
          <o:OLEObject Type="Embed" ProgID="Equation.DSMT4" ShapeID="_x0000_i1192" DrawAspect="Content" ObjectID="_1775045828" r:id="rId301"/>
        </w:object>
      </w:r>
      <w:r w:rsidRPr="00D87E24">
        <w:rPr>
          <w:rFonts w:eastAsiaTheme="minorEastAsia"/>
        </w:rPr>
        <w:t xml:space="preserve"> </w:t>
      </w:r>
      <w:r w:rsidRPr="00D87E24">
        <w:t>relative change and decay parameters</w:t>
      </w:r>
      <w:r w:rsidRPr="00D87E24">
        <w:rPr>
          <w:noProof/>
        </w:rPr>
        <w:t xml:space="preserve"> (i.e. </w:t>
      </w:r>
      <w:r w:rsidR="000B3D52" w:rsidRPr="000B3D52">
        <w:rPr>
          <w:noProof/>
          <w:position w:val="-6"/>
        </w:rPr>
        <w:object w:dxaOrig="200" w:dyaOrig="279" w14:anchorId="1C5C2F62">
          <v:shape id="_x0000_i1193" type="#_x0000_t75" style="width:9.75pt;height:14.25pt" o:ole="">
            <v:imagedata r:id="rId302" o:title=""/>
          </v:shape>
          <o:OLEObject Type="Embed" ProgID="Equation.DSMT4" ShapeID="_x0000_i1193" DrawAspect="Content" ObjectID="_1775045829" r:id="rId303"/>
        </w:object>
      </w:r>
      <w:r w:rsidR="000B3D52">
        <w:rPr>
          <w:noProof/>
        </w:rPr>
        <w:t xml:space="preserve"> </w:t>
      </w:r>
      <w:r w:rsidRPr="00D87E24">
        <w:rPr>
          <w:rFonts w:eastAsiaTheme="minorEastAsia"/>
          <w:noProof/>
        </w:rPr>
        <w:t>and</w:t>
      </w:r>
      <w:r w:rsidR="000B3D52">
        <w:rPr>
          <w:rFonts w:eastAsiaTheme="minorEastAsia"/>
          <w:noProof/>
        </w:rPr>
        <w:t xml:space="preserve"> </w:t>
      </w:r>
      <w:r w:rsidR="000B3D52" w:rsidRPr="000B3D52">
        <w:rPr>
          <w:rFonts w:eastAsiaTheme="minorEastAsia"/>
          <w:noProof/>
          <w:position w:val="-4"/>
        </w:rPr>
        <w:object w:dxaOrig="180" w:dyaOrig="200" w14:anchorId="17927302">
          <v:shape id="_x0000_i1194" type="#_x0000_t75" style="width:9pt;height:9.75pt" o:ole="">
            <v:imagedata r:id="rId304" o:title=""/>
          </v:shape>
          <o:OLEObject Type="Embed" ProgID="Equation.DSMT4" ShapeID="_x0000_i1194" DrawAspect="Content" ObjectID="_1775045830" r:id="rId305"/>
        </w:object>
      </w:r>
      <w:r w:rsidRPr="00D87E24">
        <w:rPr>
          <w:rFonts w:eastAsiaTheme="minorEastAsia"/>
          <w:noProof/>
        </w:rPr>
        <w:t>)</w:t>
      </w:r>
      <w:r w:rsidR="00981B6D">
        <w:rPr>
          <w:rFonts w:eastAsiaTheme="minorEastAsia"/>
          <w:noProof/>
        </w:rPr>
        <w:t>.</w:t>
      </w:r>
      <w:bookmarkEnd w:id="67"/>
    </w:p>
    <w:p w14:paraId="01C0D789" w14:textId="77777777" w:rsidR="005B5818" w:rsidRPr="004C334B" w:rsidRDefault="00AA308A" w:rsidP="00B60372">
      <w:pPr>
        <w:rPr>
          <w:szCs w:val="24"/>
          <w:lang w:val="en-AU"/>
        </w:rPr>
      </w:pPr>
      <w:r w:rsidRPr="00AA308A">
        <w:rPr>
          <w:noProof/>
          <w:lang w:val="en-AU" w:eastAsia="en-AU"/>
        </w:rPr>
        <w:drawing>
          <wp:inline distT="0" distB="0" distL="0" distR="0" wp14:anchorId="28CEBCA7" wp14:editId="1E281894">
            <wp:extent cx="5732145" cy="4070003"/>
            <wp:effectExtent l="0" t="0" r="1905" b="6985"/>
            <wp:docPr id="3" name="Picture 3" descr="The figure shows a non-constant scatter with a negative association between the decay (r) and change (b) parameters. As b increases, r decreases and the relationship between the two variables (b and r) strengthens." title="Scatter showing joint distribution of  C_i(A) relative change and decay parameters (i.e. b and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5732145" cy="4070003"/>
                    </a:xfrm>
                    <a:prstGeom prst="rect">
                      <a:avLst/>
                    </a:prstGeom>
                    <a:noFill/>
                    <a:ln>
                      <a:noFill/>
                    </a:ln>
                  </pic:spPr>
                </pic:pic>
              </a:graphicData>
            </a:graphic>
          </wp:inline>
        </w:drawing>
      </w:r>
    </w:p>
    <w:p w14:paraId="5E1961DC" w14:textId="77777777" w:rsidR="005B5818" w:rsidRPr="00504754" w:rsidRDefault="005B5818" w:rsidP="00B60372">
      <w:pPr>
        <w:pStyle w:val="Heading4"/>
      </w:pPr>
      <w:r w:rsidRPr="00504754">
        <w:t xml:space="preserve">Estimation of </w:t>
      </w:r>
      <w:r>
        <w:t xml:space="preserve">relative </w:t>
      </w:r>
      <w:r w:rsidRPr="00504754">
        <w:t>costs associated with diagnoses within the context of ADRGs</w:t>
      </w:r>
    </w:p>
    <w:p w14:paraId="0ECC0C85" w14:textId="77777777" w:rsidR="005B5818" w:rsidRDefault="005B5818" w:rsidP="00B60372">
      <w:pPr>
        <w:rPr>
          <w:rFonts w:eastAsiaTheme="minorEastAsia"/>
          <w:szCs w:val="24"/>
          <w:lang w:val="en-AU"/>
        </w:rPr>
      </w:pPr>
      <w:r>
        <w:rPr>
          <w:szCs w:val="24"/>
          <w:lang w:val="en-AU"/>
        </w:rPr>
        <w:t xml:space="preserve">The third </w:t>
      </w:r>
      <w:r w:rsidRPr="005C19E0">
        <w:rPr>
          <w:szCs w:val="24"/>
          <w:lang w:val="en-AU"/>
        </w:rPr>
        <w:t xml:space="preserve">stage in the process of defining the </w:t>
      </w:r>
      <w:r>
        <w:rPr>
          <w:szCs w:val="24"/>
          <w:lang w:val="en-AU"/>
        </w:rPr>
        <w:t>ECC</w:t>
      </w:r>
      <w:r w:rsidRPr="005C19E0">
        <w:rPr>
          <w:szCs w:val="24"/>
          <w:lang w:val="en-AU"/>
        </w:rPr>
        <w:t xml:space="preserve"> Model</w:t>
      </w:r>
      <w:r>
        <w:rPr>
          <w:szCs w:val="24"/>
          <w:lang w:val="en-AU"/>
        </w:rPr>
        <w:t xml:space="preserve"> is the estimation of relative costs associated with diagnoses within the context of ADRGs; that is, </w:t>
      </w:r>
      <w:r w:rsidRPr="00435183">
        <w:rPr>
          <w:szCs w:val="24"/>
          <w:lang w:val="en-AU"/>
        </w:rPr>
        <w:t>for a given diagnosis</w:t>
      </w:r>
      <w:r w:rsidR="000B3D52">
        <w:rPr>
          <w:szCs w:val="24"/>
          <w:lang w:val="en-AU"/>
        </w:rPr>
        <w:t xml:space="preserve"> </w:t>
      </w:r>
      <w:r w:rsidR="000B3D52" w:rsidRPr="000B3D52">
        <w:rPr>
          <w:position w:val="-6"/>
          <w:szCs w:val="24"/>
          <w:lang w:val="en-AU"/>
        </w:rPr>
        <w:object w:dxaOrig="200" w:dyaOrig="220" w14:anchorId="12C4CFDC">
          <v:shape id="_x0000_i1195" type="#_x0000_t75" style="width:9.75pt;height:11.25pt" o:ole="">
            <v:imagedata r:id="rId307" o:title=""/>
          </v:shape>
          <o:OLEObject Type="Embed" ProgID="Equation.DSMT4" ShapeID="_x0000_i1195" DrawAspect="Content" ObjectID="_1775045831" r:id="rId308"/>
        </w:object>
      </w:r>
      <w:r w:rsidR="000B3D52">
        <w:rPr>
          <w:szCs w:val="24"/>
          <w:lang w:val="en-AU"/>
        </w:rPr>
        <w:t xml:space="preserve"> </w:t>
      </w:r>
      <w:r w:rsidRPr="00435183">
        <w:rPr>
          <w:rFonts w:eastAsiaTheme="minorEastAsia"/>
          <w:szCs w:val="24"/>
          <w:lang w:val="en-AU"/>
        </w:rPr>
        <w:t>and ADRG</w:t>
      </w:r>
      <w:r w:rsidR="000B3D52">
        <w:rPr>
          <w:rFonts w:eastAsiaTheme="minorEastAsia"/>
          <w:szCs w:val="24"/>
          <w:lang w:val="en-AU"/>
        </w:rPr>
        <w:t xml:space="preserve"> </w:t>
      </w:r>
      <w:r w:rsidR="000B3D52" w:rsidRPr="000B3D52">
        <w:rPr>
          <w:rFonts w:eastAsiaTheme="minorEastAsia"/>
          <w:position w:val="-4"/>
          <w:szCs w:val="24"/>
          <w:lang w:val="en-AU"/>
        </w:rPr>
        <w:object w:dxaOrig="240" w:dyaOrig="260" w14:anchorId="2366EA17">
          <v:shape id="_x0000_i1196" type="#_x0000_t75" style="width:12pt;height:12.75pt" o:ole="">
            <v:imagedata r:id="rId309" o:title=""/>
          </v:shape>
          <o:OLEObject Type="Embed" ProgID="Equation.DSMT4" ShapeID="_x0000_i1196" DrawAspect="Content" ObjectID="_1775045832" r:id="rId310"/>
        </w:object>
      </w:r>
      <w:r w:rsidRPr="00435183">
        <w:rPr>
          <w:rFonts w:eastAsiaTheme="minorEastAsia"/>
          <w:szCs w:val="24"/>
          <w:lang w:val="en-AU"/>
        </w:rPr>
        <w:t>, the estimation of the relative cost associated</w:t>
      </w:r>
      <w:r>
        <w:rPr>
          <w:rFonts w:eastAsiaTheme="minorEastAsia"/>
          <w:szCs w:val="24"/>
          <w:lang w:val="en-AU"/>
        </w:rPr>
        <w:t xml:space="preserve"> with</w:t>
      </w:r>
      <w:r w:rsidRPr="00435183">
        <w:rPr>
          <w:rFonts w:eastAsiaTheme="minorEastAsia"/>
          <w:szCs w:val="24"/>
          <w:lang w:val="en-AU"/>
        </w:rPr>
        <w:t xml:space="preserve"> </w:t>
      </w:r>
      <w:r w:rsidR="000B3D52" w:rsidRPr="000B3D52">
        <w:rPr>
          <w:position w:val="-6"/>
          <w:szCs w:val="24"/>
          <w:lang w:val="en-AU"/>
        </w:rPr>
        <w:object w:dxaOrig="200" w:dyaOrig="220" w14:anchorId="3E2F2C8D">
          <v:shape id="_x0000_i1197" type="#_x0000_t75" style="width:9.75pt;height:11.25pt" o:ole="">
            <v:imagedata r:id="rId307" o:title=""/>
          </v:shape>
          <o:OLEObject Type="Embed" ProgID="Equation.DSMT4" ShapeID="_x0000_i1197" DrawAspect="Content" ObjectID="_1775045833" r:id="rId311"/>
        </w:object>
      </w:r>
      <w:r w:rsidRPr="00435183">
        <w:rPr>
          <w:rFonts w:eastAsiaTheme="minorEastAsia"/>
          <w:szCs w:val="24"/>
          <w:lang w:val="en-AU"/>
        </w:rPr>
        <w:t xml:space="preserve"> within </w:t>
      </w:r>
      <w:r w:rsidR="000B3D52" w:rsidRPr="000B3D52">
        <w:rPr>
          <w:rFonts w:eastAsiaTheme="minorEastAsia"/>
          <w:position w:val="-4"/>
          <w:szCs w:val="24"/>
          <w:lang w:val="en-AU"/>
        </w:rPr>
        <w:object w:dxaOrig="240" w:dyaOrig="260" w14:anchorId="32CCFFE8">
          <v:shape id="_x0000_i1198" type="#_x0000_t75" style="width:12pt;height:12.75pt" o:ole="">
            <v:imagedata r:id="rId309" o:title=""/>
          </v:shape>
          <o:OLEObject Type="Embed" ProgID="Equation.DSMT4" ShapeID="_x0000_i1198" DrawAspect="Content" ObjectID="_1775045834" r:id="rId312"/>
        </w:object>
      </w:r>
      <w:r w:rsidRPr="00435183">
        <w:rPr>
          <w:rFonts w:eastAsiaTheme="minorEastAsia"/>
          <w:szCs w:val="24"/>
          <w:lang w:val="en-AU"/>
        </w:rPr>
        <w:t xml:space="preserve">. This begins with the estimation of the relative cost associated with each diagnosis profile </w:t>
      </w:r>
      <w:r w:rsidR="006400E1" w:rsidRPr="006924B6">
        <w:rPr>
          <w:position w:val="-14"/>
        </w:rPr>
        <w:object w:dxaOrig="880" w:dyaOrig="400" w14:anchorId="7D822338">
          <v:shape id="_x0000_i1199" type="#_x0000_t75" style="width:44.25pt;height:20.25pt" o:ole="">
            <v:imagedata r:id="rId64" o:title=""/>
          </v:shape>
          <o:OLEObject Type="Embed" ProgID="Equation.DSMT4" ShapeID="_x0000_i1199" DrawAspect="Content" ObjectID="_1775045835" r:id="rId313"/>
        </w:object>
      </w:r>
      <w:r w:rsidRPr="00435183">
        <w:rPr>
          <w:rFonts w:eastAsiaTheme="minorEastAsia"/>
          <w:szCs w:val="24"/>
          <w:lang w:val="en-AU"/>
        </w:rPr>
        <w:t xml:space="preserve">. These estimates are then combined across all ADRG profiles of </w:t>
      </w:r>
      <w:r w:rsidR="000B3D52" w:rsidRPr="000B3D52">
        <w:rPr>
          <w:rFonts w:eastAsiaTheme="minorEastAsia"/>
          <w:position w:val="-4"/>
          <w:szCs w:val="24"/>
          <w:lang w:val="en-AU"/>
        </w:rPr>
        <w:object w:dxaOrig="240" w:dyaOrig="260" w14:anchorId="048E278A">
          <v:shape id="_x0000_i1200" type="#_x0000_t75" style="width:12pt;height:12.75pt" o:ole="">
            <v:imagedata r:id="rId309" o:title=""/>
          </v:shape>
          <o:OLEObject Type="Embed" ProgID="Equation.DSMT4" ShapeID="_x0000_i1200" DrawAspect="Content" ObjectID="_1775045836" r:id="rId314"/>
        </w:object>
      </w:r>
      <w:r w:rsidRPr="00435183">
        <w:rPr>
          <w:rFonts w:eastAsiaTheme="minorEastAsia"/>
          <w:szCs w:val="24"/>
          <w:lang w:val="en-AU"/>
        </w:rPr>
        <w:t>.</w:t>
      </w:r>
    </w:p>
    <w:p w14:paraId="4508FB65" w14:textId="77777777" w:rsidR="005B5818" w:rsidRDefault="005B5818" w:rsidP="00B60372">
      <w:pPr>
        <w:rPr>
          <w:rFonts w:eastAsiaTheme="minorEastAsia"/>
          <w:szCs w:val="24"/>
          <w:lang w:val="en-AU"/>
        </w:rPr>
      </w:pPr>
      <w:r>
        <w:rPr>
          <w:rFonts w:eastAsiaTheme="minorEastAsia"/>
          <w:szCs w:val="24"/>
          <w:lang w:val="en-AU"/>
        </w:rPr>
        <w:t>The following notation is used to express these relative cost associations formally:</w:t>
      </w:r>
    </w:p>
    <w:p w14:paraId="04A12A8F" w14:textId="77777777" w:rsidR="005B5818" w:rsidRPr="00435183" w:rsidRDefault="005B5818" w:rsidP="00B60372">
      <w:pPr>
        <w:pStyle w:val="ListParagraph"/>
        <w:numPr>
          <w:ilvl w:val="0"/>
          <w:numId w:val="27"/>
        </w:numPr>
        <w:rPr>
          <w:szCs w:val="24"/>
          <w:lang w:val="en-AU"/>
        </w:rPr>
      </w:pPr>
      <w:r>
        <w:rPr>
          <w:rFonts w:eastAsiaTheme="minorEastAsia"/>
          <w:szCs w:val="24"/>
          <w:lang w:val="en-AU"/>
        </w:rPr>
        <w:t>t</w:t>
      </w:r>
      <w:r w:rsidRPr="00435183">
        <w:rPr>
          <w:rFonts w:eastAsiaTheme="minorEastAsia"/>
          <w:szCs w:val="24"/>
          <w:lang w:val="en-AU"/>
        </w:rPr>
        <w:t xml:space="preserve">he cost of an episode </w:t>
      </w:r>
      <w:r w:rsidR="00780E93" w:rsidRPr="00780E93">
        <w:rPr>
          <w:rFonts w:eastAsiaTheme="minorEastAsia"/>
          <w:position w:val="-6"/>
          <w:szCs w:val="24"/>
          <w:lang w:val="en-AU"/>
        </w:rPr>
        <w:object w:dxaOrig="180" w:dyaOrig="220" w14:anchorId="5C8F86EA">
          <v:shape id="_x0000_i1201" type="#_x0000_t75" style="width:9pt;height:11.25pt" o:ole="">
            <v:imagedata r:id="rId315" o:title=""/>
          </v:shape>
          <o:OLEObject Type="Embed" ProgID="Equation.DSMT4" ShapeID="_x0000_i1201" DrawAspect="Content" ObjectID="_1775045837" r:id="rId316"/>
        </w:object>
      </w:r>
      <w:r w:rsidR="00780E93">
        <w:rPr>
          <w:rFonts w:eastAsiaTheme="minorEastAsia"/>
          <w:szCs w:val="24"/>
          <w:lang w:val="en-AU"/>
        </w:rPr>
        <w:t xml:space="preserve"> </w:t>
      </w:r>
      <w:r w:rsidRPr="00435183">
        <w:rPr>
          <w:rFonts w:eastAsiaTheme="minorEastAsia"/>
          <w:szCs w:val="24"/>
          <w:lang w:val="en-AU"/>
        </w:rPr>
        <w:t>is denoted by</w:t>
      </w:r>
      <w:r w:rsidR="000B3D52">
        <w:rPr>
          <w:rFonts w:eastAsiaTheme="minorEastAsia"/>
          <w:szCs w:val="24"/>
          <w:lang w:val="en-AU"/>
        </w:rPr>
        <w:t xml:space="preserve"> </w:t>
      </w:r>
      <w:r w:rsidR="000B3D52" w:rsidRPr="000B3D52">
        <w:rPr>
          <w:rFonts w:eastAsiaTheme="minorEastAsia"/>
          <w:position w:val="-14"/>
          <w:szCs w:val="24"/>
          <w:lang w:val="en-AU"/>
        </w:rPr>
        <w:object w:dxaOrig="499" w:dyaOrig="400" w14:anchorId="0937982D">
          <v:shape id="_x0000_i1202" type="#_x0000_t75" style="width:24.75pt;height:20.25pt" o:ole="">
            <v:imagedata r:id="rId317" o:title=""/>
          </v:shape>
          <o:OLEObject Type="Embed" ProgID="Equation.DSMT4" ShapeID="_x0000_i1202" DrawAspect="Content" ObjectID="_1775045838" r:id="rId318"/>
        </w:object>
      </w:r>
      <w:r>
        <w:rPr>
          <w:rFonts w:eastAsiaTheme="minorEastAsia"/>
          <w:szCs w:val="24"/>
          <w:lang w:val="en-AU"/>
        </w:rPr>
        <w:t>; and</w:t>
      </w:r>
    </w:p>
    <w:p w14:paraId="35EA73C3" w14:textId="77777777" w:rsidR="005B5818" w:rsidRPr="00E45D81" w:rsidRDefault="005B5818" w:rsidP="00B60372">
      <w:pPr>
        <w:pStyle w:val="ListParagraph"/>
        <w:numPr>
          <w:ilvl w:val="0"/>
          <w:numId w:val="27"/>
        </w:numPr>
        <w:rPr>
          <w:szCs w:val="24"/>
          <w:lang w:val="en-AU"/>
        </w:rPr>
      </w:pPr>
      <w:r>
        <w:rPr>
          <w:rFonts w:eastAsiaTheme="minorEastAsia"/>
          <w:szCs w:val="24"/>
          <w:lang w:val="en-AU"/>
        </w:rPr>
        <w:t xml:space="preserve">the number of episodes in a set </w:t>
      </w:r>
      <w:r w:rsidR="000B3D52" w:rsidRPr="006924B6">
        <w:rPr>
          <w:position w:val="-14"/>
        </w:rPr>
        <w:object w:dxaOrig="880" w:dyaOrig="400" w14:anchorId="34D5AFAB">
          <v:shape id="_x0000_i1203" type="#_x0000_t75" style="width:44.25pt;height:20.25pt" o:ole="">
            <v:imagedata r:id="rId64" o:title=""/>
          </v:shape>
          <o:OLEObject Type="Embed" ProgID="Equation.DSMT4" ShapeID="_x0000_i1203" DrawAspect="Content" ObjectID="_1775045839" r:id="rId319"/>
        </w:object>
      </w:r>
      <w:r>
        <w:rPr>
          <w:rFonts w:eastAsiaTheme="minorEastAsia"/>
          <w:szCs w:val="24"/>
          <w:lang w:val="en-AU"/>
        </w:rPr>
        <w:t xml:space="preserve"> is denoted by</w:t>
      </w:r>
      <w:r w:rsidR="000B3D52">
        <w:rPr>
          <w:rFonts w:eastAsiaTheme="minorEastAsia"/>
          <w:szCs w:val="24"/>
          <w:lang w:val="en-AU"/>
        </w:rPr>
        <w:t xml:space="preserve"> </w:t>
      </w:r>
      <w:r w:rsidR="000B3D52" w:rsidRPr="000B3D52">
        <w:rPr>
          <w:position w:val="-16"/>
        </w:rPr>
        <w:object w:dxaOrig="960" w:dyaOrig="440" w14:anchorId="04C10B3E">
          <v:shape id="_x0000_i1204" type="#_x0000_t75" style="width:48pt;height:21.75pt" o:ole="">
            <v:imagedata r:id="rId320" o:title=""/>
          </v:shape>
          <o:OLEObject Type="Embed" ProgID="Equation.DSMT4" ShapeID="_x0000_i1204" DrawAspect="Content" ObjectID="_1775045840" r:id="rId321"/>
        </w:object>
      </w:r>
      <w:r>
        <w:rPr>
          <w:rFonts w:eastAsiaTheme="minorEastAsia"/>
          <w:szCs w:val="24"/>
          <w:lang w:val="en-AU"/>
        </w:rPr>
        <w:t>.</w:t>
      </w:r>
    </w:p>
    <w:p w14:paraId="7E67C213" w14:textId="77777777" w:rsidR="005B5818" w:rsidRPr="00435183" w:rsidRDefault="005B5818" w:rsidP="00B60372">
      <w:pPr>
        <w:keepNext/>
        <w:keepLines/>
        <w:rPr>
          <w:szCs w:val="24"/>
          <w:lang w:val="en-AU"/>
        </w:rPr>
      </w:pPr>
      <w:r w:rsidRPr="00435183">
        <w:rPr>
          <w:szCs w:val="24"/>
          <w:lang w:val="en-AU"/>
        </w:rPr>
        <w:lastRenderedPageBreak/>
        <w:t xml:space="preserve">Then, for a given diagnosis </w:t>
      </w:r>
      <w:r w:rsidR="000B3D52" w:rsidRPr="006924B6">
        <w:rPr>
          <w:position w:val="-6"/>
        </w:rPr>
        <w:object w:dxaOrig="200" w:dyaOrig="220" w14:anchorId="7CD8EE03">
          <v:shape id="_x0000_i1205" type="#_x0000_t75" style="width:9.75pt;height:11.25pt" o:ole="">
            <v:imagedata r:id="rId52" o:title=""/>
          </v:shape>
          <o:OLEObject Type="Embed" ProgID="Equation.DSMT4" ShapeID="_x0000_i1205" DrawAspect="Content" ObjectID="_1775045841" r:id="rId322"/>
        </w:object>
      </w:r>
      <w:r>
        <w:rPr>
          <w:rFonts w:eastAsiaTheme="minorEastAsia"/>
          <w:szCs w:val="24"/>
          <w:lang w:val="en-AU"/>
        </w:rPr>
        <w:t>, an</w:t>
      </w:r>
      <w:r w:rsidRPr="00435183">
        <w:rPr>
          <w:rFonts w:eastAsiaTheme="minorEastAsia"/>
          <w:szCs w:val="24"/>
          <w:lang w:val="en-AU"/>
        </w:rPr>
        <w:t xml:space="preserve"> ADRG </w:t>
      </w:r>
      <w:r w:rsidR="00BF368A" w:rsidRPr="00025957">
        <w:rPr>
          <w:position w:val="-4"/>
        </w:rPr>
        <w:object w:dxaOrig="240" w:dyaOrig="260" w14:anchorId="292FD48A">
          <v:shape id="_x0000_i1206" type="#_x0000_t75" style="width:12pt;height:12.75pt" o:ole="">
            <v:imagedata r:id="rId323" o:title=""/>
          </v:shape>
          <o:OLEObject Type="Embed" ProgID="Equation.DSMT4" ShapeID="_x0000_i1206" DrawAspect="Content" ObjectID="_1775045842" r:id="rId324"/>
        </w:object>
      </w:r>
      <w:r w:rsidRPr="00435183">
        <w:rPr>
          <w:rFonts w:eastAsiaTheme="minorEastAsia"/>
          <w:szCs w:val="24"/>
          <w:lang w:val="en-AU"/>
        </w:rPr>
        <w:t xml:space="preserve"> and </w:t>
      </w:r>
      <w:r>
        <w:rPr>
          <w:rFonts w:eastAsiaTheme="minorEastAsia"/>
          <w:szCs w:val="24"/>
          <w:lang w:val="en-AU"/>
        </w:rPr>
        <w:t xml:space="preserve">a </w:t>
      </w:r>
      <w:r w:rsidRPr="00435183">
        <w:rPr>
          <w:rFonts w:eastAsiaTheme="minorEastAsia"/>
          <w:szCs w:val="24"/>
          <w:lang w:val="en-AU"/>
        </w:rPr>
        <w:t xml:space="preserve">positive integer </w:t>
      </w:r>
      <w:r w:rsidR="000B3D52" w:rsidRPr="00F968BD">
        <w:rPr>
          <w:position w:val="-6"/>
        </w:rPr>
        <w:object w:dxaOrig="139" w:dyaOrig="260" w14:anchorId="2AF977E5">
          <v:shape id="_x0000_i1207" type="#_x0000_t75" style="width:6.75pt;height:12.75pt" o:ole="">
            <v:imagedata r:id="rId182" o:title=""/>
          </v:shape>
          <o:OLEObject Type="Embed" ProgID="Equation.DSMT4" ShapeID="_x0000_i1207" DrawAspect="Content" ObjectID="_1775045843" r:id="rId325"/>
        </w:object>
      </w:r>
      <w:r w:rsidRPr="00435183">
        <w:rPr>
          <w:rFonts w:eastAsiaTheme="minorEastAsia"/>
          <w:szCs w:val="24"/>
          <w:lang w:val="en-AU"/>
        </w:rPr>
        <w:t xml:space="preserve">, </w:t>
      </w:r>
      <w:r w:rsidRPr="00435183">
        <w:rPr>
          <w:szCs w:val="24"/>
          <w:lang w:val="en-AU"/>
        </w:rPr>
        <w:t>the</w:t>
      </w:r>
      <w:r>
        <w:rPr>
          <w:szCs w:val="24"/>
          <w:lang w:val="en-AU"/>
        </w:rPr>
        <w:t xml:space="preserve"> relative contribution of</w:t>
      </w:r>
      <w:r w:rsidR="00345851">
        <w:rPr>
          <w:szCs w:val="24"/>
          <w:lang w:val="en-AU"/>
        </w:rPr>
        <w:t xml:space="preserve"> </w:t>
      </w:r>
      <w:r w:rsidR="00780E93" w:rsidRPr="00780E93">
        <w:rPr>
          <w:position w:val="-6"/>
          <w:szCs w:val="24"/>
          <w:lang w:val="en-AU"/>
        </w:rPr>
        <w:object w:dxaOrig="200" w:dyaOrig="220" w14:anchorId="3F7943CA">
          <v:shape id="_x0000_i1208" type="#_x0000_t75" style="width:9.75pt;height:11.25pt" o:ole="">
            <v:imagedata r:id="rId326" o:title=""/>
          </v:shape>
          <o:OLEObject Type="Embed" ProgID="Equation.DSMT4" ShapeID="_x0000_i1208" DrawAspect="Content" ObjectID="_1775045844" r:id="rId327"/>
        </w:object>
      </w:r>
      <w:r w:rsidR="00780E93">
        <w:rPr>
          <w:szCs w:val="24"/>
          <w:lang w:val="en-AU"/>
        </w:rPr>
        <w:t xml:space="preserve"> </w:t>
      </w:r>
      <w:r>
        <w:rPr>
          <w:szCs w:val="24"/>
          <w:lang w:val="en-AU"/>
        </w:rPr>
        <w:t xml:space="preserve">in explaining the </w:t>
      </w:r>
      <w:r w:rsidRPr="00435183">
        <w:rPr>
          <w:szCs w:val="24"/>
          <w:lang w:val="en-AU"/>
        </w:rPr>
        <w:t xml:space="preserve">change in cost associated with </w:t>
      </w:r>
      <w:r w:rsidR="000B3D52" w:rsidRPr="006924B6">
        <w:rPr>
          <w:position w:val="-14"/>
        </w:rPr>
        <w:object w:dxaOrig="880" w:dyaOrig="400" w14:anchorId="2A2A6DAF">
          <v:shape id="_x0000_i1209" type="#_x0000_t75" style="width:44.25pt;height:20.25pt" o:ole="">
            <v:imagedata r:id="rId64" o:title=""/>
          </v:shape>
          <o:OLEObject Type="Embed" ProgID="Equation.DSMT4" ShapeID="_x0000_i1209" DrawAspect="Content" ObjectID="_1775045845" r:id="rId328"/>
        </w:object>
      </w:r>
      <w:r w:rsidRPr="00435183">
        <w:rPr>
          <w:rFonts w:eastAsiaTheme="minorEastAsia"/>
          <w:szCs w:val="24"/>
          <w:lang w:val="en-AU"/>
        </w:rPr>
        <w:t xml:space="preserve"> is defined as</w:t>
      </w:r>
      <w:r w:rsidR="0083600C">
        <w:rPr>
          <w:rFonts w:eastAsiaTheme="minorEastAsia"/>
          <w:szCs w:val="24"/>
          <w:lang w:val="en-AU"/>
        </w:rPr>
        <w:t>:</w:t>
      </w:r>
    </w:p>
    <w:p w14:paraId="6D8D429E" w14:textId="77777777" w:rsidR="005B5818" w:rsidRPr="00435183" w:rsidRDefault="00093DF9" w:rsidP="00B60372">
      <w:pPr>
        <w:pStyle w:val="MTDisplayEquation"/>
        <w:jc w:val="center"/>
        <w:rPr>
          <w:rFonts w:eastAsiaTheme="minorEastAsia"/>
          <w:szCs w:val="24"/>
        </w:rPr>
      </w:pPr>
      <w:r w:rsidRPr="006400E1">
        <w:rPr>
          <w:position w:val="-32"/>
        </w:rPr>
        <w:object w:dxaOrig="3460" w:dyaOrig="999" w14:anchorId="38BE891F">
          <v:shape id="_x0000_i1210" type="#_x0000_t75" style="width:273.75pt;height:78.75pt" o:ole="">
            <v:imagedata r:id="rId329" o:title=""/>
          </v:shape>
          <o:OLEObject Type="Embed" ProgID="Equation.DSMT4" ShapeID="_x0000_i1210" DrawAspect="Content" ObjectID="_1775045846" r:id="rId330"/>
        </w:object>
      </w:r>
    </w:p>
    <w:p w14:paraId="5F41A101" w14:textId="77777777" w:rsidR="005B5818" w:rsidRDefault="005B5818" w:rsidP="00B60372">
      <w:pPr>
        <w:rPr>
          <w:rFonts w:eastAsiaTheme="minorEastAsia"/>
          <w:szCs w:val="24"/>
        </w:rPr>
      </w:pPr>
      <w:r>
        <w:rPr>
          <w:rFonts w:eastAsiaTheme="minorEastAsia"/>
          <w:szCs w:val="24"/>
        </w:rPr>
        <w:t xml:space="preserve">In other words, the relative cost associated with </w:t>
      </w:r>
      <w:r w:rsidR="000B3D52" w:rsidRPr="006924B6">
        <w:rPr>
          <w:position w:val="-6"/>
        </w:rPr>
        <w:object w:dxaOrig="200" w:dyaOrig="220" w14:anchorId="009F4D19">
          <v:shape id="_x0000_i1211" type="#_x0000_t75" style="width:9.75pt;height:11.25pt" o:ole="">
            <v:imagedata r:id="rId52" o:title=""/>
          </v:shape>
          <o:OLEObject Type="Embed" ProgID="Equation.DSMT4" ShapeID="_x0000_i1211" DrawAspect="Content" ObjectID="_1775045847" r:id="rId331"/>
        </w:object>
      </w:r>
      <w:r>
        <w:rPr>
          <w:rFonts w:eastAsiaTheme="minorEastAsia"/>
          <w:szCs w:val="24"/>
        </w:rPr>
        <w:t xml:space="preserve"> in </w:t>
      </w:r>
      <w:r w:rsidR="000B3D52" w:rsidRPr="0084513A">
        <w:rPr>
          <w:position w:val="-14"/>
        </w:rPr>
        <w:object w:dxaOrig="660" w:dyaOrig="400" w14:anchorId="7A5D5B98">
          <v:shape id="_x0000_i1212" type="#_x0000_t75" style="width:33pt;height:20.25pt" o:ole="">
            <v:imagedata r:id="rId25" o:title=""/>
          </v:shape>
          <o:OLEObject Type="Embed" ProgID="Equation.DSMT4" ShapeID="_x0000_i1212" DrawAspect="Content" ObjectID="_1775045848" r:id="rId332"/>
        </w:object>
      </w:r>
      <w:r>
        <w:rPr>
          <w:rFonts w:eastAsiaTheme="minorEastAsia"/>
          <w:szCs w:val="24"/>
        </w:rPr>
        <w:t xml:space="preserve"> is equal to the geometric mean cost of episodes in </w:t>
      </w:r>
      <w:r w:rsidR="000B3D52" w:rsidRPr="006924B6">
        <w:rPr>
          <w:position w:val="-14"/>
        </w:rPr>
        <w:object w:dxaOrig="880" w:dyaOrig="400" w14:anchorId="6A8FDA2B">
          <v:shape id="_x0000_i1213" type="#_x0000_t75" style="width:44.25pt;height:20.25pt" o:ole="">
            <v:imagedata r:id="rId64" o:title=""/>
          </v:shape>
          <o:OLEObject Type="Embed" ProgID="Equation.DSMT4" ShapeID="_x0000_i1213" DrawAspect="Content" ObjectID="_1775045849" r:id="rId333"/>
        </w:object>
      </w:r>
      <w:r>
        <w:rPr>
          <w:rFonts w:eastAsiaTheme="minorEastAsia"/>
          <w:szCs w:val="24"/>
        </w:rPr>
        <w:t xml:space="preserve"> divided by the model value </w:t>
      </w:r>
      <w:r w:rsidR="000B3D52" w:rsidRPr="000B3D52">
        <w:rPr>
          <w:position w:val="-14"/>
        </w:rPr>
        <w:object w:dxaOrig="800" w:dyaOrig="400" w14:anchorId="2BB1840E">
          <v:shape id="_x0000_i1214" type="#_x0000_t75" style="width:39.75pt;height:20.25pt" o:ole="">
            <v:imagedata r:id="rId334" o:title=""/>
          </v:shape>
          <o:OLEObject Type="Embed" ProgID="Equation.DSMT4" ShapeID="_x0000_i1214" DrawAspect="Content" ObjectID="_1775045850" r:id="rId335"/>
        </w:object>
      </w:r>
      <w:r>
        <w:rPr>
          <w:rFonts w:eastAsiaTheme="minorEastAsia"/>
          <w:szCs w:val="24"/>
        </w:rPr>
        <w:t xml:space="preserve">. Note that </w:t>
      </w:r>
      <w:r w:rsidR="000B3D52" w:rsidRPr="000B3D52">
        <w:rPr>
          <w:position w:val="-14"/>
        </w:rPr>
        <w:object w:dxaOrig="800" w:dyaOrig="400" w14:anchorId="5423DE28">
          <v:shape id="_x0000_i1215" type="#_x0000_t75" style="width:39.75pt;height:20.25pt" o:ole="">
            <v:imagedata r:id="rId334" o:title=""/>
          </v:shape>
          <o:OLEObject Type="Embed" ProgID="Equation.DSMT4" ShapeID="_x0000_i1215" DrawAspect="Content" ObjectID="_1775045851" r:id="rId336"/>
        </w:object>
      </w:r>
      <w:r>
        <w:rPr>
          <w:rFonts w:eastAsiaTheme="minorEastAsia"/>
          <w:szCs w:val="24"/>
        </w:rPr>
        <w:t xml:space="preserve"> can be thought of as the modelled estimate of the geometric mean cost of episodes in </w:t>
      </w:r>
      <w:r w:rsidR="000B3D52" w:rsidRPr="00F968BD">
        <w:rPr>
          <w:position w:val="-14"/>
        </w:rPr>
        <w:object w:dxaOrig="800" w:dyaOrig="400" w14:anchorId="7F0E92E6">
          <v:shape id="_x0000_i1216" type="#_x0000_t75" style="width:39.75pt;height:20.25pt" o:ole="">
            <v:imagedata r:id="rId136" o:title=""/>
          </v:shape>
          <o:OLEObject Type="Embed" ProgID="Equation.DSMT4" ShapeID="_x0000_i1216" DrawAspect="Content" ObjectID="_1775045852" r:id="rId337"/>
        </w:object>
      </w:r>
      <w:r>
        <w:rPr>
          <w:rFonts w:eastAsiaTheme="minorEastAsia"/>
          <w:szCs w:val="24"/>
        </w:rPr>
        <w:t xml:space="preserve">. However, </w:t>
      </w:r>
      <w:r w:rsidR="000B3D52" w:rsidRPr="00804FF0">
        <w:rPr>
          <w:b/>
          <w:bCs/>
          <w:position w:val="-12"/>
          <w:lang w:val="en-AU"/>
        </w:rPr>
        <w:object w:dxaOrig="700" w:dyaOrig="360" w14:anchorId="6D2670BF">
          <v:shape id="_x0000_i1217" type="#_x0000_t75" style="width:35.25pt;height:18pt" o:ole="">
            <v:imagedata r:id="rId338" o:title=""/>
          </v:shape>
          <o:OLEObject Type="Embed" ProgID="Equation.DSMT4" ShapeID="_x0000_i1217" DrawAspect="Content" ObjectID="_1775045853" r:id="rId339"/>
        </w:object>
      </w:r>
      <w:r>
        <w:rPr>
          <w:rFonts w:eastAsiaTheme="minorEastAsia"/>
          <w:szCs w:val="24"/>
        </w:rPr>
        <w:t xml:space="preserve">, which is equal to the </w:t>
      </w:r>
      <w:r w:rsidR="00780E93" w:rsidRPr="00780E93">
        <w:rPr>
          <w:rFonts w:eastAsiaTheme="minorEastAsia"/>
          <w:position w:val="-6"/>
          <w:szCs w:val="24"/>
        </w:rPr>
        <w:object w:dxaOrig="200" w:dyaOrig="220" w14:anchorId="76C03E81">
          <v:shape id="_x0000_i1218" type="#_x0000_t75" style="width:9.75pt;height:11.25pt" o:ole="">
            <v:imagedata r:id="rId340" o:title=""/>
          </v:shape>
          <o:OLEObject Type="Embed" ProgID="Equation.DSMT4" ShapeID="_x0000_i1218" DrawAspect="Content" ObjectID="_1775045854" r:id="rId341"/>
        </w:object>
      </w:r>
      <w:r w:rsidR="00780E93">
        <w:rPr>
          <w:rFonts w:eastAsiaTheme="minorEastAsia"/>
          <w:szCs w:val="24"/>
        </w:rPr>
        <w:t xml:space="preserve"> </w:t>
      </w:r>
      <w:r>
        <w:rPr>
          <w:rFonts w:eastAsiaTheme="minorEastAsia"/>
          <w:szCs w:val="24"/>
        </w:rPr>
        <w:t xml:space="preserve">parameter from </w:t>
      </w:r>
      <w:r w:rsidR="000B3D52" w:rsidRPr="000B3D52">
        <w:rPr>
          <w:position w:val="-6"/>
        </w:rPr>
        <w:object w:dxaOrig="600" w:dyaOrig="520" w14:anchorId="482AC317">
          <v:shape id="_x0000_i1219" type="#_x0000_t75" style="width:30pt;height:26.25pt" o:ole="">
            <v:imagedata r:id="rId342" o:title=""/>
          </v:shape>
          <o:OLEObject Type="Embed" ProgID="Equation.DSMT4" ShapeID="_x0000_i1219" DrawAspect="Content" ObjectID="_1775045855" r:id="rId343"/>
        </w:object>
      </w:r>
      <w:r>
        <w:rPr>
          <w:rFonts w:eastAsiaTheme="minorEastAsia"/>
          <w:szCs w:val="24"/>
        </w:rPr>
        <w:t>,</w:t>
      </w:r>
      <w:r w:rsidR="00E36032">
        <w:rPr>
          <w:rFonts w:eastAsiaTheme="minorEastAsia"/>
          <w:szCs w:val="24"/>
        </w:rPr>
        <w:t xml:space="preserve"> </w:t>
      </w:r>
      <w:r>
        <w:rPr>
          <w:rFonts w:eastAsiaTheme="minorEastAsia"/>
          <w:szCs w:val="24"/>
        </w:rPr>
        <w:t xml:space="preserve">is used to define </w:t>
      </w:r>
      <w:r w:rsidR="000B3D52" w:rsidRPr="000B3D52">
        <w:rPr>
          <w:position w:val="-14"/>
        </w:rPr>
        <w:object w:dxaOrig="880" w:dyaOrig="400" w14:anchorId="2B8B164F">
          <v:shape id="_x0000_i1220" type="#_x0000_t75" style="width:44.25pt;height:20.25pt" o:ole="">
            <v:imagedata r:id="rId344" o:title=""/>
          </v:shape>
          <o:OLEObject Type="Embed" ProgID="Equation.DSMT4" ShapeID="_x0000_i1220" DrawAspect="Content" ObjectID="_1775045856" r:id="rId345"/>
        </w:object>
      </w:r>
      <w:r>
        <w:rPr>
          <w:rFonts w:eastAsiaTheme="minorEastAsia"/>
          <w:szCs w:val="24"/>
        </w:rPr>
        <w:t xml:space="preserve"> even though </w:t>
      </w:r>
      <w:r w:rsidR="000B3D52" w:rsidRPr="00804FF0">
        <w:rPr>
          <w:b/>
          <w:bCs/>
          <w:position w:val="-12"/>
          <w:lang w:val="en-AU"/>
        </w:rPr>
        <w:object w:dxaOrig="700" w:dyaOrig="360" w14:anchorId="11E39D15">
          <v:shape id="_x0000_i1221" type="#_x0000_t75" style="width:35.25pt;height:18pt" o:ole="">
            <v:imagedata r:id="rId346" o:title=""/>
          </v:shape>
          <o:OLEObject Type="Embed" ProgID="Equation.DSMT4" ShapeID="_x0000_i1221" DrawAspect="Content" ObjectID="_1775045857" r:id="rId347"/>
        </w:object>
      </w:r>
      <w:r>
        <w:rPr>
          <w:rFonts w:eastAsiaTheme="minorEastAsia"/>
          <w:szCs w:val="24"/>
        </w:rPr>
        <w:t xml:space="preserve"> is not defined.</w:t>
      </w:r>
      <w:r>
        <w:rPr>
          <w:rStyle w:val="FootnoteReference"/>
          <w:rFonts w:eastAsiaTheme="minorEastAsia"/>
          <w:szCs w:val="24"/>
        </w:rPr>
        <w:footnoteReference w:id="11"/>
      </w:r>
      <w:r>
        <w:rPr>
          <w:rFonts w:eastAsiaTheme="minorEastAsia"/>
          <w:szCs w:val="24"/>
        </w:rPr>
        <w:t xml:space="preserve"> </w:t>
      </w:r>
    </w:p>
    <w:p w14:paraId="73CA9C12" w14:textId="77777777" w:rsidR="005B5818" w:rsidRDefault="005B5818" w:rsidP="00B60372">
      <w:pPr>
        <w:rPr>
          <w:rFonts w:eastAsiaTheme="minorEastAsia"/>
          <w:szCs w:val="24"/>
        </w:rPr>
      </w:pPr>
      <w:r>
        <w:rPr>
          <w:rFonts w:eastAsiaTheme="minorEastAsia"/>
          <w:szCs w:val="24"/>
        </w:rPr>
        <w:t xml:space="preserve">The relative cost associated with </w:t>
      </w:r>
      <w:r w:rsidR="00780E93" w:rsidRPr="00780E93">
        <w:rPr>
          <w:rFonts w:eastAsiaTheme="minorEastAsia"/>
          <w:position w:val="-6"/>
          <w:szCs w:val="24"/>
        </w:rPr>
        <w:object w:dxaOrig="200" w:dyaOrig="220" w14:anchorId="640DF3F0">
          <v:shape id="_x0000_i1222" type="#_x0000_t75" style="width:9.75pt;height:11.25pt" o:ole="">
            <v:imagedata r:id="rId348" o:title=""/>
          </v:shape>
          <o:OLEObject Type="Embed" ProgID="Equation.DSMT4" ShapeID="_x0000_i1222" DrawAspect="Content" ObjectID="_1775045858" r:id="rId349"/>
        </w:object>
      </w:r>
      <w:r w:rsidR="00780E93">
        <w:rPr>
          <w:rFonts w:eastAsiaTheme="minorEastAsia"/>
          <w:szCs w:val="24"/>
        </w:rPr>
        <w:t xml:space="preserve"> </w:t>
      </w:r>
      <w:r>
        <w:rPr>
          <w:rFonts w:eastAsiaTheme="minorEastAsia"/>
          <w:szCs w:val="24"/>
        </w:rPr>
        <w:t xml:space="preserve">in </w:t>
      </w:r>
      <w:r w:rsidR="00780E93" w:rsidRPr="00780E93">
        <w:rPr>
          <w:rFonts w:eastAsiaTheme="minorEastAsia"/>
          <w:position w:val="-4"/>
          <w:szCs w:val="24"/>
        </w:rPr>
        <w:object w:dxaOrig="240" w:dyaOrig="260" w14:anchorId="065418B4">
          <v:shape id="_x0000_i1223" type="#_x0000_t75" style="width:12pt;height:12.75pt" o:ole="">
            <v:imagedata r:id="rId350" o:title=""/>
          </v:shape>
          <o:OLEObject Type="Embed" ProgID="Equation.DSMT4" ShapeID="_x0000_i1223" DrawAspect="Content" ObjectID="_1775045859" r:id="rId351"/>
        </w:object>
      </w:r>
      <w:r w:rsidR="00780E93">
        <w:rPr>
          <w:rFonts w:eastAsiaTheme="minorEastAsia"/>
          <w:szCs w:val="24"/>
        </w:rPr>
        <w:t xml:space="preserve"> </w:t>
      </w:r>
      <w:r>
        <w:rPr>
          <w:rFonts w:eastAsiaTheme="minorEastAsia"/>
          <w:szCs w:val="24"/>
        </w:rPr>
        <w:t xml:space="preserve">is then defined as the geometric mean of the </w:t>
      </w:r>
      <w:r w:rsidR="000B3D52" w:rsidRPr="000B3D52">
        <w:rPr>
          <w:position w:val="-14"/>
        </w:rPr>
        <w:object w:dxaOrig="880" w:dyaOrig="400" w14:anchorId="6344750D">
          <v:shape id="_x0000_i1224" type="#_x0000_t75" style="width:44.25pt;height:20.25pt" o:ole="">
            <v:imagedata r:id="rId352" o:title=""/>
          </v:shape>
          <o:OLEObject Type="Embed" ProgID="Equation.DSMT4" ShapeID="_x0000_i1224" DrawAspect="Content" ObjectID="_1775045860" r:id="rId353"/>
        </w:object>
      </w:r>
      <w:r>
        <w:rPr>
          <w:rFonts w:eastAsiaTheme="minorEastAsia"/>
          <w:szCs w:val="24"/>
        </w:rPr>
        <w:t xml:space="preserve"> weighted by the sample size of each </w:t>
      </w:r>
      <w:r w:rsidR="000B3D52" w:rsidRPr="006924B6">
        <w:rPr>
          <w:position w:val="-14"/>
        </w:rPr>
        <w:object w:dxaOrig="880" w:dyaOrig="400" w14:anchorId="544B4E63">
          <v:shape id="_x0000_i1225" type="#_x0000_t75" style="width:44.25pt;height:20.25pt" o:ole="">
            <v:imagedata r:id="rId64" o:title=""/>
          </v:shape>
          <o:OLEObject Type="Embed" ProgID="Equation.DSMT4" ShapeID="_x0000_i1225" DrawAspect="Content" ObjectID="_1775045861" r:id="rId354"/>
        </w:object>
      </w:r>
      <w:r>
        <w:rPr>
          <w:rFonts w:eastAsiaTheme="minorEastAsia"/>
          <w:szCs w:val="24"/>
        </w:rPr>
        <w:t>. That is,</w:t>
      </w:r>
    </w:p>
    <w:p w14:paraId="3ED25048" w14:textId="77777777" w:rsidR="005B5818" w:rsidRPr="00FE67F6" w:rsidRDefault="00093DF9" w:rsidP="00B60372">
      <w:pPr>
        <w:pStyle w:val="MTDisplayEquation"/>
        <w:jc w:val="center"/>
        <w:rPr>
          <w:rFonts w:eastAsiaTheme="minorEastAsia"/>
          <w:szCs w:val="24"/>
        </w:rPr>
      </w:pPr>
      <w:r w:rsidRPr="007E6DEC">
        <w:rPr>
          <w:position w:val="-30"/>
        </w:rPr>
        <w:object w:dxaOrig="3940" w:dyaOrig="800" w14:anchorId="680AFD8F">
          <v:shape id="_x0000_i1226" type="#_x0000_t75" style="width:294pt;height:59.25pt" o:ole="">
            <v:imagedata r:id="rId355" o:title=""/>
          </v:shape>
          <o:OLEObject Type="Embed" ProgID="Equation.DSMT4" ShapeID="_x0000_i1226" DrawAspect="Content" ObjectID="_1775045862" r:id="rId356"/>
        </w:object>
      </w:r>
    </w:p>
    <w:p w14:paraId="255EA9CF" w14:textId="77777777" w:rsidR="005B5818" w:rsidRPr="00E551EC" w:rsidRDefault="005B5818" w:rsidP="00B60372">
      <w:pPr>
        <w:rPr>
          <w:rFonts w:eastAsiaTheme="minorEastAsia"/>
          <w:szCs w:val="24"/>
        </w:rPr>
      </w:pPr>
      <w:r>
        <w:rPr>
          <w:rFonts w:eastAsiaTheme="minorEastAsia"/>
          <w:szCs w:val="24"/>
          <w:lang w:val="en-AU"/>
        </w:rPr>
        <w:t xml:space="preserve">As with the derivation of the </w:t>
      </w:r>
      <w:r w:rsidR="00974730" w:rsidRPr="00974730">
        <w:rPr>
          <w:position w:val="-14"/>
        </w:rPr>
        <w:object w:dxaOrig="660" w:dyaOrig="400" w14:anchorId="08AE4FBD">
          <v:shape id="_x0000_i1227" type="#_x0000_t75" style="width:33pt;height:20.25pt" o:ole="">
            <v:imagedata r:id="rId300" o:title=""/>
          </v:shape>
          <o:OLEObject Type="Embed" ProgID="Equation.DSMT4" ShapeID="_x0000_i1227" DrawAspect="Content" ObjectID="_1775045863" r:id="rId357"/>
        </w:object>
      </w:r>
      <w:r>
        <w:rPr>
          <w:rFonts w:eastAsiaTheme="minorEastAsia"/>
          <w:szCs w:val="24"/>
          <w:lang w:val="en-AU"/>
        </w:rPr>
        <w:t xml:space="preserve"> models, data is restricted to</w:t>
      </w:r>
      <w:r w:rsidR="007E6DEC" w:rsidRPr="0084513A">
        <w:rPr>
          <w:position w:val="-14"/>
        </w:rPr>
        <w:object w:dxaOrig="660" w:dyaOrig="400" w14:anchorId="2235B1A5">
          <v:shape id="_x0000_i1228" type="#_x0000_t75" style="width:33pt;height:20.25pt" o:ole="">
            <v:imagedata r:id="rId25" o:title=""/>
          </v:shape>
          <o:OLEObject Type="Embed" ProgID="Equation.DSMT4" ShapeID="_x0000_i1228" DrawAspect="Content" ObjectID="_1775045864" r:id="rId358"/>
        </w:object>
      </w:r>
      <w:r>
        <w:rPr>
          <w:rFonts w:eastAsiaTheme="minorEastAsia"/>
          <w:szCs w:val="24"/>
          <w:lang w:val="en-AU"/>
        </w:rPr>
        <w:t xml:space="preserve"> where</w:t>
      </w:r>
      <w:r w:rsidR="007E6DEC">
        <w:rPr>
          <w:rFonts w:eastAsiaTheme="minorEastAsia"/>
          <w:szCs w:val="24"/>
          <w:lang w:val="en-AU"/>
        </w:rPr>
        <w:t xml:space="preserve"> </w:t>
      </w:r>
      <w:r w:rsidR="007E6DEC" w:rsidRPr="007E6DEC">
        <w:rPr>
          <w:rFonts w:eastAsiaTheme="minorEastAsia"/>
          <w:position w:val="-6"/>
          <w:szCs w:val="24"/>
          <w:lang w:val="en-AU"/>
        </w:rPr>
        <w:object w:dxaOrig="620" w:dyaOrig="279" w14:anchorId="00ECD253">
          <v:shape id="_x0000_i1229" type="#_x0000_t75" style="width:30.75pt;height:14.25pt" o:ole="">
            <v:imagedata r:id="rId359" o:title=""/>
          </v:shape>
          <o:OLEObject Type="Embed" ProgID="Equation.DSMT4" ShapeID="_x0000_i1229" DrawAspect="Content" ObjectID="_1775045865" r:id="rId360"/>
        </w:object>
      </w:r>
      <w:r>
        <w:rPr>
          <w:rFonts w:eastAsiaTheme="minorEastAsia"/>
          <w:szCs w:val="24"/>
          <w:lang w:val="en-AU"/>
        </w:rPr>
        <w:t xml:space="preserve"> when calculating </w:t>
      </w:r>
      <w:r w:rsidR="00FF5B4D" w:rsidRPr="000B3D52">
        <w:rPr>
          <w:position w:val="-14"/>
        </w:rPr>
        <w:object w:dxaOrig="820" w:dyaOrig="400" w14:anchorId="184D634A">
          <v:shape id="_x0000_i1230" type="#_x0000_t75" style="width:41.25pt;height:20.25pt" o:ole="">
            <v:imagedata r:id="rId361" o:title=""/>
          </v:shape>
          <o:OLEObject Type="Embed" ProgID="Equation.DSMT4" ShapeID="_x0000_i1230" DrawAspect="Content" ObjectID="_1775045866" r:id="rId362"/>
        </w:object>
      </w:r>
      <w:r>
        <w:rPr>
          <w:rFonts w:eastAsiaTheme="minorEastAsia"/>
          <w:szCs w:val="24"/>
          <w:lang w:val="en-AU"/>
        </w:rPr>
        <w:t xml:space="preserve"> to minimise the effect of overly influential observations.</w:t>
      </w:r>
    </w:p>
    <w:p w14:paraId="3BA520E6" w14:textId="77777777" w:rsidR="005B5818" w:rsidRPr="0008767D" w:rsidRDefault="005B5818" w:rsidP="00B60372">
      <w:pPr>
        <w:pStyle w:val="Heading4"/>
      </w:pPr>
      <w:bookmarkStart w:id="69" w:name="_Ref391625516"/>
      <w:r>
        <w:t>D</w:t>
      </w:r>
      <w:r w:rsidRPr="0008767D">
        <w:t>erivation of the Diagnosis Complexity Level</w:t>
      </w:r>
      <w:bookmarkEnd w:id="69"/>
    </w:p>
    <w:p w14:paraId="48EBE1F5" w14:textId="77777777" w:rsidR="005B5818" w:rsidRPr="009D45A9" w:rsidRDefault="005B5818" w:rsidP="00B60372">
      <w:pPr>
        <w:rPr>
          <w:rFonts w:eastAsiaTheme="minorEastAsia"/>
          <w:szCs w:val="24"/>
          <w:lang w:val="en-AU"/>
        </w:rPr>
      </w:pPr>
      <w:r w:rsidRPr="00480458">
        <w:rPr>
          <w:szCs w:val="24"/>
          <w:lang w:val="en-AU"/>
        </w:rPr>
        <w:t>The fourth stage in the development of the ECC Model is to use the</w:t>
      </w:r>
      <w:r>
        <w:rPr>
          <w:szCs w:val="24"/>
          <w:lang w:val="en-AU"/>
        </w:rPr>
        <w:t xml:space="preserve"> relative cost estimates</w:t>
      </w:r>
      <w:r w:rsidRPr="00480458">
        <w:rPr>
          <w:szCs w:val="24"/>
          <w:lang w:val="en-AU"/>
        </w:rPr>
        <w:t xml:space="preserve"> </w:t>
      </w:r>
      <w:r w:rsidR="00FF5B4D" w:rsidRPr="000B3D52">
        <w:rPr>
          <w:position w:val="-14"/>
        </w:rPr>
        <w:object w:dxaOrig="820" w:dyaOrig="400" w14:anchorId="6BE6DD02">
          <v:shape id="_x0000_i1231" type="#_x0000_t75" style="width:41.25pt;height:20.25pt" o:ole="">
            <v:imagedata r:id="rId363" o:title=""/>
          </v:shape>
          <o:OLEObject Type="Embed" ProgID="Equation.DSMT4" ShapeID="_x0000_i1231" DrawAspect="Content" ObjectID="_1775045867" r:id="rId364"/>
        </w:object>
      </w:r>
      <w:r w:rsidRPr="00480458">
        <w:rPr>
          <w:szCs w:val="24"/>
          <w:lang w:val="en-AU"/>
        </w:rPr>
        <w:t xml:space="preserve"> </w:t>
      </w:r>
      <w:r>
        <w:rPr>
          <w:szCs w:val="24"/>
          <w:lang w:val="en-AU"/>
        </w:rPr>
        <w:t xml:space="preserve">to derive </w:t>
      </w:r>
      <w:r w:rsidRPr="00480458">
        <w:rPr>
          <w:szCs w:val="24"/>
          <w:lang w:val="en-AU"/>
        </w:rPr>
        <w:t xml:space="preserve">the DCL of each diagnosis within each ADRG. Every possible combination of diagnosis </w:t>
      </w:r>
      <w:r w:rsidR="00FF5B4D" w:rsidRPr="006924B6">
        <w:rPr>
          <w:position w:val="-6"/>
        </w:rPr>
        <w:object w:dxaOrig="200" w:dyaOrig="220" w14:anchorId="12B973E1">
          <v:shape id="_x0000_i1232" type="#_x0000_t75" style="width:9.75pt;height:11.25pt" o:ole="">
            <v:imagedata r:id="rId52" o:title=""/>
          </v:shape>
          <o:OLEObject Type="Embed" ProgID="Equation.DSMT4" ShapeID="_x0000_i1232" DrawAspect="Content" ObjectID="_1775045868" r:id="rId365"/>
        </w:object>
      </w:r>
      <w:r w:rsidRPr="00480458">
        <w:rPr>
          <w:rFonts w:eastAsiaTheme="minorEastAsia"/>
          <w:szCs w:val="24"/>
          <w:lang w:val="en-AU"/>
        </w:rPr>
        <w:t xml:space="preserve"> </w:t>
      </w:r>
      <w:r w:rsidRPr="00480458">
        <w:rPr>
          <w:szCs w:val="24"/>
          <w:lang w:val="en-AU"/>
        </w:rPr>
        <w:t xml:space="preserve">and ADRG </w:t>
      </w:r>
      <w:r w:rsidR="00FF5B4D" w:rsidRPr="00025957">
        <w:rPr>
          <w:position w:val="-4"/>
        </w:rPr>
        <w:object w:dxaOrig="240" w:dyaOrig="260" w14:anchorId="6F9F2805">
          <v:shape id="_x0000_i1233" type="#_x0000_t75" style="width:12pt;height:12.75pt" o:ole="">
            <v:imagedata r:id="rId54" o:title=""/>
          </v:shape>
          <o:OLEObject Type="Embed" ProgID="Equation.DSMT4" ShapeID="_x0000_i1233" DrawAspect="Content" ObjectID="_1775045869" r:id="rId366"/>
        </w:object>
      </w:r>
      <w:r w:rsidRPr="00480458">
        <w:rPr>
          <w:rFonts w:eastAsiaTheme="minorEastAsia"/>
          <w:szCs w:val="24"/>
          <w:lang w:val="en-AU"/>
        </w:rPr>
        <w:t xml:space="preserve"> </w:t>
      </w:r>
      <w:r w:rsidRPr="00480458">
        <w:rPr>
          <w:szCs w:val="24"/>
          <w:lang w:val="en-AU"/>
        </w:rPr>
        <w:t>is assigned a DCL, denoted</w:t>
      </w:r>
      <w:r w:rsidR="005E3E79">
        <w:rPr>
          <w:szCs w:val="24"/>
          <w:lang w:val="en-AU"/>
        </w:rPr>
        <w:t xml:space="preserve"> </w:t>
      </w:r>
      <w:r w:rsidR="00FF5B4D" w:rsidRPr="006924B6">
        <w:rPr>
          <w:position w:val="-14"/>
        </w:rPr>
        <w:object w:dxaOrig="1140" w:dyaOrig="400" w14:anchorId="47CF4B3E">
          <v:shape id="_x0000_i1234" type="#_x0000_t75" style="width:57pt;height:20.25pt" o:ole="">
            <v:imagedata r:id="rId367" o:title=""/>
          </v:shape>
          <o:OLEObject Type="Embed" ProgID="Equation.DSMT4" ShapeID="_x0000_i1234" DrawAspect="Content" ObjectID="_1775045870" r:id="rId368"/>
        </w:object>
      </w:r>
      <w:r w:rsidRPr="00480458">
        <w:rPr>
          <w:rFonts w:eastAsiaTheme="minorEastAsia"/>
          <w:szCs w:val="24"/>
          <w:lang w:val="en-AU"/>
        </w:rPr>
        <w:t>,</w:t>
      </w:r>
      <w:r w:rsidRPr="00480458">
        <w:rPr>
          <w:szCs w:val="24"/>
          <w:lang w:val="en-AU"/>
        </w:rPr>
        <w:t xml:space="preserve"> based on a </w:t>
      </w:r>
      <w:r w:rsidRPr="00480458">
        <w:rPr>
          <w:szCs w:val="24"/>
          <w:lang w:val="en-AU"/>
        </w:rPr>
        <w:lastRenderedPageBreak/>
        <w:t xml:space="preserve">standardised relative cost associated with </w:t>
      </w:r>
      <w:r w:rsidR="00FF5B4D" w:rsidRPr="006924B6">
        <w:rPr>
          <w:position w:val="-6"/>
        </w:rPr>
        <w:object w:dxaOrig="200" w:dyaOrig="220" w14:anchorId="76865413">
          <v:shape id="_x0000_i1235" type="#_x0000_t75" style="width:9.75pt;height:11.25pt" o:ole="">
            <v:imagedata r:id="rId52" o:title=""/>
          </v:shape>
          <o:OLEObject Type="Embed" ProgID="Equation.DSMT4" ShapeID="_x0000_i1235" DrawAspect="Content" ObjectID="_1775045871" r:id="rId369"/>
        </w:object>
      </w:r>
      <w:r w:rsidRPr="00480458">
        <w:rPr>
          <w:rFonts w:eastAsiaTheme="minorEastAsia"/>
          <w:szCs w:val="24"/>
          <w:lang w:val="en-AU"/>
        </w:rPr>
        <w:t xml:space="preserve"> in </w:t>
      </w:r>
      <w:r w:rsidR="00FF5B4D" w:rsidRPr="00025957">
        <w:rPr>
          <w:position w:val="-4"/>
        </w:rPr>
        <w:object w:dxaOrig="240" w:dyaOrig="260" w14:anchorId="1A5452D8">
          <v:shape id="_x0000_i1236" type="#_x0000_t75" style="width:12pt;height:12.75pt" o:ole="">
            <v:imagedata r:id="rId54" o:title=""/>
          </v:shape>
          <o:OLEObject Type="Embed" ProgID="Equation.DSMT4" ShapeID="_x0000_i1236" DrawAspect="Content" ObjectID="_1775045872" r:id="rId370"/>
        </w:object>
      </w:r>
      <w:r w:rsidRPr="00480458">
        <w:rPr>
          <w:rFonts w:eastAsiaTheme="minorEastAsia"/>
          <w:szCs w:val="24"/>
          <w:lang w:val="en-AU"/>
        </w:rPr>
        <w:t>. There are 16,708 diagnoses and 40</w:t>
      </w:r>
      <w:r w:rsidR="003346A7">
        <w:rPr>
          <w:rFonts w:eastAsiaTheme="minorEastAsia"/>
          <w:szCs w:val="24"/>
          <w:lang w:val="en-AU"/>
        </w:rPr>
        <w:t>3</w:t>
      </w:r>
      <w:r w:rsidRPr="00480458">
        <w:rPr>
          <w:rFonts w:eastAsiaTheme="minorEastAsia"/>
          <w:szCs w:val="24"/>
          <w:lang w:val="en-AU"/>
        </w:rPr>
        <w:t xml:space="preserve"> (non-error) ADRGs, which combine to give 6.7 million DCLs, illustrated by </w:t>
      </w:r>
      <w:r w:rsidR="00CC0F16">
        <w:fldChar w:fldCharType="begin"/>
      </w:r>
      <w:r w:rsidR="00CC0F16">
        <w:instrText xml:space="preserve"> REF _Ref391836486 \h  \* MERGEFORMAT </w:instrText>
      </w:r>
      <w:r w:rsidR="00CC0F16">
        <w:fldChar w:fldCharType="separate"/>
      </w:r>
      <w:r w:rsidR="0031717B" w:rsidRPr="0031717B">
        <w:rPr>
          <w:szCs w:val="24"/>
        </w:rPr>
        <w:t xml:space="preserve">Figure </w:t>
      </w:r>
      <w:r w:rsidR="0031717B" w:rsidRPr="0031717B">
        <w:rPr>
          <w:noProof/>
          <w:szCs w:val="24"/>
        </w:rPr>
        <w:t>13</w:t>
      </w:r>
      <w:r w:rsidR="00CC0F16">
        <w:fldChar w:fldCharType="end"/>
      </w:r>
      <w:r w:rsidRPr="00480458">
        <w:rPr>
          <w:szCs w:val="24"/>
        </w:rPr>
        <w:t>.</w:t>
      </w:r>
    </w:p>
    <w:p w14:paraId="1C485C02" w14:textId="77777777" w:rsidR="005B5818" w:rsidRPr="009D45A9" w:rsidRDefault="005B5818" w:rsidP="00B60372">
      <w:pPr>
        <w:pStyle w:val="Caption"/>
      </w:pPr>
      <w:bookmarkStart w:id="70" w:name="_Ref391836486"/>
      <w:bookmarkStart w:id="71" w:name="_Toc401061066"/>
      <w:r w:rsidRPr="009D45A9">
        <w:t xml:space="preserve">Figure </w:t>
      </w:r>
      <w:r w:rsidR="005559F5" w:rsidRPr="009D45A9">
        <w:fldChar w:fldCharType="begin"/>
      </w:r>
      <w:r w:rsidRPr="009D45A9">
        <w:instrText xml:space="preserve"> SEQ Figure \* ARABIC </w:instrText>
      </w:r>
      <w:r w:rsidR="005559F5" w:rsidRPr="009D45A9">
        <w:fldChar w:fldCharType="separate"/>
      </w:r>
      <w:r w:rsidR="0031717B">
        <w:rPr>
          <w:noProof/>
        </w:rPr>
        <w:t>13</w:t>
      </w:r>
      <w:r w:rsidR="005559F5" w:rsidRPr="009D45A9">
        <w:fldChar w:fldCharType="end"/>
      </w:r>
      <w:bookmarkEnd w:id="70"/>
      <w:r w:rsidRPr="009D45A9">
        <w:t>: Illustration of the DCL array</w:t>
      </w:r>
      <w:r w:rsidR="00981B6D">
        <w:t>.</w:t>
      </w:r>
      <w:bookmarkEnd w:id="71"/>
    </w:p>
    <w:p w14:paraId="1EFE70B3" w14:textId="77777777" w:rsidR="005B5818" w:rsidRDefault="005B5818" w:rsidP="00B60372">
      <w:pPr>
        <w:rPr>
          <w:rFonts w:eastAsiaTheme="minorEastAsia"/>
          <w:szCs w:val="24"/>
          <w:lang w:val="en-AU"/>
        </w:rPr>
      </w:pPr>
      <w:r>
        <w:rPr>
          <w:noProof/>
          <w:lang w:val="en-AU" w:eastAsia="en-AU"/>
        </w:rPr>
        <w:drawing>
          <wp:inline distT="0" distB="0" distL="0" distR="0" wp14:anchorId="2FFAD859" wp14:editId="454AAACB">
            <wp:extent cx="5109916" cy="1787703"/>
            <wp:effectExtent l="0" t="0" r="0" b="3175"/>
            <wp:docPr id="21" name="Picture 21" descr="The figure illustrates an array of 6,733,324 DCLS arranged by 403 ADRGs (columns) and 16,708 diagnoses (rows)." title="Illustration of the DCL 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1" cstate="print"/>
                    <a:stretch>
                      <a:fillRect/>
                    </a:stretch>
                  </pic:blipFill>
                  <pic:spPr>
                    <a:xfrm>
                      <a:off x="0" y="0"/>
                      <a:ext cx="5122131" cy="1791976"/>
                    </a:xfrm>
                    <a:prstGeom prst="rect">
                      <a:avLst/>
                    </a:prstGeom>
                  </pic:spPr>
                </pic:pic>
              </a:graphicData>
            </a:graphic>
          </wp:inline>
        </w:drawing>
      </w:r>
    </w:p>
    <w:p w14:paraId="223650CE" w14:textId="0FFC3182" w:rsidR="005B5818" w:rsidRDefault="005B5818" w:rsidP="00B60372">
      <w:pPr>
        <w:rPr>
          <w:rFonts w:eastAsiaTheme="minorEastAsia"/>
          <w:szCs w:val="24"/>
          <w:lang w:val="en-AU"/>
        </w:rPr>
      </w:pPr>
      <w:r>
        <w:rPr>
          <w:rFonts w:eastAsiaTheme="minorEastAsia"/>
          <w:szCs w:val="24"/>
          <w:lang w:val="en-AU"/>
        </w:rPr>
        <w:t xml:space="preserve">All out of scope diagnoses (i.e. unconditionally excluded diagnoses) are assigned a DCL of zero; that is, each unconditionally excluded diagnosis </w:t>
      </w:r>
      <w:r w:rsidR="00FF5B4D" w:rsidRPr="006924B6">
        <w:rPr>
          <w:position w:val="-6"/>
        </w:rPr>
        <w:object w:dxaOrig="200" w:dyaOrig="220" w14:anchorId="5C870D21">
          <v:shape id="_x0000_i1237" type="#_x0000_t75" style="width:9.75pt;height:11.25pt" o:ole="">
            <v:imagedata r:id="rId52" o:title=""/>
          </v:shape>
          <o:OLEObject Type="Embed" ProgID="Equation.DSMT4" ShapeID="_x0000_i1237" DrawAspect="Content" ObjectID="_1775045873" r:id="rId372"/>
        </w:object>
      </w:r>
      <w:r>
        <w:rPr>
          <w:rFonts w:eastAsiaTheme="minorEastAsia"/>
          <w:szCs w:val="24"/>
          <w:lang w:val="en-AU"/>
        </w:rPr>
        <w:t xml:space="preserve"> has</w:t>
      </w:r>
      <w:r w:rsidR="00FF5B4D">
        <w:rPr>
          <w:rFonts w:eastAsiaTheme="minorEastAsia"/>
          <w:szCs w:val="24"/>
          <w:lang w:val="en-AU"/>
        </w:rPr>
        <w:t xml:space="preserve"> </w:t>
      </w:r>
      <w:r w:rsidR="00FF5B4D" w:rsidRPr="006924B6">
        <w:rPr>
          <w:position w:val="-14"/>
        </w:rPr>
        <w:object w:dxaOrig="1500" w:dyaOrig="400" w14:anchorId="440F8D98">
          <v:shape id="_x0000_i1238" type="#_x0000_t75" style="width:75pt;height:20.25pt" o:ole="">
            <v:imagedata r:id="rId373" o:title=""/>
          </v:shape>
          <o:OLEObject Type="Embed" ProgID="Equation.DSMT4" ShapeID="_x0000_i1238" DrawAspect="Content" ObjectID="_1775045874" r:id="rId374"/>
        </w:object>
      </w:r>
      <w:r>
        <w:rPr>
          <w:rFonts w:eastAsiaTheme="minorEastAsia"/>
          <w:szCs w:val="24"/>
          <w:lang w:val="en-AU"/>
        </w:rPr>
        <w:t xml:space="preserve"> for all ADRGs </w:t>
      </w:r>
      <w:r w:rsidR="00E36032">
        <w:rPr>
          <w:rFonts w:eastAsiaTheme="minorEastAsia"/>
          <w:szCs w:val="24"/>
          <w:lang w:val="en-AU"/>
        </w:rPr>
        <w:br/>
      </w:r>
      <w:r w:rsidR="00FF5B4D" w:rsidRPr="00025957">
        <w:rPr>
          <w:position w:val="-4"/>
        </w:rPr>
        <w:object w:dxaOrig="240" w:dyaOrig="260" w14:anchorId="23B7DB8F">
          <v:shape id="_x0000_i1239" type="#_x0000_t75" style="width:12pt;height:12.75pt" o:ole="">
            <v:imagedata r:id="rId54" o:title=""/>
          </v:shape>
          <o:OLEObject Type="Embed" ProgID="Equation.DSMT4" ShapeID="_x0000_i1239" DrawAspect="Content" ObjectID="_1775045875" r:id="rId375"/>
        </w:object>
      </w:r>
      <w:r>
        <w:rPr>
          <w:rFonts w:eastAsiaTheme="minorEastAsia"/>
          <w:szCs w:val="24"/>
          <w:lang w:val="en-AU"/>
        </w:rPr>
        <w:t>. There</w:t>
      </w:r>
      <w:r w:rsidR="0036213A">
        <w:rPr>
          <w:rFonts w:eastAsiaTheme="minorEastAsia"/>
          <w:szCs w:val="24"/>
          <w:lang w:val="en-AU"/>
        </w:rPr>
        <w:t xml:space="preserve"> are 4,285 out of scope diagnosis codes</w:t>
      </w:r>
      <w:r>
        <w:rPr>
          <w:rFonts w:eastAsiaTheme="minorEastAsia"/>
          <w:szCs w:val="24"/>
          <w:lang w:val="en-AU"/>
        </w:rPr>
        <w:t xml:space="preserve"> (see </w:t>
      </w:r>
      <w:r w:rsidR="00E36032">
        <w:rPr>
          <w:rFonts w:eastAsiaTheme="minorEastAsia"/>
          <w:szCs w:val="24"/>
          <w:lang w:val="en-AU"/>
        </w:rPr>
        <w:t xml:space="preserve">the </w:t>
      </w:r>
      <w:r w:rsidR="00E36032" w:rsidRPr="00FB653B">
        <w:rPr>
          <w:rFonts w:eastAsiaTheme="minorEastAsia"/>
          <w:i/>
          <w:szCs w:val="24"/>
          <w:lang w:val="en-AU"/>
        </w:rPr>
        <w:fldChar w:fldCharType="begin"/>
      </w:r>
      <w:r w:rsidR="00E36032" w:rsidRPr="00FB653B">
        <w:rPr>
          <w:rFonts w:eastAsiaTheme="minorEastAsia"/>
          <w:i/>
          <w:szCs w:val="24"/>
          <w:lang w:val="en-AU"/>
        </w:rPr>
        <w:instrText xml:space="preserve"> REF _Ref393696697 \h </w:instrText>
      </w:r>
      <w:r w:rsidR="00E36032">
        <w:rPr>
          <w:rFonts w:eastAsiaTheme="minorEastAsia"/>
          <w:i/>
          <w:szCs w:val="24"/>
          <w:lang w:val="en-AU"/>
        </w:rPr>
        <w:instrText xml:space="preserve"> \* MERGEFORMAT </w:instrText>
      </w:r>
      <w:r w:rsidR="00E36032" w:rsidRPr="00FB653B">
        <w:rPr>
          <w:rFonts w:eastAsiaTheme="minorEastAsia"/>
          <w:i/>
          <w:szCs w:val="24"/>
          <w:lang w:val="en-AU"/>
        </w:rPr>
      </w:r>
      <w:r w:rsidR="00E36032" w:rsidRPr="00FB653B">
        <w:rPr>
          <w:rFonts w:eastAsiaTheme="minorEastAsia"/>
          <w:i/>
          <w:szCs w:val="24"/>
          <w:lang w:val="en-AU"/>
        </w:rPr>
        <w:fldChar w:fldCharType="separate"/>
      </w:r>
      <w:r w:rsidR="0031717B" w:rsidRPr="0031717B">
        <w:rPr>
          <w:i/>
        </w:rPr>
        <w:t>Guiding principles for Diagnosis Complexity Level assignment</w:t>
      </w:r>
      <w:r w:rsidR="00E36032" w:rsidRPr="00FB653B">
        <w:rPr>
          <w:rFonts w:eastAsiaTheme="minorEastAsia"/>
          <w:i/>
          <w:szCs w:val="24"/>
          <w:lang w:val="en-AU"/>
        </w:rPr>
        <w:fldChar w:fldCharType="end"/>
      </w:r>
      <w:r w:rsidR="00E36032">
        <w:rPr>
          <w:rFonts w:eastAsiaTheme="minorEastAsia"/>
          <w:szCs w:val="24"/>
          <w:lang w:val="en-AU"/>
        </w:rPr>
        <w:t xml:space="preserve"> on page </w:t>
      </w:r>
      <w:r w:rsidR="00E36032">
        <w:rPr>
          <w:rFonts w:eastAsiaTheme="minorEastAsia"/>
          <w:szCs w:val="24"/>
          <w:lang w:val="en-AU"/>
        </w:rPr>
        <w:fldChar w:fldCharType="begin"/>
      </w:r>
      <w:r w:rsidR="00E36032">
        <w:rPr>
          <w:rFonts w:eastAsiaTheme="minorEastAsia"/>
          <w:szCs w:val="24"/>
          <w:lang w:val="en-AU"/>
        </w:rPr>
        <w:instrText xml:space="preserve"> PAGEREF _Ref393696697 \h </w:instrText>
      </w:r>
      <w:r w:rsidR="00E36032">
        <w:rPr>
          <w:rFonts w:eastAsiaTheme="minorEastAsia"/>
          <w:szCs w:val="24"/>
          <w:lang w:val="en-AU"/>
        </w:rPr>
      </w:r>
      <w:r w:rsidR="00E36032">
        <w:rPr>
          <w:rFonts w:eastAsiaTheme="minorEastAsia"/>
          <w:szCs w:val="24"/>
          <w:lang w:val="en-AU"/>
        </w:rPr>
        <w:fldChar w:fldCharType="separate"/>
      </w:r>
      <w:r w:rsidR="0031717B">
        <w:rPr>
          <w:rFonts w:eastAsiaTheme="minorEastAsia"/>
          <w:noProof/>
          <w:szCs w:val="24"/>
          <w:lang w:val="en-AU"/>
        </w:rPr>
        <w:t>78</w:t>
      </w:r>
      <w:r w:rsidR="00E36032">
        <w:rPr>
          <w:rFonts w:eastAsiaTheme="minorEastAsia"/>
          <w:szCs w:val="24"/>
          <w:lang w:val="en-AU"/>
        </w:rPr>
        <w:fldChar w:fldCharType="end"/>
      </w:r>
      <w:r w:rsidR="0036213A">
        <w:rPr>
          <w:rFonts w:eastAsiaTheme="minorEastAsia"/>
          <w:szCs w:val="24"/>
          <w:lang w:val="en-AU"/>
        </w:rPr>
        <w:t>)</w:t>
      </w:r>
      <w:r>
        <w:rPr>
          <w:rFonts w:eastAsiaTheme="minorEastAsia"/>
          <w:szCs w:val="24"/>
          <w:lang w:val="en-AU"/>
        </w:rPr>
        <w:t xml:space="preserve">, leaving 12,423 in-scope diagnosis codes. Therefore, there are </w:t>
      </w:r>
      <w:r w:rsidRPr="007E1A0D">
        <w:rPr>
          <w:rFonts w:eastAsiaTheme="minorEastAsia"/>
          <w:szCs w:val="24"/>
          <w:lang w:val="en-AU"/>
        </w:rPr>
        <w:t>5</w:t>
      </w:r>
      <w:r>
        <w:rPr>
          <w:rFonts w:eastAsiaTheme="minorEastAsia"/>
          <w:szCs w:val="24"/>
          <w:lang w:val="en-AU"/>
        </w:rPr>
        <w:t>,</w:t>
      </w:r>
      <w:r w:rsidRPr="007E1A0D">
        <w:rPr>
          <w:rFonts w:eastAsiaTheme="minorEastAsia"/>
          <w:szCs w:val="24"/>
          <w:lang w:val="en-AU"/>
        </w:rPr>
        <w:t>006</w:t>
      </w:r>
      <w:r>
        <w:rPr>
          <w:rFonts w:eastAsiaTheme="minorEastAsia"/>
          <w:szCs w:val="24"/>
          <w:lang w:val="en-AU"/>
        </w:rPr>
        <w:t>,</w:t>
      </w:r>
      <w:r w:rsidR="003757ED">
        <w:rPr>
          <w:rFonts w:eastAsiaTheme="minorEastAsia"/>
          <w:szCs w:val="24"/>
          <w:lang w:val="en-AU"/>
        </w:rPr>
        <w:t>469</w:t>
      </w:r>
      <w:r>
        <w:rPr>
          <w:rFonts w:eastAsiaTheme="minorEastAsia"/>
          <w:szCs w:val="24"/>
          <w:lang w:val="en-AU"/>
        </w:rPr>
        <w:t xml:space="preserve"> entries in the DCL array that may be nonzero.</w:t>
      </w:r>
    </w:p>
    <w:p w14:paraId="18C6B725" w14:textId="77777777" w:rsidR="005B5818" w:rsidRDefault="005B5818" w:rsidP="00B60372">
      <w:pPr>
        <w:rPr>
          <w:rFonts w:eastAsiaTheme="minorEastAsia"/>
          <w:szCs w:val="24"/>
          <w:lang w:val="en-AU"/>
        </w:rPr>
      </w:pPr>
      <w:r>
        <w:rPr>
          <w:rFonts w:eastAsiaTheme="minorEastAsia"/>
          <w:szCs w:val="24"/>
          <w:lang w:val="en-AU"/>
        </w:rPr>
        <w:t xml:space="preserve">The first step in the derivation of DCLs for in-scope diagnoses is the combining of relative cost estimates </w:t>
      </w:r>
      <w:r w:rsidR="00FF5B4D" w:rsidRPr="000B3D52">
        <w:rPr>
          <w:position w:val="-14"/>
        </w:rPr>
        <w:object w:dxaOrig="820" w:dyaOrig="400" w14:anchorId="5F6EC088">
          <v:shape id="_x0000_i1240" type="#_x0000_t75" style="width:41.25pt;height:20.25pt" o:ole="">
            <v:imagedata r:id="rId363" o:title=""/>
          </v:shape>
          <o:OLEObject Type="Embed" ProgID="Equation.DSMT4" ShapeID="_x0000_i1240" DrawAspect="Content" ObjectID="_1775045876" r:id="rId376"/>
        </w:object>
      </w:r>
      <w:r>
        <w:rPr>
          <w:rFonts w:eastAsiaTheme="minorEastAsia"/>
          <w:szCs w:val="24"/>
          <w:lang w:val="en-AU"/>
        </w:rPr>
        <w:t xml:space="preserve"> to obtain adequate sample size and robustness of DCL estimation. To describe the way in which this occurs, a classification of diagnoses into what is termed </w:t>
      </w:r>
      <w:r w:rsidRPr="00215DA3">
        <w:rPr>
          <w:rFonts w:eastAsiaTheme="minorEastAsia"/>
          <w:i/>
          <w:szCs w:val="24"/>
          <w:lang w:val="en-AU"/>
        </w:rPr>
        <w:t>Coherent Diagnosis Classes</w:t>
      </w:r>
      <w:r>
        <w:rPr>
          <w:rFonts w:eastAsiaTheme="minorEastAsia"/>
          <w:i/>
          <w:szCs w:val="24"/>
          <w:lang w:val="en-AU"/>
        </w:rPr>
        <w:t xml:space="preserve"> </w:t>
      </w:r>
      <w:r>
        <w:rPr>
          <w:rFonts w:eastAsiaTheme="minorEastAsia"/>
          <w:szCs w:val="24"/>
          <w:lang w:val="en-AU"/>
        </w:rPr>
        <w:t>(</w:t>
      </w:r>
      <w:r w:rsidRPr="00215DA3">
        <w:rPr>
          <w:rFonts w:eastAsiaTheme="minorEastAsia"/>
          <w:i/>
          <w:szCs w:val="24"/>
          <w:lang w:val="en-AU"/>
        </w:rPr>
        <w:t>CDCs</w:t>
      </w:r>
      <w:r>
        <w:rPr>
          <w:rFonts w:eastAsiaTheme="minorEastAsia"/>
          <w:szCs w:val="24"/>
          <w:lang w:val="en-AU"/>
        </w:rPr>
        <w:t xml:space="preserve">) is required. Historically, CDCs have been referred to as Categorical </w:t>
      </w:r>
      <w:r w:rsidR="005E3E79">
        <w:rPr>
          <w:rFonts w:eastAsiaTheme="minorEastAsia"/>
          <w:szCs w:val="24"/>
          <w:lang w:val="en-AU"/>
        </w:rPr>
        <w:t>A</w:t>
      </w:r>
      <w:r>
        <w:rPr>
          <w:rFonts w:eastAsiaTheme="minorEastAsia"/>
          <w:szCs w:val="24"/>
          <w:lang w:val="en-AU"/>
        </w:rPr>
        <w:t>DRGs</w:t>
      </w:r>
      <w:r w:rsidR="005E3E79">
        <w:rPr>
          <w:rFonts w:eastAsiaTheme="minorEastAsia"/>
          <w:szCs w:val="24"/>
          <w:lang w:val="en-AU"/>
        </w:rPr>
        <w:t>.</w:t>
      </w:r>
      <w:r>
        <w:rPr>
          <w:rFonts w:eastAsiaTheme="minorEastAsia"/>
          <w:szCs w:val="24"/>
          <w:lang w:val="en-AU"/>
        </w:rPr>
        <w:t xml:space="preserve"> </w:t>
      </w:r>
      <w:r w:rsidR="005E3E79">
        <w:rPr>
          <w:rFonts w:eastAsiaTheme="minorEastAsia"/>
          <w:szCs w:val="24"/>
          <w:lang w:val="en-AU"/>
        </w:rPr>
        <w:t>H</w:t>
      </w:r>
      <w:r>
        <w:rPr>
          <w:rFonts w:eastAsiaTheme="minorEastAsia"/>
          <w:szCs w:val="24"/>
          <w:lang w:val="en-AU"/>
        </w:rPr>
        <w:t>owever, to avoid confusion with the ADRG episode classification, this diagnosis classification is termed CDC.</w:t>
      </w:r>
    </w:p>
    <w:p w14:paraId="1A6CC4C9" w14:textId="77777777" w:rsidR="005B5818" w:rsidRDefault="005B5818" w:rsidP="00B60372">
      <w:pPr>
        <w:rPr>
          <w:rFonts w:eastAsiaTheme="minorEastAsia"/>
          <w:szCs w:val="24"/>
          <w:lang w:val="en-AU"/>
        </w:rPr>
      </w:pPr>
      <w:r>
        <w:rPr>
          <w:rFonts w:eastAsiaTheme="minorEastAsia"/>
          <w:szCs w:val="24"/>
          <w:lang w:val="en-AU"/>
        </w:rPr>
        <w:t xml:space="preserve">The set of all CDCs aligns with the set of all ADRGs from the Medical Partition in the sense that diagnoses are classified into the same CDC if they appear as </w:t>
      </w:r>
      <w:proofErr w:type="spellStart"/>
      <w:r>
        <w:rPr>
          <w:rFonts w:eastAsiaTheme="minorEastAsia"/>
          <w:szCs w:val="24"/>
          <w:lang w:val="en-AU"/>
        </w:rPr>
        <w:t>PDxs</w:t>
      </w:r>
      <w:proofErr w:type="spellEnd"/>
      <w:r>
        <w:rPr>
          <w:rFonts w:eastAsiaTheme="minorEastAsia"/>
          <w:szCs w:val="24"/>
          <w:lang w:val="en-AU"/>
        </w:rPr>
        <w:t xml:space="preserve"> within the same medical ADRG. That is, for each Medical ADRG </w:t>
      </w:r>
      <w:r w:rsidR="00FF5B4D" w:rsidRPr="00025957">
        <w:rPr>
          <w:position w:val="-4"/>
        </w:rPr>
        <w:object w:dxaOrig="240" w:dyaOrig="260" w14:anchorId="36DD1B77">
          <v:shape id="_x0000_i1241" type="#_x0000_t75" style="width:12pt;height:12.75pt" o:ole="">
            <v:imagedata r:id="rId54" o:title=""/>
          </v:shape>
          <o:OLEObject Type="Embed" ProgID="Equation.DSMT4" ShapeID="_x0000_i1241" DrawAspect="Content" ObjectID="_1775045877" r:id="rId377"/>
        </w:object>
      </w:r>
      <w:r>
        <w:rPr>
          <w:rFonts w:eastAsiaTheme="minorEastAsia"/>
          <w:szCs w:val="24"/>
          <w:lang w:val="en-AU"/>
        </w:rPr>
        <w:t xml:space="preserve">, the set of </w:t>
      </w:r>
      <w:proofErr w:type="spellStart"/>
      <w:r>
        <w:rPr>
          <w:rFonts w:eastAsiaTheme="minorEastAsia"/>
          <w:szCs w:val="24"/>
          <w:lang w:val="en-AU"/>
        </w:rPr>
        <w:t>PDxs</w:t>
      </w:r>
      <w:proofErr w:type="spellEnd"/>
      <w:r>
        <w:rPr>
          <w:rFonts w:eastAsiaTheme="minorEastAsia"/>
          <w:szCs w:val="24"/>
          <w:lang w:val="en-AU"/>
        </w:rPr>
        <w:t xml:space="preserve"> of </w:t>
      </w:r>
      <w:r w:rsidR="00FF5B4D" w:rsidRPr="00025957">
        <w:rPr>
          <w:position w:val="-4"/>
        </w:rPr>
        <w:object w:dxaOrig="240" w:dyaOrig="260" w14:anchorId="5B7379F2">
          <v:shape id="_x0000_i1242" type="#_x0000_t75" style="width:12pt;height:12.75pt" o:ole="">
            <v:imagedata r:id="rId54" o:title=""/>
          </v:shape>
          <o:OLEObject Type="Embed" ProgID="Equation.DSMT4" ShapeID="_x0000_i1242" DrawAspect="Content" ObjectID="_1775045878" r:id="rId378"/>
        </w:object>
      </w:r>
      <w:r w:rsidR="00FF5B4D">
        <w:t xml:space="preserve"> </w:t>
      </w:r>
      <w:r>
        <w:rPr>
          <w:rFonts w:eastAsiaTheme="minorEastAsia"/>
          <w:szCs w:val="24"/>
          <w:lang w:val="en-AU"/>
        </w:rPr>
        <w:t xml:space="preserve">fall into the same CDC. There are several in-scope diagnoses that do not appear as a </w:t>
      </w:r>
      <w:proofErr w:type="spellStart"/>
      <w:r>
        <w:rPr>
          <w:rFonts w:eastAsiaTheme="minorEastAsia"/>
          <w:szCs w:val="24"/>
          <w:lang w:val="en-AU"/>
        </w:rPr>
        <w:t>PDx</w:t>
      </w:r>
      <w:proofErr w:type="spellEnd"/>
      <w:r>
        <w:rPr>
          <w:rFonts w:eastAsiaTheme="minorEastAsia"/>
          <w:szCs w:val="24"/>
          <w:lang w:val="en-AU"/>
        </w:rPr>
        <w:t xml:space="preserve"> for any Medical ADRG, and these diagnoses are assigned to a clinically appropriate CDC. There are also 67 diagnosis codes that have sex-specific CDC assignment. Appendix 8</w:t>
      </w:r>
      <w:r w:rsidRPr="001A4D07">
        <w:rPr>
          <w:rFonts w:eastAsiaTheme="minorEastAsia"/>
          <w:szCs w:val="24"/>
          <w:lang w:val="en-AU"/>
        </w:rPr>
        <w:t xml:space="preserve"> lists</w:t>
      </w:r>
      <w:r>
        <w:rPr>
          <w:rFonts w:eastAsiaTheme="minorEastAsia"/>
          <w:szCs w:val="24"/>
          <w:lang w:val="en-AU"/>
        </w:rPr>
        <w:t xml:space="preserve"> all in-scope diagnoses together with their CDC.</w:t>
      </w:r>
    </w:p>
    <w:p w14:paraId="59C60B4A" w14:textId="77777777" w:rsidR="005B5818" w:rsidRDefault="005B5818" w:rsidP="00B60372">
      <w:pPr>
        <w:rPr>
          <w:rFonts w:eastAsiaTheme="minorEastAsia"/>
          <w:szCs w:val="24"/>
          <w:lang w:val="en-AU"/>
        </w:rPr>
      </w:pPr>
      <w:r>
        <w:rPr>
          <w:rFonts w:eastAsiaTheme="minorEastAsia"/>
          <w:szCs w:val="24"/>
          <w:lang w:val="en-AU"/>
        </w:rPr>
        <w:lastRenderedPageBreak/>
        <w:t>The level of precision of DCLs needs to be balanced against sample variation, stability over time, and performance of the resulting ECC Model. With these factors in mind, the finest level of precision of the DCLs is generally taken to be the 3-character code category within CDC. That is, all codes that belong to the same 3-character code category and belong to the same CDC are assigned the same DCL. However, a DCL is only assigned at this level if there is adequate sample size to do so. A sample size of 100 episodes is taken as the minimum threshold used for the calculation of DCLs, and relative cost estimates are combined in a specific way until this threshold is reached.</w:t>
      </w:r>
    </w:p>
    <w:p w14:paraId="1DABFF89" w14:textId="0BCEA751" w:rsidR="005B5818" w:rsidRDefault="005B5818" w:rsidP="00B60372">
      <w:pPr>
        <w:rPr>
          <w:rFonts w:eastAsiaTheme="minorEastAsia"/>
          <w:szCs w:val="24"/>
          <w:lang w:val="en-AU"/>
        </w:rPr>
      </w:pPr>
      <w:r>
        <w:rPr>
          <w:rFonts w:eastAsiaTheme="minorEastAsia"/>
          <w:szCs w:val="24"/>
          <w:lang w:val="en-AU"/>
        </w:rPr>
        <w:t>Although the 3-character code category within CDC is generally taken as the default level of DCL precision</w:t>
      </w:r>
      <w:r w:rsidRPr="00D938C3">
        <w:rPr>
          <w:rFonts w:eastAsiaTheme="minorEastAsia"/>
          <w:szCs w:val="24"/>
          <w:lang w:val="en-AU"/>
        </w:rPr>
        <w:t xml:space="preserve">, </w:t>
      </w:r>
      <w:r w:rsidR="00E36032">
        <w:rPr>
          <w:rFonts w:eastAsiaTheme="minorEastAsia"/>
          <w:szCs w:val="24"/>
          <w:lang w:val="en-AU"/>
        </w:rPr>
        <w:t xml:space="preserve">the </w:t>
      </w:r>
      <w:r w:rsidR="00E36032" w:rsidRPr="00FB653B">
        <w:rPr>
          <w:rFonts w:eastAsiaTheme="minorEastAsia"/>
          <w:i/>
          <w:szCs w:val="24"/>
          <w:lang w:val="en-AU"/>
        </w:rPr>
        <w:fldChar w:fldCharType="begin"/>
      </w:r>
      <w:r w:rsidR="00E36032" w:rsidRPr="00FB653B">
        <w:rPr>
          <w:rFonts w:eastAsiaTheme="minorEastAsia"/>
          <w:i/>
          <w:szCs w:val="24"/>
          <w:lang w:val="en-AU"/>
        </w:rPr>
        <w:instrText xml:space="preserve"> REF _Ref400544765 \h </w:instrText>
      </w:r>
      <w:r w:rsidR="00E36032">
        <w:rPr>
          <w:rFonts w:eastAsiaTheme="minorEastAsia"/>
          <w:i/>
          <w:szCs w:val="24"/>
          <w:lang w:val="en-AU"/>
        </w:rPr>
        <w:instrText xml:space="preserve"> \* MERGEFORMAT </w:instrText>
      </w:r>
      <w:r w:rsidR="00E36032" w:rsidRPr="00FB653B">
        <w:rPr>
          <w:rFonts w:eastAsiaTheme="minorEastAsia"/>
          <w:i/>
          <w:szCs w:val="24"/>
          <w:lang w:val="en-AU"/>
        </w:rPr>
      </w:r>
      <w:r w:rsidR="00E36032" w:rsidRPr="00FB653B">
        <w:rPr>
          <w:rFonts w:eastAsiaTheme="minorEastAsia"/>
          <w:i/>
          <w:szCs w:val="24"/>
          <w:lang w:val="en-AU"/>
        </w:rPr>
        <w:fldChar w:fldCharType="separate"/>
      </w:r>
      <w:r w:rsidR="0031717B" w:rsidRPr="0031717B">
        <w:rPr>
          <w:i/>
        </w:rPr>
        <w:t>Enhancing DCL precision</w:t>
      </w:r>
      <w:r w:rsidR="00E36032" w:rsidRPr="00FB653B">
        <w:rPr>
          <w:rFonts w:eastAsiaTheme="minorEastAsia"/>
          <w:i/>
          <w:szCs w:val="24"/>
          <w:lang w:val="en-AU"/>
        </w:rPr>
        <w:fldChar w:fldCharType="end"/>
      </w:r>
      <w:r w:rsidR="00E36032">
        <w:rPr>
          <w:rFonts w:eastAsiaTheme="minorEastAsia"/>
          <w:szCs w:val="24"/>
          <w:lang w:val="en-AU"/>
        </w:rPr>
        <w:t xml:space="preserve"> section (page </w:t>
      </w:r>
      <w:r w:rsidR="00E36032">
        <w:rPr>
          <w:rFonts w:eastAsiaTheme="minorEastAsia"/>
          <w:szCs w:val="24"/>
          <w:lang w:val="en-AU"/>
        </w:rPr>
        <w:fldChar w:fldCharType="begin"/>
      </w:r>
      <w:r w:rsidR="00E36032">
        <w:rPr>
          <w:rFonts w:eastAsiaTheme="minorEastAsia"/>
          <w:szCs w:val="24"/>
          <w:lang w:val="en-AU"/>
        </w:rPr>
        <w:instrText xml:space="preserve"> PAGEREF _Ref400544787 \h </w:instrText>
      </w:r>
      <w:r w:rsidR="00E36032">
        <w:rPr>
          <w:rFonts w:eastAsiaTheme="minorEastAsia"/>
          <w:szCs w:val="24"/>
          <w:lang w:val="en-AU"/>
        </w:rPr>
      </w:r>
      <w:r w:rsidR="00E36032">
        <w:rPr>
          <w:rFonts w:eastAsiaTheme="minorEastAsia"/>
          <w:szCs w:val="24"/>
          <w:lang w:val="en-AU"/>
        </w:rPr>
        <w:fldChar w:fldCharType="separate"/>
      </w:r>
      <w:r w:rsidR="0031717B">
        <w:rPr>
          <w:rFonts w:eastAsiaTheme="minorEastAsia"/>
          <w:noProof/>
          <w:szCs w:val="24"/>
          <w:lang w:val="en-AU"/>
        </w:rPr>
        <w:t>113</w:t>
      </w:r>
      <w:r w:rsidR="00E36032">
        <w:rPr>
          <w:rFonts w:eastAsiaTheme="minorEastAsia"/>
          <w:szCs w:val="24"/>
          <w:lang w:val="en-AU"/>
        </w:rPr>
        <w:fldChar w:fldCharType="end"/>
      </w:r>
      <w:r w:rsidR="00E36032">
        <w:rPr>
          <w:rFonts w:eastAsiaTheme="minorEastAsia"/>
          <w:szCs w:val="24"/>
          <w:lang w:val="en-AU"/>
        </w:rPr>
        <w:t>)</w:t>
      </w:r>
      <w:r w:rsidRPr="00D938C3">
        <w:rPr>
          <w:rFonts w:eastAsiaTheme="minorEastAsia"/>
          <w:szCs w:val="24"/>
          <w:lang w:val="en-AU"/>
        </w:rPr>
        <w:t xml:space="preserve"> d</w:t>
      </w:r>
      <w:r w:rsidRPr="00692996">
        <w:rPr>
          <w:rFonts w:eastAsiaTheme="minorEastAsia"/>
          <w:szCs w:val="24"/>
          <w:lang w:val="en-AU"/>
        </w:rPr>
        <w:t>escribes</w:t>
      </w:r>
      <w:r>
        <w:rPr>
          <w:rFonts w:eastAsiaTheme="minorEastAsia"/>
          <w:szCs w:val="24"/>
          <w:lang w:val="en-AU"/>
        </w:rPr>
        <w:t xml:space="preserve"> how this level of precision may be enhanced to the fourth or fifth character level, with the fifth character level being the highest level of precision at full code specification.</w:t>
      </w:r>
    </w:p>
    <w:p w14:paraId="6A76E297" w14:textId="77777777" w:rsidR="005B5818" w:rsidRDefault="005B5818" w:rsidP="00B60372">
      <w:pPr>
        <w:rPr>
          <w:rFonts w:eastAsiaTheme="minorEastAsia"/>
          <w:szCs w:val="24"/>
          <w:lang w:val="en-AU"/>
        </w:rPr>
      </w:pPr>
      <w:r>
        <w:rPr>
          <w:rFonts w:eastAsiaTheme="minorEastAsia"/>
          <w:szCs w:val="24"/>
          <w:lang w:val="en-AU"/>
        </w:rPr>
        <w:t xml:space="preserve">The derivation of DCLs begins with the relative change in cost estimates </w:t>
      </w:r>
      <w:r w:rsidR="00FF5B4D" w:rsidRPr="000B3D52">
        <w:rPr>
          <w:position w:val="-14"/>
        </w:rPr>
        <w:object w:dxaOrig="820" w:dyaOrig="400" w14:anchorId="781A3152">
          <v:shape id="_x0000_i1243" type="#_x0000_t75" style="width:41.25pt;height:20.25pt" o:ole="">
            <v:imagedata r:id="rId363" o:title=""/>
          </v:shape>
          <o:OLEObject Type="Embed" ProgID="Equation.DSMT4" ShapeID="_x0000_i1243" DrawAspect="Content" ObjectID="_1775045879" r:id="rId379"/>
        </w:object>
      </w:r>
      <w:r>
        <w:rPr>
          <w:rFonts w:eastAsiaTheme="minorEastAsia"/>
          <w:szCs w:val="24"/>
          <w:lang w:val="en-AU"/>
        </w:rPr>
        <w:t xml:space="preserve"> defined in the previous section. However, as these estimates are combined to the level of 3-character code category within CDC, those diagnoses with sex-specific CDC assignment are split into male and female versions; that is, a diagnosis </w:t>
      </w:r>
      <w:r w:rsidR="00FF5B4D" w:rsidRPr="006924B6">
        <w:rPr>
          <w:position w:val="-6"/>
        </w:rPr>
        <w:object w:dxaOrig="200" w:dyaOrig="220" w14:anchorId="1FE31306">
          <v:shape id="_x0000_i1244" type="#_x0000_t75" style="width:9.75pt;height:11.25pt" o:ole="">
            <v:imagedata r:id="rId52" o:title=""/>
          </v:shape>
          <o:OLEObject Type="Embed" ProgID="Equation.DSMT4" ShapeID="_x0000_i1244" DrawAspect="Content" ObjectID="_1775045880" r:id="rId380"/>
        </w:object>
      </w:r>
      <w:r>
        <w:rPr>
          <w:rFonts w:eastAsiaTheme="minorEastAsia"/>
          <w:szCs w:val="24"/>
          <w:lang w:val="en-AU"/>
        </w:rPr>
        <w:t xml:space="preserve"> with sex-specific CDC assignment is split into a male version </w:t>
      </w:r>
      <w:r w:rsidR="00FF5B4D" w:rsidRPr="00FF5B4D">
        <w:rPr>
          <w:rFonts w:eastAsiaTheme="minorEastAsia"/>
          <w:position w:val="-12"/>
          <w:szCs w:val="24"/>
          <w:lang w:val="en-AU"/>
        </w:rPr>
        <w:object w:dxaOrig="340" w:dyaOrig="360" w14:anchorId="655D86F3">
          <v:shape id="_x0000_i1245" type="#_x0000_t75" style="width:17.25pt;height:18pt" o:ole="">
            <v:imagedata r:id="rId381" o:title=""/>
          </v:shape>
          <o:OLEObject Type="Embed" ProgID="Equation.DSMT4" ShapeID="_x0000_i1245" DrawAspect="Content" ObjectID="_1775045881" r:id="rId382"/>
        </w:object>
      </w:r>
      <w:r w:rsidR="00FF5B4D">
        <w:rPr>
          <w:rFonts w:eastAsiaTheme="minorEastAsia"/>
          <w:szCs w:val="24"/>
          <w:lang w:val="en-AU"/>
        </w:rPr>
        <w:t xml:space="preserve"> </w:t>
      </w:r>
      <w:r>
        <w:rPr>
          <w:rFonts w:eastAsiaTheme="minorEastAsia"/>
          <w:szCs w:val="24"/>
          <w:lang w:val="en-AU"/>
        </w:rPr>
        <w:t xml:space="preserve">and a female version </w:t>
      </w:r>
      <w:r w:rsidR="00FF5B4D" w:rsidRPr="00FF5B4D">
        <w:rPr>
          <w:rFonts w:eastAsiaTheme="minorEastAsia"/>
          <w:position w:val="-12"/>
          <w:szCs w:val="24"/>
          <w:lang w:val="en-AU"/>
        </w:rPr>
        <w:object w:dxaOrig="300" w:dyaOrig="360" w14:anchorId="500EF3D7">
          <v:shape id="_x0000_i1246" type="#_x0000_t75" style="width:15pt;height:18pt" o:ole="">
            <v:imagedata r:id="rId383" o:title=""/>
          </v:shape>
          <o:OLEObject Type="Embed" ProgID="Equation.DSMT4" ShapeID="_x0000_i1246" DrawAspect="Content" ObjectID="_1775045882" r:id="rId384"/>
        </w:object>
      </w:r>
      <w:r>
        <w:rPr>
          <w:rFonts w:eastAsiaTheme="minorEastAsia"/>
          <w:szCs w:val="24"/>
          <w:lang w:val="en-AU"/>
        </w:rPr>
        <w:t xml:space="preserve"> throughout the data. This results in two sets of relative cost estimates of the form</w:t>
      </w:r>
      <w:r w:rsidR="00FF5B4D" w:rsidRPr="000B3D52">
        <w:rPr>
          <w:position w:val="-14"/>
        </w:rPr>
        <w:object w:dxaOrig="980" w:dyaOrig="400" w14:anchorId="68AD5798">
          <v:shape id="_x0000_i1247" type="#_x0000_t75" style="width:48.75pt;height:20.25pt" o:ole="">
            <v:imagedata r:id="rId385" o:title=""/>
          </v:shape>
          <o:OLEObject Type="Embed" ProgID="Equation.DSMT4" ShapeID="_x0000_i1247" DrawAspect="Content" ObjectID="_1775045883" r:id="rId386"/>
        </w:object>
      </w:r>
      <w:r>
        <w:rPr>
          <w:rFonts w:eastAsiaTheme="minorEastAsia"/>
          <w:szCs w:val="24"/>
          <w:lang w:val="en-AU"/>
        </w:rPr>
        <w:t xml:space="preserve"> and </w:t>
      </w:r>
      <w:r w:rsidR="00FF5B4D" w:rsidRPr="000B3D52">
        <w:rPr>
          <w:position w:val="-14"/>
        </w:rPr>
        <w:object w:dxaOrig="960" w:dyaOrig="400" w14:anchorId="5D064FEA">
          <v:shape id="_x0000_i1248" type="#_x0000_t75" style="width:48pt;height:20.25pt" o:ole="">
            <v:imagedata r:id="rId387" o:title=""/>
          </v:shape>
          <o:OLEObject Type="Embed" ProgID="Equation.DSMT4" ShapeID="_x0000_i1248" DrawAspect="Content" ObjectID="_1775045884" r:id="rId388"/>
        </w:object>
      </w:r>
      <w:r>
        <w:rPr>
          <w:rFonts w:eastAsiaTheme="minorEastAsia"/>
          <w:szCs w:val="24"/>
          <w:lang w:val="en-AU"/>
        </w:rPr>
        <w:t>, which are then combined into their associated CDC groupings at the end of the DCL derivation process.</w:t>
      </w:r>
    </w:p>
    <w:p w14:paraId="6DDFA10E" w14:textId="77777777" w:rsidR="005B5818" w:rsidRDefault="005B5818" w:rsidP="00B60372">
      <w:pPr>
        <w:rPr>
          <w:rFonts w:eastAsiaTheme="minorEastAsia"/>
          <w:szCs w:val="24"/>
          <w:lang w:val="en-AU"/>
        </w:rPr>
      </w:pPr>
      <w:r>
        <w:rPr>
          <w:rFonts w:eastAsiaTheme="minorEastAsia"/>
          <w:szCs w:val="24"/>
          <w:lang w:val="en-AU"/>
        </w:rPr>
        <w:t>As indicated above, the process of DCL calculation is dependent on a sample size threshold of 100 episodes, and this threshold is obtained by combining relative cost estimates through an increasing hierarchy of episode groupings. There are two dimensions in which the relative cost estimates</w:t>
      </w:r>
      <w:r w:rsidR="00FF5B4D">
        <w:rPr>
          <w:rFonts w:eastAsiaTheme="minorEastAsia"/>
          <w:szCs w:val="24"/>
          <w:lang w:val="en-AU"/>
        </w:rPr>
        <w:t xml:space="preserve"> </w:t>
      </w:r>
      <w:r w:rsidR="00FF5B4D" w:rsidRPr="000B3D52">
        <w:rPr>
          <w:position w:val="-14"/>
        </w:rPr>
        <w:object w:dxaOrig="820" w:dyaOrig="400" w14:anchorId="56349AD9">
          <v:shape id="_x0000_i1249" type="#_x0000_t75" style="width:41.25pt;height:20.25pt" o:ole="">
            <v:imagedata r:id="rId363" o:title=""/>
          </v:shape>
          <o:OLEObject Type="Embed" ProgID="Equation.DSMT4" ShapeID="_x0000_i1249" DrawAspect="Content" ObjectID="_1775045885" r:id="rId389"/>
        </w:object>
      </w:r>
      <w:r>
        <w:rPr>
          <w:rFonts w:eastAsiaTheme="minorEastAsia"/>
          <w:szCs w:val="24"/>
          <w:lang w:val="en-AU"/>
        </w:rPr>
        <w:t xml:space="preserve"> may be aggregated: the diagnosis dimension and the ADRG dimension, with the diagnosis dimension taken as the preferred direction of aggregation.</w:t>
      </w:r>
    </w:p>
    <w:p w14:paraId="37328CFF" w14:textId="77777777" w:rsidR="005B5818" w:rsidRDefault="005B5818" w:rsidP="00B60372">
      <w:pPr>
        <w:keepNext/>
        <w:spacing w:after="0"/>
        <w:rPr>
          <w:rFonts w:eastAsiaTheme="minorEastAsia"/>
          <w:szCs w:val="24"/>
          <w:lang w:val="en-AU"/>
        </w:rPr>
      </w:pPr>
      <w:r>
        <w:rPr>
          <w:rFonts w:eastAsiaTheme="minorEastAsia"/>
          <w:szCs w:val="24"/>
          <w:lang w:val="en-AU"/>
        </w:rPr>
        <w:lastRenderedPageBreak/>
        <w:t>There are seven levels of aggregation used in the diagnosis dimension (with level 3 being the default starting level):</w:t>
      </w:r>
    </w:p>
    <w:p w14:paraId="2957F6AB" w14:textId="77777777" w:rsidR="005B5818" w:rsidRDefault="005B5818" w:rsidP="00B60372">
      <w:pPr>
        <w:pStyle w:val="ListParagraph"/>
        <w:keepNext/>
        <w:numPr>
          <w:ilvl w:val="0"/>
          <w:numId w:val="28"/>
        </w:numPr>
        <w:rPr>
          <w:rFonts w:eastAsiaTheme="minorEastAsia"/>
          <w:szCs w:val="24"/>
          <w:lang w:val="en-AU"/>
        </w:rPr>
      </w:pPr>
      <w:r>
        <w:rPr>
          <w:rFonts w:eastAsiaTheme="minorEastAsia"/>
          <w:szCs w:val="24"/>
          <w:lang w:val="en-AU"/>
        </w:rPr>
        <w:t>diagnosis code;</w:t>
      </w:r>
    </w:p>
    <w:p w14:paraId="2E9EC468" w14:textId="77777777" w:rsidR="005B5818" w:rsidRDefault="005B5818" w:rsidP="00B60372">
      <w:pPr>
        <w:pStyle w:val="ListParagraph"/>
        <w:keepNext/>
        <w:numPr>
          <w:ilvl w:val="0"/>
          <w:numId w:val="28"/>
        </w:numPr>
        <w:rPr>
          <w:rFonts w:eastAsiaTheme="minorEastAsia"/>
          <w:szCs w:val="24"/>
          <w:lang w:val="en-AU"/>
        </w:rPr>
      </w:pPr>
      <w:r>
        <w:rPr>
          <w:rFonts w:eastAsiaTheme="minorEastAsia"/>
          <w:szCs w:val="24"/>
          <w:lang w:val="en-AU"/>
        </w:rPr>
        <w:t>4-character category within CDC;</w:t>
      </w:r>
    </w:p>
    <w:p w14:paraId="1BE18BCC" w14:textId="77777777" w:rsidR="005B5818" w:rsidRDefault="005B5818" w:rsidP="00B60372">
      <w:pPr>
        <w:pStyle w:val="ListParagraph"/>
        <w:keepNext/>
        <w:numPr>
          <w:ilvl w:val="0"/>
          <w:numId w:val="28"/>
        </w:numPr>
        <w:rPr>
          <w:rFonts w:eastAsiaTheme="minorEastAsia"/>
          <w:szCs w:val="24"/>
          <w:lang w:val="en-AU"/>
        </w:rPr>
      </w:pPr>
      <w:r>
        <w:rPr>
          <w:rFonts w:eastAsiaTheme="minorEastAsia"/>
          <w:szCs w:val="24"/>
          <w:lang w:val="en-AU"/>
        </w:rPr>
        <w:t>3-character category within CDC;</w:t>
      </w:r>
    </w:p>
    <w:p w14:paraId="36BCC58F" w14:textId="77777777" w:rsidR="005B5818" w:rsidRDefault="005B5818" w:rsidP="00B60372">
      <w:pPr>
        <w:pStyle w:val="ListParagraph"/>
        <w:keepNext/>
        <w:numPr>
          <w:ilvl w:val="0"/>
          <w:numId w:val="28"/>
        </w:numPr>
        <w:rPr>
          <w:rFonts w:eastAsiaTheme="minorEastAsia"/>
          <w:szCs w:val="24"/>
          <w:lang w:val="en-AU"/>
        </w:rPr>
      </w:pPr>
      <w:r>
        <w:rPr>
          <w:rFonts w:eastAsiaTheme="minorEastAsia"/>
          <w:szCs w:val="24"/>
          <w:lang w:val="en-AU"/>
        </w:rPr>
        <w:t>Code Block within CDC;</w:t>
      </w:r>
    </w:p>
    <w:p w14:paraId="02F3DE7D" w14:textId="77777777" w:rsidR="005B5818" w:rsidRDefault="005B5818" w:rsidP="00B60372">
      <w:pPr>
        <w:pStyle w:val="ListParagraph"/>
        <w:keepNext/>
        <w:numPr>
          <w:ilvl w:val="0"/>
          <w:numId w:val="28"/>
        </w:numPr>
        <w:rPr>
          <w:rFonts w:eastAsiaTheme="minorEastAsia"/>
          <w:szCs w:val="24"/>
          <w:lang w:val="en-AU"/>
        </w:rPr>
      </w:pPr>
      <w:r>
        <w:rPr>
          <w:rFonts w:eastAsiaTheme="minorEastAsia"/>
          <w:szCs w:val="24"/>
          <w:lang w:val="en-AU"/>
        </w:rPr>
        <w:t>Code Section within CDC;</w:t>
      </w:r>
    </w:p>
    <w:p w14:paraId="60AB0539" w14:textId="77777777" w:rsidR="005B5818" w:rsidRDefault="005B5818" w:rsidP="00B60372">
      <w:pPr>
        <w:pStyle w:val="ListParagraph"/>
        <w:keepNext/>
        <w:numPr>
          <w:ilvl w:val="0"/>
          <w:numId w:val="28"/>
        </w:numPr>
        <w:rPr>
          <w:rFonts w:eastAsiaTheme="minorEastAsia"/>
          <w:szCs w:val="24"/>
          <w:lang w:val="en-AU"/>
        </w:rPr>
      </w:pPr>
      <w:r>
        <w:rPr>
          <w:rFonts w:eastAsiaTheme="minorEastAsia"/>
          <w:szCs w:val="24"/>
          <w:lang w:val="en-AU"/>
        </w:rPr>
        <w:t>Code Chapter within CDC; and</w:t>
      </w:r>
    </w:p>
    <w:p w14:paraId="1BF4552C" w14:textId="77777777" w:rsidR="005B5818" w:rsidRPr="00B63922" w:rsidRDefault="005B5818" w:rsidP="00B60372">
      <w:pPr>
        <w:pStyle w:val="ListParagraph"/>
        <w:numPr>
          <w:ilvl w:val="0"/>
          <w:numId w:val="28"/>
        </w:numPr>
        <w:rPr>
          <w:rFonts w:eastAsiaTheme="minorEastAsia"/>
          <w:szCs w:val="24"/>
          <w:lang w:val="en-AU"/>
        </w:rPr>
      </w:pPr>
      <w:r>
        <w:rPr>
          <w:rFonts w:eastAsiaTheme="minorEastAsia"/>
          <w:szCs w:val="24"/>
          <w:lang w:val="en-AU"/>
        </w:rPr>
        <w:t>CDC.</w:t>
      </w:r>
    </w:p>
    <w:p w14:paraId="07742DF6" w14:textId="77777777" w:rsidR="005B5818" w:rsidRDefault="005B5818" w:rsidP="00B60372">
      <w:pPr>
        <w:spacing w:after="0"/>
        <w:rPr>
          <w:szCs w:val="24"/>
          <w:lang w:val="en-AU"/>
        </w:rPr>
      </w:pPr>
      <w:r>
        <w:rPr>
          <w:szCs w:val="24"/>
          <w:lang w:val="en-AU"/>
        </w:rPr>
        <w:t>There are four levels of aggregation used in the ADRG dimension:</w:t>
      </w:r>
    </w:p>
    <w:p w14:paraId="0F13F9F5" w14:textId="77777777" w:rsidR="005B5818" w:rsidRDefault="005B5818" w:rsidP="00B60372">
      <w:pPr>
        <w:pStyle w:val="ListParagraph"/>
        <w:numPr>
          <w:ilvl w:val="0"/>
          <w:numId w:val="29"/>
        </w:numPr>
        <w:rPr>
          <w:szCs w:val="24"/>
          <w:lang w:val="en-AU"/>
        </w:rPr>
      </w:pPr>
      <w:r>
        <w:rPr>
          <w:szCs w:val="24"/>
          <w:lang w:val="en-AU"/>
        </w:rPr>
        <w:t>ADRG;</w:t>
      </w:r>
    </w:p>
    <w:p w14:paraId="0C68D957" w14:textId="77777777" w:rsidR="005B5818" w:rsidRDefault="005B5818" w:rsidP="00B60372">
      <w:pPr>
        <w:pStyle w:val="ListParagraph"/>
        <w:numPr>
          <w:ilvl w:val="0"/>
          <w:numId w:val="29"/>
        </w:numPr>
        <w:rPr>
          <w:szCs w:val="24"/>
          <w:lang w:val="en-AU"/>
        </w:rPr>
      </w:pPr>
      <w:r>
        <w:rPr>
          <w:szCs w:val="24"/>
          <w:lang w:val="en-AU"/>
        </w:rPr>
        <w:t>M</w:t>
      </w:r>
      <w:r w:rsidR="000A2684">
        <w:rPr>
          <w:szCs w:val="24"/>
          <w:lang w:val="en-AU"/>
        </w:rPr>
        <w:t xml:space="preserve">ajor </w:t>
      </w:r>
      <w:r>
        <w:rPr>
          <w:szCs w:val="24"/>
          <w:lang w:val="en-AU"/>
        </w:rPr>
        <w:t>D</w:t>
      </w:r>
      <w:r w:rsidR="000A2684">
        <w:rPr>
          <w:szCs w:val="24"/>
          <w:lang w:val="en-AU"/>
        </w:rPr>
        <w:t xml:space="preserve">iagnostic </w:t>
      </w:r>
      <w:r>
        <w:rPr>
          <w:szCs w:val="24"/>
          <w:lang w:val="en-AU"/>
        </w:rPr>
        <w:t>C</w:t>
      </w:r>
      <w:r w:rsidR="000A2684">
        <w:rPr>
          <w:szCs w:val="24"/>
          <w:lang w:val="en-AU"/>
        </w:rPr>
        <w:t>ategory (MDC)</w:t>
      </w:r>
      <w:r>
        <w:rPr>
          <w:szCs w:val="24"/>
          <w:lang w:val="en-AU"/>
        </w:rPr>
        <w:t xml:space="preserve"> by Partition;</w:t>
      </w:r>
    </w:p>
    <w:p w14:paraId="2D668DF6" w14:textId="77777777" w:rsidR="005B5818" w:rsidRDefault="005B5818" w:rsidP="00B60372">
      <w:pPr>
        <w:pStyle w:val="ListParagraph"/>
        <w:numPr>
          <w:ilvl w:val="0"/>
          <w:numId w:val="29"/>
        </w:numPr>
        <w:rPr>
          <w:szCs w:val="24"/>
          <w:lang w:val="en-AU"/>
        </w:rPr>
      </w:pPr>
      <w:r>
        <w:rPr>
          <w:szCs w:val="24"/>
          <w:lang w:val="en-AU"/>
        </w:rPr>
        <w:t>MDC; and</w:t>
      </w:r>
    </w:p>
    <w:p w14:paraId="5260E86A" w14:textId="77777777" w:rsidR="005B5818" w:rsidRPr="00B63922" w:rsidRDefault="005B5818" w:rsidP="00B60372">
      <w:pPr>
        <w:pStyle w:val="ListParagraph"/>
        <w:numPr>
          <w:ilvl w:val="0"/>
          <w:numId w:val="29"/>
        </w:numPr>
        <w:rPr>
          <w:szCs w:val="24"/>
          <w:lang w:val="en-AU"/>
        </w:rPr>
      </w:pPr>
      <w:r>
        <w:rPr>
          <w:szCs w:val="24"/>
          <w:lang w:val="en-AU"/>
        </w:rPr>
        <w:t>All ADRGs.</w:t>
      </w:r>
    </w:p>
    <w:p w14:paraId="6AC10060" w14:textId="77777777" w:rsidR="005B5818" w:rsidRDefault="00CC0F16" w:rsidP="00B60372">
      <w:pPr>
        <w:rPr>
          <w:szCs w:val="24"/>
          <w:lang w:val="en-AU"/>
        </w:rPr>
      </w:pPr>
      <w:r>
        <w:fldChar w:fldCharType="begin"/>
      </w:r>
      <w:r>
        <w:instrText xml:space="preserve"> REF _Ref391033731 \h  \* MERGEFORMAT </w:instrText>
      </w:r>
      <w:r>
        <w:fldChar w:fldCharType="separate"/>
      </w:r>
      <w:r w:rsidR="0031717B" w:rsidRPr="0031717B">
        <w:rPr>
          <w:szCs w:val="24"/>
        </w:rPr>
        <w:t xml:space="preserve">Figure </w:t>
      </w:r>
      <w:r w:rsidR="0031717B" w:rsidRPr="0031717B">
        <w:rPr>
          <w:noProof/>
          <w:szCs w:val="24"/>
        </w:rPr>
        <w:t>14</w:t>
      </w:r>
      <w:r>
        <w:fldChar w:fldCharType="end"/>
      </w:r>
      <w:r w:rsidR="005B5818" w:rsidRPr="00E46917">
        <w:rPr>
          <w:szCs w:val="24"/>
          <w:lang w:val="en-AU"/>
        </w:rPr>
        <w:t xml:space="preserve"> shows the</w:t>
      </w:r>
      <w:r w:rsidR="005B5818">
        <w:rPr>
          <w:szCs w:val="24"/>
          <w:lang w:val="en-AU"/>
        </w:rPr>
        <w:t xml:space="preserve"> way in which relative cost estimates are combined through these levels of aggregation.</w:t>
      </w:r>
    </w:p>
    <w:p w14:paraId="093842DD" w14:textId="77777777" w:rsidR="00715789" w:rsidRDefault="005B5818" w:rsidP="00B60372">
      <w:pPr>
        <w:pStyle w:val="Caption"/>
      </w:pPr>
      <w:bookmarkStart w:id="72" w:name="_Ref391033731"/>
      <w:bookmarkStart w:id="73" w:name="_Toc401061067"/>
      <w:r w:rsidRPr="004726E8">
        <w:t xml:space="preserve">Figure </w:t>
      </w:r>
      <w:r w:rsidR="005559F5" w:rsidRPr="004726E8">
        <w:fldChar w:fldCharType="begin"/>
      </w:r>
      <w:r w:rsidRPr="004726E8">
        <w:instrText xml:space="preserve"> SEQ Figure \* ARABIC </w:instrText>
      </w:r>
      <w:r w:rsidR="005559F5" w:rsidRPr="004726E8">
        <w:fldChar w:fldCharType="separate"/>
      </w:r>
      <w:r w:rsidR="0031717B">
        <w:rPr>
          <w:noProof/>
        </w:rPr>
        <w:t>14</w:t>
      </w:r>
      <w:r w:rsidR="005559F5" w:rsidRPr="004726E8">
        <w:fldChar w:fldCharType="end"/>
      </w:r>
      <w:bookmarkEnd w:id="72"/>
      <w:r w:rsidRPr="004726E8">
        <w:t>: Illustration of aggregation hierarchy for DCL calculation</w:t>
      </w:r>
      <w:r w:rsidR="00981B6D">
        <w:t>.</w:t>
      </w:r>
      <w:bookmarkEnd w:id="73"/>
    </w:p>
    <w:p w14:paraId="4E69BF8C" w14:textId="77777777" w:rsidR="005B5818" w:rsidRPr="00715789" w:rsidRDefault="00715789" w:rsidP="00B60372">
      <w:pPr>
        <w:pStyle w:val="Caption"/>
        <w:keepNext w:val="0"/>
      </w:pPr>
      <w:r w:rsidRPr="00715789">
        <w:rPr>
          <w:noProof/>
          <w:lang w:val="en-AU" w:eastAsia="en-AU"/>
        </w:rPr>
        <w:drawing>
          <wp:inline distT="0" distB="0" distL="0" distR="0" wp14:anchorId="3B2564AD" wp14:editId="249425A1">
            <wp:extent cx="6469028" cy="1890445"/>
            <wp:effectExtent l="0" t="0" r="0" b="0"/>
            <wp:docPr id="14337" name="Picture 14337" descr="The figure shows how cost estimates are combined until the threshold is reached - from the lowest level of diagnosis and ADRG dimension (diagnosis code within the ADRG dimension) to the highest (CDC within the All ADRGs dimension).  The hierarchy is as follows: &#10;level 1 is 3-character category within CDC by ADRG; &#10;level 2 is Code Block within CDC by ADRG; &#10;level 3 is Code Section within CDC by ADRG; &#10;level 4 is Code Chapter within CDC by ADRG; &#10;level 5 is CDC by ADRG; &#10;level 6 is 3-character category within CDC by MDC by Partition; &#10;level 7 is Code Block within CDC by MDC by Partition; &#10;level 8 is Code Section within CDC by MDC by Partition; &#10;level 9 is Code Chapter within CDC by MDC by Partition; &#10;level 10 is CDC by MDC by Partition; level 11 is Code Chapter within CDC by MDC; &#10;level 12 is CDC by MDC; &#10;level 13 is Code Chapter within CDC by All ADRGs; &#10;level 14 is CDC by All ADRGs.&#10;Two added levels of precision (prior to level 1) may be added as appropriate: &#10;level 1' is diagnosis code y ADRG; and &#10;level 2' is 4-character category within CDC by ADRG." title="Illustration of aggregation hierarchy for DCL calc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6492744" cy="1897376"/>
                    </a:xfrm>
                    <a:prstGeom prst="rect">
                      <a:avLst/>
                    </a:prstGeom>
                    <a:noFill/>
                    <a:ln>
                      <a:noFill/>
                    </a:ln>
                  </pic:spPr>
                </pic:pic>
              </a:graphicData>
            </a:graphic>
          </wp:inline>
        </w:drawing>
      </w:r>
    </w:p>
    <w:p w14:paraId="49E63E97" w14:textId="77777777" w:rsidR="005B5818" w:rsidRDefault="005B5818" w:rsidP="00B60372">
      <w:pPr>
        <w:keepLines/>
        <w:rPr>
          <w:szCs w:val="24"/>
          <w:lang w:val="en-AU"/>
        </w:rPr>
      </w:pPr>
      <w:r>
        <w:rPr>
          <w:szCs w:val="24"/>
          <w:lang w:val="en-AU"/>
        </w:rPr>
        <w:lastRenderedPageBreak/>
        <w:t>The process of combining relative cost estimates until an adequate sample is found is done in an iterative way that only brings in sufficient sample to arrive at the threshold. For example, if a particular 3-character category within CDC by ADRG combination contains 95 episodes, and the next level of aggregation (Code Block within CDC by ADRG) has 5,000 episodes (including the 95 from the previous level), then of the 4,905 extra episodes (i.e. 5,000 minus 95) only a further five episodes are used to form the combined estimate. These five extra episodes are taken to each have a relative cost estimate equal to the geometric mean of the 4,905 episodes. The way in which this calculation occurs is detailed as follows.</w:t>
      </w:r>
      <w:r>
        <w:rPr>
          <w:rStyle w:val="FootnoteReference"/>
          <w:szCs w:val="24"/>
          <w:lang w:val="en-AU"/>
        </w:rPr>
        <w:footnoteReference w:id="12"/>
      </w:r>
    </w:p>
    <w:p w14:paraId="20FC13CE" w14:textId="77777777" w:rsidR="005B5818" w:rsidRDefault="005B5818" w:rsidP="00B60372">
      <w:pPr>
        <w:rPr>
          <w:rFonts w:eastAsiaTheme="minorEastAsia"/>
          <w:szCs w:val="24"/>
          <w:lang w:val="en-AU"/>
        </w:rPr>
      </w:pPr>
      <w:r>
        <w:rPr>
          <w:szCs w:val="24"/>
          <w:lang w:val="en-AU"/>
        </w:rPr>
        <w:t xml:space="preserve">For each diagnosis </w:t>
      </w:r>
      <w:r w:rsidR="00FF5B4D" w:rsidRPr="006924B6">
        <w:rPr>
          <w:position w:val="-6"/>
        </w:rPr>
        <w:object w:dxaOrig="200" w:dyaOrig="220" w14:anchorId="627450BA">
          <v:shape id="_x0000_i1250" type="#_x0000_t75" style="width:9.75pt;height:11.25pt" o:ole="">
            <v:imagedata r:id="rId52" o:title=""/>
          </v:shape>
          <o:OLEObject Type="Embed" ProgID="Equation.DSMT4" ShapeID="_x0000_i1250" DrawAspect="Content" ObjectID="_1775045886" r:id="rId391"/>
        </w:object>
      </w:r>
      <w:r>
        <w:rPr>
          <w:rFonts w:eastAsiaTheme="minorEastAsia"/>
          <w:szCs w:val="24"/>
          <w:lang w:val="en-AU"/>
        </w:rPr>
        <w:t xml:space="preserve"> and ADRG </w:t>
      </w:r>
      <w:r w:rsidR="00FF5B4D" w:rsidRPr="00025957">
        <w:rPr>
          <w:position w:val="-4"/>
        </w:rPr>
        <w:object w:dxaOrig="240" w:dyaOrig="260" w14:anchorId="2349D51A">
          <v:shape id="_x0000_i1251" type="#_x0000_t75" style="width:12pt;height:12.75pt" o:ole="">
            <v:imagedata r:id="rId54" o:title=""/>
          </v:shape>
          <o:OLEObject Type="Embed" ProgID="Equation.DSMT4" ShapeID="_x0000_i1251" DrawAspect="Content" ObjectID="_1775045887" r:id="rId392"/>
        </w:object>
      </w:r>
      <w:r>
        <w:rPr>
          <w:rFonts w:eastAsiaTheme="minorEastAsia"/>
          <w:szCs w:val="24"/>
          <w:lang w:val="en-AU"/>
        </w:rPr>
        <w:t xml:space="preserve">, </w:t>
      </w:r>
      <w:r w:rsidR="00CC0F16">
        <w:fldChar w:fldCharType="begin"/>
      </w:r>
      <w:r w:rsidR="00CC0F16">
        <w:instrText xml:space="preserve"> REF _Ref391033731 \h  \* MERGEFORMAT </w:instrText>
      </w:r>
      <w:r w:rsidR="00CC0F16">
        <w:fldChar w:fldCharType="separate"/>
      </w:r>
      <w:r w:rsidR="0031717B" w:rsidRPr="0031717B">
        <w:rPr>
          <w:szCs w:val="24"/>
        </w:rPr>
        <w:t xml:space="preserve">Figure </w:t>
      </w:r>
      <w:r w:rsidR="0031717B" w:rsidRPr="0031717B">
        <w:rPr>
          <w:noProof/>
          <w:szCs w:val="24"/>
        </w:rPr>
        <w:t>14</w:t>
      </w:r>
      <w:r w:rsidR="00CC0F16">
        <w:fldChar w:fldCharType="end"/>
      </w:r>
      <w:r w:rsidRPr="002B0A52">
        <w:rPr>
          <w:rFonts w:eastAsiaTheme="minorEastAsia"/>
          <w:szCs w:val="24"/>
          <w:lang w:val="en-AU"/>
        </w:rPr>
        <w:t xml:space="preserve"> </w:t>
      </w:r>
      <w:r>
        <w:rPr>
          <w:rFonts w:eastAsiaTheme="minorEastAsia"/>
          <w:szCs w:val="24"/>
          <w:lang w:val="en-AU"/>
        </w:rPr>
        <w:t xml:space="preserve">specifies 14 levels of aggregation that </w:t>
      </w:r>
      <w:r w:rsidR="00FF5B4D" w:rsidRPr="006924B6">
        <w:rPr>
          <w:position w:val="-14"/>
        </w:rPr>
        <w:object w:dxaOrig="820" w:dyaOrig="400" w14:anchorId="6280FEA4">
          <v:shape id="_x0000_i1252" type="#_x0000_t75" style="width:41.25pt;height:20.25pt" o:ole="">
            <v:imagedata r:id="rId58" o:title=""/>
          </v:shape>
          <o:OLEObject Type="Embed" ProgID="Equation.DSMT4" ShapeID="_x0000_i1252" DrawAspect="Content" ObjectID="_1775045888" r:id="rId393"/>
        </w:object>
      </w:r>
      <w:r>
        <w:rPr>
          <w:rFonts w:eastAsiaTheme="minorEastAsia"/>
          <w:szCs w:val="24"/>
          <w:lang w:val="en-AU"/>
        </w:rPr>
        <w:t xml:space="preserve"> appears within. Specifically, denoting the five levels of diagnosis aggregation containing </w:t>
      </w:r>
      <w:r w:rsidR="00FF5B4D" w:rsidRPr="006924B6">
        <w:rPr>
          <w:position w:val="-6"/>
        </w:rPr>
        <w:object w:dxaOrig="200" w:dyaOrig="220" w14:anchorId="09B5BC43">
          <v:shape id="_x0000_i1253" type="#_x0000_t75" style="width:9.75pt;height:11.25pt" o:ole="">
            <v:imagedata r:id="rId52" o:title=""/>
          </v:shape>
          <o:OLEObject Type="Embed" ProgID="Equation.DSMT4" ShapeID="_x0000_i1253" DrawAspect="Content" ObjectID="_1775045889" r:id="rId394"/>
        </w:object>
      </w:r>
      <w:r>
        <w:rPr>
          <w:rFonts w:eastAsiaTheme="minorEastAsia"/>
          <w:szCs w:val="24"/>
          <w:lang w:val="en-AU"/>
        </w:rPr>
        <w:t xml:space="preserve"> (starting at the level of 3-character category within CDC) by </w:t>
      </w:r>
      <w:r w:rsidR="00FF5B4D" w:rsidRPr="00FF5B4D">
        <w:rPr>
          <w:position w:val="-12"/>
        </w:rPr>
        <w:object w:dxaOrig="980" w:dyaOrig="360" w14:anchorId="1C041249">
          <v:shape id="_x0000_i1254" type="#_x0000_t75" style="width:48.75pt;height:18pt" o:ole="">
            <v:imagedata r:id="rId395" o:title=""/>
          </v:shape>
          <o:OLEObject Type="Embed" ProgID="Equation.DSMT4" ShapeID="_x0000_i1254" DrawAspect="Content" ObjectID="_1775045890" r:id="rId396"/>
        </w:object>
      </w:r>
      <w:r>
        <w:rPr>
          <w:rFonts w:eastAsiaTheme="minorEastAsia"/>
          <w:szCs w:val="24"/>
          <w:lang w:val="en-AU"/>
        </w:rPr>
        <w:t xml:space="preserve"> and the four levels of ADRG aggregation containing </w:t>
      </w:r>
      <w:r w:rsidR="00FF5B4D" w:rsidRPr="00025957">
        <w:rPr>
          <w:position w:val="-4"/>
        </w:rPr>
        <w:object w:dxaOrig="240" w:dyaOrig="260" w14:anchorId="633E39FB">
          <v:shape id="_x0000_i1255" type="#_x0000_t75" style="width:12pt;height:12.75pt" o:ole="">
            <v:imagedata r:id="rId54" o:title=""/>
          </v:shape>
          <o:OLEObject Type="Embed" ProgID="Equation.DSMT4" ShapeID="_x0000_i1255" DrawAspect="Content" ObjectID="_1775045891" r:id="rId397"/>
        </w:object>
      </w:r>
      <w:r>
        <w:rPr>
          <w:rFonts w:eastAsiaTheme="minorEastAsia"/>
          <w:szCs w:val="24"/>
          <w:lang w:val="en-AU"/>
        </w:rPr>
        <w:t xml:space="preserve"> by </w:t>
      </w:r>
      <w:r w:rsidR="00FF5B4D" w:rsidRPr="00FF5B4D">
        <w:rPr>
          <w:position w:val="-14"/>
        </w:rPr>
        <w:object w:dxaOrig="1579" w:dyaOrig="400" w14:anchorId="65434C9D">
          <v:shape id="_x0000_i1256" type="#_x0000_t75" style="width:78.75pt;height:20.25pt" o:ole="">
            <v:imagedata r:id="rId398" o:title=""/>
          </v:shape>
          <o:OLEObject Type="Embed" ProgID="Equation.DSMT4" ShapeID="_x0000_i1256" DrawAspect="Content" ObjectID="_1775045892" r:id="rId399"/>
        </w:object>
      </w:r>
      <w:r>
        <w:rPr>
          <w:rFonts w:eastAsiaTheme="minorEastAsia"/>
          <w:szCs w:val="24"/>
          <w:lang w:val="en-AU"/>
        </w:rPr>
        <w:t xml:space="preserve">, then the 14 levels of aggregation containing </w:t>
      </w:r>
      <w:r w:rsidR="00FF5B4D" w:rsidRPr="006924B6">
        <w:rPr>
          <w:position w:val="-14"/>
        </w:rPr>
        <w:object w:dxaOrig="820" w:dyaOrig="400" w14:anchorId="61DF1B98">
          <v:shape id="_x0000_i1257" type="#_x0000_t75" style="width:41.25pt;height:20.25pt" o:ole="">
            <v:imagedata r:id="rId58" o:title=""/>
          </v:shape>
          <o:OLEObject Type="Embed" ProgID="Equation.DSMT4" ShapeID="_x0000_i1257" DrawAspect="Content" ObjectID="_1775045893" r:id="rId400"/>
        </w:object>
      </w:r>
      <w:r>
        <w:rPr>
          <w:rFonts w:eastAsiaTheme="minorEastAsia"/>
          <w:szCs w:val="24"/>
          <w:lang w:val="en-AU"/>
        </w:rPr>
        <w:t xml:space="preserve"> are </w:t>
      </w:r>
      <w:r w:rsidRPr="00DB104E">
        <w:rPr>
          <w:rFonts w:eastAsiaTheme="minorEastAsia"/>
          <w:szCs w:val="24"/>
          <w:lang w:val="en-AU"/>
        </w:rPr>
        <w:t xml:space="preserve">given in </w:t>
      </w:r>
      <w:r w:rsidR="00CC0F16">
        <w:fldChar w:fldCharType="begin"/>
      </w:r>
      <w:r w:rsidR="00CC0F16">
        <w:instrText xml:space="preserve"> REF _Ref391042152 \h  \* MERGEFORMAT </w:instrText>
      </w:r>
      <w:r w:rsidR="00CC0F16">
        <w:fldChar w:fldCharType="separate"/>
      </w:r>
      <w:r w:rsidR="0031717B" w:rsidRPr="0031717B">
        <w:rPr>
          <w:szCs w:val="24"/>
        </w:rPr>
        <w:t>Table 3</w:t>
      </w:r>
      <w:r w:rsidR="00CC0F16">
        <w:fldChar w:fldCharType="end"/>
      </w:r>
      <w:r w:rsidRPr="00DB104E">
        <w:rPr>
          <w:rFonts w:eastAsiaTheme="minorEastAsia"/>
          <w:szCs w:val="24"/>
          <w:lang w:val="en-AU"/>
        </w:rPr>
        <w:t>.</w:t>
      </w:r>
    </w:p>
    <w:p w14:paraId="01907D5D" w14:textId="77777777" w:rsidR="00936A89" w:rsidRDefault="005B5818" w:rsidP="00B60372">
      <w:pPr>
        <w:pStyle w:val="Caption"/>
      </w:pPr>
      <w:bookmarkStart w:id="74" w:name="_Ref391042152"/>
      <w:bookmarkStart w:id="75" w:name="_Ref391042147"/>
      <w:bookmarkStart w:id="76" w:name="_Toc401061090"/>
      <w:r w:rsidRPr="00366CA1">
        <w:lastRenderedPageBreak/>
        <w:t xml:space="preserve">Table </w:t>
      </w:r>
      <w:r w:rsidR="005559F5" w:rsidRPr="00366CA1">
        <w:fldChar w:fldCharType="begin"/>
      </w:r>
      <w:r w:rsidRPr="00366CA1">
        <w:instrText xml:space="preserve"> SEQ Table \* ARABIC </w:instrText>
      </w:r>
      <w:r w:rsidR="005559F5" w:rsidRPr="00366CA1">
        <w:fldChar w:fldCharType="separate"/>
      </w:r>
      <w:r w:rsidR="0031717B">
        <w:rPr>
          <w:noProof/>
        </w:rPr>
        <w:t>3</w:t>
      </w:r>
      <w:r w:rsidR="005559F5" w:rsidRPr="00366CA1">
        <w:fldChar w:fldCharType="end"/>
      </w:r>
      <w:bookmarkEnd w:id="74"/>
      <w:r w:rsidRPr="00366CA1">
        <w:t>:</w:t>
      </w:r>
      <w:bookmarkEnd w:id="75"/>
      <w:r w:rsidR="00936A89">
        <w:t xml:space="preserve"> </w:t>
      </w:r>
      <w:r w:rsidR="00936A89" w:rsidRPr="000828E7">
        <w:t xml:space="preserve">Aggregation hierarchy for </w:t>
      </w:r>
      <w:r w:rsidR="00FE22C0">
        <w:t>a diagnosis-ADRG combination (</w:t>
      </w:r>
      <w:proofErr w:type="spellStart"/>
      <w:r w:rsidR="00FE22C0">
        <w:t>x;</w:t>
      </w:r>
      <w:r w:rsidR="00936A89" w:rsidRPr="000828E7">
        <w:t>A</w:t>
      </w:r>
      <w:proofErr w:type="spellEnd"/>
      <w:r w:rsidR="00936A89" w:rsidRPr="000828E7">
        <w:t>)</w:t>
      </w:r>
      <w:r w:rsidR="000E4FA5">
        <w:t>.</w:t>
      </w:r>
      <w:bookmarkEnd w:id="76"/>
    </w:p>
    <w:tbl>
      <w:tblPr>
        <w:tblStyle w:val="Style1"/>
        <w:tblW w:w="8107" w:type="dxa"/>
        <w:tblLook w:val="0420" w:firstRow="1" w:lastRow="0" w:firstColumn="0" w:lastColumn="0" w:noHBand="0" w:noVBand="1"/>
        <w:tblCaption w:val="Aggregation hierarchy for a diagnosis ADRG combination (X;A)"/>
        <w:tblDescription w:val="The table has three columns: the first lists the level of ADRG aggregation (A); the second lists the level of diagnosis aggregation (X) for each level of A; the third lists the notation for (x;A)"/>
      </w:tblPr>
      <w:tblGrid>
        <w:gridCol w:w="1871"/>
        <w:gridCol w:w="4535"/>
        <w:gridCol w:w="1701"/>
      </w:tblGrid>
      <w:tr w:rsidR="001726C1" w:rsidRPr="00962F6D" w14:paraId="41BD3316" w14:textId="77777777" w:rsidTr="00706E5D">
        <w:trPr>
          <w:cnfStyle w:val="100000000000" w:firstRow="1" w:lastRow="0" w:firstColumn="0" w:lastColumn="0" w:oddVBand="0" w:evenVBand="0" w:oddHBand="0" w:evenHBand="0" w:firstRowFirstColumn="0" w:firstRowLastColumn="0" w:lastRowFirstColumn="0" w:lastRowLastColumn="0"/>
          <w:trHeight w:val="283"/>
          <w:tblHeader/>
        </w:trPr>
        <w:tc>
          <w:tcPr>
            <w:tcW w:w="1871" w:type="dxa"/>
          </w:tcPr>
          <w:p w14:paraId="1F25FCC1" w14:textId="77777777" w:rsidR="001726C1" w:rsidRPr="00962F6D" w:rsidRDefault="001726C1" w:rsidP="00B60372">
            <w:pPr>
              <w:pStyle w:val="Table"/>
            </w:pPr>
            <w:r w:rsidRPr="00962F6D">
              <w:t>ADRG level</w:t>
            </w:r>
            <w:r>
              <w:t xml:space="preserve"> </w:t>
            </w:r>
            <w:r w:rsidR="00FF5B4D" w:rsidRPr="00FF5B4D">
              <w:rPr>
                <w:b w:val="0"/>
                <w:position w:val="-14"/>
              </w:rPr>
              <w:object w:dxaOrig="440" w:dyaOrig="400" w14:anchorId="47327A06">
                <v:shape id="_x0000_i1258" type="#_x0000_t75" style="width:21.75pt;height:20.25pt" o:ole="">
                  <v:imagedata r:id="rId401" o:title=""/>
                </v:shape>
                <o:OLEObject Type="Embed" ProgID="Equation.DSMT4" ShapeID="_x0000_i1258" DrawAspect="Content" ObjectID="_1775045894" r:id="rId402"/>
              </w:object>
            </w:r>
          </w:p>
        </w:tc>
        <w:tc>
          <w:tcPr>
            <w:tcW w:w="4535" w:type="dxa"/>
          </w:tcPr>
          <w:p w14:paraId="0F5E32C9" w14:textId="77777777" w:rsidR="001726C1" w:rsidRPr="00962F6D" w:rsidRDefault="001726C1" w:rsidP="00B60372">
            <w:pPr>
              <w:pStyle w:val="Table"/>
            </w:pPr>
            <w:r w:rsidRPr="00962F6D">
              <w:t>Diagnosis level</w:t>
            </w:r>
            <w:r>
              <w:t xml:space="preserve"> </w:t>
            </w:r>
            <w:r w:rsidR="007420EB" w:rsidRPr="00DD1381">
              <w:rPr>
                <w:b w:val="0"/>
                <w:position w:val="-14"/>
              </w:rPr>
              <w:object w:dxaOrig="460" w:dyaOrig="400" w14:anchorId="76800FEB">
                <v:shape id="_x0000_i1259" type="#_x0000_t75" style="width:23.25pt;height:20.25pt" o:ole="">
                  <v:imagedata r:id="rId403" o:title=""/>
                </v:shape>
                <o:OLEObject Type="Embed" ProgID="Equation.DSMT4" ShapeID="_x0000_i1259" DrawAspect="Content" ObjectID="_1775045895" r:id="rId404"/>
              </w:object>
            </w:r>
          </w:p>
        </w:tc>
        <w:tc>
          <w:tcPr>
            <w:tcW w:w="1701" w:type="dxa"/>
          </w:tcPr>
          <w:p w14:paraId="2BCF109D" w14:textId="77777777" w:rsidR="001726C1" w:rsidRPr="00962F6D" w:rsidRDefault="001726C1" w:rsidP="00B60372">
            <w:pPr>
              <w:pStyle w:val="Table"/>
              <w:jc w:val="center"/>
            </w:pPr>
            <w:r>
              <w:t>Notation</w:t>
            </w:r>
          </w:p>
        </w:tc>
      </w:tr>
      <w:tr w:rsidR="001726C1" w:rsidRPr="00962F6D" w14:paraId="02D8F204" w14:textId="77777777" w:rsidTr="00706E5D">
        <w:trPr>
          <w:trHeight w:val="283"/>
        </w:trPr>
        <w:tc>
          <w:tcPr>
            <w:tcW w:w="1871" w:type="dxa"/>
            <w:vMerge w:val="restart"/>
          </w:tcPr>
          <w:p w14:paraId="125D9F3C" w14:textId="77777777" w:rsidR="001726C1" w:rsidRPr="00962F6D" w:rsidRDefault="001726C1" w:rsidP="00B60372">
            <w:pPr>
              <w:pStyle w:val="Table"/>
              <w:keepNext/>
            </w:pPr>
            <w:r>
              <w:t>ADRG</w:t>
            </w:r>
          </w:p>
        </w:tc>
        <w:tc>
          <w:tcPr>
            <w:tcW w:w="4535" w:type="dxa"/>
          </w:tcPr>
          <w:p w14:paraId="2CB2807D" w14:textId="77777777" w:rsidR="001726C1" w:rsidRPr="00962F6D" w:rsidRDefault="001726C1" w:rsidP="00B60372">
            <w:pPr>
              <w:pStyle w:val="Table"/>
              <w:keepNext/>
            </w:pPr>
            <w:r w:rsidRPr="00962F6D">
              <w:t>3-character category within CDC</w:t>
            </w:r>
          </w:p>
        </w:tc>
        <w:tc>
          <w:tcPr>
            <w:tcW w:w="1701" w:type="dxa"/>
          </w:tcPr>
          <w:p w14:paraId="56F7FE05" w14:textId="77777777" w:rsidR="001726C1" w:rsidRPr="00962F6D" w:rsidRDefault="00FF5B4D" w:rsidP="00B60372">
            <w:pPr>
              <w:pStyle w:val="Table"/>
              <w:keepNext/>
              <w:tabs>
                <w:tab w:val="center" w:pos="1620"/>
                <w:tab w:val="right" w:pos="3240"/>
              </w:tabs>
              <w:jc w:val="center"/>
            </w:pPr>
            <w:r w:rsidRPr="00FF5B4D">
              <w:rPr>
                <w:position w:val="-12"/>
              </w:rPr>
              <w:object w:dxaOrig="760" w:dyaOrig="360" w14:anchorId="29EF9F1C">
                <v:shape id="_x0000_i1260" type="#_x0000_t75" style="width:38.25pt;height:18pt" o:ole="">
                  <v:imagedata r:id="rId405" o:title=""/>
                </v:shape>
                <o:OLEObject Type="Embed" ProgID="Equation.DSMT4" ShapeID="_x0000_i1260" DrawAspect="Content" ObjectID="_1775045896" r:id="rId406"/>
              </w:object>
            </w:r>
          </w:p>
        </w:tc>
      </w:tr>
      <w:tr w:rsidR="00FF5B4D" w:rsidRPr="00962F6D" w14:paraId="19C0148F" w14:textId="77777777" w:rsidTr="00706E5D">
        <w:trPr>
          <w:trHeight w:val="283"/>
        </w:trPr>
        <w:tc>
          <w:tcPr>
            <w:tcW w:w="1871" w:type="dxa"/>
            <w:vMerge/>
          </w:tcPr>
          <w:p w14:paraId="57C94204" w14:textId="77777777" w:rsidR="00FF5B4D" w:rsidRPr="00962F6D" w:rsidRDefault="00FF5B4D" w:rsidP="00B60372">
            <w:pPr>
              <w:pStyle w:val="Table"/>
              <w:keepNext/>
            </w:pPr>
          </w:p>
        </w:tc>
        <w:tc>
          <w:tcPr>
            <w:tcW w:w="4535" w:type="dxa"/>
          </w:tcPr>
          <w:p w14:paraId="5EF686FE" w14:textId="77777777" w:rsidR="00FF5B4D" w:rsidRPr="00962F6D" w:rsidRDefault="00FF5B4D" w:rsidP="00B60372">
            <w:pPr>
              <w:pStyle w:val="Table"/>
              <w:keepNext/>
            </w:pPr>
            <w:r w:rsidRPr="00962F6D">
              <w:t>Code Block within CDC</w:t>
            </w:r>
          </w:p>
        </w:tc>
        <w:tc>
          <w:tcPr>
            <w:tcW w:w="1701" w:type="dxa"/>
          </w:tcPr>
          <w:p w14:paraId="32A5B290" w14:textId="77777777" w:rsidR="00FF5B4D" w:rsidRPr="00962F6D" w:rsidRDefault="00FF5B4D" w:rsidP="00B60372">
            <w:pPr>
              <w:pStyle w:val="Table"/>
              <w:keepNext/>
              <w:jc w:val="center"/>
            </w:pPr>
            <w:r w:rsidRPr="009F2277">
              <w:rPr>
                <w:position w:val="-12"/>
              </w:rPr>
              <w:object w:dxaOrig="780" w:dyaOrig="360" w14:anchorId="68B7CF02">
                <v:shape id="_x0000_i1261" type="#_x0000_t75" style="width:39pt;height:18pt" o:ole="">
                  <v:imagedata r:id="rId407" o:title=""/>
                </v:shape>
                <o:OLEObject Type="Embed" ProgID="Equation.DSMT4" ShapeID="_x0000_i1261" DrawAspect="Content" ObjectID="_1775045897" r:id="rId408"/>
              </w:object>
            </w:r>
          </w:p>
        </w:tc>
      </w:tr>
      <w:tr w:rsidR="00FF5B4D" w:rsidRPr="00962F6D" w14:paraId="721A35C5" w14:textId="77777777" w:rsidTr="00706E5D">
        <w:trPr>
          <w:trHeight w:val="283"/>
        </w:trPr>
        <w:tc>
          <w:tcPr>
            <w:tcW w:w="1871" w:type="dxa"/>
            <w:vMerge/>
          </w:tcPr>
          <w:p w14:paraId="78E1680B" w14:textId="77777777" w:rsidR="00FF5B4D" w:rsidRPr="00962F6D" w:rsidRDefault="00FF5B4D" w:rsidP="00B60372">
            <w:pPr>
              <w:pStyle w:val="Table"/>
              <w:keepNext/>
            </w:pPr>
          </w:p>
        </w:tc>
        <w:tc>
          <w:tcPr>
            <w:tcW w:w="4535" w:type="dxa"/>
          </w:tcPr>
          <w:p w14:paraId="7A6173BD" w14:textId="77777777" w:rsidR="00FF5B4D" w:rsidRPr="00962F6D" w:rsidRDefault="00FF5B4D" w:rsidP="00B60372">
            <w:pPr>
              <w:pStyle w:val="Table"/>
              <w:keepNext/>
            </w:pPr>
            <w:r w:rsidRPr="00962F6D">
              <w:t>Code Section within CDC</w:t>
            </w:r>
          </w:p>
        </w:tc>
        <w:tc>
          <w:tcPr>
            <w:tcW w:w="1701" w:type="dxa"/>
          </w:tcPr>
          <w:p w14:paraId="07A222B5" w14:textId="77777777" w:rsidR="00FF5B4D" w:rsidRPr="00962F6D" w:rsidRDefault="00FF5B4D" w:rsidP="00B60372">
            <w:pPr>
              <w:pStyle w:val="Table"/>
              <w:keepNext/>
              <w:jc w:val="center"/>
            </w:pPr>
            <w:r w:rsidRPr="009F2277">
              <w:rPr>
                <w:position w:val="-12"/>
              </w:rPr>
              <w:object w:dxaOrig="780" w:dyaOrig="360" w14:anchorId="6E8D77C2">
                <v:shape id="_x0000_i1262" type="#_x0000_t75" style="width:39pt;height:18pt" o:ole="">
                  <v:imagedata r:id="rId409" o:title=""/>
                </v:shape>
                <o:OLEObject Type="Embed" ProgID="Equation.DSMT4" ShapeID="_x0000_i1262" DrawAspect="Content" ObjectID="_1775045898" r:id="rId410"/>
              </w:object>
            </w:r>
          </w:p>
        </w:tc>
      </w:tr>
      <w:tr w:rsidR="00FF5B4D" w:rsidRPr="00962F6D" w14:paraId="1068C0CE" w14:textId="77777777" w:rsidTr="00706E5D">
        <w:trPr>
          <w:trHeight w:val="283"/>
        </w:trPr>
        <w:tc>
          <w:tcPr>
            <w:tcW w:w="1871" w:type="dxa"/>
            <w:vMerge/>
          </w:tcPr>
          <w:p w14:paraId="728DB35C" w14:textId="77777777" w:rsidR="00FF5B4D" w:rsidRPr="00962F6D" w:rsidRDefault="00FF5B4D" w:rsidP="00B60372">
            <w:pPr>
              <w:pStyle w:val="Table"/>
              <w:keepNext/>
            </w:pPr>
          </w:p>
        </w:tc>
        <w:tc>
          <w:tcPr>
            <w:tcW w:w="4535" w:type="dxa"/>
          </w:tcPr>
          <w:p w14:paraId="4126C6BC" w14:textId="77777777" w:rsidR="00FF5B4D" w:rsidRPr="00962F6D" w:rsidRDefault="00FF5B4D" w:rsidP="00B60372">
            <w:pPr>
              <w:pStyle w:val="Table"/>
              <w:keepNext/>
            </w:pPr>
            <w:r w:rsidRPr="00962F6D">
              <w:t>Code Chapter within CDC</w:t>
            </w:r>
          </w:p>
        </w:tc>
        <w:tc>
          <w:tcPr>
            <w:tcW w:w="1701" w:type="dxa"/>
          </w:tcPr>
          <w:p w14:paraId="07A2ECF2" w14:textId="77777777" w:rsidR="00FF5B4D" w:rsidRPr="00962F6D" w:rsidRDefault="00FF5B4D" w:rsidP="00B60372">
            <w:pPr>
              <w:pStyle w:val="Table"/>
              <w:keepNext/>
              <w:jc w:val="center"/>
            </w:pPr>
            <w:r w:rsidRPr="009F2277">
              <w:rPr>
                <w:position w:val="-12"/>
              </w:rPr>
              <w:object w:dxaOrig="780" w:dyaOrig="360" w14:anchorId="44384D3B">
                <v:shape id="_x0000_i1263" type="#_x0000_t75" style="width:39pt;height:18pt" o:ole="">
                  <v:imagedata r:id="rId411" o:title=""/>
                </v:shape>
                <o:OLEObject Type="Embed" ProgID="Equation.DSMT4" ShapeID="_x0000_i1263" DrawAspect="Content" ObjectID="_1775045899" r:id="rId412"/>
              </w:object>
            </w:r>
          </w:p>
        </w:tc>
      </w:tr>
      <w:tr w:rsidR="00FF5B4D" w:rsidRPr="00962F6D" w14:paraId="46F29677" w14:textId="77777777" w:rsidTr="00706E5D">
        <w:trPr>
          <w:trHeight w:val="283"/>
        </w:trPr>
        <w:tc>
          <w:tcPr>
            <w:tcW w:w="1871" w:type="dxa"/>
            <w:vMerge/>
          </w:tcPr>
          <w:p w14:paraId="1DB95DDA" w14:textId="77777777" w:rsidR="00FF5B4D" w:rsidRPr="00962F6D" w:rsidRDefault="00FF5B4D" w:rsidP="00B60372">
            <w:pPr>
              <w:pStyle w:val="Table"/>
              <w:keepNext/>
            </w:pPr>
          </w:p>
        </w:tc>
        <w:tc>
          <w:tcPr>
            <w:tcW w:w="4535" w:type="dxa"/>
          </w:tcPr>
          <w:p w14:paraId="6B5244D1" w14:textId="77777777" w:rsidR="00FF5B4D" w:rsidRPr="00962F6D" w:rsidRDefault="00FF5B4D" w:rsidP="00B60372">
            <w:pPr>
              <w:pStyle w:val="Table"/>
              <w:keepNext/>
            </w:pPr>
            <w:r w:rsidRPr="00962F6D">
              <w:t>CDC</w:t>
            </w:r>
          </w:p>
        </w:tc>
        <w:tc>
          <w:tcPr>
            <w:tcW w:w="1701" w:type="dxa"/>
          </w:tcPr>
          <w:p w14:paraId="4E26F0D9" w14:textId="77777777" w:rsidR="00FF5B4D" w:rsidRPr="00962F6D" w:rsidRDefault="00FF5B4D" w:rsidP="00B60372">
            <w:pPr>
              <w:pStyle w:val="Table"/>
              <w:keepNext/>
              <w:jc w:val="center"/>
            </w:pPr>
            <w:r w:rsidRPr="009F2277">
              <w:rPr>
                <w:position w:val="-12"/>
              </w:rPr>
              <w:object w:dxaOrig="780" w:dyaOrig="360" w14:anchorId="3EF79EBC">
                <v:shape id="_x0000_i1264" type="#_x0000_t75" style="width:39pt;height:18pt" o:ole="">
                  <v:imagedata r:id="rId413" o:title=""/>
                </v:shape>
                <o:OLEObject Type="Embed" ProgID="Equation.DSMT4" ShapeID="_x0000_i1264" DrawAspect="Content" ObjectID="_1775045900" r:id="rId414"/>
              </w:object>
            </w:r>
          </w:p>
        </w:tc>
      </w:tr>
      <w:tr w:rsidR="00F25084" w:rsidRPr="00962F6D" w14:paraId="20997B7F" w14:textId="77777777" w:rsidTr="00706E5D">
        <w:trPr>
          <w:trHeight w:val="283"/>
        </w:trPr>
        <w:tc>
          <w:tcPr>
            <w:tcW w:w="1871" w:type="dxa"/>
            <w:vMerge w:val="restart"/>
          </w:tcPr>
          <w:p w14:paraId="638320B4" w14:textId="77777777" w:rsidR="00F25084" w:rsidRPr="00962F6D" w:rsidRDefault="00F25084" w:rsidP="00B60372">
            <w:pPr>
              <w:pStyle w:val="Table"/>
              <w:keepNext/>
            </w:pPr>
            <w:r w:rsidRPr="00962F6D">
              <w:t>MDC by Partition</w:t>
            </w:r>
          </w:p>
        </w:tc>
        <w:tc>
          <w:tcPr>
            <w:tcW w:w="4535" w:type="dxa"/>
          </w:tcPr>
          <w:p w14:paraId="388A928D" w14:textId="77777777" w:rsidR="00F25084" w:rsidRPr="00962F6D" w:rsidRDefault="00F25084" w:rsidP="00B60372">
            <w:pPr>
              <w:pStyle w:val="Table"/>
              <w:keepNext/>
            </w:pPr>
            <w:r w:rsidRPr="00962F6D">
              <w:t>3-character category within CDC</w:t>
            </w:r>
          </w:p>
        </w:tc>
        <w:tc>
          <w:tcPr>
            <w:tcW w:w="1701" w:type="dxa"/>
          </w:tcPr>
          <w:p w14:paraId="3724FA0C" w14:textId="77777777" w:rsidR="00F25084" w:rsidRPr="00962F6D" w:rsidRDefault="00F25084" w:rsidP="00B60372">
            <w:pPr>
              <w:pStyle w:val="Table"/>
              <w:keepNext/>
              <w:jc w:val="center"/>
            </w:pPr>
            <w:r w:rsidRPr="00FF5B4D">
              <w:rPr>
                <w:position w:val="-12"/>
              </w:rPr>
              <w:object w:dxaOrig="780" w:dyaOrig="360" w14:anchorId="3C916505">
                <v:shape id="_x0000_i1265" type="#_x0000_t75" style="width:39pt;height:18pt" o:ole="">
                  <v:imagedata r:id="rId415" o:title=""/>
                </v:shape>
                <o:OLEObject Type="Embed" ProgID="Equation.DSMT4" ShapeID="_x0000_i1265" DrawAspect="Content" ObjectID="_1775045901" r:id="rId416"/>
              </w:object>
            </w:r>
          </w:p>
        </w:tc>
      </w:tr>
      <w:tr w:rsidR="00F25084" w:rsidRPr="00962F6D" w14:paraId="0880F993" w14:textId="77777777" w:rsidTr="00706E5D">
        <w:trPr>
          <w:trHeight w:val="283"/>
        </w:trPr>
        <w:tc>
          <w:tcPr>
            <w:tcW w:w="1871" w:type="dxa"/>
            <w:vMerge/>
          </w:tcPr>
          <w:p w14:paraId="3B238882" w14:textId="77777777" w:rsidR="00F25084" w:rsidRPr="00962F6D" w:rsidRDefault="00F25084" w:rsidP="00B60372">
            <w:pPr>
              <w:pStyle w:val="Table"/>
              <w:keepNext/>
            </w:pPr>
          </w:p>
        </w:tc>
        <w:tc>
          <w:tcPr>
            <w:tcW w:w="4535" w:type="dxa"/>
          </w:tcPr>
          <w:p w14:paraId="5D38C71B" w14:textId="77777777" w:rsidR="00F25084" w:rsidRPr="00962F6D" w:rsidRDefault="00F25084" w:rsidP="00B60372">
            <w:pPr>
              <w:pStyle w:val="Table"/>
              <w:keepNext/>
            </w:pPr>
            <w:r w:rsidRPr="00962F6D">
              <w:t>Code Block within CDC</w:t>
            </w:r>
          </w:p>
        </w:tc>
        <w:tc>
          <w:tcPr>
            <w:tcW w:w="1701" w:type="dxa"/>
          </w:tcPr>
          <w:p w14:paraId="663B3584" w14:textId="77777777" w:rsidR="00F25084" w:rsidRPr="00962F6D" w:rsidRDefault="00F25084" w:rsidP="00B60372">
            <w:pPr>
              <w:pStyle w:val="Table"/>
              <w:keepNext/>
              <w:jc w:val="center"/>
            </w:pPr>
            <w:r w:rsidRPr="009F2277">
              <w:rPr>
                <w:position w:val="-12"/>
              </w:rPr>
              <w:object w:dxaOrig="820" w:dyaOrig="360" w14:anchorId="30DD38AD">
                <v:shape id="_x0000_i1266" type="#_x0000_t75" style="width:41.25pt;height:18pt" o:ole="">
                  <v:imagedata r:id="rId417" o:title=""/>
                </v:shape>
                <o:OLEObject Type="Embed" ProgID="Equation.DSMT4" ShapeID="_x0000_i1266" DrawAspect="Content" ObjectID="_1775045902" r:id="rId418"/>
              </w:object>
            </w:r>
          </w:p>
        </w:tc>
      </w:tr>
      <w:tr w:rsidR="00F25084" w:rsidRPr="00962F6D" w14:paraId="12ACE39B" w14:textId="77777777" w:rsidTr="00706E5D">
        <w:trPr>
          <w:trHeight w:val="283"/>
        </w:trPr>
        <w:tc>
          <w:tcPr>
            <w:tcW w:w="1871" w:type="dxa"/>
            <w:vMerge/>
          </w:tcPr>
          <w:p w14:paraId="56F3301A" w14:textId="77777777" w:rsidR="00F25084" w:rsidRPr="00962F6D" w:rsidRDefault="00F25084" w:rsidP="00B60372">
            <w:pPr>
              <w:pStyle w:val="Table"/>
              <w:keepNext/>
            </w:pPr>
          </w:p>
        </w:tc>
        <w:tc>
          <w:tcPr>
            <w:tcW w:w="4535" w:type="dxa"/>
          </w:tcPr>
          <w:p w14:paraId="4A893C06" w14:textId="77777777" w:rsidR="00F25084" w:rsidRPr="00962F6D" w:rsidRDefault="00F25084" w:rsidP="00B60372">
            <w:pPr>
              <w:pStyle w:val="Table"/>
              <w:keepNext/>
            </w:pPr>
            <w:r w:rsidRPr="00962F6D">
              <w:t>Code Section within CDC</w:t>
            </w:r>
          </w:p>
        </w:tc>
        <w:tc>
          <w:tcPr>
            <w:tcW w:w="1701" w:type="dxa"/>
          </w:tcPr>
          <w:p w14:paraId="0DD07F36" w14:textId="77777777" w:rsidR="00F25084" w:rsidRPr="00962F6D" w:rsidRDefault="00F25084" w:rsidP="00B60372">
            <w:pPr>
              <w:pStyle w:val="Table"/>
              <w:keepNext/>
              <w:jc w:val="center"/>
            </w:pPr>
            <w:r w:rsidRPr="009F2277">
              <w:rPr>
                <w:position w:val="-12"/>
              </w:rPr>
              <w:object w:dxaOrig="800" w:dyaOrig="360" w14:anchorId="31D3FFBE">
                <v:shape id="_x0000_i1267" type="#_x0000_t75" style="width:39.75pt;height:18pt" o:ole="">
                  <v:imagedata r:id="rId419" o:title=""/>
                </v:shape>
                <o:OLEObject Type="Embed" ProgID="Equation.DSMT4" ShapeID="_x0000_i1267" DrawAspect="Content" ObjectID="_1775045903" r:id="rId420"/>
              </w:object>
            </w:r>
          </w:p>
        </w:tc>
      </w:tr>
      <w:tr w:rsidR="00F25084" w:rsidRPr="00962F6D" w14:paraId="625890A1" w14:textId="77777777" w:rsidTr="00706E5D">
        <w:trPr>
          <w:trHeight w:val="283"/>
        </w:trPr>
        <w:tc>
          <w:tcPr>
            <w:tcW w:w="1871" w:type="dxa"/>
            <w:vMerge/>
          </w:tcPr>
          <w:p w14:paraId="0DA47280" w14:textId="77777777" w:rsidR="00F25084" w:rsidRPr="00962F6D" w:rsidRDefault="00F25084" w:rsidP="00B60372">
            <w:pPr>
              <w:pStyle w:val="Table"/>
              <w:keepNext/>
            </w:pPr>
          </w:p>
        </w:tc>
        <w:tc>
          <w:tcPr>
            <w:tcW w:w="4535" w:type="dxa"/>
          </w:tcPr>
          <w:p w14:paraId="78C94D06" w14:textId="77777777" w:rsidR="00F25084" w:rsidRPr="00962F6D" w:rsidRDefault="00F25084" w:rsidP="00B60372">
            <w:pPr>
              <w:pStyle w:val="Table"/>
              <w:keepNext/>
            </w:pPr>
            <w:r w:rsidRPr="00962F6D">
              <w:t>Code Chapter within CDC</w:t>
            </w:r>
          </w:p>
        </w:tc>
        <w:tc>
          <w:tcPr>
            <w:tcW w:w="1701" w:type="dxa"/>
          </w:tcPr>
          <w:p w14:paraId="5D9CC5AE" w14:textId="77777777" w:rsidR="00F25084" w:rsidRPr="00962F6D" w:rsidRDefault="00F25084" w:rsidP="00B60372">
            <w:pPr>
              <w:pStyle w:val="Table"/>
              <w:keepNext/>
              <w:jc w:val="center"/>
            </w:pPr>
            <w:r w:rsidRPr="009F2277">
              <w:rPr>
                <w:position w:val="-12"/>
              </w:rPr>
              <w:object w:dxaOrig="820" w:dyaOrig="360" w14:anchorId="2D06ED06">
                <v:shape id="_x0000_i1268" type="#_x0000_t75" style="width:41.25pt;height:18pt" o:ole="">
                  <v:imagedata r:id="rId421" o:title=""/>
                </v:shape>
                <o:OLEObject Type="Embed" ProgID="Equation.DSMT4" ShapeID="_x0000_i1268" DrawAspect="Content" ObjectID="_1775045904" r:id="rId422"/>
              </w:object>
            </w:r>
          </w:p>
        </w:tc>
      </w:tr>
      <w:tr w:rsidR="00F25084" w:rsidRPr="00962F6D" w14:paraId="713DF5B1" w14:textId="77777777" w:rsidTr="00706E5D">
        <w:trPr>
          <w:trHeight w:val="283"/>
        </w:trPr>
        <w:tc>
          <w:tcPr>
            <w:tcW w:w="1871" w:type="dxa"/>
            <w:vMerge/>
          </w:tcPr>
          <w:p w14:paraId="7AB16A52" w14:textId="77777777" w:rsidR="00F25084" w:rsidRPr="00962F6D" w:rsidRDefault="00F25084" w:rsidP="00B60372">
            <w:pPr>
              <w:pStyle w:val="Table"/>
              <w:keepNext/>
            </w:pPr>
          </w:p>
        </w:tc>
        <w:tc>
          <w:tcPr>
            <w:tcW w:w="4535" w:type="dxa"/>
          </w:tcPr>
          <w:p w14:paraId="0348B2F8" w14:textId="77777777" w:rsidR="00F25084" w:rsidRPr="00962F6D" w:rsidRDefault="00F25084" w:rsidP="00B60372">
            <w:pPr>
              <w:pStyle w:val="Table"/>
              <w:keepNext/>
            </w:pPr>
            <w:r w:rsidRPr="00962F6D">
              <w:t>CDC</w:t>
            </w:r>
          </w:p>
        </w:tc>
        <w:tc>
          <w:tcPr>
            <w:tcW w:w="1701" w:type="dxa"/>
          </w:tcPr>
          <w:p w14:paraId="17068C38" w14:textId="77777777" w:rsidR="00F25084" w:rsidRPr="00962F6D" w:rsidRDefault="00F25084" w:rsidP="00B60372">
            <w:pPr>
              <w:pStyle w:val="Table"/>
              <w:keepNext/>
              <w:jc w:val="center"/>
            </w:pPr>
            <w:r w:rsidRPr="009F2277">
              <w:rPr>
                <w:position w:val="-12"/>
              </w:rPr>
              <w:object w:dxaOrig="800" w:dyaOrig="360" w14:anchorId="7DBFC037">
                <v:shape id="_x0000_i1269" type="#_x0000_t75" style="width:39.75pt;height:18pt" o:ole="">
                  <v:imagedata r:id="rId423" o:title=""/>
                </v:shape>
                <o:OLEObject Type="Embed" ProgID="Equation.DSMT4" ShapeID="_x0000_i1269" DrawAspect="Content" ObjectID="_1775045905" r:id="rId424"/>
              </w:object>
            </w:r>
          </w:p>
        </w:tc>
      </w:tr>
      <w:tr w:rsidR="001726C1" w:rsidRPr="00962F6D" w14:paraId="0B0AC546" w14:textId="77777777" w:rsidTr="00706E5D">
        <w:trPr>
          <w:trHeight w:val="283"/>
        </w:trPr>
        <w:tc>
          <w:tcPr>
            <w:tcW w:w="1871" w:type="dxa"/>
            <w:vMerge w:val="restart"/>
          </w:tcPr>
          <w:p w14:paraId="710784BA" w14:textId="77777777" w:rsidR="001726C1" w:rsidRPr="00962F6D" w:rsidRDefault="001726C1" w:rsidP="00B60372">
            <w:pPr>
              <w:pStyle w:val="Table"/>
              <w:keepNext/>
            </w:pPr>
            <w:r w:rsidRPr="00962F6D">
              <w:t>MDC</w:t>
            </w:r>
          </w:p>
        </w:tc>
        <w:tc>
          <w:tcPr>
            <w:tcW w:w="4535" w:type="dxa"/>
          </w:tcPr>
          <w:p w14:paraId="487BD678" w14:textId="77777777" w:rsidR="001726C1" w:rsidRPr="00962F6D" w:rsidRDefault="001726C1" w:rsidP="00B60372">
            <w:pPr>
              <w:pStyle w:val="Table"/>
              <w:keepNext/>
            </w:pPr>
            <w:r w:rsidRPr="00962F6D">
              <w:t>Code Chapter within CDC</w:t>
            </w:r>
          </w:p>
        </w:tc>
        <w:tc>
          <w:tcPr>
            <w:tcW w:w="1701" w:type="dxa"/>
          </w:tcPr>
          <w:p w14:paraId="51DFA005" w14:textId="77777777" w:rsidR="001726C1" w:rsidRPr="00962F6D" w:rsidRDefault="00F25084" w:rsidP="00B60372">
            <w:pPr>
              <w:pStyle w:val="Table"/>
              <w:keepNext/>
              <w:jc w:val="center"/>
            </w:pPr>
            <w:r w:rsidRPr="009F2277">
              <w:rPr>
                <w:position w:val="-12"/>
              </w:rPr>
              <w:object w:dxaOrig="800" w:dyaOrig="360" w14:anchorId="403DF14C">
                <v:shape id="_x0000_i1270" type="#_x0000_t75" style="width:39.75pt;height:18pt" o:ole="">
                  <v:imagedata r:id="rId425" o:title=""/>
                </v:shape>
                <o:OLEObject Type="Embed" ProgID="Equation.DSMT4" ShapeID="_x0000_i1270" DrawAspect="Content" ObjectID="_1775045906" r:id="rId426"/>
              </w:object>
            </w:r>
          </w:p>
        </w:tc>
      </w:tr>
      <w:tr w:rsidR="001726C1" w:rsidRPr="00962F6D" w14:paraId="412ADF20" w14:textId="77777777" w:rsidTr="00706E5D">
        <w:trPr>
          <w:trHeight w:val="283"/>
        </w:trPr>
        <w:tc>
          <w:tcPr>
            <w:tcW w:w="1871" w:type="dxa"/>
            <w:vMerge/>
          </w:tcPr>
          <w:p w14:paraId="373EBFA9" w14:textId="77777777" w:rsidR="001726C1" w:rsidRPr="00962F6D" w:rsidRDefault="001726C1" w:rsidP="00B60372">
            <w:pPr>
              <w:pStyle w:val="Table"/>
              <w:keepNext/>
            </w:pPr>
          </w:p>
        </w:tc>
        <w:tc>
          <w:tcPr>
            <w:tcW w:w="4535" w:type="dxa"/>
          </w:tcPr>
          <w:p w14:paraId="7D4B76D4" w14:textId="77777777" w:rsidR="001726C1" w:rsidRPr="00962F6D" w:rsidRDefault="001726C1" w:rsidP="00B60372">
            <w:pPr>
              <w:pStyle w:val="Table"/>
              <w:keepNext/>
            </w:pPr>
            <w:r w:rsidRPr="00962F6D">
              <w:t>CDC</w:t>
            </w:r>
          </w:p>
        </w:tc>
        <w:tc>
          <w:tcPr>
            <w:tcW w:w="1701" w:type="dxa"/>
          </w:tcPr>
          <w:p w14:paraId="531AAB4F" w14:textId="77777777" w:rsidR="001726C1" w:rsidRPr="00962F6D" w:rsidRDefault="00F25084" w:rsidP="00B60372">
            <w:pPr>
              <w:pStyle w:val="Table"/>
              <w:keepNext/>
              <w:jc w:val="center"/>
            </w:pPr>
            <w:r w:rsidRPr="009F2277">
              <w:rPr>
                <w:position w:val="-12"/>
              </w:rPr>
              <w:object w:dxaOrig="800" w:dyaOrig="360" w14:anchorId="235EB911">
                <v:shape id="_x0000_i1271" type="#_x0000_t75" style="width:39.75pt;height:18pt" o:ole="">
                  <v:imagedata r:id="rId427" o:title=""/>
                </v:shape>
                <o:OLEObject Type="Embed" ProgID="Equation.DSMT4" ShapeID="_x0000_i1271" DrawAspect="Content" ObjectID="_1775045907" r:id="rId428"/>
              </w:object>
            </w:r>
          </w:p>
        </w:tc>
      </w:tr>
      <w:tr w:rsidR="001726C1" w:rsidRPr="00962F6D" w14:paraId="16B7411E" w14:textId="77777777" w:rsidTr="00706E5D">
        <w:trPr>
          <w:trHeight w:val="283"/>
        </w:trPr>
        <w:tc>
          <w:tcPr>
            <w:tcW w:w="1871" w:type="dxa"/>
            <w:vMerge w:val="restart"/>
          </w:tcPr>
          <w:p w14:paraId="24BE97E8" w14:textId="77777777" w:rsidR="001726C1" w:rsidRPr="00962F6D" w:rsidRDefault="001726C1" w:rsidP="00B60372">
            <w:pPr>
              <w:pStyle w:val="Table"/>
              <w:keepNext/>
            </w:pPr>
            <w:r w:rsidRPr="00962F6D">
              <w:t>All ADRGs</w:t>
            </w:r>
          </w:p>
        </w:tc>
        <w:tc>
          <w:tcPr>
            <w:tcW w:w="4535" w:type="dxa"/>
          </w:tcPr>
          <w:p w14:paraId="3ED66B7C" w14:textId="77777777" w:rsidR="001726C1" w:rsidRPr="00962F6D" w:rsidRDefault="001726C1" w:rsidP="00B60372">
            <w:pPr>
              <w:pStyle w:val="Table"/>
              <w:keepNext/>
            </w:pPr>
            <w:r w:rsidRPr="00962F6D">
              <w:t>Code Chapter within CDC</w:t>
            </w:r>
          </w:p>
        </w:tc>
        <w:tc>
          <w:tcPr>
            <w:tcW w:w="1701" w:type="dxa"/>
          </w:tcPr>
          <w:p w14:paraId="42E64379" w14:textId="77777777" w:rsidR="001726C1" w:rsidRPr="00962F6D" w:rsidRDefault="00F25084" w:rsidP="00B60372">
            <w:pPr>
              <w:pStyle w:val="Table"/>
              <w:keepNext/>
              <w:jc w:val="center"/>
            </w:pPr>
            <w:r w:rsidRPr="009F2277">
              <w:rPr>
                <w:position w:val="-12"/>
              </w:rPr>
              <w:object w:dxaOrig="820" w:dyaOrig="360" w14:anchorId="03EE8D75">
                <v:shape id="_x0000_i1272" type="#_x0000_t75" style="width:41.25pt;height:18pt" o:ole="">
                  <v:imagedata r:id="rId429" o:title=""/>
                </v:shape>
                <o:OLEObject Type="Embed" ProgID="Equation.DSMT4" ShapeID="_x0000_i1272" DrawAspect="Content" ObjectID="_1775045908" r:id="rId430"/>
              </w:object>
            </w:r>
          </w:p>
        </w:tc>
      </w:tr>
      <w:tr w:rsidR="001726C1" w:rsidRPr="00962F6D" w14:paraId="3188702A" w14:textId="77777777" w:rsidTr="00706E5D">
        <w:trPr>
          <w:trHeight w:val="283"/>
        </w:trPr>
        <w:tc>
          <w:tcPr>
            <w:tcW w:w="1871" w:type="dxa"/>
            <w:vMerge/>
          </w:tcPr>
          <w:p w14:paraId="0F49CC4E" w14:textId="77777777" w:rsidR="001726C1" w:rsidRPr="00962F6D" w:rsidRDefault="001726C1" w:rsidP="00B60372">
            <w:pPr>
              <w:pStyle w:val="Table"/>
              <w:keepNext/>
            </w:pPr>
          </w:p>
        </w:tc>
        <w:tc>
          <w:tcPr>
            <w:tcW w:w="4535" w:type="dxa"/>
          </w:tcPr>
          <w:p w14:paraId="1D2F8CDA" w14:textId="77777777" w:rsidR="001726C1" w:rsidRPr="00962F6D" w:rsidRDefault="001726C1" w:rsidP="00B60372">
            <w:pPr>
              <w:pStyle w:val="Table"/>
              <w:keepNext/>
            </w:pPr>
            <w:r w:rsidRPr="00962F6D">
              <w:t>CDC</w:t>
            </w:r>
          </w:p>
        </w:tc>
        <w:tc>
          <w:tcPr>
            <w:tcW w:w="1701" w:type="dxa"/>
          </w:tcPr>
          <w:p w14:paraId="443B49BB" w14:textId="77777777" w:rsidR="001726C1" w:rsidRPr="00962F6D" w:rsidRDefault="00F25084" w:rsidP="00B60372">
            <w:pPr>
              <w:pStyle w:val="Table"/>
              <w:keepNext/>
              <w:jc w:val="center"/>
            </w:pPr>
            <w:r w:rsidRPr="009F2277">
              <w:rPr>
                <w:position w:val="-12"/>
              </w:rPr>
              <w:object w:dxaOrig="800" w:dyaOrig="360" w14:anchorId="71B57188">
                <v:shape id="_x0000_i1273" type="#_x0000_t75" style="width:39.75pt;height:18pt" o:ole="">
                  <v:imagedata r:id="rId431" o:title=""/>
                </v:shape>
                <o:OLEObject Type="Embed" ProgID="Equation.DSMT4" ShapeID="_x0000_i1273" DrawAspect="Content" ObjectID="_1775045909" r:id="rId432"/>
              </w:object>
            </w:r>
          </w:p>
        </w:tc>
      </w:tr>
    </w:tbl>
    <w:p w14:paraId="5A43BDF1" w14:textId="77777777" w:rsidR="005B5818" w:rsidRPr="00936A89" w:rsidRDefault="005B5818" w:rsidP="00B60372">
      <w:pPr>
        <w:keepNext/>
        <w:rPr>
          <w:szCs w:val="18"/>
        </w:rPr>
      </w:pPr>
      <w:r>
        <w:rPr>
          <w:lang w:val="en-AU"/>
        </w:rPr>
        <w:t xml:space="preserve">In order to derive </w:t>
      </w:r>
      <w:r w:rsidRPr="000149A0">
        <w:rPr>
          <w:lang w:val="en-AU"/>
        </w:rPr>
        <w:t xml:space="preserve">a combined </w:t>
      </w:r>
      <w:r>
        <w:rPr>
          <w:lang w:val="en-AU"/>
        </w:rPr>
        <w:t>relative</w:t>
      </w:r>
      <w:r w:rsidRPr="000149A0">
        <w:rPr>
          <w:lang w:val="en-AU"/>
        </w:rPr>
        <w:t xml:space="preserve"> cost associated with a diagnosis</w:t>
      </w:r>
      <w:r w:rsidR="007420EB">
        <w:rPr>
          <w:lang w:val="en-AU"/>
        </w:rPr>
        <w:t xml:space="preserve"> </w:t>
      </w:r>
      <w:r w:rsidR="007420EB" w:rsidRPr="00962DB6">
        <w:rPr>
          <w:position w:val="-6"/>
          <w:szCs w:val="24"/>
          <w:lang w:val="en-AU"/>
        </w:rPr>
        <w:object w:dxaOrig="200" w:dyaOrig="220" w14:anchorId="58D158CE">
          <v:shape id="_x0000_i1274" type="#_x0000_t75" style="width:9.75pt;height:11.25pt" o:ole="">
            <v:imagedata r:id="rId433" o:title=""/>
          </v:shape>
          <o:OLEObject Type="Embed" ProgID="Equation.DSMT4" ShapeID="_x0000_i1274" DrawAspect="Content" ObjectID="_1775045910" r:id="rId434"/>
        </w:object>
      </w:r>
      <w:r w:rsidRPr="000149A0">
        <w:rPr>
          <w:rFonts w:eastAsiaTheme="minorEastAsia"/>
          <w:lang w:val="en-AU"/>
        </w:rPr>
        <w:t xml:space="preserve"> in an ADRG </w:t>
      </w:r>
      <w:r w:rsidR="007420EB" w:rsidRPr="00962DB6">
        <w:rPr>
          <w:rFonts w:eastAsiaTheme="minorEastAsia"/>
          <w:position w:val="-4"/>
          <w:szCs w:val="24"/>
          <w:lang w:val="en-AU"/>
        </w:rPr>
        <w:object w:dxaOrig="240" w:dyaOrig="260" w14:anchorId="7248ADFA">
          <v:shape id="_x0000_i1275" type="#_x0000_t75" style="width:12pt;height:12.75pt" o:ole="">
            <v:imagedata r:id="rId435" o:title=""/>
          </v:shape>
          <o:OLEObject Type="Embed" ProgID="Equation.DSMT4" ShapeID="_x0000_i1275" DrawAspect="Content" ObjectID="_1775045911" r:id="rId436"/>
        </w:object>
      </w:r>
      <w:r w:rsidRPr="000149A0">
        <w:rPr>
          <w:rFonts w:eastAsiaTheme="minorEastAsia"/>
          <w:lang w:val="en-AU"/>
        </w:rPr>
        <w:t xml:space="preserve">, the </w:t>
      </w:r>
      <w:r w:rsidRPr="000149A0">
        <w:rPr>
          <w:lang w:val="en-AU"/>
        </w:rPr>
        <w:t xml:space="preserve">weighted geometric mean of the </w:t>
      </w:r>
      <w:r w:rsidR="00CF2DB3" w:rsidRPr="000B3D52">
        <w:rPr>
          <w:position w:val="-14"/>
        </w:rPr>
        <w:object w:dxaOrig="820" w:dyaOrig="400" w14:anchorId="6947332C">
          <v:shape id="_x0000_i1276" type="#_x0000_t75" style="width:41.25pt;height:20.25pt" o:ole="">
            <v:imagedata r:id="rId363" o:title=""/>
          </v:shape>
          <o:OLEObject Type="Embed" ProgID="Equation.DSMT4" ShapeID="_x0000_i1276" DrawAspect="Content" ObjectID="_1775045912" r:id="rId437"/>
        </w:object>
      </w:r>
      <w:r w:rsidRPr="000149A0">
        <w:rPr>
          <w:rFonts w:eastAsiaTheme="minorEastAsia"/>
          <w:lang w:val="en-AU"/>
        </w:rPr>
        <w:t xml:space="preserve"> at each level of aggregation specified in </w:t>
      </w:r>
      <w:r w:rsidR="00CC0F16">
        <w:fldChar w:fldCharType="begin"/>
      </w:r>
      <w:r w:rsidR="00CC0F16">
        <w:instrText xml:space="preserve"> REF _Ref391042152 \h  \* MERGEFORMAT </w:instrText>
      </w:r>
      <w:r w:rsidR="00CC0F16">
        <w:fldChar w:fldCharType="separate"/>
      </w:r>
      <w:r w:rsidR="0031717B" w:rsidRPr="00366CA1">
        <w:t xml:space="preserve">Table </w:t>
      </w:r>
      <w:r w:rsidR="0031717B">
        <w:t>3</w:t>
      </w:r>
      <w:r w:rsidR="00CC0F16">
        <w:fldChar w:fldCharType="end"/>
      </w:r>
      <w:r w:rsidRPr="004749E0">
        <w:t xml:space="preserve"> is </w:t>
      </w:r>
      <w:r>
        <w:t xml:space="preserve">first </w:t>
      </w:r>
      <w:r w:rsidRPr="004749E0">
        <w:t>calculated</w:t>
      </w:r>
      <w:r w:rsidRPr="000149A0">
        <w:rPr>
          <w:rFonts w:eastAsiaTheme="minorEastAsia"/>
          <w:lang w:val="en-AU"/>
        </w:rPr>
        <w:t xml:space="preserve">. </w:t>
      </w:r>
    </w:p>
    <w:p w14:paraId="73DAB9B6" w14:textId="77777777" w:rsidR="005B5818" w:rsidRPr="00507A61" w:rsidRDefault="00093DF9" w:rsidP="00B60372">
      <w:pPr>
        <w:pStyle w:val="MTDisplayEquation"/>
        <w:keepNext/>
        <w:jc w:val="center"/>
        <w:rPr>
          <w:rFonts w:eastAsiaTheme="minorEastAsia"/>
          <w:szCs w:val="24"/>
        </w:rPr>
      </w:pPr>
      <w:r w:rsidRPr="00DE021E">
        <w:rPr>
          <w:position w:val="-46"/>
        </w:rPr>
        <w:object w:dxaOrig="6259" w:dyaOrig="1160" w14:anchorId="6B8319CA">
          <v:shape id="_x0000_i1277" type="#_x0000_t75" style="width:409.5pt;height:75.75pt" o:ole="">
            <v:imagedata r:id="rId438" o:title=""/>
          </v:shape>
          <o:OLEObject Type="Embed" ProgID="Equation.DSMT4" ShapeID="_x0000_i1277" DrawAspect="Content" ObjectID="_1775045913" r:id="rId439"/>
        </w:object>
      </w:r>
    </w:p>
    <w:p w14:paraId="2913824A" w14:textId="77777777" w:rsidR="005B5818" w:rsidRDefault="005B5818" w:rsidP="00B60372">
      <w:pPr>
        <w:rPr>
          <w:rFonts w:eastAsiaTheme="minorEastAsia"/>
          <w:szCs w:val="24"/>
          <w:lang w:val="en-AU"/>
        </w:rPr>
      </w:pPr>
      <w:r>
        <w:rPr>
          <w:szCs w:val="24"/>
          <w:lang w:val="en-AU"/>
        </w:rPr>
        <w:lastRenderedPageBreak/>
        <w:t xml:space="preserve">These </w:t>
      </w:r>
      <w:r w:rsidR="00DE021E" w:rsidRPr="00DE021E">
        <w:rPr>
          <w:position w:val="-16"/>
        </w:rPr>
        <w:object w:dxaOrig="1080" w:dyaOrig="440" w14:anchorId="1F814F6C">
          <v:shape id="_x0000_i1278" type="#_x0000_t75" style="width:54pt;height:21.75pt" o:ole="">
            <v:imagedata r:id="rId440" o:title=""/>
          </v:shape>
          <o:OLEObject Type="Embed" ProgID="Equation.DSMT4" ShapeID="_x0000_i1278" DrawAspect="Content" ObjectID="_1775045914" r:id="rId441"/>
        </w:object>
      </w:r>
      <w:r>
        <w:rPr>
          <w:rFonts w:eastAsiaTheme="minorEastAsia"/>
          <w:szCs w:val="24"/>
          <w:lang w:val="en-AU"/>
        </w:rPr>
        <w:t xml:space="preserve"> are used</w:t>
      </w:r>
      <w:r>
        <w:rPr>
          <w:szCs w:val="24"/>
          <w:lang w:val="en-AU"/>
        </w:rPr>
        <w:t xml:space="preserve"> to iteratively calculate a cumulative relative cost estimate for</w:t>
      </w:r>
      <w:r w:rsidR="00962DB6">
        <w:rPr>
          <w:szCs w:val="24"/>
          <w:lang w:val="en-AU"/>
        </w:rPr>
        <w:t xml:space="preserve"> </w:t>
      </w:r>
      <w:r w:rsidR="00962DB6" w:rsidRPr="00962DB6">
        <w:rPr>
          <w:position w:val="-6"/>
          <w:szCs w:val="24"/>
          <w:lang w:val="en-AU"/>
        </w:rPr>
        <w:object w:dxaOrig="200" w:dyaOrig="220" w14:anchorId="3ED0B195">
          <v:shape id="_x0000_i1279" type="#_x0000_t75" style="width:9.75pt;height:11.25pt" o:ole="">
            <v:imagedata r:id="rId433" o:title=""/>
          </v:shape>
          <o:OLEObject Type="Embed" ProgID="Equation.DSMT4" ShapeID="_x0000_i1279" DrawAspect="Content" ObjectID="_1775045915" r:id="rId442"/>
        </w:object>
      </w:r>
      <w:r w:rsidR="00962DB6">
        <w:rPr>
          <w:szCs w:val="24"/>
          <w:lang w:val="en-AU"/>
        </w:rPr>
        <w:t xml:space="preserve"> </w:t>
      </w:r>
      <w:r>
        <w:rPr>
          <w:rFonts w:eastAsiaTheme="minorEastAsia"/>
          <w:szCs w:val="24"/>
          <w:lang w:val="en-AU"/>
        </w:rPr>
        <w:t xml:space="preserve">in </w:t>
      </w:r>
      <w:r w:rsidR="00962DB6" w:rsidRPr="00962DB6">
        <w:rPr>
          <w:rFonts w:eastAsiaTheme="minorEastAsia"/>
          <w:position w:val="-4"/>
          <w:szCs w:val="24"/>
          <w:lang w:val="en-AU"/>
        </w:rPr>
        <w:object w:dxaOrig="240" w:dyaOrig="260" w14:anchorId="673988AE">
          <v:shape id="_x0000_i1280" type="#_x0000_t75" style="width:12pt;height:12.75pt" o:ole="">
            <v:imagedata r:id="rId435" o:title=""/>
          </v:shape>
          <o:OLEObject Type="Embed" ProgID="Equation.DSMT4" ShapeID="_x0000_i1280" DrawAspect="Content" ObjectID="_1775045916" r:id="rId443"/>
        </w:object>
      </w:r>
      <w:r w:rsidR="00962DB6">
        <w:rPr>
          <w:rFonts w:eastAsiaTheme="minorEastAsia"/>
          <w:szCs w:val="24"/>
          <w:lang w:val="en-AU"/>
        </w:rPr>
        <w:t xml:space="preserve"> </w:t>
      </w:r>
      <w:r>
        <w:rPr>
          <w:rFonts w:eastAsiaTheme="minorEastAsia"/>
          <w:szCs w:val="24"/>
          <w:lang w:val="en-AU"/>
        </w:rPr>
        <w:t xml:space="preserve">through the 14 levels until the sample size threshold of 100 is reached. The </w:t>
      </w:r>
      <w:r w:rsidR="00DE021E" w:rsidRPr="00DE021E">
        <w:rPr>
          <w:position w:val="-16"/>
        </w:rPr>
        <w:object w:dxaOrig="1080" w:dyaOrig="440" w14:anchorId="253D561A">
          <v:shape id="_x0000_i1281" type="#_x0000_t75" style="width:54pt;height:21.75pt" o:ole="">
            <v:imagedata r:id="rId440" o:title=""/>
          </v:shape>
          <o:OLEObject Type="Embed" ProgID="Equation.DSMT4" ShapeID="_x0000_i1281" DrawAspect="Content" ObjectID="_1775045917" r:id="rId444"/>
        </w:object>
      </w:r>
      <w:r>
        <w:rPr>
          <w:rFonts w:eastAsiaTheme="minorEastAsia"/>
          <w:szCs w:val="24"/>
          <w:lang w:val="en-AU"/>
        </w:rPr>
        <w:t xml:space="preserve"> are denoted by </w:t>
      </w:r>
      <w:r w:rsidR="00DE021E" w:rsidRPr="00DE021E">
        <w:rPr>
          <w:rFonts w:eastAsiaTheme="minorEastAsia"/>
          <w:position w:val="-12"/>
          <w:szCs w:val="24"/>
          <w:lang w:val="en-AU"/>
        </w:rPr>
        <w:object w:dxaOrig="300" w:dyaOrig="360" w14:anchorId="3D1CE396">
          <v:shape id="_x0000_i1282" type="#_x0000_t75" style="width:15pt;height:18pt" o:ole="">
            <v:imagedata r:id="rId445" o:title=""/>
          </v:shape>
          <o:OLEObject Type="Embed" ProgID="Equation.DSMT4" ShapeID="_x0000_i1282" DrawAspect="Content" ObjectID="_1775045918" r:id="rId446"/>
        </w:object>
      </w:r>
      <w:r>
        <w:rPr>
          <w:rFonts w:eastAsiaTheme="minorEastAsia"/>
          <w:szCs w:val="24"/>
          <w:lang w:val="en-AU"/>
        </w:rPr>
        <w:t xml:space="preserve">, where </w:t>
      </w:r>
      <w:r w:rsidR="00DE021E" w:rsidRPr="00DE021E">
        <w:rPr>
          <w:rFonts w:eastAsiaTheme="minorEastAsia"/>
          <w:position w:val="-6"/>
          <w:szCs w:val="24"/>
          <w:lang w:val="en-AU"/>
        </w:rPr>
        <w:object w:dxaOrig="200" w:dyaOrig="279" w14:anchorId="1853B78E">
          <v:shape id="_x0000_i1283" type="#_x0000_t75" style="width:9.75pt;height:14.25pt" o:ole="">
            <v:imagedata r:id="rId447" o:title=""/>
          </v:shape>
          <o:OLEObject Type="Embed" ProgID="Equation.DSMT4" ShapeID="_x0000_i1283" DrawAspect="Content" ObjectID="_1775045919" r:id="rId448"/>
        </w:object>
      </w:r>
      <w:r w:rsidR="00DE021E">
        <w:rPr>
          <w:rFonts w:eastAsiaTheme="minorEastAsia"/>
          <w:szCs w:val="24"/>
          <w:lang w:val="en-AU"/>
        </w:rPr>
        <w:t xml:space="preserve"> </w:t>
      </w:r>
      <w:r>
        <w:rPr>
          <w:rFonts w:eastAsiaTheme="minorEastAsia"/>
          <w:szCs w:val="24"/>
          <w:lang w:val="en-AU"/>
        </w:rPr>
        <w:t xml:space="preserve">is the corresponding level of the aggregation hierarchy. </w:t>
      </w:r>
      <w:r w:rsidR="00CC0F16">
        <w:fldChar w:fldCharType="begin"/>
      </w:r>
      <w:r w:rsidR="00CC0F16">
        <w:instrText xml:space="preserve"> REF _Ref391641187 \h  \* MERGEFORMAT </w:instrText>
      </w:r>
      <w:r w:rsidR="00CC0F16">
        <w:fldChar w:fldCharType="separate"/>
      </w:r>
      <w:r w:rsidR="0031717B" w:rsidRPr="0031717B">
        <w:rPr>
          <w:szCs w:val="24"/>
        </w:rPr>
        <w:t>Table 4</w:t>
      </w:r>
      <w:r w:rsidR="00CC0F16">
        <w:fldChar w:fldCharType="end"/>
      </w:r>
      <w:r w:rsidRPr="005F29F6">
        <w:rPr>
          <w:rFonts w:eastAsiaTheme="minorEastAsia"/>
          <w:szCs w:val="24"/>
          <w:lang w:val="en-AU"/>
        </w:rPr>
        <w:t xml:space="preserve"> specifies this notation</w:t>
      </w:r>
      <w:r>
        <w:rPr>
          <w:rFonts w:eastAsiaTheme="minorEastAsia"/>
          <w:szCs w:val="24"/>
          <w:lang w:val="en-AU"/>
        </w:rPr>
        <w:t>.</w:t>
      </w:r>
    </w:p>
    <w:p w14:paraId="6C7A1E6E" w14:textId="77777777" w:rsidR="005B5818" w:rsidRDefault="005B5818" w:rsidP="00B60372">
      <w:pPr>
        <w:pStyle w:val="Caption"/>
      </w:pPr>
      <w:bookmarkStart w:id="77" w:name="_Ref391641187"/>
      <w:bookmarkStart w:id="78" w:name="_Toc401061091"/>
      <w:r>
        <w:t xml:space="preserve">Table </w:t>
      </w:r>
      <w:r w:rsidR="005559F5">
        <w:fldChar w:fldCharType="begin"/>
      </w:r>
      <w:r>
        <w:instrText xml:space="preserve"> SEQ Table \* ARABIC </w:instrText>
      </w:r>
      <w:r w:rsidR="005559F5">
        <w:fldChar w:fldCharType="separate"/>
      </w:r>
      <w:r w:rsidR="0031717B">
        <w:rPr>
          <w:noProof/>
        </w:rPr>
        <w:t>4</w:t>
      </w:r>
      <w:r w:rsidR="005559F5">
        <w:fldChar w:fldCharType="end"/>
      </w:r>
      <w:bookmarkEnd w:id="77"/>
      <w:r>
        <w:t>: Notation used in calculation of cumulative relative cost</w:t>
      </w:r>
      <w:r w:rsidR="00A67862">
        <w:t>.</w:t>
      </w:r>
      <w:bookmarkEnd w:id="78"/>
    </w:p>
    <w:tbl>
      <w:tblPr>
        <w:tblStyle w:val="Style1"/>
        <w:tblW w:w="5000" w:type="pct"/>
        <w:tblLook w:val="0420" w:firstRow="1" w:lastRow="0" w:firstColumn="0" w:lastColumn="0" w:noHBand="0" w:noVBand="1"/>
        <w:tblCaption w:val="Notation used in calculation of cumulative relative cost"/>
        <w:tblDescription w:val="The table has three columns: the first lists the level of ADRG aggregation (A); the second lists the level of diagnosis aggregation (X) for each level of A; the third lists the notation for the calculation of cumulative relative cost."/>
      </w:tblPr>
      <w:tblGrid>
        <w:gridCol w:w="2220"/>
        <w:gridCol w:w="3958"/>
        <w:gridCol w:w="1571"/>
        <w:gridCol w:w="1494"/>
      </w:tblGrid>
      <w:tr w:rsidR="000E6DC3" w:rsidRPr="00962F6D" w14:paraId="29A92206" w14:textId="77777777" w:rsidTr="000E6DC3">
        <w:trPr>
          <w:cnfStyle w:val="100000000000" w:firstRow="1" w:lastRow="0" w:firstColumn="0" w:lastColumn="0" w:oddVBand="0" w:evenVBand="0" w:oddHBand="0" w:evenHBand="0" w:firstRowFirstColumn="0" w:firstRowLastColumn="0" w:lastRowFirstColumn="0" w:lastRowLastColumn="0"/>
          <w:trHeight w:val="283"/>
          <w:tblHeader/>
        </w:trPr>
        <w:tc>
          <w:tcPr>
            <w:tcW w:w="1201" w:type="pct"/>
          </w:tcPr>
          <w:p w14:paraId="23EE6217" w14:textId="77777777" w:rsidR="00C253E4" w:rsidRPr="00962F6D" w:rsidRDefault="00C253E4" w:rsidP="00B60372">
            <w:pPr>
              <w:pStyle w:val="Table"/>
            </w:pPr>
            <w:r w:rsidRPr="00962F6D">
              <w:t>ADRG level</w:t>
            </w:r>
            <w:r>
              <w:t xml:space="preserve"> </w:t>
            </w:r>
            <w:r w:rsidRPr="00FF5B4D">
              <w:rPr>
                <w:b w:val="0"/>
                <w:position w:val="-14"/>
              </w:rPr>
              <w:object w:dxaOrig="440" w:dyaOrig="400" w14:anchorId="5EB56FB1">
                <v:shape id="_x0000_i1284" type="#_x0000_t75" style="width:21.75pt;height:20.25pt" o:ole="">
                  <v:imagedata r:id="rId401" o:title=""/>
                </v:shape>
                <o:OLEObject Type="Embed" ProgID="Equation.DSMT4" ShapeID="_x0000_i1284" DrawAspect="Content" ObjectID="_1775045920" r:id="rId449"/>
              </w:object>
            </w:r>
          </w:p>
        </w:tc>
        <w:tc>
          <w:tcPr>
            <w:tcW w:w="2141" w:type="pct"/>
          </w:tcPr>
          <w:p w14:paraId="0B35D736" w14:textId="77777777" w:rsidR="00C253E4" w:rsidRPr="00962F6D" w:rsidRDefault="00C253E4" w:rsidP="00B60372">
            <w:pPr>
              <w:pStyle w:val="Table"/>
            </w:pPr>
            <w:r w:rsidRPr="00962F6D">
              <w:t>Diagnosis level</w:t>
            </w:r>
            <w:r>
              <w:t xml:space="preserve"> </w:t>
            </w:r>
            <w:r w:rsidRPr="00DD1381">
              <w:rPr>
                <w:b w:val="0"/>
                <w:position w:val="-14"/>
              </w:rPr>
              <w:object w:dxaOrig="460" w:dyaOrig="400" w14:anchorId="718AC079">
                <v:shape id="_x0000_i1285" type="#_x0000_t75" style="width:23.25pt;height:20.25pt" o:ole="">
                  <v:imagedata r:id="rId403" o:title=""/>
                </v:shape>
                <o:OLEObject Type="Embed" ProgID="Equation.DSMT4" ShapeID="_x0000_i1285" DrawAspect="Content" ObjectID="_1775045921" r:id="rId450"/>
              </w:object>
            </w:r>
          </w:p>
        </w:tc>
        <w:tc>
          <w:tcPr>
            <w:tcW w:w="850" w:type="pct"/>
          </w:tcPr>
          <w:p w14:paraId="2B8DF7B4" w14:textId="77777777" w:rsidR="00C253E4" w:rsidRPr="00962F6D" w:rsidRDefault="00C253E4" w:rsidP="00B60372">
            <w:pPr>
              <w:pStyle w:val="Table"/>
              <w:jc w:val="center"/>
            </w:pPr>
            <w:r>
              <w:t>Notation</w:t>
            </w:r>
          </w:p>
        </w:tc>
        <w:tc>
          <w:tcPr>
            <w:tcW w:w="808" w:type="pct"/>
          </w:tcPr>
          <w:p w14:paraId="00647A01" w14:textId="77777777" w:rsidR="00C253E4" w:rsidRDefault="000E6DC3" w:rsidP="00B60372">
            <w:pPr>
              <w:pStyle w:val="Table"/>
              <w:jc w:val="center"/>
            </w:pPr>
            <w:r>
              <w:t>Defined as</w:t>
            </w:r>
          </w:p>
        </w:tc>
      </w:tr>
      <w:tr w:rsidR="000E6DC3" w:rsidRPr="00936A89" w14:paraId="7B38391A" w14:textId="77777777" w:rsidTr="000E6DC3">
        <w:trPr>
          <w:trHeight w:val="283"/>
        </w:trPr>
        <w:tc>
          <w:tcPr>
            <w:tcW w:w="1201" w:type="pct"/>
            <w:vMerge w:val="restart"/>
          </w:tcPr>
          <w:p w14:paraId="588B19B8" w14:textId="77777777" w:rsidR="00C253E4" w:rsidRPr="00962F6D" w:rsidRDefault="00C253E4" w:rsidP="002F7E33">
            <w:pPr>
              <w:pStyle w:val="Table"/>
              <w:keepNext/>
            </w:pPr>
            <w:r>
              <w:t>ADRG</w:t>
            </w:r>
          </w:p>
        </w:tc>
        <w:tc>
          <w:tcPr>
            <w:tcW w:w="2141" w:type="pct"/>
          </w:tcPr>
          <w:p w14:paraId="6B669264" w14:textId="77777777" w:rsidR="00C253E4" w:rsidRPr="00962F6D" w:rsidRDefault="00C253E4" w:rsidP="002F7E33">
            <w:pPr>
              <w:pStyle w:val="Table"/>
              <w:keepNext/>
            </w:pPr>
            <w:r w:rsidRPr="00962F6D">
              <w:t>3-character category within CDC</w:t>
            </w:r>
          </w:p>
        </w:tc>
        <w:tc>
          <w:tcPr>
            <w:tcW w:w="850" w:type="pct"/>
            <w:vAlign w:val="center"/>
          </w:tcPr>
          <w:p w14:paraId="590AEB68" w14:textId="77777777" w:rsidR="00C253E4" w:rsidRPr="00962F6D" w:rsidRDefault="00C253E4" w:rsidP="00B60372">
            <w:pPr>
              <w:pStyle w:val="Table"/>
              <w:keepNext/>
              <w:tabs>
                <w:tab w:val="center" w:pos="1620"/>
                <w:tab w:val="right" w:pos="3240"/>
              </w:tabs>
              <w:jc w:val="center"/>
            </w:pPr>
            <w:r w:rsidRPr="00DD1381">
              <w:rPr>
                <w:position w:val="-14"/>
              </w:rPr>
              <w:object w:dxaOrig="1060" w:dyaOrig="400" w14:anchorId="7306E6BA">
                <v:shape id="_x0000_i1286" type="#_x0000_t75" style="width:53.25pt;height:20.25pt" o:ole="">
                  <v:imagedata r:id="rId451" o:title=""/>
                </v:shape>
                <o:OLEObject Type="Embed" ProgID="Equation.DSMT4" ShapeID="_x0000_i1286" DrawAspect="Content" ObjectID="_1775045922" r:id="rId452"/>
              </w:object>
            </w:r>
          </w:p>
        </w:tc>
        <w:tc>
          <w:tcPr>
            <w:tcW w:w="808" w:type="pct"/>
            <w:vAlign w:val="center"/>
          </w:tcPr>
          <w:p w14:paraId="12F5CFF9" w14:textId="77777777" w:rsidR="00C253E4" w:rsidRPr="00DD1381" w:rsidRDefault="00C253E4" w:rsidP="00B60372">
            <w:pPr>
              <w:pStyle w:val="Table"/>
              <w:keepNext/>
              <w:tabs>
                <w:tab w:val="center" w:pos="1620"/>
                <w:tab w:val="right" w:pos="3240"/>
              </w:tabs>
              <w:jc w:val="center"/>
            </w:pPr>
            <w:r w:rsidRPr="00C253E4">
              <w:rPr>
                <w:position w:val="-12"/>
              </w:rPr>
              <w:object w:dxaOrig="279" w:dyaOrig="360" w14:anchorId="6ACE68AD">
                <v:shape id="_x0000_i1287" type="#_x0000_t75" style="width:14.25pt;height:18pt" o:ole="">
                  <v:imagedata r:id="rId453" o:title=""/>
                </v:shape>
                <o:OLEObject Type="Embed" ProgID="Equation.DSMT4" ShapeID="_x0000_i1287" DrawAspect="Content" ObjectID="_1775045923" r:id="rId454"/>
              </w:object>
            </w:r>
          </w:p>
        </w:tc>
      </w:tr>
      <w:tr w:rsidR="000E6DC3" w:rsidRPr="00936A89" w14:paraId="751238C1" w14:textId="77777777" w:rsidTr="000E6DC3">
        <w:trPr>
          <w:trHeight w:val="283"/>
        </w:trPr>
        <w:tc>
          <w:tcPr>
            <w:tcW w:w="1201" w:type="pct"/>
            <w:vMerge/>
          </w:tcPr>
          <w:p w14:paraId="36F39CBF" w14:textId="77777777" w:rsidR="00C253E4" w:rsidRPr="00962F6D" w:rsidRDefault="00C253E4" w:rsidP="002F7E33">
            <w:pPr>
              <w:pStyle w:val="Table"/>
              <w:keepNext/>
            </w:pPr>
          </w:p>
        </w:tc>
        <w:tc>
          <w:tcPr>
            <w:tcW w:w="2141" w:type="pct"/>
          </w:tcPr>
          <w:p w14:paraId="3AD1206E" w14:textId="77777777" w:rsidR="00C253E4" w:rsidRPr="00962F6D" w:rsidRDefault="00C253E4" w:rsidP="002F7E33">
            <w:pPr>
              <w:pStyle w:val="Table"/>
              <w:keepNext/>
            </w:pPr>
            <w:r w:rsidRPr="00962F6D">
              <w:t>Code Block within CDC</w:t>
            </w:r>
          </w:p>
        </w:tc>
        <w:tc>
          <w:tcPr>
            <w:tcW w:w="850" w:type="pct"/>
            <w:vAlign w:val="center"/>
          </w:tcPr>
          <w:p w14:paraId="03D5FC06" w14:textId="77777777" w:rsidR="00C253E4" w:rsidRPr="00962F6D" w:rsidRDefault="00C253E4" w:rsidP="00B60372">
            <w:pPr>
              <w:pStyle w:val="Table"/>
              <w:keepNext/>
              <w:jc w:val="center"/>
            </w:pPr>
            <w:r w:rsidRPr="00DD1381">
              <w:rPr>
                <w:position w:val="-14"/>
              </w:rPr>
              <w:object w:dxaOrig="1080" w:dyaOrig="400" w14:anchorId="0B929F79">
                <v:shape id="_x0000_i1288" type="#_x0000_t75" style="width:54pt;height:20.25pt" o:ole="">
                  <v:imagedata r:id="rId455" o:title=""/>
                </v:shape>
                <o:OLEObject Type="Embed" ProgID="Equation.DSMT4" ShapeID="_x0000_i1288" DrawAspect="Content" ObjectID="_1775045924" r:id="rId456"/>
              </w:object>
            </w:r>
          </w:p>
        </w:tc>
        <w:tc>
          <w:tcPr>
            <w:tcW w:w="808" w:type="pct"/>
            <w:vAlign w:val="center"/>
          </w:tcPr>
          <w:p w14:paraId="43322069" w14:textId="77777777" w:rsidR="00C253E4" w:rsidRPr="00DD1381" w:rsidRDefault="00C253E4" w:rsidP="00B60372">
            <w:pPr>
              <w:pStyle w:val="Table"/>
              <w:keepNext/>
              <w:jc w:val="center"/>
            </w:pPr>
            <w:r w:rsidRPr="00C253E4">
              <w:rPr>
                <w:position w:val="-12"/>
              </w:rPr>
              <w:object w:dxaOrig="300" w:dyaOrig="360" w14:anchorId="12FCAAB8">
                <v:shape id="_x0000_i1289" type="#_x0000_t75" style="width:15pt;height:18pt" o:ole="">
                  <v:imagedata r:id="rId457" o:title=""/>
                </v:shape>
                <o:OLEObject Type="Embed" ProgID="Equation.DSMT4" ShapeID="_x0000_i1289" DrawAspect="Content" ObjectID="_1775045925" r:id="rId458"/>
              </w:object>
            </w:r>
          </w:p>
        </w:tc>
      </w:tr>
      <w:tr w:rsidR="000E6DC3" w:rsidRPr="00936A89" w14:paraId="4638FB0B" w14:textId="77777777" w:rsidTr="000E6DC3">
        <w:trPr>
          <w:trHeight w:val="283"/>
        </w:trPr>
        <w:tc>
          <w:tcPr>
            <w:tcW w:w="1201" w:type="pct"/>
            <w:vMerge/>
          </w:tcPr>
          <w:p w14:paraId="5718316F" w14:textId="77777777" w:rsidR="00C253E4" w:rsidRPr="00962F6D" w:rsidRDefault="00C253E4" w:rsidP="002F7E33">
            <w:pPr>
              <w:pStyle w:val="Table"/>
              <w:keepNext/>
            </w:pPr>
          </w:p>
        </w:tc>
        <w:tc>
          <w:tcPr>
            <w:tcW w:w="2141" w:type="pct"/>
          </w:tcPr>
          <w:p w14:paraId="562D49C3" w14:textId="77777777" w:rsidR="00C253E4" w:rsidRPr="00962F6D" w:rsidRDefault="00C253E4" w:rsidP="002F7E33">
            <w:pPr>
              <w:pStyle w:val="Table"/>
              <w:keepNext/>
            </w:pPr>
            <w:r w:rsidRPr="00962F6D">
              <w:t>Code Section within CDC</w:t>
            </w:r>
          </w:p>
        </w:tc>
        <w:tc>
          <w:tcPr>
            <w:tcW w:w="850" w:type="pct"/>
            <w:vAlign w:val="center"/>
          </w:tcPr>
          <w:p w14:paraId="2273A0E6" w14:textId="77777777" w:rsidR="00C253E4" w:rsidRPr="00962F6D" w:rsidRDefault="00C253E4" w:rsidP="00B60372">
            <w:pPr>
              <w:pStyle w:val="Table"/>
              <w:keepNext/>
              <w:jc w:val="center"/>
            </w:pPr>
            <w:r w:rsidRPr="00DD1381">
              <w:rPr>
                <w:position w:val="-14"/>
              </w:rPr>
              <w:object w:dxaOrig="1080" w:dyaOrig="400" w14:anchorId="022E0C72">
                <v:shape id="_x0000_i1290" type="#_x0000_t75" style="width:54pt;height:20.25pt" o:ole="">
                  <v:imagedata r:id="rId459" o:title=""/>
                </v:shape>
                <o:OLEObject Type="Embed" ProgID="Equation.DSMT4" ShapeID="_x0000_i1290" DrawAspect="Content" ObjectID="_1775045926" r:id="rId460"/>
              </w:object>
            </w:r>
          </w:p>
        </w:tc>
        <w:tc>
          <w:tcPr>
            <w:tcW w:w="808" w:type="pct"/>
            <w:vAlign w:val="center"/>
          </w:tcPr>
          <w:p w14:paraId="48F04FFA" w14:textId="77777777" w:rsidR="00C253E4" w:rsidRPr="00DD1381" w:rsidRDefault="00C253E4" w:rsidP="00B60372">
            <w:pPr>
              <w:pStyle w:val="Table"/>
              <w:keepNext/>
              <w:jc w:val="center"/>
            </w:pPr>
            <w:r w:rsidRPr="00C253E4">
              <w:rPr>
                <w:position w:val="-12"/>
              </w:rPr>
              <w:object w:dxaOrig="300" w:dyaOrig="360" w14:anchorId="3BA01C59">
                <v:shape id="_x0000_i1291" type="#_x0000_t75" style="width:15pt;height:18pt" o:ole="">
                  <v:imagedata r:id="rId461" o:title=""/>
                </v:shape>
                <o:OLEObject Type="Embed" ProgID="Equation.DSMT4" ShapeID="_x0000_i1291" DrawAspect="Content" ObjectID="_1775045927" r:id="rId462"/>
              </w:object>
            </w:r>
          </w:p>
        </w:tc>
      </w:tr>
      <w:tr w:rsidR="000E6DC3" w:rsidRPr="00936A89" w14:paraId="1EC26639" w14:textId="77777777" w:rsidTr="000E6DC3">
        <w:trPr>
          <w:trHeight w:val="283"/>
        </w:trPr>
        <w:tc>
          <w:tcPr>
            <w:tcW w:w="1201" w:type="pct"/>
            <w:vMerge/>
          </w:tcPr>
          <w:p w14:paraId="1303AAF1" w14:textId="77777777" w:rsidR="00C253E4" w:rsidRPr="00962F6D" w:rsidRDefault="00C253E4" w:rsidP="002F7E33">
            <w:pPr>
              <w:pStyle w:val="Table"/>
              <w:keepNext/>
            </w:pPr>
          </w:p>
        </w:tc>
        <w:tc>
          <w:tcPr>
            <w:tcW w:w="2141" w:type="pct"/>
          </w:tcPr>
          <w:p w14:paraId="0EC1A024" w14:textId="77777777" w:rsidR="00C253E4" w:rsidRPr="00962F6D" w:rsidRDefault="00C253E4" w:rsidP="002F7E33">
            <w:pPr>
              <w:pStyle w:val="Table"/>
              <w:keepNext/>
            </w:pPr>
            <w:r w:rsidRPr="00962F6D">
              <w:t>Code Chapter within CDC</w:t>
            </w:r>
          </w:p>
        </w:tc>
        <w:tc>
          <w:tcPr>
            <w:tcW w:w="850" w:type="pct"/>
            <w:vAlign w:val="center"/>
          </w:tcPr>
          <w:p w14:paraId="35294E95" w14:textId="77777777" w:rsidR="00C253E4" w:rsidRPr="00962F6D" w:rsidRDefault="00C253E4" w:rsidP="00B60372">
            <w:pPr>
              <w:pStyle w:val="Table"/>
              <w:keepNext/>
              <w:jc w:val="center"/>
            </w:pPr>
            <w:r w:rsidRPr="00DD1381">
              <w:rPr>
                <w:position w:val="-14"/>
              </w:rPr>
              <w:object w:dxaOrig="1080" w:dyaOrig="400" w14:anchorId="086C5F40">
                <v:shape id="_x0000_i1292" type="#_x0000_t75" style="width:54pt;height:20.25pt" o:ole="">
                  <v:imagedata r:id="rId463" o:title=""/>
                </v:shape>
                <o:OLEObject Type="Embed" ProgID="Equation.DSMT4" ShapeID="_x0000_i1292" DrawAspect="Content" ObjectID="_1775045928" r:id="rId464"/>
              </w:object>
            </w:r>
          </w:p>
        </w:tc>
        <w:tc>
          <w:tcPr>
            <w:tcW w:w="808" w:type="pct"/>
            <w:vAlign w:val="center"/>
          </w:tcPr>
          <w:p w14:paraId="0CB88B3D" w14:textId="77777777" w:rsidR="00C253E4" w:rsidRPr="00DD1381" w:rsidRDefault="00C253E4" w:rsidP="00B60372">
            <w:pPr>
              <w:pStyle w:val="Table"/>
              <w:keepNext/>
              <w:jc w:val="center"/>
            </w:pPr>
            <w:r w:rsidRPr="00C253E4">
              <w:rPr>
                <w:position w:val="-12"/>
              </w:rPr>
              <w:object w:dxaOrig="300" w:dyaOrig="360" w14:anchorId="408EC75B">
                <v:shape id="_x0000_i1293" type="#_x0000_t75" style="width:15pt;height:18pt" o:ole="">
                  <v:imagedata r:id="rId465" o:title=""/>
                </v:shape>
                <o:OLEObject Type="Embed" ProgID="Equation.DSMT4" ShapeID="_x0000_i1293" DrawAspect="Content" ObjectID="_1775045929" r:id="rId466"/>
              </w:object>
            </w:r>
          </w:p>
        </w:tc>
      </w:tr>
      <w:tr w:rsidR="000E6DC3" w:rsidRPr="00936A89" w14:paraId="27C63A86" w14:textId="77777777" w:rsidTr="000E6DC3">
        <w:trPr>
          <w:trHeight w:val="283"/>
        </w:trPr>
        <w:tc>
          <w:tcPr>
            <w:tcW w:w="1201" w:type="pct"/>
            <w:vMerge/>
          </w:tcPr>
          <w:p w14:paraId="22D861FD" w14:textId="77777777" w:rsidR="00C253E4" w:rsidRPr="00962F6D" w:rsidRDefault="00C253E4" w:rsidP="002F7E33">
            <w:pPr>
              <w:pStyle w:val="Table"/>
              <w:keepNext/>
            </w:pPr>
          </w:p>
        </w:tc>
        <w:tc>
          <w:tcPr>
            <w:tcW w:w="2141" w:type="pct"/>
          </w:tcPr>
          <w:p w14:paraId="6233F31C" w14:textId="77777777" w:rsidR="00C253E4" w:rsidRPr="00962F6D" w:rsidRDefault="00C253E4" w:rsidP="002F7E33">
            <w:pPr>
              <w:pStyle w:val="Table"/>
              <w:keepNext/>
            </w:pPr>
            <w:r w:rsidRPr="00962F6D">
              <w:t>CDC</w:t>
            </w:r>
          </w:p>
        </w:tc>
        <w:tc>
          <w:tcPr>
            <w:tcW w:w="850" w:type="pct"/>
            <w:vAlign w:val="center"/>
          </w:tcPr>
          <w:p w14:paraId="7E026EF5" w14:textId="77777777" w:rsidR="00C253E4" w:rsidRPr="00962F6D" w:rsidRDefault="00C253E4" w:rsidP="00B60372">
            <w:pPr>
              <w:pStyle w:val="Table"/>
              <w:keepNext/>
              <w:jc w:val="center"/>
            </w:pPr>
            <w:r w:rsidRPr="00DD1381">
              <w:rPr>
                <w:position w:val="-14"/>
              </w:rPr>
              <w:object w:dxaOrig="1080" w:dyaOrig="400" w14:anchorId="4082D53C">
                <v:shape id="_x0000_i1294" type="#_x0000_t75" style="width:54pt;height:20.25pt" o:ole="">
                  <v:imagedata r:id="rId467" o:title=""/>
                </v:shape>
                <o:OLEObject Type="Embed" ProgID="Equation.DSMT4" ShapeID="_x0000_i1294" DrawAspect="Content" ObjectID="_1775045930" r:id="rId468"/>
              </w:object>
            </w:r>
          </w:p>
        </w:tc>
        <w:tc>
          <w:tcPr>
            <w:tcW w:w="808" w:type="pct"/>
            <w:vAlign w:val="center"/>
          </w:tcPr>
          <w:p w14:paraId="3E679B86" w14:textId="77777777" w:rsidR="00C253E4" w:rsidRPr="00DD1381" w:rsidRDefault="00C253E4" w:rsidP="00B60372">
            <w:pPr>
              <w:pStyle w:val="Table"/>
              <w:keepNext/>
              <w:jc w:val="center"/>
            </w:pPr>
            <w:r w:rsidRPr="00C253E4">
              <w:rPr>
                <w:position w:val="-12"/>
              </w:rPr>
              <w:object w:dxaOrig="300" w:dyaOrig="360" w14:anchorId="763B3D34">
                <v:shape id="_x0000_i1295" type="#_x0000_t75" style="width:15pt;height:18pt" o:ole="">
                  <v:imagedata r:id="rId469" o:title=""/>
                </v:shape>
                <o:OLEObject Type="Embed" ProgID="Equation.DSMT4" ShapeID="_x0000_i1295" DrawAspect="Content" ObjectID="_1775045931" r:id="rId470"/>
              </w:object>
            </w:r>
          </w:p>
        </w:tc>
      </w:tr>
      <w:tr w:rsidR="000E6DC3" w:rsidRPr="00936A89" w14:paraId="78C28AC3" w14:textId="77777777" w:rsidTr="000E6DC3">
        <w:trPr>
          <w:trHeight w:val="283"/>
        </w:trPr>
        <w:tc>
          <w:tcPr>
            <w:tcW w:w="1201" w:type="pct"/>
            <w:vMerge w:val="restart"/>
          </w:tcPr>
          <w:p w14:paraId="7ABFEE28" w14:textId="77777777" w:rsidR="00C253E4" w:rsidRPr="00962F6D" w:rsidRDefault="00C253E4" w:rsidP="002F7E33">
            <w:pPr>
              <w:pStyle w:val="Table"/>
              <w:keepNext/>
            </w:pPr>
            <w:r w:rsidRPr="00962F6D">
              <w:t>MDC by Partition</w:t>
            </w:r>
          </w:p>
        </w:tc>
        <w:tc>
          <w:tcPr>
            <w:tcW w:w="2141" w:type="pct"/>
          </w:tcPr>
          <w:p w14:paraId="30207FAD" w14:textId="77777777" w:rsidR="00C253E4" w:rsidRPr="00962F6D" w:rsidRDefault="00C253E4" w:rsidP="002F7E33">
            <w:pPr>
              <w:pStyle w:val="Table"/>
              <w:keepNext/>
            </w:pPr>
            <w:r w:rsidRPr="00962F6D">
              <w:t>3-character category within CDC</w:t>
            </w:r>
          </w:p>
        </w:tc>
        <w:tc>
          <w:tcPr>
            <w:tcW w:w="850" w:type="pct"/>
            <w:vAlign w:val="center"/>
          </w:tcPr>
          <w:p w14:paraId="69CECF29" w14:textId="77777777" w:rsidR="00C253E4" w:rsidRPr="00962F6D" w:rsidRDefault="00C253E4" w:rsidP="002F7E33">
            <w:pPr>
              <w:pStyle w:val="Table"/>
              <w:keepNext/>
              <w:jc w:val="center"/>
            </w:pPr>
            <w:r w:rsidRPr="00DD1381">
              <w:rPr>
                <w:position w:val="-14"/>
              </w:rPr>
              <w:object w:dxaOrig="1080" w:dyaOrig="400" w14:anchorId="59A7EEFF">
                <v:shape id="_x0000_i1296" type="#_x0000_t75" style="width:54pt;height:20.25pt" o:ole="">
                  <v:imagedata r:id="rId471" o:title=""/>
                </v:shape>
                <o:OLEObject Type="Embed" ProgID="Equation.DSMT4" ShapeID="_x0000_i1296" DrawAspect="Content" ObjectID="_1775045932" r:id="rId472"/>
              </w:object>
            </w:r>
          </w:p>
        </w:tc>
        <w:tc>
          <w:tcPr>
            <w:tcW w:w="808" w:type="pct"/>
            <w:vAlign w:val="center"/>
          </w:tcPr>
          <w:p w14:paraId="3DEE4464" w14:textId="77777777" w:rsidR="00C253E4" w:rsidRPr="00DD1381" w:rsidRDefault="00C253E4" w:rsidP="00B60372">
            <w:pPr>
              <w:pStyle w:val="Table"/>
              <w:keepNext/>
              <w:jc w:val="center"/>
            </w:pPr>
            <w:r w:rsidRPr="00C253E4">
              <w:rPr>
                <w:position w:val="-12"/>
              </w:rPr>
              <w:object w:dxaOrig="300" w:dyaOrig="360" w14:anchorId="1A889743">
                <v:shape id="_x0000_i1297" type="#_x0000_t75" style="width:15pt;height:18pt" o:ole="">
                  <v:imagedata r:id="rId473" o:title=""/>
                </v:shape>
                <o:OLEObject Type="Embed" ProgID="Equation.DSMT4" ShapeID="_x0000_i1297" DrawAspect="Content" ObjectID="_1775045933" r:id="rId474"/>
              </w:object>
            </w:r>
          </w:p>
        </w:tc>
      </w:tr>
      <w:tr w:rsidR="000E6DC3" w:rsidRPr="00936A89" w14:paraId="24F22A79" w14:textId="77777777" w:rsidTr="000E6DC3">
        <w:trPr>
          <w:trHeight w:val="283"/>
        </w:trPr>
        <w:tc>
          <w:tcPr>
            <w:tcW w:w="1201" w:type="pct"/>
            <w:vMerge/>
          </w:tcPr>
          <w:p w14:paraId="5A526442" w14:textId="77777777" w:rsidR="00C253E4" w:rsidRPr="00962F6D" w:rsidRDefault="00C253E4" w:rsidP="002F7E33">
            <w:pPr>
              <w:pStyle w:val="Table"/>
              <w:keepNext/>
            </w:pPr>
          </w:p>
        </w:tc>
        <w:tc>
          <w:tcPr>
            <w:tcW w:w="2141" w:type="pct"/>
          </w:tcPr>
          <w:p w14:paraId="25DD16EA" w14:textId="77777777" w:rsidR="00C253E4" w:rsidRPr="00962F6D" w:rsidRDefault="00C253E4" w:rsidP="002F7E33">
            <w:pPr>
              <w:pStyle w:val="Table"/>
              <w:keepNext/>
            </w:pPr>
            <w:r w:rsidRPr="00962F6D">
              <w:t>Code Block within CDC</w:t>
            </w:r>
          </w:p>
        </w:tc>
        <w:tc>
          <w:tcPr>
            <w:tcW w:w="850" w:type="pct"/>
            <w:vAlign w:val="center"/>
          </w:tcPr>
          <w:p w14:paraId="2DC4C7CE" w14:textId="77777777" w:rsidR="00C253E4" w:rsidRPr="00962F6D" w:rsidRDefault="00C253E4" w:rsidP="00B60372">
            <w:pPr>
              <w:pStyle w:val="Table"/>
              <w:keepNext/>
              <w:jc w:val="center"/>
            </w:pPr>
            <w:r w:rsidRPr="00DD1381">
              <w:rPr>
                <w:position w:val="-14"/>
              </w:rPr>
              <w:object w:dxaOrig="1120" w:dyaOrig="400" w14:anchorId="051FAB07">
                <v:shape id="_x0000_i1298" type="#_x0000_t75" style="width:56.25pt;height:20.25pt" o:ole="">
                  <v:imagedata r:id="rId475" o:title=""/>
                </v:shape>
                <o:OLEObject Type="Embed" ProgID="Equation.DSMT4" ShapeID="_x0000_i1298" DrawAspect="Content" ObjectID="_1775045934" r:id="rId476"/>
              </w:object>
            </w:r>
          </w:p>
        </w:tc>
        <w:tc>
          <w:tcPr>
            <w:tcW w:w="808" w:type="pct"/>
            <w:vAlign w:val="center"/>
          </w:tcPr>
          <w:p w14:paraId="7131F789" w14:textId="77777777" w:rsidR="00C253E4" w:rsidRPr="00DD1381" w:rsidRDefault="00C253E4" w:rsidP="00B60372">
            <w:pPr>
              <w:pStyle w:val="Table"/>
              <w:keepNext/>
              <w:jc w:val="center"/>
            </w:pPr>
            <w:r w:rsidRPr="00C253E4">
              <w:rPr>
                <w:position w:val="-12"/>
              </w:rPr>
              <w:object w:dxaOrig="300" w:dyaOrig="360" w14:anchorId="2AF0DC2C">
                <v:shape id="_x0000_i1299" type="#_x0000_t75" style="width:15pt;height:18pt" o:ole="">
                  <v:imagedata r:id="rId477" o:title=""/>
                </v:shape>
                <o:OLEObject Type="Embed" ProgID="Equation.DSMT4" ShapeID="_x0000_i1299" DrawAspect="Content" ObjectID="_1775045935" r:id="rId478"/>
              </w:object>
            </w:r>
          </w:p>
        </w:tc>
      </w:tr>
      <w:tr w:rsidR="000E6DC3" w:rsidRPr="00936A89" w14:paraId="1AFE2F0D" w14:textId="77777777" w:rsidTr="000E6DC3">
        <w:trPr>
          <w:trHeight w:val="283"/>
        </w:trPr>
        <w:tc>
          <w:tcPr>
            <w:tcW w:w="1201" w:type="pct"/>
            <w:vMerge/>
          </w:tcPr>
          <w:p w14:paraId="7954266A" w14:textId="77777777" w:rsidR="00C253E4" w:rsidRPr="00962F6D" w:rsidRDefault="00C253E4" w:rsidP="002F7E33">
            <w:pPr>
              <w:pStyle w:val="Table"/>
              <w:keepNext/>
            </w:pPr>
          </w:p>
        </w:tc>
        <w:tc>
          <w:tcPr>
            <w:tcW w:w="2141" w:type="pct"/>
          </w:tcPr>
          <w:p w14:paraId="2C52B522" w14:textId="77777777" w:rsidR="00C253E4" w:rsidRPr="00962F6D" w:rsidRDefault="00C253E4" w:rsidP="002F7E33">
            <w:pPr>
              <w:pStyle w:val="Table"/>
              <w:keepNext/>
            </w:pPr>
            <w:r w:rsidRPr="00962F6D">
              <w:t>Code Section within CDC</w:t>
            </w:r>
          </w:p>
        </w:tc>
        <w:tc>
          <w:tcPr>
            <w:tcW w:w="850" w:type="pct"/>
            <w:vAlign w:val="center"/>
          </w:tcPr>
          <w:p w14:paraId="7BFBA04E" w14:textId="77777777" w:rsidR="00C253E4" w:rsidRPr="00962F6D" w:rsidRDefault="00C253E4" w:rsidP="00B60372">
            <w:pPr>
              <w:pStyle w:val="Table"/>
              <w:keepNext/>
              <w:jc w:val="center"/>
            </w:pPr>
            <w:r w:rsidRPr="00DD1381">
              <w:rPr>
                <w:position w:val="-14"/>
              </w:rPr>
              <w:object w:dxaOrig="1100" w:dyaOrig="400" w14:anchorId="753B5966">
                <v:shape id="_x0000_i1300" type="#_x0000_t75" style="width:54.75pt;height:20.25pt" o:ole="">
                  <v:imagedata r:id="rId479" o:title=""/>
                </v:shape>
                <o:OLEObject Type="Embed" ProgID="Equation.DSMT4" ShapeID="_x0000_i1300" DrawAspect="Content" ObjectID="_1775045936" r:id="rId480"/>
              </w:object>
            </w:r>
          </w:p>
        </w:tc>
        <w:tc>
          <w:tcPr>
            <w:tcW w:w="808" w:type="pct"/>
            <w:vAlign w:val="center"/>
          </w:tcPr>
          <w:p w14:paraId="7F41D10F" w14:textId="77777777" w:rsidR="00C253E4" w:rsidRPr="00DD1381" w:rsidRDefault="00C253E4" w:rsidP="00B60372">
            <w:pPr>
              <w:pStyle w:val="Table"/>
              <w:keepNext/>
              <w:jc w:val="center"/>
            </w:pPr>
            <w:r w:rsidRPr="00C253E4">
              <w:rPr>
                <w:position w:val="-12"/>
              </w:rPr>
              <w:object w:dxaOrig="300" w:dyaOrig="360" w14:anchorId="00E1A0F5">
                <v:shape id="_x0000_i1301" type="#_x0000_t75" style="width:15pt;height:18pt" o:ole="">
                  <v:imagedata r:id="rId481" o:title=""/>
                </v:shape>
                <o:OLEObject Type="Embed" ProgID="Equation.DSMT4" ShapeID="_x0000_i1301" DrawAspect="Content" ObjectID="_1775045937" r:id="rId482"/>
              </w:object>
            </w:r>
          </w:p>
        </w:tc>
      </w:tr>
      <w:tr w:rsidR="000E6DC3" w:rsidRPr="00936A89" w14:paraId="576123FC" w14:textId="77777777" w:rsidTr="000E6DC3">
        <w:trPr>
          <w:trHeight w:val="283"/>
        </w:trPr>
        <w:tc>
          <w:tcPr>
            <w:tcW w:w="1201" w:type="pct"/>
            <w:vMerge/>
          </w:tcPr>
          <w:p w14:paraId="245FD047" w14:textId="77777777" w:rsidR="00C253E4" w:rsidRPr="00962F6D" w:rsidRDefault="00C253E4" w:rsidP="002F7E33">
            <w:pPr>
              <w:pStyle w:val="Table"/>
              <w:keepNext/>
            </w:pPr>
          </w:p>
        </w:tc>
        <w:tc>
          <w:tcPr>
            <w:tcW w:w="2141" w:type="pct"/>
          </w:tcPr>
          <w:p w14:paraId="0AC6035F" w14:textId="77777777" w:rsidR="00C253E4" w:rsidRPr="00962F6D" w:rsidRDefault="00C253E4" w:rsidP="002F7E33">
            <w:pPr>
              <w:pStyle w:val="Table"/>
              <w:keepNext/>
            </w:pPr>
            <w:r w:rsidRPr="00962F6D">
              <w:t>Code Chapter within CDC</w:t>
            </w:r>
          </w:p>
        </w:tc>
        <w:tc>
          <w:tcPr>
            <w:tcW w:w="850" w:type="pct"/>
            <w:vAlign w:val="center"/>
          </w:tcPr>
          <w:p w14:paraId="697C033D" w14:textId="77777777" w:rsidR="00C253E4" w:rsidRPr="00962F6D" w:rsidRDefault="00C253E4" w:rsidP="00B60372">
            <w:pPr>
              <w:pStyle w:val="Table"/>
              <w:keepNext/>
              <w:jc w:val="center"/>
            </w:pPr>
            <w:r w:rsidRPr="00DD1381">
              <w:rPr>
                <w:position w:val="-14"/>
              </w:rPr>
              <w:object w:dxaOrig="1120" w:dyaOrig="400" w14:anchorId="6AE89711">
                <v:shape id="_x0000_i1302" type="#_x0000_t75" style="width:56.25pt;height:20.25pt" o:ole="">
                  <v:imagedata r:id="rId483" o:title=""/>
                </v:shape>
                <o:OLEObject Type="Embed" ProgID="Equation.DSMT4" ShapeID="_x0000_i1302" DrawAspect="Content" ObjectID="_1775045938" r:id="rId484"/>
              </w:object>
            </w:r>
          </w:p>
        </w:tc>
        <w:tc>
          <w:tcPr>
            <w:tcW w:w="808" w:type="pct"/>
            <w:vAlign w:val="center"/>
          </w:tcPr>
          <w:p w14:paraId="5595300C" w14:textId="77777777" w:rsidR="00C253E4" w:rsidRPr="00DD1381" w:rsidRDefault="00C253E4" w:rsidP="00B60372">
            <w:pPr>
              <w:pStyle w:val="Table"/>
              <w:keepNext/>
              <w:jc w:val="center"/>
            </w:pPr>
            <w:r w:rsidRPr="00C253E4">
              <w:rPr>
                <w:position w:val="-12"/>
              </w:rPr>
              <w:object w:dxaOrig="300" w:dyaOrig="360" w14:anchorId="77F84CA0">
                <v:shape id="_x0000_i1303" type="#_x0000_t75" style="width:15pt;height:18pt" o:ole="">
                  <v:imagedata r:id="rId485" o:title=""/>
                </v:shape>
                <o:OLEObject Type="Embed" ProgID="Equation.DSMT4" ShapeID="_x0000_i1303" DrawAspect="Content" ObjectID="_1775045939" r:id="rId486"/>
              </w:object>
            </w:r>
          </w:p>
        </w:tc>
      </w:tr>
      <w:tr w:rsidR="000E6DC3" w:rsidRPr="00936A89" w14:paraId="21B50D15" w14:textId="77777777" w:rsidTr="000E6DC3">
        <w:trPr>
          <w:trHeight w:val="283"/>
        </w:trPr>
        <w:tc>
          <w:tcPr>
            <w:tcW w:w="1201" w:type="pct"/>
            <w:vMerge/>
          </w:tcPr>
          <w:p w14:paraId="44AE5C67" w14:textId="77777777" w:rsidR="00C253E4" w:rsidRPr="00962F6D" w:rsidRDefault="00C253E4" w:rsidP="002F7E33">
            <w:pPr>
              <w:pStyle w:val="Table"/>
              <w:keepNext/>
            </w:pPr>
          </w:p>
        </w:tc>
        <w:tc>
          <w:tcPr>
            <w:tcW w:w="2141" w:type="pct"/>
          </w:tcPr>
          <w:p w14:paraId="701BBDCC" w14:textId="77777777" w:rsidR="00C253E4" w:rsidRPr="00962F6D" w:rsidRDefault="00C253E4" w:rsidP="002F7E33">
            <w:pPr>
              <w:pStyle w:val="Table"/>
              <w:keepNext/>
            </w:pPr>
            <w:r w:rsidRPr="00962F6D">
              <w:t>CDC</w:t>
            </w:r>
          </w:p>
        </w:tc>
        <w:tc>
          <w:tcPr>
            <w:tcW w:w="850" w:type="pct"/>
            <w:vAlign w:val="center"/>
          </w:tcPr>
          <w:p w14:paraId="734D27E7" w14:textId="77777777" w:rsidR="00C253E4" w:rsidRPr="00962F6D" w:rsidRDefault="00C253E4" w:rsidP="00B60372">
            <w:pPr>
              <w:pStyle w:val="Table"/>
              <w:keepNext/>
              <w:jc w:val="center"/>
            </w:pPr>
            <w:r w:rsidRPr="00DD1381">
              <w:rPr>
                <w:position w:val="-14"/>
              </w:rPr>
              <w:object w:dxaOrig="1100" w:dyaOrig="400" w14:anchorId="0BA09F9F">
                <v:shape id="_x0000_i1304" type="#_x0000_t75" style="width:54.75pt;height:20.25pt" o:ole="">
                  <v:imagedata r:id="rId487" o:title=""/>
                </v:shape>
                <o:OLEObject Type="Embed" ProgID="Equation.DSMT4" ShapeID="_x0000_i1304" DrawAspect="Content" ObjectID="_1775045940" r:id="rId488"/>
              </w:object>
            </w:r>
          </w:p>
        </w:tc>
        <w:tc>
          <w:tcPr>
            <w:tcW w:w="808" w:type="pct"/>
            <w:vAlign w:val="center"/>
          </w:tcPr>
          <w:p w14:paraId="7200BF3A" w14:textId="77777777" w:rsidR="00C253E4" w:rsidRPr="00DD1381" w:rsidRDefault="00C253E4" w:rsidP="00B60372">
            <w:pPr>
              <w:pStyle w:val="Table"/>
              <w:keepNext/>
              <w:jc w:val="center"/>
            </w:pPr>
            <w:r w:rsidRPr="00C253E4">
              <w:rPr>
                <w:position w:val="-12"/>
              </w:rPr>
              <w:object w:dxaOrig="360" w:dyaOrig="360" w14:anchorId="2C18563A">
                <v:shape id="_x0000_i1305" type="#_x0000_t75" style="width:18pt;height:18pt" o:ole="">
                  <v:imagedata r:id="rId489" o:title=""/>
                </v:shape>
                <o:OLEObject Type="Embed" ProgID="Equation.DSMT4" ShapeID="_x0000_i1305" DrawAspect="Content" ObjectID="_1775045941" r:id="rId490"/>
              </w:object>
            </w:r>
          </w:p>
        </w:tc>
      </w:tr>
      <w:tr w:rsidR="000E6DC3" w:rsidRPr="00936A89" w14:paraId="7ABEE228" w14:textId="77777777" w:rsidTr="000E6DC3">
        <w:trPr>
          <w:trHeight w:val="283"/>
        </w:trPr>
        <w:tc>
          <w:tcPr>
            <w:tcW w:w="1201" w:type="pct"/>
            <w:vMerge w:val="restart"/>
          </w:tcPr>
          <w:p w14:paraId="39C39F98" w14:textId="77777777" w:rsidR="00C253E4" w:rsidRPr="00962F6D" w:rsidRDefault="00C253E4" w:rsidP="002F7E33">
            <w:pPr>
              <w:pStyle w:val="Table"/>
              <w:keepNext/>
            </w:pPr>
            <w:r w:rsidRPr="00962F6D">
              <w:t>MDC</w:t>
            </w:r>
          </w:p>
        </w:tc>
        <w:tc>
          <w:tcPr>
            <w:tcW w:w="2141" w:type="pct"/>
          </w:tcPr>
          <w:p w14:paraId="20CE5034" w14:textId="77777777" w:rsidR="00C253E4" w:rsidRPr="00962F6D" w:rsidRDefault="00C253E4" w:rsidP="002F7E33">
            <w:pPr>
              <w:pStyle w:val="Table"/>
              <w:keepNext/>
            </w:pPr>
            <w:r w:rsidRPr="00962F6D">
              <w:t>Code Chapter within CDC</w:t>
            </w:r>
          </w:p>
        </w:tc>
        <w:tc>
          <w:tcPr>
            <w:tcW w:w="850" w:type="pct"/>
            <w:vAlign w:val="center"/>
          </w:tcPr>
          <w:p w14:paraId="25E7A765" w14:textId="77777777" w:rsidR="00C253E4" w:rsidRPr="00962F6D" w:rsidRDefault="00C253E4" w:rsidP="00B60372">
            <w:pPr>
              <w:pStyle w:val="Table"/>
              <w:keepNext/>
              <w:jc w:val="center"/>
            </w:pPr>
            <w:r w:rsidRPr="00DD1381">
              <w:rPr>
                <w:position w:val="-14"/>
              </w:rPr>
              <w:object w:dxaOrig="1100" w:dyaOrig="400" w14:anchorId="3CB0C324">
                <v:shape id="_x0000_i1306" type="#_x0000_t75" style="width:54.75pt;height:20.25pt" o:ole="">
                  <v:imagedata r:id="rId491" o:title=""/>
                </v:shape>
                <o:OLEObject Type="Embed" ProgID="Equation.DSMT4" ShapeID="_x0000_i1306" DrawAspect="Content" ObjectID="_1775045942" r:id="rId492"/>
              </w:object>
            </w:r>
          </w:p>
        </w:tc>
        <w:tc>
          <w:tcPr>
            <w:tcW w:w="808" w:type="pct"/>
            <w:vAlign w:val="center"/>
          </w:tcPr>
          <w:p w14:paraId="430D92A0" w14:textId="77777777" w:rsidR="00C253E4" w:rsidRPr="00DD1381" w:rsidRDefault="00C253E4" w:rsidP="00B60372">
            <w:pPr>
              <w:pStyle w:val="Table"/>
              <w:keepNext/>
              <w:jc w:val="center"/>
            </w:pPr>
            <w:r w:rsidRPr="00C253E4">
              <w:rPr>
                <w:position w:val="-12"/>
              </w:rPr>
              <w:object w:dxaOrig="340" w:dyaOrig="360" w14:anchorId="643B0E46">
                <v:shape id="_x0000_i1307" type="#_x0000_t75" style="width:17.25pt;height:18pt" o:ole="">
                  <v:imagedata r:id="rId493" o:title=""/>
                </v:shape>
                <o:OLEObject Type="Embed" ProgID="Equation.DSMT4" ShapeID="_x0000_i1307" DrawAspect="Content" ObjectID="_1775045943" r:id="rId494"/>
              </w:object>
            </w:r>
          </w:p>
        </w:tc>
      </w:tr>
      <w:tr w:rsidR="000E6DC3" w:rsidRPr="00936A89" w14:paraId="1CEA19D7" w14:textId="77777777" w:rsidTr="000E6DC3">
        <w:trPr>
          <w:trHeight w:val="283"/>
        </w:trPr>
        <w:tc>
          <w:tcPr>
            <w:tcW w:w="1201" w:type="pct"/>
            <w:vMerge/>
          </w:tcPr>
          <w:p w14:paraId="07F7172A" w14:textId="77777777" w:rsidR="00C253E4" w:rsidRPr="00962F6D" w:rsidRDefault="00C253E4" w:rsidP="002F7E33">
            <w:pPr>
              <w:pStyle w:val="Table"/>
              <w:keepNext/>
            </w:pPr>
          </w:p>
        </w:tc>
        <w:tc>
          <w:tcPr>
            <w:tcW w:w="2141" w:type="pct"/>
          </w:tcPr>
          <w:p w14:paraId="2D4058D6" w14:textId="77777777" w:rsidR="00C253E4" w:rsidRPr="00962F6D" w:rsidRDefault="00C253E4" w:rsidP="002F7E33">
            <w:pPr>
              <w:pStyle w:val="Table"/>
              <w:keepNext/>
            </w:pPr>
            <w:r w:rsidRPr="00962F6D">
              <w:t>CDC</w:t>
            </w:r>
          </w:p>
        </w:tc>
        <w:tc>
          <w:tcPr>
            <w:tcW w:w="850" w:type="pct"/>
            <w:vAlign w:val="center"/>
          </w:tcPr>
          <w:p w14:paraId="189CD486" w14:textId="77777777" w:rsidR="00C253E4" w:rsidRPr="00962F6D" w:rsidRDefault="00C253E4" w:rsidP="00B60372">
            <w:pPr>
              <w:pStyle w:val="Table"/>
              <w:keepNext/>
              <w:jc w:val="center"/>
            </w:pPr>
            <w:r w:rsidRPr="00DD1381">
              <w:rPr>
                <w:position w:val="-14"/>
              </w:rPr>
              <w:object w:dxaOrig="1100" w:dyaOrig="400" w14:anchorId="489F773C">
                <v:shape id="_x0000_i1308" type="#_x0000_t75" style="width:54.75pt;height:20.25pt" o:ole="">
                  <v:imagedata r:id="rId495" o:title=""/>
                </v:shape>
                <o:OLEObject Type="Embed" ProgID="Equation.DSMT4" ShapeID="_x0000_i1308" DrawAspect="Content" ObjectID="_1775045944" r:id="rId496"/>
              </w:object>
            </w:r>
          </w:p>
        </w:tc>
        <w:tc>
          <w:tcPr>
            <w:tcW w:w="808" w:type="pct"/>
            <w:vAlign w:val="center"/>
          </w:tcPr>
          <w:p w14:paraId="5391D6CB" w14:textId="77777777" w:rsidR="00C253E4" w:rsidRPr="00DD1381" w:rsidRDefault="00C253E4" w:rsidP="00B60372">
            <w:pPr>
              <w:pStyle w:val="Table"/>
              <w:keepNext/>
              <w:jc w:val="center"/>
            </w:pPr>
            <w:r w:rsidRPr="00C253E4">
              <w:rPr>
                <w:position w:val="-12"/>
              </w:rPr>
              <w:object w:dxaOrig="360" w:dyaOrig="360" w14:anchorId="28AE108A">
                <v:shape id="_x0000_i1309" type="#_x0000_t75" style="width:18pt;height:18pt" o:ole="">
                  <v:imagedata r:id="rId497" o:title=""/>
                </v:shape>
                <o:OLEObject Type="Embed" ProgID="Equation.DSMT4" ShapeID="_x0000_i1309" DrawAspect="Content" ObjectID="_1775045945" r:id="rId498"/>
              </w:object>
            </w:r>
          </w:p>
        </w:tc>
      </w:tr>
      <w:tr w:rsidR="000E6DC3" w:rsidRPr="00936A89" w14:paraId="013B0E17" w14:textId="77777777" w:rsidTr="000E6DC3">
        <w:trPr>
          <w:trHeight w:val="283"/>
        </w:trPr>
        <w:tc>
          <w:tcPr>
            <w:tcW w:w="1201" w:type="pct"/>
            <w:vMerge w:val="restart"/>
          </w:tcPr>
          <w:p w14:paraId="5BEE1CC1" w14:textId="77777777" w:rsidR="00C253E4" w:rsidRPr="00962F6D" w:rsidRDefault="00C253E4" w:rsidP="002F7E33">
            <w:pPr>
              <w:pStyle w:val="Table"/>
              <w:keepNext/>
            </w:pPr>
            <w:r w:rsidRPr="00962F6D">
              <w:t>All ADRGs</w:t>
            </w:r>
          </w:p>
        </w:tc>
        <w:tc>
          <w:tcPr>
            <w:tcW w:w="2141" w:type="pct"/>
          </w:tcPr>
          <w:p w14:paraId="58D1F52C" w14:textId="77777777" w:rsidR="00C253E4" w:rsidRPr="00962F6D" w:rsidRDefault="00C253E4" w:rsidP="002F7E33">
            <w:pPr>
              <w:pStyle w:val="Table"/>
              <w:keepNext/>
            </w:pPr>
            <w:r w:rsidRPr="00962F6D">
              <w:t>Code Chapter within CDC</w:t>
            </w:r>
          </w:p>
        </w:tc>
        <w:tc>
          <w:tcPr>
            <w:tcW w:w="850" w:type="pct"/>
            <w:vAlign w:val="center"/>
          </w:tcPr>
          <w:p w14:paraId="09B789C1" w14:textId="77777777" w:rsidR="00C253E4" w:rsidRPr="00962F6D" w:rsidRDefault="00C253E4" w:rsidP="00B60372">
            <w:pPr>
              <w:pStyle w:val="Table"/>
              <w:keepNext/>
              <w:jc w:val="center"/>
            </w:pPr>
            <w:r w:rsidRPr="00DD1381">
              <w:rPr>
                <w:position w:val="-14"/>
              </w:rPr>
              <w:object w:dxaOrig="1120" w:dyaOrig="400" w14:anchorId="38BD4C82">
                <v:shape id="_x0000_i1310" type="#_x0000_t75" style="width:56.25pt;height:20.25pt" o:ole="">
                  <v:imagedata r:id="rId499" o:title=""/>
                </v:shape>
                <o:OLEObject Type="Embed" ProgID="Equation.DSMT4" ShapeID="_x0000_i1310" DrawAspect="Content" ObjectID="_1775045946" r:id="rId500"/>
              </w:object>
            </w:r>
          </w:p>
        </w:tc>
        <w:tc>
          <w:tcPr>
            <w:tcW w:w="808" w:type="pct"/>
            <w:vAlign w:val="center"/>
          </w:tcPr>
          <w:p w14:paraId="612C72C0" w14:textId="77777777" w:rsidR="00C253E4" w:rsidRPr="00DD1381" w:rsidRDefault="00C253E4" w:rsidP="00B60372">
            <w:pPr>
              <w:pStyle w:val="Table"/>
              <w:keepNext/>
              <w:jc w:val="center"/>
            </w:pPr>
            <w:r w:rsidRPr="00C253E4">
              <w:rPr>
                <w:position w:val="-12"/>
              </w:rPr>
              <w:object w:dxaOrig="360" w:dyaOrig="360" w14:anchorId="512CF0EA">
                <v:shape id="_x0000_i1311" type="#_x0000_t75" style="width:18pt;height:18pt" o:ole="">
                  <v:imagedata r:id="rId501" o:title=""/>
                </v:shape>
                <o:OLEObject Type="Embed" ProgID="Equation.DSMT4" ShapeID="_x0000_i1311" DrawAspect="Content" ObjectID="_1775045947" r:id="rId502"/>
              </w:object>
            </w:r>
          </w:p>
        </w:tc>
      </w:tr>
      <w:tr w:rsidR="000E6DC3" w:rsidRPr="00936A89" w14:paraId="17BDB175" w14:textId="77777777" w:rsidTr="000E6DC3">
        <w:trPr>
          <w:trHeight w:val="283"/>
        </w:trPr>
        <w:tc>
          <w:tcPr>
            <w:tcW w:w="1201" w:type="pct"/>
            <w:vMerge/>
          </w:tcPr>
          <w:p w14:paraId="51982FC4" w14:textId="77777777" w:rsidR="00C253E4" w:rsidRPr="00962F6D" w:rsidRDefault="00C253E4" w:rsidP="00B60372">
            <w:pPr>
              <w:pStyle w:val="Table"/>
            </w:pPr>
          </w:p>
        </w:tc>
        <w:tc>
          <w:tcPr>
            <w:tcW w:w="2141" w:type="pct"/>
          </w:tcPr>
          <w:p w14:paraId="566D60DF" w14:textId="77777777" w:rsidR="00C253E4" w:rsidRPr="00962F6D" w:rsidRDefault="00C253E4" w:rsidP="00B60372">
            <w:pPr>
              <w:pStyle w:val="Table"/>
            </w:pPr>
            <w:r w:rsidRPr="00962F6D">
              <w:t>CDC</w:t>
            </w:r>
          </w:p>
        </w:tc>
        <w:tc>
          <w:tcPr>
            <w:tcW w:w="850" w:type="pct"/>
            <w:vAlign w:val="center"/>
          </w:tcPr>
          <w:p w14:paraId="3D2A3B2E" w14:textId="77777777" w:rsidR="00C253E4" w:rsidRPr="00962F6D" w:rsidRDefault="00C253E4" w:rsidP="00B60372">
            <w:pPr>
              <w:pStyle w:val="Table"/>
              <w:jc w:val="center"/>
            </w:pPr>
            <w:r w:rsidRPr="00DD1381">
              <w:rPr>
                <w:position w:val="-14"/>
              </w:rPr>
              <w:object w:dxaOrig="1100" w:dyaOrig="400" w14:anchorId="44232B1B">
                <v:shape id="_x0000_i1312" type="#_x0000_t75" style="width:54.75pt;height:20.25pt" o:ole="">
                  <v:imagedata r:id="rId503" o:title=""/>
                </v:shape>
                <o:OLEObject Type="Embed" ProgID="Equation.DSMT4" ShapeID="_x0000_i1312" DrawAspect="Content" ObjectID="_1775045948" r:id="rId504"/>
              </w:object>
            </w:r>
          </w:p>
        </w:tc>
        <w:tc>
          <w:tcPr>
            <w:tcW w:w="808" w:type="pct"/>
            <w:vAlign w:val="center"/>
          </w:tcPr>
          <w:p w14:paraId="182D2A55" w14:textId="77777777" w:rsidR="00C253E4" w:rsidRPr="00DD1381" w:rsidRDefault="00C253E4" w:rsidP="00B60372">
            <w:pPr>
              <w:pStyle w:val="Table"/>
              <w:jc w:val="center"/>
            </w:pPr>
            <w:r w:rsidRPr="00C253E4">
              <w:rPr>
                <w:position w:val="-12"/>
              </w:rPr>
              <w:object w:dxaOrig="360" w:dyaOrig="360" w14:anchorId="14398C71">
                <v:shape id="_x0000_i1313" type="#_x0000_t75" style="width:18pt;height:18pt" o:ole="">
                  <v:imagedata r:id="rId505" o:title=""/>
                </v:shape>
                <o:OLEObject Type="Embed" ProgID="Equation.DSMT4" ShapeID="_x0000_i1313" DrawAspect="Content" ObjectID="_1775045949" r:id="rId506"/>
              </w:object>
            </w:r>
          </w:p>
        </w:tc>
      </w:tr>
    </w:tbl>
    <w:p w14:paraId="634DA048" w14:textId="77777777" w:rsidR="005B5818" w:rsidRDefault="005B5818" w:rsidP="00B60372">
      <w:pPr>
        <w:keepNext/>
        <w:keepLines/>
        <w:spacing w:before="240"/>
        <w:rPr>
          <w:rFonts w:eastAsiaTheme="minorEastAsia"/>
          <w:szCs w:val="24"/>
          <w:lang w:val="en-AU"/>
        </w:rPr>
      </w:pPr>
      <w:r>
        <w:rPr>
          <w:rFonts w:eastAsiaTheme="minorEastAsia"/>
          <w:szCs w:val="24"/>
          <w:lang w:val="en-AU"/>
        </w:rPr>
        <w:lastRenderedPageBreak/>
        <w:t xml:space="preserve">Although the process of deriving a combined relative cost estimate for </w:t>
      </w:r>
      <w:r w:rsidR="00962DB6" w:rsidRPr="00962DB6">
        <w:rPr>
          <w:rFonts w:eastAsiaTheme="minorEastAsia"/>
          <w:position w:val="-6"/>
          <w:szCs w:val="24"/>
          <w:lang w:val="en-AU"/>
        </w:rPr>
        <w:object w:dxaOrig="200" w:dyaOrig="220" w14:anchorId="7ECD9886">
          <v:shape id="_x0000_i1314" type="#_x0000_t75" style="width:9.75pt;height:11.25pt" o:ole="">
            <v:imagedata r:id="rId507" o:title=""/>
          </v:shape>
          <o:OLEObject Type="Embed" ProgID="Equation.DSMT4" ShapeID="_x0000_i1314" DrawAspect="Content" ObjectID="_1775045950" r:id="rId508"/>
        </w:object>
      </w:r>
      <w:r w:rsidR="00962DB6">
        <w:rPr>
          <w:rFonts w:eastAsiaTheme="minorEastAsia"/>
          <w:szCs w:val="24"/>
          <w:lang w:val="en-AU"/>
        </w:rPr>
        <w:t xml:space="preserve"> </w:t>
      </w:r>
      <w:r>
        <w:rPr>
          <w:rFonts w:eastAsiaTheme="minorEastAsia"/>
          <w:szCs w:val="24"/>
          <w:lang w:val="en-AU"/>
        </w:rPr>
        <w:t xml:space="preserve">in </w:t>
      </w:r>
      <w:r w:rsidR="00962DB6" w:rsidRPr="00962DB6">
        <w:rPr>
          <w:rFonts w:eastAsiaTheme="minorEastAsia"/>
          <w:position w:val="-4"/>
          <w:szCs w:val="24"/>
          <w:lang w:val="en-AU"/>
        </w:rPr>
        <w:object w:dxaOrig="240" w:dyaOrig="260" w14:anchorId="306145D7">
          <v:shape id="_x0000_i1315" type="#_x0000_t75" style="width:12pt;height:12.75pt" o:ole="">
            <v:imagedata r:id="rId509" o:title=""/>
          </v:shape>
          <o:OLEObject Type="Embed" ProgID="Equation.DSMT4" ShapeID="_x0000_i1315" DrawAspect="Content" ObjectID="_1775045951" r:id="rId510"/>
        </w:object>
      </w:r>
      <w:r w:rsidR="00962DB6">
        <w:rPr>
          <w:rFonts w:eastAsiaTheme="minorEastAsia"/>
          <w:szCs w:val="24"/>
          <w:lang w:val="en-AU"/>
        </w:rPr>
        <w:t xml:space="preserve"> </w:t>
      </w:r>
      <w:r>
        <w:rPr>
          <w:rFonts w:eastAsiaTheme="minorEastAsia"/>
          <w:szCs w:val="24"/>
          <w:lang w:val="en-AU"/>
        </w:rPr>
        <w:t xml:space="preserve">is undertaken sequentially through the 14 levels </w:t>
      </w:r>
      <w:r w:rsidRPr="00A56E95">
        <w:rPr>
          <w:rFonts w:eastAsiaTheme="minorEastAsia"/>
          <w:szCs w:val="24"/>
          <w:lang w:val="en-AU"/>
        </w:rPr>
        <w:t xml:space="preserve">of </w:t>
      </w:r>
      <w:r w:rsidR="00CC0F16">
        <w:fldChar w:fldCharType="begin"/>
      </w:r>
      <w:r w:rsidR="00CC0F16">
        <w:instrText xml:space="preserve"> REF _Ref391042152 \h  \* MERGEFORMAT </w:instrText>
      </w:r>
      <w:r w:rsidR="00CC0F16">
        <w:fldChar w:fldCharType="separate"/>
      </w:r>
      <w:r w:rsidR="0031717B" w:rsidRPr="0031717B">
        <w:rPr>
          <w:szCs w:val="24"/>
        </w:rPr>
        <w:t>Table 3</w:t>
      </w:r>
      <w:r w:rsidR="00CC0F16">
        <w:fldChar w:fldCharType="end"/>
      </w:r>
      <w:r w:rsidRPr="00A56E95">
        <w:rPr>
          <w:rFonts w:eastAsiaTheme="minorEastAsia"/>
          <w:szCs w:val="24"/>
          <w:lang w:val="en-AU"/>
        </w:rPr>
        <w:t xml:space="preserve">, </w:t>
      </w:r>
      <w:r>
        <w:rPr>
          <w:rFonts w:eastAsiaTheme="minorEastAsia"/>
          <w:szCs w:val="24"/>
          <w:lang w:val="en-AU"/>
        </w:rPr>
        <w:t>there is not a complete ordering of the hierarchy in terms of set containment of the</w:t>
      </w:r>
      <w:r w:rsidR="00AD575F">
        <w:rPr>
          <w:rFonts w:eastAsiaTheme="minorEastAsia"/>
          <w:szCs w:val="24"/>
          <w:lang w:val="en-AU"/>
        </w:rPr>
        <w:t xml:space="preserve"> </w:t>
      </w:r>
      <w:r w:rsidR="00706E5D" w:rsidRPr="00AD575F">
        <w:rPr>
          <w:position w:val="-14"/>
        </w:rPr>
        <w:object w:dxaOrig="780" w:dyaOrig="380" w14:anchorId="1EC11802">
          <v:shape id="_x0000_i1316" type="#_x0000_t75" style="width:39pt;height:18.75pt" o:ole="">
            <v:imagedata r:id="rId511" o:title=""/>
          </v:shape>
          <o:OLEObject Type="Embed" ProgID="Equation.DSMT4" ShapeID="_x0000_i1316" DrawAspect="Content" ObjectID="_1775045952" r:id="rId512"/>
        </w:object>
      </w:r>
      <w:r>
        <w:rPr>
          <w:rFonts w:eastAsiaTheme="minorEastAsia"/>
          <w:szCs w:val="24"/>
          <w:lang w:val="en-AU"/>
        </w:rPr>
        <w:t xml:space="preserve">. For example, although the </w:t>
      </w:r>
      <w:r w:rsidR="00706E5D" w:rsidRPr="00AD575F">
        <w:rPr>
          <w:position w:val="-14"/>
        </w:rPr>
        <w:object w:dxaOrig="780" w:dyaOrig="380" w14:anchorId="70C2C277">
          <v:shape id="_x0000_i1317" type="#_x0000_t75" style="width:39pt;height:18.75pt" o:ole="">
            <v:imagedata r:id="rId511" o:title=""/>
          </v:shape>
          <o:OLEObject Type="Embed" ProgID="Equation.DSMT4" ShapeID="_x0000_i1317" DrawAspect="Content" ObjectID="_1775045953" r:id="rId513"/>
        </w:object>
      </w:r>
      <w:r>
        <w:rPr>
          <w:rFonts w:eastAsiaTheme="minorEastAsia"/>
          <w:szCs w:val="24"/>
          <w:lang w:val="en-AU"/>
        </w:rPr>
        <w:t xml:space="preserve"> of levels 1 through 5 are sequentially contained in each </w:t>
      </w:r>
      <w:r w:rsidR="006931BA">
        <w:rPr>
          <w:rFonts w:eastAsiaTheme="minorEastAsia"/>
          <w:szCs w:val="24"/>
          <w:lang w:val="en-AU"/>
        </w:rPr>
        <w:t>other</w:t>
      </w:r>
      <w:r>
        <w:rPr>
          <w:rFonts w:eastAsiaTheme="minorEastAsia"/>
          <w:szCs w:val="24"/>
          <w:lang w:val="en-AU"/>
        </w:rPr>
        <w:t xml:space="preserve">, the </w:t>
      </w:r>
      <w:r w:rsidR="00706E5D" w:rsidRPr="00AD575F">
        <w:rPr>
          <w:position w:val="-14"/>
        </w:rPr>
        <w:object w:dxaOrig="780" w:dyaOrig="380" w14:anchorId="7AAB42D7">
          <v:shape id="_x0000_i1318" type="#_x0000_t75" style="width:39pt;height:18.75pt" o:ole="">
            <v:imagedata r:id="rId511" o:title=""/>
          </v:shape>
          <o:OLEObject Type="Embed" ProgID="Equation.DSMT4" ShapeID="_x0000_i1318" DrawAspect="Content" ObjectID="_1775045954" r:id="rId514"/>
        </w:object>
      </w:r>
      <w:r>
        <w:rPr>
          <w:rFonts w:eastAsiaTheme="minorEastAsia"/>
          <w:szCs w:val="24"/>
          <w:lang w:val="en-AU"/>
        </w:rPr>
        <w:t xml:space="preserve"> of level 6 does not contain that of level 5; that is, </w:t>
      </w:r>
      <w:r w:rsidR="00706E5D" w:rsidRPr="00706E5D">
        <w:rPr>
          <w:position w:val="-12"/>
        </w:rPr>
        <w:object w:dxaOrig="780" w:dyaOrig="360" w14:anchorId="17303CCD">
          <v:shape id="_x0000_i1319" type="#_x0000_t75" style="width:39pt;height:18pt" o:ole="">
            <v:imagedata r:id="rId515" o:title=""/>
          </v:shape>
          <o:OLEObject Type="Embed" ProgID="Equation.DSMT4" ShapeID="_x0000_i1319" DrawAspect="Content" ObjectID="_1775045955" r:id="rId516"/>
        </w:object>
      </w:r>
      <w:r>
        <w:rPr>
          <w:rFonts w:eastAsiaTheme="minorEastAsia"/>
          <w:szCs w:val="24"/>
          <w:lang w:val="en-AU"/>
        </w:rPr>
        <w:t xml:space="preserve"> does not contain </w:t>
      </w:r>
      <w:r w:rsidR="00706E5D" w:rsidRPr="00706E5D">
        <w:rPr>
          <w:position w:val="-12"/>
        </w:rPr>
        <w:object w:dxaOrig="780" w:dyaOrig="360" w14:anchorId="30994057">
          <v:shape id="_x0000_i1320" type="#_x0000_t75" style="width:39pt;height:18pt" o:ole="">
            <v:imagedata r:id="rId517" o:title=""/>
          </v:shape>
          <o:OLEObject Type="Embed" ProgID="Equation.DSMT4" ShapeID="_x0000_i1320" DrawAspect="Content" ObjectID="_1775045956" r:id="rId518"/>
        </w:object>
      </w:r>
      <w:r>
        <w:rPr>
          <w:rFonts w:eastAsiaTheme="minorEastAsia"/>
          <w:szCs w:val="24"/>
          <w:lang w:val="en-AU"/>
        </w:rPr>
        <w:t>. Instead, level 5 and level 6 have only level 1 episodes in common; that is,</w:t>
      </w:r>
    </w:p>
    <w:p w14:paraId="340ACEA3" w14:textId="77777777" w:rsidR="005B5818" w:rsidRDefault="00AD575F" w:rsidP="00B60372">
      <w:pPr>
        <w:pStyle w:val="MTDisplayEquation"/>
        <w:jc w:val="center"/>
        <w:rPr>
          <w:rFonts w:eastAsiaTheme="minorEastAsia"/>
          <w:szCs w:val="24"/>
          <w:lang w:val="en-AU"/>
        </w:rPr>
      </w:pPr>
      <w:r w:rsidRPr="00AD575F">
        <w:rPr>
          <w:position w:val="-14"/>
        </w:rPr>
        <w:object w:dxaOrig="3140" w:dyaOrig="400" w14:anchorId="02462878">
          <v:shape id="_x0000_i1321" type="#_x0000_t75" style="width:156.75pt;height:20.25pt" o:ole="">
            <v:imagedata r:id="rId519" o:title=""/>
          </v:shape>
          <o:OLEObject Type="Embed" ProgID="Equation.DSMT4" ShapeID="_x0000_i1321" DrawAspect="Content" ObjectID="_1775045957" r:id="rId520"/>
        </w:object>
      </w:r>
    </w:p>
    <w:p w14:paraId="1DA60CF2" w14:textId="77777777" w:rsidR="005B5818" w:rsidRDefault="005B5818" w:rsidP="00B60372">
      <w:pPr>
        <w:spacing w:before="240"/>
        <w:rPr>
          <w:rFonts w:eastAsiaTheme="minorEastAsia"/>
          <w:szCs w:val="24"/>
          <w:lang w:val="en-AU"/>
        </w:rPr>
      </w:pPr>
      <w:r>
        <w:rPr>
          <w:rFonts w:eastAsiaTheme="minorEastAsia"/>
          <w:szCs w:val="24"/>
          <w:lang w:val="en-AU"/>
        </w:rPr>
        <w:t xml:space="preserve">In general, </w:t>
      </w:r>
      <w:r w:rsidR="00706E5D" w:rsidRPr="00AD575F">
        <w:rPr>
          <w:position w:val="-14"/>
        </w:rPr>
        <w:object w:dxaOrig="780" w:dyaOrig="380" w14:anchorId="588B356B">
          <v:shape id="_x0000_i1322" type="#_x0000_t75" style="width:39pt;height:18.75pt" o:ole="">
            <v:imagedata r:id="rId511" o:title=""/>
          </v:shape>
          <o:OLEObject Type="Embed" ProgID="Equation.DSMT4" ShapeID="_x0000_i1322" DrawAspect="Content" ObjectID="_1775045958" r:id="rId521"/>
        </w:object>
      </w:r>
      <w:r>
        <w:rPr>
          <w:rFonts w:eastAsiaTheme="minorEastAsia"/>
          <w:szCs w:val="24"/>
          <w:lang w:val="en-AU"/>
        </w:rPr>
        <w:t xml:space="preserve"> contains </w:t>
      </w:r>
      <w:r w:rsidR="00AD575F" w:rsidRPr="00AD575F">
        <w:rPr>
          <w:position w:val="-12"/>
        </w:rPr>
        <w:object w:dxaOrig="780" w:dyaOrig="360" w14:anchorId="6F8D420E">
          <v:shape id="_x0000_i1323" type="#_x0000_t75" style="width:39pt;height:18pt" o:ole="">
            <v:imagedata r:id="rId522" o:title=""/>
          </v:shape>
          <o:OLEObject Type="Embed" ProgID="Equation.DSMT4" ShapeID="_x0000_i1323" DrawAspect="Content" ObjectID="_1775045959" r:id="rId523"/>
        </w:object>
      </w:r>
      <w:r>
        <w:rPr>
          <w:rFonts w:eastAsiaTheme="minorEastAsia"/>
          <w:szCs w:val="24"/>
          <w:lang w:val="en-AU"/>
        </w:rPr>
        <w:t xml:space="preserve"> only when both </w:t>
      </w:r>
      <w:r w:rsidR="00AD575F" w:rsidRPr="00AD575F">
        <w:rPr>
          <w:position w:val="-6"/>
        </w:rPr>
        <w:object w:dxaOrig="499" w:dyaOrig="279" w14:anchorId="192C116B">
          <v:shape id="_x0000_i1324" type="#_x0000_t75" style="width:24.75pt;height:14.25pt" o:ole="">
            <v:imagedata r:id="rId524" o:title=""/>
          </v:shape>
          <o:OLEObject Type="Embed" ProgID="Equation.DSMT4" ShapeID="_x0000_i1324" DrawAspect="Content" ObjectID="_1775045960" r:id="rId525"/>
        </w:object>
      </w:r>
      <w:r>
        <w:rPr>
          <w:rFonts w:eastAsiaTheme="minorEastAsia"/>
          <w:szCs w:val="24"/>
          <w:lang w:val="en-AU"/>
        </w:rPr>
        <w:t xml:space="preserve"> and </w:t>
      </w:r>
      <w:r w:rsidR="006400E1" w:rsidRPr="006400E1">
        <w:rPr>
          <w:position w:val="-10"/>
        </w:rPr>
        <w:object w:dxaOrig="499" w:dyaOrig="320" w14:anchorId="4AA4F2F0">
          <v:shape id="_x0000_i1325" type="#_x0000_t75" style="width:24.75pt;height:15.75pt" o:ole="">
            <v:imagedata r:id="rId526" o:title=""/>
          </v:shape>
          <o:OLEObject Type="Embed" ProgID="Equation.DSMT4" ShapeID="_x0000_i1325" DrawAspect="Content" ObjectID="_1775045961" r:id="rId527"/>
        </w:object>
      </w:r>
      <w:r>
        <w:rPr>
          <w:rFonts w:eastAsiaTheme="minorEastAsia"/>
          <w:szCs w:val="24"/>
          <w:lang w:val="en-AU"/>
        </w:rPr>
        <w:t>.</w:t>
      </w:r>
    </w:p>
    <w:p w14:paraId="064B6F91" w14:textId="77777777" w:rsidR="005B5818" w:rsidRDefault="005B5818" w:rsidP="00B60372">
      <w:pPr>
        <w:rPr>
          <w:rFonts w:eastAsiaTheme="minorEastAsia"/>
          <w:szCs w:val="24"/>
          <w:lang w:val="en-AU"/>
        </w:rPr>
      </w:pPr>
      <w:r>
        <w:rPr>
          <w:rFonts w:eastAsiaTheme="minorEastAsia"/>
          <w:szCs w:val="24"/>
          <w:lang w:val="en-AU"/>
        </w:rPr>
        <w:t xml:space="preserve">To account for this partial containment of consecutive levels, the </w:t>
      </w:r>
      <w:r w:rsidR="00706E5D" w:rsidRPr="00AD575F">
        <w:rPr>
          <w:position w:val="-14"/>
        </w:rPr>
        <w:object w:dxaOrig="780" w:dyaOrig="380" w14:anchorId="3508BC73">
          <v:shape id="_x0000_i1326" type="#_x0000_t75" style="width:39pt;height:18.75pt" o:ole="">
            <v:imagedata r:id="rId511" o:title=""/>
          </v:shape>
          <o:OLEObject Type="Embed" ProgID="Equation.DSMT4" ShapeID="_x0000_i1326" DrawAspect="Content" ObjectID="_1775045962" r:id="rId528"/>
        </w:object>
      </w:r>
      <w:r>
        <w:rPr>
          <w:rFonts w:eastAsiaTheme="minorEastAsia"/>
          <w:szCs w:val="24"/>
          <w:lang w:val="en-AU"/>
        </w:rPr>
        <w:t xml:space="preserve"> of each level is restricted to those episodes not already present in previous levels of the hierarchy. This results in a sequence of episode sets </w:t>
      </w:r>
      <w:r w:rsidR="006400E1" w:rsidRPr="00AD575F">
        <w:rPr>
          <w:position w:val="-14"/>
        </w:rPr>
        <w:object w:dxaOrig="660" w:dyaOrig="440" w14:anchorId="2B326AC2">
          <v:shape id="_x0000_i1327" type="#_x0000_t75" style="width:40.5pt;height:27pt" o:ole="">
            <v:imagedata r:id="rId529" o:title=""/>
          </v:shape>
          <o:OLEObject Type="Embed" ProgID="Equation.DSMT4" ShapeID="_x0000_i1327" DrawAspect="Content" ObjectID="_1775045963" r:id="rId530"/>
        </w:object>
      </w:r>
      <w:r w:rsidR="00345851">
        <w:rPr>
          <w:rFonts w:eastAsiaTheme="minorEastAsia"/>
          <w:szCs w:val="24"/>
          <w:lang w:val="en-AU"/>
        </w:rPr>
        <w:t xml:space="preserve"> </w:t>
      </w:r>
      <w:r>
        <w:rPr>
          <w:rFonts w:eastAsiaTheme="minorEastAsia"/>
          <w:szCs w:val="24"/>
          <w:lang w:val="en-AU"/>
        </w:rPr>
        <w:t xml:space="preserve">that are mutually exclusive (i.e. non-intersecting) and that align with the cumulative process of defining the combined relative cost of </w:t>
      </w:r>
      <w:r w:rsidR="00AD575F" w:rsidRPr="006924B6">
        <w:rPr>
          <w:position w:val="-6"/>
        </w:rPr>
        <w:object w:dxaOrig="200" w:dyaOrig="220" w14:anchorId="48366C4B">
          <v:shape id="_x0000_i1328" type="#_x0000_t75" style="width:9.75pt;height:11.25pt" o:ole="">
            <v:imagedata r:id="rId52" o:title=""/>
          </v:shape>
          <o:OLEObject Type="Embed" ProgID="Equation.DSMT4" ShapeID="_x0000_i1328" DrawAspect="Content" ObjectID="_1775045964" r:id="rId531"/>
        </w:object>
      </w:r>
      <w:r w:rsidRPr="003222FD">
        <w:rPr>
          <w:rFonts w:eastAsiaTheme="minorEastAsia"/>
          <w:szCs w:val="24"/>
          <w:lang w:val="en-AU"/>
        </w:rPr>
        <w:t xml:space="preserve">in </w:t>
      </w:r>
      <w:r w:rsidR="006C3990" w:rsidRPr="00025957">
        <w:rPr>
          <w:position w:val="-4"/>
        </w:rPr>
        <w:object w:dxaOrig="240" w:dyaOrig="260" w14:anchorId="6AE54E96">
          <v:shape id="_x0000_i1329" type="#_x0000_t75" style="width:12pt;height:12.75pt" o:ole="">
            <v:imagedata r:id="rId54" o:title=""/>
          </v:shape>
          <o:OLEObject Type="Embed" ProgID="Equation.DSMT4" ShapeID="_x0000_i1329" DrawAspect="Content" ObjectID="_1775045965" r:id="rId532"/>
        </w:object>
      </w:r>
      <w:r w:rsidRPr="003222FD">
        <w:rPr>
          <w:rFonts w:eastAsiaTheme="minorEastAsia"/>
          <w:szCs w:val="24"/>
          <w:lang w:val="en-AU"/>
        </w:rPr>
        <w:t xml:space="preserve">. </w:t>
      </w:r>
      <w:r w:rsidR="00CC0F16">
        <w:fldChar w:fldCharType="begin"/>
      </w:r>
      <w:r w:rsidR="00CC0F16">
        <w:instrText xml:space="preserve"> REF _Ref391640043 \h  \* MERGEFORMAT </w:instrText>
      </w:r>
      <w:r w:rsidR="00CC0F16">
        <w:fldChar w:fldCharType="separate"/>
      </w:r>
      <w:r w:rsidR="0031717B" w:rsidRPr="0031717B">
        <w:rPr>
          <w:szCs w:val="24"/>
        </w:rPr>
        <w:t>Table 5</w:t>
      </w:r>
      <w:r w:rsidR="00CC0F16">
        <w:fldChar w:fldCharType="end"/>
      </w:r>
      <w:r w:rsidRPr="003222FD">
        <w:rPr>
          <w:rFonts w:eastAsiaTheme="minorEastAsia"/>
          <w:szCs w:val="24"/>
          <w:lang w:val="en-AU"/>
        </w:rPr>
        <w:t xml:space="preserve"> specifies</w:t>
      </w:r>
      <w:r>
        <w:rPr>
          <w:rFonts w:eastAsiaTheme="minorEastAsia"/>
          <w:szCs w:val="24"/>
          <w:lang w:val="en-AU"/>
        </w:rPr>
        <w:t xml:space="preserve"> how each of the</w:t>
      </w:r>
      <w:r w:rsidR="00AD575F">
        <w:rPr>
          <w:rFonts w:eastAsiaTheme="minorEastAsia"/>
          <w:szCs w:val="24"/>
          <w:lang w:val="en-AU"/>
        </w:rPr>
        <w:t xml:space="preserve"> </w:t>
      </w:r>
      <w:r w:rsidR="00AD575F" w:rsidRPr="00AD575F">
        <w:rPr>
          <w:rFonts w:eastAsiaTheme="minorEastAsia"/>
          <w:position w:val="-12"/>
          <w:szCs w:val="24"/>
          <w:lang w:val="en-AU"/>
        </w:rPr>
        <w:object w:dxaOrig="279" w:dyaOrig="360" w14:anchorId="7A04CC6C">
          <v:shape id="_x0000_i1330" type="#_x0000_t75" style="width:14.25pt;height:18pt" o:ole="">
            <v:imagedata r:id="rId533" o:title=""/>
          </v:shape>
          <o:OLEObject Type="Embed" ProgID="Equation.DSMT4" ShapeID="_x0000_i1330" DrawAspect="Content" ObjectID="_1775045966" r:id="rId534"/>
        </w:object>
      </w:r>
      <w:r w:rsidR="00AD575F">
        <w:rPr>
          <w:rFonts w:eastAsiaTheme="minorEastAsia"/>
          <w:szCs w:val="24"/>
          <w:lang w:val="en-AU"/>
        </w:rPr>
        <w:t xml:space="preserve"> </w:t>
      </w:r>
      <w:r>
        <w:rPr>
          <w:rFonts w:eastAsiaTheme="minorEastAsia"/>
          <w:szCs w:val="24"/>
          <w:lang w:val="en-AU"/>
        </w:rPr>
        <w:t>are defined.</w:t>
      </w:r>
    </w:p>
    <w:p w14:paraId="1703C460" w14:textId="77777777" w:rsidR="005B5818" w:rsidRDefault="005B5818" w:rsidP="00B60372">
      <w:pPr>
        <w:pStyle w:val="Caption"/>
      </w:pPr>
      <w:bookmarkStart w:id="79" w:name="_Ref391640043"/>
      <w:bookmarkStart w:id="80" w:name="_Toc401061092"/>
      <w:r>
        <w:lastRenderedPageBreak/>
        <w:t xml:space="preserve">Table </w:t>
      </w:r>
      <w:r w:rsidR="005559F5">
        <w:fldChar w:fldCharType="begin"/>
      </w:r>
      <w:r>
        <w:instrText xml:space="preserve"> SEQ Table \* ARABIC </w:instrText>
      </w:r>
      <w:r w:rsidR="005559F5">
        <w:fldChar w:fldCharType="separate"/>
      </w:r>
      <w:r w:rsidR="0031717B">
        <w:rPr>
          <w:noProof/>
        </w:rPr>
        <w:t>5</w:t>
      </w:r>
      <w:r w:rsidR="005559F5">
        <w:fldChar w:fldCharType="end"/>
      </w:r>
      <w:bookmarkEnd w:id="79"/>
      <w:r>
        <w:t xml:space="preserve">: Definition of the sequence of mutually exclusive </w:t>
      </w:r>
      <w:r w:rsidR="00AD575F" w:rsidRPr="00AD575F">
        <w:rPr>
          <w:rFonts w:eastAsiaTheme="minorEastAsia"/>
          <w:position w:val="-12"/>
          <w:szCs w:val="24"/>
          <w:lang w:val="en-AU"/>
        </w:rPr>
        <w:object w:dxaOrig="279" w:dyaOrig="360" w14:anchorId="252335DC">
          <v:shape id="_x0000_i1331" type="#_x0000_t75" style="width:14.25pt;height:18pt" o:ole="">
            <v:imagedata r:id="rId533" o:title=""/>
          </v:shape>
          <o:OLEObject Type="Embed" ProgID="Equation.DSMT4" ShapeID="_x0000_i1331" DrawAspect="Content" ObjectID="_1775045967" r:id="rId535"/>
        </w:object>
      </w:r>
      <w:r>
        <w:rPr>
          <w:rFonts w:eastAsiaTheme="minorEastAsia"/>
        </w:rPr>
        <w:t xml:space="preserve"> </w:t>
      </w:r>
      <w:r>
        <w:t>episode sets</w:t>
      </w:r>
      <w:r w:rsidR="000E4FA5">
        <w:t>.</w:t>
      </w:r>
      <w:bookmarkEnd w:id="80"/>
    </w:p>
    <w:tbl>
      <w:tblPr>
        <w:tblStyle w:val="Style1"/>
        <w:tblW w:w="9307" w:type="dxa"/>
        <w:tblLook w:val="0420" w:firstRow="1" w:lastRow="0" w:firstColumn="0" w:lastColumn="0" w:noHBand="0" w:noVBand="1"/>
        <w:tblCaption w:val="Definition of the sequence of mutually exclusive E_i episode sets"/>
        <w:tblDescription w:val="The table has three columns: the first lists the level of ADRG aggregation (A); the second lists the level of diagnosis aggregation (X) for each level of A; the third lists the notation used to define the sequence of mutually exclusive E_i episode sets."/>
      </w:tblPr>
      <w:tblGrid>
        <w:gridCol w:w="1871"/>
        <w:gridCol w:w="2810"/>
        <w:gridCol w:w="3322"/>
        <w:gridCol w:w="1304"/>
      </w:tblGrid>
      <w:tr w:rsidR="0094282D" w:rsidRPr="00962F6D" w14:paraId="465DA716" w14:textId="77777777" w:rsidTr="0094282D">
        <w:trPr>
          <w:cnfStyle w:val="100000000000" w:firstRow="1" w:lastRow="0" w:firstColumn="0" w:lastColumn="0" w:oddVBand="0" w:evenVBand="0" w:oddHBand="0" w:evenHBand="0" w:firstRowFirstColumn="0" w:firstRowLastColumn="0" w:lastRowFirstColumn="0" w:lastRowLastColumn="0"/>
          <w:trHeight w:val="283"/>
          <w:tblHeader/>
        </w:trPr>
        <w:tc>
          <w:tcPr>
            <w:tcW w:w="1871" w:type="dxa"/>
          </w:tcPr>
          <w:p w14:paraId="06916148" w14:textId="77777777" w:rsidR="00FB653B" w:rsidRPr="00962F6D" w:rsidRDefault="00FB653B" w:rsidP="00B60372">
            <w:pPr>
              <w:pStyle w:val="Table"/>
            </w:pPr>
            <w:r w:rsidRPr="00962F6D">
              <w:t>ADRG level</w:t>
            </w:r>
            <w:r>
              <w:t xml:space="preserve"> </w:t>
            </w:r>
            <w:r w:rsidRPr="00FF5B4D">
              <w:rPr>
                <w:b w:val="0"/>
                <w:position w:val="-14"/>
              </w:rPr>
              <w:object w:dxaOrig="440" w:dyaOrig="400" w14:anchorId="52D5FEAE">
                <v:shape id="_x0000_i1332" type="#_x0000_t75" style="width:21.75pt;height:20.25pt" o:ole="">
                  <v:imagedata r:id="rId401" o:title=""/>
                </v:shape>
                <o:OLEObject Type="Embed" ProgID="Equation.DSMT4" ShapeID="_x0000_i1332" DrawAspect="Content" ObjectID="_1775045968" r:id="rId536"/>
              </w:object>
            </w:r>
          </w:p>
        </w:tc>
        <w:tc>
          <w:tcPr>
            <w:tcW w:w="0" w:type="auto"/>
          </w:tcPr>
          <w:p w14:paraId="124DC8CC" w14:textId="77777777" w:rsidR="00FB653B" w:rsidRPr="00962F6D" w:rsidRDefault="00FB653B" w:rsidP="00B60372">
            <w:pPr>
              <w:pStyle w:val="Table"/>
            </w:pPr>
            <w:r w:rsidRPr="00962F6D">
              <w:t>Diagnosis level</w:t>
            </w:r>
            <w:r>
              <w:t xml:space="preserve"> </w:t>
            </w:r>
            <w:r w:rsidRPr="00DD1381">
              <w:rPr>
                <w:b w:val="0"/>
                <w:position w:val="-14"/>
              </w:rPr>
              <w:object w:dxaOrig="460" w:dyaOrig="400" w14:anchorId="7698372B">
                <v:shape id="_x0000_i1333" type="#_x0000_t75" style="width:23.25pt;height:20.25pt" o:ole="">
                  <v:imagedata r:id="rId403" o:title=""/>
                </v:shape>
                <o:OLEObject Type="Embed" ProgID="Equation.DSMT4" ShapeID="_x0000_i1333" DrawAspect="Content" ObjectID="_1775045969" r:id="rId537"/>
              </w:object>
            </w:r>
          </w:p>
        </w:tc>
        <w:tc>
          <w:tcPr>
            <w:tcW w:w="3314" w:type="dxa"/>
          </w:tcPr>
          <w:p w14:paraId="4D1CF215" w14:textId="77777777" w:rsidR="00FB653B" w:rsidRPr="00962F6D" w:rsidRDefault="00FB653B" w:rsidP="00B60372">
            <w:pPr>
              <w:pStyle w:val="Table"/>
              <w:jc w:val="center"/>
            </w:pPr>
            <w:r>
              <w:t>Notation</w:t>
            </w:r>
          </w:p>
        </w:tc>
        <w:tc>
          <w:tcPr>
            <w:tcW w:w="1304" w:type="dxa"/>
          </w:tcPr>
          <w:p w14:paraId="6A7FDD67" w14:textId="77777777" w:rsidR="00FB653B" w:rsidRDefault="0094282D" w:rsidP="00B60372">
            <w:pPr>
              <w:pStyle w:val="Table"/>
              <w:jc w:val="center"/>
            </w:pPr>
            <w:r>
              <w:t>Defined as</w:t>
            </w:r>
          </w:p>
        </w:tc>
      </w:tr>
      <w:tr w:rsidR="0094282D" w:rsidRPr="00936A89" w14:paraId="034D7C1A" w14:textId="77777777" w:rsidTr="0094282D">
        <w:trPr>
          <w:trHeight w:val="283"/>
        </w:trPr>
        <w:tc>
          <w:tcPr>
            <w:tcW w:w="1871" w:type="dxa"/>
            <w:vMerge w:val="restart"/>
          </w:tcPr>
          <w:p w14:paraId="11DFDBB3" w14:textId="77777777" w:rsidR="00FB653B" w:rsidRPr="00962F6D" w:rsidRDefault="00FB653B" w:rsidP="00B60372">
            <w:pPr>
              <w:pStyle w:val="Table"/>
              <w:keepNext/>
              <w:spacing w:before="60" w:after="60"/>
            </w:pPr>
            <w:r>
              <w:t>ADRG</w:t>
            </w:r>
          </w:p>
        </w:tc>
        <w:tc>
          <w:tcPr>
            <w:tcW w:w="0" w:type="auto"/>
          </w:tcPr>
          <w:p w14:paraId="53FC1A4C" w14:textId="77777777" w:rsidR="00FB653B" w:rsidRPr="00962F6D" w:rsidRDefault="00FB653B" w:rsidP="002F7E33">
            <w:pPr>
              <w:pStyle w:val="Table"/>
              <w:keepNext/>
            </w:pPr>
            <w:r w:rsidRPr="00962F6D">
              <w:t>3-character category within CDC</w:t>
            </w:r>
          </w:p>
        </w:tc>
        <w:tc>
          <w:tcPr>
            <w:tcW w:w="3314" w:type="dxa"/>
          </w:tcPr>
          <w:p w14:paraId="0989BF43" w14:textId="77777777" w:rsidR="00FB653B" w:rsidRPr="00962F6D" w:rsidRDefault="0094282D" w:rsidP="00B60372">
            <w:pPr>
              <w:pStyle w:val="Table"/>
              <w:keepNext/>
              <w:tabs>
                <w:tab w:val="center" w:pos="1710"/>
                <w:tab w:val="right" w:pos="3420"/>
              </w:tabs>
              <w:jc w:val="center"/>
            </w:pPr>
            <w:r w:rsidRPr="007C5867">
              <w:rPr>
                <w:position w:val="-12"/>
              </w:rPr>
              <w:object w:dxaOrig="760" w:dyaOrig="360" w14:anchorId="48896448">
                <v:shape id="_x0000_i1334" type="#_x0000_t75" style="width:50.25pt;height:24pt" o:ole="">
                  <v:imagedata r:id="rId538" o:title=""/>
                </v:shape>
                <o:OLEObject Type="Embed" ProgID="Equation.DSMT4" ShapeID="_x0000_i1334" DrawAspect="Content" ObjectID="_1775045970" r:id="rId539"/>
              </w:object>
            </w:r>
          </w:p>
        </w:tc>
        <w:tc>
          <w:tcPr>
            <w:tcW w:w="1304" w:type="dxa"/>
          </w:tcPr>
          <w:p w14:paraId="047B252A" w14:textId="77777777" w:rsidR="00FB653B" w:rsidRPr="007C5867" w:rsidRDefault="00FB653B" w:rsidP="00B60372">
            <w:pPr>
              <w:pStyle w:val="Table"/>
              <w:keepNext/>
              <w:tabs>
                <w:tab w:val="center" w:pos="1710"/>
                <w:tab w:val="right" w:pos="3420"/>
              </w:tabs>
              <w:jc w:val="center"/>
            </w:pPr>
            <w:r w:rsidRPr="00FB653B">
              <w:rPr>
                <w:position w:val="-12"/>
              </w:rPr>
              <w:object w:dxaOrig="279" w:dyaOrig="360" w14:anchorId="59D8FB24">
                <v:shape id="_x0000_i1335" type="#_x0000_t75" style="width:14.25pt;height:18pt" o:ole="">
                  <v:imagedata r:id="rId540" o:title=""/>
                </v:shape>
                <o:OLEObject Type="Embed" ProgID="Equation.DSMT4" ShapeID="_x0000_i1335" DrawAspect="Content" ObjectID="_1775045971" r:id="rId541"/>
              </w:object>
            </w:r>
          </w:p>
        </w:tc>
      </w:tr>
      <w:tr w:rsidR="0094282D" w:rsidRPr="00936A89" w14:paraId="603C921F" w14:textId="77777777" w:rsidTr="0094282D">
        <w:trPr>
          <w:trHeight w:val="283"/>
        </w:trPr>
        <w:tc>
          <w:tcPr>
            <w:tcW w:w="1871" w:type="dxa"/>
            <w:vMerge/>
          </w:tcPr>
          <w:p w14:paraId="4E9E9BA1" w14:textId="77777777" w:rsidR="00FB653B" w:rsidRPr="00962F6D" w:rsidRDefault="00FB653B" w:rsidP="00B60372">
            <w:pPr>
              <w:pStyle w:val="Table"/>
              <w:keepNext/>
              <w:spacing w:before="60" w:after="60"/>
            </w:pPr>
          </w:p>
        </w:tc>
        <w:tc>
          <w:tcPr>
            <w:tcW w:w="0" w:type="auto"/>
          </w:tcPr>
          <w:p w14:paraId="35C55372" w14:textId="77777777" w:rsidR="00FB653B" w:rsidRPr="00962F6D" w:rsidRDefault="00FB653B" w:rsidP="002F7E33">
            <w:pPr>
              <w:pStyle w:val="Table"/>
              <w:keepNext/>
            </w:pPr>
            <w:r w:rsidRPr="00962F6D">
              <w:t>Code Block within CDC</w:t>
            </w:r>
          </w:p>
        </w:tc>
        <w:bookmarkStart w:id="81" w:name="MTToggleStart"/>
        <w:bookmarkEnd w:id="81"/>
        <w:tc>
          <w:tcPr>
            <w:tcW w:w="3314" w:type="dxa"/>
          </w:tcPr>
          <w:p w14:paraId="6E1F12BB" w14:textId="77777777" w:rsidR="00FB653B" w:rsidRPr="00962F6D" w:rsidRDefault="0094282D" w:rsidP="00AA308A">
            <w:pPr>
              <w:pStyle w:val="Table"/>
              <w:keepNext/>
              <w:tabs>
                <w:tab w:val="center" w:pos="1710"/>
                <w:tab w:val="right" w:pos="3420"/>
              </w:tabs>
              <w:jc w:val="center"/>
            </w:pPr>
            <w:r w:rsidRPr="006400E1">
              <w:rPr>
                <w:position w:val="-14"/>
              </w:rPr>
              <w:object w:dxaOrig="1340" w:dyaOrig="400" w14:anchorId="74277DE0">
                <v:shape id="_x0000_i1336" type="#_x0000_t75" style="width:85.5pt;height:25.5pt" o:ole="">
                  <v:imagedata r:id="rId542" o:title=""/>
                </v:shape>
                <o:OLEObject Type="Embed" ProgID="Equation.DSMT4" ShapeID="_x0000_i1336" DrawAspect="Content" ObjectID="_1775045972" r:id="rId543"/>
              </w:object>
            </w:r>
            <w:bookmarkStart w:id="82" w:name="MTToggleEnd"/>
            <w:bookmarkEnd w:id="82"/>
          </w:p>
        </w:tc>
        <w:tc>
          <w:tcPr>
            <w:tcW w:w="1304" w:type="dxa"/>
          </w:tcPr>
          <w:p w14:paraId="391E735D" w14:textId="77777777" w:rsidR="00FB653B" w:rsidRPr="006400E1" w:rsidRDefault="00FB653B" w:rsidP="00B60372">
            <w:pPr>
              <w:pStyle w:val="Table"/>
              <w:keepNext/>
              <w:tabs>
                <w:tab w:val="center" w:pos="1710"/>
                <w:tab w:val="right" w:pos="3420"/>
              </w:tabs>
              <w:jc w:val="center"/>
            </w:pPr>
            <w:r w:rsidRPr="00FB653B">
              <w:rPr>
                <w:position w:val="-12"/>
              </w:rPr>
              <w:object w:dxaOrig="300" w:dyaOrig="360" w14:anchorId="2A14E680">
                <v:shape id="_x0000_i1337" type="#_x0000_t75" style="width:15pt;height:18pt" o:ole="">
                  <v:imagedata r:id="rId544" o:title=""/>
                </v:shape>
                <o:OLEObject Type="Embed" ProgID="Equation.DSMT4" ShapeID="_x0000_i1337" DrawAspect="Content" ObjectID="_1775045973" r:id="rId545"/>
              </w:object>
            </w:r>
          </w:p>
        </w:tc>
      </w:tr>
      <w:tr w:rsidR="0094282D" w:rsidRPr="00936A89" w14:paraId="04609356" w14:textId="77777777" w:rsidTr="0094282D">
        <w:trPr>
          <w:trHeight w:val="283"/>
        </w:trPr>
        <w:tc>
          <w:tcPr>
            <w:tcW w:w="1871" w:type="dxa"/>
            <w:vMerge/>
          </w:tcPr>
          <w:p w14:paraId="0EBE9937" w14:textId="77777777" w:rsidR="00FB653B" w:rsidRPr="00962F6D" w:rsidRDefault="00FB653B" w:rsidP="00B60372">
            <w:pPr>
              <w:pStyle w:val="Table"/>
              <w:keepNext/>
              <w:spacing w:before="60" w:after="60"/>
            </w:pPr>
          </w:p>
        </w:tc>
        <w:tc>
          <w:tcPr>
            <w:tcW w:w="0" w:type="auto"/>
          </w:tcPr>
          <w:p w14:paraId="41088050" w14:textId="77777777" w:rsidR="00FB653B" w:rsidRPr="00962F6D" w:rsidRDefault="00FB653B" w:rsidP="002F7E33">
            <w:pPr>
              <w:pStyle w:val="Table"/>
              <w:keepNext/>
            </w:pPr>
            <w:r w:rsidRPr="00962F6D">
              <w:t>Code Section within CDC</w:t>
            </w:r>
          </w:p>
        </w:tc>
        <w:tc>
          <w:tcPr>
            <w:tcW w:w="3314" w:type="dxa"/>
          </w:tcPr>
          <w:p w14:paraId="7E2F52C7" w14:textId="77777777" w:rsidR="00FB653B" w:rsidRPr="00962F6D" w:rsidRDefault="0094282D" w:rsidP="00B60372">
            <w:pPr>
              <w:pStyle w:val="Table"/>
              <w:keepNext/>
              <w:tabs>
                <w:tab w:val="center" w:pos="1710"/>
                <w:tab w:val="right" w:pos="3420"/>
              </w:tabs>
              <w:jc w:val="center"/>
            </w:pPr>
            <w:r w:rsidRPr="006400E1">
              <w:rPr>
                <w:position w:val="-14"/>
              </w:rPr>
              <w:object w:dxaOrig="2040" w:dyaOrig="400" w14:anchorId="7EDB742B">
                <v:shape id="_x0000_i1338" type="#_x0000_t75" style="width:117pt;height:23.25pt" o:ole="">
                  <v:imagedata r:id="rId546" o:title=""/>
                </v:shape>
                <o:OLEObject Type="Embed" ProgID="Equation.DSMT4" ShapeID="_x0000_i1338" DrawAspect="Content" ObjectID="_1775045974" r:id="rId547"/>
              </w:object>
            </w:r>
          </w:p>
        </w:tc>
        <w:tc>
          <w:tcPr>
            <w:tcW w:w="1304" w:type="dxa"/>
          </w:tcPr>
          <w:p w14:paraId="788794B3" w14:textId="77777777" w:rsidR="00FB653B" w:rsidRPr="006400E1" w:rsidRDefault="00FB653B" w:rsidP="00B60372">
            <w:pPr>
              <w:pStyle w:val="Table"/>
              <w:keepNext/>
              <w:tabs>
                <w:tab w:val="center" w:pos="1710"/>
                <w:tab w:val="right" w:pos="3420"/>
              </w:tabs>
              <w:jc w:val="center"/>
            </w:pPr>
            <w:r w:rsidRPr="00FB653B">
              <w:rPr>
                <w:position w:val="-12"/>
              </w:rPr>
              <w:object w:dxaOrig="300" w:dyaOrig="360" w14:anchorId="44049440">
                <v:shape id="_x0000_i1339" type="#_x0000_t75" style="width:15pt;height:18pt" o:ole="">
                  <v:imagedata r:id="rId548" o:title=""/>
                </v:shape>
                <o:OLEObject Type="Embed" ProgID="Equation.DSMT4" ShapeID="_x0000_i1339" DrawAspect="Content" ObjectID="_1775045975" r:id="rId549"/>
              </w:object>
            </w:r>
          </w:p>
        </w:tc>
      </w:tr>
      <w:tr w:rsidR="0094282D" w:rsidRPr="00936A89" w14:paraId="70CC8ADB" w14:textId="77777777" w:rsidTr="0094282D">
        <w:trPr>
          <w:trHeight w:val="283"/>
        </w:trPr>
        <w:tc>
          <w:tcPr>
            <w:tcW w:w="1871" w:type="dxa"/>
            <w:vMerge/>
          </w:tcPr>
          <w:p w14:paraId="08010AE9" w14:textId="77777777" w:rsidR="00FB653B" w:rsidRPr="00962F6D" w:rsidRDefault="00FB653B" w:rsidP="00B60372">
            <w:pPr>
              <w:pStyle w:val="Table"/>
              <w:keepNext/>
              <w:spacing w:before="60" w:after="60"/>
            </w:pPr>
          </w:p>
        </w:tc>
        <w:tc>
          <w:tcPr>
            <w:tcW w:w="0" w:type="auto"/>
          </w:tcPr>
          <w:p w14:paraId="2B0C36C1" w14:textId="77777777" w:rsidR="00FB653B" w:rsidRPr="00962F6D" w:rsidRDefault="00FB653B" w:rsidP="002F7E33">
            <w:pPr>
              <w:pStyle w:val="Table"/>
              <w:keepNext/>
            </w:pPr>
            <w:r w:rsidRPr="00962F6D">
              <w:t>Code Chapter within CDC</w:t>
            </w:r>
          </w:p>
        </w:tc>
        <w:tc>
          <w:tcPr>
            <w:tcW w:w="3314" w:type="dxa"/>
          </w:tcPr>
          <w:p w14:paraId="0E9D671A" w14:textId="77777777" w:rsidR="00FB653B" w:rsidRPr="00962F6D" w:rsidRDefault="0094282D" w:rsidP="00B60372">
            <w:pPr>
              <w:pStyle w:val="Table"/>
              <w:keepNext/>
              <w:tabs>
                <w:tab w:val="center" w:pos="1710"/>
                <w:tab w:val="right" w:pos="3420"/>
              </w:tabs>
              <w:jc w:val="center"/>
            </w:pPr>
            <w:r w:rsidRPr="006400E1">
              <w:rPr>
                <w:position w:val="-14"/>
              </w:rPr>
              <w:object w:dxaOrig="2560" w:dyaOrig="400" w14:anchorId="7EB83430">
                <v:shape id="_x0000_i1340" type="#_x0000_t75" style="width:155.25pt;height:24pt" o:ole="">
                  <v:imagedata r:id="rId550" o:title=""/>
                </v:shape>
                <o:OLEObject Type="Embed" ProgID="Equation.DSMT4" ShapeID="_x0000_i1340" DrawAspect="Content" ObjectID="_1775045976" r:id="rId551"/>
              </w:object>
            </w:r>
          </w:p>
        </w:tc>
        <w:tc>
          <w:tcPr>
            <w:tcW w:w="1304" w:type="dxa"/>
          </w:tcPr>
          <w:p w14:paraId="478913E1" w14:textId="77777777" w:rsidR="00FB653B" w:rsidRPr="006400E1" w:rsidRDefault="00FB653B" w:rsidP="00B60372">
            <w:pPr>
              <w:pStyle w:val="Table"/>
              <w:keepNext/>
              <w:tabs>
                <w:tab w:val="center" w:pos="1710"/>
                <w:tab w:val="right" w:pos="3420"/>
              </w:tabs>
              <w:jc w:val="center"/>
            </w:pPr>
            <w:r w:rsidRPr="00FB653B">
              <w:rPr>
                <w:position w:val="-12"/>
              </w:rPr>
              <w:object w:dxaOrig="300" w:dyaOrig="360" w14:anchorId="7BB70693">
                <v:shape id="_x0000_i1341" type="#_x0000_t75" style="width:15pt;height:18pt" o:ole="">
                  <v:imagedata r:id="rId552" o:title=""/>
                </v:shape>
                <o:OLEObject Type="Embed" ProgID="Equation.DSMT4" ShapeID="_x0000_i1341" DrawAspect="Content" ObjectID="_1775045977" r:id="rId553"/>
              </w:object>
            </w:r>
          </w:p>
        </w:tc>
      </w:tr>
      <w:tr w:rsidR="0094282D" w:rsidRPr="00936A89" w14:paraId="7223157C" w14:textId="77777777" w:rsidTr="0094282D">
        <w:trPr>
          <w:trHeight w:val="283"/>
        </w:trPr>
        <w:tc>
          <w:tcPr>
            <w:tcW w:w="1871" w:type="dxa"/>
            <w:vMerge/>
          </w:tcPr>
          <w:p w14:paraId="71F7F7E1" w14:textId="77777777" w:rsidR="00FB653B" w:rsidRPr="00962F6D" w:rsidRDefault="00FB653B" w:rsidP="002F7E33">
            <w:pPr>
              <w:pStyle w:val="Table"/>
              <w:keepNext/>
            </w:pPr>
          </w:p>
        </w:tc>
        <w:tc>
          <w:tcPr>
            <w:tcW w:w="0" w:type="auto"/>
          </w:tcPr>
          <w:p w14:paraId="50ED6A8C" w14:textId="77777777" w:rsidR="00FB653B" w:rsidRPr="00962F6D" w:rsidRDefault="00FB653B" w:rsidP="002F7E33">
            <w:pPr>
              <w:pStyle w:val="Table"/>
              <w:keepNext/>
            </w:pPr>
            <w:r w:rsidRPr="00962F6D">
              <w:t>CDC</w:t>
            </w:r>
          </w:p>
        </w:tc>
        <w:tc>
          <w:tcPr>
            <w:tcW w:w="3314" w:type="dxa"/>
          </w:tcPr>
          <w:p w14:paraId="3F1D67C8" w14:textId="77777777" w:rsidR="00FB653B" w:rsidRPr="00962F6D" w:rsidRDefault="0094282D" w:rsidP="00B60372">
            <w:pPr>
              <w:pStyle w:val="Table"/>
              <w:keepNext/>
              <w:tabs>
                <w:tab w:val="center" w:pos="1710"/>
                <w:tab w:val="right" w:pos="3420"/>
              </w:tabs>
              <w:jc w:val="center"/>
            </w:pPr>
            <w:r w:rsidRPr="006400E1">
              <w:rPr>
                <w:position w:val="-16"/>
              </w:rPr>
              <w:object w:dxaOrig="1920" w:dyaOrig="440" w14:anchorId="37844065">
                <v:shape id="_x0000_i1342" type="#_x0000_t75" style="width:110.25pt;height:25.5pt" o:ole="">
                  <v:imagedata r:id="rId554" o:title=""/>
                </v:shape>
                <o:OLEObject Type="Embed" ProgID="Equation.DSMT4" ShapeID="_x0000_i1342" DrawAspect="Content" ObjectID="_1775045978" r:id="rId555"/>
              </w:object>
            </w:r>
          </w:p>
        </w:tc>
        <w:tc>
          <w:tcPr>
            <w:tcW w:w="1304" w:type="dxa"/>
          </w:tcPr>
          <w:p w14:paraId="66234536" w14:textId="77777777" w:rsidR="00FB653B" w:rsidRPr="006400E1" w:rsidRDefault="0094282D" w:rsidP="00B60372">
            <w:pPr>
              <w:pStyle w:val="Table"/>
              <w:keepNext/>
              <w:tabs>
                <w:tab w:val="center" w:pos="1710"/>
                <w:tab w:val="right" w:pos="3420"/>
              </w:tabs>
              <w:jc w:val="center"/>
            </w:pPr>
            <w:r w:rsidRPr="00FB653B">
              <w:rPr>
                <w:position w:val="-12"/>
              </w:rPr>
              <w:object w:dxaOrig="300" w:dyaOrig="360" w14:anchorId="67A73A6E">
                <v:shape id="_x0000_i1343" type="#_x0000_t75" style="width:15pt;height:18pt" o:ole="">
                  <v:imagedata r:id="rId556" o:title=""/>
                </v:shape>
                <o:OLEObject Type="Embed" ProgID="Equation.DSMT4" ShapeID="_x0000_i1343" DrawAspect="Content" ObjectID="_1775045979" r:id="rId557"/>
              </w:object>
            </w:r>
          </w:p>
        </w:tc>
      </w:tr>
      <w:tr w:rsidR="0094282D" w:rsidRPr="00936A89" w14:paraId="738F898E" w14:textId="77777777" w:rsidTr="0094282D">
        <w:trPr>
          <w:trHeight w:val="283"/>
        </w:trPr>
        <w:tc>
          <w:tcPr>
            <w:tcW w:w="1871" w:type="dxa"/>
            <w:vMerge w:val="restart"/>
          </w:tcPr>
          <w:p w14:paraId="46FC3354" w14:textId="77777777" w:rsidR="00FB653B" w:rsidRPr="00962F6D" w:rsidRDefault="00FB653B" w:rsidP="002F7E33">
            <w:pPr>
              <w:pStyle w:val="Table"/>
              <w:keepNext/>
            </w:pPr>
            <w:r w:rsidRPr="00962F6D">
              <w:t>MDC by Partition</w:t>
            </w:r>
          </w:p>
        </w:tc>
        <w:tc>
          <w:tcPr>
            <w:tcW w:w="0" w:type="auto"/>
          </w:tcPr>
          <w:p w14:paraId="5449EBF7" w14:textId="77777777" w:rsidR="00FB653B" w:rsidRPr="00962F6D" w:rsidRDefault="00FB653B" w:rsidP="002F7E33">
            <w:pPr>
              <w:pStyle w:val="Table"/>
              <w:keepNext/>
            </w:pPr>
            <w:r w:rsidRPr="00962F6D">
              <w:t>3-character category within CDC</w:t>
            </w:r>
          </w:p>
        </w:tc>
        <w:tc>
          <w:tcPr>
            <w:tcW w:w="3314" w:type="dxa"/>
          </w:tcPr>
          <w:p w14:paraId="32EE4364" w14:textId="77777777" w:rsidR="00FB653B" w:rsidRPr="00962F6D" w:rsidRDefault="0094282D" w:rsidP="00B60372">
            <w:pPr>
              <w:pStyle w:val="Table"/>
              <w:keepNext/>
              <w:tabs>
                <w:tab w:val="center" w:pos="1710"/>
                <w:tab w:val="right" w:pos="3420"/>
              </w:tabs>
              <w:jc w:val="center"/>
            </w:pPr>
            <w:r w:rsidRPr="006400E1">
              <w:rPr>
                <w:position w:val="-16"/>
              </w:rPr>
              <w:object w:dxaOrig="1939" w:dyaOrig="440" w14:anchorId="157982B4">
                <v:shape id="_x0000_i1344" type="#_x0000_t75" style="width:109.5pt;height:24.75pt" o:ole="">
                  <v:imagedata r:id="rId558" o:title=""/>
                </v:shape>
                <o:OLEObject Type="Embed" ProgID="Equation.DSMT4" ShapeID="_x0000_i1344" DrawAspect="Content" ObjectID="_1775045980" r:id="rId559"/>
              </w:object>
            </w:r>
          </w:p>
        </w:tc>
        <w:tc>
          <w:tcPr>
            <w:tcW w:w="1304" w:type="dxa"/>
          </w:tcPr>
          <w:p w14:paraId="799C12F0" w14:textId="77777777" w:rsidR="00FB653B" w:rsidRPr="006400E1" w:rsidRDefault="0094282D" w:rsidP="00B60372">
            <w:pPr>
              <w:pStyle w:val="Table"/>
              <w:keepNext/>
              <w:tabs>
                <w:tab w:val="center" w:pos="1710"/>
                <w:tab w:val="right" w:pos="3420"/>
              </w:tabs>
              <w:jc w:val="center"/>
            </w:pPr>
            <w:r w:rsidRPr="00FB653B">
              <w:rPr>
                <w:position w:val="-12"/>
              </w:rPr>
              <w:object w:dxaOrig="300" w:dyaOrig="360" w14:anchorId="7197E6B7">
                <v:shape id="_x0000_i1345" type="#_x0000_t75" style="width:15pt;height:18pt" o:ole="">
                  <v:imagedata r:id="rId560" o:title=""/>
                </v:shape>
                <o:OLEObject Type="Embed" ProgID="Equation.DSMT4" ShapeID="_x0000_i1345" DrawAspect="Content" ObjectID="_1775045981" r:id="rId561"/>
              </w:object>
            </w:r>
          </w:p>
        </w:tc>
      </w:tr>
      <w:tr w:rsidR="0094282D" w:rsidRPr="00936A89" w14:paraId="6910BB67" w14:textId="77777777" w:rsidTr="0094282D">
        <w:trPr>
          <w:trHeight w:val="283"/>
        </w:trPr>
        <w:tc>
          <w:tcPr>
            <w:tcW w:w="1871" w:type="dxa"/>
            <w:vMerge/>
          </w:tcPr>
          <w:p w14:paraId="649CFCE7" w14:textId="77777777" w:rsidR="00FB653B" w:rsidRPr="00962F6D" w:rsidRDefault="00FB653B" w:rsidP="00B60372">
            <w:pPr>
              <w:pStyle w:val="Table"/>
              <w:keepNext/>
              <w:spacing w:before="60" w:after="60"/>
            </w:pPr>
          </w:p>
        </w:tc>
        <w:tc>
          <w:tcPr>
            <w:tcW w:w="0" w:type="auto"/>
          </w:tcPr>
          <w:p w14:paraId="759F0E8B" w14:textId="77777777" w:rsidR="00FB653B" w:rsidRPr="00962F6D" w:rsidRDefault="00FB653B" w:rsidP="002F7E33">
            <w:pPr>
              <w:pStyle w:val="Table"/>
              <w:keepNext/>
            </w:pPr>
            <w:r w:rsidRPr="00962F6D">
              <w:t>Code Block within CDC</w:t>
            </w:r>
          </w:p>
        </w:tc>
        <w:tc>
          <w:tcPr>
            <w:tcW w:w="3314" w:type="dxa"/>
          </w:tcPr>
          <w:p w14:paraId="71FDE886" w14:textId="77777777" w:rsidR="00FB653B" w:rsidRPr="00962F6D" w:rsidRDefault="0094282D" w:rsidP="00B60372">
            <w:pPr>
              <w:pStyle w:val="Table"/>
              <w:keepNext/>
              <w:tabs>
                <w:tab w:val="center" w:pos="1710"/>
                <w:tab w:val="right" w:pos="3420"/>
              </w:tabs>
              <w:jc w:val="center"/>
            </w:pPr>
            <w:r w:rsidRPr="006400E1">
              <w:rPr>
                <w:position w:val="-16"/>
              </w:rPr>
              <w:object w:dxaOrig="1960" w:dyaOrig="440" w14:anchorId="6B7AE494">
                <v:shape id="_x0000_i1346" type="#_x0000_t75" style="width:108.75pt;height:24.75pt" o:ole="">
                  <v:imagedata r:id="rId562" o:title=""/>
                </v:shape>
                <o:OLEObject Type="Embed" ProgID="Equation.DSMT4" ShapeID="_x0000_i1346" DrawAspect="Content" ObjectID="_1775045982" r:id="rId563"/>
              </w:object>
            </w:r>
          </w:p>
        </w:tc>
        <w:tc>
          <w:tcPr>
            <w:tcW w:w="1304" w:type="dxa"/>
          </w:tcPr>
          <w:p w14:paraId="34CE4A9A" w14:textId="77777777" w:rsidR="00FB653B" w:rsidRPr="006400E1" w:rsidRDefault="0094282D" w:rsidP="00B60372">
            <w:pPr>
              <w:pStyle w:val="Table"/>
              <w:keepNext/>
              <w:tabs>
                <w:tab w:val="center" w:pos="1710"/>
                <w:tab w:val="right" w:pos="3420"/>
              </w:tabs>
              <w:jc w:val="center"/>
            </w:pPr>
            <w:r w:rsidRPr="00FB653B">
              <w:rPr>
                <w:position w:val="-12"/>
              </w:rPr>
              <w:object w:dxaOrig="300" w:dyaOrig="360" w14:anchorId="649FE365">
                <v:shape id="_x0000_i1347" type="#_x0000_t75" style="width:15pt;height:18pt" o:ole="">
                  <v:imagedata r:id="rId564" o:title=""/>
                </v:shape>
                <o:OLEObject Type="Embed" ProgID="Equation.DSMT4" ShapeID="_x0000_i1347" DrawAspect="Content" ObjectID="_1775045983" r:id="rId565"/>
              </w:object>
            </w:r>
          </w:p>
        </w:tc>
      </w:tr>
      <w:tr w:rsidR="0094282D" w:rsidRPr="00936A89" w14:paraId="517AD789" w14:textId="77777777" w:rsidTr="0094282D">
        <w:trPr>
          <w:trHeight w:val="283"/>
        </w:trPr>
        <w:tc>
          <w:tcPr>
            <w:tcW w:w="1871" w:type="dxa"/>
            <w:vMerge/>
          </w:tcPr>
          <w:p w14:paraId="41F246DE" w14:textId="77777777" w:rsidR="00FB653B" w:rsidRPr="00962F6D" w:rsidRDefault="00FB653B" w:rsidP="00B60372">
            <w:pPr>
              <w:pStyle w:val="Table"/>
              <w:keepNext/>
              <w:spacing w:before="60" w:after="60"/>
            </w:pPr>
          </w:p>
        </w:tc>
        <w:tc>
          <w:tcPr>
            <w:tcW w:w="0" w:type="auto"/>
          </w:tcPr>
          <w:p w14:paraId="0695946F" w14:textId="77777777" w:rsidR="00FB653B" w:rsidRPr="00962F6D" w:rsidRDefault="00FB653B" w:rsidP="002F7E33">
            <w:pPr>
              <w:pStyle w:val="Table"/>
              <w:keepNext/>
            </w:pPr>
            <w:r w:rsidRPr="00962F6D">
              <w:t>Code Section within CDC</w:t>
            </w:r>
          </w:p>
        </w:tc>
        <w:tc>
          <w:tcPr>
            <w:tcW w:w="3314" w:type="dxa"/>
          </w:tcPr>
          <w:p w14:paraId="336C1B60" w14:textId="77777777" w:rsidR="00FB653B" w:rsidRPr="00962F6D" w:rsidRDefault="0094282D" w:rsidP="00B60372">
            <w:pPr>
              <w:pStyle w:val="Table"/>
              <w:keepNext/>
              <w:tabs>
                <w:tab w:val="center" w:pos="1710"/>
                <w:tab w:val="right" w:pos="3420"/>
              </w:tabs>
              <w:jc w:val="center"/>
            </w:pPr>
            <w:r w:rsidRPr="00D80FF6">
              <w:rPr>
                <w:position w:val="-16"/>
              </w:rPr>
              <w:object w:dxaOrig="1960" w:dyaOrig="440" w14:anchorId="64E38D9B">
                <v:shape id="_x0000_i1348" type="#_x0000_t75" style="width:112.5pt;height:25.5pt" o:ole="">
                  <v:imagedata r:id="rId566" o:title=""/>
                </v:shape>
                <o:OLEObject Type="Embed" ProgID="Equation.DSMT4" ShapeID="_x0000_i1348" DrawAspect="Content" ObjectID="_1775045984" r:id="rId567"/>
              </w:object>
            </w:r>
          </w:p>
        </w:tc>
        <w:tc>
          <w:tcPr>
            <w:tcW w:w="1304" w:type="dxa"/>
          </w:tcPr>
          <w:p w14:paraId="5562FC6D" w14:textId="77777777" w:rsidR="00FB653B" w:rsidRPr="00D80FF6" w:rsidRDefault="0094282D" w:rsidP="00B60372">
            <w:pPr>
              <w:pStyle w:val="Table"/>
              <w:keepNext/>
              <w:tabs>
                <w:tab w:val="center" w:pos="1710"/>
                <w:tab w:val="right" w:pos="3420"/>
              </w:tabs>
              <w:jc w:val="center"/>
            </w:pPr>
            <w:r w:rsidRPr="00FB653B">
              <w:rPr>
                <w:position w:val="-12"/>
              </w:rPr>
              <w:object w:dxaOrig="300" w:dyaOrig="360" w14:anchorId="08BC4D14">
                <v:shape id="_x0000_i1349" type="#_x0000_t75" style="width:15pt;height:18pt" o:ole="">
                  <v:imagedata r:id="rId568" o:title=""/>
                </v:shape>
                <o:OLEObject Type="Embed" ProgID="Equation.DSMT4" ShapeID="_x0000_i1349" DrawAspect="Content" ObjectID="_1775045985" r:id="rId569"/>
              </w:object>
            </w:r>
          </w:p>
        </w:tc>
      </w:tr>
      <w:tr w:rsidR="0094282D" w:rsidRPr="00936A89" w14:paraId="51909D7A" w14:textId="77777777" w:rsidTr="0094282D">
        <w:trPr>
          <w:trHeight w:val="283"/>
        </w:trPr>
        <w:tc>
          <w:tcPr>
            <w:tcW w:w="1871" w:type="dxa"/>
            <w:vMerge/>
          </w:tcPr>
          <w:p w14:paraId="70AB78DC" w14:textId="77777777" w:rsidR="00FB653B" w:rsidRPr="00962F6D" w:rsidRDefault="00FB653B" w:rsidP="00B60372">
            <w:pPr>
              <w:pStyle w:val="Table"/>
              <w:keepNext/>
              <w:spacing w:before="60" w:after="60"/>
            </w:pPr>
          </w:p>
        </w:tc>
        <w:tc>
          <w:tcPr>
            <w:tcW w:w="0" w:type="auto"/>
          </w:tcPr>
          <w:p w14:paraId="7D4884CE" w14:textId="77777777" w:rsidR="00FB653B" w:rsidRPr="00962F6D" w:rsidRDefault="00FB653B" w:rsidP="002F7E33">
            <w:pPr>
              <w:pStyle w:val="Table"/>
              <w:keepNext/>
            </w:pPr>
            <w:r w:rsidRPr="00962F6D">
              <w:t>Code Chapter within CDC</w:t>
            </w:r>
          </w:p>
        </w:tc>
        <w:tc>
          <w:tcPr>
            <w:tcW w:w="3314" w:type="dxa"/>
          </w:tcPr>
          <w:p w14:paraId="621BE0D3" w14:textId="77777777" w:rsidR="00FB653B" w:rsidRPr="00962F6D" w:rsidRDefault="0094282D" w:rsidP="00B60372">
            <w:pPr>
              <w:pStyle w:val="Table"/>
              <w:keepNext/>
              <w:tabs>
                <w:tab w:val="center" w:pos="1710"/>
                <w:tab w:val="right" w:pos="3420"/>
              </w:tabs>
              <w:jc w:val="center"/>
            </w:pPr>
            <w:r w:rsidRPr="00D80FF6">
              <w:rPr>
                <w:position w:val="-16"/>
              </w:rPr>
              <w:object w:dxaOrig="1960" w:dyaOrig="440" w14:anchorId="3AE59C9B">
                <v:shape id="_x0000_i1350" type="#_x0000_t75" style="width:111pt;height:24.75pt" o:ole="">
                  <v:imagedata r:id="rId570" o:title=""/>
                </v:shape>
                <o:OLEObject Type="Embed" ProgID="Equation.DSMT4" ShapeID="_x0000_i1350" DrawAspect="Content" ObjectID="_1775045986" r:id="rId571"/>
              </w:object>
            </w:r>
          </w:p>
        </w:tc>
        <w:tc>
          <w:tcPr>
            <w:tcW w:w="1304" w:type="dxa"/>
          </w:tcPr>
          <w:p w14:paraId="628CE095" w14:textId="77777777" w:rsidR="00FB653B" w:rsidRPr="00D80FF6" w:rsidRDefault="0094282D" w:rsidP="00B60372">
            <w:pPr>
              <w:pStyle w:val="Table"/>
              <w:keepNext/>
              <w:tabs>
                <w:tab w:val="center" w:pos="1710"/>
                <w:tab w:val="right" w:pos="3420"/>
              </w:tabs>
              <w:jc w:val="center"/>
            </w:pPr>
            <w:r w:rsidRPr="00FB653B">
              <w:rPr>
                <w:position w:val="-12"/>
              </w:rPr>
              <w:object w:dxaOrig="300" w:dyaOrig="360" w14:anchorId="15B5C3D2">
                <v:shape id="_x0000_i1351" type="#_x0000_t75" style="width:15pt;height:18pt" o:ole="">
                  <v:imagedata r:id="rId572" o:title=""/>
                </v:shape>
                <o:OLEObject Type="Embed" ProgID="Equation.DSMT4" ShapeID="_x0000_i1351" DrawAspect="Content" ObjectID="_1775045987" r:id="rId573"/>
              </w:object>
            </w:r>
          </w:p>
        </w:tc>
      </w:tr>
      <w:tr w:rsidR="0094282D" w:rsidRPr="00936A89" w14:paraId="09B19D3C" w14:textId="77777777" w:rsidTr="0094282D">
        <w:trPr>
          <w:trHeight w:val="283"/>
        </w:trPr>
        <w:tc>
          <w:tcPr>
            <w:tcW w:w="1871" w:type="dxa"/>
            <w:vMerge/>
          </w:tcPr>
          <w:p w14:paraId="33F639FF" w14:textId="77777777" w:rsidR="00FB653B" w:rsidRPr="00962F6D" w:rsidRDefault="00FB653B" w:rsidP="002F7E33">
            <w:pPr>
              <w:pStyle w:val="Table"/>
              <w:keepNext/>
            </w:pPr>
          </w:p>
        </w:tc>
        <w:tc>
          <w:tcPr>
            <w:tcW w:w="0" w:type="auto"/>
          </w:tcPr>
          <w:p w14:paraId="081BBBF7" w14:textId="77777777" w:rsidR="00FB653B" w:rsidRPr="00962F6D" w:rsidRDefault="00FB653B" w:rsidP="002F7E33">
            <w:pPr>
              <w:pStyle w:val="Table"/>
              <w:keepNext/>
            </w:pPr>
            <w:r w:rsidRPr="00962F6D">
              <w:t>CDC</w:t>
            </w:r>
          </w:p>
        </w:tc>
        <w:tc>
          <w:tcPr>
            <w:tcW w:w="3314" w:type="dxa"/>
          </w:tcPr>
          <w:p w14:paraId="2B069B6B" w14:textId="77777777" w:rsidR="00FB653B" w:rsidRPr="00962F6D" w:rsidRDefault="0094282D" w:rsidP="00B60372">
            <w:pPr>
              <w:pStyle w:val="Table"/>
              <w:keepNext/>
              <w:tabs>
                <w:tab w:val="center" w:pos="1710"/>
                <w:tab w:val="right" w:pos="3420"/>
              </w:tabs>
              <w:jc w:val="center"/>
            </w:pPr>
            <w:r w:rsidRPr="00D80FF6">
              <w:rPr>
                <w:position w:val="-16"/>
              </w:rPr>
              <w:object w:dxaOrig="1960" w:dyaOrig="440" w14:anchorId="79261D23">
                <v:shape id="_x0000_i1352" type="#_x0000_t75" style="width:110.25pt;height:24.75pt" o:ole="">
                  <v:imagedata r:id="rId574" o:title=""/>
                </v:shape>
                <o:OLEObject Type="Embed" ProgID="Equation.DSMT4" ShapeID="_x0000_i1352" DrawAspect="Content" ObjectID="_1775045988" r:id="rId575"/>
              </w:object>
            </w:r>
          </w:p>
        </w:tc>
        <w:tc>
          <w:tcPr>
            <w:tcW w:w="1304" w:type="dxa"/>
          </w:tcPr>
          <w:p w14:paraId="3785238D" w14:textId="77777777" w:rsidR="00FB653B" w:rsidRPr="00D80FF6" w:rsidRDefault="0094282D" w:rsidP="00B60372">
            <w:pPr>
              <w:pStyle w:val="Table"/>
              <w:keepNext/>
              <w:tabs>
                <w:tab w:val="center" w:pos="1710"/>
                <w:tab w:val="right" w:pos="3420"/>
              </w:tabs>
              <w:jc w:val="center"/>
            </w:pPr>
            <w:r w:rsidRPr="00FB653B">
              <w:rPr>
                <w:position w:val="-12"/>
              </w:rPr>
              <w:object w:dxaOrig="360" w:dyaOrig="360" w14:anchorId="4638BD5A">
                <v:shape id="_x0000_i1353" type="#_x0000_t75" style="width:18pt;height:18pt" o:ole="">
                  <v:imagedata r:id="rId576" o:title=""/>
                </v:shape>
                <o:OLEObject Type="Embed" ProgID="Equation.DSMT4" ShapeID="_x0000_i1353" DrawAspect="Content" ObjectID="_1775045989" r:id="rId577"/>
              </w:object>
            </w:r>
          </w:p>
        </w:tc>
      </w:tr>
      <w:tr w:rsidR="0094282D" w:rsidRPr="00936A89" w14:paraId="3BBB4FB8" w14:textId="77777777" w:rsidTr="0094282D">
        <w:trPr>
          <w:trHeight w:val="283"/>
        </w:trPr>
        <w:tc>
          <w:tcPr>
            <w:tcW w:w="1871" w:type="dxa"/>
            <w:vMerge w:val="restart"/>
          </w:tcPr>
          <w:p w14:paraId="7DE9C56F" w14:textId="77777777" w:rsidR="00FB653B" w:rsidRPr="00962F6D" w:rsidRDefault="00FB653B" w:rsidP="002F7E33">
            <w:pPr>
              <w:pStyle w:val="Table"/>
              <w:keepNext/>
            </w:pPr>
            <w:r w:rsidRPr="00962F6D">
              <w:t>MDC</w:t>
            </w:r>
          </w:p>
        </w:tc>
        <w:tc>
          <w:tcPr>
            <w:tcW w:w="0" w:type="auto"/>
          </w:tcPr>
          <w:p w14:paraId="0C482DD6" w14:textId="77777777" w:rsidR="00FB653B" w:rsidRPr="00962F6D" w:rsidRDefault="00FB653B" w:rsidP="002F7E33">
            <w:pPr>
              <w:pStyle w:val="Table"/>
              <w:keepNext/>
            </w:pPr>
            <w:r w:rsidRPr="00962F6D">
              <w:t>Code Chapter within CDC</w:t>
            </w:r>
          </w:p>
        </w:tc>
        <w:tc>
          <w:tcPr>
            <w:tcW w:w="3314" w:type="dxa"/>
          </w:tcPr>
          <w:p w14:paraId="48131D9E" w14:textId="77777777" w:rsidR="00FB653B" w:rsidRPr="00962F6D" w:rsidRDefault="0094282D" w:rsidP="00B60372">
            <w:pPr>
              <w:pStyle w:val="Table"/>
              <w:keepNext/>
              <w:jc w:val="center"/>
            </w:pPr>
            <w:r w:rsidRPr="00D80FF6">
              <w:rPr>
                <w:position w:val="-16"/>
              </w:rPr>
              <w:object w:dxaOrig="1960" w:dyaOrig="440" w14:anchorId="09C5066E">
                <v:shape id="_x0000_i1354" type="#_x0000_t75" style="width:110.25pt;height:24.75pt" o:ole="">
                  <v:imagedata r:id="rId578" o:title=""/>
                </v:shape>
                <o:OLEObject Type="Embed" ProgID="Equation.DSMT4" ShapeID="_x0000_i1354" DrawAspect="Content" ObjectID="_1775045990" r:id="rId579"/>
              </w:object>
            </w:r>
          </w:p>
        </w:tc>
        <w:tc>
          <w:tcPr>
            <w:tcW w:w="1304" w:type="dxa"/>
          </w:tcPr>
          <w:p w14:paraId="20641D0D" w14:textId="77777777" w:rsidR="00FB653B" w:rsidRPr="00D80FF6" w:rsidRDefault="0094282D" w:rsidP="00B60372">
            <w:pPr>
              <w:pStyle w:val="Table"/>
              <w:keepNext/>
              <w:jc w:val="center"/>
            </w:pPr>
            <w:r w:rsidRPr="00FB653B">
              <w:rPr>
                <w:position w:val="-12"/>
              </w:rPr>
              <w:object w:dxaOrig="340" w:dyaOrig="360" w14:anchorId="6694708B">
                <v:shape id="_x0000_i1355" type="#_x0000_t75" style="width:17.25pt;height:18pt" o:ole="">
                  <v:imagedata r:id="rId580" o:title=""/>
                </v:shape>
                <o:OLEObject Type="Embed" ProgID="Equation.DSMT4" ShapeID="_x0000_i1355" DrawAspect="Content" ObjectID="_1775045991" r:id="rId581"/>
              </w:object>
            </w:r>
          </w:p>
        </w:tc>
      </w:tr>
      <w:tr w:rsidR="0094282D" w:rsidRPr="00936A89" w14:paraId="6557889D" w14:textId="77777777" w:rsidTr="0094282D">
        <w:trPr>
          <w:trHeight w:val="283"/>
        </w:trPr>
        <w:tc>
          <w:tcPr>
            <w:tcW w:w="1871" w:type="dxa"/>
            <w:vMerge/>
          </w:tcPr>
          <w:p w14:paraId="1BEE1113" w14:textId="77777777" w:rsidR="00FB653B" w:rsidRPr="00962F6D" w:rsidRDefault="00FB653B" w:rsidP="002F7E33">
            <w:pPr>
              <w:pStyle w:val="Table"/>
              <w:keepNext/>
            </w:pPr>
          </w:p>
        </w:tc>
        <w:tc>
          <w:tcPr>
            <w:tcW w:w="0" w:type="auto"/>
          </w:tcPr>
          <w:p w14:paraId="1711C778" w14:textId="77777777" w:rsidR="00FB653B" w:rsidRPr="00962F6D" w:rsidRDefault="00FB653B" w:rsidP="002F7E33">
            <w:pPr>
              <w:pStyle w:val="Table"/>
              <w:keepNext/>
            </w:pPr>
            <w:r w:rsidRPr="00962F6D">
              <w:t>CDC</w:t>
            </w:r>
          </w:p>
        </w:tc>
        <w:tc>
          <w:tcPr>
            <w:tcW w:w="3314" w:type="dxa"/>
          </w:tcPr>
          <w:p w14:paraId="201DF799" w14:textId="77777777" w:rsidR="00FB653B" w:rsidRPr="00962F6D" w:rsidRDefault="0094282D" w:rsidP="00B60372">
            <w:pPr>
              <w:pStyle w:val="Table"/>
              <w:keepNext/>
              <w:jc w:val="center"/>
            </w:pPr>
            <w:r w:rsidRPr="00D80FF6">
              <w:rPr>
                <w:position w:val="-16"/>
              </w:rPr>
              <w:object w:dxaOrig="1939" w:dyaOrig="440" w14:anchorId="67AE6261">
                <v:shape id="_x0000_i1356" type="#_x0000_t75" style="width:109.5pt;height:24.75pt" o:ole="">
                  <v:imagedata r:id="rId582" o:title=""/>
                </v:shape>
                <o:OLEObject Type="Embed" ProgID="Equation.DSMT4" ShapeID="_x0000_i1356" DrawAspect="Content" ObjectID="_1775045992" r:id="rId583"/>
              </w:object>
            </w:r>
          </w:p>
        </w:tc>
        <w:tc>
          <w:tcPr>
            <w:tcW w:w="1304" w:type="dxa"/>
          </w:tcPr>
          <w:p w14:paraId="38B07A7B" w14:textId="77777777" w:rsidR="00FB653B" w:rsidRPr="00D80FF6" w:rsidRDefault="0094282D" w:rsidP="00B60372">
            <w:pPr>
              <w:pStyle w:val="Table"/>
              <w:keepNext/>
              <w:jc w:val="center"/>
            </w:pPr>
            <w:r w:rsidRPr="00FB653B">
              <w:rPr>
                <w:position w:val="-12"/>
              </w:rPr>
              <w:object w:dxaOrig="360" w:dyaOrig="360" w14:anchorId="280113EF">
                <v:shape id="_x0000_i1357" type="#_x0000_t75" style="width:18pt;height:18pt" o:ole="">
                  <v:imagedata r:id="rId584" o:title=""/>
                </v:shape>
                <o:OLEObject Type="Embed" ProgID="Equation.DSMT4" ShapeID="_x0000_i1357" DrawAspect="Content" ObjectID="_1775045993" r:id="rId585"/>
              </w:object>
            </w:r>
          </w:p>
        </w:tc>
      </w:tr>
      <w:tr w:rsidR="0094282D" w:rsidRPr="00936A89" w14:paraId="7A8BF46B" w14:textId="77777777" w:rsidTr="0094282D">
        <w:trPr>
          <w:trHeight w:val="283"/>
        </w:trPr>
        <w:tc>
          <w:tcPr>
            <w:tcW w:w="1871" w:type="dxa"/>
            <w:vMerge w:val="restart"/>
          </w:tcPr>
          <w:p w14:paraId="6A20D742" w14:textId="77777777" w:rsidR="00FB653B" w:rsidRPr="00962F6D" w:rsidRDefault="00FB653B" w:rsidP="002F7E33">
            <w:pPr>
              <w:pStyle w:val="Table"/>
              <w:keepNext/>
            </w:pPr>
            <w:r w:rsidRPr="00962F6D">
              <w:t>All ADRGs</w:t>
            </w:r>
          </w:p>
        </w:tc>
        <w:tc>
          <w:tcPr>
            <w:tcW w:w="0" w:type="auto"/>
          </w:tcPr>
          <w:p w14:paraId="08EEF238" w14:textId="77777777" w:rsidR="00FB653B" w:rsidRPr="00962F6D" w:rsidRDefault="00FB653B" w:rsidP="002F7E33">
            <w:pPr>
              <w:pStyle w:val="Table"/>
              <w:keepNext/>
            </w:pPr>
            <w:r w:rsidRPr="00962F6D">
              <w:t>Code Chapter within CDC</w:t>
            </w:r>
          </w:p>
        </w:tc>
        <w:tc>
          <w:tcPr>
            <w:tcW w:w="3314" w:type="dxa"/>
          </w:tcPr>
          <w:p w14:paraId="51CF0FC1" w14:textId="77777777" w:rsidR="00FB653B" w:rsidRPr="00962F6D" w:rsidRDefault="0094282D" w:rsidP="00B60372">
            <w:pPr>
              <w:pStyle w:val="Table"/>
              <w:keepNext/>
              <w:jc w:val="center"/>
            </w:pPr>
            <w:r w:rsidRPr="00D80FF6">
              <w:rPr>
                <w:position w:val="-16"/>
              </w:rPr>
              <w:object w:dxaOrig="1960" w:dyaOrig="440" w14:anchorId="4C66727E">
                <v:shape id="_x0000_i1358" type="#_x0000_t75" style="width:110.25pt;height:24.75pt" o:ole="">
                  <v:imagedata r:id="rId586" o:title=""/>
                </v:shape>
                <o:OLEObject Type="Embed" ProgID="Equation.DSMT4" ShapeID="_x0000_i1358" DrawAspect="Content" ObjectID="_1775045994" r:id="rId587"/>
              </w:object>
            </w:r>
          </w:p>
        </w:tc>
        <w:tc>
          <w:tcPr>
            <w:tcW w:w="1304" w:type="dxa"/>
          </w:tcPr>
          <w:p w14:paraId="0F9C4EE9" w14:textId="77777777" w:rsidR="00FB653B" w:rsidRPr="00D80FF6" w:rsidRDefault="0094282D" w:rsidP="00B60372">
            <w:pPr>
              <w:pStyle w:val="Table"/>
              <w:keepNext/>
              <w:jc w:val="center"/>
            </w:pPr>
            <w:r w:rsidRPr="00FB653B">
              <w:rPr>
                <w:position w:val="-12"/>
              </w:rPr>
              <w:object w:dxaOrig="360" w:dyaOrig="360" w14:anchorId="11432E3B">
                <v:shape id="_x0000_i1359" type="#_x0000_t75" style="width:18pt;height:18pt" o:ole="">
                  <v:imagedata r:id="rId588" o:title=""/>
                </v:shape>
                <o:OLEObject Type="Embed" ProgID="Equation.DSMT4" ShapeID="_x0000_i1359" DrawAspect="Content" ObjectID="_1775045995" r:id="rId589"/>
              </w:object>
            </w:r>
          </w:p>
        </w:tc>
      </w:tr>
      <w:tr w:rsidR="0094282D" w:rsidRPr="00936A89" w14:paraId="0C7765BD" w14:textId="77777777" w:rsidTr="0094282D">
        <w:trPr>
          <w:trHeight w:val="283"/>
        </w:trPr>
        <w:tc>
          <w:tcPr>
            <w:tcW w:w="1871" w:type="dxa"/>
            <w:vMerge/>
          </w:tcPr>
          <w:p w14:paraId="662C9A6A" w14:textId="77777777" w:rsidR="00FB653B" w:rsidRPr="00962F6D" w:rsidRDefault="00FB653B" w:rsidP="00B60372">
            <w:pPr>
              <w:pStyle w:val="Table"/>
            </w:pPr>
          </w:p>
        </w:tc>
        <w:tc>
          <w:tcPr>
            <w:tcW w:w="0" w:type="auto"/>
          </w:tcPr>
          <w:p w14:paraId="582CC3ED" w14:textId="77777777" w:rsidR="00FB653B" w:rsidRPr="00962F6D" w:rsidRDefault="00FB653B" w:rsidP="00B60372">
            <w:pPr>
              <w:pStyle w:val="Table"/>
            </w:pPr>
            <w:r w:rsidRPr="00962F6D">
              <w:t>CDC</w:t>
            </w:r>
          </w:p>
        </w:tc>
        <w:tc>
          <w:tcPr>
            <w:tcW w:w="3314" w:type="dxa"/>
          </w:tcPr>
          <w:p w14:paraId="486538C2" w14:textId="77777777" w:rsidR="00FB653B" w:rsidRPr="00962F6D" w:rsidRDefault="0094282D" w:rsidP="00B60372">
            <w:pPr>
              <w:pStyle w:val="Table"/>
              <w:jc w:val="center"/>
            </w:pPr>
            <w:r w:rsidRPr="00D80FF6">
              <w:rPr>
                <w:position w:val="-16"/>
              </w:rPr>
              <w:object w:dxaOrig="1960" w:dyaOrig="440" w14:anchorId="59515AD5">
                <v:shape id="_x0000_i1360" type="#_x0000_t75" style="width:110.25pt;height:24.75pt" o:ole="">
                  <v:imagedata r:id="rId590" o:title=""/>
                </v:shape>
                <o:OLEObject Type="Embed" ProgID="Equation.DSMT4" ShapeID="_x0000_i1360" DrawAspect="Content" ObjectID="_1775045996" r:id="rId591"/>
              </w:object>
            </w:r>
          </w:p>
        </w:tc>
        <w:tc>
          <w:tcPr>
            <w:tcW w:w="1304" w:type="dxa"/>
          </w:tcPr>
          <w:p w14:paraId="6E3F4643" w14:textId="77777777" w:rsidR="00FB653B" w:rsidRPr="00D80FF6" w:rsidRDefault="0094282D" w:rsidP="00B60372">
            <w:pPr>
              <w:pStyle w:val="Table"/>
              <w:jc w:val="center"/>
            </w:pPr>
            <w:r w:rsidRPr="00FB653B">
              <w:rPr>
                <w:position w:val="-12"/>
              </w:rPr>
              <w:object w:dxaOrig="360" w:dyaOrig="360" w14:anchorId="21168F92">
                <v:shape id="_x0000_i1361" type="#_x0000_t75" style="width:18pt;height:18pt" o:ole="">
                  <v:imagedata r:id="rId592" o:title=""/>
                </v:shape>
                <o:OLEObject Type="Embed" ProgID="Equation.DSMT4" ShapeID="_x0000_i1361" DrawAspect="Content" ObjectID="_1775045997" r:id="rId593"/>
              </w:object>
            </w:r>
          </w:p>
        </w:tc>
      </w:tr>
    </w:tbl>
    <w:p w14:paraId="5B86BEA1" w14:textId="77777777" w:rsidR="005B5818" w:rsidRDefault="005B5818" w:rsidP="002F7E33">
      <w:pPr>
        <w:keepNext/>
        <w:spacing w:before="240"/>
        <w:rPr>
          <w:rFonts w:eastAsiaTheme="minorEastAsia"/>
          <w:szCs w:val="24"/>
          <w:lang w:val="en-AU"/>
        </w:rPr>
      </w:pPr>
      <w:r>
        <w:rPr>
          <w:rFonts w:eastAsiaTheme="minorEastAsia"/>
          <w:szCs w:val="24"/>
          <w:lang w:val="en-AU"/>
        </w:rPr>
        <w:lastRenderedPageBreak/>
        <w:t xml:space="preserve">The cumulative relative change in cost associated with </w:t>
      </w:r>
      <w:r w:rsidR="00F3437F" w:rsidRPr="00F3437F">
        <w:rPr>
          <w:rFonts w:eastAsiaTheme="minorEastAsia"/>
          <w:position w:val="-6"/>
          <w:szCs w:val="24"/>
          <w:lang w:val="en-AU"/>
        </w:rPr>
        <w:object w:dxaOrig="200" w:dyaOrig="220" w14:anchorId="798EA6FB">
          <v:shape id="_x0000_i1362" type="#_x0000_t75" style="width:9.75pt;height:11.25pt" o:ole="">
            <v:imagedata r:id="rId594" o:title=""/>
          </v:shape>
          <o:OLEObject Type="Embed" ProgID="Equation.DSMT4" ShapeID="_x0000_i1362" DrawAspect="Content" ObjectID="_1775045998" r:id="rId595"/>
        </w:object>
      </w:r>
      <w:r w:rsidR="00F3437F">
        <w:rPr>
          <w:rFonts w:eastAsiaTheme="minorEastAsia"/>
          <w:szCs w:val="24"/>
          <w:lang w:val="en-AU"/>
        </w:rPr>
        <w:t xml:space="preserve"> </w:t>
      </w:r>
      <w:r>
        <w:rPr>
          <w:rFonts w:eastAsiaTheme="minorEastAsia"/>
          <w:szCs w:val="24"/>
          <w:lang w:val="en-AU"/>
        </w:rPr>
        <w:t xml:space="preserve">in </w:t>
      </w:r>
      <w:r w:rsidR="00F3437F" w:rsidRPr="00F3437F">
        <w:rPr>
          <w:rFonts w:eastAsiaTheme="minorEastAsia"/>
          <w:position w:val="-4"/>
          <w:szCs w:val="24"/>
          <w:lang w:val="en-AU"/>
        </w:rPr>
        <w:object w:dxaOrig="240" w:dyaOrig="260" w14:anchorId="70A8EE4E">
          <v:shape id="_x0000_i1363" type="#_x0000_t75" style="width:12pt;height:12.75pt" o:ole="">
            <v:imagedata r:id="rId596" o:title=""/>
          </v:shape>
          <o:OLEObject Type="Embed" ProgID="Equation.DSMT4" ShapeID="_x0000_i1363" DrawAspect="Content" ObjectID="_1775045999" r:id="rId597"/>
        </w:object>
      </w:r>
      <w:r>
        <w:rPr>
          <w:rFonts w:eastAsiaTheme="minorEastAsia"/>
          <w:szCs w:val="24"/>
          <w:lang w:val="en-AU"/>
        </w:rPr>
        <w:t xml:space="preserve">, denoted </w:t>
      </w:r>
      <w:r w:rsidR="00184289" w:rsidRPr="00184289">
        <w:rPr>
          <w:position w:val="-14"/>
        </w:rPr>
        <w:object w:dxaOrig="840" w:dyaOrig="400" w14:anchorId="1BCB21BF">
          <v:shape id="_x0000_i1364" type="#_x0000_t75" style="width:42pt;height:20.25pt" o:ole="">
            <v:imagedata r:id="rId598" o:title=""/>
          </v:shape>
          <o:OLEObject Type="Embed" ProgID="Equation.DSMT4" ShapeID="_x0000_i1364" DrawAspect="Content" ObjectID="_1775046000" r:id="rId599"/>
        </w:object>
      </w:r>
      <w:r>
        <w:rPr>
          <w:rFonts w:eastAsiaTheme="minorEastAsia"/>
          <w:szCs w:val="24"/>
          <w:lang w:val="en-AU"/>
        </w:rPr>
        <w:t>, is defined iteratively as follows:</w:t>
      </w:r>
    </w:p>
    <w:p w14:paraId="5B4BFE74" w14:textId="77777777" w:rsidR="005B5818" w:rsidRDefault="005B5818" w:rsidP="002F7E33">
      <w:pPr>
        <w:keepNext/>
        <w:spacing w:before="240" w:after="0"/>
        <w:rPr>
          <w:rFonts w:eastAsiaTheme="minorEastAsia"/>
          <w:szCs w:val="24"/>
          <w:lang w:val="en-AU"/>
        </w:rPr>
      </w:pPr>
      <w:r w:rsidRPr="00815CE7">
        <w:rPr>
          <w:rFonts w:eastAsiaTheme="minorEastAsia"/>
          <w:szCs w:val="24"/>
          <w:u w:val="single"/>
          <w:lang w:val="en-AU"/>
        </w:rPr>
        <w:t>Step 1</w:t>
      </w:r>
      <w:r>
        <w:rPr>
          <w:rFonts w:eastAsiaTheme="minorEastAsia"/>
          <w:szCs w:val="24"/>
          <w:lang w:val="en-AU"/>
        </w:rPr>
        <w:t>:</w:t>
      </w:r>
    </w:p>
    <w:p w14:paraId="0D6D8B6D" w14:textId="77777777" w:rsidR="005B5818" w:rsidRPr="00815CE7" w:rsidRDefault="005B5818" w:rsidP="00B60372">
      <w:pPr>
        <w:pStyle w:val="ListParagraph"/>
        <w:numPr>
          <w:ilvl w:val="0"/>
          <w:numId w:val="46"/>
        </w:numPr>
        <w:spacing w:before="240"/>
        <w:ind w:left="360"/>
        <w:rPr>
          <w:rFonts w:eastAsiaTheme="minorEastAsia"/>
          <w:szCs w:val="24"/>
          <w:lang w:val="en-AU"/>
        </w:rPr>
      </w:pPr>
      <w:r w:rsidRPr="00815CE7">
        <w:rPr>
          <w:rFonts w:eastAsiaTheme="minorEastAsia"/>
          <w:szCs w:val="24"/>
          <w:lang w:val="en-AU"/>
        </w:rPr>
        <w:t xml:space="preserve">If </w:t>
      </w:r>
      <w:r w:rsidR="00F3437F" w:rsidRPr="00F3437F">
        <w:rPr>
          <w:position w:val="-14"/>
        </w:rPr>
        <w:object w:dxaOrig="940" w:dyaOrig="400" w14:anchorId="5ADA5628">
          <v:shape id="_x0000_i1365" type="#_x0000_t75" style="width:47.25pt;height:20.25pt" o:ole="">
            <v:imagedata r:id="rId600" o:title=""/>
          </v:shape>
          <o:OLEObject Type="Embed" ProgID="Equation.DSMT4" ShapeID="_x0000_i1365" DrawAspect="Content" ObjectID="_1775046001" r:id="rId601"/>
        </w:object>
      </w:r>
      <w:r w:rsidRPr="00815CE7">
        <w:rPr>
          <w:rFonts w:eastAsiaTheme="minorEastAsia"/>
          <w:szCs w:val="24"/>
          <w:lang w:val="en-AU"/>
        </w:rPr>
        <w:t>, then</w:t>
      </w:r>
      <w:r>
        <w:rPr>
          <w:rFonts w:eastAsiaTheme="minorEastAsia"/>
          <w:szCs w:val="24"/>
          <w:lang w:val="en-AU"/>
        </w:rPr>
        <w:t xml:space="preserve"> define </w:t>
      </w:r>
      <w:r w:rsidR="0001157E" w:rsidRPr="00F3437F">
        <w:rPr>
          <w:position w:val="-14"/>
        </w:rPr>
        <w:object w:dxaOrig="1320" w:dyaOrig="400" w14:anchorId="05281819">
          <v:shape id="_x0000_i1366" type="#_x0000_t75" style="width:66pt;height:20.25pt" o:ole="">
            <v:imagedata r:id="rId602" o:title=""/>
          </v:shape>
          <o:OLEObject Type="Embed" ProgID="Equation.DSMT4" ShapeID="_x0000_i1366" DrawAspect="Content" ObjectID="_1775046002" r:id="rId603"/>
        </w:object>
      </w:r>
      <w:r>
        <w:rPr>
          <w:rFonts w:eastAsiaTheme="minorEastAsia"/>
          <w:szCs w:val="24"/>
        </w:rPr>
        <w:t xml:space="preserve">. In this case, calculation of </w:t>
      </w:r>
      <w:r w:rsidR="00F3437F" w:rsidRPr="00184289">
        <w:rPr>
          <w:position w:val="-14"/>
        </w:rPr>
        <w:object w:dxaOrig="840" w:dyaOrig="400" w14:anchorId="6E312935">
          <v:shape id="_x0000_i1367" type="#_x0000_t75" style="width:42pt;height:20.25pt" o:ole="">
            <v:imagedata r:id="rId598" o:title=""/>
          </v:shape>
          <o:OLEObject Type="Embed" ProgID="Equation.DSMT4" ShapeID="_x0000_i1367" DrawAspect="Content" ObjectID="_1775046003" r:id="rId604"/>
        </w:object>
      </w:r>
      <w:r>
        <w:rPr>
          <w:rFonts w:eastAsiaTheme="minorEastAsia"/>
          <w:szCs w:val="24"/>
        </w:rPr>
        <w:t xml:space="preserve"> is </w:t>
      </w:r>
      <w:r w:rsidR="00F3437F">
        <w:rPr>
          <w:rFonts w:eastAsiaTheme="minorEastAsia"/>
          <w:szCs w:val="24"/>
        </w:rPr>
        <w:t>co</w:t>
      </w:r>
      <w:r>
        <w:rPr>
          <w:rFonts w:eastAsiaTheme="minorEastAsia"/>
          <w:szCs w:val="24"/>
        </w:rPr>
        <w:t>mplete.</w:t>
      </w:r>
    </w:p>
    <w:p w14:paraId="3E8A7B90" w14:textId="77777777" w:rsidR="005B5818" w:rsidRPr="00815CE7" w:rsidRDefault="005B5818" w:rsidP="00B60372">
      <w:pPr>
        <w:pStyle w:val="ListParagraph"/>
        <w:numPr>
          <w:ilvl w:val="0"/>
          <w:numId w:val="46"/>
        </w:numPr>
        <w:spacing w:before="240"/>
        <w:ind w:left="360"/>
        <w:rPr>
          <w:rFonts w:eastAsiaTheme="minorEastAsia"/>
          <w:szCs w:val="24"/>
          <w:lang w:val="en-AU"/>
        </w:rPr>
      </w:pPr>
      <w:r>
        <w:rPr>
          <w:rFonts w:eastAsiaTheme="minorEastAsia"/>
          <w:szCs w:val="24"/>
        </w:rPr>
        <w:t xml:space="preserve">If </w:t>
      </w:r>
      <w:r w:rsidR="00F3437F" w:rsidRPr="00F3437F">
        <w:rPr>
          <w:position w:val="-14"/>
        </w:rPr>
        <w:object w:dxaOrig="940" w:dyaOrig="400" w14:anchorId="6F06C3F2">
          <v:shape id="_x0000_i1368" type="#_x0000_t75" style="width:47.25pt;height:20.25pt" o:ole="">
            <v:imagedata r:id="rId605" o:title=""/>
          </v:shape>
          <o:OLEObject Type="Embed" ProgID="Equation.DSMT4" ShapeID="_x0000_i1368" DrawAspect="Content" ObjectID="_1775046004" r:id="rId606"/>
        </w:object>
      </w:r>
      <w:r w:rsidRPr="00815CE7">
        <w:rPr>
          <w:rFonts w:eastAsiaTheme="minorEastAsia"/>
          <w:szCs w:val="24"/>
          <w:lang w:val="en-AU"/>
        </w:rPr>
        <w:t>, then</w:t>
      </w:r>
      <w:r>
        <w:rPr>
          <w:rFonts w:eastAsiaTheme="minorEastAsia"/>
          <w:szCs w:val="24"/>
          <w:lang w:val="en-AU"/>
        </w:rPr>
        <w:t xml:space="preserve"> define </w:t>
      </w:r>
      <w:r w:rsidR="0001157E" w:rsidRPr="00F3437F">
        <w:rPr>
          <w:position w:val="-12"/>
        </w:rPr>
        <w:object w:dxaOrig="780" w:dyaOrig="380" w14:anchorId="7198181E">
          <v:shape id="_x0000_i1369" type="#_x0000_t75" style="width:39pt;height:18.75pt" o:ole="">
            <v:imagedata r:id="rId607" o:title=""/>
          </v:shape>
          <o:OLEObject Type="Embed" ProgID="Equation.DSMT4" ShapeID="_x0000_i1369" DrawAspect="Content" ObjectID="_1775046005" r:id="rId608"/>
        </w:object>
      </w:r>
      <w:r>
        <w:rPr>
          <w:rFonts w:eastAsiaTheme="minorEastAsia"/>
          <w:szCs w:val="24"/>
        </w:rPr>
        <w:t>. In this case, proceed to Step 2.</w:t>
      </w:r>
    </w:p>
    <w:p w14:paraId="61B3082B" w14:textId="77777777" w:rsidR="005B5818" w:rsidRDefault="005B5818" w:rsidP="00B60372">
      <w:pPr>
        <w:spacing w:after="0"/>
        <w:rPr>
          <w:rFonts w:eastAsiaTheme="minorEastAsia"/>
          <w:szCs w:val="24"/>
          <w:lang w:val="en-AU"/>
        </w:rPr>
      </w:pPr>
      <w:r w:rsidRPr="00815CE7">
        <w:rPr>
          <w:rFonts w:eastAsiaTheme="minorEastAsia"/>
          <w:szCs w:val="24"/>
          <w:u w:val="single"/>
          <w:lang w:val="en-AU"/>
        </w:rPr>
        <w:t>Step 2</w:t>
      </w:r>
      <w:r>
        <w:rPr>
          <w:rFonts w:eastAsiaTheme="minorEastAsia"/>
          <w:szCs w:val="24"/>
          <w:lang w:val="en-AU"/>
        </w:rPr>
        <w:t>:</w:t>
      </w:r>
    </w:p>
    <w:p w14:paraId="2C4D570D" w14:textId="77777777" w:rsidR="005B5818" w:rsidRPr="00815CE7" w:rsidRDefault="005B5818" w:rsidP="00B60372">
      <w:pPr>
        <w:pStyle w:val="ListParagraph"/>
        <w:numPr>
          <w:ilvl w:val="0"/>
          <w:numId w:val="47"/>
        </w:numPr>
        <w:rPr>
          <w:rFonts w:eastAsiaTheme="minorEastAsia"/>
          <w:szCs w:val="24"/>
          <w:lang w:val="en-AU"/>
        </w:rPr>
      </w:pPr>
      <w:r>
        <w:rPr>
          <w:rFonts w:eastAsiaTheme="minorEastAsia"/>
          <w:szCs w:val="24"/>
          <w:lang w:val="en-AU"/>
        </w:rPr>
        <w:t xml:space="preserve">If </w:t>
      </w:r>
      <w:r w:rsidR="00F3437F" w:rsidRPr="00F3437F">
        <w:rPr>
          <w:position w:val="-14"/>
        </w:rPr>
        <w:object w:dxaOrig="1480" w:dyaOrig="400" w14:anchorId="72E224D1">
          <v:shape id="_x0000_i1370" type="#_x0000_t75" style="width:74.25pt;height:20.25pt" o:ole="">
            <v:imagedata r:id="rId609" o:title=""/>
          </v:shape>
          <o:OLEObject Type="Embed" ProgID="Equation.DSMT4" ShapeID="_x0000_i1370" DrawAspect="Content" ObjectID="_1775046006" r:id="rId610"/>
        </w:object>
      </w:r>
      <w:r>
        <w:rPr>
          <w:rFonts w:eastAsiaTheme="minorEastAsia"/>
          <w:szCs w:val="24"/>
          <w:lang w:val="en-AU"/>
        </w:rPr>
        <w:t>, the</w:t>
      </w:r>
      <w:r w:rsidR="00053329">
        <w:rPr>
          <w:rFonts w:eastAsiaTheme="minorEastAsia"/>
          <w:szCs w:val="24"/>
          <w:lang w:val="en-AU"/>
        </w:rPr>
        <w:t>n</w:t>
      </w:r>
      <w:r>
        <w:rPr>
          <w:rFonts w:eastAsiaTheme="minorEastAsia"/>
          <w:szCs w:val="24"/>
          <w:lang w:val="en-AU"/>
        </w:rPr>
        <w:t xml:space="preserve"> define </w:t>
      </w:r>
      <w:r w:rsidR="007F3507" w:rsidRPr="00F3437F">
        <w:rPr>
          <w:position w:val="-24"/>
        </w:rPr>
        <w:object w:dxaOrig="3540" w:dyaOrig="700" w14:anchorId="68AB51BF">
          <v:shape id="_x0000_i1371" type="#_x0000_t75" style="width:177pt;height:35.25pt" o:ole="">
            <v:imagedata r:id="rId611" o:title=""/>
          </v:shape>
          <o:OLEObject Type="Embed" ProgID="Equation.DSMT4" ShapeID="_x0000_i1371" DrawAspect="Content" ObjectID="_1775046007" r:id="rId612"/>
        </w:object>
      </w:r>
      <w:r>
        <w:rPr>
          <w:rFonts w:eastAsiaTheme="minorEastAsia"/>
          <w:szCs w:val="24"/>
        </w:rPr>
        <w:t xml:space="preserve">. In this case, calculation of </w:t>
      </w:r>
      <w:r w:rsidR="00F3437F" w:rsidRPr="00F3437F">
        <w:rPr>
          <w:position w:val="-14"/>
        </w:rPr>
        <w:object w:dxaOrig="840" w:dyaOrig="400" w14:anchorId="0F6BF4EA">
          <v:shape id="_x0000_i1372" type="#_x0000_t75" style="width:42pt;height:20.25pt" o:ole="">
            <v:imagedata r:id="rId613" o:title=""/>
          </v:shape>
          <o:OLEObject Type="Embed" ProgID="Equation.DSMT4" ShapeID="_x0000_i1372" DrawAspect="Content" ObjectID="_1775046008" r:id="rId614"/>
        </w:object>
      </w:r>
      <w:r>
        <w:rPr>
          <w:rFonts w:eastAsiaTheme="minorEastAsia"/>
          <w:szCs w:val="24"/>
        </w:rPr>
        <w:t xml:space="preserve"> is complete.</w:t>
      </w:r>
    </w:p>
    <w:p w14:paraId="2E116A1C" w14:textId="77777777" w:rsidR="005B5818" w:rsidRPr="00DB064A" w:rsidRDefault="005B5818" w:rsidP="00B60372">
      <w:pPr>
        <w:pStyle w:val="ListParagraph"/>
        <w:numPr>
          <w:ilvl w:val="0"/>
          <w:numId w:val="47"/>
        </w:numPr>
        <w:rPr>
          <w:rFonts w:eastAsiaTheme="minorEastAsia"/>
          <w:szCs w:val="24"/>
          <w:lang w:val="en-AU"/>
        </w:rPr>
      </w:pPr>
      <w:r>
        <w:rPr>
          <w:rFonts w:eastAsiaTheme="minorEastAsia"/>
          <w:szCs w:val="24"/>
        </w:rPr>
        <w:t xml:space="preserve">If </w:t>
      </w:r>
      <w:r w:rsidR="00F3437F" w:rsidRPr="00F3437F">
        <w:rPr>
          <w:position w:val="-14"/>
        </w:rPr>
        <w:object w:dxaOrig="1480" w:dyaOrig="400" w14:anchorId="3B9F7765">
          <v:shape id="_x0000_i1373" type="#_x0000_t75" style="width:74.25pt;height:20.25pt" o:ole="">
            <v:imagedata r:id="rId615" o:title=""/>
          </v:shape>
          <o:OLEObject Type="Embed" ProgID="Equation.DSMT4" ShapeID="_x0000_i1373" DrawAspect="Content" ObjectID="_1775046009" r:id="rId616"/>
        </w:object>
      </w:r>
      <w:r>
        <w:rPr>
          <w:rFonts w:eastAsiaTheme="minorEastAsia"/>
          <w:szCs w:val="24"/>
          <w:lang w:val="en-AU"/>
        </w:rPr>
        <w:t>, the</w:t>
      </w:r>
      <w:r w:rsidR="00053329">
        <w:rPr>
          <w:rFonts w:eastAsiaTheme="minorEastAsia"/>
          <w:szCs w:val="24"/>
          <w:lang w:val="en-AU"/>
        </w:rPr>
        <w:t>n</w:t>
      </w:r>
      <w:r>
        <w:rPr>
          <w:rFonts w:eastAsiaTheme="minorEastAsia"/>
          <w:szCs w:val="24"/>
          <w:lang w:val="en-AU"/>
        </w:rPr>
        <w:t xml:space="preserve"> define </w:t>
      </w:r>
      <w:r w:rsidR="007F3507" w:rsidRPr="00F3437F">
        <w:rPr>
          <w:position w:val="-32"/>
        </w:rPr>
        <w:object w:dxaOrig="2340" w:dyaOrig="760" w14:anchorId="6FB434FB">
          <v:shape id="_x0000_i1374" type="#_x0000_t75" style="width:117pt;height:38.25pt" o:ole="">
            <v:imagedata r:id="rId617" o:title=""/>
          </v:shape>
          <o:OLEObject Type="Embed" ProgID="Equation.DSMT4" ShapeID="_x0000_i1374" DrawAspect="Content" ObjectID="_1775046010" r:id="rId618"/>
        </w:object>
      </w:r>
      <w:r>
        <w:rPr>
          <w:rFonts w:eastAsiaTheme="minorEastAsia"/>
          <w:szCs w:val="24"/>
        </w:rPr>
        <w:t>. In this case, proceed to Step 3.</w:t>
      </w:r>
    </w:p>
    <w:p w14:paraId="6D208C96" w14:textId="77777777" w:rsidR="005B5818" w:rsidRDefault="005B5818" w:rsidP="00B60372">
      <w:pPr>
        <w:rPr>
          <w:rFonts w:eastAsiaTheme="minorEastAsia"/>
          <w:szCs w:val="24"/>
          <w:lang w:val="en-AU"/>
        </w:rPr>
      </w:pPr>
      <w:r>
        <w:rPr>
          <w:rFonts w:eastAsiaTheme="minorEastAsia"/>
          <w:szCs w:val="24"/>
          <w:lang w:val="en-AU"/>
        </w:rPr>
        <w:t xml:space="preserve">This process continues, with Step </w:t>
      </w:r>
      <w:r w:rsidR="00962DB6" w:rsidRPr="00962DB6">
        <w:rPr>
          <w:rFonts w:eastAsiaTheme="minorEastAsia"/>
          <w:position w:val="-6"/>
          <w:szCs w:val="24"/>
          <w:lang w:val="en-AU"/>
        </w:rPr>
        <w:object w:dxaOrig="200" w:dyaOrig="220" w14:anchorId="6F617279">
          <v:shape id="_x0000_i1375" type="#_x0000_t75" style="width:9.75pt;height:11.25pt" o:ole="">
            <v:imagedata r:id="rId619" o:title=""/>
          </v:shape>
          <o:OLEObject Type="Embed" ProgID="Equation.DSMT4" ShapeID="_x0000_i1375" DrawAspect="Content" ObjectID="_1775046011" r:id="rId620"/>
        </w:object>
      </w:r>
      <w:r w:rsidR="00962DB6">
        <w:rPr>
          <w:rFonts w:eastAsiaTheme="minorEastAsia"/>
          <w:szCs w:val="24"/>
          <w:lang w:val="en-AU"/>
        </w:rPr>
        <w:t xml:space="preserve"> </w:t>
      </w:r>
      <w:r>
        <w:rPr>
          <w:rFonts w:eastAsiaTheme="minorEastAsia"/>
          <w:szCs w:val="24"/>
          <w:lang w:val="en-AU"/>
        </w:rPr>
        <w:t>defined as follows:</w:t>
      </w:r>
    </w:p>
    <w:p w14:paraId="14BE3D39" w14:textId="77777777" w:rsidR="005B5818" w:rsidRDefault="005B5818" w:rsidP="00B60372">
      <w:pPr>
        <w:keepNext/>
        <w:spacing w:after="0"/>
        <w:rPr>
          <w:rFonts w:eastAsiaTheme="minorEastAsia"/>
          <w:szCs w:val="24"/>
          <w:lang w:val="en-AU"/>
        </w:rPr>
      </w:pPr>
      <w:r w:rsidRPr="00DB064A">
        <w:rPr>
          <w:rFonts w:eastAsiaTheme="minorEastAsia"/>
          <w:szCs w:val="24"/>
          <w:u w:val="single"/>
          <w:lang w:val="en-AU"/>
        </w:rPr>
        <w:t>Step</w:t>
      </w:r>
      <w:r w:rsidR="00F3437F">
        <w:rPr>
          <w:rFonts w:eastAsiaTheme="minorEastAsia"/>
          <w:szCs w:val="24"/>
          <w:u w:val="single"/>
          <w:lang w:val="en-AU"/>
        </w:rPr>
        <w:t xml:space="preserve"> </w:t>
      </w:r>
      <w:r w:rsidR="00F3437F" w:rsidRPr="00F3437F">
        <w:rPr>
          <w:rFonts w:eastAsiaTheme="minorEastAsia"/>
          <w:position w:val="-6"/>
          <w:szCs w:val="24"/>
          <w:u w:val="single"/>
          <w:lang w:val="en-AU"/>
        </w:rPr>
        <w:object w:dxaOrig="200" w:dyaOrig="220" w14:anchorId="08717E60">
          <v:shape id="_x0000_i1376" type="#_x0000_t75" style="width:9.75pt;height:11.25pt" o:ole="">
            <v:imagedata r:id="rId621" o:title=""/>
          </v:shape>
          <o:OLEObject Type="Embed" ProgID="Equation.DSMT4" ShapeID="_x0000_i1376" DrawAspect="Content" ObjectID="_1775046012" r:id="rId622"/>
        </w:object>
      </w:r>
      <w:r>
        <w:rPr>
          <w:rFonts w:eastAsiaTheme="minorEastAsia"/>
          <w:szCs w:val="24"/>
          <w:lang w:val="en-AU"/>
        </w:rPr>
        <w:t>:</w:t>
      </w:r>
    </w:p>
    <w:p w14:paraId="613F6861" w14:textId="77777777" w:rsidR="005B5818" w:rsidRPr="00815CE7" w:rsidRDefault="005B5818" w:rsidP="00B60372">
      <w:pPr>
        <w:pStyle w:val="ListParagraph"/>
        <w:numPr>
          <w:ilvl w:val="0"/>
          <w:numId w:val="48"/>
        </w:numPr>
        <w:rPr>
          <w:rFonts w:eastAsiaTheme="minorEastAsia"/>
          <w:szCs w:val="24"/>
          <w:lang w:val="en-AU"/>
        </w:rPr>
      </w:pPr>
      <w:r>
        <w:rPr>
          <w:rFonts w:eastAsiaTheme="minorEastAsia"/>
          <w:szCs w:val="24"/>
          <w:lang w:val="en-AU"/>
        </w:rPr>
        <w:t xml:space="preserve">If </w:t>
      </w:r>
      <w:r w:rsidR="00F3437F" w:rsidRPr="00F3437F">
        <w:rPr>
          <w:position w:val="-28"/>
        </w:rPr>
        <w:object w:dxaOrig="1219" w:dyaOrig="680" w14:anchorId="0509EA71">
          <v:shape id="_x0000_i1377" type="#_x0000_t75" style="width:60.75pt;height:33.75pt" o:ole="">
            <v:imagedata r:id="rId623" o:title=""/>
          </v:shape>
          <o:OLEObject Type="Embed" ProgID="Equation.DSMT4" ShapeID="_x0000_i1377" DrawAspect="Content" ObjectID="_1775046013" r:id="rId624"/>
        </w:object>
      </w:r>
      <w:r>
        <w:rPr>
          <w:rFonts w:eastAsiaTheme="minorEastAsia"/>
          <w:szCs w:val="24"/>
          <w:lang w:val="en-AU"/>
        </w:rPr>
        <w:t>, the</w:t>
      </w:r>
      <w:r w:rsidR="00053329">
        <w:rPr>
          <w:rFonts w:eastAsiaTheme="minorEastAsia"/>
          <w:szCs w:val="24"/>
          <w:lang w:val="en-AU"/>
        </w:rPr>
        <w:t>n</w:t>
      </w:r>
      <w:r>
        <w:rPr>
          <w:rFonts w:eastAsiaTheme="minorEastAsia"/>
          <w:szCs w:val="24"/>
          <w:lang w:val="en-AU"/>
        </w:rPr>
        <w:t xml:space="preserve"> define </w:t>
      </w:r>
      <w:r w:rsidR="007F3507" w:rsidRPr="00F3437F">
        <w:rPr>
          <w:position w:val="-24"/>
        </w:rPr>
        <w:object w:dxaOrig="5100" w:dyaOrig="859" w14:anchorId="6873A20D">
          <v:shape id="_x0000_i1378" type="#_x0000_t75" style="width:255pt;height:42.75pt" o:ole="">
            <v:imagedata r:id="rId625" o:title=""/>
          </v:shape>
          <o:OLEObject Type="Embed" ProgID="Equation.DSMT4" ShapeID="_x0000_i1378" DrawAspect="Content" ObjectID="_1775046014" r:id="rId626"/>
        </w:object>
      </w:r>
      <w:r>
        <w:rPr>
          <w:rFonts w:eastAsiaTheme="minorEastAsia"/>
          <w:szCs w:val="24"/>
        </w:rPr>
        <w:t xml:space="preserve">. In this case, calculation of </w:t>
      </w:r>
      <w:r w:rsidR="00F3437F" w:rsidRPr="00F3437F">
        <w:rPr>
          <w:position w:val="-14"/>
        </w:rPr>
        <w:object w:dxaOrig="840" w:dyaOrig="400" w14:anchorId="371CC4FC">
          <v:shape id="_x0000_i1379" type="#_x0000_t75" style="width:42pt;height:20.25pt" o:ole="">
            <v:imagedata r:id="rId627" o:title=""/>
          </v:shape>
          <o:OLEObject Type="Embed" ProgID="Equation.DSMT4" ShapeID="_x0000_i1379" DrawAspect="Content" ObjectID="_1775046015" r:id="rId628"/>
        </w:object>
      </w:r>
      <w:r>
        <w:rPr>
          <w:rFonts w:eastAsiaTheme="minorEastAsia"/>
          <w:szCs w:val="24"/>
        </w:rPr>
        <w:t xml:space="preserve"> is complete.</w:t>
      </w:r>
    </w:p>
    <w:p w14:paraId="589445AD" w14:textId="77777777" w:rsidR="005B5818" w:rsidRPr="00DB064A" w:rsidRDefault="005B5818" w:rsidP="00B60372">
      <w:pPr>
        <w:pStyle w:val="ListParagraph"/>
        <w:numPr>
          <w:ilvl w:val="0"/>
          <w:numId w:val="48"/>
        </w:numPr>
        <w:rPr>
          <w:rFonts w:eastAsiaTheme="minorEastAsia"/>
          <w:szCs w:val="24"/>
          <w:lang w:val="en-AU"/>
        </w:rPr>
      </w:pPr>
      <w:r>
        <w:rPr>
          <w:rFonts w:eastAsiaTheme="minorEastAsia"/>
          <w:szCs w:val="24"/>
        </w:rPr>
        <w:t xml:space="preserve">If </w:t>
      </w:r>
      <w:r w:rsidR="00F3437F" w:rsidRPr="00F3437F">
        <w:rPr>
          <w:position w:val="-28"/>
        </w:rPr>
        <w:object w:dxaOrig="1219" w:dyaOrig="680" w14:anchorId="65BDBF7A">
          <v:shape id="_x0000_i1380" type="#_x0000_t75" style="width:60.75pt;height:33.75pt" o:ole="">
            <v:imagedata r:id="rId629" o:title=""/>
          </v:shape>
          <o:OLEObject Type="Embed" ProgID="Equation.DSMT4" ShapeID="_x0000_i1380" DrawAspect="Content" ObjectID="_1775046016" r:id="rId630"/>
        </w:object>
      </w:r>
      <w:r>
        <w:rPr>
          <w:rFonts w:eastAsiaTheme="minorEastAsia"/>
          <w:szCs w:val="24"/>
          <w:lang w:val="en-AU"/>
        </w:rPr>
        <w:t>, the</w:t>
      </w:r>
      <w:r w:rsidR="00053329">
        <w:rPr>
          <w:rFonts w:eastAsiaTheme="minorEastAsia"/>
          <w:szCs w:val="24"/>
          <w:lang w:val="en-AU"/>
        </w:rPr>
        <w:t>n</w:t>
      </w:r>
      <w:r>
        <w:rPr>
          <w:rFonts w:eastAsiaTheme="minorEastAsia"/>
          <w:szCs w:val="24"/>
          <w:lang w:val="en-AU"/>
        </w:rPr>
        <w:t xml:space="preserve"> define </w:t>
      </w:r>
      <w:r w:rsidR="007F3507" w:rsidRPr="00F3437F">
        <w:rPr>
          <w:position w:val="-40"/>
        </w:rPr>
        <w:object w:dxaOrig="3200" w:dyaOrig="980" w14:anchorId="3B67938C">
          <v:shape id="_x0000_i1381" type="#_x0000_t75" style="width:159.75pt;height:48.75pt" o:ole="">
            <v:imagedata r:id="rId631" o:title=""/>
          </v:shape>
          <o:OLEObject Type="Embed" ProgID="Equation.DSMT4" ShapeID="_x0000_i1381" DrawAspect="Content" ObjectID="_1775046017" r:id="rId632"/>
        </w:object>
      </w:r>
      <w:r>
        <w:rPr>
          <w:rFonts w:eastAsiaTheme="minorEastAsia"/>
          <w:szCs w:val="24"/>
        </w:rPr>
        <w:t xml:space="preserve">. In this case, proceed to Step </w:t>
      </w:r>
      <w:r w:rsidR="00F3437F" w:rsidRPr="00F3437F">
        <w:rPr>
          <w:position w:val="-6"/>
        </w:rPr>
        <w:object w:dxaOrig="480" w:dyaOrig="279" w14:anchorId="0F942EBD">
          <v:shape id="_x0000_i1382" type="#_x0000_t75" style="width:24pt;height:14.25pt" o:ole="">
            <v:imagedata r:id="rId633" o:title=""/>
          </v:shape>
          <o:OLEObject Type="Embed" ProgID="Equation.DSMT4" ShapeID="_x0000_i1382" DrawAspect="Content" ObjectID="_1775046018" r:id="rId634"/>
        </w:object>
      </w:r>
      <w:r>
        <w:rPr>
          <w:rFonts w:eastAsiaTheme="minorEastAsia"/>
          <w:szCs w:val="24"/>
        </w:rPr>
        <w:t>.</w:t>
      </w:r>
    </w:p>
    <w:p w14:paraId="4B41E207" w14:textId="77777777" w:rsidR="005B5818" w:rsidRDefault="005B5818" w:rsidP="00B60372">
      <w:pPr>
        <w:rPr>
          <w:rFonts w:eastAsiaTheme="minorEastAsia"/>
          <w:szCs w:val="24"/>
        </w:rPr>
      </w:pPr>
      <w:r>
        <w:rPr>
          <w:rFonts w:eastAsiaTheme="minorEastAsia"/>
          <w:szCs w:val="24"/>
          <w:lang w:val="en-AU"/>
        </w:rPr>
        <w:t>If this process continues to</w:t>
      </w:r>
      <w:r w:rsidR="00EC09DC">
        <w:rPr>
          <w:rFonts w:eastAsiaTheme="minorEastAsia"/>
          <w:szCs w:val="24"/>
          <w:lang w:val="en-AU"/>
        </w:rPr>
        <w:t xml:space="preserve"> </w:t>
      </w:r>
      <w:r w:rsidR="00EC09DC" w:rsidRPr="00EC09DC">
        <w:rPr>
          <w:rFonts w:eastAsiaTheme="minorEastAsia"/>
          <w:position w:val="-6"/>
          <w:szCs w:val="24"/>
          <w:lang w:val="en-AU"/>
        </w:rPr>
        <w:object w:dxaOrig="660" w:dyaOrig="279" w14:anchorId="42D1CA13">
          <v:shape id="_x0000_i1383" type="#_x0000_t75" style="width:33pt;height:14.25pt" o:ole="">
            <v:imagedata r:id="rId635" o:title=""/>
          </v:shape>
          <o:OLEObject Type="Embed" ProgID="Equation.DSMT4" ShapeID="_x0000_i1383" DrawAspect="Content" ObjectID="_1775046019" r:id="rId636"/>
        </w:object>
      </w:r>
      <w:r w:rsidR="00EC09DC">
        <w:rPr>
          <w:rFonts w:eastAsiaTheme="minorEastAsia"/>
          <w:szCs w:val="24"/>
          <w:lang w:val="en-AU"/>
        </w:rPr>
        <w:t xml:space="preserve"> </w:t>
      </w:r>
      <w:r>
        <w:rPr>
          <w:rFonts w:eastAsiaTheme="minorEastAsia"/>
          <w:szCs w:val="24"/>
          <w:lang w:val="en-AU"/>
        </w:rPr>
        <w:t xml:space="preserve">and the sample size threshold is not satisfied at that step, then define </w:t>
      </w:r>
      <w:r w:rsidR="007F3507" w:rsidRPr="00F3437F">
        <w:rPr>
          <w:position w:val="-14"/>
        </w:rPr>
        <w:object w:dxaOrig="1180" w:dyaOrig="400" w14:anchorId="05420456">
          <v:shape id="_x0000_i1384" type="#_x0000_t75" style="width:59.25pt;height:20.25pt" o:ole="">
            <v:imagedata r:id="rId637" o:title=""/>
          </v:shape>
          <o:OLEObject Type="Embed" ProgID="Equation.DSMT4" ShapeID="_x0000_i1384" DrawAspect="Content" ObjectID="_1775046020" r:id="rId638"/>
        </w:object>
      </w:r>
      <w:r>
        <w:rPr>
          <w:rFonts w:eastAsiaTheme="minorEastAsia"/>
          <w:szCs w:val="24"/>
        </w:rPr>
        <w:t>.</w:t>
      </w:r>
    </w:p>
    <w:p w14:paraId="3988FAC3" w14:textId="77777777" w:rsidR="005B5818" w:rsidRDefault="005B5818" w:rsidP="00B60372">
      <w:pPr>
        <w:keepLines/>
        <w:rPr>
          <w:rFonts w:eastAsiaTheme="minorEastAsia"/>
          <w:szCs w:val="24"/>
          <w:lang w:val="en-AU"/>
        </w:rPr>
      </w:pPr>
      <w:r>
        <w:rPr>
          <w:rFonts w:eastAsiaTheme="minorEastAsia"/>
          <w:szCs w:val="24"/>
          <w:lang w:val="en-AU"/>
        </w:rPr>
        <w:lastRenderedPageBreak/>
        <w:t>Each diagnosis</w:t>
      </w:r>
      <w:r w:rsidRPr="003E5973">
        <w:rPr>
          <w:rFonts w:eastAsiaTheme="minorEastAsia"/>
          <w:szCs w:val="24"/>
          <w:lang w:val="en-AU"/>
        </w:rPr>
        <w:t xml:space="preserve"> </w:t>
      </w:r>
      <w:r w:rsidR="00962DB6" w:rsidRPr="00962DB6">
        <w:rPr>
          <w:rFonts w:eastAsiaTheme="minorEastAsia"/>
          <w:position w:val="-6"/>
          <w:szCs w:val="24"/>
          <w:lang w:val="en-AU"/>
        </w:rPr>
        <w:object w:dxaOrig="200" w:dyaOrig="220" w14:anchorId="50AD0B04">
          <v:shape id="_x0000_i1385" type="#_x0000_t75" style="width:9.75pt;height:11.25pt" o:ole="">
            <v:imagedata r:id="rId639" o:title=""/>
          </v:shape>
          <o:OLEObject Type="Embed" ProgID="Equation.DSMT4" ShapeID="_x0000_i1385" DrawAspect="Content" ObjectID="_1775046021" r:id="rId640"/>
        </w:object>
      </w:r>
      <w:r w:rsidR="00962DB6">
        <w:rPr>
          <w:rFonts w:eastAsiaTheme="minorEastAsia"/>
          <w:szCs w:val="24"/>
          <w:lang w:val="en-AU"/>
        </w:rPr>
        <w:t xml:space="preserve"> </w:t>
      </w:r>
      <w:r w:rsidRPr="003E5973">
        <w:rPr>
          <w:rFonts w:eastAsiaTheme="minorEastAsia"/>
          <w:szCs w:val="24"/>
          <w:lang w:val="en-AU"/>
        </w:rPr>
        <w:t xml:space="preserve">with sex-specific CDC assignment </w:t>
      </w:r>
      <w:r>
        <w:rPr>
          <w:rFonts w:eastAsiaTheme="minorEastAsia"/>
          <w:szCs w:val="24"/>
          <w:lang w:val="en-AU"/>
        </w:rPr>
        <w:t xml:space="preserve">has its cumulative relative change estimate </w:t>
      </w:r>
      <w:r w:rsidR="00EC09DC" w:rsidRPr="00F3437F">
        <w:rPr>
          <w:position w:val="-14"/>
        </w:rPr>
        <w:object w:dxaOrig="840" w:dyaOrig="400" w14:anchorId="198C8600">
          <v:shape id="_x0000_i1386" type="#_x0000_t75" style="width:42pt;height:20.25pt" o:ole="">
            <v:imagedata r:id="rId627" o:title=""/>
          </v:shape>
          <o:OLEObject Type="Embed" ProgID="Equation.DSMT4" ShapeID="_x0000_i1386" DrawAspect="Content" ObjectID="_1775046022" r:id="rId641"/>
        </w:object>
      </w:r>
      <w:r>
        <w:rPr>
          <w:rFonts w:eastAsiaTheme="minorEastAsia"/>
          <w:szCs w:val="24"/>
          <w:lang w:val="en-AU"/>
        </w:rPr>
        <w:t xml:space="preserve"> defined as the average of </w:t>
      </w:r>
      <w:r w:rsidR="00EC09DC" w:rsidRPr="00F3437F">
        <w:rPr>
          <w:position w:val="-14"/>
        </w:rPr>
        <w:object w:dxaOrig="999" w:dyaOrig="400" w14:anchorId="3EFD76E8">
          <v:shape id="_x0000_i1387" type="#_x0000_t75" style="width:50.25pt;height:20.25pt" o:ole="">
            <v:imagedata r:id="rId642" o:title=""/>
          </v:shape>
          <o:OLEObject Type="Embed" ProgID="Equation.DSMT4" ShapeID="_x0000_i1387" DrawAspect="Content" ObjectID="_1775046023" r:id="rId643"/>
        </w:object>
      </w:r>
      <w:r>
        <w:rPr>
          <w:rFonts w:eastAsiaTheme="minorEastAsia"/>
          <w:szCs w:val="24"/>
          <w:lang w:val="en-AU"/>
        </w:rPr>
        <w:t xml:space="preserve"> and </w:t>
      </w:r>
      <w:r w:rsidR="00EC09DC" w:rsidRPr="00F3437F">
        <w:rPr>
          <w:position w:val="-14"/>
        </w:rPr>
        <w:object w:dxaOrig="960" w:dyaOrig="400" w14:anchorId="1CC77202">
          <v:shape id="_x0000_i1388" type="#_x0000_t75" style="width:48pt;height:20.25pt" o:ole="">
            <v:imagedata r:id="rId644" o:title=""/>
          </v:shape>
          <o:OLEObject Type="Embed" ProgID="Equation.DSMT4" ShapeID="_x0000_i1388" DrawAspect="Content" ObjectID="_1775046024" r:id="rId645"/>
        </w:object>
      </w:r>
      <w:r>
        <w:rPr>
          <w:rFonts w:eastAsiaTheme="minorEastAsia"/>
          <w:szCs w:val="24"/>
          <w:lang w:val="en-AU"/>
        </w:rPr>
        <w:t xml:space="preserve"> weighted by the percentage split of episodes containing </w:t>
      </w:r>
      <w:r w:rsidR="00962DB6" w:rsidRPr="00962DB6">
        <w:rPr>
          <w:rFonts w:eastAsiaTheme="minorEastAsia"/>
          <w:position w:val="-6"/>
          <w:szCs w:val="24"/>
          <w:lang w:val="en-AU"/>
        </w:rPr>
        <w:object w:dxaOrig="200" w:dyaOrig="220" w14:anchorId="2A6D7465">
          <v:shape id="_x0000_i1389" type="#_x0000_t75" style="width:9.75pt;height:11.25pt" o:ole="">
            <v:imagedata r:id="rId639" o:title=""/>
          </v:shape>
          <o:OLEObject Type="Embed" ProgID="Equation.DSMT4" ShapeID="_x0000_i1389" DrawAspect="Content" ObjectID="_1775046025" r:id="rId646"/>
        </w:object>
      </w:r>
      <w:r>
        <w:rPr>
          <w:rFonts w:eastAsiaTheme="minorEastAsia"/>
          <w:szCs w:val="24"/>
          <w:lang w:val="en-AU"/>
        </w:rPr>
        <w:t xml:space="preserve"> among males and females, where </w:t>
      </w:r>
      <w:r w:rsidR="00962DB6" w:rsidRPr="00962DB6">
        <w:rPr>
          <w:rFonts w:eastAsiaTheme="minorEastAsia"/>
          <w:position w:val="-6"/>
          <w:szCs w:val="24"/>
          <w:lang w:val="en-AU"/>
        </w:rPr>
        <w:object w:dxaOrig="200" w:dyaOrig="220" w14:anchorId="44170CF9">
          <v:shape id="_x0000_i1390" type="#_x0000_t75" style="width:9.75pt;height:11.25pt" o:ole="">
            <v:imagedata r:id="rId639" o:title=""/>
          </v:shape>
          <o:OLEObject Type="Embed" ProgID="Equation.DSMT4" ShapeID="_x0000_i1390" DrawAspect="Content" ObjectID="_1775046026" r:id="rId647"/>
        </w:object>
      </w:r>
      <w:r>
        <w:rPr>
          <w:rFonts w:eastAsiaTheme="minorEastAsia"/>
          <w:szCs w:val="24"/>
          <w:lang w:val="en-AU"/>
        </w:rPr>
        <w:t xml:space="preserve"> has a sample size of 10 or more; otherwise </w:t>
      </w:r>
      <w:r w:rsidR="004812E2" w:rsidRPr="00F3437F">
        <w:rPr>
          <w:position w:val="-14"/>
        </w:rPr>
        <w:object w:dxaOrig="840" w:dyaOrig="400" w14:anchorId="435994D5">
          <v:shape id="_x0000_i1391" type="#_x0000_t75" style="width:42pt;height:20.25pt" o:ole="">
            <v:imagedata r:id="rId627" o:title=""/>
          </v:shape>
          <o:OLEObject Type="Embed" ProgID="Equation.DSMT4" ShapeID="_x0000_i1391" DrawAspect="Content" ObjectID="_1775046027" r:id="rId648"/>
        </w:object>
      </w:r>
      <w:r>
        <w:rPr>
          <w:rFonts w:eastAsiaTheme="minorEastAsia"/>
          <w:szCs w:val="24"/>
          <w:lang w:val="en-AU"/>
        </w:rPr>
        <w:t xml:space="preserve"> is defined as the unweighted average of </w:t>
      </w:r>
      <w:r w:rsidR="004812E2" w:rsidRPr="00F3437F">
        <w:rPr>
          <w:position w:val="-14"/>
        </w:rPr>
        <w:object w:dxaOrig="999" w:dyaOrig="400" w14:anchorId="5EAF8A31">
          <v:shape id="_x0000_i1392" type="#_x0000_t75" style="width:50.25pt;height:20.25pt" o:ole="">
            <v:imagedata r:id="rId642" o:title=""/>
          </v:shape>
          <o:OLEObject Type="Embed" ProgID="Equation.DSMT4" ShapeID="_x0000_i1392" DrawAspect="Content" ObjectID="_1775046028" r:id="rId649"/>
        </w:object>
      </w:r>
      <w:r>
        <w:rPr>
          <w:rFonts w:eastAsiaTheme="minorEastAsia"/>
          <w:szCs w:val="24"/>
          <w:lang w:val="en-AU"/>
        </w:rPr>
        <w:t xml:space="preserve"> </w:t>
      </w:r>
      <w:proofErr w:type="spellStart"/>
      <w:r>
        <w:rPr>
          <w:rFonts w:eastAsiaTheme="minorEastAsia"/>
          <w:szCs w:val="24"/>
          <w:lang w:val="en-AU"/>
        </w:rPr>
        <w:t>and</w:t>
      </w:r>
      <w:proofErr w:type="spellEnd"/>
      <w:r>
        <w:rPr>
          <w:rFonts w:eastAsiaTheme="minorEastAsia"/>
          <w:szCs w:val="24"/>
          <w:lang w:val="en-AU"/>
        </w:rPr>
        <w:t xml:space="preserve"> </w:t>
      </w:r>
      <w:r w:rsidR="004812E2" w:rsidRPr="00F3437F">
        <w:rPr>
          <w:position w:val="-14"/>
        </w:rPr>
        <w:object w:dxaOrig="960" w:dyaOrig="400" w14:anchorId="0F555956">
          <v:shape id="_x0000_i1393" type="#_x0000_t75" style="width:48pt;height:20.25pt" o:ole="">
            <v:imagedata r:id="rId644" o:title=""/>
          </v:shape>
          <o:OLEObject Type="Embed" ProgID="Equation.DSMT4" ShapeID="_x0000_i1393" DrawAspect="Content" ObjectID="_1775046029" r:id="rId650"/>
        </w:object>
      </w:r>
      <w:r>
        <w:rPr>
          <w:rFonts w:eastAsiaTheme="minorEastAsia"/>
          <w:szCs w:val="24"/>
          <w:lang w:val="en-AU"/>
        </w:rPr>
        <w:t>.</w:t>
      </w:r>
    </w:p>
    <w:p w14:paraId="5708EAF9" w14:textId="77777777" w:rsidR="005B5818" w:rsidRDefault="00CC0F16" w:rsidP="00B60372">
      <w:pPr>
        <w:rPr>
          <w:rFonts w:eastAsiaTheme="minorEastAsia"/>
          <w:szCs w:val="24"/>
          <w:lang w:val="en-AU"/>
        </w:rPr>
      </w:pPr>
      <w:r>
        <w:fldChar w:fldCharType="begin"/>
      </w:r>
      <w:r>
        <w:instrText xml:space="preserve"> REF _Ref391053872 \h  \* MERGEFORMAT </w:instrText>
      </w:r>
      <w:r>
        <w:fldChar w:fldCharType="separate"/>
      </w:r>
      <w:r w:rsidR="0031717B" w:rsidRPr="0031717B">
        <w:rPr>
          <w:szCs w:val="24"/>
        </w:rPr>
        <w:t>Table 6</w:t>
      </w:r>
      <w:r>
        <w:fldChar w:fldCharType="end"/>
      </w:r>
      <w:r w:rsidR="005B5818" w:rsidRPr="000A2234">
        <w:rPr>
          <w:rFonts w:eastAsiaTheme="minorEastAsia"/>
          <w:szCs w:val="24"/>
          <w:lang w:val="en-AU"/>
        </w:rPr>
        <w:t xml:space="preserve"> summarises</w:t>
      </w:r>
      <w:r w:rsidR="005B5818">
        <w:rPr>
          <w:rFonts w:eastAsiaTheme="minorEastAsia"/>
          <w:szCs w:val="24"/>
          <w:lang w:val="en-AU"/>
        </w:rPr>
        <w:t xml:space="preserve"> the levels of aggregation at which </w:t>
      </w:r>
      <w:proofErr w:type="spellStart"/>
      <w:r w:rsidR="005B5818">
        <w:rPr>
          <w:rFonts w:eastAsiaTheme="minorEastAsia"/>
          <w:szCs w:val="24"/>
          <w:lang w:val="en-AU"/>
        </w:rPr>
        <w:t>the</w:t>
      </w:r>
      <w:proofErr w:type="spellEnd"/>
      <w:r w:rsidR="005B5818">
        <w:rPr>
          <w:rFonts w:eastAsiaTheme="minorEastAsia"/>
          <w:szCs w:val="24"/>
          <w:lang w:val="en-AU"/>
        </w:rPr>
        <w:t xml:space="preserve"> </w:t>
      </w:r>
      <w:r w:rsidR="00353776" w:rsidRPr="00F3437F">
        <w:rPr>
          <w:position w:val="-14"/>
        </w:rPr>
        <w:object w:dxaOrig="840" w:dyaOrig="400" w14:anchorId="5851026C">
          <v:shape id="_x0000_i1394" type="#_x0000_t75" style="width:42pt;height:20.25pt" o:ole="">
            <v:imagedata r:id="rId627" o:title=""/>
          </v:shape>
          <o:OLEObject Type="Embed" ProgID="Equation.DSMT4" ShapeID="_x0000_i1394" DrawAspect="Content" ObjectID="_1775046030" r:id="rId651"/>
        </w:object>
      </w:r>
      <w:r w:rsidR="005B5818">
        <w:rPr>
          <w:rFonts w:eastAsiaTheme="minorEastAsia"/>
          <w:szCs w:val="24"/>
          <w:lang w:val="en-AU"/>
        </w:rPr>
        <w:t xml:space="preserve"> are calculated.</w:t>
      </w:r>
    </w:p>
    <w:p w14:paraId="0C2B2E06" w14:textId="77777777" w:rsidR="005B5818" w:rsidRPr="00B0317C" w:rsidRDefault="005B5818" w:rsidP="00B60372">
      <w:pPr>
        <w:pStyle w:val="Caption"/>
      </w:pPr>
      <w:bookmarkStart w:id="83" w:name="_Ref391053872"/>
      <w:bookmarkStart w:id="84" w:name="_Toc401061093"/>
      <w:r w:rsidRPr="00B0317C">
        <w:t xml:space="preserve">Table </w:t>
      </w:r>
      <w:r w:rsidR="005559F5" w:rsidRPr="00B0317C">
        <w:fldChar w:fldCharType="begin"/>
      </w:r>
      <w:r w:rsidRPr="00B0317C">
        <w:instrText xml:space="preserve"> SEQ Table \* ARABIC </w:instrText>
      </w:r>
      <w:r w:rsidR="005559F5" w:rsidRPr="00B0317C">
        <w:fldChar w:fldCharType="separate"/>
      </w:r>
      <w:r w:rsidR="0031717B">
        <w:rPr>
          <w:noProof/>
        </w:rPr>
        <w:t>6</w:t>
      </w:r>
      <w:r w:rsidR="005559F5" w:rsidRPr="00B0317C">
        <w:fldChar w:fldCharType="end"/>
      </w:r>
      <w:bookmarkEnd w:id="83"/>
      <w:r w:rsidRPr="00B0317C">
        <w:t>: Summary</w:t>
      </w:r>
      <w:r>
        <w:t xml:space="preserve"> of</w:t>
      </w:r>
      <w:r w:rsidRPr="00B0317C">
        <w:t xml:space="preserve"> </w:t>
      </w:r>
      <w:r>
        <w:t xml:space="preserve">aggregation </w:t>
      </w:r>
      <w:r w:rsidRPr="00B0317C">
        <w:t>levels</w:t>
      </w:r>
      <w:r>
        <w:t xml:space="preserve"> at which </w:t>
      </w:r>
      <w:proofErr w:type="spellStart"/>
      <w:r>
        <w:t>the</w:t>
      </w:r>
      <w:proofErr w:type="spellEnd"/>
      <w:r>
        <w:t xml:space="preserve"> </w:t>
      </w:r>
      <w:r w:rsidR="00A11955" w:rsidRPr="00F3437F">
        <w:rPr>
          <w:position w:val="-14"/>
        </w:rPr>
        <w:object w:dxaOrig="840" w:dyaOrig="400" w14:anchorId="36D6BC55">
          <v:shape id="_x0000_i1395" type="#_x0000_t75" style="width:42pt;height:20.25pt" o:ole="">
            <v:imagedata r:id="rId627" o:title=""/>
          </v:shape>
          <o:OLEObject Type="Embed" ProgID="Equation.DSMT4" ShapeID="_x0000_i1395" DrawAspect="Content" ObjectID="_1775046031" r:id="rId652"/>
        </w:object>
      </w:r>
      <w:r>
        <w:rPr>
          <w:rFonts w:eastAsiaTheme="minorEastAsia"/>
        </w:rPr>
        <w:t xml:space="preserve"> are calculated</w:t>
      </w:r>
      <w:r w:rsidR="000E4FA5">
        <w:rPr>
          <w:rFonts w:eastAsiaTheme="minorEastAsia"/>
        </w:rPr>
        <w:t>.</w:t>
      </w:r>
      <w:bookmarkEnd w:id="84"/>
    </w:p>
    <w:tbl>
      <w:tblPr>
        <w:tblStyle w:val="Style1"/>
        <w:tblW w:w="8157" w:type="dxa"/>
        <w:tblLayout w:type="fixed"/>
        <w:tblLook w:val="04A0" w:firstRow="1" w:lastRow="0" w:firstColumn="1" w:lastColumn="0" w:noHBand="0" w:noVBand="1"/>
        <w:tblCaption w:val="Summary of aggregation levels at which the relative change extimates are calculated "/>
        <w:tblDescription w:val="The table has five columns: column one lists the level of aggregation (diagnosis dimension); column two provides the proportion of relative change estimates calculated within ADRG (at each level of aggregation); column three provides the proportion of relative change estimates calculated within MDC by Partition (at each level of aggregation); column four provides the proportion of relative change estimates calculated within MDC (at each level of aggregation); and column five provides the proportion of relative change estimates calculated within All ADRGs (at each level of aggregation)."/>
      </w:tblPr>
      <w:tblGrid>
        <w:gridCol w:w="3244"/>
        <w:gridCol w:w="1209"/>
        <w:gridCol w:w="1210"/>
        <w:gridCol w:w="1247"/>
        <w:gridCol w:w="1247"/>
      </w:tblGrid>
      <w:tr w:rsidR="00DE7D03" w:rsidRPr="00DE7D03" w14:paraId="12615F39" w14:textId="77777777" w:rsidTr="002C2518">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244" w:type="dxa"/>
            <w:noWrap/>
            <w:hideMark/>
          </w:tcPr>
          <w:p w14:paraId="6F914E4E" w14:textId="77777777" w:rsidR="00DE7D03" w:rsidRPr="00DE7D03" w:rsidRDefault="006931BA" w:rsidP="00B60372">
            <w:pPr>
              <w:pStyle w:val="Table"/>
            </w:pPr>
            <w:r>
              <w:t>Level</w:t>
            </w:r>
            <w:r w:rsidRPr="006931BA">
              <w:t xml:space="preserve"> of aggregation </w:t>
            </w:r>
            <w:r>
              <w:t>(</w:t>
            </w:r>
            <w:r w:rsidRPr="006931BA">
              <w:t>diagnosis dimension</w:t>
            </w:r>
            <w:r>
              <w:t>)</w:t>
            </w:r>
          </w:p>
        </w:tc>
        <w:tc>
          <w:tcPr>
            <w:tcW w:w="1209" w:type="dxa"/>
            <w:noWrap/>
            <w:hideMark/>
          </w:tcPr>
          <w:p w14:paraId="3475F408" w14:textId="77777777" w:rsidR="00DE7D03" w:rsidRPr="00DE7D03" w:rsidRDefault="00DE7D03" w:rsidP="00B60372">
            <w:pPr>
              <w:pStyle w:val="Table"/>
              <w:cnfStyle w:val="100000000000" w:firstRow="1" w:lastRow="0" w:firstColumn="0" w:lastColumn="0" w:oddVBand="0" w:evenVBand="0" w:oddHBand="0" w:evenHBand="0" w:firstRowFirstColumn="0" w:firstRowLastColumn="0" w:lastRowFirstColumn="0" w:lastRowLastColumn="0"/>
            </w:pPr>
            <w:r w:rsidRPr="00DE7D03">
              <w:t>ADRG</w:t>
            </w:r>
          </w:p>
        </w:tc>
        <w:tc>
          <w:tcPr>
            <w:tcW w:w="1210" w:type="dxa"/>
            <w:noWrap/>
            <w:hideMark/>
          </w:tcPr>
          <w:p w14:paraId="2C1FADC0" w14:textId="77777777" w:rsidR="00DE7D03" w:rsidRPr="00DE7D03" w:rsidRDefault="00DE7D03" w:rsidP="00B60372">
            <w:pPr>
              <w:pStyle w:val="Table"/>
              <w:cnfStyle w:val="100000000000" w:firstRow="1" w:lastRow="0" w:firstColumn="0" w:lastColumn="0" w:oddVBand="0" w:evenVBand="0" w:oddHBand="0" w:evenHBand="0" w:firstRowFirstColumn="0" w:firstRowLastColumn="0" w:lastRowFirstColumn="0" w:lastRowLastColumn="0"/>
            </w:pPr>
            <w:r w:rsidRPr="00DE7D03">
              <w:t>MDC by Partition</w:t>
            </w:r>
          </w:p>
        </w:tc>
        <w:tc>
          <w:tcPr>
            <w:tcW w:w="1247" w:type="dxa"/>
            <w:noWrap/>
            <w:hideMark/>
          </w:tcPr>
          <w:p w14:paraId="5659663B" w14:textId="77777777" w:rsidR="00DE7D03" w:rsidRPr="00DE7D03" w:rsidRDefault="00DE7D03" w:rsidP="00B60372">
            <w:pPr>
              <w:pStyle w:val="Table"/>
              <w:cnfStyle w:val="100000000000" w:firstRow="1" w:lastRow="0" w:firstColumn="0" w:lastColumn="0" w:oddVBand="0" w:evenVBand="0" w:oddHBand="0" w:evenHBand="0" w:firstRowFirstColumn="0" w:firstRowLastColumn="0" w:lastRowFirstColumn="0" w:lastRowLastColumn="0"/>
            </w:pPr>
            <w:r w:rsidRPr="00DE7D03">
              <w:t>MDC</w:t>
            </w:r>
          </w:p>
        </w:tc>
        <w:tc>
          <w:tcPr>
            <w:tcW w:w="1247" w:type="dxa"/>
            <w:noWrap/>
            <w:hideMark/>
          </w:tcPr>
          <w:p w14:paraId="3EB3CA36" w14:textId="77777777" w:rsidR="00DE7D03" w:rsidRPr="00DE7D03" w:rsidRDefault="00DE7D03" w:rsidP="00B60372">
            <w:pPr>
              <w:pStyle w:val="Table"/>
              <w:cnfStyle w:val="100000000000" w:firstRow="1" w:lastRow="0" w:firstColumn="0" w:lastColumn="0" w:oddVBand="0" w:evenVBand="0" w:oddHBand="0" w:evenHBand="0" w:firstRowFirstColumn="0" w:firstRowLastColumn="0" w:lastRowFirstColumn="0" w:lastRowLastColumn="0"/>
            </w:pPr>
            <w:r w:rsidRPr="00DE7D03">
              <w:t>All ADRGs</w:t>
            </w:r>
          </w:p>
        </w:tc>
      </w:tr>
      <w:tr w:rsidR="00DE7D03" w:rsidRPr="00C12147" w14:paraId="1EA61700" w14:textId="77777777" w:rsidTr="00DE7D03">
        <w:trPr>
          <w:trHeight w:val="300"/>
        </w:trPr>
        <w:tc>
          <w:tcPr>
            <w:cnfStyle w:val="001000000000" w:firstRow="0" w:lastRow="0" w:firstColumn="1" w:lastColumn="0" w:oddVBand="0" w:evenVBand="0" w:oddHBand="0" w:evenHBand="0" w:firstRowFirstColumn="0" w:firstRowLastColumn="0" w:lastRowFirstColumn="0" w:lastRowLastColumn="0"/>
            <w:tcW w:w="3244" w:type="dxa"/>
            <w:noWrap/>
            <w:hideMark/>
          </w:tcPr>
          <w:p w14:paraId="3C8ECCDF" w14:textId="77777777" w:rsidR="00DE7D03" w:rsidRPr="00C12147" w:rsidRDefault="00DE7D03" w:rsidP="002F7E33">
            <w:pPr>
              <w:pStyle w:val="Table"/>
              <w:keepNext/>
              <w:rPr>
                <w:b w:val="0"/>
                <w:bCs/>
              </w:rPr>
            </w:pPr>
            <w:r w:rsidRPr="00C12147">
              <w:rPr>
                <w:b w:val="0"/>
                <w:bCs/>
              </w:rPr>
              <w:t xml:space="preserve">3-character category within </w:t>
            </w:r>
            <w:r>
              <w:rPr>
                <w:b w:val="0"/>
                <w:bCs/>
              </w:rPr>
              <w:t>CDC</w:t>
            </w:r>
          </w:p>
        </w:tc>
        <w:tc>
          <w:tcPr>
            <w:tcW w:w="1209" w:type="dxa"/>
            <w:noWrap/>
            <w:hideMark/>
          </w:tcPr>
          <w:p w14:paraId="4D566592" w14:textId="77777777" w:rsidR="00DE7D03" w:rsidRPr="00C12147" w:rsidRDefault="00DE7D03" w:rsidP="00B60372">
            <w:pPr>
              <w:pStyle w:val="TableNumber"/>
              <w:cnfStyle w:val="000000000000" w:firstRow="0" w:lastRow="0" w:firstColumn="0" w:lastColumn="0" w:oddVBand="0" w:evenVBand="0" w:oddHBand="0" w:evenHBand="0" w:firstRowFirstColumn="0" w:firstRowLastColumn="0" w:lastRowFirstColumn="0" w:lastRowLastColumn="0"/>
            </w:pPr>
            <w:r w:rsidRPr="00C12147">
              <w:t>2.84%</w:t>
            </w:r>
          </w:p>
        </w:tc>
        <w:tc>
          <w:tcPr>
            <w:tcW w:w="1210" w:type="dxa"/>
            <w:noWrap/>
            <w:hideMark/>
          </w:tcPr>
          <w:p w14:paraId="068374B9" w14:textId="77777777" w:rsidR="00DE7D03" w:rsidRPr="00C12147" w:rsidRDefault="00DE7D03" w:rsidP="00B60372">
            <w:pPr>
              <w:pStyle w:val="TableNumber"/>
              <w:cnfStyle w:val="000000000000" w:firstRow="0" w:lastRow="0" w:firstColumn="0" w:lastColumn="0" w:oddVBand="0" w:evenVBand="0" w:oddHBand="0" w:evenHBand="0" w:firstRowFirstColumn="0" w:firstRowLastColumn="0" w:lastRowFirstColumn="0" w:lastRowLastColumn="0"/>
            </w:pPr>
            <w:r w:rsidRPr="00C12147">
              <w:t>10.98%</w:t>
            </w:r>
          </w:p>
        </w:tc>
        <w:tc>
          <w:tcPr>
            <w:tcW w:w="1247" w:type="dxa"/>
            <w:noWrap/>
            <w:hideMark/>
          </w:tcPr>
          <w:p w14:paraId="7C219925" w14:textId="77777777" w:rsidR="00DE7D03" w:rsidRPr="00C12147" w:rsidRDefault="00DE7D03" w:rsidP="00B60372">
            <w:pPr>
              <w:pStyle w:val="TableNumber"/>
              <w:cnfStyle w:val="000000000000" w:firstRow="0" w:lastRow="0" w:firstColumn="0" w:lastColumn="0" w:oddVBand="0" w:evenVBand="0" w:oddHBand="0" w:evenHBand="0" w:firstRowFirstColumn="0" w:firstRowLastColumn="0" w:lastRowFirstColumn="0" w:lastRowLastColumn="0"/>
            </w:pPr>
            <w:r>
              <w:t>Not applicable</w:t>
            </w:r>
          </w:p>
        </w:tc>
        <w:tc>
          <w:tcPr>
            <w:tcW w:w="1247" w:type="dxa"/>
            <w:noWrap/>
            <w:hideMark/>
          </w:tcPr>
          <w:p w14:paraId="2FFD2CA2" w14:textId="77777777" w:rsidR="00DE7D03" w:rsidRPr="00C12147" w:rsidRDefault="00DE7D03" w:rsidP="00B60372">
            <w:pPr>
              <w:pStyle w:val="TableNumber"/>
              <w:cnfStyle w:val="000000000000" w:firstRow="0" w:lastRow="0" w:firstColumn="0" w:lastColumn="0" w:oddVBand="0" w:evenVBand="0" w:oddHBand="0" w:evenHBand="0" w:firstRowFirstColumn="0" w:firstRowLastColumn="0" w:lastRowFirstColumn="0" w:lastRowLastColumn="0"/>
            </w:pPr>
            <w:r>
              <w:t>Not applicable</w:t>
            </w:r>
          </w:p>
        </w:tc>
      </w:tr>
      <w:tr w:rsidR="00DE7D03" w:rsidRPr="00C12147" w14:paraId="0B2799CC" w14:textId="77777777" w:rsidTr="00DE7D03">
        <w:trPr>
          <w:trHeight w:val="300"/>
        </w:trPr>
        <w:tc>
          <w:tcPr>
            <w:cnfStyle w:val="001000000000" w:firstRow="0" w:lastRow="0" w:firstColumn="1" w:lastColumn="0" w:oddVBand="0" w:evenVBand="0" w:oddHBand="0" w:evenHBand="0" w:firstRowFirstColumn="0" w:firstRowLastColumn="0" w:lastRowFirstColumn="0" w:lastRowLastColumn="0"/>
            <w:tcW w:w="3244" w:type="dxa"/>
            <w:noWrap/>
            <w:hideMark/>
          </w:tcPr>
          <w:p w14:paraId="64CD0DCD" w14:textId="77777777" w:rsidR="00DE7D03" w:rsidRPr="00C12147" w:rsidRDefault="00DE7D03" w:rsidP="002F7E33">
            <w:pPr>
              <w:pStyle w:val="Table"/>
              <w:keepNext/>
              <w:rPr>
                <w:b w:val="0"/>
                <w:bCs/>
              </w:rPr>
            </w:pPr>
            <w:r w:rsidRPr="00C12147">
              <w:rPr>
                <w:b w:val="0"/>
                <w:bCs/>
              </w:rPr>
              <w:t xml:space="preserve">Code Block within </w:t>
            </w:r>
            <w:r>
              <w:rPr>
                <w:b w:val="0"/>
                <w:bCs/>
              </w:rPr>
              <w:t>CDC</w:t>
            </w:r>
          </w:p>
        </w:tc>
        <w:tc>
          <w:tcPr>
            <w:tcW w:w="1209" w:type="dxa"/>
            <w:noWrap/>
            <w:hideMark/>
          </w:tcPr>
          <w:p w14:paraId="29975128" w14:textId="77777777" w:rsidR="00DE7D03" w:rsidRPr="00C12147" w:rsidRDefault="00DE7D03" w:rsidP="00B60372">
            <w:pPr>
              <w:pStyle w:val="TableNumber"/>
              <w:cnfStyle w:val="000000000000" w:firstRow="0" w:lastRow="0" w:firstColumn="0" w:lastColumn="0" w:oddVBand="0" w:evenVBand="0" w:oddHBand="0" w:evenHBand="0" w:firstRowFirstColumn="0" w:firstRowLastColumn="0" w:lastRowFirstColumn="0" w:lastRowLastColumn="0"/>
            </w:pPr>
            <w:r w:rsidRPr="00C12147">
              <w:t>6.22%</w:t>
            </w:r>
          </w:p>
        </w:tc>
        <w:tc>
          <w:tcPr>
            <w:tcW w:w="1210" w:type="dxa"/>
            <w:noWrap/>
            <w:hideMark/>
          </w:tcPr>
          <w:p w14:paraId="2D1143A6" w14:textId="77777777" w:rsidR="00DE7D03" w:rsidRPr="00C12147" w:rsidRDefault="00DE7D03" w:rsidP="00B60372">
            <w:pPr>
              <w:pStyle w:val="TableNumber"/>
              <w:cnfStyle w:val="000000000000" w:firstRow="0" w:lastRow="0" w:firstColumn="0" w:lastColumn="0" w:oddVBand="0" w:evenVBand="0" w:oddHBand="0" w:evenHBand="0" w:firstRowFirstColumn="0" w:firstRowLastColumn="0" w:lastRowFirstColumn="0" w:lastRowLastColumn="0"/>
            </w:pPr>
            <w:r w:rsidRPr="00C12147">
              <w:t>13.93%</w:t>
            </w:r>
          </w:p>
        </w:tc>
        <w:tc>
          <w:tcPr>
            <w:tcW w:w="1247" w:type="dxa"/>
            <w:noWrap/>
            <w:hideMark/>
          </w:tcPr>
          <w:p w14:paraId="0A5D0229" w14:textId="77777777" w:rsidR="00DE7D03" w:rsidRPr="00C12147" w:rsidRDefault="00DE7D03" w:rsidP="00B60372">
            <w:pPr>
              <w:pStyle w:val="TableNumber"/>
              <w:cnfStyle w:val="000000000000" w:firstRow="0" w:lastRow="0" w:firstColumn="0" w:lastColumn="0" w:oddVBand="0" w:evenVBand="0" w:oddHBand="0" w:evenHBand="0" w:firstRowFirstColumn="0" w:firstRowLastColumn="0" w:lastRowFirstColumn="0" w:lastRowLastColumn="0"/>
            </w:pPr>
            <w:r>
              <w:t>Not applicable</w:t>
            </w:r>
          </w:p>
        </w:tc>
        <w:tc>
          <w:tcPr>
            <w:tcW w:w="1247" w:type="dxa"/>
            <w:noWrap/>
            <w:hideMark/>
          </w:tcPr>
          <w:p w14:paraId="2D28A3FB" w14:textId="77777777" w:rsidR="00DE7D03" w:rsidRPr="00C12147" w:rsidRDefault="00DE7D03" w:rsidP="00B60372">
            <w:pPr>
              <w:pStyle w:val="TableNumber"/>
              <w:cnfStyle w:val="000000000000" w:firstRow="0" w:lastRow="0" w:firstColumn="0" w:lastColumn="0" w:oddVBand="0" w:evenVBand="0" w:oddHBand="0" w:evenHBand="0" w:firstRowFirstColumn="0" w:firstRowLastColumn="0" w:lastRowFirstColumn="0" w:lastRowLastColumn="0"/>
            </w:pPr>
            <w:r>
              <w:t>Not applicable</w:t>
            </w:r>
          </w:p>
        </w:tc>
      </w:tr>
      <w:tr w:rsidR="00DE7D03" w:rsidRPr="00C12147" w14:paraId="61533D20" w14:textId="77777777" w:rsidTr="00DE7D03">
        <w:trPr>
          <w:trHeight w:val="300"/>
        </w:trPr>
        <w:tc>
          <w:tcPr>
            <w:cnfStyle w:val="001000000000" w:firstRow="0" w:lastRow="0" w:firstColumn="1" w:lastColumn="0" w:oddVBand="0" w:evenVBand="0" w:oddHBand="0" w:evenHBand="0" w:firstRowFirstColumn="0" w:firstRowLastColumn="0" w:lastRowFirstColumn="0" w:lastRowLastColumn="0"/>
            <w:tcW w:w="3244" w:type="dxa"/>
            <w:noWrap/>
            <w:hideMark/>
          </w:tcPr>
          <w:p w14:paraId="0943D0C6" w14:textId="77777777" w:rsidR="00DE7D03" w:rsidRPr="00C12147" w:rsidRDefault="00DE7D03" w:rsidP="002F7E33">
            <w:pPr>
              <w:pStyle w:val="Table"/>
              <w:keepNext/>
              <w:rPr>
                <w:b w:val="0"/>
                <w:bCs/>
              </w:rPr>
            </w:pPr>
            <w:r w:rsidRPr="00C12147">
              <w:rPr>
                <w:b w:val="0"/>
                <w:bCs/>
              </w:rPr>
              <w:t xml:space="preserve">Code Section within </w:t>
            </w:r>
            <w:r>
              <w:rPr>
                <w:b w:val="0"/>
                <w:bCs/>
              </w:rPr>
              <w:t>CDC</w:t>
            </w:r>
          </w:p>
        </w:tc>
        <w:tc>
          <w:tcPr>
            <w:tcW w:w="1209" w:type="dxa"/>
            <w:noWrap/>
            <w:hideMark/>
          </w:tcPr>
          <w:p w14:paraId="09ACEF1C" w14:textId="77777777" w:rsidR="00DE7D03" w:rsidRPr="00C12147" w:rsidRDefault="00DE7D03" w:rsidP="00B60372">
            <w:pPr>
              <w:pStyle w:val="TableNumber"/>
              <w:cnfStyle w:val="000000000000" w:firstRow="0" w:lastRow="0" w:firstColumn="0" w:lastColumn="0" w:oddVBand="0" w:evenVBand="0" w:oddHBand="0" w:evenHBand="0" w:firstRowFirstColumn="0" w:firstRowLastColumn="0" w:lastRowFirstColumn="0" w:lastRowLastColumn="0"/>
            </w:pPr>
            <w:r w:rsidRPr="00C12147">
              <w:t>4.29%</w:t>
            </w:r>
          </w:p>
        </w:tc>
        <w:tc>
          <w:tcPr>
            <w:tcW w:w="1210" w:type="dxa"/>
            <w:noWrap/>
            <w:hideMark/>
          </w:tcPr>
          <w:p w14:paraId="4A5DBAF8" w14:textId="77777777" w:rsidR="00DE7D03" w:rsidRPr="00C12147" w:rsidRDefault="00DE7D03" w:rsidP="00B60372">
            <w:pPr>
              <w:pStyle w:val="TableNumber"/>
              <w:cnfStyle w:val="000000000000" w:firstRow="0" w:lastRow="0" w:firstColumn="0" w:lastColumn="0" w:oddVBand="0" w:evenVBand="0" w:oddHBand="0" w:evenHBand="0" w:firstRowFirstColumn="0" w:firstRowLastColumn="0" w:lastRowFirstColumn="0" w:lastRowLastColumn="0"/>
            </w:pPr>
            <w:r w:rsidRPr="00C12147">
              <w:t>5.14%</w:t>
            </w:r>
          </w:p>
        </w:tc>
        <w:tc>
          <w:tcPr>
            <w:tcW w:w="1247" w:type="dxa"/>
            <w:noWrap/>
            <w:hideMark/>
          </w:tcPr>
          <w:p w14:paraId="08DAA5F9" w14:textId="77777777" w:rsidR="00DE7D03" w:rsidRPr="00C12147" w:rsidRDefault="00DE7D03" w:rsidP="00B60372">
            <w:pPr>
              <w:pStyle w:val="TableNumber"/>
              <w:cnfStyle w:val="000000000000" w:firstRow="0" w:lastRow="0" w:firstColumn="0" w:lastColumn="0" w:oddVBand="0" w:evenVBand="0" w:oddHBand="0" w:evenHBand="0" w:firstRowFirstColumn="0" w:firstRowLastColumn="0" w:lastRowFirstColumn="0" w:lastRowLastColumn="0"/>
            </w:pPr>
            <w:r>
              <w:t>Not applicable</w:t>
            </w:r>
          </w:p>
        </w:tc>
        <w:tc>
          <w:tcPr>
            <w:tcW w:w="1247" w:type="dxa"/>
            <w:noWrap/>
            <w:hideMark/>
          </w:tcPr>
          <w:p w14:paraId="471DE7D2" w14:textId="77777777" w:rsidR="00DE7D03" w:rsidRPr="00C12147" w:rsidRDefault="00DE7D03" w:rsidP="00B60372">
            <w:pPr>
              <w:pStyle w:val="TableNumber"/>
              <w:cnfStyle w:val="000000000000" w:firstRow="0" w:lastRow="0" w:firstColumn="0" w:lastColumn="0" w:oddVBand="0" w:evenVBand="0" w:oddHBand="0" w:evenHBand="0" w:firstRowFirstColumn="0" w:firstRowLastColumn="0" w:lastRowFirstColumn="0" w:lastRowLastColumn="0"/>
            </w:pPr>
            <w:r>
              <w:t>Not applicable</w:t>
            </w:r>
          </w:p>
        </w:tc>
      </w:tr>
      <w:tr w:rsidR="00DE7D03" w:rsidRPr="00C12147" w14:paraId="5CC3D077" w14:textId="77777777" w:rsidTr="00DE7D03">
        <w:trPr>
          <w:trHeight w:val="300"/>
        </w:trPr>
        <w:tc>
          <w:tcPr>
            <w:cnfStyle w:val="001000000000" w:firstRow="0" w:lastRow="0" w:firstColumn="1" w:lastColumn="0" w:oddVBand="0" w:evenVBand="0" w:oddHBand="0" w:evenHBand="0" w:firstRowFirstColumn="0" w:firstRowLastColumn="0" w:lastRowFirstColumn="0" w:lastRowLastColumn="0"/>
            <w:tcW w:w="3244" w:type="dxa"/>
            <w:noWrap/>
            <w:hideMark/>
          </w:tcPr>
          <w:p w14:paraId="515CECA9" w14:textId="77777777" w:rsidR="00DE7D03" w:rsidRPr="00C12147" w:rsidRDefault="00DE7D03" w:rsidP="002F7E33">
            <w:pPr>
              <w:pStyle w:val="Table"/>
              <w:keepNext/>
              <w:rPr>
                <w:b w:val="0"/>
                <w:bCs/>
              </w:rPr>
            </w:pPr>
            <w:r w:rsidRPr="00C12147">
              <w:rPr>
                <w:b w:val="0"/>
                <w:bCs/>
              </w:rPr>
              <w:t xml:space="preserve">Code Chapter within </w:t>
            </w:r>
            <w:r>
              <w:rPr>
                <w:b w:val="0"/>
                <w:bCs/>
              </w:rPr>
              <w:t>CDC</w:t>
            </w:r>
          </w:p>
        </w:tc>
        <w:tc>
          <w:tcPr>
            <w:tcW w:w="1209" w:type="dxa"/>
            <w:noWrap/>
            <w:hideMark/>
          </w:tcPr>
          <w:p w14:paraId="74EFE8C8" w14:textId="77777777" w:rsidR="00DE7D03" w:rsidRPr="00C12147" w:rsidRDefault="00DE7D03" w:rsidP="00B60372">
            <w:pPr>
              <w:pStyle w:val="TableNumber"/>
              <w:cnfStyle w:val="000000000000" w:firstRow="0" w:lastRow="0" w:firstColumn="0" w:lastColumn="0" w:oddVBand="0" w:evenVBand="0" w:oddHBand="0" w:evenHBand="0" w:firstRowFirstColumn="0" w:firstRowLastColumn="0" w:lastRowFirstColumn="0" w:lastRowLastColumn="0"/>
            </w:pPr>
            <w:r w:rsidRPr="00C12147">
              <w:t>7.54%</w:t>
            </w:r>
          </w:p>
        </w:tc>
        <w:tc>
          <w:tcPr>
            <w:tcW w:w="1210" w:type="dxa"/>
            <w:noWrap/>
            <w:hideMark/>
          </w:tcPr>
          <w:p w14:paraId="32C2353F" w14:textId="77777777" w:rsidR="00DE7D03" w:rsidRPr="00C12147" w:rsidRDefault="00DE7D03" w:rsidP="00B60372">
            <w:pPr>
              <w:pStyle w:val="TableNumber"/>
              <w:cnfStyle w:val="000000000000" w:firstRow="0" w:lastRow="0" w:firstColumn="0" w:lastColumn="0" w:oddVBand="0" w:evenVBand="0" w:oddHBand="0" w:evenHBand="0" w:firstRowFirstColumn="0" w:firstRowLastColumn="0" w:lastRowFirstColumn="0" w:lastRowLastColumn="0"/>
            </w:pPr>
            <w:r w:rsidRPr="00C12147">
              <w:t>7.53%</w:t>
            </w:r>
          </w:p>
        </w:tc>
        <w:tc>
          <w:tcPr>
            <w:tcW w:w="1247" w:type="dxa"/>
            <w:noWrap/>
            <w:hideMark/>
          </w:tcPr>
          <w:p w14:paraId="5F817DA3" w14:textId="77777777" w:rsidR="00DE7D03" w:rsidRPr="00C12147" w:rsidRDefault="00DE7D03" w:rsidP="00B60372">
            <w:pPr>
              <w:pStyle w:val="TableNumber"/>
              <w:cnfStyle w:val="000000000000" w:firstRow="0" w:lastRow="0" w:firstColumn="0" w:lastColumn="0" w:oddVBand="0" w:evenVBand="0" w:oddHBand="0" w:evenHBand="0" w:firstRowFirstColumn="0" w:firstRowLastColumn="0" w:lastRowFirstColumn="0" w:lastRowLastColumn="0"/>
            </w:pPr>
            <w:r w:rsidRPr="00C12147">
              <w:t>10.27%</w:t>
            </w:r>
          </w:p>
        </w:tc>
        <w:tc>
          <w:tcPr>
            <w:tcW w:w="1247" w:type="dxa"/>
            <w:noWrap/>
            <w:hideMark/>
          </w:tcPr>
          <w:p w14:paraId="05BDC88F" w14:textId="77777777" w:rsidR="00DE7D03" w:rsidRPr="00C12147" w:rsidRDefault="00DE7D03" w:rsidP="00B60372">
            <w:pPr>
              <w:pStyle w:val="TableNumber"/>
              <w:cnfStyle w:val="000000000000" w:firstRow="0" w:lastRow="0" w:firstColumn="0" w:lastColumn="0" w:oddVBand="0" w:evenVBand="0" w:oddHBand="0" w:evenHBand="0" w:firstRowFirstColumn="0" w:firstRowLastColumn="0" w:lastRowFirstColumn="0" w:lastRowLastColumn="0"/>
            </w:pPr>
            <w:r w:rsidRPr="00C12147">
              <w:t>11.38%</w:t>
            </w:r>
          </w:p>
        </w:tc>
      </w:tr>
      <w:tr w:rsidR="00DE7D03" w:rsidRPr="00C12147" w14:paraId="01DCB249" w14:textId="77777777" w:rsidTr="00DE7D03">
        <w:trPr>
          <w:trHeight w:val="300"/>
        </w:trPr>
        <w:tc>
          <w:tcPr>
            <w:cnfStyle w:val="001000000000" w:firstRow="0" w:lastRow="0" w:firstColumn="1" w:lastColumn="0" w:oddVBand="0" w:evenVBand="0" w:oddHBand="0" w:evenHBand="0" w:firstRowFirstColumn="0" w:firstRowLastColumn="0" w:lastRowFirstColumn="0" w:lastRowLastColumn="0"/>
            <w:tcW w:w="3244" w:type="dxa"/>
            <w:noWrap/>
            <w:hideMark/>
          </w:tcPr>
          <w:p w14:paraId="5F21601C" w14:textId="77777777" w:rsidR="00DE7D03" w:rsidRPr="00C12147" w:rsidRDefault="00DE7D03" w:rsidP="00B60372">
            <w:pPr>
              <w:pStyle w:val="Table"/>
              <w:rPr>
                <w:b w:val="0"/>
                <w:bCs/>
              </w:rPr>
            </w:pPr>
            <w:r w:rsidRPr="00C12147">
              <w:rPr>
                <w:b w:val="0"/>
                <w:bCs/>
              </w:rPr>
              <w:t>C</w:t>
            </w:r>
            <w:r>
              <w:rPr>
                <w:b w:val="0"/>
                <w:bCs/>
              </w:rPr>
              <w:t>DC</w:t>
            </w:r>
          </w:p>
        </w:tc>
        <w:tc>
          <w:tcPr>
            <w:tcW w:w="1209" w:type="dxa"/>
            <w:noWrap/>
            <w:hideMark/>
          </w:tcPr>
          <w:p w14:paraId="1E710E2E" w14:textId="77777777" w:rsidR="00DE7D03" w:rsidRPr="00C12147" w:rsidRDefault="00DE7D03" w:rsidP="00B60372">
            <w:pPr>
              <w:pStyle w:val="TableNumber"/>
              <w:cnfStyle w:val="000000000000" w:firstRow="0" w:lastRow="0" w:firstColumn="0" w:lastColumn="0" w:oddVBand="0" w:evenVBand="0" w:oddHBand="0" w:evenHBand="0" w:firstRowFirstColumn="0" w:firstRowLastColumn="0" w:lastRowFirstColumn="0" w:lastRowLastColumn="0"/>
            </w:pPr>
            <w:r w:rsidRPr="00C12147">
              <w:t>9.91%</w:t>
            </w:r>
          </w:p>
        </w:tc>
        <w:tc>
          <w:tcPr>
            <w:tcW w:w="1210" w:type="dxa"/>
            <w:noWrap/>
            <w:hideMark/>
          </w:tcPr>
          <w:p w14:paraId="7239C5C9" w14:textId="77777777" w:rsidR="00DE7D03" w:rsidRPr="00C12147" w:rsidRDefault="00DE7D03" w:rsidP="00B60372">
            <w:pPr>
              <w:pStyle w:val="TableNumber"/>
              <w:cnfStyle w:val="000000000000" w:firstRow="0" w:lastRow="0" w:firstColumn="0" w:lastColumn="0" w:oddVBand="0" w:evenVBand="0" w:oddHBand="0" w:evenHBand="0" w:firstRowFirstColumn="0" w:firstRowLastColumn="0" w:lastRowFirstColumn="0" w:lastRowLastColumn="0"/>
            </w:pPr>
            <w:r w:rsidRPr="00C12147">
              <w:t>8.35%</w:t>
            </w:r>
          </w:p>
        </w:tc>
        <w:tc>
          <w:tcPr>
            <w:tcW w:w="1247" w:type="dxa"/>
            <w:noWrap/>
            <w:hideMark/>
          </w:tcPr>
          <w:p w14:paraId="2D65B060" w14:textId="77777777" w:rsidR="00DE7D03" w:rsidRPr="00C12147" w:rsidRDefault="00DE7D03" w:rsidP="00B60372">
            <w:pPr>
              <w:pStyle w:val="TableNumber"/>
              <w:cnfStyle w:val="000000000000" w:firstRow="0" w:lastRow="0" w:firstColumn="0" w:lastColumn="0" w:oddVBand="0" w:evenVBand="0" w:oddHBand="0" w:evenHBand="0" w:firstRowFirstColumn="0" w:firstRowLastColumn="0" w:lastRowFirstColumn="0" w:lastRowLastColumn="0"/>
            </w:pPr>
            <w:r w:rsidRPr="00C12147">
              <w:t>1.58%</w:t>
            </w:r>
          </w:p>
        </w:tc>
        <w:tc>
          <w:tcPr>
            <w:tcW w:w="1247" w:type="dxa"/>
            <w:noWrap/>
            <w:hideMark/>
          </w:tcPr>
          <w:p w14:paraId="312C0C32" w14:textId="77777777" w:rsidR="00DE7D03" w:rsidRPr="00C12147" w:rsidRDefault="00DE7D03" w:rsidP="00B60372">
            <w:pPr>
              <w:pStyle w:val="TableNumber"/>
              <w:cnfStyle w:val="000000000000" w:firstRow="0" w:lastRow="0" w:firstColumn="0" w:lastColumn="0" w:oddVBand="0" w:evenVBand="0" w:oddHBand="0" w:evenHBand="0" w:firstRowFirstColumn="0" w:firstRowLastColumn="0" w:lastRowFirstColumn="0" w:lastRowLastColumn="0"/>
            </w:pPr>
            <w:r w:rsidRPr="00C12147">
              <w:t>0.06%</w:t>
            </w:r>
          </w:p>
        </w:tc>
      </w:tr>
    </w:tbl>
    <w:p w14:paraId="0AB03F03" w14:textId="77777777" w:rsidR="005B5818" w:rsidRDefault="005B5818" w:rsidP="00B60372">
      <w:pPr>
        <w:rPr>
          <w:rFonts w:eastAsiaTheme="minorEastAsia"/>
          <w:szCs w:val="24"/>
          <w:lang w:val="en-AU"/>
        </w:rPr>
      </w:pPr>
      <w:r>
        <w:rPr>
          <w:rFonts w:eastAsiaTheme="minorEastAsia"/>
          <w:szCs w:val="24"/>
          <w:lang w:val="en-AU"/>
        </w:rPr>
        <w:t>Finally, the DCL of a diagnosis</w:t>
      </w:r>
      <w:r w:rsidR="00962DB6" w:rsidRPr="00962DB6">
        <w:rPr>
          <w:rFonts w:eastAsiaTheme="minorEastAsia"/>
          <w:position w:val="-6"/>
          <w:szCs w:val="24"/>
          <w:lang w:val="en-AU"/>
        </w:rPr>
        <w:object w:dxaOrig="200" w:dyaOrig="220" w14:anchorId="6703CD36">
          <v:shape id="_x0000_i1396" type="#_x0000_t75" style="width:9.75pt;height:11.25pt" o:ole="">
            <v:imagedata r:id="rId639" o:title=""/>
          </v:shape>
          <o:OLEObject Type="Embed" ProgID="Equation.DSMT4" ShapeID="_x0000_i1396" DrawAspect="Content" ObjectID="_1775046032" r:id="rId653"/>
        </w:object>
      </w:r>
      <w:r>
        <w:rPr>
          <w:rFonts w:eastAsiaTheme="minorEastAsia"/>
          <w:szCs w:val="24"/>
          <w:lang w:val="en-AU"/>
        </w:rPr>
        <w:t xml:space="preserve"> in an ADRG </w:t>
      </w:r>
      <w:r w:rsidR="00962DB6" w:rsidRPr="00832067">
        <w:rPr>
          <w:rFonts w:eastAsiaTheme="minorEastAsia"/>
          <w:position w:val="-4"/>
          <w:szCs w:val="24"/>
          <w:lang w:val="en-AU"/>
        </w:rPr>
        <w:object w:dxaOrig="240" w:dyaOrig="260" w14:anchorId="17E483A3">
          <v:shape id="_x0000_i1397" type="#_x0000_t75" style="width:12pt;height:12.75pt" o:ole="">
            <v:imagedata r:id="rId654" o:title=""/>
          </v:shape>
          <o:OLEObject Type="Embed" ProgID="Equation.DSMT4" ShapeID="_x0000_i1397" DrawAspect="Content" ObjectID="_1775046033" r:id="rId655"/>
        </w:object>
      </w:r>
      <w:r>
        <w:rPr>
          <w:rFonts w:eastAsiaTheme="minorEastAsia"/>
          <w:szCs w:val="24"/>
          <w:lang w:val="en-AU"/>
        </w:rPr>
        <w:t xml:space="preserve"> is defined by standardising </w:t>
      </w:r>
      <w:r w:rsidR="00A11955" w:rsidRPr="00F3437F">
        <w:rPr>
          <w:position w:val="-14"/>
        </w:rPr>
        <w:object w:dxaOrig="840" w:dyaOrig="400" w14:anchorId="349AB0B9">
          <v:shape id="_x0000_i1398" type="#_x0000_t75" style="width:42pt;height:20.25pt" o:ole="">
            <v:imagedata r:id="rId627" o:title=""/>
          </v:shape>
          <o:OLEObject Type="Embed" ProgID="Equation.DSMT4" ShapeID="_x0000_i1398" DrawAspect="Content" ObjectID="_1775046034" r:id="rId656"/>
        </w:object>
      </w:r>
      <w:r>
        <w:rPr>
          <w:rFonts w:eastAsiaTheme="minorEastAsia"/>
          <w:szCs w:val="24"/>
          <w:lang w:val="en-AU"/>
        </w:rPr>
        <w:t xml:space="preserve"> using the modelled relative change in cost associated with </w:t>
      </w:r>
      <w:proofErr w:type="spellStart"/>
      <w:r w:rsidR="008F49D5">
        <w:rPr>
          <w:rFonts w:eastAsiaTheme="minorEastAsia"/>
          <w:szCs w:val="24"/>
          <w:lang w:val="en-AU"/>
        </w:rPr>
        <w:t>ADx</w:t>
      </w:r>
      <w:proofErr w:type="spellEnd"/>
      <w:r>
        <w:rPr>
          <w:rFonts w:eastAsiaTheme="minorEastAsia"/>
          <w:szCs w:val="24"/>
          <w:lang w:val="en-AU"/>
        </w:rPr>
        <w:t xml:space="preserve"> in </w:t>
      </w:r>
      <w:r w:rsidR="00962DB6" w:rsidRPr="00832067">
        <w:rPr>
          <w:rFonts w:eastAsiaTheme="minorEastAsia"/>
          <w:position w:val="-4"/>
          <w:szCs w:val="24"/>
          <w:lang w:val="en-AU"/>
        </w:rPr>
        <w:object w:dxaOrig="240" w:dyaOrig="260" w14:anchorId="2D7A7F00">
          <v:shape id="_x0000_i1399" type="#_x0000_t75" style="width:12pt;height:12.75pt" o:ole="">
            <v:imagedata r:id="rId654" o:title=""/>
          </v:shape>
          <o:OLEObject Type="Embed" ProgID="Equation.DSMT4" ShapeID="_x0000_i1399" DrawAspect="Content" ObjectID="_1775046035" r:id="rId657"/>
        </w:object>
      </w:r>
      <w:r>
        <w:rPr>
          <w:rFonts w:eastAsiaTheme="minorEastAsia"/>
          <w:szCs w:val="24"/>
          <w:lang w:val="en-AU"/>
        </w:rPr>
        <w:t xml:space="preserve">; that is, standardising </w:t>
      </w:r>
      <w:r w:rsidR="00A11955" w:rsidRPr="00F3437F">
        <w:rPr>
          <w:position w:val="-14"/>
        </w:rPr>
        <w:object w:dxaOrig="840" w:dyaOrig="400" w14:anchorId="4F66FC04">
          <v:shape id="_x0000_i1400" type="#_x0000_t75" style="width:42pt;height:20.25pt" o:ole="">
            <v:imagedata r:id="rId627" o:title=""/>
          </v:shape>
          <o:OLEObject Type="Embed" ProgID="Equation.DSMT4" ShapeID="_x0000_i1400" DrawAspect="Content" ObjectID="_1775046036" r:id="rId658"/>
        </w:object>
      </w:r>
      <w:r>
        <w:rPr>
          <w:rFonts w:eastAsiaTheme="minorEastAsia"/>
          <w:szCs w:val="24"/>
          <w:lang w:val="en-AU"/>
        </w:rPr>
        <w:t xml:space="preserve"> using the </w:t>
      </w:r>
      <w:r w:rsidR="00A11955" w:rsidRPr="00A11955">
        <w:rPr>
          <w:rFonts w:eastAsiaTheme="minorEastAsia"/>
          <w:position w:val="-6"/>
          <w:szCs w:val="24"/>
          <w:lang w:val="en-AU"/>
        </w:rPr>
        <w:object w:dxaOrig="200" w:dyaOrig="279" w14:anchorId="3CDEF733">
          <v:shape id="_x0000_i1401" type="#_x0000_t75" style="width:9.75pt;height:14.25pt" o:ole="">
            <v:imagedata r:id="rId659" o:title=""/>
          </v:shape>
          <o:OLEObject Type="Embed" ProgID="Equation.DSMT4" ShapeID="_x0000_i1401" DrawAspect="Content" ObjectID="_1775046037" r:id="rId660"/>
        </w:object>
      </w:r>
      <w:r w:rsidR="00A11955">
        <w:rPr>
          <w:rFonts w:eastAsiaTheme="minorEastAsia"/>
          <w:szCs w:val="24"/>
          <w:lang w:val="en-AU"/>
        </w:rPr>
        <w:t xml:space="preserve"> </w:t>
      </w:r>
      <w:r>
        <w:rPr>
          <w:rFonts w:eastAsiaTheme="minorEastAsia"/>
          <w:szCs w:val="24"/>
          <w:lang w:val="en-AU"/>
        </w:rPr>
        <w:t xml:space="preserve">parameter from the ADRG cost profile model </w:t>
      </w:r>
      <w:r w:rsidR="00DC78E6" w:rsidRPr="003E5B1C">
        <w:rPr>
          <w:rFonts w:eastAsiaTheme="minorEastAsia"/>
          <w:position w:val="-14"/>
          <w:szCs w:val="24"/>
          <w:lang w:val="en-AU"/>
        </w:rPr>
        <w:object w:dxaOrig="1440" w:dyaOrig="600" w14:anchorId="50BE3FE2">
          <v:shape id="_x0000_i1402" type="#_x0000_t75" style="width:1in;height:30pt" o:ole="">
            <v:imagedata r:id="rId661" o:title=""/>
          </v:shape>
          <o:OLEObject Type="Embed" ProgID="Equation.DSMT4" ShapeID="_x0000_i1402" DrawAspect="Content" ObjectID="_1775046038" r:id="rId662"/>
        </w:object>
      </w:r>
      <w:r>
        <w:rPr>
          <w:rFonts w:eastAsiaTheme="minorEastAsia"/>
          <w:szCs w:val="24"/>
          <w:lang w:val="en-AU"/>
        </w:rPr>
        <w:t>.</w:t>
      </w:r>
    </w:p>
    <w:p w14:paraId="266E1B2E" w14:textId="77777777" w:rsidR="005B5818" w:rsidRDefault="005B5818" w:rsidP="00B60372">
      <w:pPr>
        <w:rPr>
          <w:rFonts w:eastAsiaTheme="minorEastAsia"/>
          <w:szCs w:val="24"/>
          <w:lang w:val="en-AU"/>
        </w:rPr>
      </w:pPr>
      <w:r>
        <w:rPr>
          <w:rFonts w:eastAsiaTheme="minorEastAsia"/>
          <w:szCs w:val="24"/>
          <w:lang w:val="en-AU"/>
        </w:rPr>
        <w:t xml:space="preserve">This standardisation process expresses the relative change estimate </w:t>
      </w:r>
      <w:r w:rsidR="003E5B1C" w:rsidRPr="00F3437F">
        <w:rPr>
          <w:position w:val="-14"/>
        </w:rPr>
        <w:object w:dxaOrig="840" w:dyaOrig="400" w14:anchorId="2DA5B192">
          <v:shape id="_x0000_i1403" type="#_x0000_t75" style="width:42pt;height:20.25pt" o:ole="">
            <v:imagedata r:id="rId627" o:title=""/>
          </v:shape>
          <o:OLEObject Type="Embed" ProgID="Equation.DSMT4" ShapeID="_x0000_i1403" DrawAspect="Content" ObjectID="_1775046039" r:id="rId663"/>
        </w:object>
      </w:r>
      <w:r>
        <w:rPr>
          <w:rFonts w:eastAsiaTheme="minorEastAsia"/>
          <w:szCs w:val="24"/>
          <w:lang w:val="en-AU"/>
        </w:rPr>
        <w:t xml:space="preserve"> in terms of the overall relative change in cost associated with </w:t>
      </w:r>
      <w:proofErr w:type="spellStart"/>
      <w:r w:rsidR="008F49D5">
        <w:rPr>
          <w:rFonts w:eastAsiaTheme="minorEastAsia"/>
          <w:szCs w:val="24"/>
          <w:lang w:val="en-AU"/>
        </w:rPr>
        <w:t>ADx</w:t>
      </w:r>
      <w:proofErr w:type="spellEnd"/>
      <w:r>
        <w:rPr>
          <w:rFonts w:eastAsiaTheme="minorEastAsia"/>
          <w:szCs w:val="24"/>
          <w:lang w:val="en-AU"/>
        </w:rPr>
        <w:t xml:space="preserve"> in</w:t>
      </w:r>
      <w:r w:rsidR="00832067">
        <w:rPr>
          <w:rFonts w:eastAsiaTheme="minorEastAsia"/>
          <w:szCs w:val="24"/>
          <w:lang w:val="en-AU"/>
        </w:rPr>
        <w:t xml:space="preserve"> </w:t>
      </w:r>
      <w:r w:rsidR="00832067" w:rsidRPr="00832067">
        <w:rPr>
          <w:rFonts w:eastAsiaTheme="minorEastAsia"/>
          <w:position w:val="-4"/>
          <w:szCs w:val="24"/>
          <w:lang w:val="en-AU"/>
        </w:rPr>
        <w:object w:dxaOrig="240" w:dyaOrig="260" w14:anchorId="4899FA2A">
          <v:shape id="_x0000_i1404" type="#_x0000_t75" style="width:12pt;height:12.75pt" o:ole="">
            <v:imagedata r:id="rId654" o:title=""/>
          </v:shape>
          <o:OLEObject Type="Embed" ProgID="Equation.DSMT4" ShapeID="_x0000_i1404" DrawAspect="Content" ObjectID="_1775046040" r:id="rId664"/>
        </w:object>
      </w:r>
      <w:r w:rsidR="00832067">
        <w:rPr>
          <w:rFonts w:eastAsiaTheme="minorEastAsia"/>
          <w:szCs w:val="24"/>
          <w:lang w:val="en-AU"/>
        </w:rPr>
        <w:t>.</w:t>
      </w:r>
      <w:r>
        <w:rPr>
          <w:rFonts w:eastAsiaTheme="minorEastAsia"/>
          <w:szCs w:val="24"/>
          <w:lang w:val="en-AU"/>
        </w:rPr>
        <w:t xml:space="preserve"> For example, a standardised relative change of 3 would be equivalent to the relative change associated with three average, or ‘standard’, </w:t>
      </w:r>
      <w:proofErr w:type="spellStart"/>
      <w:r w:rsidR="008F49D5">
        <w:rPr>
          <w:rFonts w:eastAsiaTheme="minorEastAsia"/>
          <w:szCs w:val="24"/>
          <w:lang w:val="en-AU"/>
        </w:rPr>
        <w:t>ADx</w:t>
      </w:r>
      <w:proofErr w:type="spellEnd"/>
      <w:r>
        <w:rPr>
          <w:rFonts w:eastAsiaTheme="minorEastAsia"/>
          <w:szCs w:val="24"/>
          <w:lang w:val="en-AU"/>
        </w:rPr>
        <w:t xml:space="preserve"> within </w:t>
      </w:r>
      <w:r w:rsidR="00832067" w:rsidRPr="00832067">
        <w:rPr>
          <w:rFonts w:eastAsiaTheme="minorEastAsia"/>
          <w:position w:val="-4"/>
          <w:szCs w:val="24"/>
          <w:lang w:val="en-AU"/>
        </w:rPr>
        <w:object w:dxaOrig="240" w:dyaOrig="260" w14:anchorId="561F0C13">
          <v:shape id="_x0000_i1405" type="#_x0000_t75" style="width:12pt;height:12.75pt" o:ole="">
            <v:imagedata r:id="rId654" o:title=""/>
          </v:shape>
          <o:OLEObject Type="Embed" ProgID="Equation.DSMT4" ShapeID="_x0000_i1405" DrawAspect="Content" ObjectID="_1775046041" r:id="rId665"/>
        </w:object>
      </w:r>
      <w:r>
        <w:rPr>
          <w:rFonts w:eastAsiaTheme="minorEastAsia"/>
          <w:szCs w:val="24"/>
          <w:lang w:val="en-AU"/>
        </w:rPr>
        <w:t>.</w:t>
      </w:r>
    </w:p>
    <w:p w14:paraId="691569F3" w14:textId="77777777" w:rsidR="005B5818" w:rsidRDefault="005B5818" w:rsidP="00B60372">
      <w:pPr>
        <w:keepLines/>
        <w:rPr>
          <w:rFonts w:eastAsiaTheme="minorEastAsia"/>
          <w:szCs w:val="24"/>
          <w:lang w:val="en-AU"/>
        </w:rPr>
      </w:pPr>
      <w:r>
        <w:rPr>
          <w:rFonts w:eastAsiaTheme="minorEastAsia"/>
          <w:szCs w:val="24"/>
          <w:lang w:val="en-AU"/>
        </w:rPr>
        <w:lastRenderedPageBreak/>
        <w:t xml:space="preserve">The standardisation of one relative change value </w:t>
      </w:r>
      <w:r w:rsidR="00962DB6" w:rsidRPr="00962DB6">
        <w:rPr>
          <w:rFonts w:eastAsiaTheme="minorEastAsia"/>
          <w:position w:val="-6"/>
          <w:szCs w:val="24"/>
          <w:lang w:val="en-AU"/>
        </w:rPr>
        <w:object w:dxaOrig="180" w:dyaOrig="220" w14:anchorId="001F278C">
          <v:shape id="_x0000_i1406" type="#_x0000_t75" style="width:9pt;height:11.25pt" o:ole="">
            <v:imagedata r:id="rId666" o:title=""/>
          </v:shape>
          <o:OLEObject Type="Embed" ProgID="Equation.DSMT4" ShapeID="_x0000_i1406" DrawAspect="Content" ObjectID="_1775046042" r:id="rId667"/>
        </w:object>
      </w:r>
      <w:r w:rsidR="00962DB6">
        <w:rPr>
          <w:rFonts w:eastAsiaTheme="minorEastAsia"/>
          <w:szCs w:val="24"/>
          <w:lang w:val="en-AU"/>
        </w:rPr>
        <w:t xml:space="preserve"> </w:t>
      </w:r>
      <w:r>
        <w:rPr>
          <w:rFonts w:eastAsiaTheme="minorEastAsia"/>
          <w:szCs w:val="24"/>
          <w:lang w:val="en-AU"/>
        </w:rPr>
        <w:t xml:space="preserve">against another </w:t>
      </w:r>
      <w:r w:rsidR="00962DB6" w:rsidRPr="00962DB6">
        <w:rPr>
          <w:rFonts w:eastAsiaTheme="minorEastAsia"/>
          <w:position w:val="-6"/>
          <w:szCs w:val="24"/>
          <w:lang w:val="en-AU"/>
        </w:rPr>
        <w:object w:dxaOrig="240" w:dyaOrig="220" w14:anchorId="463CD5E3">
          <v:shape id="_x0000_i1407" type="#_x0000_t75" style="width:12pt;height:11.25pt" o:ole="">
            <v:imagedata r:id="rId668" o:title=""/>
          </v:shape>
          <o:OLEObject Type="Embed" ProgID="Equation.DSMT4" ShapeID="_x0000_i1407" DrawAspect="Content" ObjectID="_1775046043" r:id="rId669"/>
        </w:object>
      </w:r>
      <w:r w:rsidR="00962DB6">
        <w:rPr>
          <w:rFonts w:eastAsiaTheme="minorEastAsia"/>
          <w:szCs w:val="24"/>
          <w:lang w:val="en-AU"/>
        </w:rPr>
        <w:t xml:space="preserve"> </w:t>
      </w:r>
      <w:r>
        <w:rPr>
          <w:rFonts w:eastAsiaTheme="minorEastAsia"/>
          <w:szCs w:val="24"/>
          <w:lang w:val="en-AU"/>
        </w:rPr>
        <w:t xml:space="preserve">is equal to the ratio of the logarithms of the values; i.e. </w:t>
      </w:r>
      <w:r w:rsidR="00832067" w:rsidRPr="00832067">
        <w:rPr>
          <w:position w:val="-6"/>
        </w:rPr>
        <w:object w:dxaOrig="940" w:dyaOrig="279" w14:anchorId="26E64FDE">
          <v:shape id="_x0000_i1408" type="#_x0000_t75" style="width:47.25pt;height:14.25pt" o:ole="">
            <v:imagedata r:id="rId670" o:title=""/>
          </v:shape>
          <o:OLEObject Type="Embed" ProgID="Equation.DSMT4" ShapeID="_x0000_i1408" DrawAspect="Content" ObjectID="_1775046044" r:id="rId671"/>
        </w:object>
      </w:r>
      <w:r>
        <w:rPr>
          <w:rFonts w:eastAsiaTheme="minorEastAsia"/>
          <w:szCs w:val="24"/>
          <w:lang w:val="en-AU"/>
        </w:rPr>
        <w:t xml:space="preserve">. To see this, note that the standardised relative change of </w:t>
      </w:r>
      <w:r w:rsidR="00832067" w:rsidRPr="00832067">
        <w:rPr>
          <w:position w:val="-6"/>
        </w:rPr>
        <w:object w:dxaOrig="180" w:dyaOrig="220" w14:anchorId="6C92B6D0">
          <v:shape id="_x0000_i1409" type="#_x0000_t75" style="width:9pt;height:11.25pt" o:ole="">
            <v:imagedata r:id="rId672" o:title=""/>
          </v:shape>
          <o:OLEObject Type="Embed" ProgID="Equation.DSMT4" ShapeID="_x0000_i1409" DrawAspect="Content" ObjectID="_1775046045" r:id="rId673"/>
        </w:object>
      </w:r>
      <w:r>
        <w:rPr>
          <w:rFonts w:eastAsiaTheme="minorEastAsia"/>
          <w:szCs w:val="24"/>
          <w:lang w:val="en-AU"/>
        </w:rPr>
        <w:t xml:space="preserve"> is the number </w:t>
      </w:r>
      <w:r w:rsidR="00832067" w:rsidRPr="00832067">
        <w:rPr>
          <w:position w:val="-14"/>
        </w:rPr>
        <w:object w:dxaOrig="480" w:dyaOrig="400" w14:anchorId="537C281F">
          <v:shape id="_x0000_i1410" type="#_x0000_t75" style="width:24pt;height:20.25pt" o:ole="">
            <v:imagedata r:id="rId674" o:title=""/>
          </v:shape>
          <o:OLEObject Type="Embed" ProgID="Equation.DSMT4" ShapeID="_x0000_i1410" DrawAspect="Content" ObjectID="_1775046046" r:id="rId675"/>
        </w:object>
      </w:r>
      <w:r>
        <w:rPr>
          <w:rFonts w:eastAsiaTheme="minorEastAsia"/>
          <w:szCs w:val="24"/>
          <w:lang w:val="en-AU"/>
        </w:rPr>
        <w:t xml:space="preserve"> satisfying </w:t>
      </w:r>
      <w:r w:rsidR="00832067" w:rsidRPr="00832067">
        <w:rPr>
          <w:position w:val="-6"/>
        </w:rPr>
        <w:object w:dxaOrig="820" w:dyaOrig="340" w14:anchorId="5D1C1017">
          <v:shape id="_x0000_i1411" type="#_x0000_t75" style="width:41.25pt;height:17.25pt" o:ole="">
            <v:imagedata r:id="rId676" o:title=""/>
          </v:shape>
          <o:OLEObject Type="Embed" ProgID="Equation.DSMT4" ShapeID="_x0000_i1411" DrawAspect="Content" ObjectID="_1775046047" r:id="rId677"/>
        </w:object>
      </w:r>
      <w:r>
        <w:rPr>
          <w:rFonts w:eastAsiaTheme="minorEastAsia"/>
          <w:szCs w:val="24"/>
          <w:lang w:val="en-AU"/>
        </w:rPr>
        <w:t xml:space="preserve">. Solving this equation gives </w:t>
      </w:r>
      <w:r w:rsidR="00832067" w:rsidRPr="00832067">
        <w:rPr>
          <w:position w:val="-14"/>
        </w:rPr>
        <w:object w:dxaOrig="1620" w:dyaOrig="400" w14:anchorId="18A2329A">
          <v:shape id="_x0000_i1412" type="#_x0000_t75" style="width:81pt;height:20.25pt" o:ole="">
            <v:imagedata r:id="rId678" o:title=""/>
          </v:shape>
          <o:OLEObject Type="Embed" ProgID="Equation.DSMT4" ShapeID="_x0000_i1412" DrawAspect="Content" ObjectID="_1775046048" r:id="rId679"/>
        </w:object>
      </w:r>
      <w:r>
        <w:rPr>
          <w:rFonts w:eastAsiaTheme="minorEastAsia"/>
          <w:szCs w:val="24"/>
          <w:lang w:val="en-AU"/>
        </w:rPr>
        <w:t>.</w:t>
      </w:r>
    </w:p>
    <w:p w14:paraId="758E6D59" w14:textId="77777777" w:rsidR="005B5818" w:rsidRDefault="005B5818" w:rsidP="00B60372">
      <w:pPr>
        <w:rPr>
          <w:rFonts w:eastAsiaTheme="minorEastAsia"/>
          <w:szCs w:val="24"/>
          <w:lang w:val="en-AU"/>
        </w:rPr>
      </w:pPr>
      <w:r>
        <w:rPr>
          <w:rFonts w:eastAsiaTheme="minorEastAsia"/>
          <w:szCs w:val="24"/>
          <w:lang w:val="en-AU"/>
        </w:rPr>
        <w:t xml:space="preserve">The standardisation factor of </w:t>
      </w:r>
      <w:r w:rsidR="00832067" w:rsidRPr="00832067">
        <w:rPr>
          <w:position w:val="-14"/>
        </w:rPr>
        <w:object w:dxaOrig="840" w:dyaOrig="400" w14:anchorId="217BF52B">
          <v:shape id="_x0000_i1413" type="#_x0000_t75" style="width:42pt;height:20.25pt" o:ole="">
            <v:imagedata r:id="rId680" o:title=""/>
          </v:shape>
          <o:OLEObject Type="Embed" ProgID="Equation.DSMT4" ShapeID="_x0000_i1413" DrawAspect="Content" ObjectID="_1775046049" r:id="rId681"/>
        </w:object>
      </w:r>
      <w:r>
        <w:rPr>
          <w:rFonts w:eastAsiaTheme="minorEastAsia"/>
          <w:szCs w:val="24"/>
          <w:lang w:val="en-AU"/>
        </w:rPr>
        <w:t xml:space="preserve"> is taken as the maximum of </w:t>
      </w:r>
      <w:r w:rsidR="00832067" w:rsidRPr="00832067">
        <w:rPr>
          <w:position w:val="-6"/>
        </w:rPr>
        <w:object w:dxaOrig="200" w:dyaOrig="279" w14:anchorId="2B794771">
          <v:shape id="_x0000_i1414" type="#_x0000_t75" style="width:9.75pt;height:14.25pt" o:ole="">
            <v:imagedata r:id="rId682" o:title=""/>
          </v:shape>
          <o:OLEObject Type="Embed" ProgID="Equation.DSMT4" ShapeID="_x0000_i1414" DrawAspect="Content" ObjectID="_1775046050" r:id="rId683"/>
        </w:object>
      </w:r>
      <w:r>
        <w:rPr>
          <w:rFonts w:eastAsiaTheme="minorEastAsia"/>
          <w:szCs w:val="24"/>
          <w:lang w:val="en-AU"/>
        </w:rPr>
        <w:t xml:space="preserve">, </w:t>
      </w:r>
      <w:r w:rsidR="00832067" w:rsidRPr="00832067">
        <w:rPr>
          <w:position w:val="-6"/>
        </w:rPr>
        <w:object w:dxaOrig="320" w:dyaOrig="279" w14:anchorId="66B68534">
          <v:shape id="_x0000_i1415" type="#_x0000_t75" style="width:15.75pt;height:14.25pt" o:ole="">
            <v:imagedata r:id="rId684" o:title=""/>
          </v:shape>
          <o:OLEObject Type="Embed" ProgID="Equation.DSMT4" ShapeID="_x0000_i1415" DrawAspect="Content" ObjectID="_1775046051" r:id="rId685"/>
        </w:object>
      </w:r>
      <w:r>
        <w:rPr>
          <w:rFonts w:eastAsiaTheme="minorEastAsia"/>
          <w:szCs w:val="24"/>
          <w:lang w:val="en-AU"/>
        </w:rPr>
        <w:t xml:space="preserve"> and</w:t>
      </w:r>
      <w:r w:rsidR="00345851">
        <w:rPr>
          <w:rFonts w:eastAsiaTheme="minorEastAsia"/>
          <w:szCs w:val="24"/>
          <w:lang w:val="en-AU"/>
        </w:rPr>
        <w:t xml:space="preserve"> </w:t>
      </w:r>
      <w:r w:rsidR="00832067" w:rsidRPr="00832067">
        <w:rPr>
          <w:position w:val="-6"/>
        </w:rPr>
        <w:object w:dxaOrig="1120" w:dyaOrig="279" w14:anchorId="0320FCDA">
          <v:shape id="_x0000_i1416" type="#_x0000_t75" style="width:56.25pt;height:14.25pt" o:ole="">
            <v:imagedata r:id="rId686" o:title=""/>
          </v:shape>
          <o:OLEObject Type="Embed" ProgID="Equation.DSMT4" ShapeID="_x0000_i1416" DrawAspect="Content" ObjectID="_1775046052" r:id="rId687"/>
        </w:object>
      </w:r>
      <w:r>
        <w:rPr>
          <w:rFonts w:eastAsiaTheme="minorEastAsia"/>
          <w:szCs w:val="24"/>
          <w:lang w:val="en-AU"/>
        </w:rPr>
        <w:t>. This maximum ensures that the standardisation factor is sufficiently greater than 1 (noting that the standardisation factor must be strictly greater than 1). The resulting DCL is then rounded to the nearest integer between 0 and 5.</w:t>
      </w:r>
    </w:p>
    <w:p w14:paraId="7405DE39" w14:textId="77777777" w:rsidR="005B5818" w:rsidRDefault="005B5818" w:rsidP="00B60372">
      <w:pPr>
        <w:keepNext/>
        <w:rPr>
          <w:rFonts w:eastAsiaTheme="minorEastAsia"/>
          <w:szCs w:val="24"/>
          <w:lang w:val="en-AU"/>
        </w:rPr>
      </w:pPr>
      <w:r>
        <w:rPr>
          <w:rFonts w:eastAsiaTheme="minorEastAsia"/>
          <w:szCs w:val="24"/>
          <w:lang w:val="en-AU"/>
        </w:rPr>
        <w:t xml:space="preserve">Specifically, denoting the base and relative change parameters of </w:t>
      </w:r>
      <w:r w:rsidR="00136002" w:rsidRPr="00804FF0">
        <w:rPr>
          <w:b/>
          <w:bCs/>
          <w:position w:val="-12"/>
        </w:rPr>
        <w:object w:dxaOrig="660" w:dyaOrig="360" w14:anchorId="2390EC52">
          <v:shape id="_x0000_i1417" type="#_x0000_t75" style="width:33pt;height:18pt" o:ole="">
            <v:imagedata r:id="rId229" o:title=""/>
          </v:shape>
          <o:OLEObject Type="Embed" ProgID="Equation.DSMT4" ShapeID="_x0000_i1417" DrawAspect="Content" ObjectID="_1775046053" r:id="rId688"/>
        </w:object>
      </w:r>
      <w:r>
        <w:rPr>
          <w:rFonts w:eastAsiaTheme="minorEastAsia"/>
          <w:szCs w:val="24"/>
          <w:lang w:val="en-AU"/>
        </w:rPr>
        <w:t xml:space="preserve"> by </w:t>
      </w:r>
      <w:r w:rsidR="00136002" w:rsidRPr="00136002">
        <w:rPr>
          <w:rFonts w:eastAsiaTheme="minorEastAsia"/>
          <w:position w:val="-12"/>
          <w:szCs w:val="24"/>
          <w:lang w:val="en-AU"/>
        </w:rPr>
        <w:object w:dxaOrig="300" w:dyaOrig="360" w14:anchorId="09C6D751">
          <v:shape id="_x0000_i1418" type="#_x0000_t75" style="width:15pt;height:18pt" o:ole="">
            <v:imagedata r:id="rId689" o:title=""/>
          </v:shape>
          <o:OLEObject Type="Embed" ProgID="Equation.DSMT4" ShapeID="_x0000_i1418" DrawAspect="Content" ObjectID="_1775046054" r:id="rId690"/>
        </w:object>
      </w:r>
      <w:r w:rsidR="00136002">
        <w:rPr>
          <w:rFonts w:eastAsiaTheme="minorEastAsia"/>
          <w:szCs w:val="24"/>
          <w:lang w:val="en-AU"/>
        </w:rPr>
        <w:t xml:space="preserve"> </w:t>
      </w:r>
      <w:r>
        <w:rPr>
          <w:rFonts w:eastAsiaTheme="minorEastAsia"/>
          <w:szCs w:val="24"/>
          <w:lang w:val="en-AU"/>
        </w:rPr>
        <w:t>and</w:t>
      </w:r>
      <w:r w:rsidR="00136002">
        <w:rPr>
          <w:rFonts w:eastAsiaTheme="minorEastAsia"/>
          <w:szCs w:val="24"/>
          <w:lang w:val="en-AU"/>
        </w:rPr>
        <w:t xml:space="preserve"> </w:t>
      </w:r>
      <w:r w:rsidR="00136002" w:rsidRPr="00136002">
        <w:rPr>
          <w:rFonts w:eastAsiaTheme="minorEastAsia"/>
          <w:position w:val="-12"/>
          <w:szCs w:val="24"/>
          <w:lang w:val="en-AU"/>
        </w:rPr>
        <w:object w:dxaOrig="279" w:dyaOrig="380" w14:anchorId="2C3EFA85">
          <v:shape id="_x0000_i1419" type="#_x0000_t75" style="width:14.25pt;height:18.75pt" o:ole="">
            <v:imagedata r:id="rId691" o:title=""/>
          </v:shape>
          <o:OLEObject Type="Embed" ProgID="Equation.DSMT4" ShapeID="_x0000_i1419" DrawAspect="Content" ObjectID="_1775046055" r:id="rId692"/>
        </w:object>
      </w:r>
      <w:r>
        <w:rPr>
          <w:rFonts w:eastAsiaTheme="minorEastAsia"/>
          <w:szCs w:val="24"/>
          <w:lang w:val="en-AU"/>
        </w:rPr>
        <w:t xml:space="preserve">, the DCL of </w:t>
      </w:r>
      <w:r w:rsidR="00136002" w:rsidRPr="00136002">
        <w:rPr>
          <w:rFonts w:eastAsiaTheme="minorEastAsia"/>
          <w:position w:val="-6"/>
          <w:szCs w:val="24"/>
          <w:lang w:val="en-AU"/>
        </w:rPr>
        <w:object w:dxaOrig="200" w:dyaOrig="220" w14:anchorId="071D8DB9">
          <v:shape id="_x0000_i1420" type="#_x0000_t75" style="width:9.75pt;height:11.25pt" o:ole="">
            <v:imagedata r:id="rId693" o:title=""/>
          </v:shape>
          <o:OLEObject Type="Embed" ProgID="Equation.DSMT4" ShapeID="_x0000_i1420" DrawAspect="Content" ObjectID="_1775046056" r:id="rId694"/>
        </w:object>
      </w:r>
      <w:r w:rsidR="00136002">
        <w:rPr>
          <w:rFonts w:eastAsiaTheme="minorEastAsia"/>
          <w:szCs w:val="24"/>
          <w:lang w:val="en-AU"/>
        </w:rPr>
        <w:t xml:space="preserve"> </w:t>
      </w:r>
      <w:r>
        <w:rPr>
          <w:rFonts w:eastAsiaTheme="minorEastAsia"/>
          <w:szCs w:val="24"/>
          <w:lang w:val="en-AU"/>
        </w:rPr>
        <w:t>in</w:t>
      </w:r>
      <w:r w:rsidR="00136002">
        <w:rPr>
          <w:rFonts w:eastAsiaTheme="minorEastAsia"/>
          <w:szCs w:val="24"/>
          <w:lang w:val="en-AU"/>
        </w:rPr>
        <w:t xml:space="preserve"> </w:t>
      </w:r>
      <w:r w:rsidR="00136002" w:rsidRPr="00136002">
        <w:rPr>
          <w:rFonts w:eastAsiaTheme="minorEastAsia"/>
          <w:position w:val="-4"/>
          <w:szCs w:val="24"/>
          <w:lang w:val="en-AU"/>
        </w:rPr>
        <w:object w:dxaOrig="240" w:dyaOrig="260" w14:anchorId="13D297AD">
          <v:shape id="_x0000_i1421" type="#_x0000_t75" style="width:12pt;height:12.75pt" o:ole="">
            <v:imagedata r:id="rId695" o:title=""/>
          </v:shape>
          <o:OLEObject Type="Embed" ProgID="Equation.DSMT4" ShapeID="_x0000_i1421" DrawAspect="Content" ObjectID="_1775046057" r:id="rId696"/>
        </w:object>
      </w:r>
      <w:r w:rsidR="00136002">
        <w:rPr>
          <w:rFonts w:eastAsiaTheme="minorEastAsia"/>
          <w:szCs w:val="24"/>
          <w:lang w:val="en-AU"/>
        </w:rPr>
        <w:t xml:space="preserve"> </w:t>
      </w:r>
      <w:r>
        <w:rPr>
          <w:rFonts w:eastAsiaTheme="minorEastAsia"/>
          <w:szCs w:val="24"/>
          <w:lang w:val="en-AU"/>
        </w:rPr>
        <w:t>is defined as</w:t>
      </w:r>
    </w:p>
    <w:p w14:paraId="202B2A51" w14:textId="77777777" w:rsidR="005B5818" w:rsidRDefault="007F3507" w:rsidP="00B60372">
      <w:pPr>
        <w:pStyle w:val="MTDisplayEquation"/>
        <w:jc w:val="center"/>
        <w:rPr>
          <w:rFonts w:eastAsiaTheme="minorEastAsia"/>
          <w:szCs w:val="24"/>
        </w:rPr>
      </w:pPr>
      <w:r w:rsidRPr="00136002">
        <w:rPr>
          <w:position w:val="-42"/>
        </w:rPr>
        <w:object w:dxaOrig="6740" w:dyaOrig="960" w14:anchorId="1111746F">
          <v:shape id="_x0000_i1422" type="#_x0000_t75" style="width:336.75pt;height:48pt" o:ole="">
            <v:imagedata r:id="rId697" o:title=""/>
          </v:shape>
          <o:OLEObject Type="Embed" ProgID="Equation.DSMT4" ShapeID="_x0000_i1422" DrawAspect="Content" ObjectID="_1775046058" r:id="rId698"/>
        </w:object>
      </w:r>
    </w:p>
    <w:p w14:paraId="330337C6" w14:textId="77777777" w:rsidR="005B5818" w:rsidRDefault="00CC0F16" w:rsidP="00B60372">
      <w:pPr>
        <w:rPr>
          <w:rFonts w:eastAsiaTheme="minorEastAsia"/>
          <w:szCs w:val="24"/>
        </w:rPr>
      </w:pPr>
      <w:r>
        <w:fldChar w:fldCharType="begin"/>
      </w:r>
      <w:r>
        <w:instrText xml:space="preserve"> REF _Ref391051857 \h  \* MERGEFORMAT </w:instrText>
      </w:r>
      <w:r>
        <w:fldChar w:fldCharType="separate"/>
      </w:r>
      <w:r w:rsidR="0031717B" w:rsidRPr="0031717B">
        <w:rPr>
          <w:szCs w:val="24"/>
        </w:rPr>
        <w:t>Table 7</w:t>
      </w:r>
      <w:r>
        <w:fldChar w:fldCharType="end"/>
      </w:r>
      <w:r w:rsidR="005B5818" w:rsidRPr="00C76E4B">
        <w:rPr>
          <w:rFonts w:eastAsiaTheme="minorEastAsia"/>
          <w:szCs w:val="24"/>
        </w:rPr>
        <w:t xml:space="preserve"> provides a summary</w:t>
      </w:r>
      <w:r w:rsidR="005B5818">
        <w:rPr>
          <w:rFonts w:eastAsiaTheme="minorEastAsia"/>
          <w:szCs w:val="24"/>
        </w:rPr>
        <w:t xml:space="preserve"> of DCLs across all diagnosis-ADRG combinations (excluding error ADRGs).</w:t>
      </w:r>
    </w:p>
    <w:p w14:paraId="1D7F724F" w14:textId="77777777" w:rsidR="005B5818" w:rsidRPr="00B33802" w:rsidRDefault="005B5818" w:rsidP="00B60372">
      <w:pPr>
        <w:pStyle w:val="Caption"/>
      </w:pPr>
      <w:bookmarkStart w:id="85" w:name="_Ref391051857"/>
      <w:bookmarkStart w:id="86" w:name="_Toc401061094"/>
      <w:r w:rsidRPr="00B33802">
        <w:t xml:space="preserve">Table </w:t>
      </w:r>
      <w:r w:rsidR="005559F5" w:rsidRPr="00B33802">
        <w:fldChar w:fldCharType="begin"/>
      </w:r>
      <w:r w:rsidRPr="00B33802">
        <w:instrText xml:space="preserve"> SEQ Table \* ARABIC </w:instrText>
      </w:r>
      <w:r w:rsidR="005559F5" w:rsidRPr="00B33802">
        <w:fldChar w:fldCharType="separate"/>
      </w:r>
      <w:r w:rsidR="0031717B">
        <w:rPr>
          <w:noProof/>
        </w:rPr>
        <w:t>7</w:t>
      </w:r>
      <w:r w:rsidR="005559F5" w:rsidRPr="00B33802">
        <w:fldChar w:fldCharType="end"/>
      </w:r>
      <w:bookmarkEnd w:id="85"/>
      <w:r w:rsidRPr="00B33802">
        <w:t xml:space="preserve">: </w:t>
      </w:r>
      <w:r w:rsidR="005F7704">
        <w:t>Proportion</w:t>
      </w:r>
      <w:r w:rsidRPr="00B33802">
        <w:t xml:space="preserve"> of DCLs</w:t>
      </w:r>
      <w:r w:rsidR="005F7704">
        <w:t xml:space="preserve"> by diagnosis group</w:t>
      </w:r>
      <w:r w:rsidR="000E4FA5">
        <w:t>.</w:t>
      </w:r>
      <w:bookmarkEnd w:id="86"/>
    </w:p>
    <w:tbl>
      <w:tblPr>
        <w:tblStyle w:val="Style1"/>
        <w:tblW w:w="7119" w:type="dxa"/>
        <w:tblLook w:val="0560" w:firstRow="1" w:lastRow="1" w:firstColumn="0" w:lastColumn="1" w:noHBand="0" w:noVBand="1"/>
        <w:tblCaption w:val="Proportion of DCLs by diagnosis group "/>
        <w:tblDescription w:val="The table has four columns: the first lists the DCL value; the second gives the percentage of in-scope diagnoses for each DCL; the third gives the percentage of out of scope diagnoses; the fourth gives the total percentage of diagnoses for each DCL. The final row provides totals for each column."/>
      </w:tblPr>
      <w:tblGrid>
        <w:gridCol w:w="725"/>
        <w:gridCol w:w="2665"/>
        <w:gridCol w:w="2665"/>
        <w:gridCol w:w="1064"/>
      </w:tblGrid>
      <w:tr w:rsidR="00D56DD5" w:rsidRPr="00D56DD5" w14:paraId="44C46671" w14:textId="77777777" w:rsidTr="006931BA">
        <w:trPr>
          <w:cnfStyle w:val="100000000000" w:firstRow="1" w:lastRow="0" w:firstColumn="0" w:lastColumn="0" w:oddVBand="0" w:evenVBand="0" w:oddHBand="0" w:evenHBand="0" w:firstRowFirstColumn="0" w:firstRowLastColumn="0" w:lastRowFirstColumn="0" w:lastRowLastColumn="0"/>
          <w:trHeight w:val="397"/>
          <w:tblHeader/>
        </w:trPr>
        <w:tc>
          <w:tcPr>
            <w:tcW w:w="725" w:type="dxa"/>
            <w:noWrap/>
            <w:hideMark/>
          </w:tcPr>
          <w:p w14:paraId="3D511033" w14:textId="77777777" w:rsidR="00D56DD5" w:rsidRPr="00D56DD5" w:rsidRDefault="00D56DD5" w:rsidP="00B60372">
            <w:pPr>
              <w:pStyle w:val="Table"/>
            </w:pPr>
            <w:r w:rsidRPr="00D56DD5">
              <w:t>DCL</w:t>
            </w:r>
          </w:p>
        </w:tc>
        <w:tc>
          <w:tcPr>
            <w:tcW w:w="2665" w:type="dxa"/>
            <w:hideMark/>
          </w:tcPr>
          <w:p w14:paraId="69E743A6" w14:textId="77777777" w:rsidR="00D56DD5" w:rsidRPr="00D56DD5" w:rsidRDefault="00D56DD5" w:rsidP="00B60372">
            <w:pPr>
              <w:pStyle w:val="Table"/>
            </w:pPr>
            <w:r w:rsidRPr="00D56DD5">
              <w:t>In-scope diagnoses</w:t>
            </w:r>
          </w:p>
        </w:tc>
        <w:tc>
          <w:tcPr>
            <w:tcW w:w="2665" w:type="dxa"/>
            <w:hideMark/>
          </w:tcPr>
          <w:p w14:paraId="681B3050" w14:textId="77777777" w:rsidR="00D56DD5" w:rsidRPr="00D56DD5" w:rsidRDefault="00D56DD5" w:rsidP="00B60372">
            <w:pPr>
              <w:pStyle w:val="Table"/>
            </w:pPr>
            <w:r w:rsidRPr="00D56DD5">
              <w:t>Out of scope diagnoses</w:t>
            </w:r>
          </w:p>
        </w:tc>
        <w:tc>
          <w:tcPr>
            <w:cnfStyle w:val="000100000000" w:firstRow="0" w:lastRow="0" w:firstColumn="0" w:lastColumn="1" w:oddVBand="0" w:evenVBand="0" w:oddHBand="0" w:evenHBand="0" w:firstRowFirstColumn="0" w:firstRowLastColumn="0" w:lastRowFirstColumn="0" w:lastRowLastColumn="0"/>
            <w:tcW w:w="1064" w:type="dxa"/>
            <w:noWrap/>
            <w:hideMark/>
          </w:tcPr>
          <w:p w14:paraId="76195450" w14:textId="77777777" w:rsidR="00D56DD5" w:rsidRPr="00D56DD5" w:rsidRDefault="00D56DD5" w:rsidP="00B60372">
            <w:pPr>
              <w:pStyle w:val="Table"/>
            </w:pPr>
            <w:r w:rsidRPr="00D56DD5">
              <w:t>Total</w:t>
            </w:r>
          </w:p>
        </w:tc>
      </w:tr>
      <w:tr w:rsidR="00D56DD5" w:rsidRPr="00D56DD5" w14:paraId="3E0FB7B1" w14:textId="77777777" w:rsidTr="006931BA">
        <w:trPr>
          <w:trHeight w:val="320"/>
        </w:trPr>
        <w:tc>
          <w:tcPr>
            <w:tcW w:w="725" w:type="dxa"/>
            <w:noWrap/>
            <w:hideMark/>
          </w:tcPr>
          <w:p w14:paraId="3D9ACDC0" w14:textId="77777777" w:rsidR="00D56DD5" w:rsidRPr="00D56DD5" w:rsidRDefault="00D56DD5" w:rsidP="002F7E33">
            <w:pPr>
              <w:pStyle w:val="Table"/>
              <w:keepNext/>
            </w:pPr>
            <w:r w:rsidRPr="00D56DD5">
              <w:t>0</w:t>
            </w:r>
          </w:p>
        </w:tc>
        <w:tc>
          <w:tcPr>
            <w:tcW w:w="2665" w:type="dxa"/>
            <w:noWrap/>
            <w:hideMark/>
          </w:tcPr>
          <w:p w14:paraId="76D40A46" w14:textId="77777777" w:rsidR="00D56DD5" w:rsidRPr="00D56DD5" w:rsidRDefault="00D56DD5" w:rsidP="00B60372">
            <w:pPr>
              <w:pStyle w:val="TableNumber"/>
            </w:pPr>
            <w:r w:rsidRPr="00D56DD5">
              <w:t>22.16%</w:t>
            </w:r>
          </w:p>
        </w:tc>
        <w:tc>
          <w:tcPr>
            <w:tcW w:w="2665" w:type="dxa"/>
            <w:noWrap/>
            <w:hideMark/>
          </w:tcPr>
          <w:p w14:paraId="3F9B233B" w14:textId="77777777" w:rsidR="00D56DD5" w:rsidRPr="00D56DD5" w:rsidRDefault="00D56DD5" w:rsidP="00B60372">
            <w:pPr>
              <w:pStyle w:val="TableNumber"/>
            </w:pPr>
            <w:r w:rsidRPr="00D56DD5">
              <w:t>25.65%</w:t>
            </w:r>
          </w:p>
        </w:tc>
        <w:tc>
          <w:tcPr>
            <w:cnfStyle w:val="000100000000" w:firstRow="0" w:lastRow="0" w:firstColumn="0" w:lastColumn="1" w:oddVBand="0" w:evenVBand="0" w:oddHBand="0" w:evenHBand="0" w:firstRowFirstColumn="0" w:firstRowLastColumn="0" w:lastRowFirstColumn="0" w:lastRowLastColumn="0"/>
            <w:tcW w:w="1064" w:type="dxa"/>
            <w:noWrap/>
            <w:hideMark/>
          </w:tcPr>
          <w:p w14:paraId="3DA35564" w14:textId="77777777" w:rsidR="00D56DD5" w:rsidRPr="00D56DD5" w:rsidRDefault="00D56DD5" w:rsidP="00B60372">
            <w:pPr>
              <w:pStyle w:val="TableNumber"/>
            </w:pPr>
            <w:r w:rsidRPr="00D56DD5">
              <w:t>47.81%</w:t>
            </w:r>
          </w:p>
        </w:tc>
      </w:tr>
      <w:tr w:rsidR="00D56DD5" w:rsidRPr="00D56DD5" w14:paraId="4171F029" w14:textId="77777777" w:rsidTr="006931BA">
        <w:trPr>
          <w:trHeight w:val="320"/>
        </w:trPr>
        <w:tc>
          <w:tcPr>
            <w:tcW w:w="725" w:type="dxa"/>
            <w:noWrap/>
            <w:hideMark/>
          </w:tcPr>
          <w:p w14:paraId="7C06DD62" w14:textId="77777777" w:rsidR="00D56DD5" w:rsidRPr="00D56DD5" w:rsidRDefault="00D56DD5" w:rsidP="002F7E33">
            <w:pPr>
              <w:pStyle w:val="Table"/>
              <w:keepNext/>
            </w:pPr>
            <w:r w:rsidRPr="00D56DD5">
              <w:t>1</w:t>
            </w:r>
          </w:p>
        </w:tc>
        <w:tc>
          <w:tcPr>
            <w:tcW w:w="2665" w:type="dxa"/>
            <w:noWrap/>
            <w:hideMark/>
          </w:tcPr>
          <w:p w14:paraId="2E6801DF" w14:textId="77777777" w:rsidR="00D56DD5" w:rsidRPr="00D56DD5" w:rsidRDefault="00D56DD5" w:rsidP="00B60372">
            <w:pPr>
              <w:pStyle w:val="TableNumber"/>
            </w:pPr>
            <w:r w:rsidRPr="00D56DD5">
              <w:t>32.42%</w:t>
            </w:r>
          </w:p>
        </w:tc>
        <w:tc>
          <w:tcPr>
            <w:tcW w:w="2665" w:type="dxa"/>
            <w:noWrap/>
            <w:hideMark/>
          </w:tcPr>
          <w:p w14:paraId="671C98DB" w14:textId="77777777" w:rsidR="00D56DD5" w:rsidRPr="00D56DD5" w:rsidRDefault="00FE22C0" w:rsidP="00B60372">
            <w:pPr>
              <w:pStyle w:val="TableNumber"/>
            </w:pPr>
            <w:r>
              <w:t>Not applicable</w:t>
            </w:r>
          </w:p>
        </w:tc>
        <w:tc>
          <w:tcPr>
            <w:cnfStyle w:val="000100000000" w:firstRow="0" w:lastRow="0" w:firstColumn="0" w:lastColumn="1" w:oddVBand="0" w:evenVBand="0" w:oddHBand="0" w:evenHBand="0" w:firstRowFirstColumn="0" w:firstRowLastColumn="0" w:lastRowFirstColumn="0" w:lastRowLastColumn="0"/>
            <w:tcW w:w="1064" w:type="dxa"/>
            <w:noWrap/>
            <w:hideMark/>
          </w:tcPr>
          <w:p w14:paraId="4F210963" w14:textId="77777777" w:rsidR="00D56DD5" w:rsidRPr="00D56DD5" w:rsidRDefault="00D56DD5" w:rsidP="00B60372">
            <w:pPr>
              <w:pStyle w:val="TableNumber"/>
            </w:pPr>
            <w:r w:rsidRPr="00D56DD5">
              <w:t>32.42%</w:t>
            </w:r>
          </w:p>
        </w:tc>
      </w:tr>
      <w:tr w:rsidR="00FE22C0" w:rsidRPr="00D56DD5" w14:paraId="4CE2AB84" w14:textId="77777777" w:rsidTr="006931BA">
        <w:trPr>
          <w:trHeight w:val="320"/>
        </w:trPr>
        <w:tc>
          <w:tcPr>
            <w:tcW w:w="725" w:type="dxa"/>
            <w:noWrap/>
            <w:hideMark/>
          </w:tcPr>
          <w:p w14:paraId="4B171C87" w14:textId="77777777" w:rsidR="00FE22C0" w:rsidRPr="00D56DD5" w:rsidRDefault="00FE22C0" w:rsidP="002F7E33">
            <w:pPr>
              <w:pStyle w:val="Table"/>
              <w:keepNext/>
            </w:pPr>
            <w:r w:rsidRPr="00D56DD5">
              <w:t>2</w:t>
            </w:r>
          </w:p>
        </w:tc>
        <w:tc>
          <w:tcPr>
            <w:tcW w:w="2665" w:type="dxa"/>
            <w:noWrap/>
            <w:hideMark/>
          </w:tcPr>
          <w:p w14:paraId="50AE3365" w14:textId="77777777" w:rsidR="00FE22C0" w:rsidRPr="00D56DD5" w:rsidRDefault="00FE22C0" w:rsidP="00B60372">
            <w:pPr>
              <w:pStyle w:val="TableNumber"/>
            </w:pPr>
            <w:r w:rsidRPr="00D56DD5">
              <w:t>12.09%</w:t>
            </w:r>
          </w:p>
        </w:tc>
        <w:tc>
          <w:tcPr>
            <w:tcW w:w="2665" w:type="dxa"/>
            <w:noWrap/>
            <w:hideMark/>
          </w:tcPr>
          <w:p w14:paraId="45F6870D" w14:textId="77777777" w:rsidR="00FE22C0" w:rsidRPr="00D56DD5" w:rsidRDefault="00FE22C0" w:rsidP="00B60372">
            <w:pPr>
              <w:pStyle w:val="TableNumber"/>
            </w:pPr>
            <w:r w:rsidRPr="0052793E">
              <w:t>Not applicable</w:t>
            </w:r>
          </w:p>
        </w:tc>
        <w:tc>
          <w:tcPr>
            <w:cnfStyle w:val="000100000000" w:firstRow="0" w:lastRow="0" w:firstColumn="0" w:lastColumn="1" w:oddVBand="0" w:evenVBand="0" w:oddHBand="0" w:evenHBand="0" w:firstRowFirstColumn="0" w:firstRowLastColumn="0" w:lastRowFirstColumn="0" w:lastRowLastColumn="0"/>
            <w:tcW w:w="1064" w:type="dxa"/>
            <w:noWrap/>
            <w:hideMark/>
          </w:tcPr>
          <w:p w14:paraId="1DA7E401" w14:textId="77777777" w:rsidR="00FE22C0" w:rsidRPr="00D56DD5" w:rsidRDefault="00FE22C0" w:rsidP="00B60372">
            <w:pPr>
              <w:pStyle w:val="TableNumber"/>
            </w:pPr>
            <w:r w:rsidRPr="00D56DD5">
              <w:t>12.09%</w:t>
            </w:r>
          </w:p>
        </w:tc>
      </w:tr>
      <w:tr w:rsidR="00FE22C0" w:rsidRPr="00D56DD5" w14:paraId="7DA0AEF2" w14:textId="77777777" w:rsidTr="006931BA">
        <w:trPr>
          <w:trHeight w:val="320"/>
        </w:trPr>
        <w:tc>
          <w:tcPr>
            <w:tcW w:w="725" w:type="dxa"/>
            <w:noWrap/>
            <w:hideMark/>
          </w:tcPr>
          <w:p w14:paraId="2EDAC6CA" w14:textId="77777777" w:rsidR="00FE22C0" w:rsidRPr="00D56DD5" w:rsidRDefault="00FE22C0" w:rsidP="002F7E33">
            <w:pPr>
              <w:pStyle w:val="Table"/>
              <w:keepNext/>
            </w:pPr>
            <w:r w:rsidRPr="00D56DD5">
              <w:t>3</w:t>
            </w:r>
          </w:p>
        </w:tc>
        <w:tc>
          <w:tcPr>
            <w:tcW w:w="2665" w:type="dxa"/>
            <w:noWrap/>
            <w:hideMark/>
          </w:tcPr>
          <w:p w14:paraId="1A08F313" w14:textId="77777777" w:rsidR="00FE22C0" w:rsidRPr="00D56DD5" w:rsidRDefault="00FE22C0" w:rsidP="00B60372">
            <w:pPr>
              <w:pStyle w:val="TableNumber"/>
            </w:pPr>
            <w:r w:rsidRPr="00D56DD5">
              <w:t>4.57%</w:t>
            </w:r>
          </w:p>
        </w:tc>
        <w:tc>
          <w:tcPr>
            <w:tcW w:w="2665" w:type="dxa"/>
            <w:noWrap/>
            <w:hideMark/>
          </w:tcPr>
          <w:p w14:paraId="6461E283" w14:textId="77777777" w:rsidR="00FE22C0" w:rsidRPr="00D56DD5" w:rsidRDefault="00FE22C0" w:rsidP="00B60372">
            <w:pPr>
              <w:pStyle w:val="TableNumber"/>
            </w:pPr>
            <w:r w:rsidRPr="0052793E">
              <w:t>Not applicable</w:t>
            </w:r>
          </w:p>
        </w:tc>
        <w:tc>
          <w:tcPr>
            <w:cnfStyle w:val="000100000000" w:firstRow="0" w:lastRow="0" w:firstColumn="0" w:lastColumn="1" w:oddVBand="0" w:evenVBand="0" w:oddHBand="0" w:evenHBand="0" w:firstRowFirstColumn="0" w:firstRowLastColumn="0" w:lastRowFirstColumn="0" w:lastRowLastColumn="0"/>
            <w:tcW w:w="1064" w:type="dxa"/>
            <w:noWrap/>
            <w:hideMark/>
          </w:tcPr>
          <w:p w14:paraId="1A3BA7CA" w14:textId="77777777" w:rsidR="00FE22C0" w:rsidRPr="00D56DD5" w:rsidRDefault="00FE22C0" w:rsidP="00B60372">
            <w:pPr>
              <w:pStyle w:val="TableNumber"/>
            </w:pPr>
            <w:r w:rsidRPr="00D56DD5">
              <w:t>4.57%</w:t>
            </w:r>
          </w:p>
        </w:tc>
      </w:tr>
      <w:tr w:rsidR="00FE22C0" w:rsidRPr="00D56DD5" w14:paraId="40A8863C" w14:textId="77777777" w:rsidTr="006931BA">
        <w:trPr>
          <w:trHeight w:val="320"/>
        </w:trPr>
        <w:tc>
          <w:tcPr>
            <w:tcW w:w="725" w:type="dxa"/>
            <w:noWrap/>
            <w:hideMark/>
          </w:tcPr>
          <w:p w14:paraId="18646D75" w14:textId="77777777" w:rsidR="00FE22C0" w:rsidRPr="00D56DD5" w:rsidRDefault="00FE22C0" w:rsidP="002F7E33">
            <w:pPr>
              <w:pStyle w:val="Table"/>
              <w:keepNext/>
            </w:pPr>
            <w:r w:rsidRPr="00D56DD5">
              <w:t>4</w:t>
            </w:r>
          </w:p>
        </w:tc>
        <w:tc>
          <w:tcPr>
            <w:tcW w:w="2665" w:type="dxa"/>
            <w:noWrap/>
            <w:hideMark/>
          </w:tcPr>
          <w:p w14:paraId="5FC7D893" w14:textId="77777777" w:rsidR="00FE22C0" w:rsidRPr="00D56DD5" w:rsidRDefault="00FE22C0" w:rsidP="00B60372">
            <w:pPr>
              <w:pStyle w:val="TableNumber"/>
            </w:pPr>
            <w:r w:rsidRPr="00D56DD5">
              <w:t>1.88%</w:t>
            </w:r>
          </w:p>
        </w:tc>
        <w:tc>
          <w:tcPr>
            <w:tcW w:w="2665" w:type="dxa"/>
            <w:noWrap/>
            <w:hideMark/>
          </w:tcPr>
          <w:p w14:paraId="10CC6CA7" w14:textId="77777777" w:rsidR="00FE22C0" w:rsidRPr="00D56DD5" w:rsidRDefault="00FE22C0" w:rsidP="00B60372">
            <w:pPr>
              <w:pStyle w:val="TableNumber"/>
            </w:pPr>
            <w:r w:rsidRPr="0052793E">
              <w:t>Not applicable</w:t>
            </w:r>
          </w:p>
        </w:tc>
        <w:tc>
          <w:tcPr>
            <w:cnfStyle w:val="000100000000" w:firstRow="0" w:lastRow="0" w:firstColumn="0" w:lastColumn="1" w:oddVBand="0" w:evenVBand="0" w:oddHBand="0" w:evenHBand="0" w:firstRowFirstColumn="0" w:firstRowLastColumn="0" w:lastRowFirstColumn="0" w:lastRowLastColumn="0"/>
            <w:tcW w:w="1064" w:type="dxa"/>
            <w:noWrap/>
            <w:hideMark/>
          </w:tcPr>
          <w:p w14:paraId="0D70EFB4" w14:textId="77777777" w:rsidR="00FE22C0" w:rsidRPr="00D56DD5" w:rsidRDefault="00FE22C0" w:rsidP="00B60372">
            <w:pPr>
              <w:pStyle w:val="TableNumber"/>
            </w:pPr>
            <w:r w:rsidRPr="00D56DD5">
              <w:t>1.88%</w:t>
            </w:r>
          </w:p>
        </w:tc>
      </w:tr>
      <w:tr w:rsidR="00FE22C0" w:rsidRPr="00D56DD5" w14:paraId="48199493" w14:textId="77777777" w:rsidTr="006931BA">
        <w:trPr>
          <w:trHeight w:val="320"/>
        </w:trPr>
        <w:tc>
          <w:tcPr>
            <w:tcW w:w="725" w:type="dxa"/>
            <w:noWrap/>
            <w:hideMark/>
          </w:tcPr>
          <w:p w14:paraId="1C328E55" w14:textId="77777777" w:rsidR="00FE22C0" w:rsidRPr="00D56DD5" w:rsidRDefault="00FE22C0" w:rsidP="002F7E33">
            <w:pPr>
              <w:pStyle w:val="Table"/>
              <w:keepNext/>
            </w:pPr>
            <w:r w:rsidRPr="00D56DD5">
              <w:t>5</w:t>
            </w:r>
          </w:p>
        </w:tc>
        <w:tc>
          <w:tcPr>
            <w:tcW w:w="2665" w:type="dxa"/>
            <w:noWrap/>
            <w:hideMark/>
          </w:tcPr>
          <w:p w14:paraId="5A8B00E2" w14:textId="77777777" w:rsidR="00FE22C0" w:rsidRPr="00D56DD5" w:rsidRDefault="00FE22C0" w:rsidP="00B60372">
            <w:pPr>
              <w:pStyle w:val="TableNumber"/>
            </w:pPr>
            <w:r w:rsidRPr="00D56DD5">
              <w:t>1.23%</w:t>
            </w:r>
          </w:p>
        </w:tc>
        <w:tc>
          <w:tcPr>
            <w:tcW w:w="2665" w:type="dxa"/>
            <w:noWrap/>
            <w:hideMark/>
          </w:tcPr>
          <w:p w14:paraId="21ADCC2C" w14:textId="77777777" w:rsidR="00FE22C0" w:rsidRPr="00D56DD5" w:rsidRDefault="00FE22C0" w:rsidP="00B60372">
            <w:pPr>
              <w:pStyle w:val="TableNumber"/>
            </w:pPr>
            <w:r w:rsidRPr="0052793E">
              <w:t>Not applicable</w:t>
            </w:r>
          </w:p>
        </w:tc>
        <w:tc>
          <w:tcPr>
            <w:cnfStyle w:val="000100000000" w:firstRow="0" w:lastRow="0" w:firstColumn="0" w:lastColumn="1" w:oddVBand="0" w:evenVBand="0" w:oddHBand="0" w:evenHBand="0" w:firstRowFirstColumn="0" w:firstRowLastColumn="0" w:lastRowFirstColumn="0" w:lastRowLastColumn="0"/>
            <w:tcW w:w="1064" w:type="dxa"/>
            <w:noWrap/>
            <w:hideMark/>
          </w:tcPr>
          <w:p w14:paraId="237E874F" w14:textId="77777777" w:rsidR="00FE22C0" w:rsidRPr="00D56DD5" w:rsidRDefault="00FE22C0" w:rsidP="00B60372">
            <w:pPr>
              <w:pStyle w:val="TableNumber"/>
            </w:pPr>
            <w:r w:rsidRPr="00D56DD5">
              <w:t>1.23%</w:t>
            </w:r>
          </w:p>
        </w:tc>
      </w:tr>
      <w:tr w:rsidR="00D56DD5" w:rsidRPr="00D56DD5" w14:paraId="74FC0469" w14:textId="77777777" w:rsidTr="006931BA">
        <w:trPr>
          <w:cnfStyle w:val="010000000000" w:firstRow="0" w:lastRow="1" w:firstColumn="0" w:lastColumn="0" w:oddVBand="0" w:evenVBand="0" w:oddHBand="0" w:evenHBand="0" w:firstRowFirstColumn="0" w:firstRowLastColumn="0" w:lastRowFirstColumn="0" w:lastRowLastColumn="0"/>
          <w:trHeight w:val="320"/>
        </w:trPr>
        <w:tc>
          <w:tcPr>
            <w:tcW w:w="725" w:type="dxa"/>
            <w:hideMark/>
          </w:tcPr>
          <w:p w14:paraId="1865B20F" w14:textId="77777777" w:rsidR="00D56DD5" w:rsidRPr="00D56DD5" w:rsidRDefault="00D56DD5" w:rsidP="00B60372">
            <w:pPr>
              <w:pStyle w:val="Table"/>
              <w:rPr>
                <w:b/>
              </w:rPr>
            </w:pPr>
            <w:r w:rsidRPr="00D56DD5">
              <w:rPr>
                <w:b/>
              </w:rPr>
              <w:t>Total</w:t>
            </w:r>
          </w:p>
        </w:tc>
        <w:tc>
          <w:tcPr>
            <w:tcW w:w="2665" w:type="dxa"/>
            <w:noWrap/>
            <w:hideMark/>
          </w:tcPr>
          <w:p w14:paraId="106C9715" w14:textId="77777777" w:rsidR="00D56DD5" w:rsidRPr="00D56DD5" w:rsidRDefault="00D56DD5" w:rsidP="00B60372">
            <w:pPr>
              <w:pStyle w:val="TableNumber"/>
              <w:rPr>
                <w:b/>
              </w:rPr>
            </w:pPr>
            <w:r w:rsidRPr="00D56DD5">
              <w:rPr>
                <w:b/>
              </w:rPr>
              <w:t>74.35%</w:t>
            </w:r>
          </w:p>
        </w:tc>
        <w:tc>
          <w:tcPr>
            <w:tcW w:w="2665" w:type="dxa"/>
            <w:noWrap/>
            <w:hideMark/>
          </w:tcPr>
          <w:p w14:paraId="30ECCBDC" w14:textId="77777777" w:rsidR="00D56DD5" w:rsidRPr="00D56DD5" w:rsidRDefault="00D56DD5" w:rsidP="00B60372">
            <w:pPr>
              <w:pStyle w:val="TableNumber"/>
              <w:rPr>
                <w:b/>
              </w:rPr>
            </w:pPr>
            <w:r w:rsidRPr="00D56DD5">
              <w:rPr>
                <w:b/>
              </w:rPr>
              <w:t>25.65%</w:t>
            </w:r>
          </w:p>
        </w:tc>
        <w:tc>
          <w:tcPr>
            <w:cnfStyle w:val="000100000000" w:firstRow="0" w:lastRow="0" w:firstColumn="0" w:lastColumn="1" w:oddVBand="0" w:evenVBand="0" w:oddHBand="0" w:evenHBand="0" w:firstRowFirstColumn="0" w:firstRowLastColumn="0" w:lastRowFirstColumn="0" w:lastRowLastColumn="0"/>
            <w:tcW w:w="1064" w:type="dxa"/>
            <w:noWrap/>
            <w:hideMark/>
          </w:tcPr>
          <w:p w14:paraId="0755787D" w14:textId="77777777" w:rsidR="00D56DD5" w:rsidRPr="00D56DD5" w:rsidRDefault="00D56DD5" w:rsidP="00B60372">
            <w:pPr>
              <w:pStyle w:val="TableNumber"/>
              <w:rPr>
                <w:b/>
              </w:rPr>
            </w:pPr>
            <w:r w:rsidRPr="00D56DD5">
              <w:rPr>
                <w:b/>
              </w:rPr>
              <w:t>100.00%</w:t>
            </w:r>
          </w:p>
        </w:tc>
      </w:tr>
    </w:tbl>
    <w:p w14:paraId="03422869" w14:textId="77777777" w:rsidR="005B5818" w:rsidRDefault="005B5818" w:rsidP="00B60372">
      <w:pPr>
        <w:keepLines/>
        <w:spacing w:before="240"/>
        <w:rPr>
          <w:rFonts w:eastAsiaTheme="minorEastAsia"/>
          <w:szCs w:val="24"/>
        </w:rPr>
      </w:pPr>
      <w:r>
        <w:rPr>
          <w:rFonts w:eastAsiaTheme="minorEastAsia"/>
          <w:szCs w:val="24"/>
        </w:rPr>
        <w:lastRenderedPageBreak/>
        <w:t xml:space="preserve">The DCLs exhibit a high level of correlation with episode costs within each of the ADRG profiles </w:t>
      </w:r>
      <w:r w:rsidR="007420EB" w:rsidRPr="00832067">
        <w:rPr>
          <w:position w:val="-14"/>
        </w:rPr>
        <w:object w:dxaOrig="660" w:dyaOrig="400" w14:anchorId="65AC7CB8">
          <v:shape id="_x0000_i1423" type="#_x0000_t75" style="width:33pt;height:20.25pt" o:ole="">
            <v:imagedata r:id="rId699" o:title=""/>
          </v:shape>
          <o:OLEObject Type="Embed" ProgID="Equation.DSMT4" ShapeID="_x0000_i1423" DrawAspect="Content" ObjectID="_1775046059" r:id="rId700"/>
        </w:object>
      </w:r>
      <w:r w:rsidRPr="00D647E1">
        <w:rPr>
          <w:rFonts w:eastAsiaTheme="minorEastAsia"/>
          <w:szCs w:val="24"/>
        </w:rPr>
        <w:t>.</w:t>
      </w:r>
      <w:r>
        <w:rPr>
          <w:rFonts w:eastAsiaTheme="minorEastAsia"/>
          <w:szCs w:val="24"/>
        </w:rPr>
        <w:t xml:space="preserve"> Extending on the information of </w:t>
      </w:r>
      <w:r w:rsidR="00CC0F16">
        <w:fldChar w:fldCharType="begin"/>
      </w:r>
      <w:r w:rsidR="00CC0F16">
        <w:instrText xml:space="preserve"> REF _Ref392789514 \h  \* MERGEFORMAT </w:instrText>
      </w:r>
      <w:r w:rsidR="00CC0F16">
        <w:fldChar w:fldCharType="separate"/>
      </w:r>
      <w:r w:rsidR="0031717B" w:rsidRPr="0031717B">
        <w:rPr>
          <w:szCs w:val="24"/>
        </w:rPr>
        <w:t>Figure 6</w:t>
      </w:r>
      <w:r w:rsidR="00CC0F16">
        <w:fldChar w:fldCharType="end"/>
      </w:r>
      <w:r>
        <w:rPr>
          <w:rFonts w:eastAsiaTheme="minorEastAsia"/>
          <w:szCs w:val="24"/>
        </w:rPr>
        <w:t>,</w:t>
      </w:r>
      <w:r w:rsidRPr="00645429">
        <w:rPr>
          <w:rFonts w:eastAsiaTheme="minorEastAsia"/>
          <w:szCs w:val="24"/>
        </w:rPr>
        <w:t xml:space="preserve"> </w:t>
      </w:r>
      <w:r w:rsidR="00CC0F16">
        <w:fldChar w:fldCharType="begin"/>
      </w:r>
      <w:r w:rsidR="00CC0F16">
        <w:instrText xml:space="preserve"> REF _Ref391546526 \h  \* MERGEFORMAT </w:instrText>
      </w:r>
      <w:r w:rsidR="00CC0F16">
        <w:fldChar w:fldCharType="separate"/>
      </w:r>
      <w:r w:rsidR="0031717B" w:rsidRPr="0031717B">
        <w:rPr>
          <w:szCs w:val="24"/>
        </w:rPr>
        <w:t xml:space="preserve">Figure </w:t>
      </w:r>
      <w:r w:rsidR="0031717B" w:rsidRPr="0031717B">
        <w:rPr>
          <w:noProof/>
          <w:szCs w:val="24"/>
        </w:rPr>
        <w:t>15</w:t>
      </w:r>
      <w:r w:rsidR="00CC0F16">
        <w:fldChar w:fldCharType="end"/>
      </w:r>
      <w:r w:rsidRPr="00D647E1">
        <w:rPr>
          <w:rFonts w:eastAsiaTheme="minorEastAsia"/>
          <w:szCs w:val="24"/>
        </w:rPr>
        <w:t xml:space="preserve"> compares the correlation of DCLs with episode costs to the correlation of existing CCLs with episode</w:t>
      </w:r>
      <w:r>
        <w:rPr>
          <w:rFonts w:eastAsiaTheme="minorEastAsia"/>
          <w:szCs w:val="24"/>
        </w:rPr>
        <w:t xml:space="preserve"> costs among episodes with precisely two diagnoses (i.e. </w:t>
      </w:r>
      <w:r w:rsidR="00832067" w:rsidRPr="00832067">
        <w:rPr>
          <w:position w:val="-14"/>
        </w:rPr>
        <w:object w:dxaOrig="700" w:dyaOrig="400" w14:anchorId="25399A1A">
          <v:shape id="_x0000_i1424" type="#_x0000_t75" style="width:35.25pt;height:20.25pt" o:ole="">
            <v:imagedata r:id="rId701" o:title=""/>
          </v:shape>
          <o:OLEObject Type="Embed" ProgID="Equation.DSMT4" ShapeID="_x0000_i1424" DrawAspect="Content" ObjectID="_1775046060" r:id="rId702"/>
        </w:object>
      </w:r>
      <w:r>
        <w:rPr>
          <w:rFonts w:eastAsiaTheme="minorEastAsia"/>
          <w:szCs w:val="24"/>
        </w:rPr>
        <w:t xml:space="preserve"> across all ADRGs </w:t>
      </w:r>
      <w:r w:rsidR="00832067" w:rsidRPr="00025957">
        <w:rPr>
          <w:position w:val="-4"/>
        </w:rPr>
        <w:object w:dxaOrig="240" w:dyaOrig="260" w14:anchorId="2DD9A991">
          <v:shape id="_x0000_i1425" type="#_x0000_t75" style="width:12pt;height:12.75pt" o:ole="">
            <v:imagedata r:id="rId703" o:title=""/>
          </v:shape>
          <o:OLEObject Type="Embed" ProgID="Equation.DSMT4" ShapeID="_x0000_i1425" DrawAspect="Content" ObjectID="_1775046061" r:id="rId704"/>
        </w:object>
      </w:r>
      <w:r>
        <w:rPr>
          <w:rFonts w:eastAsiaTheme="minorEastAsia"/>
          <w:szCs w:val="24"/>
        </w:rPr>
        <w:t xml:space="preserve">). It shows DCLs to perform significantly better than CCLs in terms of correlation with costs associated with diagnoses. </w:t>
      </w:r>
      <w:r w:rsidR="006D40E8">
        <w:rPr>
          <w:rFonts w:eastAsiaTheme="minorEastAsia"/>
          <w:szCs w:val="24"/>
        </w:rPr>
        <w:t>For example, t</w:t>
      </w:r>
      <w:r w:rsidR="006D40E8" w:rsidRPr="00715789">
        <w:rPr>
          <w:rFonts w:eastAsiaTheme="minorEastAsia"/>
          <w:szCs w:val="24"/>
        </w:rPr>
        <w:t xml:space="preserve">he </w:t>
      </w:r>
      <w:r w:rsidR="006D40E8">
        <w:rPr>
          <w:rFonts w:eastAsiaTheme="minorEastAsia"/>
          <w:szCs w:val="24"/>
        </w:rPr>
        <w:t xml:space="preserve">DCL </w:t>
      </w:r>
      <w:r w:rsidR="006D40E8" w:rsidRPr="00715789">
        <w:rPr>
          <w:rFonts w:eastAsiaTheme="minorEastAsia"/>
          <w:szCs w:val="24"/>
        </w:rPr>
        <w:t>Pearson correlation coefficient</w:t>
      </w:r>
      <w:r w:rsidR="006D40E8">
        <w:rPr>
          <w:rFonts w:eastAsiaTheme="minorEastAsia"/>
          <w:szCs w:val="24"/>
        </w:rPr>
        <w:t>s</w:t>
      </w:r>
      <w:r w:rsidR="006D40E8" w:rsidRPr="00715789">
        <w:rPr>
          <w:rFonts w:eastAsiaTheme="minorEastAsia"/>
          <w:szCs w:val="24"/>
        </w:rPr>
        <w:t xml:space="preserve"> ranged between -0.10 and 0.95, with a mean value of 0.60 and</w:t>
      </w:r>
      <w:r w:rsidR="006D40E8">
        <w:rPr>
          <w:rFonts w:eastAsiaTheme="minorEastAsia"/>
          <w:szCs w:val="24"/>
        </w:rPr>
        <w:t xml:space="preserve"> a standard deviation of 0.21. This is compared to the CCL </w:t>
      </w:r>
      <w:r w:rsidR="006D40E8">
        <w:rPr>
          <w:rFonts w:eastAsiaTheme="minorEastAsia"/>
          <w:szCs w:val="24"/>
          <w:lang w:val="en-AU"/>
        </w:rPr>
        <w:t>coefficients, which ranged between -0.6 and 0.8, have a mean value of 0.21 and a standard deviation of 0.26.</w:t>
      </w:r>
      <w:r>
        <w:rPr>
          <w:rFonts w:eastAsiaTheme="minorEastAsia"/>
          <w:szCs w:val="24"/>
        </w:rPr>
        <w:t xml:space="preserve">Similar results hold for ADRG profiles with greater numbers of diagnoses (i.e. </w:t>
      </w:r>
      <w:r w:rsidR="00832067" w:rsidRPr="00832067">
        <w:rPr>
          <w:position w:val="-14"/>
        </w:rPr>
        <w:object w:dxaOrig="700" w:dyaOrig="400" w14:anchorId="124AFC84">
          <v:shape id="_x0000_i1426" type="#_x0000_t75" style="width:35.25pt;height:20.25pt" o:ole="">
            <v:imagedata r:id="rId705" o:title=""/>
          </v:shape>
          <o:OLEObject Type="Embed" ProgID="Equation.DSMT4" ShapeID="_x0000_i1426" DrawAspect="Content" ObjectID="_1775046062" r:id="rId706"/>
        </w:object>
      </w:r>
      <w:r>
        <w:rPr>
          <w:rFonts w:eastAsiaTheme="minorEastAsia"/>
          <w:szCs w:val="24"/>
        </w:rPr>
        <w:t>, etc.).</w:t>
      </w:r>
    </w:p>
    <w:p w14:paraId="1C14E5CA" w14:textId="77777777" w:rsidR="005B5818" w:rsidRDefault="005B5818" w:rsidP="00B60372">
      <w:pPr>
        <w:pStyle w:val="Caption"/>
      </w:pPr>
      <w:bookmarkStart w:id="87" w:name="_Ref391546526"/>
      <w:bookmarkStart w:id="88" w:name="_Toc401061068"/>
      <w:r>
        <w:t xml:space="preserve">Figure </w:t>
      </w:r>
      <w:r w:rsidR="005559F5">
        <w:fldChar w:fldCharType="begin"/>
      </w:r>
      <w:r>
        <w:instrText xml:space="preserve"> SEQ Figure \* ARABIC </w:instrText>
      </w:r>
      <w:r w:rsidR="005559F5">
        <w:fldChar w:fldCharType="separate"/>
      </w:r>
      <w:r w:rsidR="0031717B">
        <w:rPr>
          <w:noProof/>
        </w:rPr>
        <w:t>15</w:t>
      </w:r>
      <w:r w:rsidR="005559F5">
        <w:fldChar w:fldCharType="end"/>
      </w:r>
      <w:bookmarkEnd w:id="87"/>
      <w:r>
        <w:t xml:space="preserve">: </w:t>
      </w:r>
      <w:r w:rsidRPr="00DC0998">
        <w:t>Comparison of CCL and DCL correlations with cost among episodes with exactly two diagnoses</w:t>
      </w:r>
      <w:r w:rsidR="00981B6D">
        <w:t>.</w:t>
      </w:r>
      <w:bookmarkEnd w:id="88"/>
    </w:p>
    <w:p w14:paraId="68C03F37" w14:textId="77777777" w:rsidR="005B5818" w:rsidRDefault="00632FF4" w:rsidP="00B60372">
      <w:pPr>
        <w:rPr>
          <w:rFonts w:eastAsiaTheme="minorEastAsia"/>
          <w:szCs w:val="24"/>
        </w:rPr>
      </w:pPr>
      <w:r w:rsidRPr="00632FF4">
        <w:rPr>
          <w:noProof/>
          <w:lang w:val="en-AU" w:eastAsia="en-AU"/>
        </w:rPr>
        <w:drawing>
          <wp:inline distT="0" distB="0" distL="0" distR="0" wp14:anchorId="61C60973" wp14:editId="05657525">
            <wp:extent cx="5732145" cy="4020170"/>
            <wp:effectExtent l="0" t="0" r="1905" b="0"/>
            <wp:docPr id="14352" name="Picture 14352" descr="The figure compares the distribution of Pearson's correlation coefficients for CCLs with that of DCLs. Please see the in-text discussion above for the descriptive statistics related to this figure." title="Comparison of CCL and DCL correlations with cost among episodes with exactly two diagn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09"/>
                    <pic:cNvPicPr>
                      <a:picLocks noChangeAspect="1" noChangeArrowheads="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5732145" cy="4020170"/>
                    </a:xfrm>
                    <a:prstGeom prst="rect">
                      <a:avLst/>
                    </a:prstGeom>
                    <a:noFill/>
                    <a:ln>
                      <a:noFill/>
                    </a:ln>
                  </pic:spPr>
                </pic:pic>
              </a:graphicData>
            </a:graphic>
          </wp:inline>
        </w:drawing>
      </w:r>
    </w:p>
    <w:p w14:paraId="324600BD" w14:textId="77777777" w:rsidR="00951153" w:rsidRPr="00B3076D" w:rsidRDefault="00951153" w:rsidP="00B60372">
      <w:pPr>
        <w:pStyle w:val="KeyFinding"/>
        <w:keepNext/>
        <w:rPr>
          <w:b/>
          <w:color w:val="1F497D" w:themeColor="text2"/>
        </w:rPr>
      </w:pPr>
      <w:bookmarkStart w:id="89" w:name="_Ref391716833"/>
      <w:r w:rsidRPr="00B3076D">
        <w:rPr>
          <w:b/>
          <w:color w:val="1F497D" w:themeColor="text2"/>
        </w:rPr>
        <w:lastRenderedPageBreak/>
        <w:t>Key Finding 4</w:t>
      </w:r>
    </w:p>
    <w:p w14:paraId="429731BF" w14:textId="77777777" w:rsidR="00951153" w:rsidRPr="00E1266C" w:rsidRDefault="007D3444" w:rsidP="00B60372">
      <w:pPr>
        <w:pStyle w:val="KeyFinding"/>
      </w:pPr>
      <w:r w:rsidRPr="007D3444">
        <w:t>As a measurement of diagnosis complexity, the new conceptually based and formally defined</w:t>
      </w:r>
      <w:r>
        <w:t xml:space="preserve"> </w:t>
      </w:r>
      <w:r w:rsidR="00951153" w:rsidRPr="00E1266C">
        <w:t>DCLs were shown to exhibit significantly higher correlation with costs within ADRGs compared to CCLs.</w:t>
      </w:r>
    </w:p>
    <w:p w14:paraId="3D5C331F" w14:textId="77777777" w:rsidR="007D3444" w:rsidRPr="00B27BD2" w:rsidRDefault="007D3444" w:rsidP="00B60372">
      <w:pPr>
        <w:rPr>
          <w:szCs w:val="24"/>
          <w:lang w:val="en-AU"/>
        </w:rPr>
      </w:pPr>
    </w:p>
    <w:p w14:paraId="1521F1B9" w14:textId="77777777" w:rsidR="007D3444" w:rsidRPr="00B27BD2" w:rsidRDefault="007D3444" w:rsidP="00B60372">
      <w:pPr>
        <w:pBdr>
          <w:top w:val="single" w:sz="4" w:space="1" w:color="auto"/>
          <w:left w:val="single" w:sz="4" w:space="4" w:color="auto"/>
          <w:bottom w:val="single" w:sz="4" w:space="1" w:color="auto"/>
          <w:right w:val="single" w:sz="4" w:space="4" w:color="auto"/>
        </w:pBdr>
        <w:shd w:val="clear" w:color="auto" w:fill="B6DDE8" w:themeFill="accent5" w:themeFillTint="66"/>
        <w:rPr>
          <w:b/>
          <w:i/>
          <w:szCs w:val="24"/>
          <w:lang w:val="en-AU"/>
        </w:rPr>
      </w:pPr>
      <w:r w:rsidRPr="00B27BD2">
        <w:rPr>
          <w:b/>
          <w:i/>
          <w:color w:val="1F497D" w:themeColor="text2"/>
          <w:szCs w:val="24"/>
          <w:lang w:val="en-AU"/>
        </w:rPr>
        <w:t xml:space="preserve">Recommendation </w:t>
      </w:r>
      <w:r>
        <w:rPr>
          <w:b/>
          <w:i/>
          <w:color w:val="1F497D" w:themeColor="text2"/>
          <w:szCs w:val="24"/>
          <w:lang w:val="en-AU"/>
        </w:rPr>
        <w:t>2</w:t>
      </w:r>
    </w:p>
    <w:p w14:paraId="5243084B" w14:textId="77777777" w:rsidR="007D3444" w:rsidRPr="00E1266C" w:rsidRDefault="007D3444" w:rsidP="00B60372">
      <w:pPr>
        <w:pBdr>
          <w:top w:val="single" w:sz="4" w:space="1" w:color="auto"/>
          <w:left w:val="single" w:sz="4" w:space="4" w:color="auto"/>
          <w:bottom w:val="single" w:sz="4" w:space="1" w:color="auto"/>
          <w:right w:val="single" w:sz="4" w:space="4" w:color="auto"/>
        </w:pBdr>
        <w:shd w:val="clear" w:color="auto" w:fill="B6DDE8" w:themeFill="accent5" w:themeFillTint="66"/>
        <w:rPr>
          <w:i/>
          <w:szCs w:val="24"/>
          <w:lang w:val="en-AU"/>
        </w:rPr>
      </w:pPr>
      <w:r>
        <w:rPr>
          <w:i/>
          <w:szCs w:val="24"/>
          <w:lang w:val="en-AU"/>
        </w:rPr>
        <w:t>Based on Key Finding</w:t>
      </w:r>
      <w:r w:rsidRPr="00B27BD2">
        <w:rPr>
          <w:i/>
          <w:szCs w:val="24"/>
          <w:lang w:val="en-AU"/>
        </w:rPr>
        <w:t xml:space="preserve"> </w:t>
      </w:r>
      <w:r>
        <w:rPr>
          <w:i/>
          <w:szCs w:val="24"/>
          <w:lang w:val="en-AU"/>
        </w:rPr>
        <w:t>4</w:t>
      </w:r>
      <w:r w:rsidRPr="00B27BD2">
        <w:rPr>
          <w:i/>
          <w:szCs w:val="24"/>
          <w:lang w:val="en-AU"/>
        </w:rPr>
        <w:t xml:space="preserve">, ACCD in consultation with the </w:t>
      </w:r>
      <w:r>
        <w:rPr>
          <w:i/>
          <w:szCs w:val="24"/>
          <w:lang w:val="en-AU"/>
        </w:rPr>
        <w:t>DTG</w:t>
      </w:r>
      <w:r w:rsidRPr="00B27BD2">
        <w:rPr>
          <w:i/>
          <w:szCs w:val="24"/>
          <w:lang w:val="en-AU"/>
        </w:rPr>
        <w:t xml:space="preserve"> and </w:t>
      </w:r>
      <w:r>
        <w:rPr>
          <w:i/>
          <w:szCs w:val="24"/>
          <w:lang w:val="en-AU"/>
        </w:rPr>
        <w:t>CCAG</w:t>
      </w:r>
      <w:r w:rsidRPr="00B27BD2">
        <w:rPr>
          <w:i/>
          <w:szCs w:val="24"/>
          <w:lang w:val="en-AU"/>
        </w:rPr>
        <w:t xml:space="preserve"> recommends that </w:t>
      </w:r>
      <w:r>
        <w:rPr>
          <w:i/>
          <w:szCs w:val="24"/>
          <w:lang w:val="en-AU"/>
        </w:rPr>
        <w:t xml:space="preserve">the DCL measure of diagnosis complexity be adopted as part of a new </w:t>
      </w:r>
      <w:r w:rsidRPr="00B27BD2">
        <w:rPr>
          <w:i/>
          <w:szCs w:val="24"/>
          <w:lang w:val="en-AU"/>
        </w:rPr>
        <w:t>case complexity system.</w:t>
      </w:r>
    </w:p>
    <w:p w14:paraId="70A20706" w14:textId="77777777" w:rsidR="005B5818" w:rsidRPr="00626EAF" w:rsidRDefault="005B5818" w:rsidP="00B60372">
      <w:pPr>
        <w:pStyle w:val="Heading4"/>
      </w:pPr>
      <w:bookmarkStart w:id="90" w:name="_Ref400543887"/>
      <w:r w:rsidRPr="00626EAF">
        <w:t xml:space="preserve">Combining </w:t>
      </w:r>
      <w:r w:rsidRPr="002506C3">
        <w:rPr>
          <w:rFonts w:eastAsiaTheme="majorEastAsia"/>
          <w:lang w:val="en-US"/>
        </w:rPr>
        <w:t>Diagnosis</w:t>
      </w:r>
      <w:r w:rsidRPr="00626EAF">
        <w:t xml:space="preserve"> Complexity Levels across episodes and derivation of the Episode Clinical Complexity Score</w:t>
      </w:r>
      <w:bookmarkEnd w:id="89"/>
      <w:bookmarkEnd w:id="90"/>
    </w:p>
    <w:p w14:paraId="12F472F5" w14:textId="77777777" w:rsidR="005B5818" w:rsidRDefault="005B5818" w:rsidP="00B60372">
      <w:pPr>
        <w:rPr>
          <w:szCs w:val="24"/>
          <w:lang w:val="en-AU"/>
        </w:rPr>
      </w:pPr>
      <w:r>
        <w:rPr>
          <w:szCs w:val="24"/>
          <w:lang w:val="en-AU"/>
        </w:rPr>
        <w:t>The final stage in the development of the ECC Model is the derivation of the ECCS, which estimates the episode-level combined effect of DCLs.</w:t>
      </w:r>
    </w:p>
    <w:p w14:paraId="46EAEB8F" w14:textId="77777777" w:rsidR="005B5818" w:rsidRDefault="005B5818" w:rsidP="00B60372">
      <w:pPr>
        <w:rPr>
          <w:rFonts w:eastAsiaTheme="minorEastAsia"/>
          <w:szCs w:val="24"/>
          <w:lang w:val="en-AU"/>
        </w:rPr>
      </w:pPr>
      <w:r>
        <w:rPr>
          <w:szCs w:val="24"/>
          <w:lang w:val="en-AU"/>
        </w:rPr>
        <w:t>For a diagnosis</w:t>
      </w:r>
      <w:r w:rsidR="0038351B">
        <w:rPr>
          <w:szCs w:val="24"/>
          <w:lang w:val="en-AU"/>
        </w:rPr>
        <w:t xml:space="preserve"> </w:t>
      </w:r>
      <w:r w:rsidR="0038351B" w:rsidRPr="0038351B">
        <w:rPr>
          <w:position w:val="-6"/>
          <w:szCs w:val="24"/>
          <w:lang w:val="en-AU"/>
        </w:rPr>
        <w:object w:dxaOrig="200" w:dyaOrig="220" w14:anchorId="204BC34B">
          <v:shape id="_x0000_i1427" type="#_x0000_t75" style="width:9.75pt;height:11.25pt" o:ole="">
            <v:imagedata r:id="rId708" o:title=""/>
          </v:shape>
          <o:OLEObject Type="Embed" ProgID="Equation.DSMT4" ShapeID="_x0000_i1427" DrawAspect="Content" ObjectID="_1775046063" r:id="rId709"/>
        </w:object>
      </w:r>
      <w:r w:rsidR="0038351B">
        <w:rPr>
          <w:szCs w:val="24"/>
          <w:lang w:val="en-AU"/>
        </w:rPr>
        <w:t xml:space="preserve"> </w:t>
      </w:r>
      <w:r>
        <w:rPr>
          <w:rFonts w:eastAsiaTheme="minorEastAsia"/>
          <w:szCs w:val="24"/>
          <w:lang w:val="en-AU"/>
        </w:rPr>
        <w:t xml:space="preserve">and ADRG </w:t>
      </w:r>
      <w:r w:rsidR="00832067" w:rsidRPr="00025957">
        <w:rPr>
          <w:position w:val="-4"/>
        </w:rPr>
        <w:object w:dxaOrig="240" w:dyaOrig="260" w14:anchorId="158FC63A">
          <v:shape id="_x0000_i1428" type="#_x0000_t75" style="width:12pt;height:12.75pt" o:ole="">
            <v:imagedata r:id="rId710" o:title=""/>
          </v:shape>
          <o:OLEObject Type="Embed" ProgID="Equation.DSMT4" ShapeID="_x0000_i1428" DrawAspect="Content" ObjectID="_1775046064" r:id="rId711"/>
        </w:object>
      </w:r>
      <w:r>
        <w:rPr>
          <w:rFonts w:eastAsiaTheme="minorEastAsia"/>
          <w:szCs w:val="24"/>
          <w:lang w:val="en-AU"/>
        </w:rPr>
        <w:t xml:space="preserve">, </w:t>
      </w:r>
      <w:r w:rsidR="0038351B" w:rsidRPr="0038351B">
        <w:rPr>
          <w:rFonts w:eastAsiaTheme="minorEastAsia"/>
          <w:position w:val="-14"/>
          <w:szCs w:val="24"/>
          <w:lang w:val="en-AU"/>
        </w:rPr>
        <w:object w:dxaOrig="1140" w:dyaOrig="400" w14:anchorId="47B45877">
          <v:shape id="_x0000_i1429" type="#_x0000_t75" style="width:57pt;height:20.25pt" o:ole="">
            <v:imagedata r:id="rId712" o:title=""/>
          </v:shape>
          <o:OLEObject Type="Embed" ProgID="Equation.DSMT4" ShapeID="_x0000_i1429" DrawAspect="Content" ObjectID="_1775046065" r:id="rId713"/>
        </w:object>
      </w:r>
      <w:r w:rsidR="0038351B">
        <w:rPr>
          <w:rFonts w:eastAsiaTheme="minorEastAsia"/>
          <w:szCs w:val="24"/>
          <w:lang w:val="en-AU"/>
        </w:rPr>
        <w:t xml:space="preserve"> </w:t>
      </w:r>
      <w:r>
        <w:rPr>
          <w:szCs w:val="24"/>
          <w:lang w:val="en-AU"/>
        </w:rPr>
        <w:t>is a standardised estimate of change in cost associated with</w:t>
      </w:r>
      <w:r w:rsidR="000A60ED">
        <w:rPr>
          <w:szCs w:val="24"/>
          <w:lang w:val="en-AU"/>
        </w:rPr>
        <w:t xml:space="preserve"> </w:t>
      </w:r>
      <w:r w:rsidR="00571A86" w:rsidRPr="0038351B">
        <w:rPr>
          <w:position w:val="-6"/>
          <w:szCs w:val="24"/>
          <w:lang w:val="en-AU"/>
        </w:rPr>
        <w:object w:dxaOrig="200" w:dyaOrig="220" w14:anchorId="6CB2AC50">
          <v:shape id="_x0000_i1430" type="#_x0000_t75" style="width:9.75pt;height:11.25pt" o:ole="">
            <v:imagedata r:id="rId708" o:title=""/>
          </v:shape>
          <o:OLEObject Type="Embed" ProgID="Equation.DSMT4" ShapeID="_x0000_i1430" DrawAspect="Content" ObjectID="_1775046066" r:id="rId714"/>
        </w:object>
      </w:r>
      <w:r>
        <w:rPr>
          <w:rFonts w:eastAsiaTheme="minorEastAsia"/>
          <w:szCs w:val="24"/>
          <w:lang w:val="en-AU"/>
        </w:rPr>
        <w:t xml:space="preserve">in </w:t>
      </w:r>
      <w:r w:rsidR="00571A86" w:rsidRPr="00025957">
        <w:rPr>
          <w:position w:val="-4"/>
        </w:rPr>
        <w:object w:dxaOrig="240" w:dyaOrig="260" w14:anchorId="1D896629">
          <v:shape id="_x0000_i1431" type="#_x0000_t75" style="width:12pt;height:12.75pt" o:ole="">
            <v:imagedata r:id="rId710" o:title=""/>
          </v:shape>
          <o:OLEObject Type="Embed" ProgID="Equation.DSMT4" ShapeID="_x0000_i1431" DrawAspect="Content" ObjectID="_1775046067" r:id="rId715"/>
        </w:object>
      </w:r>
      <w:r>
        <w:rPr>
          <w:szCs w:val="24"/>
          <w:lang w:val="en-AU"/>
        </w:rPr>
        <w:t xml:space="preserve">, where the standardisation is calculated with respect to the </w:t>
      </w:r>
      <w:r w:rsidR="00962DB6">
        <w:rPr>
          <w:szCs w:val="24"/>
          <w:lang w:val="en-AU"/>
        </w:rPr>
        <w:t xml:space="preserve"> </w:t>
      </w:r>
      <w:r>
        <w:rPr>
          <w:rFonts w:eastAsiaTheme="minorEastAsia"/>
          <w:szCs w:val="24"/>
          <w:lang w:val="en-AU"/>
        </w:rPr>
        <w:t xml:space="preserve">parameter in </w:t>
      </w:r>
      <w:r w:rsidR="00571A86" w:rsidRPr="00571A86">
        <w:rPr>
          <w:rFonts w:eastAsiaTheme="minorEastAsia"/>
          <w:position w:val="-12"/>
          <w:szCs w:val="24"/>
          <w:lang w:val="en-AU"/>
        </w:rPr>
        <w:object w:dxaOrig="1440" w:dyaOrig="580" w14:anchorId="3B20F85B">
          <v:shape id="_x0000_i1432" type="#_x0000_t75" style="width:1in;height:29.25pt" o:ole="">
            <v:imagedata r:id="rId716" o:title=""/>
          </v:shape>
          <o:OLEObject Type="Embed" ProgID="Equation.DSMT4" ShapeID="_x0000_i1432" DrawAspect="Content" ObjectID="_1775046068" r:id="rId717"/>
        </w:object>
      </w:r>
      <w:r>
        <w:rPr>
          <w:rFonts w:eastAsiaTheme="minorEastAsia"/>
          <w:szCs w:val="24"/>
          <w:lang w:val="en-AU"/>
        </w:rPr>
        <w:t xml:space="preserve"> From this perspective, </w:t>
      </w:r>
      <w:r w:rsidR="001B0C85" w:rsidRPr="0038351B">
        <w:rPr>
          <w:rFonts w:eastAsiaTheme="minorEastAsia"/>
          <w:position w:val="-14"/>
          <w:szCs w:val="24"/>
          <w:lang w:val="en-AU"/>
        </w:rPr>
        <w:object w:dxaOrig="1140" w:dyaOrig="400" w14:anchorId="7AE47D24">
          <v:shape id="_x0000_i1433" type="#_x0000_t75" style="width:57pt;height:20.25pt" o:ole="">
            <v:imagedata r:id="rId712" o:title=""/>
          </v:shape>
          <o:OLEObject Type="Embed" ProgID="Equation.DSMT4" ShapeID="_x0000_i1433" DrawAspect="Content" ObjectID="_1775046069" r:id="rId718"/>
        </w:object>
      </w:r>
      <w:r>
        <w:rPr>
          <w:rFonts w:eastAsiaTheme="minorEastAsia"/>
          <w:szCs w:val="24"/>
          <w:lang w:val="en-AU"/>
        </w:rPr>
        <w:t xml:space="preserve"> can be thought of as the index of </w:t>
      </w:r>
      <w:r w:rsidR="00962DB6" w:rsidRPr="00962DB6">
        <w:rPr>
          <w:position w:val="-6"/>
          <w:szCs w:val="24"/>
          <w:lang w:val="en-AU"/>
        </w:rPr>
        <w:object w:dxaOrig="200" w:dyaOrig="279" w14:anchorId="2AA1D639">
          <v:shape id="_x0000_i1434" type="#_x0000_t75" style="width:9.75pt;height:14.25pt" o:ole="">
            <v:imagedata r:id="rId719" o:title=""/>
          </v:shape>
          <o:OLEObject Type="Embed" ProgID="Equation.DSMT4" ShapeID="_x0000_i1434" DrawAspect="Content" ObjectID="_1775046070" r:id="rId720"/>
        </w:object>
      </w:r>
      <w:r>
        <w:rPr>
          <w:rFonts w:eastAsiaTheme="minorEastAsia"/>
          <w:szCs w:val="24"/>
          <w:lang w:val="en-AU"/>
        </w:rPr>
        <w:t xml:space="preserve"> in </w:t>
      </w:r>
      <w:r w:rsidR="001B0C85" w:rsidRPr="00804FF0">
        <w:rPr>
          <w:b/>
          <w:bCs/>
          <w:position w:val="-12"/>
        </w:rPr>
        <w:object w:dxaOrig="660" w:dyaOrig="360" w14:anchorId="1DA42432">
          <v:shape id="_x0000_i1435" type="#_x0000_t75" style="width:33pt;height:18pt" o:ole="">
            <v:imagedata r:id="rId229" o:title=""/>
          </v:shape>
          <o:OLEObject Type="Embed" ProgID="Equation.DSMT4" ShapeID="_x0000_i1435" DrawAspect="Content" ObjectID="_1775046071" r:id="rId721"/>
        </w:object>
      </w:r>
      <w:r>
        <w:rPr>
          <w:rFonts w:eastAsiaTheme="minorEastAsia"/>
          <w:szCs w:val="24"/>
          <w:lang w:val="en-AU"/>
        </w:rPr>
        <w:t xml:space="preserve">. For example, the cost of an episode </w:t>
      </w:r>
      <w:r w:rsidR="00962DB6" w:rsidRPr="00962DB6">
        <w:rPr>
          <w:rFonts w:eastAsiaTheme="minorEastAsia"/>
          <w:position w:val="-6"/>
          <w:szCs w:val="24"/>
          <w:lang w:val="en-AU"/>
        </w:rPr>
        <w:object w:dxaOrig="180" w:dyaOrig="220" w14:anchorId="3D0D63B0">
          <v:shape id="_x0000_i1436" type="#_x0000_t75" style="width:9pt;height:11.25pt" o:ole="">
            <v:imagedata r:id="rId722" o:title=""/>
          </v:shape>
          <o:OLEObject Type="Embed" ProgID="Equation.DSMT4" ShapeID="_x0000_i1436" DrawAspect="Content" ObjectID="_1775046072" r:id="rId723"/>
        </w:object>
      </w:r>
      <w:r w:rsidR="00962DB6">
        <w:rPr>
          <w:rFonts w:eastAsiaTheme="minorEastAsia"/>
          <w:szCs w:val="24"/>
          <w:lang w:val="en-AU"/>
        </w:rPr>
        <w:t xml:space="preserve"> </w:t>
      </w:r>
      <w:r>
        <w:rPr>
          <w:rFonts w:eastAsiaTheme="minorEastAsia"/>
          <w:szCs w:val="24"/>
          <w:lang w:val="en-AU"/>
        </w:rPr>
        <w:t xml:space="preserve">in ADRG </w:t>
      </w:r>
      <w:r w:rsidR="00571A86" w:rsidRPr="00025957">
        <w:rPr>
          <w:position w:val="-4"/>
        </w:rPr>
        <w:object w:dxaOrig="240" w:dyaOrig="260" w14:anchorId="45B62264">
          <v:shape id="_x0000_i1437" type="#_x0000_t75" style="width:12pt;height:12.75pt" o:ole="">
            <v:imagedata r:id="rId710" o:title=""/>
          </v:shape>
          <o:OLEObject Type="Embed" ProgID="Equation.DSMT4" ShapeID="_x0000_i1437" DrawAspect="Content" ObjectID="_1775046073" r:id="rId724"/>
        </w:object>
      </w:r>
      <w:r w:rsidR="00571A86">
        <w:t xml:space="preserve"> </w:t>
      </w:r>
      <w:r>
        <w:rPr>
          <w:rFonts w:eastAsiaTheme="minorEastAsia"/>
          <w:szCs w:val="24"/>
          <w:lang w:val="en-AU"/>
        </w:rPr>
        <w:t xml:space="preserve">with a single diagnosis </w:t>
      </w:r>
      <w:r w:rsidR="00571A86" w:rsidRPr="0038351B">
        <w:rPr>
          <w:position w:val="-6"/>
          <w:szCs w:val="24"/>
          <w:lang w:val="en-AU"/>
        </w:rPr>
        <w:object w:dxaOrig="200" w:dyaOrig="220" w14:anchorId="77522CCB">
          <v:shape id="_x0000_i1438" type="#_x0000_t75" style="width:9.75pt;height:11.25pt" o:ole="">
            <v:imagedata r:id="rId708" o:title=""/>
          </v:shape>
          <o:OLEObject Type="Embed" ProgID="Equation.DSMT4" ShapeID="_x0000_i1438" DrawAspect="Content" ObjectID="_1775046074" r:id="rId725"/>
        </w:object>
      </w:r>
      <w:r>
        <w:rPr>
          <w:rFonts w:eastAsiaTheme="minorEastAsia"/>
          <w:szCs w:val="24"/>
          <w:lang w:val="en-AU"/>
        </w:rPr>
        <w:t xml:space="preserve">can be estimated by </w:t>
      </w:r>
    </w:p>
    <w:p w14:paraId="3D5B9C86" w14:textId="77777777" w:rsidR="005B5818" w:rsidRPr="00AA3055" w:rsidRDefault="0038351B" w:rsidP="00B60372">
      <w:pPr>
        <w:jc w:val="center"/>
        <w:rPr>
          <w:rFonts w:eastAsiaTheme="minorEastAsia"/>
          <w:szCs w:val="24"/>
          <w:lang w:val="en-AU"/>
        </w:rPr>
      </w:pPr>
      <w:r w:rsidRPr="0038351B">
        <w:rPr>
          <w:rFonts w:eastAsiaTheme="minorEastAsia"/>
          <w:position w:val="-14"/>
          <w:szCs w:val="24"/>
          <w:lang w:val="en-AU"/>
        </w:rPr>
        <w:object w:dxaOrig="1600" w:dyaOrig="420" w14:anchorId="268D591D">
          <v:shape id="_x0000_i1439" type="#_x0000_t75" style="width:117.75pt;height:30.75pt" o:ole="">
            <v:imagedata r:id="rId726" o:title=""/>
          </v:shape>
          <o:OLEObject Type="Embed" ProgID="Equation.DSMT4" ShapeID="_x0000_i1439" DrawAspect="Content" ObjectID="_1775046075" r:id="rId727"/>
        </w:object>
      </w:r>
      <w:r>
        <w:rPr>
          <w:rFonts w:eastAsiaTheme="minorEastAsia"/>
          <w:szCs w:val="24"/>
          <w:lang w:val="en-AU"/>
        </w:rPr>
        <w:t>.</w:t>
      </w:r>
    </w:p>
    <w:p w14:paraId="7E9096C5" w14:textId="77777777" w:rsidR="005B5818" w:rsidRDefault="005B5818" w:rsidP="00B60372">
      <w:pPr>
        <w:rPr>
          <w:rFonts w:eastAsiaTheme="minorEastAsia"/>
          <w:szCs w:val="24"/>
          <w:lang w:val="en-AU"/>
        </w:rPr>
      </w:pPr>
      <w:r>
        <w:rPr>
          <w:rFonts w:eastAsiaTheme="minorEastAsia"/>
          <w:szCs w:val="24"/>
          <w:lang w:val="en-AU"/>
        </w:rPr>
        <w:t xml:space="preserve">The combination of multiple DCLs across a single episode can be thought of similarly, with the inclusion of a decay component that adjusts for the </w:t>
      </w:r>
      <w:r>
        <w:rPr>
          <w:szCs w:val="24"/>
          <w:lang w:val="en-AU"/>
        </w:rPr>
        <w:t>diminished</w:t>
      </w:r>
      <w:r w:rsidRPr="00E42583">
        <w:rPr>
          <w:szCs w:val="24"/>
          <w:lang w:val="en-AU"/>
        </w:rPr>
        <w:t xml:space="preserve"> contribution of multiple diagnoses</w:t>
      </w:r>
      <w:r>
        <w:rPr>
          <w:szCs w:val="24"/>
          <w:lang w:val="en-AU"/>
        </w:rPr>
        <w:t xml:space="preserve"> vis-à-vis their individual contributions. For example, the cost of an episode </w:t>
      </w:r>
      <w:r w:rsidR="00BE51E2" w:rsidRPr="00BE51E2">
        <w:rPr>
          <w:position w:val="-6"/>
          <w:szCs w:val="24"/>
          <w:lang w:val="en-AU"/>
        </w:rPr>
        <w:object w:dxaOrig="180" w:dyaOrig="220" w14:anchorId="17A080A2">
          <v:shape id="_x0000_i1440" type="#_x0000_t75" style="width:9pt;height:11.25pt" o:ole="">
            <v:imagedata r:id="rId728" o:title=""/>
          </v:shape>
          <o:OLEObject Type="Embed" ProgID="Equation.DSMT4" ShapeID="_x0000_i1440" DrawAspect="Content" ObjectID="_1775046076" r:id="rId729"/>
        </w:object>
      </w:r>
      <w:r w:rsidR="00BE51E2">
        <w:rPr>
          <w:szCs w:val="24"/>
          <w:lang w:val="en-AU"/>
        </w:rPr>
        <w:t xml:space="preserve"> </w:t>
      </w:r>
      <w:r>
        <w:rPr>
          <w:rFonts w:eastAsiaTheme="minorEastAsia"/>
          <w:szCs w:val="24"/>
          <w:lang w:val="en-AU"/>
        </w:rPr>
        <w:t>in ADRG</w:t>
      </w:r>
      <w:r w:rsidR="00BE51E2">
        <w:rPr>
          <w:rFonts w:eastAsiaTheme="minorEastAsia"/>
          <w:szCs w:val="24"/>
          <w:lang w:val="en-AU"/>
        </w:rPr>
        <w:t xml:space="preserve"> </w:t>
      </w:r>
      <w:r w:rsidR="00BE51E2" w:rsidRPr="00BE51E2">
        <w:rPr>
          <w:rFonts w:eastAsiaTheme="minorEastAsia"/>
          <w:position w:val="-4"/>
          <w:szCs w:val="24"/>
          <w:lang w:val="en-AU"/>
        </w:rPr>
        <w:object w:dxaOrig="240" w:dyaOrig="260" w14:anchorId="03738B31">
          <v:shape id="_x0000_i1441" type="#_x0000_t75" style="width:12pt;height:12.75pt" o:ole="">
            <v:imagedata r:id="rId730" o:title=""/>
          </v:shape>
          <o:OLEObject Type="Embed" ProgID="Equation.DSMT4" ShapeID="_x0000_i1441" DrawAspect="Content" ObjectID="_1775046077" r:id="rId731"/>
        </w:object>
      </w:r>
      <w:r w:rsidR="00BE51E2">
        <w:rPr>
          <w:rFonts w:eastAsiaTheme="minorEastAsia"/>
          <w:szCs w:val="24"/>
          <w:lang w:val="en-AU"/>
        </w:rPr>
        <w:t xml:space="preserve"> </w:t>
      </w:r>
      <w:r>
        <w:rPr>
          <w:rFonts w:eastAsiaTheme="minorEastAsia"/>
          <w:szCs w:val="24"/>
          <w:lang w:val="en-AU"/>
        </w:rPr>
        <w:t>with two diagnoses</w:t>
      </w:r>
      <w:r w:rsidR="00BE51E2">
        <w:rPr>
          <w:rFonts w:eastAsiaTheme="minorEastAsia"/>
          <w:szCs w:val="24"/>
          <w:lang w:val="en-AU"/>
        </w:rPr>
        <w:t xml:space="preserve"> </w:t>
      </w:r>
      <w:r w:rsidR="00BE51E2" w:rsidRPr="00BE51E2">
        <w:rPr>
          <w:rFonts w:eastAsiaTheme="minorEastAsia"/>
          <w:position w:val="-12"/>
          <w:szCs w:val="24"/>
          <w:lang w:val="en-AU"/>
        </w:rPr>
        <w:object w:dxaOrig="240" w:dyaOrig="360" w14:anchorId="02AF7D18">
          <v:shape id="_x0000_i1442" type="#_x0000_t75" style="width:12pt;height:18pt" o:ole="">
            <v:imagedata r:id="rId732" o:title=""/>
          </v:shape>
          <o:OLEObject Type="Embed" ProgID="Equation.DSMT4" ShapeID="_x0000_i1442" DrawAspect="Content" ObjectID="_1775046078" r:id="rId733"/>
        </w:object>
      </w:r>
      <w:r w:rsidR="00BE51E2">
        <w:rPr>
          <w:rFonts w:eastAsiaTheme="minorEastAsia"/>
          <w:szCs w:val="24"/>
          <w:lang w:val="en-AU"/>
        </w:rPr>
        <w:t xml:space="preserve"> </w:t>
      </w:r>
      <w:r>
        <w:rPr>
          <w:rFonts w:eastAsiaTheme="minorEastAsia"/>
          <w:szCs w:val="24"/>
          <w:lang w:val="en-AU"/>
        </w:rPr>
        <w:t xml:space="preserve">and </w:t>
      </w:r>
      <w:r w:rsidR="00BE51E2" w:rsidRPr="00BE51E2">
        <w:rPr>
          <w:rFonts w:eastAsiaTheme="minorEastAsia"/>
          <w:position w:val="-12"/>
          <w:szCs w:val="24"/>
          <w:lang w:val="en-AU"/>
        </w:rPr>
        <w:object w:dxaOrig="260" w:dyaOrig="360" w14:anchorId="215EAE3A">
          <v:shape id="_x0000_i1443" type="#_x0000_t75" style="width:12.75pt;height:18pt" o:ole="">
            <v:imagedata r:id="rId734" o:title=""/>
          </v:shape>
          <o:OLEObject Type="Embed" ProgID="Equation.DSMT4" ShapeID="_x0000_i1443" DrawAspect="Content" ObjectID="_1775046079" r:id="rId735"/>
        </w:object>
      </w:r>
      <w:r w:rsidR="00BE51E2">
        <w:rPr>
          <w:rFonts w:eastAsiaTheme="minorEastAsia"/>
          <w:szCs w:val="24"/>
          <w:lang w:val="en-AU"/>
        </w:rPr>
        <w:t xml:space="preserve"> </w:t>
      </w:r>
      <w:r>
        <w:rPr>
          <w:rFonts w:eastAsiaTheme="minorEastAsia"/>
          <w:szCs w:val="24"/>
          <w:lang w:val="en-AU"/>
        </w:rPr>
        <w:t>can be estimated by</w:t>
      </w:r>
    </w:p>
    <w:p w14:paraId="0BF4F875" w14:textId="77777777" w:rsidR="005B5818" w:rsidRPr="007416F3" w:rsidRDefault="0038351B" w:rsidP="00B60372">
      <w:pPr>
        <w:jc w:val="center"/>
        <w:rPr>
          <w:rFonts w:eastAsiaTheme="minorEastAsia"/>
          <w:szCs w:val="24"/>
          <w:lang w:val="en-AU"/>
        </w:rPr>
      </w:pPr>
      <w:r w:rsidRPr="0038351B">
        <w:rPr>
          <w:rFonts w:eastAsiaTheme="minorEastAsia"/>
          <w:position w:val="-32"/>
          <w:szCs w:val="24"/>
          <w:lang w:val="en-AU"/>
        </w:rPr>
        <w:object w:dxaOrig="2520" w:dyaOrig="760" w14:anchorId="484EBCDE">
          <v:shape id="_x0000_i1444" type="#_x0000_t75" style="width:205.5pt;height:62.25pt" o:ole="">
            <v:imagedata r:id="rId736" o:title=""/>
          </v:shape>
          <o:OLEObject Type="Embed" ProgID="Equation.DSMT4" ShapeID="_x0000_i1444" DrawAspect="Content" ObjectID="_1775046080" r:id="rId737"/>
        </w:object>
      </w:r>
    </w:p>
    <w:p w14:paraId="4FEC61C4" w14:textId="77777777" w:rsidR="005B5818" w:rsidRDefault="005B5818" w:rsidP="00B60372">
      <w:pPr>
        <w:rPr>
          <w:rFonts w:eastAsiaTheme="minorEastAsia"/>
          <w:szCs w:val="24"/>
          <w:lang w:val="en-AU"/>
        </w:rPr>
      </w:pPr>
      <w:r>
        <w:rPr>
          <w:rFonts w:eastAsiaTheme="minorEastAsia"/>
          <w:szCs w:val="24"/>
          <w:lang w:val="en-AU"/>
        </w:rPr>
        <w:lastRenderedPageBreak/>
        <w:t xml:space="preserve">This is generalised to </w:t>
      </w:r>
      <w:r w:rsidR="0079179E" w:rsidRPr="0079179E">
        <w:rPr>
          <w:rFonts w:eastAsiaTheme="minorEastAsia"/>
          <w:position w:val="-6"/>
          <w:szCs w:val="24"/>
          <w:lang w:val="en-AU"/>
        </w:rPr>
        <w:object w:dxaOrig="200" w:dyaOrig="220" w14:anchorId="0FB05A4E">
          <v:shape id="_x0000_i1445" type="#_x0000_t75" style="width:9.75pt;height:11.25pt" o:ole="">
            <v:imagedata r:id="rId738" o:title=""/>
          </v:shape>
          <o:OLEObject Type="Embed" ProgID="Equation.DSMT4" ShapeID="_x0000_i1445" DrawAspect="Content" ObjectID="_1775046081" r:id="rId739"/>
        </w:object>
      </w:r>
      <w:r w:rsidR="0079179E">
        <w:rPr>
          <w:rFonts w:eastAsiaTheme="minorEastAsia"/>
          <w:szCs w:val="24"/>
          <w:lang w:val="en-AU"/>
        </w:rPr>
        <w:t xml:space="preserve"> </w:t>
      </w:r>
      <w:r>
        <w:rPr>
          <w:rFonts w:eastAsiaTheme="minorEastAsia"/>
          <w:szCs w:val="24"/>
          <w:lang w:val="en-AU"/>
        </w:rPr>
        <w:t xml:space="preserve">diagnoses </w:t>
      </w:r>
      <w:r w:rsidR="00BE51E2" w:rsidRPr="00BE51E2">
        <w:rPr>
          <w:rFonts w:eastAsiaTheme="minorEastAsia"/>
          <w:position w:val="-12"/>
          <w:szCs w:val="24"/>
          <w:lang w:val="en-AU"/>
        </w:rPr>
        <w:object w:dxaOrig="800" w:dyaOrig="360" w14:anchorId="7B852B03">
          <v:shape id="_x0000_i1446" type="#_x0000_t75" style="width:39.75pt;height:18pt" o:ole="">
            <v:imagedata r:id="rId740" o:title=""/>
          </v:shape>
          <o:OLEObject Type="Embed" ProgID="Equation.DSMT4" ShapeID="_x0000_i1446" DrawAspect="Content" ObjectID="_1775046082" r:id="rId741"/>
        </w:object>
      </w:r>
      <w:r w:rsidR="00BE51E2">
        <w:rPr>
          <w:rFonts w:eastAsiaTheme="minorEastAsia"/>
          <w:szCs w:val="24"/>
          <w:lang w:val="en-AU"/>
        </w:rPr>
        <w:t xml:space="preserve"> </w:t>
      </w:r>
      <w:r>
        <w:rPr>
          <w:rFonts w:eastAsiaTheme="minorEastAsia"/>
          <w:szCs w:val="24"/>
          <w:lang w:val="en-AU"/>
        </w:rPr>
        <w:t>as</w:t>
      </w:r>
    </w:p>
    <w:p w14:paraId="3A6F7E0F" w14:textId="77777777" w:rsidR="0038351B" w:rsidRDefault="00F26882" w:rsidP="00B60372">
      <w:pPr>
        <w:jc w:val="center"/>
        <w:rPr>
          <w:rFonts w:eastAsiaTheme="minorEastAsia"/>
          <w:szCs w:val="24"/>
          <w:lang w:val="en-AU"/>
        </w:rPr>
      </w:pPr>
      <w:r w:rsidRPr="0038351B">
        <w:rPr>
          <w:rFonts w:eastAsiaTheme="minorEastAsia"/>
          <w:position w:val="-14"/>
          <w:szCs w:val="24"/>
          <w:lang w:val="en-AU"/>
        </w:rPr>
        <w:object w:dxaOrig="2040" w:dyaOrig="680" w14:anchorId="3ED019A3">
          <v:shape id="_x0000_i1447" type="#_x0000_t75" style="width:164.25pt;height:54.75pt" o:ole="">
            <v:imagedata r:id="rId742" o:title=""/>
          </v:shape>
          <o:OLEObject Type="Embed" ProgID="Equation.DSMT4" ShapeID="_x0000_i1447" DrawAspect="Content" ObjectID="_1775046083" r:id="rId743"/>
        </w:object>
      </w:r>
    </w:p>
    <w:p w14:paraId="6243E7D4" w14:textId="77777777" w:rsidR="00F06B45" w:rsidRDefault="005B5818" w:rsidP="00B60372">
      <w:pPr>
        <w:rPr>
          <w:rFonts w:eastAsiaTheme="minorEastAsia"/>
          <w:szCs w:val="24"/>
          <w:lang w:val="en-AU"/>
        </w:rPr>
      </w:pPr>
      <w:r>
        <w:rPr>
          <w:szCs w:val="24"/>
          <w:lang w:val="en-AU"/>
        </w:rPr>
        <w:t>This expression was modelled across the costs of all ADRGs to find a single decay factor</w:t>
      </w:r>
      <w:r w:rsidR="00BE7C3B">
        <w:rPr>
          <w:szCs w:val="24"/>
          <w:lang w:val="en-AU"/>
        </w:rPr>
        <w:t xml:space="preserve"> </w:t>
      </w:r>
      <w:r w:rsidR="00BE7C3B" w:rsidRPr="00BE7C3B">
        <w:rPr>
          <w:position w:val="-4"/>
          <w:szCs w:val="24"/>
          <w:lang w:val="en-AU"/>
        </w:rPr>
        <w:object w:dxaOrig="180" w:dyaOrig="200" w14:anchorId="50744C51">
          <v:shape id="_x0000_i1448" type="#_x0000_t75" style="width:9pt;height:9.75pt" o:ole="">
            <v:imagedata r:id="rId744" o:title=""/>
          </v:shape>
          <o:OLEObject Type="Embed" ProgID="Equation.DSMT4" ShapeID="_x0000_i1448" DrawAspect="Content" ObjectID="_1775046084" r:id="rId745"/>
        </w:object>
      </w:r>
      <w:r w:rsidR="00BE7C3B">
        <w:rPr>
          <w:szCs w:val="24"/>
          <w:lang w:val="en-AU"/>
        </w:rPr>
        <w:t xml:space="preserve"> </w:t>
      </w:r>
      <w:r w:rsidR="008F49D5">
        <w:rPr>
          <w:rFonts w:eastAsiaTheme="minorEastAsia"/>
          <w:szCs w:val="24"/>
          <w:lang w:val="en-AU"/>
        </w:rPr>
        <w:t>that creates the least-</w:t>
      </w:r>
      <w:r>
        <w:rPr>
          <w:rFonts w:eastAsiaTheme="minorEastAsia"/>
          <w:szCs w:val="24"/>
          <w:lang w:val="en-AU"/>
        </w:rPr>
        <w:t xml:space="preserve">squares best fit across all ADRGs. Each episode’s diagnoses are ranked by descending DCL value for the purpose of evaluating the above expression. </w:t>
      </w:r>
    </w:p>
    <w:p w14:paraId="62219CCF" w14:textId="11F575EB" w:rsidR="005B5818" w:rsidRDefault="005B5818" w:rsidP="00C83D03">
      <w:pPr>
        <w:keepNext/>
        <w:keepLines/>
        <w:rPr>
          <w:rFonts w:eastAsiaTheme="minorEastAsia"/>
          <w:szCs w:val="24"/>
          <w:lang w:val="en-AU"/>
        </w:rPr>
      </w:pPr>
      <w:r>
        <w:rPr>
          <w:rFonts w:eastAsiaTheme="minorEastAsia"/>
          <w:szCs w:val="24"/>
          <w:lang w:val="en-AU"/>
        </w:rPr>
        <w:t xml:space="preserve">A decay factor of </w:t>
      </w:r>
      <w:r w:rsidR="00BE7C3B" w:rsidRPr="00BE7C3B">
        <w:rPr>
          <w:rFonts w:eastAsiaTheme="minorEastAsia"/>
          <w:position w:val="-6"/>
          <w:szCs w:val="24"/>
          <w:lang w:val="en-AU"/>
        </w:rPr>
        <w:object w:dxaOrig="840" w:dyaOrig="279" w14:anchorId="18A0B1EB">
          <v:shape id="_x0000_i1449" type="#_x0000_t75" style="width:42pt;height:14.25pt" o:ole="">
            <v:imagedata r:id="rId746" o:title=""/>
          </v:shape>
          <o:OLEObject Type="Embed" ProgID="Equation.DSMT4" ShapeID="_x0000_i1449" DrawAspect="Content" ObjectID="_1775046085" r:id="rId747"/>
        </w:object>
      </w:r>
      <w:r w:rsidR="00BE7C3B">
        <w:rPr>
          <w:rFonts w:eastAsiaTheme="minorEastAsia"/>
          <w:szCs w:val="24"/>
          <w:lang w:val="en-AU"/>
        </w:rPr>
        <w:t xml:space="preserve"> </w:t>
      </w:r>
      <w:r>
        <w:rPr>
          <w:rFonts w:eastAsiaTheme="minorEastAsia"/>
          <w:szCs w:val="24"/>
          <w:lang w:val="en-AU"/>
        </w:rPr>
        <w:t xml:space="preserve">was identified as providing the best fit. The ECCS is then defined </w:t>
      </w:r>
      <w:r w:rsidRPr="002F7E33">
        <w:rPr>
          <w:rFonts w:eastAsiaTheme="minorEastAsia"/>
          <w:szCs w:val="24"/>
          <w:lang w:val="en-AU"/>
        </w:rPr>
        <w:t>as the index of the resulting expression</w:t>
      </w:r>
      <w:r w:rsidR="0046359F">
        <w:rPr>
          <w:rFonts w:eastAsiaTheme="minorEastAsia"/>
          <w:szCs w:val="24"/>
          <w:lang w:val="en-AU"/>
        </w:rPr>
        <w:t>, as follows.</w:t>
      </w:r>
    </w:p>
    <w:p w14:paraId="3E89A783" w14:textId="77777777" w:rsidR="005B5818" w:rsidRDefault="005B5818" w:rsidP="00B60372">
      <w:pPr>
        <w:pStyle w:val="Heading4"/>
      </w:pPr>
      <w:r>
        <w:t>ECCS formula</w:t>
      </w:r>
    </w:p>
    <w:p w14:paraId="41EC1F29" w14:textId="77777777" w:rsidR="005B5818" w:rsidRDefault="005B5818" w:rsidP="005B5818">
      <w:pPr>
        <w:rPr>
          <w:rFonts w:eastAsiaTheme="minorEastAsia"/>
          <w:szCs w:val="24"/>
          <w:lang w:val="en-AU"/>
        </w:rPr>
      </w:pPr>
      <w:r>
        <w:rPr>
          <w:rFonts w:eastAsiaTheme="minorEastAsia"/>
          <w:szCs w:val="24"/>
          <w:lang w:val="en-AU"/>
        </w:rPr>
        <w:t xml:space="preserve">The ECCS of an episode </w:t>
      </w:r>
      <w:r w:rsidR="0079179E" w:rsidRPr="0079179E">
        <w:rPr>
          <w:rFonts w:eastAsiaTheme="minorEastAsia"/>
          <w:position w:val="-6"/>
          <w:szCs w:val="24"/>
          <w:lang w:val="en-AU"/>
        </w:rPr>
        <w:object w:dxaOrig="180" w:dyaOrig="220" w14:anchorId="67D64CD3">
          <v:shape id="_x0000_i1450" type="#_x0000_t75" style="width:9pt;height:11.25pt" o:ole="">
            <v:imagedata r:id="rId748" o:title=""/>
          </v:shape>
          <o:OLEObject Type="Embed" ProgID="Equation.DSMT4" ShapeID="_x0000_i1450" DrawAspect="Content" ObjectID="_1775046086" r:id="rId749"/>
        </w:object>
      </w:r>
      <w:r w:rsidR="0079179E">
        <w:rPr>
          <w:rFonts w:eastAsiaTheme="minorEastAsia"/>
          <w:szCs w:val="24"/>
          <w:lang w:val="en-AU"/>
        </w:rPr>
        <w:t xml:space="preserve"> </w:t>
      </w:r>
      <w:r>
        <w:rPr>
          <w:rFonts w:eastAsiaTheme="minorEastAsia"/>
          <w:szCs w:val="24"/>
          <w:lang w:val="en-AU"/>
        </w:rPr>
        <w:t xml:space="preserve">in an ADRG </w:t>
      </w:r>
      <w:r w:rsidR="0079179E" w:rsidRPr="0079179E">
        <w:rPr>
          <w:rFonts w:eastAsiaTheme="minorEastAsia"/>
          <w:position w:val="-4"/>
          <w:szCs w:val="24"/>
          <w:lang w:val="en-AU"/>
        </w:rPr>
        <w:object w:dxaOrig="240" w:dyaOrig="260" w14:anchorId="234E2D4B">
          <v:shape id="_x0000_i1451" type="#_x0000_t75" style="width:12pt;height:12.75pt" o:ole="">
            <v:imagedata r:id="rId750" o:title=""/>
          </v:shape>
          <o:OLEObject Type="Embed" ProgID="Equation.DSMT4" ShapeID="_x0000_i1451" DrawAspect="Content" ObjectID="_1775046087" r:id="rId751"/>
        </w:object>
      </w:r>
      <w:r w:rsidR="0079179E">
        <w:rPr>
          <w:rFonts w:eastAsiaTheme="minorEastAsia"/>
          <w:szCs w:val="24"/>
          <w:lang w:val="en-AU"/>
        </w:rPr>
        <w:t xml:space="preserve"> </w:t>
      </w:r>
      <w:r>
        <w:rPr>
          <w:rFonts w:eastAsiaTheme="minorEastAsia"/>
          <w:szCs w:val="24"/>
          <w:lang w:val="en-AU"/>
        </w:rPr>
        <w:t xml:space="preserve">with diagnoses listed in descending order of their DCL values as </w:t>
      </w:r>
      <w:r w:rsidR="00756F13" w:rsidRPr="00BE51E2">
        <w:rPr>
          <w:rFonts w:eastAsiaTheme="minorEastAsia"/>
          <w:position w:val="-12"/>
          <w:szCs w:val="24"/>
          <w:lang w:val="en-AU"/>
        </w:rPr>
        <w:object w:dxaOrig="800" w:dyaOrig="360" w14:anchorId="092C6CA4">
          <v:shape id="_x0000_i1452" type="#_x0000_t75" style="width:39.75pt;height:18pt" o:ole="">
            <v:imagedata r:id="rId740" o:title=""/>
          </v:shape>
          <o:OLEObject Type="Embed" ProgID="Equation.DSMT4" ShapeID="_x0000_i1452" DrawAspect="Content" ObjectID="_1775046088" r:id="rId752"/>
        </w:object>
      </w:r>
      <w:r>
        <w:rPr>
          <w:rFonts w:eastAsiaTheme="minorEastAsia"/>
          <w:szCs w:val="24"/>
          <w:lang w:val="en-AU"/>
        </w:rPr>
        <w:t xml:space="preserve"> (i.e. </w:t>
      </w:r>
      <w:r w:rsidR="00756F13" w:rsidRPr="00756F13">
        <w:rPr>
          <w:rFonts w:eastAsiaTheme="minorEastAsia"/>
          <w:position w:val="-14"/>
          <w:szCs w:val="24"/>
          <w:lang w:val="en-AU"/>
        </w:rPr>
        <w:object w:dxaOrig="4420" w:dyaOrig="400" w14:anchorId="0850939E">
          <v:shape id="_x0000_i1453" type="#_x0000_t75" style="width:221.25pt;height:20.25pt" o:ole="">
            <v:imagedata r:id="rId753" o:title=""/>
          </v:shape>
          <o:OLEObject Type="Embed" ProgID="Equation.DSMT4" ShapeID="_x0000_i1453" DrawAspect="Content" ObjectID="_1775046089" r:id="rId754"/>
        </w:object>
      </w:r>
      <w:r>
        <w:rPr>
          <w:rFonts w:eastAsiaTheme="minorEastAsia"/>
          <w:szCs w:val="24"/>
          <w:lang w:val="en-AU"/>
        </w:rPr>
        <w:t>) is defined as</w:t>
      </w:r>
    </w:p>
    <w:p w14:paraId="1A74482E" w14:textId="77777777" w:rsidR="00756F13" w:rsidRDefault="007F3507" w:rsidP="00756F13">
      <w:pPr>
        <w:jc w:val="center"/>
        <w:rPr>
          <w:rFonts w:eastAsiaTheme="minorEastAsia"/>
          <w:szCs w:val="24"/>
          <w:lang w:val="en-AU"/>
        </w:rPr>
      </w:pPr>
      <w:r w:rsidRPr="00756F13">
        <w:rPr>
          <w:rFonts w:eastAsiaTheme="minorEastAsia"/>
          <w:position w:val="-28"/>
          <w:szCs w:val="24"/>
          <w:lang w:val="en-AU"/>
        </w:rPr>
        <w:object w:dxaOrig="3640" w:dyaOrig="680" w14:anchorId="163BC52E">
          <v:shape id="_x0000_i1454" type="#_x0000_t75" style="width:237.75pt;height:45pt" o:ole="">
            <v:imagedata r:id="rId755" o:title=""/>
          </v:shape>
          <o:OLEObject Type="Embed" ProgID="Equation.DSMT4" ShapeID="_x0000_i1454" DrawAspect="Content" ObjectID="_1775046090" r:id="rId756"/>
        </w:object>
      </w:r>
    </w:p>
    <w:p w14:paraId="7A01CFD8" w14:textId="77777777" w:rsidR="005B5818" w:rsidRDefault="005B5818" w:rsidP="005B5818">
      <w:pPr>
        <w:rPr>
          <w:szCs w:val="24"/>
          <w:lang w:val="en-AU"/>
        </w:rPr>
      </w:pPr>
      <w:r>
        <w:rPr>
          <w:szCs w:val="24"/>
          <w:lang w:val="en-AU"/>
        </w:rPr>
        <w:t>Note that Conditional Exclusions</w:t>
      </w:r>
      <w:r w:rsidR="008F49D5">
        <w:rPr>
          <w:szCs w:val="24"/>
          <w:lang w:val="en-AU"/>
        </w:rPr>
        <w:t xml:space="preserve"> (CEs)</w:t>
      </w:r>
      <w:r>
        <w:rPr>
          <w:szCs w:val="24"/>
          <w:lang w:val="en-AU"/>
        </w:rPr>
        <w:t xml:space="preserve"> are applied to all episodes prior to evaluating this expression.</w:t>
      </w:r>
    </w:p>
    <w:p w14:paraId="328F8815" w14:textId="77777777" w:rsidR="005B5818" w:rsidRPr="002C5DC2" w:rsidRDefault="005B5818" w:rsidP="005B5818">
      <w:pPr>
        <w:rPr>
          <w:szCs w:val="24"/>
          <w:lang w:val="en-AU"/>
        </w:rPr>
      </w:pPr>
      <w:r>
        <w:rPr>
          <w:szCs w:val="24"/>
          <w:lang w:val="en-AU"/>
        </w:rPr>
        <w:t xml:space="preserve">To compare and contrast with the AR-DRG V7.0 PCCL formula, </w:t>
      </w:r>
      <w:r w:rsidR="00CC0F16">
        <w:fldChar w:fldCharType="begin"/>
      </w:r>
      <w:r w:rsidR="00CC0F16">
        <w:instrText xml:space="preserve"> REF _Ref391056964 \h  \* MERGEFORMAT </w:instrText>
      </w:r>
      <w:r w:rsidR="00CC0F16">
        <w:fldChar w:fldCharType="separate"/>
      </w:r>
      <w:r w:rsidR="0031717B" w:rsidRPr="0031717B">
        <w:rPr>
          <w:szCs w:val="24"/>
        </w:rPr>
        <w:t xml:space="preserve">Figure </w:t>
      </w:r>
      <w:r w:rsidR="0031717B" w:rsidRPr="0031717B">
        <w:rPr>
          <w:noProof/>
          <w:szCs w:val="24"/>
        </w:rPr>
        <w:t>16</w:t>
      </w:r>
      <w:r w:rsidR="00CC0F16">
        <w:fldChar w:fldCharType="end"/>
      </w:r>
      <w:r w:rsidRPr="002C5DC2">
        <w:rPr>
          <w:szCs w:val="24"/>
          <w:lang w:val="en-AU"/>
        </w:rPr>
        <w:t xml:space="preserve"> is an extract of the AR-DRG </w:t>
      </w:r>
      <w:r>
        <w:rPr>
          <w:szCs w:val="24"/>
          <w:lang w:val="en-AU"/>
        </w:rPr>
        <w:t>V</w:t>
      </w:r>
      <w:r w:rsidRPr="002C5DC2">
        <w:rPr>
          <w:szCs w:val="24"/>
          <w:lang w:val="en-AU"/>
        </w:rPr>
        <w:t>7.0 manual specifying the current PCCL formula.</w:t>
      </w:r>
    </w:p>
    <w:p w14:paraId="476455C9" w14:textId="77777777" w:rsidR="005B5818" w:rsidRDefault="005B5818" w:rsidP="00144F26">
      <w:pPr>
        <w:pStyle w:val="Caption"/>
        <w:rPr>
          <w:noProof/>
        </w:rPr>
      </w:pPr>
      <w:bookmarkStart w:id="91" w:name="_Ref391056964"/>
      <w:bookmarkStart w:id="92" w:name="_Toc401061069"/>
      <w:r w:rsidRPr="00A2190B">
        <w:lastRenderedPageBreak/>
        <w:t xml:space="preserve">Figure </w:t>
      </w:r>
      <w:r w:rsidR="005559F5" w:rsidRPr="00A2190B">
        <w:fldChar w:fldCharType="begin"/>
      </w:r>
      <w:r w:rsidRPr="00A2190B">
        <w:instrText xml:space="preserve"> SEQ Figure \* ARABIC </w:instrText>
      </w:r>
      <w:r w:rsidR="005559F5" w:rsidRPr="00A2190B">
        <w:fldChar w:fldCharType="separate"/>
      </w:r>
      <w:r w:rsidR="0031717B">
        <w:rPr>
          <w:noProof/>
        </w:rPr>
        <w:t>16</w:t>
      </w:r>
      <w:r w:rsidR="005559F5" w:rsidRPr="00A2190B">
        <w:fldChar w:fldCharType="end"/>
      </w:r>
      <w:bookmarkEnd w:id="91"/>
      <w:r w:rsidRPr="00A2190B">
        <w:t xml:space="preserve">: Extract of AR-DRG </w:t>
      </w:r>
      <w:r>
        <w:t>V</w:t>
      </w:r>
      <w:r w:rsidRPr="00A2190B">
        <w:t>7.0 manual</w:t>
      </w:r>
      <w:r w:rsidRPr="00A2190B">
        <w:rPr>
          <w:noProof/>
        </w:rPr>
        <w:t xml:space="preserve"> specifying PCCL formulation</w:t>
      </w:r>
      <w:r w:rsidR="00F26882">
        <w:rPr>
          <w:noProof/>
        </w:rPr>
        <w:t>.</w:t>
      </w:r>
      <w:bookmarkEnd w:id="92"/>
    </w:p>
    <w:p w14:paraId="6F3BD6C9" w14:textId="77777777" w:rsidR="00756F13" w:rsidRDefault="00756F13" w:rsidP="00C83D03">
      <w:pPr>
        <w:pStyle w:val="Quote"/>
        <w:keepNext/>
        <w:pBdr>
          <w:top w:val="single" w:sz="4" w:space="1" w:color="auto"/>
          <w:left w:val="single" w:sz="4" w:space="4" w:color="auto"/>
          <w:bottom w:val="single" w:sz="4" w:space="1" w:color="auto"/>
          <w:right w:val="single" w:sz="4" w:space="4" w:color="auto"/>
        </w:pBdr>
        <w:shd w:val="clear" w:color="auto" w:fill="F2F2F2" w:themeFill="background1" w:themeFillShade="F2"/>
      </w:pPr>
      <w:r>
        <w:t xml:space="preserve">Formula for calculating a </w:t>
      </w:r>
      <w:r w:rsidRPr="007827B9">
        <w:t>patient’s</w:t>
      </w:r>
      <w:r>
        <w:t xml:space="preserve"> clinical complexity level (PCCL)</w:t>
      </w:r>
    </w:p>
    <w:p w14:paraId="65ABC3E5" w14:textId="77777777" w:rsidR="00756F13" w:rsidRPr="00F26882" w:rsidRDefault="00756F13" w:rsidP="00C83D03">
      <w:pPr>
        <w:pStyle w:val="Quote"/>
        <w:keepNext/>
        <w:pBdr>
          <w:top w:val="single" w:sz="4" w:space="1" w:color="auto"/>
          <w:left w:val="single" w:sz="4" w:space="4" w:color="auto"/>
          <w:bottom w:val="single" w:sz="4" w:space="1" w:color="auto"/>
          <w:right w:val="single" w:sz="4" w:space="4" w:color="auto"/>
        </w:pBdr>
        <w:shd w:val="clear" w:color="auto" w:fill="F2F2F2" w:themeFill="background1" w:themeFillShade="F2"/>
        <w:rPr>
          <w:b w:val="0"/>
        </w:rPr>
      </w:pPr>
      <w:r w:rsidRPr="00F26882">
        <w:rPr>
          <w:b w:val="0"/>
        </w:rPr>
        <w:t xml:space="preserve">If </w:t>
      </w:r>
      <w:r w:rsidR="007827B9" w:rsidRPr="00F26882">
        <w:rPr>
          <w:b w:val="0"/>
          <w:position w:val="-14"/>
        </w:rPr>
        <w:object w:dxaOrig="999" w:dyaOrig="400" w14:anchorId="0E0832B5">
          <v:shape id="_x0000_i1455" type="#_x0000_t75" style="width:50.25pt;height:20.25pt" o:ole="">
            <v:imagedata r:id="rId757" o:title=""/>
          </v:shape>
          <o:OLEObject Type="Embed" ProgID="Equation.DSMT4" ShapeID="_x0000_i1455" DrawAspect="Content" ObjectID="_1775046091" r:id="rId758"/>
        </w:object>
      </w:r>
      <w:r w:rsidRPr="00F26882">
        <w:rPr>
          <w:b w:val="0"/>
        </w:rPr>
        <w:t xml:space="preserve"> </w:t>
      </w:r>
      <w:r w:rsidR="007827B9" w:rsidRPr="00F26882">
        <w:rPr>
          <w:b w:val="0"/>
        </w:rPr>
        <w:t>is the sorted list of CCL values that remains at the end of the recursive exclusion process, the formula for calculating PCCL is:</w:t>
      </w:r>
    </w:p>
    <w:p w14:paraId="0987112B" w14:textId="77777777" w:rsidR="007827B9" w:rsidRPr="00F26882" w:rsidRDefault="007827B9" w:rsidP="00C83D03">
      <w:pPr>
        <w:pStyle w:val="Quote"/>
        <w:keepNext/>
        <w:pBdr>
          <w:top w:val="single" w:sz="4" w:space="1" w:color="auto"/>
          <w:left w:val="single" w:sz="4" w:space="4" w:color="auto"/>
          <w:bottom w:val="single" w:sz="4" w:space="1" w:color="auto"/>
          <w:right w:val="single" w:sz="4" w:space="4" w:color="auto"/>
        </w:pBdr>
        <w:shd w:val="clear" w:color="auto" w:fill="F2F2F2" w:themeFill="background1" w:themeFillShade="F2"/>
        <w:rPr>
          <w:b w:val="0"/>
        </w:rPr>
      </w:pPr>
      <w:r w:rsidRPr="00F26882">
        <w:rPr>
          <w:b w:val="0"/>
          <w:position w:val="-50"/>
        </w:rPr>
        <w:object w:dxaOrig="2980" w:dyaOrig="1120" w14:anchorId="6B8DF7AF">
          <v:shape id="_x0000_i1456" type="#_x0000_t75" style="width:149.25pt;height:56.25pt" o:ole="">
            <v:imagedata r:id="rId759" o:title=""/>
          </v:shape>
          <o:OLEObject Type="Embed" ProgID="Equation.DSMT4" ShapeID="_x0000_i1456" DrawAspect="Content" ObjectID="_1775046092" r:id="rId760"/>
        </w:object>
      </w:r>
      <w:r w:rsidRPr="00F26882">
        <w:rPr>
          <w:b w:val="0"/>
        </w:rPr>
        <w:t xml:space="preserve"> </w:t>
      </w:r>
    </w:p>
    <w:p w14:paraId="1DAA6475" w14:textId="77777777" w:rsidR="007827B9" w:rsidRPr="00F26882" w:rsidRDefault="0046359F" w:rsidP="00C83D03">
      <w:pPr>
        <w:pStyle w:val="Quote"/>
        <w:keepNext/>
        <w:pBdr>
          <w:top w:val="single" w:sz="4" w:space="1" w:color="auto"/>
          <w:left w:val="single" w:sz="4" w:space="4" w:color="auto"/>
          <w:bottom w:val="single" w:sz="4" w:space="1" w:color="auto"/>
          <w:right w:val="single" w:sz="4" w:space="4" w:color="auto"/>
        </w:pBdr>
        <w:shd w:val="clear" w:color="auto" w:fill="F2F2F2" w:themeFill="background1" w:themeFillShade="F2"/>
        <w:rPr>
          <w:b w:val="0"/>
        </w:rPr>
      </w:pPr>
      <w:r w:rsidRPr="00F26882">
        <w:rPr>
          <w:b w:val="0"/>
          <w:position w:val="-66"/>
        </w:rPr>
        <w:object w:dxaOrig="5520" w:dyaOrig="1440" w14:anchorId="4063DBAD">
          <v:shape id="_x0000_i1457" type="#_x0000_t75" style="width:276pt;height:1in" o:ole="">
            <v:imagedata r:id="rId761" o:title=""/>
          </v:shape>
          <o:OLEObject Type="Embed" ProgID="Equation.DSMT4" ShapeID="_x0000_i1457" DrawAspect="Content" ObjectID="_1775046093" r:id="rId762"/>
        </w:object>
      </w:r>
    </w:p>
    <w:p w14:paraId="2CDC9B12" w14:textId="77777777" w:rsidR="007827B9" w:rsidRPr="00F26882" w:rsidRDefault="007827B9" w:rsidP="00C83D03">
      <w:pPr>
        <w:pStyle w:val="Quote"/>
        <w:keepNext/>
        <w:pBdr>
          <w:top w:val="single" w:sz="4" w:space="1" w:color="auto"/>
          <w:left w:val="single" w:sz="4" w:space="4" w:color="auto"/>
          <w:bottom w:val="single" w:sz="4" w:space="1" w:color="auto"/>
          <w:right w:val="single" w:sz="4" w:space="4" w:color="auto"/>
        </w:pBdr>
        <w:shd w:val="clear" w:color="auto" w:fill="F2F2F2" w:themeFill="background1" w:themeFillShade="F2"/>
        <w:rPr>
          <w:b w:val="0"/>
        </w:rPr>
      </w:pPr>
      <w:r w:rsidRPr="00F26882">
        <w:rPr>
          <w:b w:val="0"/>
          <w:position w:val="-6"/>
        </w:rPr>
        <w:object w:dxaOrig="240" w:dyaOrig="220" w14:anchorId="51EF534A">
          <v:shape id="_x0000_i1458" type="#_x0000_t75" style="width:12pt;height:11.25pt" o:ole="">
            <v:imagedata r:id="rId763" o:title=""/>
          </v:shape>
          <o:OLEObject Type="Embed" ProgID="Equation.DSMT4" ShapeID="_x0000_i1458" DrawAspect="Content" ObjectID="_1775046094" r:id="rId764"/>
        </w:object>
      </w:r>
      <w:r w:rsidRPr="00F26882">
        <w:rPr>
          <w:b w:val="0"/>
        </w:rPr>
        <w:t xml:space="preserve"> is a parameter and is currently set equal to 0.4</w:t>
      </w:r>
    </w:p>
    <w:p w14:paraId="2635CEB8" w14:textId="77777777" w:rsidR="007827B9" w:rsidRPr="00F26882" w:rsidRDefault="007827B9" w:rsidP="00F26882">
      <w:pPr>
        <w:pStyle w:val="Quote"/>
        <w:pBdr>
          <w:top w:val="single" w:sz="4" w:space="1" w:color="auto"/>
          <w:left w:val="single" w:sz="4" w:space="4" w:color="auto"/>
          <w:bottom w:val="single" w:sz="4" w:space="1" w:color="auto"/>
          <w:right w:val="single" w:sz="4" w:space="4" w:color="auto"/>
        </w:pBdr>
        <w:shd w:val="clear" w:color="auto" w:fill="F2F2F2" w:themeFill="background1" w:themeFillShade="F2"/>
        <w:rPr>
          <w:b w:val="0"/>
        </w:rPr>
      </w:pPr>
      <w:r w:rsidRPr="00F26882">
        <w:rPr>
          <w:b w:val="0"/>
          <w:position w:val="-6"/>
        </w:rPr>
        <w:object w:dxaOrig="520" w:dyaOrig="279" w14:anchorId="655B16BF">
          <v:shape id="_x0000_i1459" type="#_x0000_t75" style="width:26.25pt;height:14.25pt" o:ole="">
            <v:imagedata r:id="rId765" o:title=""/>
          </v:shape>
          <o:OLEObject Type="Embed" ProgID="Equation.DSMT4" ShapeID="_x0000_i1459" DrawAspect="Content" ObjectID="_1775046095" r:id="rId766"/>
        </w:object>
      </w:r>
      <w:r w:rsidRPr="00F26882">
        <w:rPr>
          <w:b w:val="0"/>
        </w:rPr>
        <w:t xml:space="preserve"> for ADRGs A06, O01-O66, P01-P68 or </w:t>
      </w:r>
      <w:r w:rsidRPr="00F26882">
        <w:rPr>
          <w:b w:val="0"/>
          <w:position w:val="-6"/>
        </w:rPr>
        <w:object w:dxaOrig="560" w:dyaOrig="279" w14:anchorId="7284878F">
          <v:shape id="_x0000_i1460" type="#_x0000_t75" style="width:27.75pt;height:14.25pt" o:ole="">
            <v:imagedata r:id="rId767" o:title=""/>
          </v:shape>
          <o:OLEObject Type="Embed" ProgID="Equation.DSMT4" ShapeID="_x0000_i1460" DrawAspect="Content" ObjectID="_1775046096" r:id="rId768"/>
        </w:object>
      </w:r>
      <w:r w:rsidRPr="00F26882">
        <w:rPr>
          <w:b w:val="0"/>
        </w:rPr>
        <w:t xml:space="preserve"> for all other ADRGs.</w:t>
      </w:r>
    </w:p>
    <w:p w14:paraId="79481FC3" w14:textId="77777777" w:rsidR="005B5818" w:rsidRDefault="005B5818" w:rsidP="007827B9">
      <w:pPr>
        <w:keepNext/>
        <w:jc w:val="center"/>
        <w:rPr>
          <w:rFonts w:eastAsiaTheme="minorEastAsia"/>
          <w:szCs w:val="24"/>
          <w:lang w:val="en-AU"/>
        </w:rPr>
      </w:pPr>
      <w:r w:rsidRPr="002025A8">
        <w:rPr>
          <w:szCs w:val="24"/>
          <w:lang w:val="en-AU"/>
        </w:rPr>
        <w:t xml:space="preserve">Taking the majority case of </w:t>
      </w:r>
      <w:r w:rsidR="007827B9" w:rsidRPr="007827B9">
        <w:rPr>
          <w:position w:val="-6"/>
        </w:rPr>
        <w:object w:dxaOrig="560" w:dyaOrig="279" w14:anchorId="6151618C">
          <v:shape id="_x0000_i1461" type="#_x0000_t75" style="width:27.75pt;height:14.25pt" o:ole="">
            <v:imagedata r:id="rId767" o:title=""/>
          </v:shape>
          <o:OLEObject Type="Embed" ProgID="Equation.DSMT4" ShapeID="_x0000_i1461" DrawAspect="Content" ObjectID="_1775046097" r:id="rId769"/>
        </w:object>
      </w:r>
      <w:r w:rsidRPr="002025A8">
        <w:rPr>
          <w:rFonts w:eastAsiaTheme="minorEastAsia"/>
          <w:szCs w:val="24"/>
          <w:lang w:val="en-AU"/>
        </w:rPr>
        <w:t xml:space="preserve">, the PCCL formula shown in </w:t>
      </w:r>
      <w:r w:rsidR="00CC0F16">
        <w:fldChar w:fldCharType="begin"/>
      </w:r>
      <w:r w:rsidR="00CC0F16">
        <w:instrText xml:space="preserve"> REF _Ref391056964 \h  \* MERGEFORMAT </w:instrText>
      </w:r>
      <w:r w:rsidR="00CC0F16">
        <w:fldChar w:fldCharType="separate"/>
      </w:r>
      <w:r w:rsidR="0031717B" w:rsidRPr="0031717B">
        <w:rPr>
          <w:szCs w:val="24"/>
        </w:rPr>
        <w:t xml:space="preserve">Figure </w:t>
      </w:r>
      <w:r w:rsidR="0031717B" w:rsidRPr="0031717B">
        <w:rPr>
          <w:noProof/>
          <w:szCs w:val="24"/>
        </w:rPr>
        <w:t>16</w:t>
      </w:r>
      <w:r w:rsidR="00CC0F16">
        <w:fldChar w:fldCharType="end"/>
      </w:r>
      <w:r w:rsidRPr="002025A8">
        <w:rPr>
          <w:rFonts w:eastAsiaTheme="minorEastAsia"/>
          <w:szCs w:val="24"/>
          <w:lang w:val="en-AU"/>
        </w:rPr>
        <w:t xml:space="preserve"> c</w:t>
      </w:r>
      <w:r>
        <w:rPr>
          <w:rFonts w:eastAsiaTheme="minorEastAsia"/>
          <w:szCs w:val="24"/>
          <w:lang w:val="en-AU"/>
        </w:rPr>
        <w:t>an be simplified as follows:</w:t>
      </w:r>
    </w:p>
    <w:p w14:paraId="5EF78183" w14:textId="77777777" w:rsidR="00756F13" w:rsidRDefault="00F26882" w:rsidP="00756F13">
      <w:pPr>
        <w:jc w:val="center"/>
        <w:rPr>
          <w:rFonts w:eastAsiaTheme="minorEastAsia"/>
          <w:szCs w:val="24"/>
          <w:lang w:val="en-AU"/>
        </w:rPr>
      </w:pPr>
      <w:r w:rsidRPr="00756F13">
        <w:rPr>
          <w:rFonts w:eastAsiaTheme="minorEastAsia"/>
          <w:position w:val="-130"/>
          <w:szCs w:val="24"/>
          <w:lang w:val="en-AU"/>
        </w:rPr>
        <w:object w:dxaOrig="4180" w:dyaOrig="3340" w14:anchorId="0A182795">
          <v:shape id="_x0000_i1462" type="#_x0000_t75" style="width:231.75pt;height:185.25pt" o:ole="">
            <v:imagedata r:id="rId770" o:title=""/>
          </v:shape>
          <o:OLEObject Type="Embed" ProgID="Equation.DSMT4" ShapeID="_x0000_i1462" DrawAspect="Content" ObjectID="_1775046098" r:id="rId771"/>
        </w:object>
      </w:r>
    </w:p>
    <w:p w14:paraId="58305A3A" w14:textId="77777777" w:rsidR="005B5818" w:rsidRDefault="005B5818" w:rsidP="005B5818">
      <w:pPr>
        <w:rPr>
          <w:rFonts w:eastAsiaTheme="minorEastAsia"/>
          <w:szCs w:val="24"/>
          <w:lang w:val="en-AU"/>
        </w:rPr>
      </w:pPr>
      <w:r>
        <w:rPr>
          <w:szCs w:val="24"/>
          <w:lang w:val="en-AU"/>
        </w:rPr>
        <w:t xml:space="preserve">In terms of the comparative quantification of episode complexity, this expression is similar to an expression of the form </w:t>
      </w:r>
      <w:r w:rsidR="007827B9" w:rsidRPr="007827B9">
        <w:rPr>
          <w:position w:val="-28"/>
          <w:szCs w:val="24"/>
          <w:lang w:val="en-AU"/>
        </w:rPr>
        <w:object w:dxaOrig="3159" w:dyaOrig="680" w14:anchorId="5BB32BEF">
          <v:shape id="_x0000_i1463" type="#_x0000_t75" style="width:158.25pt;height:33.75pt" o:ole="">
            <v:imagedata r:id="rId772" o:title=""/>
          </v:shape>
          <o:OLEObject Type="Embed" ProgID="Equation.DSMT4" ShapeID="_x0000_i1463" DrawAspect="Content" ObjectID="_1775046099" r:id="rId773"/>
        </w:object>
      </w:r>
      <w:r>
        <w:rPr>
          <w:rFonts w:eastAsiaTheme="minorEastAsia"/>
          <w:szCs w:val="24"/>
          <w:lang w:val="en-AU"/>
        </w:rPr>
        <w:t>. The PCCL formula and the ECCS formula can now be seen to have two main differences:</w:t>
      </w:r>
    </w:p>
    <w:p w14:paraId="52024287" w14:textId="77777777" w:rsidR="005B5818" w:rsidRDefault="005B5818" w:rsidP="005B5818">
      <w:pPr>
        <w:pStyle w:val="ListParagraph"/>
        <w:numPr>
          <w:ilvl w:val="0"/>
          <w:numId w:val="37"/>
        </w:numPr>
        <w:rPr>
          <w:rFonts w:eastAsiaTheme="minorEastAsia"/>
          <w:szCs w:val="24"/>
          <w:lang w:val="en-AU"/>
        </w:rPr>
      </w:pPr>
      <w:r>
        <w:rPr>
          <w:rFonts w:eastAsiaTheme="minorEastAsia"/>
          <w:szCs w:val="24"/>
          <w:lang w:val="en-AU"/>
        </w:rPr>
        <w:lastRenderedPageBreak/>
        <w:t xml:space="preserve">The omission of a CCL for the </w:t>
      </w:r>
      <w:proofErr w:type="spellStart"/>
      <w:r w:rsidR="008F49D5">
        <w:rPr>
          <w:rFonts w:eastAsiaTheme="minorEastAsia"/>
          <w:szCs w:val="24"/>
          <w:lang w:val="en-AU"/>
        </w:rPr>
        <w:t>PDx</w:t>
      </w:r>
      <w:proofErr w:type="spellEnd"/>
      <w:r>
        <w:rPr>
          <w:rFonts w:eastAsiaTheme="minorEastAsia"/>
          <w:szCs w:val="24"/>
          <w:lang w:val="en-AU"/>
        </w:rPr>
        <w:t xml:space="preserve"> in the PCCL formula (i.e.</w:t>
      </w:r>
      <w:r w:rsidR="007827B9">
        <w:rPr>
          <w:rFonts w:eastAsiaTheme="minorEastAsia"/>
          <w:szCs w:val="24"/>
          <w:lang w:val="en-AU"/>
        </w:rPr>
        <w:t xml:space="preserve"> </w:t>
      </w:r>
      <w:r w:rsidR="007827B9" w:rsidRPr="007827B9">
        <w:rPr>
          <w:rFonts w:eastAsiaTheme="minorEastAsia"/>
          <w:position w:val="-6"/>
          <w:szCs w:val="24"/>
          <w:lang w:val="en-AU"/>
        </w:rPr>
        <w:object w:dxaOrig="499" w:dyaOrig="279" w14:anchorId="03A9617F">
          <v:shape id="_x0000_i1464" type="#_x0000_t75" style="width:24.75pt;height:14.25pt" o:ole="">
            <v:imagedata r:id="rId774" o:title=""/>
          </v:shape>
          <o:OLEObject Type="Embed" ProgID="Equation.DSMT4" ShapeID="_x0000_i1464" DrawAspect="Content" ObjectID="_1775046100" r:id="rId775"/>
        </w:object>
      </w:r>
      <w:r w:rsidR="007827B9">
        <w:rPr>
          <w:rFonts w:eastAsiaTheme="minorEastAsia"/>
          <w:szCs w:val="24"/>
          <w:lang w:val="en-AU"/>
        </w:rPr>
        <w:t xml:space="preserve"> </w:t>
      </w:r>
      <w:r>
        <w:rPr>
          <w:rFonts w:eastAsiaTheme="minorEastAsia"/>
          <w:szCs w:val="24"/>
          <w:lang w:val="en-AU"/>
        </w:rPr>
        <w:t>rather than</w:t>
      </w:r>
      <w:r w:rsidR="007827B9">
        <w:rPr>
          <w:rFonts w:eastAsiaTheme="minorEastAsia"/>
          <w:szCs w:val="24"/>
          <w:lang w:val="en-AU"/>
        </w:rPr>
        <w:t xml:space="preserve"> </w:t>
      </w:r>
      <w:r w:rsidR="007827B9" w:rsidRPr="007827B9">
        <w:rPr>
          <w:rFonts w:eastAsiaTheme="minorEastAsia"/>
          <w:position w:val="-6"/>
          <w:szCs w:val="24"/>
          <w:lang w:val="en-AU"/>
        </w:rPr>
        <w:object w:dxaOrig="460" w:dyaOrig="279" w14:anchorId="140DE74F">
          <v:shape id="_x0000_i1465" type="#_x0000_t75" style="width:23.25pt;height:14.25pt" o:ole="">
            <v:imagedata r:id="rId776" o:title=""/>
          </v:shape>
          <o:OLEObject Type="Embed" ProgID="Equation.DSMT4" ShapeID="_x0000_i1465" DrawAspect="Content" ObjectID="_1775046101" r:id="rId777"/>
        </w:object>
      </w:r>
      <w:r>
        <w:rPr>
          <w:rFonts w:eastAsiaTheme="minorEastAsia"/>
          <w:szCs w:val="24"/>
          <w:lang w:val="en-AU"/>
        </w:rPr>
        <w:t>); and</w:t>
      </w:r>
    </w:p>
    <w:p w14:paraId="3BBF1E9E" w14:textId="77777777" w:rsidR="005B5818" w:rsidRDefault="005B5818" w:rsidP="005B5818">
      <w:pPr>
        <w:pStyle w:val="ListParagraph"/>
        <w:numPr>
          <w:ilvl w:val="0"/>
          <w:numId w:val="37"/>
        </w:numPr>
        <w:rPr>
          <w:rFonts w:eastAsiaTheme="minorEastAsia"/>
          <w:szCs w:val="24"/>
          <w:lang w:val="en-AU"/>
        </w:rPr>
      </w:pPr>
      <w:r>
        <w:rPr>
          <w:rFonts w:eastAsiaTheme="minorEastAsia"/>
          <w:szCs w:val="24"/>
          <w:lang w:val="en-AU"/>
        </w:rPr>
        <w:t>A PCCL decay factor of</w:t>
      </w:r>
      <w:r w:rsidR="007827B9">
        <w:rPr>
          <w:rFonts w:eastAsiaTheme="minorEastAsia"/>
          <w:szCs w:val="24"/>
          <w:lang w:val="en-AU"/>
        </w:rPr>
        <w:t xml:space="preserve"> 0.67</w:t>
      </w:r>
      <w:r>
        <w:rPr>
          <w:rFonts w:eastAsiaTheme="minorEastAsia"/>
          <w:szCs w:val="24"/>
          <w:lang w:val="en-AU"/>
        </w:rPr>
        <w:t xml:space="preserve"> compared to an ECCS decay factor of</w:t>
      </w:r>
      <w:r w:rsidR="007827B9">
        <w:rPr>
          <w:rFonts w:eastAsiaTheme="minorEastAsia"/>
          <w:szCs w:val="24"/>
          <w:lang w:val="en-AU"/>
        </w:rPr>
        <w:t xml:space="preserve"> 0.84</w:t>
      </w:r>
      <w:r>
        <w:rPr>
          <w:rFonts w:eastAsiaTheme="minorEastAsia"/>
          <w:szCs w:val="24"/>
          <w:lang w:val="en-AU"/>
        </w:rPr>
        <w:t>.</w:t>
      </w:r>
    </w:p>
    <w:p w14:paraId="2E066A9E" w14:textId="77777777" w:rsidR="005B5818" w:rsidRPr="007C789D" w:rsidRDefault="00CC0F16" w:rsidP="005B5818">
      <w:pPr>
        <w:rPr>
          <w:rFonts w:eastAsiaTheme="minorEastAsia"/>
          <w:szCs w:val="24"/>
          <w:lang w:val="en-AU"/>
        </w:rPr>
      </w:pPr>
      <w:r>
        <w:fldChar w:fldCharType="begin"/>
      </w:r>
      <w:r>
        <w:instrText xml:space="preserve"> REF _Ref391073314 \h  \* MERGEFORMAT </w:instrText>
      </w:r>
      <w:r>
        <w:fldChar w:fldCharType="separate"/>
      </w:r>
      <w:r w:rsidR="0031717B" w:rsidRPr="0031717B">
        <w:rPr>
          <w:szCs w:val="24"/>
        </w:rPr>
        <w:t xml:space="preserve">Figure </w:t>
      </w:r>
      <w:r w:rsidR="0031717B" w:rsidRPr="0031717B">
        <w:rPr>
          <w:noProof/>
          <w:szCs w:val="24"/>
        </w:rPr>
        <w:t>17</w:t>
      </w:r>
      <w:r>
        <w:fldChar w:fldCharType="end"/>
      </w:r>
      <w:r w:rsidR="005B5818" w:rsidRPr="001B1FFD">
        <w:rPr>
          <w:rFonts w:eastAsiaTheme="minorEastAsia"/>
          <w:szCs w:val="24"/>
          <w:lang w:val="en-AU"/>
        </w:rPr>
        <w:t xml:space="preserve"> and </w:t>
      </w:r>
      <w:r>
        <w:fldChar w:fldCharType="begin"/>
      </w:r>
      <w:r>
        <w:instrText xml:space="preserve"> REF _Ref391073320 \h  \* MERGEFORMAT </w:instrText>
      </w:r>
      <w:r>
        <w:fldChar w:fldCharType="separate"/>
      </w:r>
      <w:r w:rsidR="0031717B" w:rsidRPr="0031717B">
        <w:rPr>
          <w:szCs w:val="24"/>
        </w:rPr>
        <w:t xml:space="preserve">Figure </w:t>
      </w:r>
      <w:r w:rsidR="0031717B" w:rsidRPr="0031717B">
        <w:rPr>
          <w:noProof/>
          <w:szCs w:val="24"/>
        </w:rPr>
        <w:t>18</w:t>
      </w:r>
      <w:r>
        <w:fldChar w:fldCharType="end"/>
      </w:r>
      <w:r w:rsidR="005B5818" w:rsidRPr="001B1FFD">
        <w:rPr>
          <w:rFonts w:eastAsiaTheme="minorEastAsia"/>
          <w:szCs w:val="24"/>
          <w:lang w:val="en-AU"/>
        </w:rPr>
        <w:t xml:space="preserve"> illustrate the significantly greater correlation between ECCS and cost </w:t>
      </w:r>
      <w:r w:rsidR="005B5818">
        <w:rPr>
          <w:rFonts w:eastAsiaTheme="minorEastAsia"/>
          <w:szCs w:val="24"/>
          <w:lang w:val="en-AU"/>
        </w:rPr>
        <w:t xml:space="preserve">compared to the originally explored relationship between ADRG profiles </w:t>
      </w:r>
      <w:r w:rsidR="007827B9" w:rsidRPr="0084513A">
        <w:rPr>
          <w:position w:val="-14"/>
        </w:rPr>
        <w:object w:dxaOrig="660" w:dyaOrig="400" w14:anchorId="746F6E94">
          <v:shape id="_x0000_i1466" type="#_x0000_t75" style="width:33pt;height:20.25pt" o:ole="">
            <v:imagedata r:id="rId25" o:title=""/>
          </v:shape>
          <o:OLEObject Type="Embed" ProgID="Equation.DSMT4" ShapeID="_x0000_i1466" DrawAspect="Content" ObjectID="_1775046102" r:id="rId778"/>
        </w:object>
      </w:r>
      <w:r w:rsidR="005B5818">
        <w:rPr>
          <w:rFonts w:eastAsiaTheme="minorEastAsia"/>
          <w:szCs w:val="24"/>
          <w:lang w:val="en-AU"/>
        </w:rPr>
        <w:t xml:space="preserve"> and cost. Of </w:t>
      </w:r>
      <w:r w:rsidR="005B5818" w:rsidRPr="007C789D">
        <w:rPr>
          <w:rFonts w:eastAsiaTheme="minorEastAsia"/>
          <w:szCs w:val="24"/>
          <w:lang w:val="en-AU"/>
        </w:rPr>
        <w:t>particular note is the dif</w:t>
      </w:r>
      <w:r w:rsidR="005B5818" w:rsidRPr="00906A84">
        <w:rPr>
          <w:rFonts w:eastAsiaTheme="minorEastAsia"/>
          <w:szCs w:val="24"/>
          <w:lang w:val="en-AU"/>
        </w:rPr>
        <w:t xml:space="preserve">ference in scale depicted in the y-axis of each figure, with the mean cost of </w:t>
      </w:r>
      <w:r>
        <w:fldChar w:fldCharType="begin"/>
      </w:r>
      <w:r>
        <w:instrText xml:space="preserve"> REF _Ref391073314 \h  \* MERGEFORMAT </w:instrText>
      </w:r>
      <w:r>
        <w:fldChar w:fldCharType="separate"/>
      </w:r>
      <w:r w:rsidR="0031717B" w:rsidRPr="0031717B">
        <w:rPr>
          <w:szCs w:val="24"/>
        </w:rPr>
        <w:t xml:space="preserve">Figure </w:t>
      </w:r>
      <w:r w:rsidR="0031717B" w:rsidRPr="0031717B">
        <w:rPr>
          <w:noProof/>
          <w:szCs w:val="24"/>
        </w:rPr>
        <w:t>17</w:t>
      </w:r>
      <w:r>
        <w:fldChar w:fldCharType="end"/>
      </w:r>
      <w:r w:rsidR="005B5818" w:rsidRPr="00906A84">
        <w:rPr>
          <w:rFonts w:eastAsiaTheme="minorEastAsia"/>
          <w:szCs w:val="24"/>
          <w:lang w:val="en-AU"/>
        </w:rPr>
        <w:t xml:space="preserve"> ranging from around $3,000 to $13,000 and the mean cost of </w:t>
      </w:r>
      <w:r>
        <w:fldChar w:fldCharType="begin"/>
      </w:r>
      <w:r>
        <w:instrText xml:space="preserve"> REF _Ref391073320 \h  \* MERGEFORMAT </w:instrText>
      </w:r>
      <w:r>
        <w:fldChar w:fldCharType="separate"/>
      </w:r>
      <w:r w:rsidR="0031717B" w:rsidRPr="0031717B">
        <w:rPr>
          <w:szCs w:val="24"/>
        </w:rPr>
        <w:t xml:space="preserve">Figure </w:t>
      </w:r>
      <w:r w:rsidR="0031717B" w:rsidRPr="0031717B">
        <w:rPr>
          <w:noProof/>
          <w:szCs w:val="24"/>
        </w:rPr>
        <w:t>18</w:t>
      </w:r>
      <w:r>
        <w:fldChar w:fldCharType="end"/>
      </w:r>
      <w:r w:rsidR="005B5818" w:rsidRPr="00906A84">
        <w:rPr>
          <w:rFonts w:eastAsiaTheme="minorEastAsia"/>
          <w:szCs w:val="24"/>
          <w:lang w:val="en-AU"/>
        </w:rPr>
        <w:t xml:space="preserve"> </w:t>
      </w:r>
      <w:r w:rsidR="005B5818">
        <w:rPr>
          <w:rFonts w:eastAsiaTheme="minorEastAsia"/>
          <w:szCs w:val="24"/>
          <w:lang w:val="en-AU"/>
        </w:rPr>
        <w:t>ranging from $3,000 to $45,000.</w:t>
      </w:r>
    </w:p>
    <w:p w14:paraId="4734F35C" w14:textId="77777777" w:rsidR="005B5818" w:rsidRPr="007C789D" w:rsidRDefault="005B5818" w:rsidP="00144F26">
      <w:pPr>
        <w:pStyle w:val="Caption"/>
      </w:pPr>
      <w:bookmarkStart w:id="93" w:name="_Ref391073314"/>
      <w:bookmarkStart w:id="94" w:name="_Toc401061070"/>
      <w:r w:rsidRPr="007C789D">
        <w:t xml:space="preserve">Figure </w:t>
      </w:r>
      <w:r w:rsidR="005559F5" w:rsidRPr="007C789D">
        <w:fldChar w:fldCharType="begin"/>
      </w:r>
      <w:r w:rsidRPr="007C789D">
        <w:instrText xml:space="preserve"> SEQ Figure \* ARABIC </w:instrText>
      </w:r>
      <w:r w:rsidR="005559F5" w:rsidRPr="007C789D">
        <w:fldChar w:fldCharType="separate"/>
      </w:r>
      <w:r w:rsidR="0031717B">
        <w:rPr>
          <w:noProof/>
        </w:rPr>
        <w:t>17</w:t>
      </w:r>
      <w:r w:rsidR="005559F5" w:rsidRPr="007C789D">
        <w:fldChar w:fldCharType="end"/>
      </w:r>
      <w:bookmarkEnd w:id="93"/>
      <w:r w:rsidRPr="007C789D">
        <w:t>: Episode costs by diagnosis count - E62 ADRG</w:t>
      </w:r>
      <w:r w:rsidR="00981B6D">
        <w:t>.</w:t>
      </w:r>
      <w:bookmarkEnd w:id="94"/>
    </w:p>
    <w:p w14:paraId="5568E098" w14:textId="77777777" w:rsidR="005B5818" w:rsidRDefault="00E566B4" w:rsidP="005B5818">
      <w:pPr>
        <w:jc w:val="center"/>
        <w:rPr>
          <w:szCs w:val="24"/>
          <w:lang w:val="en-AU"/>
        </w:rPr>
      </w:pPr>
      <w:r w:rsidRPr="00E566B4">
        <w:rPr>
          <w:noProof/>
          <w:lang w:val="en-AU" w:eastAsia="en-AU"/>
        </w:rPr>
        <w:drawing>
          <wp:inline distT="0" distB="0" distL="0" distR="0" wp14:anchorId="71F21C66" wp14:editId="70385FFA">
            <wp:extent cx="5400000" cy="3514821"/>
            <wp:effectExtent l="0" t="0" r="0" b="0"/>
            <wp:docPr id="14382" name="Picture 14382" descr="The figure shows a positive linear relationship between episode cost and the number of diagnoses within the E_i(E62) subset. Between one and ten diagnoses, the mean cost increases from $3,400 to $13,000 and the median cost increases from $2,900 to $10,400. The interquartile range also increases at an increasing rate as the number of diagnoses increase (e.g. from $2,800 at one diagnosis to $10,000 at ten diagnoses)." title="Episode costs by diagnosis count - E62 AD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79" cstate="print">
                      <a:extLst>
                        <a:ext uri="{28A0092B-C50C-407E-A947-70E740481C1C}">
                          <a14:useLocalDpi xmlns:a14="http://schemas.microsoft.com/office/drawing/2010/main" val="0"/>
                        </a:ext>
                      </a:extLst>
                    </a:blip>
                    <a:srcRect/>
                    <a:stretch>
                      <a:fillRect/>
                    </a:stretch>
                  </pic:blipFill>
                  <pic:spPr bwMode="auto">
                    <a:xfrm>
                      <a:off x="0" y="0"/>
                      <a:ext cx="5400000" cy="3514821"/>
                    </a:xfrm>
                    <a:prstGeom prst="rect">
                      <a:avLst/>
                    </a:prstGeom>
                    <a:noFill/>
                    <a:ln>
                      <a:noFill/>
                    </a:ln>
                  </pic:spPr>
                </pic:pic>
              </a:graphicData>
            </a:graphic>
          </wp:inline>
        </w:drawing>
      </w:r>
    </w:p>
    <w:p w14:paraId="337D0EB2" w14:textId="77777777" w:rsidR="005B5818" w:rsidRPr="007C789D" w:rsidRDefault="005B5818" w:rsidP="00144F26">
      <w:pPr>
        <w:pStyle w:val="Caption"/>
      </w:pPr>
      <w:bookmarkStart w:id="95" w:name="_Ref391073320"/>
      <w:bookmarkStart w:id="96" w:name="_Toc401061071"/>
      <w:r w:rsidRPr="007C789D">
        <w:lastRenderedPageBreak/>
        <w:t xml:space="preserve">Figure </w:t>
      </w:r>
      <w:r w:rsidR="005559F5" w:rsidRPr="007C789D">
        <w:fldChar w:fldCharType="begin"/>
      </w:r>
      <w:r w:rsidRPr="007C789D">
        <w:instrText xml:space="preserve"> SEQ Figure \* ARABIC </w:instrText>
      </w:r>
      <w:r w:rsidR="005559F5" w:rsidRPr="007C789D">
        <w:fldChar w:fldCharType="separate"/>
      </w:r>
      <w:r w:rsidR="0031717B">
        <w:rPr>
          <w:noProof/>
        </w:rPr>
        <w:t>18</w:t>
      </w:r>
      <w:r w:rsidR="005559F5" w:rsidRPr="007C789D">
        <w:fldChar w:fldCharType="end"/>
      </w:r>
      <w:bookmarkEnd w:id="95"/>
      <w:r w:rsidRPr="007C789D">
        <w:t>: Episode costs by ECCS - E62 ADRG</w:t>
      </w:r>
      <w:r w:rsidR="00F15402">
        <w:rPr>
          <w:rStyle w:val="FootnoteReference"/>
        </w:rPr>
        <w:footnoteReference w:id="13"/>
      </w:r>
      <w:bookmarkEnd w:id="96"/>
    </w:p>
    <w:p w14:paraId="5FA99695" w14:textId="77777777" w:rsidR="005B5818" w:rsidRDefault="00461A7A" w:rsidP="005B5818">
      <w:pPr>
        <w:jc w:val="center"/>
        <w:rPr>
          <w:szCs w:val="24"/>
          <w:lang w:val="en-AU"/>
        </w:rPr>
      </w:pPr>
      <w:r w:rsidRPr="00461A7A">
        <w:rPr>
          <w:noProof/>
          <w:lang w:val="en-AU" w:eastAsia="en-AU"/>
        </w:rPr>
        <w:drawing>
          <wp:inline distT="0" distB="0" distL="0" distR="0" wp14:anchorId="3DC6DB74" wp14:editId="10DDBEB2">
            <wp:extent cx="5400000" cy="3514822"/>
            <wp:effectExtent l="0" t="0" r="0" b="0"/>
            <wp:docPr id="14381" name="Picture 14381" descr="The figure shows a positive geometric relationship between episode cost and the Episode Clinical Complexity Score (ECCS). Between an ECCS score of zero (n=1,806) and three (n=26,745), the mean cost increases at an increasing rate from $2,600 to $10,900 and the median cost increases at an increasing rate from $1,600 to $18,600. For ECCS 6 (n=106), the mean cost is $41,700 and the median cost is $22,000. The interquartile range also increases as ECCS increases (e.g. from $2,000 for ECCS 0 to $7,900 for ECCS 3 to $30,600 for ECCS 6)." title="Episode costs by ECCS - E62 AD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80" cstate="print">
                      <a:extLst>
                        <a:ext uri="{28A0092B-C50C-407E-A947-70E740481C1C}">
                          <a14:useLocalDpi xmlns:a14="http://schemas.microsoft.com/office/drawing/2010/main" val="0"/>
                        </a:ext>
                      </a:extLst>
                    </a:blip>
                    <a:srcRect/>
                    <a:stretch>
                      <a:fillRect/>
                    </a:stretch>
                  </pic:blipFill>
                  <pic:spPr bwMode="auto">
                    <a:xfrm>
                      <a:off x="0" y="0"/>
                      <a:ext cx="5400000" cy="3514822"/>
                    </a:xfrm>
                    <a:prstGeom prst="rect">
                      <a:avLst/>
                    </a:prstGeom>
                    <a:noFill/>
                    <a:ln>
                      <a:noFill/>
                    </a:ln>
                  </pic:spPr>
                </pic:pic>
              </a:graphicData>
            </a:graphic>
          </wp:inline>
        </w:drawing>
      </w:r>
    </w:p>
    <w:p w14:paraId="0802BCC1" w14:textId="77777777" w:rsidR="005B5818" w:rsidRPr="008A6535" w:rsidRDefault="005B5818" w:rsidP="005B5818">
      <w:pPr>
        <w:rPr>
          <w:rFonts w:eastAsiaTheme="minorEastAsia"/>
          <w:szCs w:val="24"/>
          <w:lang w:val="en-AU"/>
        </w:rPr>
      </w:pPr>
      <w:r>
        <w:rPr>
          <w:szCs w:val="24"/>
          <w:lang w:val="en-AU"/>
        </w:rPr>
        <w:t xml:space="preserve">Given that the decay component of the ECCS is of the form </w:t>
      </w:r>
      <w:r w:rsidR="007420EB" w:rsidRPr="007420EB">
        <w:rPr>
          <w:position w:val="-28"/>
        </w:rPr>
        <w:object w:dxaOrig="600" w:dyaOrig="540" w14:anchorId="25E96611">
          <v:shape id="_x0000_i1467" type="#_x0000_t75" style="width:30pt;height:27pt" o:ole="">
            <v:imagedata r:id="rId781" o:title=""/>
          </v:shape>
          <o:OLEObject Type="Embed" ProgID="Equation.DSMT4" ShapeID="_x0000_i1467" DrawAspect="Content" ObjectID="_1775046103" r:id="rId782"/>
        </w:object>
      </w:r>
      <w:r>
        <w:rPr>
          <w:rFonts w:eastAsiaTheme="minorEastAsia"/>
          <w:szCs w:val="24"/>
          <w:lang w:val="en-AU"/>
        </w:rPr>
        <w:t>, which is a geometric series, it has a natural upper bound of</w:t>
      </w:r>
      <w:r w:rsidR="007827B9">
        <w:rPr>
          <w:rFonts w:eastAsiaTheme="minorEastAsia"/>
          <w:szCs w:val="24"/>
          <w:lang w:val="en-AU"/>
        </w:rPr>
        <w:t xml:space="preserve"> </w:t>
      </w:r>
      <w:r w:rsidR="007827B9" w:rsidRPr="007827B9">
        <w:rPr>
          <w:rFonts w:eastAsiaTheme="minorEastAsia"/>
          <w:position w:val="-18"/>
          <w:szCs w:val="24"/>
          <w:lang w:val="en-AU"/>
        </w:rPr>
        <w:object w:dxaOrig="639" w:dyaOrig="480" w14:anchorId="05FD64E2">
          <v:shape id="_x0000_i1468" type="#_x0000_t75" style="width:32.25pt;height:24pt" o:ole="">
            <v:imagedata r:id="rId783" o:title=""/>
          </v:shape>
          <o:OLEObject Type="Embed" ProgID="Equation.DSMT4" ShapeID="_x0000_i1468" DrawAspect="Content" ObjectID="_1775046104" r:id="rId784"/>
        </w:object>
      </w:r>
      <w:r>
        <w:rPr>
          <w:rFonts w:eastAsiaTheme="minorEastAsia"/>
          <w:szCs w:val="24"/>
          <w:lang w:val="en-AU"/>
        </w:rPr>
        <w:t>. This combined with a DCL maximum of</w:t>
      </w:r>
      <w:r w:rsidR="007827B9">
        <w:rPr>
          <w:rFonts w:eastAsiaTheme="minorEastAsia"/>
          <w:szCs w:val="24"/>
          <w:lang w:val="en-AU"/>
        </w:rPr>
        <w:t xml:space="preserve"> 5</w:t>
      </w:r>
      <w:r>
        <w:rPr>
          <w:rFonts w:eastAsiaTheme="minorEastAsia"/>
          <w:szCs w:val="24"/>
          <w:lang w:val="en-AU"/>
        </w:rPr>
        <w:t xml:space="preserve"> and </w:t>
      </w:r>
      <w:r w:rsidR="007827B9" w:rsidRPr="007827B9">
        <w:rPr>
          <w:rFonts w:eastAsiaTheme="minorEastAsia"/>
          <w:position w:val="-6"/>
          <w:szCs w:val="24"/>
          <w:lang w:val="en-AU"/>
        </w:rPr>
        <w:object w:dxaOrig="840" w:dyaOrig="279" w14:anchorId="6513E93F">
          <v:shape id="_x0000_i1469" type="#_x0000_t75" style="width:42pt;height:14.25pt" o:ole="">
            <v:imagedata r:id="rId785" o:title=""/>
          </v:shape>
          <o:OLEObject Type="Embed" ProgID="Equation.DSMT4" ShapeID="_x0000_i1469" DrawAspect="Content" ObjectID="_1775046105" r:id="rId786"/>
        </w:object>
      </w:r>
      <w:r w:rsidR="007827B9">
        <w:rPr>
          <w:rFonts w:eastAsiaTheme="minorEastAsia"/>
          <w:szCs w:val="24"/>
          <w:lang w:val="en-AU"/>
        </w:rPr>
        <w:t xml:space="preserve"> </w:t>
      </w:r>
      <w:r>
        <w:rPr>
          <w:rFonts w:eastAsiaTheme="minorEastAsia"/>
          <w:szCs w:val="24"/>
          <w:lang w:val="en-AU"/>
        </w:rPr>
        <w:t xml:space="preserve">means that </w:t>
      </w:r>
      <w:r w:rsidR="008F49D5">
        <w:rPr>
          <w:rFonts w:eastAsiaTheme="minorEastAsia"/>
          <w:szCs w:val="24"/>
          <w:lang w:val="en-AU"/>
        </w:rPr>
        <w:t xml:space="preserve">the </w:t>
      </w:r>
      <w:r>
        <w:rPr>
          <w:rFonts w:eastAsiaTheme="minorEastAsia"/>
          <w:szCs w:val="24"/>
          <w:lang w:val="en-AU"/>
        </w:rPr>
        <w:t xml:space="preserve">maximum ECCS possible is </w:t>
      </w:r>
      <w:r w:rsidR="007827B9" w:rsidRPr="007827B9">
        <w:rPr>
          <w:rFonts w:eastAsiaTheme="minorEastAsia"/>
          <w:position w:val="-14"/>
          <w:szCs w:val="24"/>
          <w:lang w:val="en-AU"/>
        </w:rPr>
        <w:object w:dxaOrig="3379" w:dyaOrig="400" w14:anchorId="47E80A1A">
          <v:shape id="_x0000_i1470" type="#_x0000_t75" style="width:168.75pt;height:20.25pt" o:ole="">
            <v:imagedata r:id="rId787" o:title=""/>
          </v:shape>
          <o:OLEObject Type="Embed" ProgID="Equation.DSMT4" ShapeID="_x0000_i1470" DrawAspect="Content" ObjectID="_1775046106" r:id="rId788"/>
        </w:object>
      </w:r>
      <w:r>
        <w:rPr>
          <w:rFonts w:eastAsiaTheme="minorEastAsia"/>
          <w:szCs w:val="24"/>
          <w:lang w:val="en-AU"/>
        </w:rPr>
        <w:t xml:space="preserve">. Although, across the three years of cost data from 2009-10 to 2011-12, the maximum value of </w:t>
      </w:r>
      <w:r w:rsidR="008F49D5">
        <w:rPr>
          <w:rFonts w:eastAsiaTheme="minorEastAsia"/>
          <w:szCs w:val="24"/>
          <w:lang w:val="en-AU"/>
        </w:rPr>
        <w:t xml:space="preserve">the </w:t>
      </w:r>
      <w:r>
        <w:rPr>
          <w:rFonts w:eastAsiaTheme="minorEastAsia"/>
          <w:szCs w:val="24"/>
          <w:lang w:val="en-AU"/>
        </w:rPr>
        <w:t>ECCS is</w:t>
      </w:r>
      <w:r w:rsidR="007827B9">
        <w:rPr>
          <w:rFonts w:eastAsiaTheme="minorEastAsia"/>
          <w:szCs w:val="24"/>
          <w:lang w:val="en-AU"/>
        </w:rPr>
        <w:t xml:space="preserve"> 30.86</w:t>
      </w:r>
      <w:r w:rsidRPr="008A6535">
        <w:rPr>
          <w:rFonts w:eastAsiaTheme="minorEastAsia"/>
          <w:szCs w:val="24"/>
          <w:lang w:val="en-AU"/>
        </w:rPr>
        <w:t>, and less than 0.03</w:t>
      </w:r>
      <w:r w:rsidR="001E4BFF">
        <w:rPr>
          <w:rFonts w:eastAsiaTheme="minorEastAsia"/>
          <w:szCs w:val="24"/>
          <w:lang w:val="en-AU"/>
        </w:rPr>
        <w:t xml:space="preserve"> per cent</w:t>
      </w:r>
      <w:r w:rsidRPr="008A6535">
        <w:rPr>
          <w:rFonts w:eastAsiaTheme="minorEastAsia"/>
          <w:szCs w:val="24"/>
          <w:lang w:val="en-AU"/>
        </w:rPr>
        <w:t xml:space="preserve"> of episodes have an ECCS of 20 or greater.</w:t>
      </w:r>
    </w:p>
    <w:p w14:paraId="6C0FFDCB" w14:textId="77777777" w:rsidR="005B5818" w:rsidRDefault="00CC0F16" w:rsidP="005B5818">
      <w:pPr>
        <w:rPr>
          <w:rFonts w:eastAsiaTheme="minorEastAsia"/>
          <w:szCs w:val="24"/>
          <w:lang w:val="en-AU"/>
        </w:rPr>
      </w:pPr>
      <w:r>
        <w:fldChar w:fldCharType="begin"/>
      </w:r>
      <w:r>
        <w:instrText xml:space="preserve"> REF _Ref391107637 \h  \* MERGEFORMAT </w:instrText>
      </w:r>
      <w:r>
        <w:fldChar w:fldCharType="separate"/>
      </w:r>
      <w:r w:rsidR="0031717B" w:rsidRPr="0031717B">
        <w:rPr>
          <w:szCs w:val="24"/>
        </w:rPr>
        <w:t>Table 8</w:t>
      </w:r>
      <w:r>
        <w:fldChar w:fldCharType="end"/>
      </w:r>
      <w:r w:rsidR="005B5818" w:rsidRPr="008A6535">
        <w:rPr>
          <w:rFonts w:eastAsiaTheme="minorEastAsia"/>
          <w:szCs w:val="24"/>
          <w:lang w:val="en-AU"/>
        </w:rPr>
        <w:t xml:space="preserve"> shows a percentage</w:t>
      </w:r>
      <w:r w:rsidR="005B5818">
        <w:rPr>
          <w:rFonts w:eastAsiaTheme="minorEastAsia"/>
          <w:szCs w:val="24"/>
          <w:lang w:val="en-AU"/>
        </w:rPr>
        <w:t xml:space="preserve"> breakdown of episodes by ECCS, where ECCS is rounded to the nearest 0.5 for </w:t>
      </w:r>
      <w:r w:rsidR="008F49D5">
        <w:rPr>
          <w:rFonts w:eastAsiaTheme="minorEastAsia"/>
          <w:szCs w:val="24"/>
          <w:lang w:val="en-AU"/>
        </w:rPr>
        <w:t xml:space="preserve">an </w:t>
      </w:r>
      <w:r w:rsidR="005B5818">
        <w:rPr>
          <w:rFonts w:eastAsiaTheme="minorEastAsia"/>
          <w:szCs w:val="24"/>
          <w:lang w:val="en-AU"/>
        </w:rPr>
        <w:t>ECCS less than 6, rounded to the nearest integer for ECCS between 6 and 10.5 and otherwise allocated to the 11+ category.</w:t>
      </w:r>
    </w:p>
    <w:p w14:paraId="3C88521A" w14:textId="77777777" w:rsidR="00B3076D" w:rsidRDefault="00B3076D" w:rsidP="00B3076D">
      <w:pPr>
        <w:spacing w:before="240"/>
        <w:rPr>
          <w:rFonts w:eastAsiaTheme="minorEastAsia"/>
          <w:szCs w:val="24"/>
          <w:lang w:val="en-AU"/>
        </w:rPr>
      </w:pPr>
      <w:r>
        <w:fldChar w:fldCharType="begin"/>
      </w:r>
      <w:r>
        <w:instrText xml:space="preserve"> REF _Ref391107637 \h  \* MERGEFORMAT </w:instrText>
      </w:r>
      <w:r>
        <w:fldChar w:fldCharType="separate"/>
      </w:r>
      <w:r w:rsidR="0031717B" w:rsidRPr="0031717B">
        <w:rPr>
          <w:szCs w:val="24"/>
        </w:rPr>
        <w:t>Table 8</w:t>
      </w:r>
      <w:r>
        <w:fldChar w:fldCharType="end"/>
      </w:r>
      <w:r w:rsidRPr="008A6535">
        <w:rPr>
          <w:rFonts w:eastAsiaTheme="minorEastAsia"/>
          <w:szCs w:val="24"/>
          <w:lang w:val="en-AU"/>
        </w:rPr>
        <w:t xml:space="preserve"> shows </w:t>
      </w:r>
      <w:r>
        <w:rPr>
          <w:rFonts w:eastAsiaTheme="minorEastAsia"/>
          <w:szCs w:val="24"/>
          <w:lang w:val="en-AU"/>
        </w:rPr>
        <w:t>that while the distribution of ECCS across episodes has a long tail of higher values, the large majority of episodes (over 97 per cent) have an ECCS of 5 or less.</w:t>
      </w:r>
    </w:p>
    <w:p w14:paraId="54C284F0" w14:textId="77777777" w:rsidR="00B3076D" w:rsidRPr="00C36C4F" w:rsidRDefault="00B3076D" w:rsidP="00B3076D">
      <w:pPr>
        <w:spacing w:before="240"/>
        <w:rPr>
          <w:rFonts w:eastAsiaTheme="minorEastAsia"/>
          <w:szCs w:val="24"/>
          <w:lang w:val="en-AU"/>
        </w:rPr>
      </w:pPr>
      <w:r>
        <w:rPr>
          <w:rFonts w:eastAsiaTheme="minorEastAsia"/>
          <w:szCs w:val="24"/>
          <w:lang w:val="en-AU"/>
        </w:rPr>
        <w:lastRenderedPageBreak/>
        <w:t>Although the unrounded version of ECCS takes over 6,000 different values across the three years of data, the range of possible small ECCS values is limited. For example, there are only seven possible ECCS values of 3 or less; namely 0, 1, 1.84, 2, 2.5456, 2.84 and 3.</w:t>
      </w:r>
    </w:p>
    <w:p w14:paraId="4572CEB1" w14:textId="77777777" w:rsidR="005B5818" w:rsidRPr="008A6535" w:rsidRDefault="005B5818" w:rsidP="00144F26">
      <w:pPr>
        <w:pStyle w:val="Caption"/>
      </w:pPr>
      <w:bookmarkStart w:id="97" w:name="_Ref391107637"/>
      <w:bookmarkStart w:id="98" w:name="_Toc401061095"/>
      <w:r w:rsidRPr="008A6535">
        <w:t xml:space="preserve">Table </w:t>
      </w:r>
      <w:r w:rsidR="005559F5" w:rsidRPr="008A6535">
        <w:fldChar w:fldCharType="begin"/>
      </w:r>
      <w:r w:rsidRPr="008A6535">
        <w:instrText xml:space="preserve"> SEQ Table \* ARABIC </w:instrText>
      </w:r>
      <w:r w:rsidR="005559F5" w:rsidRPr="008A6535">
        <w:fldChar w:fldCharType="separate"/>
      </w:r>
      <w:r w:rsidR="0031717B">
        <w:rPr>
          <w:noProof/>
        </w:rPr>
        <w:t>8</w:t>
      </w:r>
      <w:r w:rsidR="005559F5" w:rsidRPr="008A6535">
        <w:fldChar w:fldCharType="end"/>
      </w:r>
      <w:bookmarkEnd w:id="97"/>
      <w:r w:rsidRPr="008A6535">
        <w:t>: Percentage breakdown of episodes by rounded ECCS</w:t>
      </w:r>
      <w:r w:rsidR="000E4FA5">
        <w:t>.</w:t>
      </w:r>
      <w:bookmarkEnd w:id="98"/>
    </w:p>
    <w:tbl>
      <w:tblPr>
        <w:tblStyle w:val="Style1"/>
        <w:tblW w:w="3116" w:type="dxa"/>
        <w:tblLook w:val="0460" w:firstRow="1" w:lastRow="1" w:firstColumn="0" w:lastColumn="0" w:noHBand="0" w:noVBand="1"/>
        <w:tblCaption w:val="Percentage breakdown of episodes by rounded ECCS"/>
        <w:tblDescription w:val="The table has two columns: the first column lists each rounded ECCS; the second column gives the percentage of episodes for each rounded ECCS. The last row is the total percentage (i.e. 100 per cent)."/>
      </w:tblPr>
      <w:tblGrid>
        <w:gridCol w:w="1814"/>
        <w:gridCol w:w="1302"/>
      </w:tblGrid>
      <w:tr w:rsidR="005B5818" w:rsidRPr="00787F98" w14:paraId="3D91F6E5" w14:textId="77777777" w:rsidTr="00B3076D">
        <w:trPr>
          <w:cnfStyle w:val="100000000000" w:firstRow="1" w:lastRow="0" w:firstColumn="0" w:lastColumn="0" w:oddVBand="0" w:evenVBand="0" w:oddHBand="0" w:evenHBand="0" w:firstRowFirstColumn="0" w:firstRowLastColumn="0" w:lastRowFirstColumn="0" w:lastRowLastColumn="0"/>
          <w:trHeight w:val="255"/>
          <w:tblHeader/>
        </w:trPr>
        <w:tc>
          <w:tcPr>
            <w:tcW w:w="1814" w:type="dxa"/>
            <w:hideMark/>
          </w:tcPr>
          <w:p w14:paraId="60703E88" w14:textId="77777777" w:rsidR="005B5818" w:rsidRPr="00787F98" w:rsidRDefault="005B5818" w:rsidP="00D56DD5">
            <w:pPr>
              <w:pStyle w:val="Table"/>
            </w:pPr>
            <w:r w:rsidRPr="00787F98">
              <w:t>Rounded ECCS</w:t>
            </w:r>
          </w:p>
        </w:tc>
        <w:tc>
          <w:tcPr>
            <w:tcW w:w="1302" w:type="dxa"/>
            <w:hideMark/>
          </w:tcPr>
          <w:p w14:paraId="4D1BC644" w14:textId="77777777" w:rsidR="005B5818" w:rsidRPr="00787F98" w:rsidRDefault="00D56DD5" w:rsidP="00D56DD5">
            <w:pPr>
              <w:pStyle w:val="TableNumber"/>
            </w:pPr>
            <w:r>
              <w:t>Proportion</w:t>
            </w:r>
          </w:p>
        </w:tc>
      </w:tr>
      <w:tr w:rsidR="005B5818" w:rsidRPr="00787F98" w14:paraId="2A35C9DB" w14:textId="77777777" w:rsidTr="00B3076D">
        <w:trPr>
          <w:trHeight w:val="255"/>
        </w:trPr>
        <w:tc>
          <w:tcPr>
            <w:tcW w:w="1814" w:type="dxa"/>
            <w:hideMark/>
          </w:tcPr>
          <w:p w14:paraId="23B98104" w14:textId="77777777" w:rsidR="005B5818" w:rsidRPr="00787F98" w:rsidRDefault="005B5818" w:rsidP="00BA02D0">
            <w:pPr>
              <w:pStyle w:val="Table"/>
              <w:keepNext/>
            </w:pPr>
            <w:r w:rsidRPr="00787F98">
              <w:t>0.0</w:t>
            </w:r>
          </w:p>
        </w:tc>
        <w:tc>
          <w:tcPr>
            <w:tcW w:w="1302" w:type="dxa"/>
            <w:noWrap/>
            <w:hideMark/>
          </w:tcPr>
          <w:p w14:paraId="1E97376B" w14:textId="77777777" w:rsidR="005B5818" w:rsidRPr="00787F98" w:rsidRDefault="005B5818" w:rsidP="00BA02D0">
            <w:pPr>
              <w:pStyle w:val="TableNumber"/>
            </w:pPr>
            <w:r w:rsidRPr="00787F98">
              <w:t>42.97%</w:t>
            </w:r>
          </w:p>
        </w:tc>
      </w:tr>
      <w:tr w:rsidR="005B5818" w:rsidRPr="00787F98" w14:paraId="1973BA6D" w14:textId="77777777" w:rsidTr="00B3076D">
        <w:trPr>
          <w:trHeight w:val="255"/>
        </w:trPr>
        <w:tc>
          <w:tcPr>
            <w:tcW w:w="1814" w:type="dxa"/>
            <w:hideMark/>
          </w:tcPr>
          <w:p w14:paraId="6C8DA30F" w14:textId="77777777" w:rsidR="005B5818" w:rsidRPr="00787F98" w:rsidRDefault="005B5818" w:rsidP="00BA02D0">
            <w:pPr>
              <w:pStyle w:val="Table"/>
              <w:keepNext/>
            </w:pPr>
            <w:r w:rsidRPr="00787F98">
              <w:t>1.0</w:t>
            </w:r>
          </w:p>
        </w:tc>
        <w:tc>
          <w:tcPr>
            <w:tcW w:w="1302" w:type="dxa"/>
            <w:noWrap/>
            <w:hideMark/>
          </w:tcPr>
          <w:p w14:paraId="10B561C0" w14:textId="77777777" w:rsidR="005B5818" w:rsidRPr="00787F98" w:rsidRDefault="005B5818" w:rsidP="00BA02D0">
            <w:pPr>
              <w:pStyle w:val="TableNumber"/>
            </w:pPr>
            <w:r w:rsidRPr="00787F98">
              <w:t>28.79%</w:t>
            </w:r>
          </w:p>
        </w:tc>
      </w:tr>
      <w:tr w:rsidR="005B5818" w:rsidRPr="00787F98" w14:paraId="5E4CA616" w14:textId="77777777" w:rsidTr="00B3076D">
        <w:trPr>
          <w:trHeight w:val="255"/>
        </w:trPr>
        <w:tc>
          <w:tcPr>
            <w:tcW w:w="1814" w:type="dxa"/>
            <w:hideMark/>
          </w:tcPr>
          <w:p w14:paraId="07C39981" w14:textId="77777777" w:rsidR="005B5818" w:rsidRPr="00787F98" w:rsidRDefault="005B5818" w:rsidP="00BA02D0">
            <w:pPr>
              <w:pStyle w:val="Table"/>
              <w:keepNext/>
            </w:pPr>
            <w:r w:rsidRPr="00787F98">
              <w:t>2.0</w:t>
            </w:r>
          </w:p>
        </w:tc>
        <w:tc>
          <w:tcPr>
            <w:tcW w:w="1302" w:type="dxa"/>
            <w:noWrap/>
            <w:hideMark/>
          </w:tcPr>
          <w:p w14:paraId="75E49C49" w14:textId="77777777" w:rsidR="005B5818" w:rsidRPr="00787F98" w:rsidRDefault="005B5818" w:rsidP="00BA02D0">
            <w:pPr>
              <w:pStyle w:val="TableNumber"/>
            </w:pPr>
            <w:r w:rsidRPr="00787F98">
              <w:t>12.35%</w:t>
            </w:r>
          </w:p>
        </w:tc>
      </w:tr>
      <w:tr w:rsidR="005B5818" w:rsidRPr="00787F98" w14:paraId="7CDAFC8E" w14:textId="77777777" w:rsidTr="00B3076D">
        <w:trPr>
          <w:trHeight w:val="255"/>
        </w:trPr>
        <w:tc>
          <w:tcPr>
            <w:tcW w:w="1814" w:type="dxa"/>
            <w:hideMark/>
          </w:tcPr>
          <w:p w14:paraId="3D8C86B7" w14:textId="77777777" w:rsidR="005B5818" w:rsidRPr="00787F98" w:rsidRDefault="005B5818" w:rsidP="00BA02D0">
            <w:pPr>
              <w:pStyle w:val="Table"/>
              <w:keepNext/>
            </w:pPr>
            <w:r w:rsidRPr="00787F98">
              <w:t>2.5</w:t>
            </w:r>
          </w:p>
        </w:tc>
        <w:tc>
          <w:tcPr>
            <w:tcW w:w="1302" w:type="dxa"/>
            <w:noWrap/>
            <w:hideMark/>
          </w:tcPr>
          <w:p w14:paraId="5318E376" w14:textId="77777777" w:rsidR="005B5818" w:rsidRPr="00787F98" w:rsidRDefault="005B5818" w:rsidP="00BA02D0">
            <w:pPr>
              <w:pStyle w:val="TableNumber"/>
            </w:pPr>
            <w:r w:rsidRPr="00787F98">
              <w:t>3.65%</w:t>
            </w:r>
          </w:p>
        </w:tc>
      </w:tr>
      <w:tr w:rsidR="005B5818" w:rsidRPr="00787F98" w14:paraId="11E379B2" w14:textId="77777777" w:rsidTr="00B3076D">
        <w:trPr>
          <w:trHeight w:val="255"/>
        </w:trPr>
        <w:tc>
          <w:tcPr>
            <w:tcW w:w="1814" w:type="dxa"/>
            <w:hideMark/>
          </w:tcPr>
          <w:p w14:paraId="7817D9DB" w14:textId="77777777" w:rsidR="005B5818" w:rsidRPr="00787F98" w:rsidRDefault="005B5818" w:rsidP="00BA02D0">
            <w:pPr>
              <w:pStyle w:val="Table"/>
              <w:keepNext/>
            </w:pPr>
            <w:r w:rsidRPr="00787F98">
              <w:t>3.0</w:t>
            </w:r>
          </w:p>
        </w:tc>
        <w:tc>
          <w:tcPr>
            <w:tcW w:w="1302" w:type="dxa"/>
            <w:noWrap/>
            <w:hideMark/>
          </w:tcPr>
          <w:p w14:paraId="460D9394" w14:textId="77777777" w:rsidR="005B5818" w:rsidRPr="00787F98" w:rsidRDefault="005B5818" w:rsidP="00BA02D0">
            <w:pPr>
              <w:pStyle w:val="TableNumber"/>
            </w:pPr>
            <w:r w:rsidRPr="00787F98">
              <w:t>4.38%</w:t>
            </w:r>
          </w:p>
        </w:tc>
      </w:tr>
      <w:tr w:rsidR="005B5818" w:rsidRPr="00787F98" w14:paraId="33E6DAA3" w14:textId="77777777" w:rsidTr="00B3076D">
        <w:trPr>
          <w:trHeight w:val="255"/>
        </w:trPr>
        <w:tc>
          <w:tcPr>
            <w:tcW w:w="1814" w:type="dxa"/>
            <w:hideMark/>
          </w:tcPr>
          <w:p w14:paraId="5EC06ED7" w14:textId="77777777" w:rsidR="005B5818" w:rsidRPr="00787F98" w:rsidRDefault="005B5818" w:rsidP="00BA02D0">
            <w:pPr>
              <w:pStyle w:val="Table"/>
              <w:keepNext/>
            </w:pPr>
            <w:r w:rsidRPr="00787F98">
              <w:t>3.5</w:t>
            </w:r>
          </w:p>
        </w:tc>
        <w:tc>
          <w:tcPr>
            <w:tcW w:w="1302" w:type="dxa"/>
            <w:noWrap/>
            <w:hideMark/>
          </w:tcPr>
          <w:p w14:paraId="17690B65" w14:textId="77777777" w:rsidR="005B5818" w:rsidRPr="00787F98" w:rsidRDefault="005B5818" w:rsidP="00BA02D0">
            <w:pPr>
              <w:pStyle w:val="TableNumber"/>
            </w:pPr>
            <w:r w:rsidRPr="00787F98">
              <w:t>2.02%</w:t>
            </w:r>
          </w:p>
        </w:tc>
      </w:tr>
      <w:tr w:rsidR="005B5818" w:rsidRPr="00787F98" w14:paraId="576CDC3E" w14:textId="77777777" w:rsidTr="00B3076D">
        <w:trPr>
          <w:trHeight w:val="255"/>
        </w:trPr>
        <w:tc>
          <w:tcPr>
            <w:tcW w:w="1814" w:type="dxa"/>
            <w:hideMark/>
          </w:tcPr>
          <w:p w14:paraId="3A5E7ADA" w14:textId="77777777" w:rsidR="005B5818" w:rsidRPr="00787F98" w:rsidRDefault="005B5818" w:rsidP="00BA02D0">
            <w:pPr>
              <w:pStyle w:val="Table"/>
              <w:keepNext/>
            </w:pPr>
            <w:r w:rsidRPr="00787F98">
              <w:t>4.0</w:t>
            </w:r>
          </w:p>
        </w:tc>
        <w:tc>
          <w:tcPr>
            <w:tcW w:w="1302" w:type="dxa"/>
            <w:noWrap/>
            <w:hideMark/>
          </w:tcPr>
          <w:p w14:paraId="559BDCA7" w14:textId="77777777" w:rsidR="005B5818" w:rsidRPr="00787F98" w:rsidRDefault="005B5818" w:rsidP="00BA02D0">
            <w:pPr>
              <w:pStyle w:val="TableNumber"/>
            </w:pPr>
            <w:r w:rsidRPr="00787F98">
              <w:t>1.37%</w:t>
            </w:r>
          </w:p>
        </w:tc>
      </w:tr>
      <w:tr w:rsidR="005B5818" w:rsidRPr="00787F98" w14:paraId="66D294B8" w14:textId="77777777" w:rsidTr="00B3076D">
        <w:trPr>
          <w:trHeight w:val="255"/>
        </w:trPr>
        <w:tc>
          <w:tcPr>
            <w:tcW w:w="1814" w:type="dxa"/>
            <w:hideMark/>
          </w:tcPr>
          <w:p w14:paraId="064A0DBE" w14:textId="77777777" w:rsidR="005B5818" w:rsidRPr="00787F98" w:rsidRDefault="005B5818" w:rsidP="00BA02D0">
            <w:pPr>
              <w:pStyle w:val="Table"/>
              <w:keepNext/>
            </w:pPr>
            <w:r w:rsidRPr="00787F98">
              <w:t>4.5</w:t>
            </w:r>
          </w:p>
        </w:tc>
        <w:tc>
          <w:tcPr>
            <w:tcW w:w="1302" w:type="dxa"/>
            <w:noWrap/>
            <w:hideMark/>
          </w:tcPr>
          <w:p w14:paraId="61FDF5FB" w14:textId="77777777" w:rsidR="005B5818" w:rsidRPr="00787F98" w:rsidRDefault="005B5818" w:rsidP="00BA02D0">
            <w:pPr>
              <w:pStyle w:val="TableNumber"/>
            </w:pPr>
            <w:r w:rsidRPr="00787F98">
              <w:t>1.12%</w:t>
            </w:r>
          </w:p>
        </w:tc>
      </w:tr>
      <w:tr w:rsidR="005B5818" w:rsidRPr="00787F98" w14:paraId="6A2C4160" w14:textId="77777777" w:rsidTr="00B3076D">
        <w:trPr>
          <w:trHeight w:val="255"/>
        </w:trPr>
        <w:tc>
          <w:tcPr>
            <w:tcW w:w="1814" w:type="dxa"/>
            <w:hideMark/>
          </w:tcPr>
          <w:p w14:paraId="37A03E52" w14:textId="77777777" w:rsidR="005B5818" w:rsidRPr="00787F98" w:rsidRDefault="005B5818" w:rsidP="00BA02D0">
            <w:pPr>
              <w:pStyle w:val="Table"/>
              <w:keepNext/>
            </w:pPr>
            <w:r w:rsidRPr="00787F98">
              <w:t>5.0</w:t>
            </w:r>
          </w:p>
        </w:tc>
        <w:tc>
          <w:tcPr>
            <w:tcW w:w="1302" w:type="dxa"/>
            <w:noWrap/>
            <w:hideMark/>
          </w:tcPr>
          <w:p w14:paraId="1983A3B6" w14:textId="77777777" w:rsidR="005B5818" w:rsidRPr="00787F98" w:rsidRDefault="005B5818" w:rsidP="00BA02D0">
            <w:pPr>
              <w:pStyle w:val="TableNumber"/>
            </w:pPr>
            <w:r w:rsidRPr="00787F98">
              <w:t>0.72%</w:t>
            </w:r>
          </w:p>
        </w:tc>
      </w:tr>
      <w:tr w:rsidR="005B5818" w:rsidRPr="00787F98" w14:paraId="7F0F1BFC" w14:textId="77777777" w:rsidTr="00B3076D">
        <w:trPr>
          <w:trHeight w:val="255"/>
        </w:trPr>
        <w:tc>
          <w:tcPr>
            <w:tcW w:w="1814" w:type="dxa"/>
            <w:hideMark/>
          </w:tcPr>
          <w:p w14:paraId="3ED4EBEC" w14:textId="77777777" w:rsidR="005B5818" w:rsidRPr="00787F98" w:rsidRDefault="005B5818" w:rsidP="00BA02D0">
            <w:pPr>
              <w:pStyle w:val="Table"/>
              <w:keepNext/>
            </w:pPr>
            <w:r w:rsidRPr="00787F98">
              <w:t>5.5</w:t>
            </w:r>
          </w:p>
        </w:tc>
        <w:tc>
          <w:tcPr>
            <w:tcW w:w="1302" w:type="dxa"/>
            <w:noWrap/>
            <w:hideMark/>
          </w:tcPr>
          <w:p w14:paraId="096B93BB" w14:textId="77777777" w:rsidR="005B5818" w:rsidRPr="00787F98" w:rsidRDefault="005B5818" w:rsidP="00BA02D0">
            <w:pPr>
              <w:pStyle w:val="TableNumber"/>
            </w:pPr>
            <w:r w:rsidRPr="00787F98">
              <w:t>0.61%</w:t>
            </w:r>
          </w:p>
        </w:tc>
      </w:tr>
      <w:tr w:rsidR="005B5818" w:rsidRPr="00787F98" w14:paraId="02C24991" w14:textId="77777777" w:rsidTr="00B3076D">
        <w:trPr>
          <w:trHeight w:val="255"/>
        </w:trPr>
        <w:tc>
          <w:tcPr>
            <w:tcW w:w="1814" w:type="dxa"/>
            <w:hideMark/>
          </w:tcPr>
          <w:p w14:paraId="01B19573" w14:textId="77777777" w:rsidR="005B5818" w:rsidRPr="00787F98" w:rsidRDefault="005B5818" w:rsidP="002F7E33">
            <w:pPr>
              <w:pStyle w:val="Table"/>
              <w:keepNext/>
            </w:pPr>
            <w:r w:rsidRPr="00787F98">
              <w:t>6.0</w:t>
            </w:r>
          </w:p>
        </w:tc>
        <w:tc>
          <w:tcPr>
            <w:tcW w:w="1302" w:type="dxa"/>
            <w:noWrap/>
            <w:hideMark/>
          </w:tcPr>
          <w:p w14:paraId="14BF1CD8" w14:textId="77777777" w:rsidR="005B5818" w:rsidRPr="00787F98" w:rsidRDefault="005B5818">
            <w:pPr>
              <w:pStyle w:val="TableNumber"/>
            </w:pPr>
            <w:r w:rsidRPr="00787F98">
              <w:t>0.51%</w:t>
            </w:r>
          </w:p>
        </w:tc>
      </w:tr>
      <w:tr w:rsidR="005B5818" w:rsidRPr="00787F98" w14:paraId="48792431" w14:textId="77777777" w:rsidTr="00B3076D">
        <w:trPr>
          <w:trHeight w:val="255"/>
        </w:trPr>
        <w:tc>
          <w:tcPr>
            <w:tcW w:w="1814" w:type="dxa"/>
            <w:hideMark/>
          </w:tcPr>
          <w:p w14:paraId="728CE18A" w14:textId="77777777" w:rsidR="005B5818" w:rsidRPr="00787F98" w:rsidRDefault="005B5818" w:rsidP="002F7E33">
            <w:pPr>
              <w:pStyle w:val="Table"/>
              <w:keepNext/>
            </w:pPr>
            <w:r w:rsidRPr="00787F98">
              <w:t>7.0</w:t>
            </w:r>
          </w:p>
        </w:tc>
        <w:tc>
          <w:tcPr>
            <w:tcW w:w="1302" w:type="dxa"/>
            <w:noWrap/>
            <w:hideMark/>
          </w:tcPr>
          <w:p w14:paraId="21B56F3C" w14:textId="77777777" w:rsidR="005B5818" w:rsidRPr="00787F98" w:rsidRDefault="005B5818">
            <w:pPr>
              <w:pStyle w:val="TableNumber"/>
            </w:pPr>
            <w:r w:rsidRPr="00787F98">
              <w:t>0.50%</w:t>
            </w:r>
          </w:p>
        </w:tc>
      </w:tr>
      <w:tr w:rsidR="005B5818" w:rsidRPr="00787F98" w14:paraId="16907759" w14:textId="77777777" w:rsidTr="00B3076D">
        <w:trPr>
          <w:trHeight w:val="255"/>
        </w:trPr>
        <w:tc>
          <w:tcPr>
            <w:tcW w:w="1814" w:type="dxa"/>
            <w:hideMark/>
          </w:tcPr>
          <w:p w14:paraId="6A6E4C02" w14:textId="77777777" w:rsidR="005B5818" w:rsidRPr="00787F98" w:rsidRDefault="005B5818" w:rsidP="002F7E33">
            <w:pPr>
              <w:pStyle w:val="Table"/>
              <w:keepNext/>
            </w:pPr>
            <w:r w:rsidRPr="00787F98">
              <w:t>8.0</w:t>
            </w:r>
          </w:p>
        </w:tc>
        <w:tc>
          <w:tcPr>
            <w:tcW w:w="1302" w:type="dxa"/>
            <w:noWrap/>
            <w:hideMark/>
          </w:tcPr>
          <w:p w14:paraId="2466CB42" w14:textId="77777777" w:rsidR="005B5818" w:rsidRPr="00787F98" w:rsidRDefault="005B5818">
            <w:pPr>
              <w:pStyle w:val="TableNumber"/>
            </w:pPr>
            <w:r w:rsidRPr="00787F98">
              <w:t>0.33%</w:t>
            </w:r>
          </w:p>
        </w:tc>
      </w:tr>
      <w:tr w:rsidR="005B5818" w:rsidRPr="00787F98" w14:paraId="640314E1" w14:textId="77777777" w:rsidTr="00B3076D">
        <w:trPr>
          <w:trHeight w:val="255"/>
        </w:trPr>
        <w:tc>
          <w:tcPr>
            <w:tcW w:w="1814" w:type="dxa"/>
            <w:hideMark/>
          </w:tcPr>
          <w:p w14:paraId="3F3F590A" w14:textId="77777777" w:rsidR="005B5818" w:rsidRPr="00787F98" w:rsidRDefault="005B5818" w:rsidP="002F7E33">
            <w:pPr>
              <w:pStyle w:val="Table"/>
              <w:keepNext/>
            </w:pPr>
            <w:r w:rsidRPr="00787F98">
              <w:t>9.0</w:t>
            </w:r>
          </w:p>
        </w:tc>
        <w:tc>
          <w:tcPr>
            <w:tcW w:w="1302" w:type="dxa"/>
            <w:noWrap/>
            <w:hideMark/>
          </w:tcPr>
          <w:p w14:paraId="7C47A7F3" w14:textId="77777777" w:rsidR="005B5818" w:rsidRPr="00787F98" w:rsidRDefault="005B5818">
            <w:pPr>
              <w:pStyle w:val="TableNumber"/>
            </w:pPr>
            <w:r w:rsidRPr="00787F98">
              <w:t>0.21%</w:t>
            </w:r>
          </w:p>
        </w:tc>
      </w:tr>
      <w:tr w:rsidR="005B5818" w:rsidRPr="00787F98" w14:paraId="7F49A744" w14:textId="77777777" w:rsidTr="00B3076D">
        <w:trPr>
          <w:trHeight w:val="255"/>
        </w:trPr>
        <w:tc>
          <w:tcPr>
            <w:tcW w:w="1814" w:type="dxa"/>
            <w:hideMark/>
          </w:tcPr>
          <w:p w14:paraId="6544E277" w14:textId="77777777" w:rsidR="005B5818" w:rsidRPr="00787F98" w:rsidRDefault="005B5818" w:rsidP="002F7E33">
            <w:pPr>
              <w:pStyle w:val="Table"/>
              <w:keepNext/>
            </w:pPr>
            <w:r w:rsidRPr="00787F98">
              <w:t>10.0</w:t>
            </w:r>
          </w:p>
        </w:tc>
        <w:tc>
          <w:tcPr>
            <w:tcW w:w="1302" w:type="dxa"/>
            <w:noWrap/>
            <w:hideMark/>
          </w:tcPr>
          <w:p w14:paraId="1EB0CA32" w14:textId="77777777" w:rsidR="005B5818" w:rsidRPr="00787F98" w:rsidRDefault="005B5818">
            <w:pPr>
              <w:pStyle w:val="TableNumber"/>
            </w:pPr>
            <w:r w:rsidRPr="00787F98">
              <w:t>0.13%</w:t>
            </w:r>
          </w:p>
        </w:tc>
      </w:tr>
      <w:tr w:rsidR="005B5818" w:rsidRPr="00787F98" w14:paraId="0E3B52EE" w14:textId="77777777" w:rsidTr="00B3076D">
        <w:trPr>
          <w:trHeight w:val="255"/>
        </w:trPr>
        <w:tc>
          <w:tcPr>
            <w:tcW w:w="1814" w:type="dxa"/>
            <w:hideMark/>
          </w:tcPr>
          <w:p w14:paraId="47A2EA5E" w14:textId="77777777" w:rsidR="005B5818" w:rsidRPr="00787F98" w:rsidRDefault="005B5818" w:rsidP="002F7E33">
            <w:pPr>
              <w:pStyle w:val="Table"/>
              <w:keepNext/>
            </w:pPr>
            <w:r w:rsidRPr="00787F98">
              <w:t>11+</w:t>
            </w:r>
          </w:p>
        </w:tc>
        <w:tc>
          <w:tcPr>
            <w:tcW w:w="1302" w:type="dxa"/>
            <w:noWrap/>
            <w:hideMark/>
          </w:tcPr>
          <w:p w14:paraId="5005EBFE" w14:textId="77777777" w:rsidR="005B5818" w:rsidRPr="00787F98" w:rsidRDefault="005B5818">
            <w:pPr>
              <w:pStyle w:val="TableNumber"/>
            </w:pPr>
            <w:r w:rsidRPr="00787F98">
              <w:t>0.35%</w:t>
            </w:r>
          </w:p>
        </w:tc>
      </w:tr>
      <w:tr w:rsidR="005B5818" w:rsidRPr="00D56DD5" w14:paraId="3D685BBB" w14:textId="77777777" w:rsidTr="00B3076D">
        <w:trPr>
          <w:cnfStyle w:val="010000000000" w:firstRow="0" w:lastRow="1" w:firstColumn="0" w:lastColumn="0" w:oddVBand="0" w:evenVBand="0" w:oddHBand="0" w:evenHBand="0" w:firstRowFirstColumn="0" w:firstRowLastColumn="0" w:lastRowFirstColumn="0" w:lastRowLastColumn="0"/>
          <w:trHeight w:val="270"/>
        </w:trPr>
        <w:tc>
          <w:tcPr>
            <w:tcW w:w="1814" w:type="dxa"/>
            <w:hideMark/>
          </w:tcPr>
          <w:p w14:paraId="14E93E45" w14:textId="77777777" w:rsidR="005B5818" w:rsidRPr="00D56DD5" w:rsidRDefault="005B5818" w:rsidP="00D56DD5">
            <w:pPr>
              <w:pStyle w:val="Table"/>
              <w:rPr>
                <w:b/>
              </w:rPr>
            </w:pPr>
            <w:r w:rsidRPr="00D56DD5">
              <w:rPr>
                <w:b/>
              </w:rPr>
              <w:t>Total</w:t>
            </w:r>
          </w:p>
        </w:tc>
        <w:tc>
          <w:tcPr>
            <w:tcW w:w="1302" w:type="dxa"/>
            <w:noWrap/>
            <w:hideMark/>
          </w:tcPr>
          <w:p w14:paraId="53068D52" w14:textId="77777777" w:rsidR="005B5818" w:rsidRPr="00D56DD5" w:rsidRDefault="005B5818" w:rsidP="00D56DD5">
            <w:pPr>
              <w:pStyle w:val="TableNumber"/>
              <w:rPr>
                <w:b/>
              </w:rPr>
            </w:pPr>
            <w:r w:rsidRPr="00D56DD5">
              <w:rPr>
                <w:b/>
              </w:rPr>
              <w:t>100.00%</w:t>
            </w:r>
          </w:p>
        </w:tc>
      </w:tr>
    </w:tbl>
    <w:p w14:paraId="6793DFB6" w14:textId="77777777" w:rsidR="005B5818" w:rsidRDefault="005B5818" w:rsidP="00B60372">
      <w:pPr>
        <w:pStyle w:val="Heading2"/>
      </w:pPr>
      <w:bookmarkStart w:id="99" w:name="_Treatment_of_the"/>
      <w:bookmarkStart w:id="100" w:name="Treatment_of_the_Principal"/>
      <w:bookmarkStart w:id="101" w:name="_Ref391715852"/>
      <w:bookmarkStart w:id="102" w:name="_Ref400541210"/>
      <w:bookmarkStart w:id="103" w:name="_Toc401061044"/>
      <w:bookmarkEnd w:id="99"/>
      <w:r>
        <w:lastRenderedPageBreak/>
        <w:t xml:space="preserve">Treatment of the Principal </w:t>
      </w:r>
      <w:bookmarkEnd w:id="100"/>
      <w:r w:rsidR="004C70DD">
        <w:t xml:space="preserve">diagnosis </w:t>
      </w:r>
      <w:r>
        <w:t xml:space="preserve">in </w:t>
      </w:r>
      <w:r w:rsidR="004C70DD">
        <w:t xml:space="preserve">classification </w:t>
      </w:r>
      <w:bookmarkEnd w:id="101"/>
      <w:r w:rsidR="004C70DD">
        <w:t>design</w:t>
      </w:r>
      <w:bookmarkEnd w:id="102"/>
      <w:bookmarkEnd w:id="103"/>
    </w:p>
    <w:p w14:paraId="2EFA2D99" w14:textId="77777777" w:rsidR="00025338" w:rsidRPr="0073241C" w:rsidRDefault="00025338" w:rsidP="002506C3">
      <w:pPr>
        <w:rPr>
          <w:lang w:val="en-AU"/>
        </w:rPr>
      </w:pPr>
      <w:r>
        <w:rPr>
          <w:lang w:val="en-AU"/>
        </w:rPr>
        <w:t xml:space="preserve">In order to understand the role of the </w:t>
      </w:r>
      <w:proofErr w:type="spellStart"/>
      <w:r w:rsidR="0073241C">
        <w:rPr>
          <w:lang w:val="en-AU"/>
        </w:rPr>
        <w:t>PDx</w:t>
      </w:r>
      <w:proofErr w:type="spellEnd"/>
      <w:r>
        <w:rPr>
          <w:lang w:val="en-AU"/>
        </w:rPr>
        <w:t xml:space="preserve"> in classification design it is essential that a description of the DRG classification process be provided in the first instance. This section describes the </w:t>
      </w:r>
      <w:r w:rsidRPr="00025338">
        <w:rPr>
          <w:lang w:val="en-AU"/>
        </w:rPr>
        <w:t xml:space="preserve">differences in the role of the </w:t>
      </w:r>
      <w:proofErr w:type="spellStart"/>
      <w:r w:rsidRPr="00025338">
        <w:rPr>
          <w:lang w:val="en-AU"/>
        </w:rPr>
        <w:t>PDx</w:t>
      </w:r>
      <w:proofErr w:type="spellEnd"/>
      <w:r w:rsidRPr="00025338">
        <w:rPr>
          <w:lang w:val="en-AU"/>
        </w:rPr>
        <w:t xml:space="preserve"> in me</w:t>
      </w:r>
      <w:r>
        <w:rPr>
          <w:lang w:val="en-AU"/>
        </w:rPr>
        <w:t xml:space="preserve">dical, other and surgical ADRGs </w:t>
      </w:r>
      <w:r w:rsidR="00EA7130">
        <w:rPr>
          <w:lang w:val="en-AU"/>
        </w:rPr>
        <w:t>and</w:t>
      </w:r>
      <w:r>
        <w:rPr>
          <w:lang w:val="en-AU"/>
        </w:rPr>
        <w:t xml:space="preserve"> provide</w:t>
      </w:r>
      <w:r w:rsidR="00EA7130">
        <w:rPr>
          <w:lang w:val="en-AU"/>
        </w:rPr>
        <w:t>s</w:t>
      </w:r>
      <w:r>
        <w:rPr>
          <w:lang w:val="en-AU"/>
        </w:rPr>
        <w:t xml:space="preserve"> evidence of the importance of </w:t>
      </w:r>
      <w:r w:rsidR="00922D12">
        <w:rPr>
          <w:lang w:val="en-AU"/>
        </w:rPr>
        <w:t>extending its</w:t>
      </w:r>
      <w:r>
        <w:rPr>
          <w:lang w:val="en-AU"/>
        </w:rPr>
        <w:t xml:space="preserve"> </w:t>
      </w:r>
      <w:r w:rsidR="00922D12">
        <w:rPr>
          <w:lang w:val="en-AU"/>
        </w:rPr>
        <w:t>role to explaining episode clinical complexity.</w:t>
      </w:r>
    </w:p>
    <w:p w14:paraId="4EB41050" w14:textId="77777777" w:rsidR="005B5818" w:rsidRPr="00462D03" w:rsidRDefault="005B5818" w:rsidP="00B60372">
      <w:pPr>
        <w:pStyle w:val="Heading3"/>
      </w:pPr>
      <w:r w:rsidRPr="00462D03">
        <w:t xml:space="preserve">The DRG Classification Process </w:t>
      </w:r>
    </w:p>
    <w:p w14:paraId="6CE29CB5" w14:textId="77777777" w:rsidR="005B5818" w:rsidRPr="00F66264" w:rsidRDefault="005B5818" w:rsidP="00721499">
      <w:r w:rsidRPr="00F66264">
        <w:t xml:space="preserve">ICD-10-AM and </w:t>
      </w:r>
      <w:r w:rsidR="00AC67E7">
        <w:t>ACHI</w:t>
      </w:r>
      <w:r w:rsidRPr="00F66264">
        <w:t xml:space="preserve"> are the building blocks for </w:t>
      </w:r>
      <w:r>
        <w:t>AR-DRGs</w:t>
      </w:r>
      <w:r w:rsidRPr="00F66264">
        <w:t xml:space="preserve">. </w:t>
      </w:r>
    </w:p>
    <w:p w14:paraId="4CA2CF2D" w14:textId="77777777" w:rsidR="005B5818" w:rsidRDefault="005B5818" w:rsidP="00721499">
      <w:r w:rsidRPr="00F66264">
        <w:t xml:space="preserve">The DRG classification considers the ICD-10-AM/ACHI codes and other patient related information in the process of allocating a DRG to the specific acute </w:t>
      </w:r>
      <w:r>
        <w:t>admitted</w:t>
      </w:r>
      <w:r w:rsidRPr="00F66264">
        <w:t xml:space="preserve"> episode of care.</w:t>
      </w:r>
      <w:r w:rsidRPr="00462D03">
        <w:t xml:space="preserve"> A description of the current DRG classification system is included here as important background to the ACCD’s </w:t>
      </w:r>
      <w:r>
        <w:t>case complexity</w:t>
      </w:r>
      <w:r w:rsidRPr="00462D03">
        <w:t xml:space="preserve"> review.</w:t>
      </w:r>
      <w:r w:rsidR="00991B46">
        <w:t xml:space="preserve"> </w:t>
      </w:r>
      <w:r w:rsidR="00CC0F16" w:rsidDel="002506C3">
        <w:fldChar w:fldCharType="begin"/>
      </w:r>
      <w:r w:rsidR="00CC0F16" w:rsidDel="002506C3">
        <w:instrText xml:space="preserve"> REF _Ref392756305 \h  \* MERGEFORMAT </w:instrText>
      </w:r>
      <w:r w:rsidR="00CC0F16" w:rsidDel="002506C3">
        <w:fldChar w:fldCharType="separate"/>
      </w:r>
      <w:r w:rsidR="0031717B">
        <w:t xml:space="preserve">Figure </w:t>
      </w:r>
      <w:r w:rsidR="0031717B">
        <w:rPr>
          <w:noProof/>
        </w:rPr>
        <w:t>19</w:t>
      </w:r>
      <w:r w:rsidR="00CC0F16" w:rsidDel="002506C3">
        <w:fldChar w:fldCharType="end"/>
      </w:r>
      <w:r w:rsidRPr="00D938C3" w:rsidDel="002506C3">
        <w:t xml:space="preserve"> </w:t>
      </w:r>
      <w:r w:rsidR="00991B46">
        <w:t xml:space="preserve">on page </w:t>
      </w:r>
      <w:r w:rsidR="00F26882">
        <w:fldChar w:fldCharType="begin"/>
      </w:r>
      <w:r w:rsidR="00F26882">
        <w:instrText xml:space="preserve"> PAGEREF _Ref398294512 \h </w:instrText>
      </w:r>
      <w:r w:rsidR="00F26882">
        <w:fldChar w:fldCharType="separate"/>
      </w:r>
      <w:r w:rsidR="0031717B">
        <w:rPr>
          <w:noProof/>
        </w:rPr>
        <w:t>26</w:t>
      </w:r>
      <w:r w:rsidR="00F26882">
        <w:fldChar w:fldCharType="end"/>
      </w:r>
      <w:r w:rsidR="00991B46">
        <w:t xml:space="preserve"> </w:t>
      </w:r>
      <w:r w:rsidRPr="00D938C3" w:rsidDel="002506C3">
        <w:t>depicts</w:t>
      </w:r>
      <w:r w:rsidRPr="00F66264" w:rsidDel="002506C3">
        <w:t xml:space="preserve"> </w:t>
      </w:r>
      <w:r w:rsidDel="002506C3">
        <w:t>the DRG classification process.</w:t>
      </w:r>
    </w:p>
    <w:p w14:paraId="1CF2E244" w14:textId="77777777" w:rsidR="00CE6761" w:rsidRPr="00F66264" w:rsidRDefault="00CE6761" w:rsidP="00721499">
      <w:r w:rsidRPr="00F66264">
        <w:t xml:space="preserve">For some MDCs and </w:t>
      </w:r>
      <w:r>
        <w:t xml:space="preserve">ADRGs </w:t>
      </w:r>
      <w:r w:rsidRPr="00F66264">
        <w:t>there currently are variables, other than ICD-10-AM/ACHI codes, which may affect the partitioning of the ADRGs to their component DRGs. These variables include:</w:t>
      </w:r>
    </w:p>
    <w:p w14:paraId="2CDF1A47" w14:textId="77777777" w:rsidR="00CE6761" w:rsidRPr="002506C3" w:rsidRDefault="00CE6761" w:rsidP="000E5B4A">
      <w:pPr>
        <w:pStyle w:val="ListBullet"/>
      </w:pPr>
      <w:r w:rsidRPr="002506C3">
        <w:t>age</w:t>
      </w:r>
      <w:r>
        <w:t>;</w:t>
      </w:r>
    </w:p>
    <w:p w14:paraId="05FFEBE4" w14:textId="77777777" w:rsidR="00CE6761" w:rsidRPr="002506C3" w:rsidRDefault="00CE6761" w:rsidP="000E5B4A">
      <w:pPr>
        <w:pStyle w:val="ListBullet"/>
      </w:pPr>
      <w:r w:rsidRPr="002506C3">
        <w:t>sex</w:t>
      </w:r>
      <w:r>
        <w:t>;</w:t>
      </w:r>
    </w:p>
    <w:p w14:paraId="460931FD" w14:textId="77777777" w:rsidR="00CE6761" w:rsidRPr="002506C3" w:rsidRDefault="00CE6761" w:rsidP="000E5B4A">
      <w:pPr>
        <w:pStyle w:val="ListBullet"/>
      </w:pPr>
      <w:r w:rsidRPr="002506C3">
        <w:t>LOS</w:t>
      </w:r>
      <w:r>
        <w:t>;</w:t>
      </w:r>
    </w:p>
    <w:p w14:paraId="69CF9E89" w14:textId="77777777" w:rsidR="00CE6761" w:rsidRPr="002506C3" w:rsidRDefault="00CE6761" w:rsidP="000E5B4A">
      <w:pPr>
        <w:pStyle w:val="ListBullet"/>
      </w:pPr>
      <w:r w:rsidRPr="002506C3">
        <w:t>same day status</w:t>
      </w:r>
      <w:r>
        <w:t>;</w:t>
      </w:r>
    </w:p>
    <w:p w14:paraId="5D01CFA0" w14:textId="77777777" w:rsidR="00CE6761" w:rsidRPr="002506C3" w:rsidRDefault="00CE6761" w:rsidP="000E5B4A">
      <w:pPr>
        <w:pStyle w:val="ListBullet"/>
      </w:pPr>
      <w:r w:rsidRPr="002506C3">
        <w:t>admission weight for infants aged &lt;365 days</w:t>
      </w:r>
      <w:r>
        <w:t>;</w:t>
      </w:r>
    </w:p>
    <w:p w14:paraId="29870F82" w14:textId="77777777" w:rsidR="00CE6761" w:rsidRPr="002506C3" w:rsidRDefault="00CE6761" w:rsidP="000E5B4A">
      <w:pPr>
        <w:pStyle w:val="ListBullet"/>
      </w:pPr>
      <w:r w:rsidRPr="002506C3">
        <w:t>mental health legal status; and</w:t>
      </w:r>
    </w:p>
    <w:p w14:paraId="3D6AB4A9" w14:textId="77777777" w:rsidR="00CE6761" w:rsidRDefault="00CE6761" w:rsidP="000E5B4A">
      <w:pPr>
        <w:pStyle w:val="ListBullet"/>
      </w:pPr>
      <w:r w:rsidRPr="002506C3">
        <w:t>mode of separation.</w:t>
      </w:r>
      <w:r w:rsidR="00991B46">
        <w:t xml:space="preserve"> </w:t>
      </w:r>
    </w:p>
    <w:p w14:paraId="41A18758" w14:textId="77777777" w:rsidR="005B5818" w:rsidRDefault="00721499" w:rsidP="00144F26">
      <w:pPr>
        <w:pStyle w:val="Caption"/>
      </w:pPr>
      <w:bookmarkStart w:id="104" w:name="_Ref392756305"/>
      <w:bookmarkStart w:id="105" w:name="_Toc401061072"/>
      <w:r>
        <w:lastRenderedPageBreak/>
        <w:t xml:space="preserve">Figure </w:t>
      </w:r>
      <w:r>
        <w:fldChar w:fldCharType="begin"/>
      </w:r>
      <w:r>
        <w:instrText xml:space="preserve"> SEQ Figure \* ARABIC </w:instrText>
      </w:r>
      <w:r>
        <w:fldChar w:fldCharType="separate"/>
      </w:r>
      <w:r w:rsidR="0031717B">
        <w:rPr>
          <w:noProof/>
        </w:rPr>
        <w:t>19</w:t>
      </w:r>
      <w:r>
        <w:fldChar w:fldCharType="end"/>
      </w:r>
      <w:bookmarkEnd w:id="104"/>
      <w:r>
        <w:t xml:space="preserve">: </w:t>
      </w:r>
      <w:r w:rsidRPr="005B3539">
        <w:t>DRG classification process</w:t>
      </w:r>
      <w:r w:rsidR="00981B6D">
        <w:t>.</w:t>
      </w:r>
      <w:bookmarkEnd w:id="105"/>
    </w:p>
    <w:p w14:paraId="6CD20D8A" w14:textId="77777777" w:rsidR="00991B46" w:rsidRDefault="00991B46" w:rsidP="00991B46">
      <w:pPr>
        <w:keepNext/>
      </w:pPr>
      <w:r w:rsidRPr="00991B46">
        <w:rPr>
          <w:noProof/>
          <w:lang w:val="en-AU" w:eastAsia="en-AU"/>
        </w:rPr>
        <w:drawing>
          <wp:inline distT="0" distB="0" distL="0" distR="0" wp14:anchorId="2BD856B9" wp14:editId="2583B16E">
            <wp:extent cx="5732145" cy="7724185"/>
            <wp:effectExtent l="0" t="0" r="1905" b="0"/>
            <wp:docPr id="4" name="Picture 4" descr="The figure shows the process for DRG classification as follows: &#10;Step 1: The diagnoses and procedures are coded using ICD-10-AM.&#10;Step 2: The principal diagnosis is identified. Exceptions are assigned to Pre-MDC DRG. Exceptions include: Age less than 29 days; age less than one year with an admission weight of less than 2,500 grams; principal or secondary diagnosis of HIV or related condition; liver, heart, lung, bone marrow or multiple organ transplant; significant trauma to over one body site; ECMO without cardiac surgery; and tracheostomy/MV over 95 hours old.&#10;Step 3: Check for significant operating room procedure. If yes, then Step 7.&#10;Step 4: Check for non-operating room procedure. If yes, then Step 6.&#10;Step 5: Assign episodes without procedures to 'Medical partition'. Group according to principal diagnosis, e.g. neoplasm, specific conditions, symptoms, other; then Step 8.&#10;Step 6: Assign non-operating room procedures to 'Other partition'. Group according to principal diagnosis and non-operating room procedure; then Step 8.&#10;Step 7: Assign significant operating room procedures to 'Surgical partition'. Group according to type of surgery, e.g. major, minor, other, unrelated to principal diagnosis.&#10;Step 8: Check for CC, age, other split.&#10;Step 9: Assign DRG.&#10;Step 10: End of process." title="DRG classification process (The Good Clinical Documentation Guide.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0" y="0"/>
                      <a:ext cx="5732145" cy="7724185"/>
                    </a:xfrm>
                    <a:prstGeom prst="rect">
                      <a:avLst/>
                    </a:prstGeom>
                    <a:noFill/>
                    <a:ln>
                      <a:noFill/>
                    </a:ln>
                  </pic:spPr>
                </pic:pic>
              </a:graphicData>
            </a:graphic>
          </wp:inline>
        </w:drawing>
      </w:r>
    </w:p>
    <w:p w14:paraId="515E476A" w14:textId="77777777" w:rsidR="00991B46" w:rsidRDefault="00721499" w:rsidP="00144F26">
      <w:pPr>
        <w:pStyle w:val="Caption"/>
      </w:pPr>
      <w:r>
        <w:t xml:space="preserve">Source: </w:t>
      </w:r>
      <w:r w:rsidRPr="005B3539">
        <w:t>The Good Cli</w:t>
      </w:r>
      <w:r>
        <w:t>nical Documentation Guide. 2003</w:t>
      </w:r>
    </w:p>
    <w:p w14:paraId="28E69715" w14:textId="77777777" w:rsidR="005B5818" w:rsidRPr="00F66264" w:rsidRDefault="005B5818" w:rsidP="00991B46">
      <w:r w:rsidRPr="00F66264">
        <w:lastRenderedPageBreak/>
        <w:t xml:space="preserve">AR-DRG </w:t>
      </w:r>
      <w:r>
        <w:t>V</w:t>
      </w:r>
      <w:r w:rsidRPr="00F66264">
        <w:t xml:space="preserve">7.0 incorporates 771 DRGs of which there </w:t>
      </w:r>
      <w:r>
        <w:t xml:space="preserve">are </w:t>
      </w:r>
      <w:r w:rsidRPr="00F66264">
        <w:t xml:space="preserve">768 non-error DRGs that have 403 (non-error) ADRGs, most of which are </w:t>
      </w:r>
      <w:proofErr w:type="spellStart"/>
      <w:r w:rsidRPr="00F66264">
        <w:t>organised</w:t>
      </w:r>
      <w:proofErr w:type="spellEnd"/>
      <w:r w:rsidRPr="00F66264">
        <w:t xml:space="preserve"> into 23 MDCs, generally based on body system. There are also 3 medical DRGs comprising 3 ADRGs that make up the remaining error DRGs in the 900 series. The ADRGs of each MDC are sub-divided into a maximum of three separate partitions, for surgical, other and medical. The presence or absence of ‘significant’ operating room (OR) and Non</w:t>
      </w:r>
      <w:r w:rsidR="00053329">
        <w:t>-</w:t>
      </w:r>
      <w:r w:rsidRPr="00F66264">
        <w:t xml:space="preserve">OR procedures is generally responsible for the assignment of an episode of care to one of these partitions: </w:t>
      </w:r>
    </w:p>
    <w:p w14:paraId="313ED7D9" w14:textId="77777777" w:rsidR="005B5818" w:rsidRPr="00F66264" w:rsidRDefault="005B5818" w:rsidP="002506C3">
      <w:pPr>
        <w:numPr>
          <w:ilvl w:val="0"/>
          <w:numId w:val="76"/>
        </w:numPr>
      </w:pPr>
      <w:r w:rsidRPr="00F66264">
        <w:t>surgical (336 DRGs within 188 ADRGs)</w:t>
      </w:r>
      <w:r w:rsidR="002506C3">
        <w:t>;</w:t>
      </w:r>
    </w:p>
    <w:p w14:paraId="52EB63CB" w14:textId="77777777" w:rsidR="005B5818" w:rsidRPr="00F66264" w:rsidRDefault="005B5818" w:rsidP="002506C3">
      <w:pPr>
        <w:numPr>
          <w:ilvl w:val="0"/>
          <w:numId w:val="76"/>
        </w:numPr>
      </w:pPr>
      <w:r w:rsidRPr="00F66264">
        <w:t>other (48 DRGs within 27 ADRGs)</w:t>
      </w:r>
      <w:r w:rsidR="002506C3">
        <w:t>;</w:t>
      </w:r>
    </w:p>
    <w:p w14:paraId="2B6032EC" w14:textId="77777777" w:rsidR="005B5818" w:rsidRPr="00F66264" w:rsidRDefault="005B5818" w:rsidP="002506C3">
      <w:pPr>
        <w:numPr>
          <w:ilvl w:val="0"/>
          <w:numId w:val="76"/>
        </w:numPr>
      </w:pPr>
      <w:r w:rsidRPr="00F66264">
        <w:t>medical (384 (non-error) DRGs within 188 (non-error) ADRGs)</w:t>
      </w:r>
      <w:r w:rsidR="00053329">
        <w:t>;and</w:t>
      </w:r>
    </w:p>
    <w:p w14:paraId="248E48D9" w14:textId="77777777" w:rsidR="005B5818" w:rsidRPr="00F66264" w:rsidRDefault="005B5818" w:rsidP="002506C3">
      <w:pPr>
        <w:numPr>
          <w:ilvl w:val="0"/>
          <w:numId w:val="76"/>
        </w:numPr>
      </w:pPr>
      <w:r w:rsidRPr="00F66264">
        <w:t>medical error (3</w:t>
      </w:r>
      <w:r>
        <w:t xml:space="preserve"> DRGs within 3 ADRGs) including</w:t>
      </w:r>
      <w:r w:rsidR="00053329">
        <w:t>:</w:t>
      </w:r>
    </w:p>
    <w:p w14:paraId="018D80C1" w14:textId="77777777" w:rsidR="005B5818" w:rsidRPr="00F66264" w:rsidRDefault="005B5818" w:rsidP="00721499">
      <w:pPr>
        <w:pStyle w:val="ListBullet2"/>
      </w:pPr>
      <w:r w:rsidRPr="00F66264">
        <w:t>ungroupable</w:t>
      </w:r>
      <w:r w:rsidR="00053329">
        <w:t>;</w:t>
      </w:r>
    </w:p>
    <w:p w14:paraId="2C913060" w14:textId="77777777" w:rsidR="005B5818" w:rsidRPr="00F66264" w:rsidRDefault="005B5818" w:rsidP="00721499">
      <w:pPr>
        <w:pStyle w:val="ListBullet2"/>
      </w:pPr>
      <w:r w:rsidRPr="00F66264">
        <w:t>unacceptable principal diagnosis</w:t>
      </w:r>
      <w:r w:rsidR="00053329">
        <w:t>; and</w:t>
      </w:r>
    </w:p>
    <w:p w14:paraId="58F9988F" w14:textId="77777777" w:rsidR="005B5818" w:rsidRPr="0047134A" w:rsidRDefault="005B5818" w:rsidP="002506C3">
      <w:pPr>
        <w:keepNext/>
        <w:spacing w:after="0" w:line="240" w:lineRule="auto"/>
        <w:rPr>
          <w:szCs w:val="24"/>
        </w:rPr>
      </w:pPr>
      <w:r w:rsidRPr="00CE6761">
        <w:rPr>
          <w:szCs w:val="24"/>
        </w:rPr>
        <w:t>inconsistent neonate diagnoses</w:t>
      </w:r>
      <w:r w:rsidR="00053329" w:rsidRPr="00CE6761">
        <w:rPr>
          <w:szCs w:val="24"/>
        </w:rPr>
        <w:t>.</w:t>
      </w:r>
      <w:r w:rsidR="00721499">
        <w:rPr>
          <w:szCs w:val="24"/>
        </w:rPr>
        <w:t xml:space="preserve"> </w:t>
      </w:r>
      <w:r w:rsidRPr="0047134A">
        <w:rPr>
          <w:szCs w:val="24"/>
        </w:rPr>
        <w:t>Pre-MDC processing occurs prior to allocation of the episode to a MDC. The pre-MDC process has two functions:</w:t>
      </w:r>
    </w:p>
    <w:p w14:paraId="7A5E8870" w14:textId="77777777" w:rsidR="005B5818" w:rsidRPr="0047134A" w:rsidRDefault="005B5818" w:rsidP="002506C3">
      <w:pPr>
        <w:numPr>
          <w:ilvl w:val="0"/>
          <w:numId w:val="81"/>
        </w:numPr>
      </w:pPr>
      <w:r w:rsidRPr="0047134A">
        <w:t xml:space="preserve">Identification and assignment to one of 11 high cost DRGs that comprise the pre-MDC category. </w:t>
      </w:r>
    </w:p>
    <w:p w14:paraId="17A53B28" w14:textId="77777777" w:rsidR="005B5818" w:rsidRPr="0047134A" w:rsidRDefault="005B5818" w:rsidP="002506C3">
      <w:pPr>
        <w:spacing w:line="276" w:lineRule="auto"/>
      </w:pPr>
      <w:r w:rsidRPr="0047134A">
        <w:t xml:space="preserve">Alters MDC assignment, where the MDC is not defined exclusively on the basis of </w:t>
      </w:r>
      <w:proofErr w:type="spellStart"/>
      <w:r w:rsidR="008F49D5">
        <w:t>PDx</w:t>
      </w:r>
      <w:proofErr w:type="spellEnd"/>
      <w:r w:rsidRPr="0047134A">
        <w:t>.</w:t>
      </w:r>
      <w:r w:rsidR="00721499">
        <w:t xml:space="preserve"> </w:t>
      </w:r>
      <w:r w:rsidRPr="0047134A">
        <w:t>The following information is established during pre-MDC processing:</w:t>
      </w:r>
    </w:p>
    <w:p w14:paraId="38DB3AC8" w14:textId="77777777" w:rsidR="005B5818" w:rsidRPr="0047134A" w:rsidRDefault="005B5818" w:rsidP="002506C3">
      <w:pPr>
        <w:numPr>
          <w:ilvl w:val="0"/>
          <w:numId w:val="82"/>
        </w:numPr>
      </w:pPr>
      <w:r w:rsidRPr="0047134A">
        <w:t>Was there a transplant (e.g. liver, lung, heart, bone marrow or kidney)?</w:t>
      </w:r>
    </w:p>
    <w:p w14:paraId="4D6AEEE9" w14:textId="77777777" w:rsidR="005B5818" w:rsidRPr="0047134A" w:rsidRDefault="005B5818" w:rsidP="002506C3">
      <w:pPr>
        <w:numPr>
          <w:ilvl w:val="0"/>
          <w:numId w:val="82"/>
        </w:numPr>
      </w:pPr>
      <w:r w:rsidRPr="0047134A">
        <w:t>Was extracorporeal membrane oxygenation (ECMO), without cardiac surgery performed?</w:t>
      </w:r>
    </w:p>
    <w:p w14:paraId="1A5C3BD6" w14:textId="77777777" w:rsidR="005B5818" w:rsidRPr="0047134A" w:rsidRDefault="005B5818" w:rsidP="002506C3">
      <w:pPr>
        <w:numPr>
          <w:ilvl w:val="0"/>
          <w:numId w:val="82"/>
        </w:numPr>
      </w:pPr>
      <w:r w:rsidRPr="0047134A">
        <w:t>Was there treatment of significant trauma at more than one body site?</w:t>
      </w:r>
    </w:p>
    <w:p w14:paraId="5F703664" w14:textId="77777777" w:rsidR="005B5818" w:rsidRPr="0047134A" w:rsidRDefault="005B5818" w:rsidP="002506C3">
      <w:pPr>
        <w:numPr>
          <w:ilvl w:val="0"/>
          <w:numId w:val="82"/>
        </w:numPr>
      </w:pPr>
      <w:r w:rsidRPr="0047134A">
        <w:t>Was the patient &lt;28 days old, or aged &lt;1 year with admission weight &lt;2500 grams?</w:t>
      </w:r>
    </w:p>
    <w:p w14:paraId="6EE37643" w14:textId="77777777" w:rsidR="005B5818" w:rsidRPr="0047134A" w:rsidRDefault="005B5818" w:rsidP="002506C3">
      <w:pPr>
        <w:numPr>
          <w:ilvl w:val="0"/>
          <w:numId w:val="82"/>
        </w:numPr>
      </w:pPr>
      <w:r w:rsidRPr="0047134A">
        <w:t xml:space="preserve">Was there a </w:t>
      </w:r>
      <w:proofErr w:type="spellStart"/>
      <w:r w:rsidRPr="0047134A">
        <w:t>PDx</w:t>
      </w:r>
      <w:proofErr w:type="spellEnd"/>
      <w:r w:rsidRPr="0047134A">
        <w:t xml:space="preserve"> related to Human Immunodeficiency Virus (HIV) with an </w:t>
      </w:r>
      <w:proofErr w:type="spellStart"/>
      <w:r w:rsidR="000A2684">
        <w:t>ADx</w:t>
      </w:r>
      <w:proofErr w:type="spellEnd"/>
      <w:r w:rsidR="000A2684">
        <w:t xml:space="preserve"> </w:t>
      </w:r>
      <w:r w:rsidRPr="0047134A">
        <w:t>of HIV?</w:t>
      </w:r>
    </w:p>
    <w:p w14:paraId="273CE3AC" w14:textId="77777777" w:rsidR="005B5818" w:rsidRPr="0047134A" w:rsidRDefault="005B5818" w:rsidP="002506C3">
      <w:pPr>
        <w:numPr>
          <w:ilvl w:val="0"/>
          <w:numId w:val="82"/>
        </w:numPr>
      </w:pPr>
      <w:r w:rsidRPr="0047134A">
        <w:t>Was a tracheostomy performed or did mechanical ventilation occur for &gt;95 hours?</w:t>
      </w:r>
    </w:p>
    <w:p w14:paraId="65F716B9" w14:textId="77777777" w:rsidR="005B5818" w:rsidRDefault="005B5818" w:rsidP="002506C3">
      <w:pPr>
        <w:numPr>
          <w:ilvl w:val="0"/>
          <w:numId w:val="82"/>
        </w:numPr>
      </w:pPr>
      <w:r w:rsidRPr="0047134A">
        <w:t>Did the episode involve a ventricular assist device, spinal infusion device or neurostimulator device?</w:t>
      </w:r>
    </w:p>
    <w:p w14:paraId="532F9DDC" w14:textId="77777777" w:rsidR="005B5818" w:rsidRPr="0047134A" w:rsidRDefault="005B5818" w:rsidP="00B60372">
      <w:pPr>
        <w:pStyle w:val="Heading3"/>
      </w:pPr>
      <w:r w:rsidRPr="0047134A">
        <w:lastRenderedPageBreak/>
        <w:t>Did the diagnoses include acute quadriplegia or paraplegia?</w:t>
      </w:r>
      <w:r w:rsidR="00721499">
        <w:t xml:space="preserve"> </w:t>
      </w:r>
      <w:r w:rsidRPr="0047134A">
        <w:t xml:space="preserve">The role of the Principal </w:t>
      </w:r>
      <w:r w:rsidR="008D09FF">
        <w:t>d</w:t>
      </w:r>
      <w:r w:rsidR="008D09FF" w:rsidRPr="0047134A">
        <w:t xml:space="preserve">iagnosis </w:t>
      </w:r>
      <w:r w:rsidRPr="0047134A">
        <w:t>in AR-DRG development</w:t>
      </w:r>
    </w:p>
    <w:p w14:paraId="64C7D4EA" w14:textId="77777777" w:rsidR="005B5818" w:rsidRPr="0047134A" w:rsidRDefault="005B5818" w:rsidP="006056B9">
      <w:pPr>
        <w:rPr>
          <w:szCs w:val="24"/>
        </w:rPr>
      </w:pPr>
      <w:r w:rsidRPr="0047134A">
        <w:rPr>
          <w:szCs w:val="24"/>
        </w:rPr>
        <w:t>One of the overarching principles in the design of the AR-DRG classification is that its development needs to be undertaken with maximum regard to the clinical characteristics of the patient, and with minimum regard to who is providing the service or the setting in which it is provided.</w:t>
      </w:r>
      <w:r w:rsidR="00345851">
        <w:rPr>
          <w:szCs w:val="24"/>
        </w:rPr>
        <w:t xml:space="preserve"> </w:t>
      </w:r>
      <w:r w:rsidRPr="0047134A">
        <w:rPr>
          <w:szCs w:val="24"/>
        </w:rPr>
        <w:t xml:space="preserve">However, the driver in surgical DRG partitioning is not the </w:t>
      </w:r>
      <w:proofErr w:type="spellStart"/>
      <w:r w:rsidRPr="0047134A">
        <w:rPr>
          <w:szCs w:val="24"/>
        </w:rPr>
        <w:t>PDx</w:t>
      </w:r>
      <w:proofErr w:type="spellEnd"/>
      <w:r w:rsidRPr="0047134A">
        <w:rPr>
          <w:szCs w:val="24"/>
        </w:rPr>
        <w:t xml:space="preserve">, nor is the </w:t>
      </w:r>
      <w:proofErr w:type="spellStart"/>
      <w:r w:rsidRPr="0047134A">
        <w:rPr>
          <w:szCs w:val="24"/>
        </w:rPr>
        <w:t>PDx</w:t>
      </w:r>
      <w:proofErr w:type="spellEnd"/>
      <w:r w:rsidRPr="0047134A">
        <w:rPr>
          <w:szCs w:val="24"/>
        </w:rPr>
        <w:t xml:space="preserve"> generally considered part of the PCCL model. </w:t>
      </w:r>
    </w:p>
    <w:p w14:paraId="61400699" w14:textId="77777777" w:rsidR="005B5818" w:rsidRPr="0047134A" w:rsidRDefault="005B5818" w:rsidP="006056B9">
      <w:pPr>
        <w:rPr>
          <w:szCs w:val="24"/>
        </w:rPr>
      </w:pPr>
      <w:r w:rsidRPr="00424555">
        <w:rPr>
          <w:szCs w:val="24"/>
        </w:rPr>
        <w:t xml:space="preserve">With reference to </w:t>
      </w:r>
      <w:r w:rsidR="005559F5">
        <w:rPr>
          <w:szCs w:val="24"/>
        </w:rPr>
        <w:fldChar w:fldCharType="begin"/>
      </w:r>
      <w:r>
        <w:rPr>
          <w:szCs w:val="24"/>
        </w:rPr>
        <w:instrText xml:space="preserve"> REF _Ref392756305 \h </w:instrText>
      </w:r>
      <w:r w:rsidR="005559F5">
        <w:rPr>
          <w:szCs w:val="24"/>
        </w:rPr>
      </w:r>
      <w:r w:rsidR="005559F5">
        <w:rPr>
          <w:szCs w:val="24"/>
        </w:rPr>
        <w:fldChar w:fldCharType="separate"/>
      </w:r>
      <w:r w:rsidR="0031717B">
        <w:t xml:space="preserve">Figure </w:t>
      </w:r>
      <w:r w:rsidR="0031717B">
        <w:rPr>
          <w:noProof/>
        </w:rPr>
        <w:t>19</w:t>
      </w:r>
      <w:r w:rsidR="005559F5">
        <w:rPr>
          <w:szCs w:val="24"/>
        </w:rPr>
        <w:fldChar w:fldCharType="end"/>
      </w:r>
      <w:r>
        <w:rPr>
          <w:szCs w:val="24"/>
        </w:rPr>
        <w:t xml:space="preserve"> </w:t>
      </w:r>
      <w:r w:rsidRPr="00424555">
        <w:rPr>
          <w:szCs w:val="24"/>
        </w:rPr>
        <w:t>above</w:t>
      </w:r>
      <w:r w:rsidRPr="0047134A">
        <w:rPr>
          <w:szCs w:val="24"/>
        </w:rPr>
        <w:t xml:space="preserve">, there are differences in the role of the </w:t>
      </w:r>
      <w:proofErr w:type="spellStart"/>
      <w:r w:rsidRPr="0047134A">
        <w:rPr>
          <w:szCs w:val="24"/>
        </w:rPr>
        <w:t>PDx</w:t>
      </w:r>
      <w:proofErr w:type="spellEnd"/>
      <w:r w:rsidRPr="0047134A">
        <w:rPr>
          <w:szCs w:val="24"/>
        </w:rPr>
        <w:t xml:space="preserve"> in medical, other and surgical ADRGs. One of the first steps in the grouping process following MDC processing (including pre-MDC processing) is the determination of whether an episode of care has had a significant </w:t>
      </w:r>
      <w:r w:rsidR="000F1942">
        <w:rPr>
          <w:szCs w:val="24"/>
        </w:rPr>
        <w:t>OR</w:t>
      </w:r>
      <w:r w:rsidRPr="0047134A">
        <w:rPr>
          <w:szCs w:val="24"/>
        </w:rPr>
        <w:t xml:space="preserve"> procedure. The following definitions of OR and </w:t>
      </w:r>
      <w:proofErr w:type="spellStart"/>
      <w:r w:rsidRPr="0047134A">
        <w:rPr>
          <w:szCs w:val="24"/>
        </w:rPr>
        <w:t>NonOR</w:t>
      </w:r>
      <w:proofErr w:type="spellEnd"/>
      <w:r w:rsidRPr="0047134A">
        <w:rPr>
          <w:szCs w:val="24"/>
        </w:rPr>
        <w:t xml:space="preserve"> procedures only relate to their use within AR-DRGs and should not be considered true clinical definitions:</w:t>
      </w:r>
    </w:p>
    <w:p w14:paraId="704A0381" w14:textId="77777777" w:rsidR="005B5818" w:rsidRPr="0047134A" w:rsidRDefault="005B5818" w:rsidP="006056B9">
      <w:pPr>
        <w:numPr>
          <w:ilvl w:val="0"/>
          <w:numId w:val="15"/>
        </w:numPr>
        <w:contextualSpacing/>
        <w:rPr>
          <w:szCs w:val="24"/>
          <w:lang w:val="en-AU"/>
        </w:rPr>
      </w:pPr>
      <w:r w:rsidRPr="0047134A">
        <w:rPr>
          <w:b/>
          <w:szCs w:val="24"/>
          <w:lang w:val="en-AU"/>
        </w:rPr>
        <w:t>Operating room (OR) procedures</w:t>
      </w:r>
      <w:r w:rsidRPr="0047134A">
        <w:rPr>
          <w:szCs w:val="24"/>
          <w:lang w:val="en-AU"/>
        </w:rPr>
        <w:t xml:space="preserve"> are considered significant for all MDCs in AR-DRG </w:t>
      </w:r>
      <w:r>
        <w:rPr>
          <w:szCs w:val="24"/>
          <w:lang w:val="en-AU"/>
        </w:rPr>
        <w:t>V</w:t>
      </w:r>
      <w:r w:rsidRPr="0047134A">
        <w:rPr>
          <w:szCs w:val="24"/>
          <w:lang w:val="en-AU"/>
        </w:rPr>
        <w:t xml:space="preserve">7.0. If an OR procedure is not related to the MDC that the episode is assigned to, it will be grouped to one of the unrelated OR DRGs 801A, 801B and 801C. </w:t>
      </w:r>
    </w:p>
    <w:p w14:paraId="62756997" w14:textId="77777777" w:rsidR="005B5818" w:rsidRPr="006508FA" w:rsidRDefault="005B5818" w:rsidP="006056B9">
      <w:pPr>
        <w:numPr>
          <w:ilvl w:val="0"/>
          <w:numId w:val="15"/>
        </w:numPr>
        <w:contextualSpacing/>
        <w:rPr>
          <w:szCs w:val="24"/>
          <w:lang w:val="en-AU"/>
        </w:rPr>
      </w:pPr>
      <w:r w:rsidRPr="0047134A">
        <w:rPr>
          <w:b/>
          <w:szCs w:val="24"/>
          <w:lang w:val="en-AU"/>
        </w:rPr>
        <w:t>Non-operating room (</w:t>
      </w:r>
      <w:proofErr w:type="spellStart"/>
      <w:r w:rsidRPr="0047134A">
        <w:rPr>
          <w:b/>
          <w:szCs w:val="24"/>
          <w:lang w:val="en-AU"/>
        </w:rPr>
        <w:t>NonOR</w:t>
      </w:r>
      <w:proofErr w:type="spellEnd"/>
      <w:r w:rsidRPr="0047134A">
        <w:rPr>
          <w:b/>
          <w:szCs w:val="24"/>
          <w:lang w:val="en-AU"/>
        </w:rPr>
        <w:t>) procedures</w:t>
      </w:r>
      <w:r w:rsidRPr="0047134A">
        <w:rPr>
          <w:szCs w:val="24"/>
          <w:lang w:val="en-AU"/>
        </w:rPr>
        <w:t xml:space="preserve"> are considered significant by the classification for only some MDCs.</w:t>
      </w:r>
      <w:r w:rsidR="00345851">
        <w:rPr>
          <w:szCs w:val="24"/>
          <w:lang w:val="en-AU"/>
        </w:rPr>
        <w:t xml:space="preserve"> </w:t>
      </w:r>
      <w:r w:rsidRPr="0047134A">
        <w:rPr>
          <w:szCs w:val="24"/>
          <w:lang w:val="en-AU"/>
        </w:rPr>
        <w:t xml:space="preserve">If a </w:t>
      </w:r>
      <w:proofErr w:type="spellStart"/>
      <w:r w:rsidRPr="0047134A">
        <w:rPr>
          <w:szCs w:val="24"/>
          <w:lang w:val="en-AU"/>
        </w:rPr>
        <w:t>NonOR</w:t>
      </w:r>
      <w:proofErr w:type="spellEnd"/>
      <w:r w:rsidRPr="0047134A">
        <w:rPr>
          <w:szCs w:val="24"/>
          <w:lang w:val="en-AU"/>
        </w:rPr>
        <w:t xml:space="preserve"> procedure is not significant in an MDC, and there is no OR procedure present, the episode will be grouped to a medical DRG. Procedures identified as </w:t>
      </w:r>
      <w:proofErr w:type="spellStart"/>
      <w:r w:rsidRPr="0047134A">
        <w:rPr>
          <w:szCs w:val="24"/>
          <w:lang w:val="en-AU"/>
        </w:rPr>
        <w:t>NonOR</w:t>
      </w:r>
      <w:proofErr w:type="spellEnd"/>
      <w:r w:rsidRPr="0047134A">
        <w:rPr>
          <w:szCs w:val="24"/>
          <w:lang w:val="en-AU"/>
        </w:rPr>
        <w:t xml:space="preserve"> for purposes of AR-DRG </w:t>
      </w:r>
      <w:r>
        <w:rPr>
          <w:szCs w:val="24"/>
          <w:lang w:val="en-AU"/>
        </w:rPr>
        <w:t>V</w:t>
      </w:r>
      <w:r w:rsidRPr="0047134A">
        <w:rPr>
          <w:szCs w:val="24"/>
          <w:lang w:val="en-AU"/>
        </w:rPr>
        <w:t>7.0 may actually take place in operating rooms.</w:t>
      </w:r>
    </w:p>
    <w:p w14:paraId="4D60BE44" w14:textId="77777777" w:rsidR="005B5818" w:rsidRPr="008A0C3B" w:rsidRDefault="005B5818" w:rsidP="006056B9">
      <w:pPr>
        <w:spacing w:before="240"/>
        <w:rPr>
          <w:szCs w:val="24"/>
        </w:rPr>
      </w:pPr>
      <w:r w:rsidRPr="0047134A">
        <w:rPr>
          <w:szCs w:val="24"/>
        </w:rPr>
        <w:t xml:space="preserve">Acute admitted episodes falling into surgical ADRGs are grouped according to the type of surgery, (e.g. major, minor, other or unrelated to the </w:t>
      </w:r>
      <w:proofErr w:type="spellStart"/>
      <w:r w:rsidRPr="0047134A">
        <w:rPr>
          <w:szCs w:val="24"/>
        </w:rPr>
        <w:t>PDx</w:t>
      </w:r>
      <w:proofErr w:type="spellEnd"/>
      <w:r w:rsidRPr="0047134A">
        <w:rPr>
          <w:szCs w:val="24"/>
        </w:rPr>
        <w:t xml:space="preserve">). Given that surgery is the driver of ADRG assignment, the </w:t>
      </w:r>
      <w:proofErr w:type="spellStart"/>
      <w:r w:rsidRPr="0047134A">
        <w:rPr>
          <w:szCs w:val="24"/>
        </w:rPr>
        <w:t>PDx</w:t>
      </w:r>
      <w:proofErr w:type="spellEnd"/>
      <w:r w:rsidRPr="0047134A">
        <w:rPr>
          <w:szCs w:val="24"/>
        </w:rPr>
        <w:t xml:space="preserve"> information is not directly used in classifying surgical ADRGs. However, it is important to note that all diagnoses, no matter where in the sequence (</w:t>
      </w:r>
      <w:proofErr w:type="spellStart"/>
      <w:r w:rsidRPr="0047134A">
        <w:rPr>
          <w:szCs w:val="24"/>
        </w:rPr>
        <w:t>PDx</w:t>
      </w:r>
      <w:proofErr w:type="spellEnd"/>
      <w:r w:rsidRPr="0047134A">
        <w:rPr>
          <w:szCs w:val="24"/>
        </w:rPr>
        <w:t xml:space="preserve"> or </w:t>
      </w:r>
      <w:proofErr w:type="spellStart"/>
      <w:r>
        <w:rPr>
          <w:szCs w:val="24"/>
        </w:rPr>
        <w:t>ADx</w:t>
      </w:r>
      <w:proofErr w:type="spellEnd"/>
      <w:r w:rsidRPr="0047134A">
        <w:rPr>
          <w:szCs w:val="24"/>
        </w:rPr>
        <w:t>) do have an impact on resource consumption within each ADRG as suggested by empirical data.</w:t>
      </w:r>
      <w:r>
        <w:rPr>
          <w:szCs w:val="24"/>
        </w:rPr>
        <w:t xml:space="preserve"> </w:t>
      </w:r>
      <w:r w:rsidRPr="008A0C3B">
        <w:rPr>
          <w:szCs w:val="24"/>
        </w:rPr>
        <w:t xml:space="preserve">For </w:t>
      </w:r>
      <w:r>
        <w:rPr>
          <w:szCs w:val="24"/>
        </w:rPr>
        <w:t>surgical</w:t>
      </w:r>
      <w:r w:rsidRPr="008A0C3B">
        <w:rPr>
          <w:szCs w:val="24"/>
        </w:rPr>
        <w:t xml:space="preserve"> DRGs</w:t>
      </w:r>
      <w:r>
        <w:rPr>
          <w:szCs w:val="24"/>
        </w:rPr>
        <w:t>,</w:t>
      </w:r>
      <w:r w:rsidRPr="008A0C3B">
        <w:rPr>
          <w:szCs w:val="24"/>
        </w:rPr>
        <w:t xml:space="preserve"> including the </w:t>
      </w:r>
      <w:proofErr w:type="spellStart"/>
      <w:r w:rsidRPr="008A0C3B">
        <w:rPr>
          <w:szCs w:val="24"/>
        </w:rPr>
        <w:t>PDx</w:t>
      </w:r>
      <w:proofErr w:type="spellEnd"/>
      <w:r w:rsidRPr="008A0C3B">
        <w:rPr>
          <w:szCs w:val="24"/>
        </w:rPr>
        <w:t xml:space="preserve"> information in the complexity calculation allows true cost differences associated with different </w:t>
      </w:r>
      <w:proofErr w:type="spellStart"/>
      <w:r w:rsidRPr="008A0C3B">
        <w:rPr>
          <w:szCs w:val="24"/>
        </w:rPr>
        <w:t>PDx</w:t>
      </w:r>
      <w:proofErr w:type="spellEnd"/>
      <w:r w:rsidRPr="008A0C3B">
        <w:rPr>
          <w:szCs w:val="24"/>
        </w:rPr>
        <w:t xml:space="preserve"> to be captured in the DRG design.</w:t>
      </w:r>
    </w:p>
    <w:p w14:paraId="13700C93" w14:textId="77777777" w:rsidR="005B5818" w:rsidRDefault="005B5818" w:rsidP="006056B9">
      <w:pPr>
        <w:rPr>
          <w:szCs w:val="24"/>
        </w:rPr>
      </w:pPr>
      <w:r w:rsidRPr="0047134A">
        <w:rPr>
          <w:szCs w:val="24"/>
        </w:rPr>
        <w:lastRenderedPageBreak/>
        <w:t xml:space="preserve">One could argue that the </w:t>
      </w:r>
      <w:proofErr w:type="spellStart"/>
      <w:r w:rsidRPr="0047134A">
        <w:rPr>
          <w:szCs w:val="24"/>
        </w:rPr>
        <w:t>PDx</w:t>
      </w:r>
      <w:proofErr w:type="spellEnd"/>
      <w:r w:rsidRPr="0047134A">
        <w:rPr>
          <w:szCs w:val="24"/>
        </w:rPr>
        <w:t xml:space="preserve">, specifically in medical ADRGs already has a designated role in driving the episode into a particular ADRG. However the </w:t>
      </w:r>
      <w:proofErr w:type="spellStart"/>
      <w:r w:rsidRPr="0047134A">
        <w:rPr>
          <w:szCs w:val="24"/>
        </w:rPr>
        <w:t>PDx</w:t>
      </w:r>
      <w:proofErr w:type="spellEnd"/>
      <w:r w:rsidRPr="0047134A">
        <w:rPr>
          <w:szCs w:val="24"/>
        </w:rPr>
        <w:t xml:space="preserve"> in the current AR-DRG classification’s CC system </w:t>
      </w:r>
      <w:r w:rsidRPr="005A0ED9">
        <w:rPr>
          <w:szCs w:val="24"/>
        </w:rPr>
        <w:t xml:space="preserve">allocates the episode to an ADRG but </w:t>
      </w:r>
      <w:r w:rsidRPr="0047134A">
        <w:rPr>
          <w:szCs w:val="24"/>
        </w:rPr>
        <w:t xml:space="preserve">generally does not contribute </w:t>
      </w:r>
      <w:r>
        <w:rPr>
          <w:szCs w:val="24"/>
        </w:rPr>
        <w:t xml:space="preserve">to the measurement of </w:t>
      </w:r>
      <w:r w:rsidRPr="0047134A">
        <w:rPr>
          <w:szCs w:val="24"/>
        </w:rPr>
        <w:t>complexity</w:t>
      </w:r>
      <w:r>
        <w:rPr>
          <w:szCs w:val="24"/>
        </w:rPr>
        <w:t xml:space="preserve">; so all </w:t>
      </w:r>
      <w:proofErr w:type="spellStart"/>
      <w:r>
        <w:rPr>
          <w:szCs w:val="24"/>
        </w:rPr>
        <w:t>PDxs</w:t>
      </w:r>
      <w:proofErr w:type="spellEnd"/>
      <w:r>
        <w:rPr>
          <w:szCs w:val="24"/>
        </w:rPr>
        <w:t xml:space="preserve"> within an ADRG are in effect treated as equally complex</w:t>
      </w:r>
      <w:r w:rsidRPr="0047134A">
        <w:rPr>
          <w:szCs w:val="24"/>
        </w:rPr>
        <w:t xml:space="preserve">. </w:t>
      </w:r>
    </w:p>
    <w:p w14:paraId="4C9F1D06" w14:textId="77777777" w:rsidR="00F21D97" w:rsidRDefault="005B5818" w:rsidP="00F21D97">
      <w:pPr>
        <w:rPr>
          <w:szCs w:val="24"/>
        </w:rPr>
      </w:pPr>
      <w:r>
        <w:rPr>
          <w:szCs w:val="24"/>
        </w:rPr>
        <w:t xml:space="preserve">In the current system, </w:t>
      </w:r>
      <w:r w:rsidRPr="00CF362E">
        <w:rPr>
          <w:szCs w:val="24"/>
        </w:rPr>
        <w:t xml:space="preserve">many DRGs have multiple </w:t>
      </w:r>
      <w:r w:rsidR="000A2684">
        <w:rPr>
          <w:szCs w:val="24"/>
        </w:rPr>
        <w:t>principal diagnoses</w:t>
      </w:r>
      <w:r w:rsidRPr="00CF362E">
        <w:rPr>
          <w:szCs w:val="24"/>
        </w:rPr>
        <w:t xml:space="preserve">, often with different </w:t>
      </w:r>
      <w:r>
        <w:rPr>
          <w:szCs w:val="24"/>
        </w:rPr>
        <w:t xml:space="preserve">associated </w:t>
      </w:r>
      <w:r w:rsidRPr="00CF362E">
        <w:rPr>
          <w:szCs w:val="24"/>
        </w:rPr>
        <w:t>cost</w:t>
      </w:r>
      <w:r>
        <w:rPr>
          <w:szCs w:val="24"/>
        </w:rPr>
        <w:t>s</w:t>
      </w:r>
      <w:r w:rsidRPr="00CF362E">
        <w:rPr>
          <w:szCs w:val="24"/>
        </w:rPr>
        <w:t xml:space="preserve"> but with insufficient volumes to warrant splitting the DRG.</w:t>
      </w:r>
      <w:r w:rsidR="00345851">
        <w:rPr>
          <w:szCs w:val="24"/>
        </w:rPr>
        <w:t xml:space="preserve"> </w:t>
      </w:r>
      <w:r w:rsidRPr="00CF362E">
        <w:rPr>
          <w:szCs w:val="24"/>
        </w:rPr>
        <w:t xml:space="preserve">Including the </w:t>
      </w:r>
      <w:proofErr w:type="spellStart"/>
      <w:r w:rsidRPr="00CF362E">
        <w:rPr>
          <w:szCs w:val="24"/>
        </w:rPr>
        <w:t>PDx</w:t>
      </w:r>
      <w:proofErr w:type="spellEnd"/>
      <w:r w:rsidRPr="00CF362E">
        <w:rPr>
          <w:szCs w:val="24"/>
        </w:rPr>
        <w:t xml:space="preserve"> in complexity calculations overcomes this issue</w:t>
      </w:r>
      <w:r>
        <w:rPr>
          <w:szCs w:val="24"/>
        </w:rPr>
        <w:t xml:space="preserve">. Moreover, </w:t>
      </w:r>
      <w:r w:rsidR="00DF456D">
        <w:rPr>
          <w:szCs w:val="24"/>
        </w:rPr>
        <w:t xml:space="preserve">the current system </w:t>
      </w:r>
      <w:r w:rsidRPr="0047134A">
        <w:rPr>
          <w:szCs w:val="24"/>
        </w:rPr>
        <w:t xml:space="preserve">does not </w:t>
      </w:r>
      <w:proofErr w:type="spellStart"/>
      <w:r w:rsidRPr="0047134A">
        <w:rPr>
          <w:szCs w:val="24"/>
        </w:rPr>
        <w:t>recognise</w:t>
      </w:r>
      <w:proofErr w:type="spellEnd"/>
      <w:r w:rsidRPr="0047134A">
        <w:rPr>
          <w:szCs w:val="24"/>
        </w:rPr>
        <w:t xml:space="preserve"> all disease information contained in many </w:t>
      </w:r>
      <w:r w:rsidR="000A2684">
        <w:rPr>
          <w:szCs w:val="24"/>
        </w:rPr>
        <w:t>principal diagnoses</w:t>
      </w:r>
      <w:r w:rsidRPr="0047134A">
        <w:rPr>
          <w:szCs w:val="24"/>
        </w:rPr>
        <w:t xml:space="preserve"> codes. For example, the underlying classification (ICD-10-AM) contains many pre-coordinated codes (i.e. many codes contain more than one clinical concept). This means that one or more of these concepts </w:t>
      </w:r>
      <w:r w:rsidR="00BE3BEA">
        <w:rPr>
          <w:szCs w:val="24"/>
        </w:rPr>
        <w:t xml:space="preserve">(e.g. underlying cause, manifestation(s)) </w:t>
      </w:r>
      <w:r w:rsidRPr="0047134A">
        <w:rPr>
          <w:szCs w:val="24"/>
        </w:rPr>
        <w:t xml:space="preserve">in a pre-coordinated </w:t>
      </w:r>
      <w:proofErr w:type="spellStart"/>
      <w:r w:rsidRPr="0047134A">
        <w:rPr>
          <w:szCs w:val="24"/>
        </w:rPr>
        <w:t>PDx</w:t>
      </w:r>
      <w:proofErr w:type="spellEnd"/>
      <w:r w:rsidRPr="0047134A">
        <w:rPr>
          <w:szCs w:val="24"/>
        </w:rPr>
        <w:t xml:space="preserve"> could be a contributor to cost but not considered in episode clinical complexity. </w:t>
      </w:r>
      <w:r w:rsidR="00F21D97">
        <w:rPr>
          <w:szCs w:val="24"/>
        </w:rPr>
        <w:t xml:space="preserve">See </w:t>
      </w:r>
      <w:r w:rsidR="00F21D97">
        <w:rPr>
          <w:szCs w:val="24"/>
        </w:rPr>
        <w:fldChar w:fldCharType="begin"/>
      </w:r>
      <w:r w:rsidR="00F21D97">
        <w:rPr>
          <w:szCs w:val="24"/>
        </w:rPr>
        <w:instrText xml:space="preserve"> REF _Ref397089212 \h </w:instrText>
      </w:r>
      <w:r w:rsidR="00F21D97">
        <w:rPr>
          <w:szCs w:val="24"/>
        </w:rPr>
      </w:r>
      <w:r w:rsidR="00F21D97">
        <w:rPr>
          <w:szCs w:val="24"/>
        </w:rPr>
        <w:fldChar w:fldCharType="separate"/>
      </w:r>
      <w:r w:rsidR="0031717B">
        <w:t xml:space="preserve">Table </w:t>
      </w:r>
      <w:r w:rsidR="0031717B">
        <w:rPr>
          <w:noProof/>
        </w:rPr>
        <w:t>9</w:t>
      </w:r>
      <w:r w:rsidR="00F21D97">
        <w:rPr>
          <w:szCs w:val="24"/>
        </w:rPr>
        <w:fldChar w:fldCharType="end"/>
      </w:r>
      <w:r w:rsidR="00F21D97">
        <w:rPr>
          <w:szCs w:val="24"/>
        </w:rPr>
        <w:t xml:space="preserve"> below for </w:t>
      </w:r>
      <w:r w:rsidRPr="0047134A">
        <w:rPr>
          <w:szCs w:val="24"/>
        </w:rPr>
        <w:t>exampl</w:t>
      </w:r>
      <w:r w:rsidR="00F21D97">
        <w:rPr>
          <w:szCs w:val="24"/>
        </w:rPr>
        <w:t>es.</w:t>
      </w:r>
    </w:p>
    <w:p w14:paraId="0F293CCF" w14:textId="77777777" w:rsidR="00F21D97" w:rsidRDefault="00F21D97" w:rsidP="00F21D97">
      <w:pPr>
        <w:rPr>
          <w:szCs w:val="24"/>
        </w:rPr>
      </w:pPr>
      <w:r w:rsidRPr="0047134A">
        <w:rPr>
          <w:szCs w:val="24"/>
        </w:rPr>
        <w:t xml:space="preserve">In short, the current CC system discards </w:t>
      </w:r>
      <w:proofErr w:type="spellStart"/>
      <w:r w:rsidRPr="0047134A">
        <w:rPr>
          <w:szCs w:val="24"/>
        </w:rPr>
        <w:t>PDx</w:t>
      </w:r>
      <w:proofErr w:type="spellEnd"/>
      <w:r w:rsidRPr="0047134A">
        <w:rPr>
          <w:szCs w:val="24"/>
        </w:rPr>
        <w:t xml:space="preserve"> information once the ADRG is determined. This results in lost information which can have an impact on cost variation within an ADRG. The next section quantifies this variation.</w:t>
      </w:r>
    </w:p>
    <w:p w14:paraId="3C0E8B92" w14:textId="77777777" w:rsidR="00F21D97" w:rsidRDefault="00F21D97" w:rsidP="000E4FA5">
      <w:pPr>
        <w:pStyle w:val="Caption"/>
      </w:pPr>
      <w:bookmarkStart w:id="106" w:name="_Ref397089212"/>
      <w:bookmarkStart w:id="107" w:name="_Toc401061096"/>
      <w:r>
        <w:lastRenderedPageBreak/>
        <w:t xml:space="preserve">Table </w:t>
      </w:r>
      <w:r>
        <w:fldChar w:fldCharType="begin"/>
      </w:r>
      <w:r>
        <w:instrText xml:space="preserve"> SEQ Table \* ARABIC </w:instrText>
      </w:r>
      <w:r>
        <w:fldChar w:fldCharType="separate"/>
      </w:r>
      <w:r w:rsidR="0031717B">
        <w:rPr>
          <w:noProof/>
        </w:rPr>
        <w:t>9</w:t>
      </w:r>
      <w:r>
        <w:fldChar w:fldCharType="end"/>
      </w:r>
      <w:bookmarkEnd w:id="106"/>
      <w:r>
        <w:t>: Examples of patient diagnoses within pre-coordinated codes with multiple clinical concepts</w:t>
      </w:r>
      <w:r w:rsidR="000E4FA5">
        <w:t>.</w:t>
      </w:r>
      <w:bookmarkEnd w:id="107"/>
    </w:p>
    <w:tbl>
      <w:tblPr>
        <w:tblStyle w:val="Style1"/>
        <w:tblW w:w="8970" w:type="dxa"/>
        <w:tblLook w:val="0460" w:firstRow="1" w:lastRow="1" w:firstColumn="0" w:lastColumn="0" w:noHBand="0" w:noVBand="1"/>
        <w:tblCaption w:val="Examples of patient diagnoses within pre-coordinated codes with multiple clinical concepts"/>
        <w:tblDescription w:val="The table has three columns: the first lists the pre-coordinated code; the second describes the patient diagnosis for each code; and the third indicates the number of clinical concepts within the diagnosis."/>
      </w:tblPr>
      <w:tblGrid>
        <w:gridCol w:w="1838"/>
        <w:gridCol w:w="5245"/>
        <w:gridCol w:w="1887"/>
      </w:tblGrid>
      <w:tr w:rsidR="00F21D97" w:rsidRPr="00CE6761" w14:paraId="057DA0E3" w14:textId="77777777" w:rsidTr="00E6363D">
        <w:trPr>
          <w:cnfStyle w:val="100000000000" w:firstRow="1" w:lastRow="0" w:firstColumn="0" w:lastColumn="0" w:oddVBand="0" w:evenVBand="0" w:oddHBand="0" w:evenHBand="0" w:firstRowFirstColumn="0" w:firstRowLastColumn="0" w:lastRowFirstColumn="0" w:lastRowLastColumn="0"/>
          <w:trHeight w:val="870"/>
          <w:tblHeader/>
        </w:trPr>
        <w:tc>
          <w:tcPr>
            <w:tcW w:w="1838" w:type="dxa"/>
            <w:hideMark/>
          </w:tcPr>
          <w:p w14:paraId="150D26A0" w14:textId="77777777" w:rsidR="00CE6761" w:rsidRPr="00CE6761" w:rsidRDefault="00CE6761">
            <w:pPr>
              <w:pStyle w:val="Table"/>
            </w:pPr>
            <w:r>
              <w:t>P</w:t>
            </w:r>
            <w:r w:rsidRPr="00CE6761">
              <w:t>re-coordinated code</w:t>
            </w:r>
          </w:p>
        </w:tc>
        <w:tc>
          <w:tcPr>
            <w:tcW w:w="5245" w:type="dxa"/>
            <w:hideMark/>
          </w:tcPr>
          <w:p w14:paraId="348F7FA6" w14:textId="77777777" w:rsidR="00CE6761" w:rsidRPr="00CE6761" w:rsidRDefault="00CE6761">
            <w:pPr>
              <w:pStyle w:val="Table"/>
            </w:pPr>
            <w:r w:rsidRPr="00CE6761">
              <w:t>Patient diagnosis</w:t>
            </w:r>
          </w:p>
        </w:tc>
        <w:tc>
          <w:tcPr>
            <w:tcW w:w="1887" w:type="dxa"/>
            <w:hideMark/>
          </w:tcPr>
          <w:p w14:paraId="0020CDA3" w14:textId="77777777" w:rsidR="00CE6761" w:rsidRPr="00CE6761" w:rsidRDefault="00CE6761">
            <w:pPr>
              <w:pStyle w:val="Table"/>
            </w:pPr>
            <w:r w:rsidRPr="00CE6761">
              <w:t>Number of clinical concepts</w:t>
            </w:r>
          </w:p>
        </w:tc>
      </w:tr>
      <w:tr w:rsidR="00F21D97" w:rsidRPr="00CE6761" w14:paraId="67C93BB8" w14:textId="77777777" w:rsidTr="00721499">
        <w:trPr>
          <w:trHeight w:val="310"/>
        </w:trPr>
        <w:tc>
          <w:tcPr>
            <w:tcW w:w="1838" w:type="dxa"/>
            <w:noWrap/>
            <w:hideMark/>
          </w:tcPr>
          <w:p w14:paraId="3F91E08F" w14:textId="77777777" w:rsidR="00CE6761" w:rsidRPr="00CE6761" w:rsidRDefault="00CE6761" w:rsidP="002F7E33">
            <w:pPr>
              <w:pStyle w:val="Table"/>
              <w:keepNext/>
              <w:rPr>
                <w:szCs w:val="24"/>
              </w:rPr>
            </w:pPr>
            <w:r w:rsidRPr="00CE6761">
              <w:rPr>
                <w:szCs w:val="24"/>
              </w:rPr>
              <w:t>E50.3</w:t>
            </w:r>
            <w:r w:rsidRPr="00CE6761">
              <w:rPr>
                <w:i/>
                <w:iCs/>
                <w:szCs w:val="24"/>
              </w:rPr>
              <w:t xml:space="preserve"> </w:t>
            </w:r>
          </w:p>
        </w:tc>
        <w:tc>
          <w:tcPr>
            <w:tcW w:w="5245" w:type="dxa"/>
            <w:noWrap/>
            <w:hideMark/>
          </w:tcPr>
          <w:p w14:paraId="5A60A9B9" w14:textId="77777777" w:rsidR="00CE6761" w:rsidRPr="00721499" w:rsidRDefault="00CE6761" w:rsidP="002F7E33">
            <w:pPr>
              <w:pStyle w:val="Table"/>
              <w:keepNext/>
              <w:rPr>
                <w:iCs/>
                <w:szCs w:val="24"/>
              </w:rPr>
            </w:pPr>
            <w:r w:rsidRPr="00721499">
              <w:rPr>
                <w:iCs/>
                <w:szCs w:val="24"/>
              </w:rPr>
              <w:t>Vitamin A deficiency with corneal ulceration and xerosis</w:t>
            </w:r>
          </w:p>
        </w:tc>
        <w:tc>
          <w:tcPr>
            <w:tcW w:w="1887" w:type="dxa"/>
            <w:noWrap/>
            <w:hideMark/>
          </w:tcPr>
          <w:p w14:paraId="495BF4C0" w14:textId="77777777" w:rsidR="00CE6761" w:rsidRPr="00CE6761" w:rsidRDefault="00CE6761">
            <w:pPr>
              <w:pStyle w:val="TableNumber"/>
            </w:pPr>
            <w:r w:rsidRPr="00CE6761">
              <w:t>3</w:t>
            </w:r>
          </w:p>
        </w:tc>
      </w:tr>
      <w:tr w:rsidR="00F21D97" w:rsidRPr="00CE6761" w14:paraId="043DE83C" w14:textId="77777777" w:rsidTr="00721499">
        <w:trPr>
          <w:trHeight w:val="310"/>
        </w:trPr>
        <w:tc>
          <w:tcPr>
            <w:tcW w:w="1838" w:type="dxa"/>
            <w:noWrap/>
            <w:hideMark/>
          </w:tcPr>
          <w:p w14:paraId="2E04F71C" w14:textId="77777777" w:rsidR="00CE6761" w:rsidRPr="00CE6761" w:rsidRDefault="00CE6761" w:rsidP="002F7E33">
            <w:pPr>
              <w:pStyle w:val="Table"/>
              <w:keepNext/>
              <w:rPr>
                <w:szCs w:val="24"/>
              </w:rPr>
            </w:pPr>
            <w:r w:rsidRPr="00CE6761">
              <w:rPr>
                <w:szCs w:val="24"/>
              </w:rPr>
              <w:t>G06.0</w:t>
            </w:r>
          </w:p>
        </w:tc>
        <w:tc>
          <w:tcPr>
            <w:tcW w:w="5245" w:type="dxa"/>
            <w:noWrap/>
            <w:hideMark/>
          </w:tcPr>
          <w:p w14:paraId="0F88AAEB" w14:textId="77777777" w:rsidR="00CE6761" w:rsidRPr="00721499" w:rsidRDefault="00CE6761" w:rsidP="002F7E33">
            <w:pPr>
              <w:pStyle w:val="Table"/>
              <w:keepNext/>
              <w:rPr>
                <w:iCs/>
                <w:szCs w:val="24"/>
              </w:rPr>
            </w:pPr>
            <w:r w:rsidRPr="00721499">
              <w:rPr>
                <w:iCs/>
                <w:szCs w:val="24"/>
              </w:rPr>
              <w:t>Int</w:t>
            </w:r>
            <w:r w:rsidR="00F21D97" w:rsidRPr="00F21D97">
              <w:rPr>
                <w:iCs/>
                <w:szCs w:val="24"/>
              </w:rPr>
              <w:t>racranial abscess and granuloma</w:t>
            </w:r>
          </w:p>
        </w:tc>
        <w:tc>
          <w:tcPr>
            <w:tcW w:w="1887" w:type="dxa"/>
            <w:noWrap/>
            <w:hideMark/>
          </w:tcPr>
          <w:p w14:paraId="0911A043" w14:textId="77777777" w:rsidR="00CE6761" w:rsidRPr="00CE6761" w:rsidRDefault="00CE6761">
            <w:pPr>
              <w:pStyle w:val="TableNumber"/>
            </w:pPr>
            <w:r w:rsidRPr="00CE6761">
              <w:t>2</w:t>
            </w:r>
          </w:p>
        </w:tc>
      </w:tr>
      <w:tr w:rsidR="00F21D97" w:rsidRPr="00CE6761" w14:paraId="4F0A6D9E" w14:textId="77777777" w:rsidTr="00721499">
        <w:trPr>
          <w:trHeight w:val="310"/>
        </w:trPr>
        <w:tc>
          <w:tcPr>
            <w:tcW w:w="1838" w:type="dxa"/>
            <w:noWrap/>
            <w:hideMark/>
          </w:tcPr>
          <w:p w14:paraId="5602FA9F" w14:textId="77777777" w:rsidR="00CE6761" w:rsidRPr="00CE6761" w:rsidRDefault="00CE6761" w:rsidP="002F7E33">
            <w:pPr>
              <w:pStyle w:val="Table"/>
              <w:keepNext/>
              <w:rPr>
                <w:szCs w:val="24"/>
              </w:rPr>
            </w:pPr>
            <w:r w:rsidRPr="00CE6761">
              <w:rPr>
                <w:szCs w:val="24"/>
              </w:rPr>
              <w:t>I11.0</w:t>
            </w:r>
          </w:p>
        </w:tc>
        <w:tc>
          <w:tcPr>
            <w:tcW w:w="5245" w:type="dxa"/>
            <w:noWrap/>
            <w:hideMark/>
          </w:tcPr>
          <w:p w14:paraId="4B5581C6" w14:textId="77777777" w:rsidR="00CE6761" w:rsidRPr="00721499" w:rsidRDefault="00CE6761" w:rsidP="002F7E33">
            <w:pPr>
              <w:pStyle w:val="Table"/>
              <w:keepNext/>
              <w:rPr>
                <w:iCs/>
                <w:szCs w:val="24"/>
              </w:rPr>
            </w:pPr>
            <w:r w:rsidRPr="00721499">
              <w:rPr>
                <w:iCs/>
                <w:szCs w:val="24"/>
              </w:rPr>
              <w:t>Hypertensive heart disease with (congestive) heart failure</w:t>
            </w:r>
          </w:p>
        </w:tc>
        <w:tc>
          <w:tcPr>
            <w:tcW w:w="1887" w:type="dxa"/>
            <w:noWrap/>
            <w:hideMark/>
          </w:tcPr>
          <w:p w14:paraId="2A6064DE" w14:textId="77777777" w:rsidR="00CE6761" w:rsidRPr="00CE6761" w:rsidRDefault="00CE6761">
            <w:pPr>
              <w:pStyle w:val="TableNumber"/>
            </w:pPr>
            <w:r w:rsidRPr="00CE6761">
              <w:t>3</w:t>
            </w:r>
          </w:p>
        </w:tc>
      </w:tr>
      <w:tr w:rsidR="00F21D97" w:rsidRPr="00CE6761" w14:paraId="733562D6" w14:textId="77777777" w:rsidTr="00721499">
        <w:trPr>
          <w:trHeight w:val="310"/>
        </w:trPr>
        <w:tc>
          <w:tcPr>
            <w:tcW w:w="1838" w:type="dxa"/>
            <w:noWrap/>
            <w:hideMark/>
          </w:tcPr>
          <w:p w14:paraId="5E1C1F7D" w14:textId="77777777" w:rsidR="00CE6761" w:rsidRPr="00CE6761" w:rsidRDefault="00CE6761" w:rsidP="002F7E33">
            <w:pPr>
              <w:pStyle w:val="Table"/>
              <w:keepNext/>
              <w:rPr>
                <w:szCs w:val="24"/>
              </w:rPr>
            </w:pPr>
            <w:r w:rsidRPr="00CE6761">
              <w:rPr>
                <w:szCs w:val="24"/>
              </w:rPr>
              <w:t>I72.5</w:t>
            </w:r>
            <w:r w:rsidRPr="00CE6761">
              <w:rPr>
                <w:i/>
                <w:iCs/>
                <w:szCs w:val="24"/>
              </w:rPr>
              <w:t xml:space="preserve"> </w:t>
            </w:r>
          </w:p>
        </w:tc>
        <w:tc>
          <w:tcPr>
            <w:tcW w:w="5245" w:type="dxa"/>
            <w:noWrap/>
            <w:hideMark/>
          </w:tcPr>
          <w:p w14:paraId="77F0D71F" w14:textId="77777777" w:rsidR="00CE6761" w:rsidRPr="00721499" w:rsidRDefault="00CE6761" w:rsidP="002F7E33">
            <w:pPr>
              <w:pStyle w:val="Table"/>
              <w:keepNext/>
              <w:rPr>
                <w:iCs/>
                <w:szCs w:val="24"/>
              </w:rPr>
            </w:pPr>
            <w:r w:rsidRPr="00721499">
              <w:rPr>
                <w:iCs/>
                <w:szCs w:val="24"/>
              </w:rPr>
              <w:t>Aneurysm and dissectio</w:t>
            </w:r>
            <w:r w:rsidR="00F21D97" w:rsidRPr="00F21D97">
              <w:rPr>
                <w:iCs/>
                <w:szCs w:val="24"/>
              </w:rPr>
              <w:t>n of other precerebral arteries</w:t>
            </w:r>
          </w:p>
        </w:tc>
        <w:tc>
          <w:tcPr>
            <w:tcW w:w="1887" w:type="dxa"/>
            <w:noWrap/>
            <w:hideMark/>
          </w:tcPr>
          <w:p w14:paraId="6D79C2DC" w14:textId="77777777" w:rsidR="00CE6761" w:rsidRPr="00CE6761" w:rsidRDefault="00CE6761">
            <w:pPr>
              <w:pStyle w:val="TableNumber"/>
            </w:pPr>
            <w:r w:rsidRPr="00CE6761">
              <w:t>2</w:t>
            </w:r>
          </w:p>
        </w:tc>
      </w:tr>
      <w:tr w:rsidR="00F21D97" w:rsidRPr="00CE6761" w14:paraId="2D4875A5" w14:textId="77777777" w:rsidTr="00721499">
        <w:trPr>
          <w:trHeight w:val="310"/>
        </w:trPr>
        <w:tc>
          <w:tcPr>
            <w:tcW w:w="1838" w:type="dxa"/>
            <w:noWrap/>
            <w:hideMark/>
          </w:tcPr>
          <w:p w14:paraId="621DA1C1" w14:textId="77777777" w:rsidR="00CE6761" w:rsidRPr="00CE6761" w:rsidRDefault="00CE6761" w:rsidP="002F7E33">
            <w:pPr>
              <w:pStyle w:val="Table"/>
              <w:keepNext/>
              <w:rPr>
                <w:szCs w:val="24"/>
              </w:rPr>
            </w:pPr>
            <w:r w:rsidRPr="00CE6761">
              <w:rPr>
                <w:szCs w:val="24"/>
              </w:rPr>
              <w:t>I83.2</w:t>
            </w:r>
            <w:r w:rsidRPr="00CE6761">
              <w:rPr>
                <w:i/>
                <w:iCs/>
                <w:szCs w:val="24"/>
              </w:rPr>
              <w:t xml:space="preserve"> </w:t>
            </w:r>
          </w:p>
        </w:tc>
        <w:tc>
          <w:tcPr>
            <w:tcW w:w="5245" w:type="dxa"/>
            <w:noWrap/>
            <w:hideMark/>
          </w:tcPr>
          <w:p w14:paraId="25D34640" w14:textId="77777777" w:rsidR="00CE6761" w:rsidRPr="00721499" w:rsidRDefault="00CE6761" w:rsidP="002F7E33">
            <w:pPr>
              <w:pStyle w:val="Table"/>
              <w:keepNext/>
              <w:rPr>
                <w:iCs/>
                <w:szCs w:val="24"/>
              </w:rPr>
            </w:pPr>
            <w:r w:rsidRPr="00721499">
              <w:rPr>
                <w:iCs/>
                <w:szCs w:val="24"/>
              </w:rPr>
              <w:t>Varicose veins of lower extremities with both ulcer and inflammation</w:t>
            </w:r>
          </w:p>
        </w:tc>
        <w:tc>
          <w:tcPr>
            <w:tcW w:w="1887" w:type="dxa"/>
            <w:noWrap/>
            <w:hideMark/>
          </w:tcPr>
          <w:p w14:paraId="353AD6A0" w14:textId="77777777" w:rsidR="00CE6761" w:rsidRPr="00CE6761" w:rsidRDefault="00CE6761">
            <w:pPr>
              <w:pStyle w:val="TableNumber"/>
            </w:pPr>
            <w:r w:rsidRPr="00CE6761">
              <w:t>3</w:t>
            </w:r>
          </w:p>
        </w:tc>
      </w:tr>
      <w:tr w:rsidR="00F21D97" w:rsidRPr="00CE6761" w14:paraId="642FD8DE" w14:textId="77777777" w:rsidTr="00721499">
        <w:trPr>
          <w:trHeight w:val="310"/>
        </w:trPr>
        <w:tc>
          <w:tcPr>
            <w:tcW w:w="1838" w:type="dxa"/>
            <w:noWrap/>
            <w:hideMark/>
          </w:tcPr>
          <w:p w14:paraId="4FD5F349" w14:textId="77777777" w:rsidR="00CE6761" w:rsidRPr="00CE6761" w:rsidRDefault="00CE6761" w:rsidP="002F7E33">
            <w:pPr>
              <w:pStyle w:val="Table"/>
              <w:keepNext/>
              <w:rPr>
                <w:szCs w:val="24"/>
              </w:rPr>
            </w:pPr>
            <w:r w:rsidRPr="00CE6761">
              <w:rPr>
                <w:szCs w:val="24"/>
              </w:rPr>
              <w:t>K25.6</w:t>
            </w:r>
            <w:r w:rsidRPr="00CE6761">
              <w:rPr>
                <w:i/>
                <w:iCs/>
                <w:szCs w:val="24"/>
              </w:rPr>
              <w:t xml:space="preserve"> </w:t>
            </w:r>
          </w:p>
        </w:tc>
        <w:tc>
          <w:tcPr>
            <w:tcW w:w="5245" w:type="dxa"/>
            <w:noWrap/>
            <w:hideMark/>
          </w:tcPr>
          <w:p w14:paraId="5DE32823" w14:textId="77777777" w:rsidR="00CE6761" w:rsidRPr="00721499" w:rsidRDefault="00CE6761" w:rsidP="002F7E33">
            <w:pPr>
              <w:pStyle w:val="Table"/>
              <w:keepNext/>
              <w:rPr>
                <w:iCs/>
                <w:szCs w:val="24"/>
              </w:rPr>
            </w:pPr>
            <w:r w:rsidRPr="00721499">
              <w:rPr>
                <w:iCs/>
                <w:szCs w:val="24"/>
              </w:rPr>
              <w:t>Gastric ulcer, chronic or unspecified with both haemorrhage and perforation</w:t>
            </w:r>
          </w:p>
        </w:tc>
        <w:tc>
          <w:tcPr>
            <w:tcW w:w="1887" w:type="dxa"/>
            <w:noWrap/>
            <w:hideMark/>
          </w:tcPr>
          <w:p w14:paraId="6E87A0C7" w14:textId="77777777" w:rsidR="00CE6761" w:rsidRPr="00CE6761" w:rsidRDefault="00CE6761">
            <w:pPr>
              <w:pStyle w:val="TableNumber"/>
            </w:pPr>
            <w:r w:rsidRPr="00CE6761">
              <w:t>3</w:t>
            </w:r>
          </w:p>
        </w:tc>
      </w:tr>
      <w:tr w:rsidR="00F21D97" w:rsidRPr="00CE6761" w14:paraId="55D6F976" w14:textId="77777777" w:rsidTr="00721499">
        <w:trPr>
          <w:trHeight w:val="310"/>
        </w:trPr>
        <w:tc>
          <w:tcPr>
            <w:tcW w:w="1838" w:type="dxa"/>
            <w:noWrap/>
            <w:hideMark/>
          </w:tcPr>
          <w:p w14:paraId="1A9FB01E" w14:textId="77777777" w:rsidR="00CE6761" w:rsidRPr="00CE6761" w:rsidRDefault="00CE6761" w:rsidP="002F7E33">
            <w:pPr>
              <w:pStyle w:val="Table"/>
              <w:keepNext/>
              <w:rPr>
                <w:szCs w:val="24"/>
              </w:rPr>
            </w:pPr>
            <w:r w:rsidRPr="00CE6761">
              <w:rPr>
                <w:szCs w:val="24"/>
              </w:rPr>
              <w:t>K57.01</w:t>
            </w:r>
          </w:p>
        </w:tc>
        <w:tc>
          <w:tcPr>
            <w:tcW w:w="5245" w:type="dxa"/>
            <w:noWrap/>
            <w:hideMark/>
          </w:tcPr>
          <w:p w14:paraId="7B341ED9" w14:textId="77777777" w:rsidR="00CE6761" w:rsidRPr="00721499" w:rsidRDefault="00CE6761" w:rsidP="002F7E33">
            <w:pPr>
              <w:pStyle w:val="Table"/>
              <w:keepNext/>
              <w:rPr>
                <w:iCs/>
                <w:szCs w:val="24"/>
              </w:rPr>
            </w:pPr>
            <w:r w:rsidRPr="00721499">
              <w:rPr>
                <w:iCs/>
                <w:szCs w:val="24"/>
              </w:rPr>
              <w:t>Diverticulosis of small intestine with haemo</w:t>
            </w:r>
            <w:r w:rsidR="00F21D97" w:rsidRPr="00F21D97">
              <w:rPr>
                <w:iCs/>
                <w:szCs w:val="24"/>
              </w:rPr>
              <w:t>rrhage, perforation and abscess</w:t>
            </w:r>
          </w:p>
        </w:tc>
        <w:tc>
          <w:tcPr>
            <w:tcW w:w="1887" w:type="dxa"/>
            <w:noWrap/>
            <w:hideMark/>
          </w:tcPr>
          <w:p w14:paraId="199074A1" w14:textId="77777777" w:rsidR="00CE6761" w:rsidRPr="00CE6761" w:rsidRDefault="00CE6761">
            <w:pPr>
              <w:pStyle w:val="TableNumber"/>
            </w:pPr>
            <w:r w:rsidRPr="00CE6761">
              <w:t>4</w:t>
            </w:r>
          </w:p>
        </w:tc>
      </w:tr>
      <w:tr w:rsidR="00F21D97" w:rsidRPr="00CE6761" w14:paraId="5989F3BB" w14:textId="77777777" w:rsidTr="00721499">
        <w:trPr>
          <w:trHeight w:val="310"/>
        </w:trPr>
        <w:tc>
          <w:tcPr>
            <w:tcW w:w="1838" w:type="dxa"/>
            <w:noWrap/>
            <w:hideMark/>
          </w:tcPr>
          <w:p w14:paraId="332D0DD1" w14:textId="77777777" w:rsidR="00CE6761" w:rsidRPr="00CE6761" w:rsidRDefault="00CE6761" w:rsidP="002F7E33">
            <w:pPr>
              <w:pStyle w:val="Table"/>
              <w:keepNext/>
              <w:rPr>
                <w:szCs w:val="24"/>
              </w:rPr>
            </w:pPr>
            <w:r w:rsidRPr="00CE6761">
              <w:rPr>
                <w:szCs w:val="24"/>
              </w:rPr>
              <w:t>K71.7</w:t>
            </w:r>
          </w:p>
        </w:tc>
        <w:tc>
          <w:tcPr>
            <w:tcW w:w="5245" w:type="dxa"/>
            <w:noWrap/>
            <w:hideMark/>
          </w:tcPr>
          <w:p w14:paraId="6277DE9E" w14:textId="77777777" w:rsidR="00CE6761" w:rsidRPr="00721499" w:rsidRDefault="00CE6761" w:rsidP="002F7E33">
            <w:pPr>
              <w:pStyle w:val="Table"/>
              <w:keepNext/>
              <w:rPr>
                <w:iCs/>
                <w:szCs w:val="24"/>
              </w:rPr>
            </w:pPr>
            <w:r w:rsidRPr="00721499">
              <w:rPr>
                <w:iCs/>
                <w:szCs w:val="24"/>
              </w:rPr>
              <w:t xml:space="preserve">Toxic liver disease with </w:t>
            </w:r>
            <w:r w:rsidR="00F21D97" w:rsidRPr="00F21D97">
              <w:rPr>
                <w:iCs/>
                <w:szCs w:val="24"/>
              </w:rPr>
              <w:t>fibrosis and cirrhosis of liver</w:t>
            </w:r>
          </w:p>
        </w:tc>
        <w:tc>
          <w:tcPr>
            <w:tcW w:w="1887" w:type="dxa"/>
            <w:noWrap/>
            <w:hideMark/>
          </w:tcPr>
          <w:p w14:paraId="2BA44F7B" w14:textId="77777777" w:rsidR="00CE6761" w:rsidRPr="00CE6761" w:rsidRDefault="00CE6761">
            <w:pPr>
              <w:pStyle w:val="TableNumber"/>
            </w:pPr>
            <w:r w:rsidRPr="00CE6761">
              <w:t>3</w:t>
            </w:r>
          </w:p>
        </w:tc>
      </w:tr>
      <w:tr w:rsidR="00F21D97" w:rsidRPr="00CE6761" w14:paraId="509612B8" w14:textId="77777777" w:rsidTr="00721499">
        <w:trPr>
          <w:trHeight w:val="310"/>
        </w:trPr>
        <w:tc>
          <w:tcPr>
            <w:tcW w:w="1838" w:type="dxa"/>
            <w:noWrap/>
            <w:hideMark/>
          </w:tcPr>
          <w:p w14:paraId="1C5822CE" w14:textId="77777777" w:rsidR="00CE6761" w:rsidRPr="00CE6761" w:rsidRDefault="00CE6761" w:rsidP="002F7E33">
            <w:pPr>
              <w:pStyle w:val="Table"/>
              <w:keepNext/>
              <w:rPr>
                <w:szCs w:val="24"/>
              </w:rPr>
            </w:pPr>
            <w:r w:rsidRPr="00CE6761">
              <w:rPr>
                <w:szCs w:val="24"/>
              </w:rPr>
              <w:t>M80.45</w:t>
            </w:r>
            <w:r w:rsidRPr="00CE6761">
              <w:rPr>
                <w:i/>
                <w:iCs/>
                <w:szCs w:val="24"/>
              </w:rPr>
              <w:t xml:space="preserve"> </w:t>
            </w:r>
          </w:p>
        </w:tc>
        <w:tc>
          <w:tcPr>
            <w:tcW w:w="5245" w:type="dxa"/>
            <w:noWrap/>
            <w:hideMark/>
          </w:tcPr>
          <w:p w14:paraId="7C3BF274" w14:textId="77777777" w:rsidR="00CE6761" w:rsidRPr="00991B46" w:rsidRDefault="00CE6761" w:rsidP="002F7E33">
            <w:pPr>
              <w:pStyle w:val="Table"/>
              <w:keepNext/>
            </w:pPr>
            <w:r w:rsidRPr="00F21D97">
              <w:t>Drug-induced osteoporosis with pathological fr</w:t>
            </w:r>
            <w:r w:rsidR="00F21D97" w:rsidRPr="00991B46">
              <w:t>acture, pelvic region and thigh</w:t>
            </w:r>
          </w:p>
        </w:tc>
        <w:tc>
          <w:tcPr>
            <w:tcW w:w="1887" w:type="dxa"/>
            <w:noWrap/>
            <w:hideMark/>
          </w:tcPr>
          <w:p w14:paraId="22D14022" w14:textId="77777777" w:rsidR="00CE6761" w:rsidRPr="00CE6761" w:rsidRDefault="00CE6761">
            <w:pPr>
              <w:pStyle w:val="TableNumber"/>
            </w:pPr>
            <w:r w:rsidRPr="00CE6761">
              <w:t>3</w:t>
            </w:r>
          </w:p>
        </w:tc>
      </w:tr>
      <w:tr w:rsidR="00F21D97" w:rsidRPr="00CE6761" w14:paraId="6FE3A8B9" w14:textId="77777777" w:rsidTr="00721499">
        <w:trPr>
          <w:cnfStyle w:val="010000000000" w:firstRow="0" w:lastRow="1" w:firstColumn="0" w:lastColumn="0" w:oddVBand="0" w:evenVBand="0" w:oddHBand="0" w:evenHBand="0" w:firstRowFirstColumn="0" w:firstRowLastColumn="0" w:lastRowFirstColumn="0" w:lastRowLastColumn="0"/>
          <w:trHeight w:val="310"/>
        </w:trPr>
        <w:tc>
          <w:tcPr>
            <w:tcW w:w="1838" w:type="dxa"/>
            <w:noWrap/>
            <w:hideMark/>
          </w:tcPr>
          <w:p w14:paraId="285909CB" w14:textId="77777777" w:rsidR="00CE6761" w:rsidRPr="00CE6761" w:rsidRDefault="00CE6761" w:rsidP="00721499">
            <w:pPr>
              <w:pStyle w:val="Table"/>
              <w:rPr>
                <w:szCs w:val="24"/>
              </w:rPr>
            </w:pPr>
            <w:r w:rsidRPr="00CE6761">
              <w:rPr>
                <w:szCs w:val="24"/>
              </w:rPr>
              <w:t>N70.9</w:t>
            </w:r>
            <w:r w:rsidRPr="00CE6761">
              <w:rPr>
                <w:i/>
                <w:iCs/>
                <w:szCs w:val="24"/>
              </w:rPr>
              <w:t xml:space="preserve"> </w:t>
            </w:r>
          </w:p>
        </w:tc>
        <w:tc>
          <w:tcPr>
            <w:tcW w:w="5245" w:type="dxa"/>
            <w:noWrap/>
            <w:hideMark/>
          </w:tcPr>
          <w:p w14:paraId="7AD96844" w14:textId="77777777" w:rsidR="00CE6761" w:rsidRPr="00721499" w:rsidRDefault="00CE6761" w:rsidP="00721499">
            <w:pPr>
              <w:pStyle w:val="Table"/>
              <w:rPr>
                <w:iCs/>
                <w:szCs w:val="24"/>
              </w:rPr>
            </w:pPr>
            <w:r w:rsidRPr="00721499">
              <w:rPr>
                <w:iCs/>
                <w:szCs w:val="24"/>
              </w:rPr>
              <w:t>Salpingi</w:t>
            </w:r>
            <w:r w:rsidR="00F21D97" w:rsidRPr="00F21D97">
              <w:rPr>
                <w:iCs/>
                <w:szCs w:val="24"/>
              </w:rPr>
              <w:t>tis and oophoritis, unspecified</w:t>
            </w:r>
          </w:p>
        </w:tc>
        <w:tc>
          <w:tcPr>
            <w:tcW w:w="1887" w:type="dxa"/>
            <w:noWrap/>
            <w:hideMark/>
          </w:tcPr>
          <w:p w14:paraId="0181E966" w14:textId="77777777" w:rsidR="00CE6761" w:rsidRPr="00CE6761" w:rsidRDefault="00CE6761" w:rsidP="00721499">
            <w:pPr>
              <w:pStyle w:val="TableNumber"/>
            </w:pPr>
            <w:r w:rsidRPr="00CE6761">
              <w:t>2</w:t>
            </w:r>
          </w:p>
        </w:tc>
      </w:tr>
    </w:tbl>
    <w:p w14:paraId="0BCCA3AB" w14:textId="77777777" w:rsidR="005B5818" w:rsidRDefault="005B5818" w:rsidP="00B60372">
      <w:pPr>
        <w:pStyle w:val="Heading3"/>
      </w:pPr>
      <w:r>
        <w:lastRenderedPageBreak/>
        <w:t>Principal diagnosis</w:t>
      </w:r>
      <w:r w:rsidRPr="009E4FDA">
        <w:t xml:space="preserve"> </w:t>
      </w:r>
      <w:r>
        <w:t>impact on</w:t>
      </w:r>
      <w:r w:rsidRPr="009E4FDA">
        <w:t xml:space="preserve"> cost</w:t>
      </w:r>
    </w:p>
    <w:p w14:paraId="44AF89B3" w14:textId="77777777" w:rsidR="005B5818" w:rsidRDefault="005B5818" w:rsidP="00C83D03">
      <w:pPr>
        <w:keepNext/>
        <w:keepLines/>
      </w:pPr>
      <w:r w:rsidRPr="008D7443">
        <w:t xml:space="preserve">The review of the current </w:t>
      </w:r>
      <w:r>
        <w:t>C</w:t>
      </w:r>
      <w:r w:rsidRPr="008D7443">
        <w:t>CLs has been undertaken by profiling the costs (and LOS) of ADRGs and diagnoses by using a method that allows comparative assessments to be made using associations between diagnoses and costs (or LOS) within each ADRG</w:t>
      </w:r>
      <w:r>
        <w:t>.</w:t>
      </w:r>
    </w:p>
    <w:p w14:paraId="1D4262CF" w14:textId="77777777" w:rsidR="005B5818" w:rsidRPr="00E835E7" w:rsidRDefault="00527035" w:rsidP="00C83D03">
      <w:pPr>
        <w:keepNext/>
        <w:keepLines/>
      </w:pPr>
      <w:r>
        <w:t>In the proposed ECC Model, a</w:t>
      </w:r>
      <w:r w:rsidR="005B5818" w:rsidRPr="00E835E7">
        <w:t xml:space="preserve"> DCL value is assigned to each diagnosis occurring within an ADRG, regardless of whether it is a principal or additional (secondary) diagnosis. The DCL estimates the level to which the diagnosis is associated with costs, compared to that of a standard, or average, </w:t>
      </w:r>
      <w:proofErr w:type="spellStart"/>
      <w:r w:rsidR="000F1942">
        <w:t>ADx</w:t>
      </w:r>
      <w:proofErr w:type="spellEnd"/>
      <w:r w:rsidR="005B5818" w:rsidRPr="00E835E7">
        <w:t xml:space="preserve">. For example, a diagnosis with a DCL of 3 within an ADRG is associated with costs that are three times higher than that of an average </w:t>
      </w:r>
      <w:proofErr w:type="spellStart"/>
      <w:r w:rsidR="000F1942">
        <w:t>ADx</w:t>
      </w:r>
      <w:proofErr w:type="spellEnd"/>
      <w:r w:rsidR="005B5818" w:rsidRPr="00E835E7">
        <w:t xml:space="preserve"> within the ADRG.</w:t>
      </w:r>
      <w:r w:rsidR="005B5818">
        <w:t xml:space="preserve"> T</w:t>
      </w:r>
      <w:r w:rsidR="005B5818" w:rsidRPr="00E835E7">
        <w:t>his effect was observable in a large number of cases as illust</w:t>
      </w:r>
      <w:r w:rsidR="005B5818">
        <w:t>rated in the following figures.</w:t>
      </w:r>
    </w:p>
    <w:p w14:paraId="16D55D51" w14:textId="77777777" w:rsidR="005B5818" w:rsidRPr="008D7443" w:rsidRDefault="005B5818" w:rsidP="002C3992">
      <w:r>
        <w:t>The</w:t>
      </w:r>
      <w:r w:rsidRPr="008D7443">
        <w:t xml:space="preserve"> figures below provide examples of </w:t>
      </w:r>
      <w:r w:rsidR="000A2684">
        <w:t>principal diagnoses</w:t>
      </w:r>
      <w:r w:rsidRPr="008D7443">
        <w:t xml:space="preserve"> demonstrating significantly higher cost associations across their ADRGs. They show that </w:t>
      </w:r>
      <w:r w:rsidR="000F1942">
        <w:t xml:space="preserve">the </w:t>
      </w:r>
      <w:proofErr w:type="spellStart"/>
      <w:r w:rsidRPr="008D7443">
        <w:t>PDx</w:t>
      </w:r>
      <w:proofErr w:type="spellEnd"/>
      <w:r w:rsidRPr="008D7443">
        <w:t xml:space="preserve"> clearly plays a role in explaining cost variation within the ADRG level of the AR-DRG classification.</w:t>
      </w:r>
    </w:p>
    <w:p w14:paraId="1269B629" w14:textId="77777777" w:rsidR="005B5818" w:rsidRDefault="00CC0F16" w:rsidP="002C3992">
      <w:r>
        <w:fldChar w:fldCharType="begin"/>
      </w:r>
      <w:r>
        <w:instrText xml:space="preserve"> REF _Ref390967210 \h  \* MERGEFORMAT </w:instrText>
      </w:r>
      <w:r>
        <w:fldChar w:fldCharType="separate"/>
      </w:r>
      <w:r w:rsidR="0031717B" w:rsidRPr="0044582C">
        <w:t xml:space="preserve">Figure </w:t>
      </w:r>
      <w:r w:rsidR="0031717B">
        <w:rPr>
          <w:noProof/>
        </w:rPr>
        <w:t>20</w:t>
      </w:r>
      <w:r>
        <w:fldChar w:fldCharType="end"/>
      </w:r>
      <w:r w:rsidR="000A60ED" w:rsidRPr="000A60ED">
        <w:t xml:space="preserve"> and </w:t>
      </w:r>
      <w:r>
        <w:fldChar w:fldCharType="begin"/>
      </w:r>
      <w:r>
        <w:instrText xml:space="preserve"> REF _Ref393696920 \h  \* MERGEFORMAT </w:instrText>
      </w:r>
      <w:r>
        <w:fldChar w:fldCharType="separate"/>
      </w:r>
      <w:r w:rsidR="0031717B" w:rsidRPr="0044582C">
        <w:t xml:space="preserve">Figure </w:t>
      </w:r>
      <w:r w:rsidR="0031717B">
        <w:rPr>
          <w:noProof/>
        </w:rPr>
        <w:t>21</w:t>
      </w:r>
      <w:r>
        <w:fldChar w:fldCharType="end"/>
      </w:r>
      <w:r w:rsidR="000A60ED" w:rsidRPr="000A60ED">
        <w:t xml:space="preserve"> </w:t>
      </w:r>
      <w:r w:rsidR="005B5818" w:rsidRPr="000A60ED">
        <w:t xml:space="preserve">relate to two surgical ADRGs, specified by a particular set of significant OR </w:t>
      </w:r>
      <w:r w:rsidR="005B5818" w:rsidRPr="008D7443">
        <w:t>procedures.</w:t>
      </w:r>
    </w:p>
    <w:p w14:paraId="7C7DEC2D" w14:textId="77777777" w:rsidR="00EA4498" w:rsidRPr="008D7443" w:rsidRDefault="00EA4498" w:rsidP="00EA4498">
      <w:pPr>
        <w:rPr>
          <w:noProof/>
          <w:szCs w:val="24"/>
        </w:rPr>
      </w:pPr>
      <w:r>
        <w:fldChar w:fldCharType="begin"/>
      </w:r>
      <w:r>
        <w:instrText xml:space="preserve"> REF _Ref390969424 \h  \* MERGEFORMAT </w:instrText>
      </w:r>
      <w:r>
        <w:fldChar w:fldCharType="separate"/>
      </w:r>
      <w:r w:rsidR="0031717B" w:rsidRPr="0031717B">
        <w:rPr>
          <w:szCs w:val="24"/>
        </w:rPr>
        <w:t xml:space="preserve">Figure </w:t>
      </w:r>
      <w:r w:rsidR="0031717B" w:rsidRPr="0031717B">
        <w:rPr>
          <w:noProof/>
          <w:szCs w:val="24"/>
        </w:rPr>
        <w:t>22</w:t>
      </w:r>
      <w:r>
        <w:fldChar w:fldCharType="end"/>
      </w:r>
      <w:r w:rsidRPr="00B5534A">
        <w:rPr>
          <w:szCs w:val="24"/>
        </w:rPr>
        <w:t xml:space="preserve"> and </w:t>
      </w:r>
      <w:r>
        <w:fldChar w:fldCharType="begin"/>
      </w:r>
      <w:r>
        <w:instrText xml:space="preserve"> REF _Ref390969433 \h  \* MERGEFORMAT </w:instrText>
      </w:r>
      <w:r>
        <w:fldChar w:fldCharType="separate"/>
      </w:r>
      <w:r w:rsidR="0031717B" w:rsidRPr="0031717B">
        <w:rPr>
          <w:szCs w:val="24"/>
        </w:rPr>
        <w:t xml:space="preserve">Figure </w:t>
      </w:r>
      <w:r w:rsidR="0031717B" w:rsidRPr="0031717B">
        <w:rPr>
          <w:noProof/>
          <w:szCs w:val="24"/>
        </w:rPr>
        <w:t>23</w:t>
      </w:r>
      <w:r>
        <w:fldChar w:fldCharType="end"/>
      </w:r>
      <w:r w:rsidRPr="00B5534A">
        <w:rPr>
          <w:szCs w:val="24"/>
        </w:rPr>
        <w:t xml:space="preserve"> </w:t>
      </w:r>
      <w:r w:rsidRPr="00424555">
        <w:rPr>
          <w:noProof/>
          <w:szCs w:val="24"/>
        </w:rPr>
        <w:t xml:space="preserve">relate to two medical ADRGs, the first (G67) specified by a particular </w:t>
      </w:r>
      <w:r w:rsidRPr="008D7443">
        <w:rPr>
          <w:noProof/>
          <w:szCs w:val="24"/>
        </w:rPr>
        <w:t xml:space="preserve">PDx list and the second (G70) being a “catch-all” ADRG for the remainder of episodes from the </w:t>
      </w:r>
      <w:r w:rsidRPr="008D7443">
        <w:rPr>
          <w:i/>
          <w:noProof/>
          <w:szCs w:val="24"/>
        </w:rPr>
        <w:t xml:space="preserve">Diseases &amp; Disorders of the Digestive System </w:t>
      </w:r>
      <w:r w:rsidRPr="008D7443">
        <w:rPr>
          <w:noProof/>
          <w:szCs w:val="24"/>
        </w:rPr>
        <w:t>MDC.</w:t>
      </w:r>
    </w:p>
    <w:p w14:paraId="05DA7DC7" w14:textId="77777777" w:rsidR="00EA4498" w:rsidRPr="00843030" w:rsidRDefault="00EA4498" w:rsidP="002C3992">
      <w:pPr>
        <w:contextualSpacing/>
        <w:rPr>
          <w:noProof/>
        </w:rPr>
      </w:pPr>
      <w:r w:rsidRPr="00B5534A">
        <w:rPr>
          <w:noProof/>
          <w:szCs w:val="24"/>
        </w:rPr>
        <w:t xml:space="preserve">Regarding </w:t>
      </w:r>
      <w:r>
        <w:fldChar w:fldCharType="begin"/>
      </w:r>
      <w:r>
        <w:instrText xml:space="preserve"> REF _Ref390969424 \h  \* MERGEFORMAT </w:instrText>
      </w:r>
      <w:r>
        <w:fldChar w:fldCharType="separate"/>
      </w:r>
      <w:r w:rsidR="0031717B" w:rsidRPr="0031717B">
        <w:rPr>
          <w:szCs w:val="24"/>
        </w:rPr>
        <w:t xml:space="preserve">Figure </w:t>
      </w:r>
      <w:r w:rsidR="0031717B" w:rsidRPr="0031717B">
        <w:rPr>
          <w:noProof/>
          <w:szCs w:val="24"/>
        </w:rPr>
        <w:t>22</w:t>
      </w:r>
      <w:r>
        <w:fldChar w:fldCharType="end"/>
      </w:r>
      <w:r w:rsidRPr="00B5534A">
        <w:rPr>
          <w:noProof/>
          <w:szCs w:val="24"/>
        </w:rPr>
        <w:t>, the PDx</w:t>
      </w:r>
      <w:r>
        <w:rPr>
          <w:noProof/>
          <w:szCs w:val="24"/>
        </w:rPr>
        <w:t xml:space="preserve"> </w:t>
      </w:r>
      <w:r w:rsidRPr="00B5534A">
        <w:rPr>
          <w:noProof/>
          <w:szCs w:val="24"/>
        </w:rPr>
        <w:t>A04.7 in the ADRG G67 is associated with an additional $2,500 to $4,000 across each of the groups. For the 443 cases where A04.7 occurs as a PDx with no additional diagnosis, A04.7</w:t>
      </w:r>
      <w:r>
        <w:rPr>
          <w:noProof/>
          <w:szCs w:val="24"/>
        </w:rPr>
        <w:t xml:space="preserve"> </w:t>
      </w:r>
      <w:r w:rsidRPr="00B5534A">
        <w:rPr>
          <w:noProof/>
          <w:szCs w:val="24"/>
        </w:rPr>
        <w:t>adds approximately an extra $2,500 compared to the average PDx’s in this DRG. Where A04.7 (352 cases) occurs with 4 other diagnoses, A04.7 adds approximately an extra $4,000 compared to the average episode with 5 diagnoses in this DRG. The extra costs for the PDx is maintained irrespective of the number of additional diagonses associated with it.</w:t>
      </w:r>
    </w:p>
    <w:p w14:paraId="2A17DF7C" w14:textId="77777777" w:rsidR="005B5818" w:rsidRPr="0044582C" w:rsidRDefault="005B5818" w:rsidP="000E5B4A">
      <w:pPr>
        <w:pStyle w:val="Caption"/>
      </w:pPr>
      <w:bookmarkStart w:id="108" w:name="_Ref390967210"/>
      <w:bookmarkStart w:id="109" w:name="_Toc401061073"/>
      <w:r w:rsidRPr="0044582C">
        <w:lastRenderedPageBreak/>
        <w:t xml:space="preserve">Figure </w:t>
      </w:r>
      <w:r w:rsidR="005559F5" w:rsidRPr="0044582C">
        <w:fldChar w:fldCharType="begin"/>
      </w:r>
      <w:r w:rsidRPr="0044582C">
        <w:instrText xml:space="preserve"> SEQ Figure \* ARABIC </w:instrText>
      </w:r>
      <w:r w:rsidR="005559F5" w:rsidRPr="0044582C">
        <w:fldChar w:fldCharType="separate"/>
      </w:r>
      <w:r w:rsidR="0031717B">
        <w:rPr>
          <w:noProof/>
        </w:rPr>
        <w:t>20</w:t>
      </w:r>
      <w:r w:rsidR="005559F5" w:rsidRPr="0044582C">
        <w:rPr>
          <w:noProof/>
        </w:rPr>
        <w:fldChar w:fldCharType="end"/>
      </w:r>
      <w:bookmarkEnd w:id="108"/>
      <w:r w:rsidRPr="0044582C">
        <w:t xml:space="preserve">: </w:t>
      </w:r>
      <w:bookmarkStart w:id="110" w:name="_Ref393696907"/>
      <w:r w:rsidRPr="0044582C">
        <w:t xml:space="preserve">Surgical DRG - </w:t>
      </w:r>
      <w:proofErr w:type="spellStart"/>
      <w:r w:rsidRPr="0044582C">
        <w:t>PDx</w:t>
      </w:r>
      <w:proofErr w:type="spellEnd"/>
      <w:r w:rsidRPr="0044582C">
        <w:t xml:space="preserve"> with a cost</w:t>
      </w:r>
      <w:r w:rsidR="000F164D">
        <w:t xml:space="preserve"> at </w:t>
      </w:r>
      <w:proofErr w:type="spellStart"/>
      <w:r w:rsidR="000F164D">
        <w:t>i</w:t>
      </w:r>
      <w:proofErr w:type="spellEnd"/>
      <w:r w:rsidR="000F164D">
        <w:t>=1 of</w:t>
      </w:r>
      <w:r w:rsidRPr="0044582C">
        <w:t xml:space="preserve"> more than 3 times greater than the average diagnosis within ADRG F14</w:t>
      </w:r>
      <w:bookmarkEnd w:id="110"/>
      <w:r w:rsidR="00981B6D">
        <w:t>.</w:t>
      </w:r>
      <w:bookmarkEnd w:id="109"/>
    </w:p>
    <w:p w14:paraId="70E5679E" w14:textId="77777777" w:rsidR="005B5818" w:rsidRPr="000E1E05" w:rsidRDefault="00632FF4" w:rsidP="00721499">
      <w:bookmarkStart w:id="111" w:name="_Ref390967235"/>
      <w:r w:rsidRPr="00632FF4">
        <w:rPr>
          <w:noProof/>
          <w:lang w:val="en-AU" w:eastAsia="en-AU"/>
        </w:rPr>
        <w:drawing>
          <wp:inline distT="0" distB="0" distL="0" distR="0" wp14:anchorId="483A819B" wp14:editId="078AFD71">
            <wp:extent cx="5363529" cy="3780000"/>
            <wp:effectExtent l="0" t="0" r="8890" b="0"/>
            <wp:docPr id="14353" name="Picture 14353" descr="The figure shows that the mean cost of ADRG F14 (Vascular Procedures, except major reconstruction, without CPB pump) increases from $6,000 at one diagnosis (n=5,970) to $12,800 at five diagnoses (n=1,867). The mean cost of I72.0 (Aneurysm and dissection of carotid artery) within F14 was, on average, $11,000 greater than ADRG F14; increasing from $16,600 at one diagnosis (n=54) to $22,100 at five diagnoses (n=28)." title="Surgical DRG - PDx with a cost at i=1 of more than 3 times greater than the average diagnosis within ADRG F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0"/>
                    <pic:cNvPicPr>
                      <a:picLocks noChangeAspect="1" noChangeArrowheads="1"/>
                    </pic:cNvPicPr>
                  </pic:nvPicPr>
                  <pic:blipFill>
                    <a:blip r:embed="rId790" cstate="print">
                      <a:extLst>
                        <a:ext uri="{28A0092B-C50C-407E-A947-70E740481C1C}">
                          <a14:useLocalDpi xmlns:a14="http://schemas.microsoft.com/office/drawing/2010/main" val="0"/>
                        </a:ext>
                      </a:extLst>
                    </a:blip>
                    <a:srcRect/>
                    <a:stretch>
                      <a:fillRect/>
                    </a:stretch>
                  </pic:blipFill>
                  <pic:spPr bwMode="auto">
                    <a:xfrm>
                      <a:off x="0" y="0"/>
                      <a:ext cx="5363529" cy="3780000"/>
                    </a:xfrm>
                    <a:prstGeom prst="rect">
                      <a:avLst/>
                    </a:prstGeom>
                    <a:noFill/>
                    <a:ln>
                      <a:noFill/>
                    </a:ln>
                  </pic:spPr>
                </pic:pic>
              </a:graphicData>
            </a:graphic>
          </wp:inline>
        </w:drawing>
      </w:r>
    </w:p>
    <w:p w14:paraId="2BC514DB" w14:textId="77777777" w:rsidR="005B5818" w:rsidRPr="0044582C" w:rsidRDefault="005B5818" w:rsidP="000E5B4A">
      <w:pPr>
        <w:pStyle w:val="Caption"/>
      </w:pPr>
      <w:bookmarkStart w:id="112" w:name="_Ref393696920"/>
      <w:bookmarkStart w:id="113" w:name="_Toc401061074"/>
      <w:r w:rsidRPr="0044582C">
        <w:t xml:space="preserve">Figure </w:t>
      </w:r>
      <w:r w:rsidR="005559F5" w:rsidRPr="0044582C">
        <w:fldChar w:fldCharType="begin"/>
      </w:r>
      <w:r w:rsidRPr="0044582C">
        <w:instrText xml:space="preserve"> SEQ Figure \* ARABIC </w:instrText>
      </w:r>
      <w:r w:rsidR="005559F5" w:rsidRPr="0044582C">
        <w:fldChar w:fldCharType="separate"/>
      </w:r>
      <w:r w:rsidR="0031717B">
        <w:rPr>
          <w:noProof/>
        </w:rPr>
        <w:t>21</w:t>
      </w:r>
      <w:r w:rsidR="005559F5" w:rsidRPr="0044582C">
        <w:rPr>
          <w:noProof/>
        </w:rPr>
        <w:fldChar w:fldCharType="end"/>
      </w:r>
      <w:bookmarkEnd w:id="111"/>
      <w:bookmarkEnd w:id="112"/>
      <w:r w:rsidRPr="0044582C">
        <w:t xml:space="preserve">: </w:t>
      </w:r>
      <w:bookmarkStart w:id="114" w:name="_Ref393696909"/>
      <w:r w:rsidRPr="0044582C">
        <w:t xml:space="preserve">Surgical DRG - </w:t>
      </w:r>
      <w:proofErr w:type="spellStart"/>
      <w:r w:rsidRPr="0044582C">
        <w:t>PDx</w:t>
      </w:r>
      <w:proofErr w:type="spellEnd"/>
      <w:r w:rsidRPr="0044582C">
        <w:t xml:space="preserve"> with a cost </w:t>
      </w:r>
      <w:r w:rsidR="000F164D">
        <w:t xml:space="preserve">at </w:t>
      </w:r>
      <w:proofErr w:type="spellStart"/>
      <w:r w:rsidR="000F164D">
        <w:t>i</w:t>
      </w:r>
      <w:proofErr w:type="spellEnd"/>
      <w:r w:rsidR="000F164D">
        <w:t xml:space="preserve">=1 </w:t>
      </w:r>
      <w:r w:rsidR="00D36435">
        <w:t>twice</w:t>
      </w:r>
      <w:r w:rsidRPr="0044582C">
        <w:t xml:space="preserve"> the average diagnosis within ADRG I20.</w:t>
      </w:r>
      <w:bookmarkEnd w:id="113"/>
      <w:bookmarkEnd w:id="114"/>
    </w:p>
    <w:p w14:paraId="42BDE429" w14:textId="77777777" w:rsidR="005B5818" w:rsidRPr="006508FA" w:rsidRDefault="00632FF4" w:rsidP="005B5818">
      <w:r w:rsidRPr="00632FF4">
        <w:rPr>
          <w:noProof/>
          <w:lang w:val="en-AU" w:eastAsia="en-AU"/>
        </w:rPr>
        <w:drawing>
          <wp:inline distT="0" distB="0" distL="0" distR="0" wp14:anchorId="7A297B44" wp14:editId="246AC7C8">
            <wp:extent cx="5363529" cy="3780000"/>
            <wp:effectExtent l="0" t="0" r="8890" b="0"/>
            <wp:docPr id="14354" name="Picture 14354" descr="The figure shows that the mean cost of ADRG I20 (Other foot procedures) increases from $5,500 at one diagnosis (n=7,945) to $12,000 at five diagnoses (n=443). The mean cost of S92.0 (Fracture of calcaneus) within I20 was, on average, $8,000 greater than ADRG I20; increasing from $12,600 at one diagnosis (n=249) to $19,200 at five diagnoses (n=57)." title="Surgical DRG - PDx with a cost at i=1 twice the average diagnosis within ADRG I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1"/>
                    <pic:cNvPicPr>
                      <a:picLocks noChangeAspect="1" noChangeArrowheads="1"/>
                    </pic:cNvPicPr>
                  </pic:nvPicPr>
                  <pic:blipFill>
                    <a:blip r:embed="rId791" cstate="print">
                      <a:extLst>
                        <a:ext uri="{28A0092B-C50C-407E-A947-70E740481C1C}">
                          <a14:useLocalDpi xmlns:a14="http://schemas.microsoft.com/office/drawing/2010/main" val="0"/>
                        </a:ext>
                      </a:extLst>
                    </a:blip>
                    <a:srcRect/>
                    <a:stretch>
                      <a:fillRect/>
                    </a:stretch>
                  </pic:blipFill>
                  <pic:spPr bwMode="auto">
                    <a:xfrm>
                      <a:off x="0" y="0"/>
                      <a:ext cx="5363529" cy="3780000"/>
                    </a:xfrm>
                    <a:prstGeom prst="rect">
                      <a:avLst/>
                    </a:prstGeom>
                    <a:noFill/>
                    <a:ln>
                      <a:noFill/>
                    </a:ln>
                  </pic:spPr>
                </pic:pic>
              </a:graphicData>
            </a:graphic>
          </wp:inline>
        </w:drawing>
      </w:r>
    </w:p>
    <w:p w14:paraId="09E6C121" w14:textId="77777777" w:rsidR="005B5818" w:rsidRPr="0044582C" w:rsidRDefault="005B5818" w:rsidP="000E5B4A">
      <w:pPr>
        <w:pStyle w:val="Caption"/>
      </w:pPr>
      <w:bookmarkStart w:id="115" w:name="_Ref390969424"/>
      <w:bookmarkStart w:id="116" w:name="_Toc401061075"/>
      <w:r w:rsidRPr="0044582C">
        <w:lastRenderedPageBreak/>
        <w:t xml:space="preserve">Figure </w:t>
      </w:r>
      <w:r w:rsidR="005559F5" w:rsidRPr="0044582C">
        <w:fldChar w:fldCharType="begin"/>
      </w:r>
      <w:r w:rsidRPr="0044582C">
        <w:instrText xml:space="preserve"> SEQ Figure \* ARABIC </w:instrText>
      </w:r>
      <w:r w:rsidR="005559F5" w:rsidRPr="0044582C">
        <w:fldChar w:fldCharType="separate"/>
      </w:r>
      <w:r w:rsidR="0031717B">
        <w:rPr>
          <w:noProof/>
        </w:rPr>
        <w:t>22</w:t>
      </w:r>
      <w:r w:rsidR="005559F5" w:rsidRPr="0044582C">
        <w:rPr>
          <w:noProof/>
        </w:rPr>
        <w:fldChar w:fldCharType="end"/>
      </w:r>
      <w:bookmarkEnd w:id="115"/>
      <w:r w:rsidRPr="0044582C">
        <w:t xml:space="preserve">: Medical ADRG - where a specific </w:t>
      </w:r>
      <w:proofErr w:type="spellStart"/>
      <w:r w:rsidRPr="0044582C">
        <w:t>PDx</w:t>
      </w:r>
      <w:proofErr w:type="spellEnd"/>
      <w:r w:rsidRPr="0044582C">
        <w:t xml:space="preserve"> adds additional resources.</w:t>
      </w:r>
      <w:bookmarkEnd w:id="116"/>
    </w:p>
    <w:p w14:paraId="748BC65B" w14:textId="77777777" w:rsidR="005B5818" w:rsidRPr="008D7443" w:rsidRDefault="00632FF4" w:rsidP="00632FF4">
      <w:pPr>
        <w:ind w:left="360"/>
        <w:contextualSpacing/>
        <w:jc w:val="both"/>
      </w:pPr>
      <w:r w:rsidRPr="00632FF4">
        <w:rPr>
          <w:noProof/>
          <w:lang w:val="en-AU" w:eastAsia="en-AU"/>
        </w:rPr>
        <w:drawing>
          <wp:inline distT="0" distB="0" distL="0" distR="0" wp14:anchorId="2F7F02AC" wp14:editId="3696511C">
            <wp:extent cx="5363529" cy="3780000"/>
            <wp:effectExtent l="0" t="0" r="8890" b="0"/>
            <wp:docPr id="14355" name="Picture 14355" descr="The figure shows that the mean cost of ADRG G67 (Oesophagitis and Gastroenteritis) increases from $1,900 at one diagnosis (n=37,073) to $5,600 at five diagnoses (n=5,892). The mean cost of A04.7 (Enterocolitis due to Clostridium difficile) within ADRG G67 was, on average, $3,200 greater than ADRG G67 ; increasing from $4,400 at one diagnosis (n=443) to $9,600 at five diagnoses (n=352)." title="Medical ADRG - where a specific PDx adds additional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2"/>
                    <pic:cNvPicPr>
                      <a:picLocks noChangeAspect="1" noChangeArrowheads="1"/>
                    </pic:cNvPicPr>
                  </pic:nvPicPr>
                  <pic:blipFill>
                    <a:blip r:embed="rId792" cstate="print">
                      <a:extLst>
                        <a:ext uri="{28A0092B-C50C-407E-A947-70E740481C1C}">
                          <a14:useLocalDpi xmlns:a14="http://schemas.microsoft.com/office/drawing/2010/main" val="0"/>
                        </a:ext>
                      </a:extLst>
                    </a:blip>
                    <a:srcRect/>
                    <a:stretch>
                      <a:fillRect/>
                    </a:stretch>
                  </pic:blipFill>
                  <pic:spPr bwMode="auto">
                    <a:xfrm>
                      <a:off x="0" y="0"/>
                      <a:ext cx="5363529" cy="3780000"/>
                    </a:xfrm>
                    <a:prstGeom prst="rect">
                      <a:avLst/>
                    </a:prstGeom>
                    <a:noFill/>
                    <a:ln>
                      <a:noFill/>
                    </a:ln>
                  </pic:spPr>
                </pic:pic>
              </a:graphicData>
            </a:graphic>
          </wp:inline>
        </w:drawing>
      </w:r>
    </w:p>
    <w:p w14:paraId="31459A2E" w14:textId="77777777" w:rsidR="005B5818" w:rsidRDefault="005B5818" w:rsidP="000E5B4A">
      <w:pPr>
        <w:pStyle w:val="Caption"/>
        <w:rPr>
          <w:noProof/>
          <w:sz w:val="24"/>
          <w:szCs w:val="24"/>
        </w:rPr>
      </w:pPr>
      <w:bookmarkStart w:id="117" w:name="_Ref390969433"/>
      <w:bookmarkStart w:id="118" w:name="_Toc401061076"/>
      <w:r>
        <w:t xml:space="preserve">Figure </w:t>
      </w:r>
      <w:r w:rsidR="005559F5">
        <w:fldChar w:fldCharType="begin"/>
      </w:r>
      <w:r>
        <w:instrText xml:space="preserve"> SEQ Figure \* ARABIC </w:instrText>
      </w:r>
      <w:r w:rsidR="005559F5">
        <w:fldChar w:fldCharType="separate"/>
      </w:r>
      <w:r w:rsidR="0031717B">
        <w:rPr>
          <w:noProof/>
        </w:rPr>
        <w:t>23</w:t>
      </w:r>
      <w:r w:rsidR="005559F5">
        <w:rPr>
          <w:noProof/>
        </w:rPr>
        <w:fldChar w:fldCharType="end"/>
      </w:r>
      <w:bookmarkEnd w:id="117"/>
      <w:r>
        <w:t xml:space="preserve">: </w:t>
      </w:r>
      <w:r w:rsidRPr="00F0716B">
        <w:t xml:space="preserve">Other Medical DRG - contains the remainder of </w:t>
      </w:r>
      <w:proofErr w:type="spellStart"/>
      <w:r w:rsidRPr="00F0716B">
        <w:t>PD</w:t>
      </w:r>
      <w:r w:rsidRPr="00E66FDA">
        <w:t>x</w:t>
      </w:r>
      <w:r w:rsidRPr="00F0716B">
        <w:t>s</w:t>
      </w:r>
      <w:proofErr w:type="spellEnd"/>
      <w:r w:rsidRPr="00F0716B">
        <w:t xml:space="preserve"> that are not assigned to a specific medical ADRG</w:t>
      </w:r>
      <w:r w:rsidR="00345851">
        <w:t xml:space="preserve"> </w:t>
      </w:r>
      <w:r w:rsidRPr="00F0716B">
        <w:t>within the MDC.</w:t>
      </w:r>
      <w:bookmarkEnd w:id="118"/>
    </w:p>
    <w:p w14:paraId="563899C5" w14:textId="77777777" w:rsidR="005B5818" w:rsidRDefault="00632FF4" w:rsidP="005B5818">
      <w:r w:rsidRPr="00632FF4">
        <w:rPr>
          <w:noProof/>
          <w:lang w:val="en-AU" w:eastAsia="en-AU"/>
        </w:rPr>
        <w:drawing>
          <wp:inline distT="0" distB="0" distL="0" distR="0" wp14:anchorId="3FB263BB" wp14:editId="39A8DE7E">
            <wp:extent cx="5363529" cy="3780000"/>
            <wp:effectExtent l="0" t="0" r="8890" b="0"/>
            <wp:docPr id="14358" name="Picture 14358" descr="The figure shows that the mean cost of ADRG G70 (Other digestive system disorders) increases from $2,200 at one diagnosis (n=57,028) to $5,400 at five diagnoses (n=8,007). The mean cost of K57.22 (Diverticulitis of large intestine with perforation and abscess, without mention of haemorrhage) within ADRG G70 was, on average, $3,400 greater than ADRG G70 ; increasing from $5,200 at one diagnosis (n=1,021) to $9,400 at five diagnoses (n=103)." title="Other Medical DRG - contains the remainder of PDxs that are not assigned to a specific medical ADRG within the M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3"/>
                    <pic:cNvPicPr>
                      <a:picLocks noChangeAspect="1" noChangeArrowheads="1"/>
                    </pic:cNvPicPr>
                  </pic:nvPicPr>
                  <pic:blipFill>
                    <a:blip r:embed="rId793" cstate="print">
                      <a:extLst>
                        <a:ext uri="{28A0092B-C50C-407E-A947-70E740481C1C}">
                          <a14:useLocalDpi xmlns:a14="http://schemas.microsoft.com/office/drawing/2010/main" val="0"/>
                        </a:ext>
                      </a:extLst>
                    </a:blip>
                    <a:srcRect/>
                    <a:stretch>
                      <a:fillRect/>
                    </a:stretch>
                  </pic:blipFill>
                  <pic:spPr bwMode="auto">
                    <a:xfrm>
                      <a:off x="0" y="0"/>
                      <a:ext cx="5363529" cy="3780000"/>
                    </a:xfrm>
                    <a:prstGeom prst="rect">
                      <a:avLst/>
                    </a:prstGeom>
                    <a:noFill/>
                    <a:ln>
                      <a:noFill/>
                    </a:ln>
                  </pic:spPr>
                </pic:pic>
              </a:graphicData>
            </a:graphic>
          </wp:inline>
        </w:drawing>
      </w:r>
    </w:p>
    <w:p w14:paraId="54700A35" w14:textId="77777777" w:rsidR="005B5818" w:rsidRDefault="005B5818" w:rsidP="000B78D8">
      <w:pPr>
        <w:rPr>
          <w:szCs w:val="24"/>
        </w:rPr>
      </w:pPr>
      <w:r w:rsidRPr="00424555">
        <w:rPr>
          <w:szCs w:val="24"/>
        </w:rPr>
        <w:lastRenderedPageBreak/>
        <w:t xml:space="preserve">Regarding </w:t>
      </w:r>
      <w:r w:rsidR="00CC0F16">
        <w:fldChar w:fldCharType="begin"/>
      </w:r>
      <w:r w:rsidR="00CC0F16">
        <w:instrText xml:space="preserve"> REF _Ref390969433 \h  \* MERGEFORMAT </w:instrText>
      </w:r>
      <w:r w:rsidR="00CC0F16">
        <w:fldChar w:fldCharType="separate"/>
      </w:r>
      <w:r w:rsidR="0031717B" w:rsidRPr="0031717B">
        <w:rPr>
          <w:szCs w:val="24"/>
        </w:rPr>
        <w:t xml:space="preserve">Figure </w:t>
      </w:r>
      <w:r w:rsidR="0031717B" w:rsidRPr="0031717B">
        <w:rPr>
          <w:noProof/>
          <w:szCs w:val="24"/>
        </w:rPr>
        <w:t>23</w:t>
      </w:r>
      <w:r w:rsidR="00CC0F16">
        <w:fldChar w:fldCharType="end"/>
      </w:r>
      <w:r w:rsidRPr="00424555">
        <w:rPr>
          <w:szCs w:val="24"/>
        </w:rPr>
        <w:t>, t</w:t>
      </w:r>
      <w:r w:rsidRPr="00B5534A">
        <w:rPr>
          <w:szCs w:val="24"/>
        </w:rPr>
        <w:t xml:space="preserve">he </w:t>
      </w:r>
      <w:proofErr w:type="spellStart"/>
      <w:r w:rsidRPr="00B5534A">
        <w:rPr>
          <w:szCs w:val="24"/>
        </w:rPr>
        <w:t>PDx</w:t>
      </w:r>
      <w:proofErr w:type="spellEnd"/>
      <w:r w:rsidRPr="00B5534A">
        <w:rPr>
          <w:szCs w:val="24"/>
        </w:rPr>
        <w:t xml:space="preserve"> of K57.22 in ADRG G70 adds $</w:t>
      </w:r>
      <w:r w:rsidR="00CA562E">
        <w:rPr>
          <w:szCs w:val="24"/>
        </w:rPr>
        <w:t>3,002</w:t>
      </w:r>
      <w:r w:rsidRPr="00B5534A">
        <w:rPr>
          <w:szCs w:val="24"/>
        </w:rPr>
        <w:t xml:space="preserve"> to $</w:t>
      </w:r>
      <w:r w:rsidR="00CA562E">
        <w:rPr>
          <w:szCs w:val="24"/>
        </w:rPr>
        <w:t>3,951</w:t>
      </w:r>
      <w:r w:rsidRPr="00B5534A">
        <w:rPr>
          <w:szCs w:val="24"/>
        </w:rPr>
        <w:t xml:space="preserve"> across each of the groups. For the </w:t>
      </w:r>
      <w:r w:rsidR="00CA562E">
        <w:rPr>
          <w:szCs w:val="24"/>
        </w:rPr>
        <w:t>1,021</w:t>
      </w:r>
      <w:r w:rsidRPr="00B5534A">
        <w:rPr>
          <w:szCs w:val="24"/>
        </w:rPr>
        <w:t xml:space="preserve"> cases where K57.22 occurs as a </w:t>
      </w:r>
      <w:proofErr w:type="spellStart"/>
      <w:r w:rsidRPr="00B5534A">
        <w:rPr>
          <w:szCs w:val="24"/>
        </w:rPr>
        <w:t>PDx</w:t>
      </w:r>
      <w:proofErr w:type="spellEnd"/>
      <w:r w:rsidRPr="00B5534A">
        <w:rPr>
          <w:szCs w:val="24"/>
        </w:rPr>
        <w:t xml:space="preserve"> with </w:t>
      </w:r>
      <w:r w:rsidRPr="00424555">
        <w:rPr>
          <w:szCs w:val="24"/>
        </w:rPr>
        <w:t xml:space="preserve">no </w:t>
      </w:r>
      <w:proofErr w:type="spellStart"/>
      <w:r w:rsidR="000F1942">
        <w:rPr>
          <w:szCs w:val="24"/>
        </w:rPr>
        <w:t>ADx</w:t>
      </w:r>
      <w:proofErr w:type="spellEnd"/>
      <w:r w:rsidRPr="00424555">
        <w:rPr>
          <w:szCs w:val="24"/>
        </w:rPr>
        <w:t xml:space="preserve">, </w:t>
      </w:r>
      <w:r w:rsidR="00CA562E" w:rsidRPr="00B5534A">
        <w:rPr>
          <w:szCs w:val="24"/>
        </w:rPr>
        <w:t>K57.22</w:t>
      </w:r>
      <w:r w:rsidR="00CA562E">
        <w:rPr>
          <w:szCs w:val="24"/>
        </w:rPr>
        <w:t xml:space="preserve"> </w:t>
      </w:r>
      <w:r w:rsidRPr="00B5534A">
        <w:rPr>
          <w:szCs w:val="24"/>
        </w:rPr>
        <w:t>adds approximately an extra $</w:t>
      </w:r>
      <w:r w:rsidR="00CA562E">
        <w:rPr>
          <w:szCs w:val="24"/>
        </w:rPr>
        <w:t>3,002</w:t>
      </w:r>
      <w:r w:rsidRPr="00B5534A">
        <w:rPr>
          <w:szCs w:val="24"/>
        </w:rPr>
        <w:t xml:space="preserve"> compared to the average </w:t>
      </w:r>
      <w:proofErr w:type="spellStart"/>
      <w:r w:rsidRPr="00B5534A">
        <w:rPr>
          <w:szCs w:val="24"/>
        </w:rPr>
        <w:t>PDxs</w:t>
      </w:r>
      <w:proofErr w:type="spellEnd"/>
      <w:r w:rsidRPr="00B5534A">
        <w:rPr>
          <w:szCs w:val="24"/>
        </w:rPr>
        <w:t xml:space="preserve"> in this ADRG. Where K57.22 (103 cases) occurs with 4 other diagnoses, K57.22 adds approximately an extra $4,000 compared to the average episode with 5 diagnoses in this ADRG. The extra costs for the </w:t>
      </w:r>
      <w:proofErr w:type="spellStart"/>
      <w:r w:rsidRPr="00B5534A">
        <w:rPr>
          <w:szCs w:val="24"/>
        </w:rPr>
        <w:t>PDx</w:t>
      </w:r>
      <w:proofErr w:type="spellEnd"/>
      <w:r w:rsidRPr="00B5534A">
        <w:rPr>
          <w:szCs w:val="24"/>
        </w:rPr>
        <w:t xml:space="preserve"> is maintained irrespective of the</w:t>
      </w:r>
      <w:r w:rsidRPr="00424555">
        <w:rPr>
          <w:szCs w:val="24"/>
        </w:rPr>
        <w:t xml:space="preserve"> number of </w:t>
      </w:r>
      <w:proofErr w:type="spellStart"/>
      <w:r w:rsidR="000F1942">
        <w:rPr>
          <w:szCs w:val="24"/>
        </w:rPr>
        <w:t>ADx</w:t>
      </w:r>
      <w:proofErr w:type="spellEnd"/>
      <w:r>
        <w:rPr>
          <w:szCs w:val="24"/>
        </w:rPr>
        <w:t xml:space="preserve"> </w:t>
      </w:r>
      <w:r w:rsidRPr="00B5534A">
        <w:rPr>
          <w:szCs w:val="24"/>
        </w:rPr>
        <w:t>associated with it.</w:t>
      </w:r>
    </w:p>
    <w:p w14:paraId="694485D1" w14:textId="77777777" w:rsidR="00416B6B" w:rsidRDefault="00416B6B" w:rsidP="0073241C">
      <w:pPr>
        <w:shd w:val="clear" w:color="auto" w:fill="FFFFFF" w:themeFill="background1"/>
        <w:rPr>
          <w:szCs w:val="24"/>
        </w:rPr>
      </w:pPr>
      <w:r>
        <w:rPr>
          <w:szCs w:val="24"/>
        </w:rPr>
        <w:t>B</w:t>
      </w:r>
      <w:r w:rsidR="005B5818" w:rsidRPr="0073241C">
        <w:rPr>
          <w:szCs w:val="24"/>
        </w:rPr>
        <w:t xml:space="preserve">y including </w:t>
      </w:r>
      <w:proofErr w:type="spellStart"/>
      <w:r w:rsidR="005B5818" w:rsidRPr="0073241C">
        <w:rPr>
          <w:szCs w:val="24"/>
        </w:rPr>
        <w:t>PDx</w:t>
      </w:r>
      <w:proofErr w:type="spellEnd"/>
      <w:r w:rsidR="005B5818" w:rsidRPr="0073241C">
        <w:rPr>
          <w:szCs w:val="24"/>
        </w:rPr>
        <w:t xml:space="preserve"> in the grouping process, the ECC Model is considering all available patient clinical information to determine DCLs and an </w:t>
      </w:r>
      <w:r w:rsidR="0073241C">
        <w:rPr>
          <w:szCs w:val="24"/>
        </w:rPr>
        <w:t>ECCS</w:t>
      </w:r>
      <w:r w:rsidR="005B5818" w:rsidRPr="0073241C">
        <w:rPr>
          <w:szCs w:val="24"/>
        </w:rPr>
        <w:t xml:space="preserve">. Conversely, ignoring the </w:t>
      </w:r>
      <w:proofErr w:type="spellStart"/>
      <w:r w:rsidR="005B5818" w:rsidRPr="0073241C">
        <w:rPr>
          <w:szCs w:val="24"/>
        </w:rPr>
        <w:t>PDx</w:t>
      </w:r>
      <w:proofErr w:type="spellEnd"/>
      <w:r w:rsidR="005B5818" w:rsidRPr="0073241C">
        <w:rPr>
          <w:szCs w:val="24"/>
        </w:rPr>
        <w:t xml:space="preserve"> once the ADRG is selected discards important information, notably for surgical ADRGs but also for some medical ADRGs. </w:t>
      </w:r>
    </w:p>
    <w:p w14:paraId="04CE98B8" w14:textId="77777777" w:rsidR="0041530E" w:rsidRPr="002506C3" w:rsidRDefault="005B5818" w:rsidP="002C3992">
      <w:pPr>
        <w:rPr>
          <w:szCs w:val="24"/>
        </w:rPr>
      </w:pPr>
      <w:r w:rsidRPr="0073241C">
        <w:t xml:space="preserve">The proposed DCL process does not distinguish between </w:t>
      </w:r>
      <w:proofErr w:type="spellStart"/>
      <w:r w:rsidRPr="0073241C">
        <w:t>PDx</w:t>
      </w:r>
      <w:proofErr w:type="spellEnd"/>
      <w:r w:rsidRPr="0073241C">
        <w:t xml:space="preserve"> and </w:t>
      </w:r>
      <w:proofErr w:type="spellStart"/>
      <w:r w:rsidR="00453AF4">
        <w:t>ADx</w:t>
      </w:r>
      <w:proofErr w:type="spellEnd"/>
      <w:r w:rsidRPr="0073241C">
        <w:t xml:space="preserve"> in assessing the impact of diagnoses on cost variation within ADRGs.</w:t>
      </w:r>
      <w:r w:rsidR="00527035">
        <w:t xml:space="preserve"> In doing so, the ECC Model </w:t>
      </w:r>
      <w:r w:rsidR="00416B6B">
        <w:t>does not use</w:t>
      </w:r>
      <w:r w:rsidRPr="0073241C">
        <w:t xml:space="preserve"> the terms ‘complication’ and ‘comorbidity’ </w:t>
      </w:r>
      <w:r w:rsidR="00416B6B">
        <w:t xml:space="preserve">as they </w:t>
      </w:r>
      <w:r w:rsidRPr="0073241C">
        <w:t xml:space="preserve">are no longer an accurate description of the information used in calculating complexity and do not adequately represent the proposed case complexity </w:t>
      </w:r>
      <w:r w:rsidRPr="002C3992">
        <w:t>adjustment process</w:t>
      </w:r>
      <w:r w:rsidRPr="002506C3">
        <w:t xml:space="preserve">. </w:t>
      </w:r>
    </w:p>
    <w:p w14:paraId="04C56CA4" w14:textId="77777777" w:rsidR="00922D12" w:rsidRPr="0073241C" w:rsidRDefault="00922D12" w:rsidP="002506C3">
      <w:pPr>
        <w:keepNext/>
        <w:pBdr>
          <w:top w:val="single" w:sz="4" w:space="1" w:color="auto"/>
          <w:left w:val="single" w:sz="4" w:space="4" w:color="auto"/>
          <w:bottom w:val="single" w:sz="4" w:space="1" w:color="auto"/>
          <w:right w:val="single" w:sz="4" w:space="4" w:color="auto"/>
        </w:pBdr>
        <w:shd w:val="clear" w:color="auto" w:fill="DBE5F1" w:themeFill="accent1" w:themeFillTint="33"/>
        <w:rPr>
          <w:b/>
          <w:i/>
          <w:color w:val="1F497D" w:themeColor="text2"/>
          <w:szCs w:val="24"/>
          <w:lang w:val="en-AU"/>
        </w:rPr>
      </w:pPr>
      <w:bookmarkStart w:id="119" w:name="_Ref391716947"/>
      <w:r w:rsidRPr="0073241C">
        <w:rPr>
          <w:b/>
          <w:i/>
          <w:color w:val="1F497D" w:themeColor="text2"/>
          <w:szCs w:val="24"/>
          <w:lang w:val="en-AU"/>
        </w:rPr>
        <w:t xml:space="preserve">Key Finding </w:t>
      </w:r>
      <w:r w:rsidR="00FA7F1B">
        <w:rPr>
          <w:b/>
          <w:i/>
          <w:color w:val="1F497D" w:themeColor="text2"/>
          <w:szCs w:val="24"/>
          <w:lang w:val="en-AU"/>
        </w:rPr>
        <w:t>5</w:t>
      </w:r>
    </w:p>
    <w:p w14:paraId="24E57FFC" w14:textId="77777777" w:rsidR="00922D12" w:rsidRPr="0073241C" w:rsidRDefault="00CC7F03" w:rsidP="0073241C">
      <w:pPr>
        <w:pBdr>
          <w:top w:val="single" w:sz="4" w:space="1" w:color="auto"/>
          <w:left w:val="single" w:sz="4" w:space="4" w:color="auto"/>
          <w:bottom w:val="single" w:sz="4" w:space="1" w:color="auto"/>
          <w:right w:val="single" w:sz="4" w:space="4" w:color="auto"/>
        </w:pBdr>
        <w:shd w:val="clear" w:color="auto" w:fill="DBE5F1" w:themeFill="accent1" w:themeFillTint="33"/>
        <w:rPr>
          <w:i/>
          <w:szCs w:val="24"/>
          <w:lang w:val="en-AU"/>
        </w:rPr>
      </w:pPr>
      <w:r w:rsidRPr="00CC7F03">
        <w:rPr>
          <w:i/>
          <w:szCs w:val="24"/>
          <w:lang w:val="en-AU"/>
        </w:rPr>
        <w:t xml:space="preserve">Unlike the existing system, the </w:t>
      </w:r>
      <w:proofErr w:type="spellStart"/>
      <w:r w:rsidRPr="00CC7F03">
        <w:rPr>
          <w:i/>
          <w:szCs w:val="24"/>
          <w:lang w:val="en-AU"/>
        </w:rPr>
        <w:t>PDx</w:t>
      </w:r>
      <w:proofErr w:type="spellEnd"/>
      <w:r w:rsidRPr="00CC7F03">
        <w:rPr>
          <w:i/>
          <w:szCs w:val="24"/>
          <w:lang w:val="en-AU"/>
        </w:rPr>
        <w:t xml:space="preserve"> has been recognised to contain important information on complexity over and above its use in allocating an episode to an ADRG. This is especially true for surgical ADRGs. Many </w:t>
      </w:r>
      <w:r w:rsidR="009F11B8">
        <w:rPr>
          <w:i/>
          <w:szCs w:val="24"/>
          <w:lang w:val="en-AU"/>
        </w:rPr>
        <w:t>principal diagnoses</w:t>
      </w:r>
      <w:r w:rsidRPr="00CC7F03">
        <w:rPr>
          <w:i/>
          <w:szCs w:val="24"/>
          <w:lang w:val="en-AU"/>
        </w:rPr>
        <w:t xml:space="preserve"> are in fact combinations of health conditions, and include vital information on conditions that would otherwise be </w:t>
      </w:r>
      <w:r w:rsidR="009F11B8">
        <w:rPr>
          <w:i/>
          <w:szCs w:val="24"/>
          <w:lang w:val="en-AU"/>
        </w:rPr>
        <w:t>additional diagnose</w:t>
      </w:r>
      <w:r>
        <w:rPr>
          <w:i/>
          <w:szCs w:val="24"/>
          <w:lang w:val="en-AU"/>
        </w:rPr>
        <w:t>s</w:t>
      </w:r>
      <w:r w:rsidRPr="00CC7F03">
        <w:rPr>
          <w:i/>
          <w:szCs w:val="24"/>
          <w:lang w:val="en-AU"/>
        </w:rPr>
        <w:t>.</w:t>
      </w:r>
    </w:p>
    <w:p w14:paraId="136BA710" w14:textId="77777777" w:rsidR="00B31E9D" w:rsidRDefault="00B31E9D" w:rsidP="00B31E9D"/>
    <w:p w14:paraId="23F4D35A" w14:textId="77777777" w:rsidR="00C14CBB" w:rsidRPr="002506C3" w:rsidRDefault="00C14CBB" w:rsidP="00721499">
      <w:pPr>
        <w:pStyle w:val="Recommendation"/>
        <w:rPr>
          <w:b/>
          <w:color w:val="1F497D" w:themeColor="text2"/>
        </w:rPr>
      </w:pPr>
      <w:r w:rsidRPr="002506C3">
        <w:rPr>
          <w:b/>
          <w:color w:val="1F497D" w:themeColor="text2"/>
        </w:rPr>
        <w:t xml:space="preserve">Recommendation </w:t>
      </w:r>
      <w:r w:rsidR="00FA7F1B" w:rsidRPr="002506C3">
        <w:rPr>
          <w:b/>
          <w:color w:val="1F497D" w:themeColor="text2"/>
        </w:rPr>
        <w:t>3</w:t>
      </w:r>
    </w:p>
    <w:p w14:paraId="025CE290" w14:textId="77777777" w:rsidR="005B5818" w:rsidRPr="002506C3" w:rsidRDefault="00CC7F03" w:rsidP="00721499">
      <w:pPr>
        <w:pStyle w:val="Recommendation"/>
      </w:pPr>
      <w:r w:rsidRPr="002C3992">
        <w:t xml:space="preserve">Based on Key Finding </w:t>
      </w:r>
      <w:r w:rsidR="00FA7F1B" w:rsidRPr="002C3992">
        <w:t>5</w:t>
      </w:r>
      <w:r w:rsidRPr="002C3992">
        <w:t xml:space="preserve">, given the noted degree of variation in episode cost according to the </w:t>
      </w:r>
      <w:proofErr w:type="spellStart"/>
      <w:r w:rsidRPr="002C3992">
        <w:t>PDx</w:t>
      </w:r>
      <w:proofErr w:type="spellEnd"/>
      <w:r w:rsidRPr="002C3992">
        <w:t xml:space="preserve">, ACCD </w:t>
      </w:r>
      <w:r w:rsidR="001B36F4" w:rsidRPr="002C3992">
        <w:t>in</w:t>
      </w:r>
      <w:r w:rsidRPr="002C3992">
        <w:t xml:space="preserve"> consultation with the DTG and CCAG recommends that the </w:t>
      </w:r>
      <w:proofErr w:type="spellStart"/>
      <w:r w:rsidRPr="002C3992">
        <w:t>PDx</w:t>
      </w:r>
      <w:proofErr w:type="spellEnd"/>
      <w:r w:rsidRPr="002C3992">
        <w:t xml:space="preserve"> be included in the construction of DCLs, reflecting the information contained in many </w:t>
      </w:r>
      <w:r w:rsidR="009F11B8" w:rsidRPr="002C3992">
        <w:t>principal diagnoses</w:t>
      </w:r>
      <w:r w:rsidRPr="002C3992">
        <w:t xml:space="preserve"> on the complexity of a case within its assigned ADRG.</w:t>
      </w:r>
    </w:p>
    <w:p w14:paraId="406C7100" w14:textId="77777777" w:rsidR="005B5818" w:rsidRPr="00CE31B8" w:rsidRDefault="005B5818" w:rsidP="00B60372">
      <w:pPr>
        <w:pStyle w:val="Heading2"/>
      </w:pPr>
      <w:bookmarkStart w:id="120" w:name="_Guiding_principles_for"/>
      <w:bookmarkStart w:id="121" w:name="Guiding_Principles"/>
      <w:bookmarkStart w:id="122" w:name="_Ref392797692"/>
      <w:bookmarkStart w:id="123" w:name="_Ref393696697"/>
      <w:bookmarkStart w:id="124" w:name="_Toc401061045"/>
      <w:bookmarkEnd w:id="120"/>
      <w:r w:rsidRPr="008D7443">
        <w:lastRenderedPageBreak/>
        <w:t xml:space="preserve">Guiding </w:t>
      </w:r>
      <w:bookmarkEnd w:id="121"/>
      <w:r w:rsidR="008D09FF">
        <w:t>p</w:t>
      </w:r>
      <w:r w:rsidR="008D09FF" w:rsidRPr="008D7443">
        <w:t xml:space="preserve">rinciples </w:t>
      </w:r>
      <w:r w:rsidRPr="008D7443">
        <w:t xml:space="preserve">for Diagnosis Complexity Level </w:t>
      </w:r>
      <w:bookmarkEnd w:id="119"/>
      <w:bookmarkEnd w:id="122"/>
      <w:r w:rsidR="008D09FF">
        <w:t>a</w:t>
      </w:r>
      <w:r w:rsidR="008D09FF" w:rsidRPr="008D7443">
        <w:t>ssignment</w:t>
      </w:r>
      <w:bookmarkEnd w:id="123"/>
      <w:bookmarkEnd w:id="124"/>
    </w:p>
    <w:p w14:paraId="1B37D9CE" w14:textId="77777777" w:rsidR="0009721E" w:rsidRDefault="005B5818" w:rsidP="002506C3">
      <w:r w:rsidRPr="0073241C">
        <w:t xml:space="preserve">The identification of diagnoses permitted to be assigned nonzero DCLs (i.e. a score of 1, 2, 3, 4 or 5) </w:t>
      </w:r>
      <w:r w:rsidR="00652E42">
        <w:t>has been</w:t>
      </w:r>
      <w:r w:rsidR="00652E42" w:rsidRPr="0073241C">
        <w:t xml:space="preserve"> </w:t>
      </w:r>
      <w:r w:rsidRPr="0073241C">
        <w:t xml:space="preserve">guided by principles that aim to </w:t>
      </w:r>
      <w:proofErr w:type="spellStart"/>
      <w:r w:rsidRPr="0073241C">
        <w:t>characterise</w:t>
      </w:r>
      <w:proofErr w:type="spellEnd"/>
      <w:r w:rsidRPr="0073241C">
        <w:t xml:space="preserve"> the scope of the ECC </w:t>
      </w:r>
      <w:r w:rsidR="000E2F47">
        <w:t>M</w:t>
      </w:r>
      <w:r w:rsidR="000E2F47" w:rsidRPr="0073241C">
        <w:t xml:space="preserve">odel </w:t>
      </w:r>
      <w:r w:rsidRPr="0073241C">
        <w:t xml:space="preserve">in terms of diagnoses considered relevant for DRG classification purposes. The diagnoses identified as out of scope </w:t>
      </w:r>
      <w:r w:rsidR="00652E42">
        <w:t xml:space="preserve">are </w:t>
      </w:r>
      <w:r w:rsidRPr="0073241C">
        <w:t>called exclusions, some of which are excluded unconditionally and others excluded conditionally based upon certain criterion.</w:t>
      </w:r>
      <w:r w:rsidR="0009721E">
        <w:t xml:space="preserve"> This section p</w:t>
      </w:r>
      <w:r w:rsidR="00652E42">
        <w:t>resents the</w:t>
      </w:r>
      <w:r w:rsidR="0009721E">
        <w:t xml:space="preserve"> guiding principles and the resulting list of unconditional and conditional code exclusions</w:t>
      </w:r>
      <w:r w:rsidR="00652E42">
        <w:t xml:space="preserve"> for AR-DRG V8.0 and future AR-DRG versions</w:t>
      </w:r>
      <w:r w:rsidR="0009721E">
        <w:t xml:space="preserve"> </w:t>
      </w:r>
    </w:p>
    <w:p w14:paraId="48AB8548" w14:textId="77777777" w:rsidR="005B5818" w:rsidRPr="005E4F7E" w:rsidRDefault="005B5818" w:rsidP="006056B9">
      <w:pPr>
        <w:rPr>
          <w:szCs w:val="24"/>
        </w:rPr>
      </w:pPr>
      <w:r w:rsidRPr="005E4F7E">
        <w:rPr>
          <w:szCs w:val="24"/>
        </w:rPr>
        <w:t xml:space="preserve">In developing the methodological approach to unconditional and conditional exclusions, empirical data </w:t>
      </w:r>
      <w:r>
        <w:rPr>
          <w:szCs w:val="24"/>
        </w:rPr>
        <w:t>was</w:t>
      </w:r>
      <w:r w:rsidRPr="005E4F7E">
        <w:rPr>
          <w:szCs w:val="24"/>
        </w:rPr>
        <w:t xml:space="preserve"> initially interrogated by a team of ACCD Classification Specialists followed by consideration of identified unconditional and conditional exclusions using a small subgroup of Health Information Managers from the DTG. The </w:t>
      </w:r>
      <w:r w:rsidR="0073241C">
        <w:rPr>
          <w:szCs w:val="24"/>
        </w:rPr>
        <w:t xml:space="preserve">resultant </w:t>
      </w:r>
      <w:r w:rsidRPr="005E4F7E">
        <w:rPr>
          <w:szCs w:val="24"/>
        </w:rPr>
        <w:t xml:space="preserve">list of unconditional and conditional exclusions </w:t>
      </w:r>
      <w:r>
        <w:rPr>
          <w:szCs w:val="24"/>
        </w:rPr>
        <w:t>was</w:t>
      </w:r>
      <w:r w:rsidRPr="005E4F7E">
        <w:rPr>
          <w:szCs w:val="24"/>
        </w:rPr>
        <w:t xml:space="preserve"> then reviewed by the </w:t>
      </w:r>
      <w:r>
        <w:rPr>
          <w:szCs w:val="24"/>
        </w:rPr>
        <w:t>CCAG</w:t>
      </w:r>
      <w:r w:rsidRPr="005E4F7E">
        <w:rPr>
          <w:szCs w:val="24"/>
        </w:rPr>
        <w:t xml:space="preserve"> for input and </w:t>
      </w:r>
      <w:proofErr w:type="spellStart"/>
      <w:r w:rsidRPr="005E4F7E">
        <w:rPr>
          <w:szCs w:val="24"/>
        </w:rPr>
        <w:t>finalisation</w:t>
      </w:r>
      <w:proofErr w:type="spellEnd"/>
      <w:r w:rsidRPr="005E4F7E">
        <w:rPr>
          <w:szCs w:val="24"/>
        </w:rPr>
        <w:t>.</w:t>
      </w:r>
    </w:p>
    <w:p w14:paraId="77250600" w14:textId="77777777" w:rsidR="005B5818" w:rsidRDefault="005B5818" w:rsidP="006056B9">
      <w:pPr>
        <w:rPr>
          <w:szCs w:val="24"/>
        </w:rPr>
      </w:pPr>
      <w:r w:rsidRPr="005E4F7E">
        <w:rPr>
          <w:szCs w:val="24"/>
        </w:rPr>
        <w:t>Clinical determination of conditional exclusions</w:t>
      </w:r>
      <w:r w:rsidR="00453AF4">
        <w:rPr>
          <w:szCs w:val="24"/>
        </w:rPr>
        <w:t xml:space="preserve"> (CEs)</w:t>
      </w:r>
      <w:r w:rsidRPr="005E4F7E">
        <w:rPr>
          <w:szCs w:val="24"/>
        </w:rPr>
        <w:t xml:space="preserve"> for all (approximately) 16,000 codes </w:t>
      </w:r>
      <w:r w:rsidR="00652E42">
        <w:rPr>
          <w:szCs w:val="24"/>
        </w:rPr>
        <w:t xml:space="preserve">was </w:t>
      </w:r>
      <w:r w:rsidRPr="005E4F7E">
        <w:rPr>
          <w:szCs w:val="24"/>
        </w:rPr>
        <w:t>not possible</w:t>
      </w:r>
      <w:r w:rsidRPr="002D047C">
        <w:t xml:space="preserve"> </w:t>
      </w:r>
      <w:r w:rsidRPr="002D047C">
        <w:rPr>
          <w:szCs w:val="24"/>
        </w:rPr>
        <w:t>within the timeframe.</w:t>
      </w:r>
      <w:r w:rsidR="00345851">
        <w:rPr>
          <w:szCs w:val="24"/>
        </w:rPr>
        <w:t xml:space="preserve"> </w:t>
      </w:r>
      <w:r w:rsidRPr="002D047C">
        <w:rPr>
          <w:szCs w:val="24"/>
        </w:rPr>
        <w:t xml:space="preserve">Simply accepting </w:t>
      </w:r>
      <w:r w:rsidR="00652E42">
        <w:rPr>
          <w:szCs w:val="24"/>
        </w:rPr>
        <w:t>the current</w:t>
      </w:r>
      <w:r w:rsidRPr="002D047C">
        <w:rPr>
          <w:szCs w:val="24"/>
        </w:rPr>
        <w:t xml:space="preserve"> exclusions would </w:t>
      </w:r>
      <w:r w:rsidR="00652E42">
        <w:rPr>
          <w:szCs w:val="24"/>
        </w:rPr>
        <w:t xml:space="preserve">have </w:t>
      </w:r>
      <w:r w:rsidRPr="002D047C">
        <w:rPr>
          <w:szCs w:val="24"/>
        </w:rPr>
        <w:t>only result</w:t>
      </w:r>
      <w:r w:rsidR="00652E42">
        <w:rPr>
          <w:szCs w:val="24"/>
        </w:rPr>
        <w:t>ed</w:t>
      </w:r>
      <w:r w:rsidRPr="002D047C">
        <w:rPr>
          <w:szCs w:val="24"/>
        </w:rPr>
        <w:t xml:space="preserve"> in exclusions on clinical grounds for a minority of designated comorbidities</w:t>
      </w:r>
      <w:r w:rsidRPr="005E4F7E">
        <w:rPr>
          <w:szCs w:val="24"/>
        </w:rPr>
        <w:t>.</w:t>
      </w:r>
    </w:p>
    <w:p w14:paraId="62642EF3" w14:textId="77777777" w:rsidR="005B5818" w:rsidRPr="005E4F7E" w:rsidRDefault="005B5818" w:rsidP="006056B9">
      <w:pPr>
        <w:rPr>
          <w:szCs w:val="24"/>
        </w:rPr>
      </w:pPr>
      <w:r w:rsidRPr="002D047C">
        <w:rPr>
          <w:szCs w:val="24"/>
        </w:rPr>
        <w:t xml:space="preserve">In many cases </w:t>
      </w:r>
      <w:r>
        <w:rPr>
          <w:szCs w:val="24"/>
        </w:rPr>
        <w:t xml:space="preserve">diagnosis </w:t>
      </w:r>
      <w:r w:rsidRPr="002D047C">
        <w:rPr>
          <w:szCs w:val="24"/>
        </w:rPr>
        <w:t>codes are routinely used in association wit</w:t>
      </w:r>
      <w:r>
        <w:rPr>
          <w:szCs w:val="24"/>
        </w:rPr>
        <w:t>h</w:t>
      </w:r>
      <w:r w:rsidR="00453AF4">
        <w:rPr>
          <w:szCs w:val="24"/>
        </w:rPr>
        <w:t xml:space="preserve"> other codes.</w:t>
      </w:r>
      <w:r w:rsidR="00345851">
        <w:rPr>
          <w:szCs w:val="24"/>
        </w:rPr>
        <w:t xml:space="preserve"> </w:t>
      </w:r>
      <w:r w:rsidR="00453AF4">
        <w:rPr>
          <w:szCs w:val="24"/>
        </w:rPr>
        <w:t>To prevent ‘double counting’</w:t>
      </w:r>
      <w:r>
        <w:rPr>
          <w:szCs w:val="24"/>
        </w:rPr>
        <w:t>, an</w:t>
      </w:r>
      <w:r w:rsidRPr="005E4F7E">
        <w:rPr>
          <w:szCs w:val="24"/>
        </w:rPr>
        <w:t xml:space="preserve"> algorithm has been developed to ensure that the</w:t>
      </w:r>
      <w:r>
        <w:rPr>
          <w:szCs w:val="24"/>
        </w:rPr>
        <w:t>se</w:t>
      </w:r>
      <w:r w:rsidRPr="005E4F7E">
        <w:rPr>
          <w:szCs w:val="24"/>
        </w:rPr>
        <w:t xml:space="preserve"> diagnosis code</w:t>
      </w:r>
      <w:r>
        <w:rPr>
          <w:szCs w:val="24"/>
        </w:rPr>
        <w:t>s are removed. This method ensures that the proposed</w:t>
      </w:r>
      <w:r w:rsidRPr="005E4F7E">
        <w:rPr>
          <w:szCs w:val="24"/>
        </w:rPr>
        <w:t xml:space="preserve"> exclusion process can be </w:t>
      </w:r>
      <w:proofErr w:type="spellStart"/>
      <w:r w:rsidRPr="005E4F7E">
        <w:rPr>
          <w:szCs w:val="24"/>
        </w:rPr>
        <w:t>operationalised</w:t>
      </w:r>
      <w:proofErr w:type="spellEnd"/>
      <w:r w:rsidRPr="005E4F7E">
        <w:rPr>
          <w:szCs w:val="24"/>
        </w:rPr>
        <w:t xml:space="preserve"> and provide stability over time. Maintaining the existing (since AR-DRG V4.0) code exclusions without having a reason to do so </w:t>
      </w:r>
      <w:r w:rsidR="00652E42">
        <w:rPr>
          <w:szCs w:val="24"/>
        </w:rPr>
        <w:t>was</w:t>
      </w:r>
      <w:r w:rsidR="00652E42" w:rsidRPr="005E4F7E">
        <w:rPr>
          <w:szCs w:val="24"/>
        </w:rPr>
        <w:t xml:space="preserve"> </w:t>
      </w:r>
      <w:r w:rsidRPr="005E4F7E">
        <w:rPr>
          <w:szCs w:val="24"/>
        </w:rPr>
        <w:t>not feasible.</w:t>
      </w:r>
    </w:p>
    <w:p w14:paraId="386A1158" w14:textId="77777777" w:rsidR="005B5818" w:rsidRPr="005E4F7E" w:rsidRDefault="005B5818" w:rsidP="006056B9">
      <w:pPr>
        <w:rPr>
          <w:szCs w:val="24"/>
        </w:rPr>
      </w:pPr>
      <w:r w:rsidRPr="005E4F7E">
        <w:rPr>
          <w:szCs w:val="24"/>
        </w:rPr>
        <w:t xml:space="preserve">The following guiding principles identify the scope of the DCL within the ECC model and provide a fundamental underpinning to </w:t>
      </w:r>
      <w:r>
        <w:rPr>
          <w:szCs w:val="24"/>
        </w:rPr>
        <w:t>case complexity</w:t>
      </w:r>
      <w:r w:rsidRPr="005E4F7E">
        <w:rPr>
          <w:szCs w:val="24"/>
        </w:rPr>
        <w:t xml:space="preserve"> processing for AR-DRG V8.0.</w:t>
      </w:r>
    </w:p>
    <w:p w14:paraId="58283A7A" w14:textId="77777777" w:rsidR="005B5818" w:rsidRPr="00D33432" w:rsidRDefault="005B5818" w:rsidP="00B60372">
      <w:pPr>
        <w:pStyle w:val="Heading3"/>
      </w:pPr>
      <w:bookmarkStart w:id="125" w:name="_Ref400541226"/>
      <w:r w:rsidRPr="00D33432">
        <w:lastRenderedPageBreak/>
        <w:t>Diagnosis Complexity Level Assignment</w:t>
      </w:r>
      <w:bookmarkEnd w:id="125"/>
      <w:r w:rsidRPr="00D33432">
        <w:t xml:space="preserve"> </w:t>
      </w:r>
    </w:p>
    <w:p w14:paraId="1A584E89" w14:textId="77777777" w:rsidR="005B5818" w:rsidRPr="00CE31B8" w:rsidRDefault="005B5818" w:rsidP="006056B9">
      <w:pPr>
        <w:rPr>
          <w:szCs w:val="24"/>
        </w:rPr>
      </w:pPr>
      <w:r w:rsidRPr="00CE31B8">
        <w:rPr>
          <w:szCs w:val="24"/>
        </w:rPr>
        <w:t xml:space="preserve">The first stage of the ECC model </w:t>
      </w:r>
      <w:r w:rsidR="00652E42">
        <w:rPr>
          <w:szCs w:val="24"/>
        </w:rPr>
        <w:t>takes</w:t>
      </w:r>
      <w:r w:rsidR="00652E42" w:rsidRPr="00CE31B8">
        <w:rPr>
          <w:szCs w:val="24"/>
        </w:rPr>
        <w:t xml:space="preserve"> </w:t>
      </w:r>
      <w:r w:rsidRPr="00CE31B8">
        <w:rPr>
          <w:szCs w:val="24"/>
        </w:rPr>
        <w:t>an acute admitted episode and assigns a DCL to each of the episode’s allocated diagnosis codes. These DCLs measure the relative level of cost associated with the diagnoses and are specific to the ADRG to which the episode belongs.</w:t>
      </w:r>
    </w:p>
    <w:p w14:paraId="48C9AD0B" w14:textId="77777777" w:rsidR="005B5818" w:rsidRPr="00CE31B8" w:rsidRDefault="005B5818" w:rsidP="006056B9">
      <w:pPr>
        <w:rPr>
          <w:szCs w:val="24"/>
        </w:rPr>
      </w:pPr>
      <w:r w:rsidRPr="00CE31B8">
        <w:rPr>
          <w:szCs w:val="24"/>
        </w:rPr>
        <w:t xml:space="preserve">The DCLs of all possible combinations of diagnosis codes and ADRGs are stored in the DCL matrix/array, although many combinations may never occur in practice. The DCL scope of the ECC model is defined </w:t>
      </w:r>
      <w:r>
        <w:rPr>
          <w:szCs w:val="24"/>
        </w:rPr>
        <w:t>as</w:t>
      </w:r>
      <w:r w:rsidRPr="00CE31B8">
        <w:rPr>
          <w:szCs w:val="24"/>
        </w:rPr>
        <w:t xml:space="preserve"> those diagnosis codes that may receive a n</w:t>
      </w:r>
      <w:r>
        <w:rPr>
          <w:szCs w:val="24"/>
        </w:rPr>
        <w:t>onzero DCL in at least one ADRG;</w:t>
      </w:r>
      <w:r w:rsidRPr="00CE31B8">
        <w:rPr>
          <w:szCs w:val="24"/>
        </w:rPr>
        <w:t xml:space="preserve"> diagnoses falling outside the DCL scope (i.e. diagnosis codes that are always assigned a DCL of zero regardless of the ADRG in which they occur) are called unconditional exclusions</w:t>
      </w:r>
      <w:r w:rsidR="00652E42">
        <w:rPr>
          <w:szCs w:val="24"/>
        </w:rPr>
        <w:t xml:space="preserve"> (UEs)</w:t>
      </w:r>
      <w:r w:rsidRPr="00CE31B8">
        <w:rPr>
          <w:szCs w:val="24"/>
        </w:rPr>
        <w:t xml:space="preserve">. The following guiding principles </w:t>
      </w:r>
      <w:r w:rsidR="00922D7B">
        <w:rPr>
          <w:szCs w:val="24"/>
        </w:rPr>
        <w:t>have been used</w:t>
      </w:r>
      <w:r w:rsidRPr="00CE31B8">
        <w:rPr>
          <w:szCs w:val="24"/>
        </w:rPr>
        <w:t xml:space="preserve"> to identify diagnosis codes that may be assigned a nonzero DCL.</w:t>
      </w:r>
    </w:p>
    <w:p w14:paraId="7C005F93" w14:textId="77777777" w:rsidR="005B5818" w:rsidRDefault="005B5818" w:rsidP="006056B9">
      <w:r w:rsidRPr="00CE31B8">
        <w:t xml:space="preserve">For purposes of </w:t>
      </w:r>
      <w:r>
        <w:t>defining</w:t>
      </w:r>
      <w:r w:rsidRPr="00CE31B8">
        <w:t xml:space="preserve"> DCL scope within the ECC model</w:t>
      </w:r>
      <w:r>
        <w:t xml:space="preserve"> (i.e. defining the unconditional and conditional exclusions)</w:t>
      </w:r>
      <w:r w:rsidRPr="00CE31B8">
        <w:t xml:space="preserve">, ICD-10-AM diagnosis codes </w:t>
      </w:r>
      <w:r w:rsidR="00922D7B">
        <w:t>have been</w:t>
      </w:r>
      <w:r w:rsidRPr="00CE31B8">
        <w:t xml:space="preserve"> divided into </w:t>
      </w:r>
      <w:r>
        <w:t xml:space="preserve">the following </w:t>
      </w:r>
      <w:r w:rsidRPr="00CE31B8">
        <w:t>four groups</w:t>
      </w:r>
      <w:r>
        <w:t>.</w:t>
      </w:r>
    </w:p>
    <w:p w14:paraId="355F8FC7" w14:textId="77777777" w:rsidR="005B5818" w:rsidRPr="001D6B18" w:rsidRDefault="005B5818" w:rsidP="002506C3">
      <w:pPr>
        <w:numPr>
          <w:ilvl w:val="0"/>
          <w:numId w:val="83"/>
        </w:numPr>
      </w:pPr>
      <w:r w:rsidRPr="001D6B18">
        <w:t>Group 1: Chapter 18 Symptoms, signs and abnormal clinical and laboratory findings, not elsewhere classified (R00-R99)</w:t>
      </w:r>
    </w:p>
    <w:p w14:paraId="2E1B850F" w14:textId="77777777" w:rsidR="005B5818" w:rsidRPr="001D6B18" w:rsidRDefault="005B5818" w:rsidP="002506C3">
      <w:pPr>
        <w:numPr>
          <w:ilvl w:val="0"/>
          <w:numId w:val="83"/>
        </w:numPr>
      </w:pPr>
      <w:r w:rsidRPr="001D6B18">
        <w:t>Group 2: Chapter 21 Factors influencing health status and contact with health services (Z00-Z99)</w:t>
      </w:r>
    </w:p>
    <w:p w14:paraId="70CC5A07" w14:textId="77777777" w:rsidR="005B5818" w:rsidRPr="001D6B18" w:rsidRDefault="005B5818" w:rsidP="002506C3">
      <w:pPr>
        <w:numPr>
          <w:ilvl w:val="0"/>
          <w:numId w:val="83"/>
        </w:numPr>
      </w:pPr>
      <w:r w:rsidRPr="001D6B18">
        <w:t>Group 3: Unacceptable principal diagnoses</w:t>
      </w:r>
    </w:p>
    <w:p w14:paraId="6AA6A69E" w14:textId="77777777" w:rsidR="005B5818" w:rsidRPr="001D6B18" w:rsidRDefault="005B5818" w:rsidP="002506C3">
      <w:pPr>
        <w:numPr>
          <w:ilvl w:val="0"/>
          <w:numId w:val="83"/>
        </w:numPr>
      </w:pPr>
      <w:r w:rsidRPr="001D6B18">
        <w:t>Group 4: Special case exclusions</w:t>
      </w:r>
    </w:p>
    <w:p w14:paraId="1652E0C7" w14:textId="77777777" w:rsidR="005B5818" w:rsidRPr="00CE31B8" w:rsidRDefault="005B5818" w:rsidP="006056B9">
      <w:r w:rsidRPr="00CE31B8">
        <w:t xml:space="preserve">Care </w:t>
      </w:r>
      <w:r w:rsidR="00652E42">
        <w:t>was</w:t>
      </w:r>
      <w:r w:rsidRPr="00CE31B8">
        <w:t xml:space="preserve"> taken to exclude diagnoses that </w:t>
      </w:r>
      <w:r>
        <w:t>would not normally be assigned</w:t>
      </w:r>
      <w:r w:rsidRPr="00CE31B8">
        <w:t xml:space="preserve"> in an acute admitted setting and/or could undermine the </w:t>
      </w:r>
      <w:r w:rsidR="00922D7B">
        <w:t>ECC M</w:t>
      </w:r>
      <w:r w:rsidRPr="00CE31B8">
        <w:t>odel by either providing perverse incentives for code assignment and/or allowing the model to be devalued by the indiscriminate assignment of codes for unspecified, ill- defined and transient conditions.</w:t>
      </w:r>
    </w:p>
    <w:p w14:paraId="048602EB" w14:textId="77777777" w:rsidR="005B5818" w:rsidRPr="00D33432" w:rsidRDefault="005B5818" w:rsidP="00B60372">
      <w:pPr>
        <w:pStyle w:val="Heading3"/>
      </w:pPr>
      <w:r w:rsidRPr="00D33432">
        <w:lastRenderedPageBreak/>
        <w:t>DCL scope guiding principle 1</w:t>
      </w:r>
    </w:p>
    <w:p w14:paraId="242AB5EF" w14:textId="77777777" w:rsidR="005B5818" w:rsidRPr="00CE31B8" w:rsidRDefault="005B5818" w:rsidP="00B60372">
      <w:pPr>
        <w:rPr>
          <w:szCs w:val="24"/>
        </w:rPr>
      </w:pPr>
      <w:r w:rsidRPr="00CE31B8">
        <w:rPr>
          <w:szCs w:val="24"/>
        </w:rPr>
        <w:t xml:space="preserve">To assist in defining the DCL scope, the following guiding principle </w:t>
      </w:r>
      <w:r w:rsidR="00922D7B">
        <w:rPr>
          <w:szCs w:val="24"/>
        </w:rPr>
        <w:t>has been</w:t>
      </w:r>
      <w:r w:rsidR="00922D7B" w:rsidRPr="00CE31B8">
        <w:rPr>
          <w:szCs w:val="24"/>
        </w:rPr>
        <w:t xml:space="preserve"> </w:t>
      </w:r>
      <w:r w:rsidRPr="00CE31B8">
        <w:rPr>
          <w:szCs w:val="24"/>
        </w:rPr>
        <w:t xml:space="preserve">used to identify </w:t>
      </w:r>
      <w:r>
        <w:rPr>
          <w:szCs w:val="24"/>
        </w:rPr>
        <w:t>excluded codes, both unconditional (or UEs) and conditional</w:t>
      </w:r>
      <w:r w:rsidR="00453AF4">
        <w:rPr>
          <w:szCs w:val="24"/>
        </w:rPr>
        <w:t xml:space="preserve"> (CEs)</w:t>
      </w:r>
      <w:r w:rsidR="00DF456D">
        <w:rPr>
          <w:szCs w:val="24"/>
        </w:rPr>
        <w:t>, which have been assigned a DCL of zero</w:t>
      </w:r>
      <w:r w:rsidRPr="00CE31B8">
        <w:rPr>
          <w:szCs w:val="24"/>
        </w:rPr>
        <w:t>.</w:t>
      </w:r>
    </w:p>
    <w:p w14:paraId="15924D05" w14:textId="77777777" w:rsidR="005B5818" w:rsidRPr="00CE31B8" w:rsidRDefault="005B5818" w:rsidP="00B60372">
      <w:r w:rsidRPr="00CE31B8">
        <w:rPr>
          <w:b/>
        </w:rPr>
        <w:t>DCL scope guiding principle 1</w:t>
      </w:r>
      <w:r w:rsidRPr="00CE31B8">
        <w:t xml:space="preserve"> exclude</w:t>
      </w:r>
      <w:r w:rsidR="00A1132E">
        <w:t>s</w:t>
      </w:r>
      <w:r w:rsidRPr="00CE31B8">
        <w:t xml:space="preserve"> codes that provide additional or supplementary information to another code already assigned. </w:t>
      </w:r>
      <w:r>
        <w:t>G</w:t>
      </w:r>
      <w:r w:rsidRPr="00CE31B8">
        <w:t>enerally</w:t>
      </w:r>
      <w:r>
        <w:t>, these codes</w:t>
      </w:r>
      <w:r w:rsidRPr="00CE31B8">
        <w:t>:</w:t>
      </w:r>
    </w:p>
    <w:p w14:paraId="28A17F53" w14:textId="77777777" w:rsidR="005B5818" w:rsidRPr="00CE31B8" w:rsidRDefault="005B5818" w:rsidP="00B60372">
      <w:r w:rsidRPr="00CE31B8">
        <w:t>(a) Are of ill-defined and/or transient conditions or symptoms that may be best classified to other more specific chapters within the classification,</w:t>
      </w:r>
    </w:p>
    <w:p w14:paraId="569E6A11" w14:textId="77777777" w:rsidR="005B5818" w:rsidRPr="00CE31B8" w:rsidRDefault="005B5818" w:rsidP="00B60372">
      <w:r w:rsidRPr="00CE31B8">
        <w:t>(b) Provide context rather than information critical to the clinical description of an acute admitted episode of care, or</w:t>
      </w:r>
    </w:p>
    <w:p w14:paraId="165802FE" w14:textId="77777777" w:rsidR="005B5818" w:rsidRPr="00CE31B8" w:rsidRDefault="005B5818" w:rsidP="00B60372">
      <w:r w:rsidRPr="00CE31B8">
        <w:t>(c) Identify a characteristic that is already captured by other diagnosis codes present on the record of the acute admitted episode of care.</w:t>
      </w:r>
    </w:p>
    <w:p w14:paraId="49778491" w14:textId="77777777" w:rsidR="005B5818" w:rsidRPr="00CE31B8" w:rsidRDefault="005B5818" w:rsidP="00B60372">
      <w:r w:rsidRPr="00CE31B8">
        <w:t xml:space="preserve">Applying DCL guiding principle 1, UE codes </w:t>
      </w:r>
      <w:r w:rsidR="00922D7B">
        <w:t>have been</w:t>
      </w:r>
      <w:r w:rsidRPr="00CE31B8">
        <w:t xml:space="preserve"> broken into the following four groups. There are exceptions among Groups 1 to 4, which remain within the DCL scope (i.e. may receive a nonzero DCL), and these </w:t>
      </w:r>
      <w:r w:rsidR="00922D7B">
        <w:t>have been</w:t>
      </w:r>
      <w:r w:rsidR="00922D7B" w:rsidRPr="00CE31B8">
        <w:t xml:space="preserve"> </w:t>
      </w:r>
      <w:r w:rsidRPr="00CE31B8">
        <w:t xml:space="preserve">identified using DCL guiding principle 2, detailed </w:t>
      </w:r>
      <w:r>
        <w:t>below</w:t>
      </w:r>
      <w:r w:rsidRPr="00D33432">
        <w:t>.</w:t>
      </w:r>
    </w:p>
    <w:p w14:paraId="092594A8" w14:textId="77777777" w:rsidR="005B5818" w:rsidRDefault="005B5818" w:rsidP="00B60372">
      <w:pPr>
        <w:pStyle w:val="Heading4"/>
      </w:pPr>
      <w:r w:rsidRPr="00D80FAB">
        <w:t xml:space="preserve">Group 1: Chapter 18 Symptoms, signs and abnormal </w:t>
      </w:r>
      <w:r w:rsidRPr="002C3992">
        <w:t>clinical</w:t>
      </w:r>
      <w:r w:rsidRPr="00D80FAB">
        <w:t xml:space="preserve"> and laboratory findings, not elsewhere classified (R00-R99)</w:t>
      </w:r>
    </w:p>
    <w:p w14:paraId="01C4ACAE" w14:textId="77777777" w:rsidR="005B5818" w:rsidRPr="002506C3" w:rsidRDefault="005B5818" w:rsidP="00B60372">
      <w:pPr>
        <w:rPr>
          <w:b/>
          <w:szCs w:val="24"/>
        </w:rPr>
      </w:pPr>
      <w:r w:rsidRPr="00670A8A">
        <w:t xml:space="preserve">Group 1 codes (see </w:t>
      </w:r>
      <w:r>
        <w:t>Appendix 2</w:t>
      </w:r>
      <w:r w:rsidRPr="00670A8A">
        <w:t>)</w:t>
      </w:r>
      <w:r w:rsidRPr="00D80FAB">
        <w:t xml:space="preserve"> </w:t>
      </w:r>
      <w:r w:rsidR="00922D7B">
        <w:t>were</w:t>
      </w:r>
      <w:r w:rsidRPr="00D80FAB">
        <w:t xml:space="preserve"> considered UEs as they are generally unspecified, ill-defined and/or transient conditions that may be best classified to other chapters within the classification.</w:t>
      </w:r>
    </w:p>
    <w:p w14:paraId="712132CD" w14:textId="77777777" w:rsidR="005B5818" w:rsidRPr="001D6B18" w:rsidRDefault="005B5818" w:rsidP="00B60372">
      <w:pPr>
        <w:pStyle w:val="Heading4"/>
      </w:pPr>
      <w:r w:rsidRPr="00D80FAB">
        <w:lastRenderedPageBreak/>
        <w:t>Group 2:</w:t>
      </w:r>
      <w:r w:rsidRPr="001D6B18">
        <w:t xml:space="preserve"> Chapter 21 Factors influencing health status and contact with health services </w:t>
      </w:r>
      <w:r w:rsidRPr="00D80FAB">
        <w:t>(Z00-Z99)</w:t>
      </w:r>
    </w:p>
    <w:p w14:paraId="21A6C708" w14:textId="77777777" w:rsidR="005B5818" w:rsidRPr="00D80FAB" w:rsidRDefault="005B5818" w:rsidP="00B60372">
      <w:pPr>
        <w:keepNext/>
      </w:pPr>
      <w:r w:rsidRPr="00670A8A">
        <w:t xml:space="preserve">Group 2 or Z codes (see </w:t>
      </w:r>
      <w:r>
        <w:t>Appendix 3</w:t>
      </w:r>
      <w:r w:rsidRPr="00670A8A">
        <w:t xml:space="preserve">) </w:t>
      </w:r>
      <w:r w:rsidR="00922D7B">
        <w:t>were</w:t>
      </w:r>
      <w:r w:rsidR="00922D7B" w:rsidRPr="00D80FAB">
        <w:t xml:space="preserve"> </w:t>
      </w:r>
      <w:r w:rsidRPr="00D80FAB">
        <w:t xml:space="preserve">all considered UEs as they </w:t>
      </w:r>
      <w:r w:rsidRPr="002C3992">
        <w:t>provide</w:t>
      </w:r>
      <w:r w:rsidRPr="00D80FAB">
        <w:t xml:space="preserve"> context and are in themselves not acute conditions but are used:</w:t>
      </w:r>
    </w:p>
    <w:p w14:paraId="162E3F52" w14:textId="77777777" w:rsidR="005B5818" w:rsidRPr="00D80FAB" w:rsidRDefault="005B5818" w:rsidP="00B60372">
      <w:pPr>
        <w:pStyle w:val="Quote"/>
      </w:pPr>
      <w:r w:rsidRPr="00D80FAB">
        <w:t>‘for occasions when circumstances other than a disease, injury or external cause classifiable to categories A00–Y89 are recorded as 'diagnoses' or 'problems'. This can arise in two main ways:</w:t>
      </w:r>
    </w:p>
    <w:p w14:paraId="073FF639" w14:textId="77777777" w:rsidR="005B5818" w:rsidRPr="00D80FAB" w:rsidRDefault="005B5818" w:rsidP="00B60372">
      <w:pPr>
        <w:pStyle w:val="Quote"/>
        <w:numPr>
          <w:ilvl w:val="0"/>
          <w:numId w:val="108"/>
        </w:numPr>
        <w:tabs>
          <w:tab w:val="clear" w:pos="340"/>
          <w:tab w:val="num" w:pos="1202"/>
        </w:tabs>
        <w:ind w:left="1202"/>
      </w:pPr>
      <w:r w:rsidRPr="00D80FAB">
        <w:t>When a person who may or may not be sick encounters the health services for some specific purpose, such as to receive limited care or service for a current condition, to donate an organ or tissue, to receive prophylactic vaccination or to discuss a problem which is in itself not a disease or injury.</w:t>
      </w:r>
    </w:p>
    <w:p w14:paraId="3BD59C7C" w14:textId="77777777" w:rsidR="005B5818" w:rsidRPr="002C3992" w:rsidRDefault="005B5818" w:rsidP="00B60372">
      <w:pPr>
        <w:pStyle w:val="Quote"/>
        <w:numPr>
          <w:ilvl w:val="0"/>
          <w:numId w:val="108"/>
        </w:numPr>
        <w:tabs>
          <w:tab w:val="clear" w:pos="340"/>
          <w:tab w:val="num" w:pos="1202"/>
        </w:tabs>
        <w:ind w:left="1202"/>
      </w:pPr>
      <w:r w:rsidRPr="00D80FAB">
        <w:t>When some circumstance or problem is present which influences the person's health status but is not in itself a current illness or injury. Such factors may be elicited during population surveys, when the person may or may not be currently sick, or be recorded as an additional factor to be borne in mind when the person is receiving care for some illness or injury.’</w:t>
      </w:r>
      <w:r w:rsidR="00CA562E">
        <w:t xml:space="preserve"> (</w:t>
      </w:r>
      <w:r w:rsidR="006E5DD8">
        <w:t xml:space="preserve">ICCC, 2012b, </w:t>
      </w:r>
      <w:r w:rsidR="00CA562E">
        <w:t>p.501)</w:t>
      </w:r>
    </w:p>
    <w:p w14:paraId="0CE1083B" w14:textId="77777777" w:rsidR="005B5818" w:rsidRPr="00D80FAB" w:rsidRDefault="005B5818" w:rsidP="00B60372">
      <w:pPr>
        <w:pStyle w:val="Heading4"/>
      </w:pPr>
      <w:r w:rsidRPr="00D80FAB">
        <w:t>Group 3: Unacceptable principal diagnoses</w:t>
      </w:r>
    </w:p>
    <w:p w14:paraId="30058857" w14:textId="77777777" w:rsidR="005B5818" w:rsidRPr="002C3992" w:rsidRDefault="005B5818" w:rsidP="00B60372">
      <w:r w:rsidRPr="00D80FAB">
        <w:t xml:space="preserve">Codes that can only appear as an </w:t>
      </w:r>
      <w:proofErr w:type="spellStart"/>
      <w:r w:rsidR="00453AF4">
        <w:t>ADx</w:t>
      </w:r>
      <w:proofErr w:type="spellEnd"/>
      <w:r w:rsidRPr="00D80FAB">
        <w:t xml:space="preserve"> (i.e. codes that are considered unacceptable principal diagnoses, as per AR-DRG 961Z) (see </w:t>
      </w:r>
      <w:r>
        <w:t>Appendix 4</w:t>
      </w:r>
      <w:r w:rsidRPr="00670A8A">
        <w:t>).</w:t>
      </w:r>
      <w:r w:rsidR="00345851">
        <w:t xml:space="preserve"> </w:t>
      </w:r>
      <w:r w:rsidRPr="00D80FAB">
        <w:t>External cause, place of occurrence, activity and morphology codes have also been included in this group.</w:t>
      </w:r>
    </w:p>
    <w:p w14:paraId="5F4C4154" w14:textId="77777777" w:rsidR="005B5818" w:rsidRDefault="005B5818" w:rsidP="00B60372">
      <w:pPr>
        <w:pStyle w:val="Heading4"/>
      </w:pPr>
      <w:r w:rsidRPr="00D80FAB">
        <w:lastRenderedPageBreak/>
        <w:t>Group 4: Special case exclusions</w:t>
      </w:r>
    </w:p>
    <w:p w14:paraId="0B73178C" w14:textId="77777777" w:rsidR="005B5818" w:rsidRPr="00D80FAB" w:rsidRDefault="005B5818" w:rsidP="00B60372">
      <w:pPr>
        <w:keepNext/>
        <w:rPr>
          <w:b/>
        </w:rPr>
      </w:pPr>
      <w:r w:rsidRPr="00D80FAB">
        <w:t>Special case exclusions include the following sub-groups:</w:t>
      </w:r>
    </w:p>
    <w:p w14:paraId="595B1C24" w14:textId="77777777" w:rsidR="002C3992" w:rsidRDefault="005B5818" w:rsidP="00C83D03">
      <w:pPr>
        <w:pStyle w:val="Heading5"/>
      </w:pPr>
      <w:r w:rsidRPr="00534AAC">
        <w:t>Codes that add descriptive information to an already assigned ICD-10-AM code</w:t>
      </w:r>
    </w:p>
    <w:p w14:paraId="17537975" w14:textId="77777777" w:rsidR="005B5818" w:rsidRPr="00534AAC" w:rsidRDefault="002C3992" w:rsidP="00B60372">
      <w:r>
        <w:t>These codes</w:t>
      </w:r>
      <w:r w:rsidR="005B5818">
        <w:t xml:space="preserve"> </w:t>
      </w:r>
      <w:r w:rsidR="00922D7B">
        <w:t>have been</w:t>
      </w:r>
      <w:r w:rsidR="005B5818">
        <w:t xml:space="preserve"> considered UEs and</w:t>
      </w:r>
      <w:r w:rsidR="005B5818" w:rsidRPr="00534AAC">
        <w:t xml:space="preserve"> include:</w:t>
      </w:r>
    </w:p>
    <w:p w14:paraId="786731F3" w14:textId="77777777" w:rsidR="005B5818" w:rsidRPr="00CE31B8" w:rsidRDefault="005B5818" w:rsidP="00B60372">
      <w:pPr>
        <w:numPr>
          <w:ilvl w:val="0"/>
          <w:numId w:val="86"/>
        </w:numPr>
      </w:pPr>
      <w:r w:rsidRPr="002C3992">
        <w:rPr>
          <w:i/>
        </w:rPr>
        <w:t xml:space="preserve">Bacterial, viral and other infectious agents </w:t>
      </w:r>
      <w:r w:rsidRPr="00CE31B8">
        <w:t>(B95 – B97)</w:t>
      </w:r>
      <w:r w:rsidRPr="002C3992">
        <w:rPr>
          <w:i/>
        </w:rPr>
        <w:t>.</w:t>
      </w:r>
      <w:r w:rsidRPr="00CE31B8">
        <w:t xml:space="preserve"> These codes are assigned as additional diagnoses to a condition classified in another ICD-10-AM chapter to add descriptive information (when available) about the microorganism causing the condition.</w:t>
      </w:r>
    </w:p>
    <w:p w14:paraId="29F43D2D" w14:textId="77777777" w:rsidR="005B5818" w:rsidRPr="00CE31B8" w:rsidRDefault="005B5818" w:rsidP="00B60372">
      <w:pPr>
        <w:numPr>
          <w:ilvl w:val="0"/>
          <w:numId w:val="86"/>
        </w:numPr>
      </w:pPr>
      <w:r w:rsidRPr="002C3992">
        <w:rPr>
          <w:i/>
        </w:rPr>
        <w:t xml:space="preserve">Delivery </w:t>
      </w:r>
      <w:r w:rsidRPr="00CE31B8">
        <w:t>(O80 – O84).</w:t>
      </w:r>
      <w:r w:rsidRPr="002C3992">
        <w:rPr>
          <w:i/>
        </w:rPr>
        <w:t xml:space="preserve"> </w:t>
      </w:r>
      <w:r w:rsidRPr="00CE31B8">
        <w:t xml:space="preserve">In most instances, these codes are assigned as a principal or additional diagnosis </w:t>
      </w:r>
      <w:r>
        <w:t>with</w:t>
      </w:r>
      <w:r w:rsidRPr="00CE31B8">
        <w:t xml:space="preserve"> a condition classified elsewhere in Chapter 15, or to add descriptive information about the mode of delivery.</w:t>
      </w:r>
    </w:p>
    <w:p w14:paraId="19DBB19B" w14:textId="77777777" w:rsidR="005B5818" w:rsidRPr="00CE31B8" w:rsidRDefault="005B5818" w:rsidP="00B60372">
      <w:pPr>
        <w:numPr>
          <w:ilvl w:val="0"/>
          <w:numId w:val="86"/>
        </w:numPr>
      </w:pPr>
      <w:r w:rsidRPr="002506C3">
        <w:rPr>
          <w:i/>
        </w:rPr>
        <w:t xml:space="preserve">Fetus and newborn affected by maternal factors and by complications of pregnancy, </w:t>
      </w:r>
      <w:proofErr w:type="spellStart"/>
      <w:r w:rsidRPr="002506C3">
        <w:rPr>
          <w:i/>
        </w:rPr>
        <w:t>labour</w:t>
      </w:r>
      <w:proofErr w:type="spellEnd"/>
      <w:r w:rsidRPr="002506C3">
        <w:rPr>
          <w:i/>
        </w:rPr>
        <w:t xml:space="preserve"> and delivery </w:t>
      </w:r>
      <w:r w:rsidRPr="00CE31B8">
        <w:t xml:space="preserve">(P00 – P04) and P96.4 </w:t>
      </w:r>
      <w:r w:rsidRPr="002506C3">
        <w:rPr>
          <w:i/>
        </w:rPr>
        <w:t>Termination of pregnancy, affecting fetus and newborn</w:t>
      </w:r>
      <w:r w:rsidRPr="00CE31B8">
        <w:t>. These codes are assigned as additional diagnoses to</w:t>
      </w:r>
      <w:r>
        <w:t xml:space="preserve"> </w:t>
      </w:r>
      <w:r w:rsidRPr="00CE31B8">
        <w:t>a condition classified in another ICD-10-AM chapter to add descriptive information about the cause of the condition.</w:t>
      </w:r>
    </w:p>
    <w:p w14:paraId="1C393B03" w14:textId="77777777" w:rsidR="005B5818" w:rsidRPr="002C3992" w:rsidRDefault="005B5818" w:rsidP="00B60372">
      <w:pPr>
        <w:numPr>
          <w:ilvl w:val="0"/>
          <w:numId w:val="86"/>
        </w:numPr>
        <w:rPr>
          <w:i/>
        </w:rPr>
      </w:pPr>
      <w:r w:rsidRPr="002C3992">
        <w:rPr>
          <w:i/>
        </w:rPr>
        <w:t>Burns involving less than 10% of body surface, with less than 10 % or unspecified full thickness burns</w:t>
      </w:r>
      <w:r w:rsidRPr="00CE31B8">
        <w:t xml:space="preserve"> (T31.00). This UE is supplementary to categories T20-T25 and T29 which provide greater detail in relation to complexity from within the 3-character category according to erythema, partial thickness or full thickness burns of specific body sites </w:t>
      </w:r>
    </w:p>
    <w:p w14:paraId="5A99A24D" w14:textId="77777777" w:rsidR="005B5818" w:rsidRPr="00D33432" w:rsidRDefault="005B5818" w:rsidP="00B60372">
      <w:pPr>
        <w:numPr>
          <w:ilvl w:val="0"/>
          <w:numId w:val="86"/>
        </w:numPr>
      </w:pPr>
      <w:r w:rsidRPr="002C3992">
        <w:rPr>
          <w:i/>
        </w:rPr>
        <w:t>Diabetes mellitus and impaired glucose with multiple microvascular complications</w:t>
      </w:r>
      <w:r w:rsidRPr="00534AAC">
        <w:t xml:space="preserve"> (E09 – E14 with 4th and 5th character subdivision of .71). These codes have been identified as cluster codes that always accompany the microvascular complication diabetes codes assigned from the E09 – E14 code range.</w:t>
      </w:r>
    </w:p>
    <w:p w14:paraId="52F4575D" w14:textId="77777777" w:rsidR="002C3992" w:rsidRDefault="005B5818" w:rsidP="00C83D03">
      <w:pPr>
        <w:pStyle w:val="Heading5"/>
      </w:pPr>
      <w:r w:rsidRPr="00D33432">
        <w:t xml:space="preserve">Sequelae (late effect) codes </w:t>
      </w:r>
      <w:r>
        <w:t>not appearing in Group 3</w:t>
      </w:r>
      <w:r w:rsidR="002C3992">
        <w:t>.</w:t>
      </w:r>
    </w:p>
    <w:p w14:paraId="02C85A23" w14:textId="77777777" w:rsidR="005B5818" w:rsidRDefault="005B5818" w:rsidP="00B60372">
      <w:r>
        <w:t xml:space="preserve">Unacceptable principal diagnoses </w:t>
      </w:r>
      <w:r w:rsidRPr="00D33432">
        <w:t xml:space="preserve">are not directly related to the immediate clinical profile of the patient but to one of causality </w:t>
      </w:r>
      <w:r>
        <w:t xml:space="preserve">and </w:t>
      </w:r>
      <w:r w:rsidR="00922D7B">
        <w:t>have been</w:t>
      </w:r>
      <w:r>
        <w:t xml:space="preserve"> considered UEs </w:t>
      </w:r>
      <w:r w:rsidRPr="00D33432">
        <w:t>(</w:t>
      </w:r>
      <w:r w:rsidRPr="00670A8A">
        <w:t xml:space="preserve">See </w:t>
      </w:r>
      <w:r>
        <w:t>Appendix 5</w:t>
      </w:r>
      <w:r w:rsidRPr="00670A8A">
        <w:t>).</w:t>
      </w:r>
      <w:r w:rsidRPr="00D33432">
        <w:t xml:space="preserve"> </w:t>
      </w:r>
    </w:p>
    <w:p w14:paraId="5B36B1E7" w14:textId="77777777" w:rsidR="002C3992" w:rsidRDefault="005B5818" w:rsidP="00C83D03">
      <w:pPr>
        <w:pStyle w:val="Heading5"/>
      </w:pPr>
      <w:r w:rsidRPr="00D33432">
        <w:lastRenderedPageBreak/>
        <w:t>Full-time dagger (</w:t>
      </w:r>
      <w:proofErr w:type="spellStart"/>
      <w:r w:rsidRPr="00D33432">
        <w:t>aetiology</w:t>
      </w:r>
      <w:proofErr w:type="spellEnd"/>
      <w:r w:rsidRPr="00D33432">
        <w:t>) codes.</w:t>
      </w:r>
    </w:p>
    <w:p w14:paraId="5C53C5CF" w14:textId="53281CAB" w:rsidR="005B5818" w:rsidRPr="00D33432" w:rsidRDefault="00745B6B" w:rsidP="00B60372">
      <w:r w:rsidRPr="00745B6B">
        <w:t>These codes are always accompanied by asterisk (manifestation) codes which, as a consequence of the dagger code exclusion, will be assigned the joint DCL of the dagger/asterisk pair. These dagger codes have been considered to be UEs (See Appendix 6).</w:t>
      </w:r>
    </w:p>
    <w:p w14:paraId="14D86D58" w14:textId="77777777" w:rsidR="002C3992" w:rsidRDefault="005B5818" w:rsidP="00C83D03">
      <w:pPr>
        <w:pStyle w:val="Heading5"/>
      </w:pPr>
      <w:r w:rsidRPr="00D33432">
        <w:t xml:space="preserve">Conditional Exclusions (CEs) </w:t>
      </w:r>
    </w:p>
    <w:p w14:paraId="4DE785F6" w14:textId="77777777" w:rsidR="005B5818" w:rsidRPr="00D33432" w:rsidRDefault="002C3992" w:rsidP="002506C3">
      <w:r>
        <w:t xml:space="preserve">These codes </w:t>
      </w:r>
      <w:r w:rsidR="005B5818">
        <w:t xml:space="preserve">have been identified for </w:t>
      </w:r>
      <w:r w:rsidR="005B5818" w:rsidRPr="00D33432">
        <w:t>particular dagger asterisk pairs of DCL in-scope codes</w:t>
      </w:r>
      <w:r w:rsidR="005B5818">
        <w:t>. I</w:t>
      </w:r>
      <w:r w:rsidR="005B5818" w:rsidRPr="00D33432">
        <w:t xml:space="preserve">n </w:t>
      </w:r>
      <w:r w:rsidR="005B5818">
        <w:t>these cases,</w:t>
      </w:r>
      <w:r w:rsidR="005B5818" w:rsidRPr="00D33432">
        <w:t xml:space="preserve"> the dagger code is excluded from being assigned a DCL whenever the asterisk code is present (i.e. asterisk code excludes dagger code from receiving a DCL).</w:t>
      </w:r>
    </w:p>
    <w:p w14:paraId="460B02A9" w14:textId="77777777" w:rsidR="005B5818" w:rsidRPr="00CE31B8" w:rsidRDefault="005B5818" w:rsidP="002506C3">
      <w:r w:rsidRPr="00CE31B8">
        <w:t>A dagger asterisk pair</w:t>
      </w:r>
      <w:r w:rsidR="00F833A3">
        <w:rPr>
          <w:rStyle w:val="FootnoteReference"/>
        </w:rPr>
        <w:footnoteReference w:id="14"/>
      </w:r>
      <w:r w:rsidRPr="00CE31B8">
        <w:t xml:space="preserve"> </w:t>
      </w:r>
      <w:r w:rsidR="00E14BB2" w:rsidRPr="00E14BB2">
        <w:t>(</w:t>
      </w:r>
      <w:proofErr w:type="spellStart"/>
      <w:r w:rsidR="00E14BB2" w:rsidRPr="00E14BB2">
        <w:t>x,y</w:t>
      </w:r>
      <w:proofErr w:type="spellEnd"/>
      <w:r w:rsidR="00E14BB2" w:rsidRPr="00E14BB2">
        <w:t xml:space="preserve">), where x is the dagger code and y is the asterisk code, </w:t>
      </w:r>
      <w:r w:rsidRPr="00CE31B8">
        <w:t>is defined as a CE whenever y is a full-time asterisk code and x is the only dagger code associated with y. In this case, (</w:t>
      </w:r>
      <w:proofErr w:type="spellStart"/>
      <w:r w:rsidRPr="00CE31B8">
        <w:t>y,x</w:t>
      </w:r>
      <w:proofErr w:type="spellEnd"/>
      <w:r w:rsidRPr="00CE31B8">
        <w:t xml:space="preserve">) </w:t>
      </w:r>
      <w:r w:rsidR="00922D7B">
        <w:t>has been</w:t>
      </w:r>
      <w:r w:rsidR="00922D7B" w:rsidRPr="00CE31B8">
        <w:t xml:space="preserve"> </w:t>
      </w:r>
      <w:r w:rsidRPr="00CE31B8">
        <w:t xml:space="preserve">defined as a CE, where y excludes x from receiving a DCL. </w:t>
      </w:r>
      <w:r>
        <w:t>Appendix 7</w:t>
      </w:r>
      <w:r w:rsidRPr="00670A8A">
        <w:t xml:space="preserve"> </w:t>
      </w:r>
      <w:r w:rsidRPr="00CE31B8">
        <w:t xml:space="preserve">lists the </w:t>
      </w:r>
      <w:r w:rsidR="00453AF4">
        <w:t>CEs</w:t>
      </w:r>
      <w:r w:rsidRPr="00CE31B8">
        <w:t>.</w:t>
      </w:r>
    </w:p>
    <w:p w14:paraId="2F71F47F" w14:textId="77777777" w:rsidR="005B5818" w:rsidRPr="00CE31B8" w:rsidRDefault="005B5818" w:rsidP="00B60372">
      <w:pPr>
        <w:pStyle w:val="Heading3"/>
      </w:pPr>
      <w:r w:rsidRPr="00CE31B8">
        <w:t>DCL scope guiding principle 2</w:t>
      </w:r>
    </w:p>
    <w:p w14:paraId="41BD8394" w14:textId="77777777" w:rsidR="005B5818" w:rsidRPr="00CE31B8" w:rsidRDefault="005B5818" w:rsidP="00B60372">
      <w:pPr>
        <w:pStyle w:val="Heading4"/>
      </w:pPr>
      <w:r w:rsidRPr="00CE31B8">
        <w:t>Codes identified as ‘in scope’ f</w:t>
      </w:r>
      <w:r w:rsidR="0041530E">
        <w:t>or DCL assignment from Groups 1</w:t>
      </w:r>
      <w:r w:rsidRPr="00CE31B8">
        <w:t>– 3</w:t>
      </w:r>
      <w:r>
        <w:t xml:space="preserve"> above</w:t>
      </w:r>
    </w:p>
    <w:p w14:paraId="1E6D9DA2" w14:textId="77777777" w:rsidR="005B5818" w:rsidRDefault="005B5818" w:rsidP="005B5818">
      <w:pPr>
        <w:rPr>
          <w:szCs w:val="24"/>
        </w:rPr>
      </w:pPr>
      <w:r w:rsidRPr="00CE31B8">
        <w:rPr>
          <w:szCs w:val="24"/>
        </w:rPr>
        <w:t>The DCL guiding princi</w:t>
      </w:r>
      <w:r>
        <w:rPr>
          <w:szCs w:val="24"/>
        </w:rPr>
        <w:t>ple 2</w:t>
      </w:r>
      <w:r w:rsidR="002C3992">
        <w:rPr>
          <w:rStyle w:val="FootnoteReference"/>
          <w:szCs w:val="24"/>
        </w:rPr>
        <w:footnoteReference w:id="15"/>
      </w:r>
      <w:r>
        <w:rPr>
          <w:szCs w:val="24"/>
        </w:rPr>
        <w:t xml:space="preserve"> </w:t>
      </w:r>
      <w:r w:rsidR="00922D7B">
        <w:rPr>
          <w:szCs w:val="24"/>
        </w:rPr>
        <w:t xml:space="preserve">has been </w:t>
      </w:r>
      <w:r>
        <w:rPr>
          <w:szCs w:val="24"/>
        </w:rPr>
        <w:t xml:space="preserve">used to identify </w:t>
      </w:r>
      <w:r w:rsidRPr="00CE31B8">
        <w:rPr>
          <w:szCs w:val="24"/>
        </w:rPr>
        <w:t xml:space="preserve">ICD-10-AM diagnosis codes </w:t>
      </w:r>
      <w:r>
        <w:rPr>
          <w:szCs w:val="24"/>
        </w:rPr>
        <w:t xml:space="preserve">from Groups 1 -3 </w:t>
      </w:r>
      <w:r w:rsidRPr="00CE31B8">
        <w:rPr>
          <w:szCs w:val="24"/>
        </w:rPr>
        <w:t>that are defined as within the DCL scope (i.e. capable of being assigned a nonzero DCL).</w:t>
      </w:r>
      <w:r>
        <w:rPr>
          <w:szCs w:val="24"/>
        </w:rPr>
        <w:t xml:space="preserve"> That is, these </w:t>
      </w:r>
      <w:r w:rsidR="00922D7B">
        <w:rPr>
          <w:szCs w:val="24"/>
        </w:rPr>
        <w:t xml:space="preserve">have been </w:t>
      </w:r>
      <w:r>
        <w:rPr>
          <w:szCs w:val="24"/>
        </w:rPr>
        <w:t>identified as exclusions from the unconditional exclusion list.</w:t>
      </w:r>
    </w:p>
    <w:p w14:paraId="6E4513A9" w14:textId="77777777" w:rsidR="005B5818" w:rsidRPr="00CE31B8" w:rsidRDefault="00B31E9D" w:rsidP="00F44AB0">
      <w:pPr>
        <w:rPr>
          <w:szCs w:val="24"/>
        </w:rPr>
      </w:pPr>
      <w:r w:rsidRPr="00CE31B8">
        <w:rPr>
          <w:b/>
          <w:szCs w:val="24"/>
        </w:rPr>
        <w:t>DCL scope guiding principle 2</w:t>
      </w:r>
      <w:r w:rsidRPr="00CE31B8">
        <w:rPr>
          <w:szCs w:val="24"/>
        </w:rPr>
        <w:t xml:space="preserve"> identifies codes from </w:t>
      </w:r>
      <w:r>
        <w:rPr>
          <w:szCs w:val="24"/>
        </w:rPr>
        <w:t>groups 1 -</w:t>
      </w:r>
      <w:r w:rsidRPr="00CE31B8">
        <w:rPr>
          <w:szCs w:val="24"/>
        </w:rPr>
        <w:t xml:space="preserve"> 3 </w:t>
      </w:r>
      <w:r>
        <w:rPr>
          <w:szCs w:val="24"/>
        </w:rPr>
        <w:t>above</w:t>
      </w:r>
      <w:r w:rsidRPr="00CE31B8">
        <w:rPr>
          <w:szCs w:val="24"/>
        </w:rPr>
        <w:t xml:space="preserve"> that are capable of providing information critical to the clinical description of an acute admitted episode of </w:t>
      </w:r>
      <w:r w:rsidR="00721499" w:rsidRPr="00CE31B8">
        <w:rPr>
          <w:szCs w:val="24"/>
        </w:rPr>
        <w:t>care. The</w:t>
      </w:r>
      <w:r w:rsidR="005B5818" w:rsidRPr="00CE31B8">
        <w:rPr>
          <w:szCs w:val="24"/>
        </w:rPr>
        <w:t xml:space="preserve"> following in-scope codes from Group 1 to 3 have been identified for inclusion:</w:t>
      </w:r>
    </w:p>
    <w:p w14:paraId="6B1022FE" w14:textId="77777777" w:rsidR="005B5818" w:rsidRPr="00940F81" w:rsidRDefault="005B5818" w:rsidP="00F44AB0">
      <w:pPr>
        <w:numPr>
          <w:ilvl w:val="0"/>
          <w:numId w:val="89"/>
        </w:numPr>
      </w:pPr>
      <w:r w:rsidRPr="00940F81">
        <w:lastRenderedPageBreak/>
        <w:t>Codes from Chapter 18 Signs and symptoms (from Group 1) have been determined in scope for a DCL as they meet ACS 1802 Signs and symptoms, specifically point f</w:t>
      </w:r>
      <w:r w:rsidR="002C3992">
        <w:t>:</w:t>
      </w:r>
      <w:r w:rsidRPr="00940F81">
        <w:t xml:space="preserve"> “certain symptoms, for which supplementary information is provided, that represent important problems in medical care in their own right.” Codes include:</w:t>
      </w:r>
    </w:p>
    <w:p w14:paraId="651B59FD" w14:textId="77777777" w:rsidR="005B5818" w:rsidRPr="002506C3" w:rsidRDefault="005B5818" w:rsidP="00F44AB0">
      <w:pPr>
        <w:pStyle w:val="ListBullet2"/>
        <w:ind w:left="964"/>
      </w:pPr>
      <w:r w:rsidRPr="00CE31B8">
        <w:t xml:space="preserve">R02 </w:t>
      </w:r>
      <w:r w:rsidRPr="00721499">
        <w:rPr>
          <w:i/>
        </w:rPr>
        <w:t>Gangrene, not elsewhere classified</w:t>
      </w:r>
    </w:p>
    <w:p w14:paraId="65583884" w14:textId="77777777" w:rsidR="005B5818" w:rsidRPr="002506C3" w:rsidRDefault="005B5818" w:rsidP="00721499">
      <w:pPr>
        <w:pStyle w:val="ListBullet2"/>
      </w:pPr>
      <w:r w:rsidRPr="00CE31B8">
        <w:t xml:space="preserve">R15 </w:t>
      </w:r>
      <w:proofErr w:type="spellStart"/>
      <w:r w:rsidRPr="00721499">
        <w:rPr>
          <w:i/>
        </w:rPr>
        <w:t>Faecal</w:t>
      </w:r>
      <w:proofErr w:type="spellEnd"/>
      <w:r w:rsidRPr="00721499">
        <w:rPr>
          <w:i/>
        </w:rPr>
        <w:t xml:space="preserve"> incontinence</w:t>
      </w:r>
    </w:p>
    <w:p w14:paraId="047D1897" w14:textId="77777777" w:rsidR="005B5818" w:rsidRPr="00CE31B8" w:rsidRDefault="005B5818" w:rsidP="00721499">
      <w:pPr>
        <w:pStyle w:val="ListBullet2"/>
      </w:pPr>
      <w:r w:rsidRPr="00CE31B8">
        <w:t xml:space="preserve">R18 </w:t>
      </w:r>
      <w:r w:rsidRPr="00721499">
        <w:rPr>
          <w:i/>
        </w:rPr>
        <w:t>Ascites</w:t>
      </w:r>
    </w:p>
    <w:p w14:paraId="4E251D44" w14:textId="77777777" w:rsidR="005B5818" w:rsidRPr="00CE31B8" w:rsidRDefault="005B5818" w:rsidP="00721499">
      <w:pPr>
        <w:pStyle w:val="ListBullet2"/>
      </w:pPr>
      <w:r w:rsidRPr="00CE31B8">
        <w:t xml:space="preserve">R32 </w:t>
      </w:r>
      <w:r w:rsidRPr="00721499">
        <w:rPr>
          <w:i/>
        </w:rPr>
        <w:t>Unspecified urinary incontinence</w:t>
      </w:r>
    </w:p>
    <w:p w14:paraId="00E08D54" w14:textId="77777777" w:rsidR="005B5818" w:rsidRPr="002506C3" w:rsidRDefault="005B5818" w:rsidP="00721499">
      <w:pPr>
        <w:pStyle w:val="ListBullet2"/>
      </w:pPr>
      <w:r w:rsidRPr="00CE31B8">
        <w:t xml:space="preserve">R40.2 </w:t>
      </w:r>
      <w:r w:rsidRPr="00721499">
        <w:rPr>
          <w:i/>
        </w:rPr>
        <w:t>Coma, unspecified</w:t>
      </w:r>
    </w:p>
    <w:p w14:paraId="419A77E7" w14:textId="77777777" w:rsidR="005B5818" w:rsidRPr="002506C3" w:rsidRDefault="005B5818" w:rsidP="00721499">
      <w:pPr>
        <w:pStyle w:val="ListBullet2"/>
      </w:pPr>
      <w:r w:rsidRPr="00CE31B8">
        <w:t xml:space="preserve">R56.- </w:t>
      </w:r>
      <w:r w:rsidRPr="00721499">
        <w:rPr>
          <w:i/>
        </w:rPr>
        <w:t>Convulsions, not elsewhere classified</w:t>
      </w:r>
    </w:p>
    <w:p w14:paraId="5DF6AF16" w14:textId="77777777" w:rsidR="005B5818" w:rsidRPr="00CE31B8" w:rsidRDefault="005B5818" w:rsidP="00721499">
      <w:pPr>
        <w:pStyle w:val="ListBullet2"/>
      </w:pPr>
      <w:r w:rsidRPr="00CE31B8">
        <w:t xml:space="preserve">R57.- </w:t>
      </w:r>
      <w:r w:rsidRPr="00721499">
        <w:rPr>
          <w:i/>
        </w:rPr>
        <w:t>Shock, not elsewhere classified</w:t>
      </w:r>
    </w:p>
    <w:p w14:paraId="5BA7BFF3" w14:textId="77777777" w:rsidR="005B5818" w:rsidRPr="00CE31B8" w:rsidRDefault="005B5818" w:rsidP="00721499">
      <w:pPr>
        <w:pStyle w:val="ListBullet2"/>
      </w:pPr>
      <w:r w:rsidRPr="00CE31B8">
        <w:t xml:space="preserve">R65.- </w:t>
      </w:r>
      <w:r w:rsidRPr="00721499">
        <w:rPr>
          <w:i/>
        </w:rPr>
        <w:t>Systemic inflammatory response syndrome (SIRS)</w:t>
      </w:r>
    </w:p>
    <w:p w14:paraId="4D7BA8C4" w14:textId="77777777" w:rsidR="005B5818" w:rsidRPr="002506C3" w:rsidRDefault="005B5818" w:rsidP="00721499">
      <w:pPr>
        <w:pStyle w:val="ListBullet2"/>
      </w:pPr>
      <w:r w:rsidRPr="00CE31B8">
        <w:t xml:space="preserve">R95.- </w:t>
      </w:r>
      <w:r w:rsidRPr="00721499">
        <w:rPr>
          <w:i/>
        </w:rPr>
        <w:t>Sudden Infant death syndrome</w:t>
      </w:r>
    </w:p>
    <w:p w14:paraId="1C0638BA" w14:textId="77777777" w:rsidR="005B5818" w:rsidRPr="00940F81" w:rsidRDefault="005B5818" w:rsidP="002506C3">
      <w:pPr>
        <w:numPr>
          <w:ilvl w:val="0"/>
          <w:numId w:val="90"/>
        </w:numPr>
      </w:pPr>
      <w:r w:rsidRPr="002C3992">
        <w:rPr>
          <w:i/>
        </w:rPr>
        <w:t>Open wound</w:t>
      </w:r>
      <w:r w:rsidRPr="00940F81">
        <w:t xml:space="preserve"> categories: S01.-, S11.-, S21.-, S31.-, S41.-, S51.-, S61.-, S71.-, S81.- and S91.- (from Group 3)</w:t>
      </w:r>
    </w:p>
    <w:p w14:paraId="35BB0306" w14:textId="77777777" w:rsidR="005B5818" w:rsidRPr="00940F81" w:rsidRDefault="005B5818" w:rsidP="002506C3">
      <w:pPr>
        <w:numPr>
          <w:ilvl w:val="0"/>
          <w:numId w:val="90"/>
        </w:numPr>
      </w:pPr>
      <w:r w:rsidRPr="00940F81">
        <w:t xml:space="preserve">S06.05 </w:t>
      </w:r>
      <w:r w:rsidRPr="002506C3">
        <w:rPr>
          <w:i/>
        </w:rPr>
        <w:t xml:space="preserve">Loss of consciousness of prolonged duration (more than 24 hours) without return to pre-existing conscious level </w:t>
      </w:r>
      <w:r w:rsidRPr="00940F81">
        <w:t>(from Group 3)</w:t>
      </w:r>
    </w:p>
    <w:p w14:paraId="626FD3A5" w14:textId="31E78E5F" w:rsidR="005B5818" w:rsidRPr="00940F81" w:rsidRDefault="005B5818" w:rsidP="002506C3">
      <w:pPr>
        <w:numPr>
          <w:ilvl w:val="0"/>
          <w:numId w:val="90"/>
        </w:numPr>
      </w:pPr>
      <w:r w:rsidRPr="00940F81">
        <w:t xml:space="preserve">Group 3 codes from within the code range T31.10 – T31.99 </w:t>
      </w:r>
      <w:r w:rsidRPr="002C3992">
        <w:rPr>
          <w:i/>
        </w:rPr>
        <w:t>Burns classified according to extent of body surface involved</w:t>
      </w:r>
      <w:r w:rsidRPr="00940F81">
        <w:t xml:space="preserve">. NB: Category T31.00 is a UE (see point 4 in </w:t>
      </w:r>
      <w:r w:rsidR="00E25984">
        <w:t>6.2.4</w:t>
      </w:r>
      <w:r w:rsidRPr="00940F81">
        <w:t xml:space="preserve"> above</w:t>
      </w:r>
      <w:r w:rsidR="00A77E60">
        <w:t>, p. 82</w:t>
      </w:r>
      <w:r w:rsidRPr="00940F81">
        <w:t>)</w:t>
      </w:r>
    </w:p>
    <w:p w14:paraId="7717524E" w14:textId="77777777" w:rsidR="005B5818" w:rsidRPr="00940F81" w:rsidRDefault="005B5818" w:rsidP="002506C3">
      <w:pPr>
        <w:numPr>
          <w:ilvl w:val="0"/>
          <w:numId w:val="90"/>
        </w:numPr>
      </w:pPr>
      <w:r w:rsidRPr="00940F81">
        <w:t xml:space="preserve">Codes from Chapter 21 </w:t>
      </w:r>
      <w:r w:rsidRPr="002506C3">
        <w:rPr>
          <w:i/>
        </w:rPr>
        <w:t xml:space="preserve">Factors influencing health status and contact with health services </w:t>
      </w:r>
      <w:r w:rsidRPr="00940F81">
        <w:t>including:</w:t>
      </w:r>
    </w:p>
    <w:p w14:paraId="54BD73B8" w14:textId="77777777" w:rsidR="005B5818" w:rsidRPr="00CE31B8" w:rsidRDefault="005B5818" w:rsidP="00721499">
      <w:pPr>
        <w:pStyle w:val="ListBullet2"/>
      </w:pPr>
      <w:r w:rsidRPr="00CE31B8">
        <w:t xml:space="preserve">Z06 </w:t>
      </w:r>
      <w:r w:rsidRPr="002506C3">
        <w:rPr>
          <w:i/>
        </w:rPr>
        <w:t>Resistance to antimicrobial dru</w:t>
      </w:r>
      <w:r w:rsidRPr="00CE31B8">
        <w:t>gs (appear in Group 2 and 3)</w:t>
      </w:r>
    </w:p>
    <w:p w14:paraId="030D3D94" w14:textId="77777777" w:rsidR="005B5818" w:rsidRPr="00CE31B8" w:rsidRDefault="005B5818" w:rsidP="00721499">
      <w:pPr>
        <w:pStyle w:val="ListBullet2"/>
      </w:pPr>
      <w:r w:rsidRPr="00CE31B8">
        <w:t xml:space="preserve">Z21 </w:t>
      </w:r>
      <w:r w:rsidRPr="002506C3">
        <w:rPr>
          <w:i/>
        </w:rPr>
        <w:t>Asymptomatic human immunodeficiency virus (HIV) infection status</w:t>
      </w:r>
    </w:p>
    <w:p w14:paraId="2E00012D" w14:textId="77777777" w:rsidR="005B5818" w:rsidRPr="00CE31B8" w:rsidRDefault="005B5818" w:rsidP="00721499">
      <w:pPr>
        <w:pStyle w:val="ListBullet2"/>
      </w:pPr>
      <w:r w:rsidRPr="00CE31B8">
        <w:t xml:space="preserve">Code range Z34 to Z35 </w:t>
      </w:r>
      <w:r w:rsidRPr="002506C3">
        <w:rPr>
          <w:i/>
        </w:rPr>
        <w:t>Supervision of normal and high risk pregnancies</w:t>
      </w:r>
    </w:p>
    <w:p w14:paraId="5139EDD8" w14:textId="77777777" w:rsidR="00922D7B" w:rsidRPr="00CE31B8" w:rsidRDefault="005B5818" w:rsidP="00721499">
      <w:pPr>
        <w:pStyle w:val="ListBullet2"/>
      </w:pPr>
      <w:r w:rsidRPr="00CE31B8">
        <w:t xml:space="preserve">Z92.1 </w:t>
      </w:r>
      <w:r w:rsidRPr="002506C3">
        <w:t>Personal history of long term (current) use of anticoagulan</w:t>
      </w:r>
      <w:r w:rsidRPr="00CE31B8">
        <w:t>ts</w:t>
      </w:r>
    </w:p>
    <w:p w14:paraId="366667CA" w14:textId="77777777" w:rsidR="005B5818" w:rsidRPr="00824132" w:rsidRDefault="005B5818" w:rsidP="00DF6AB4">
      <w:pPr>
        <w:jc w:val="both"/>
        <w:rPr>
          <w:szCs w:val="24"/>
        </w:rPr>
      </w:pPr>
      <w:r w:rsidRPr="00DF6AB4">
        <w:rPr>
          <w:b/>
          <w:szCs w:val="24"/>
        </w:rPr>
        <w:t>Total number of UEs identified:</w:t>
      </w:r>
      <w:r w:rsidRPr="00824132">
        <w:rPr>
          <w:szCs w:val="24"/>
        </w:rPr>
        <w:t xml:space="preserve"> </w:t>
      </w:r>
      <w:r>
        <w:rPr>
          <w:szCs w:val="24"/>
        </w:rPr>
        <w:t>4,285</w:t>
      </w:r>
      <w:r w:rsidRPr="00824132">
        <w:rPr>
          <w:szCs w:val="24"/>
        </w:rPr>
        <w:t xml:space="preserve"> codes (not counting morphology codes)</w:t>
      </w:r>
      <w:r w:rsidR="00A1132E">
        <w:rPr>
          <w:szCs w:val="24"/>
        </w:rPr>
        <w:t xml:space="preserve">. </w:t>
      </w:r>
      <w:r w:rsidRPr="00824132">
        <w:rPr>
          <w:szCs w:val="24"/>
        </w:rPr>
        <w:t>Most (3,105) are external cause, place of occurrence and activity codes.</w:t>
      </w:r>
    </w:p>
    <w:p w14:paraId="11A86E94" w14:textId="77777777" w:rsidR="00DF6AB4" w:rsidRDefault="005B5818" w:rsidP="002506C3">
      <w:pPr>
        <w:jc w:val="both"/>
        <w:rPr>
          <w:szCs w:val="24"/>
        </w:rPr>
      </w:pPr>
      <w:r w:rsidRPr="00DF6AB4">
        <w:rPr>
          <w:b/>
          <w:szCs w:val="24"/>
        </w:rPr>
        <w:lastRenderedPageBreak/>
        <w:t>DCL assignment</w:t>
      </w:r>
      <w:r w:rsidR="00A1132E">
        <w:rPr>
          <w:b/>
          <w:szCs w:val="24"/>
        </w:rPr>
        <w:t>:</w:t>
      </w:r>
      <w:r w:rsidR="00A1132E">
        <w:rPr>
          <w:szCs w:val="24"/>
        </w:rPr>
        <w:t xml:space="preserve"> </w:t>
      </w:r>
      <w:r w:rsidRPr="00824132">
        <w:rPr>
          <w:szCs w:val="24"/>
        </w:rPr>
        <w:t xml:space="preserve">Of the total 16,708 diagnosis codes (not counting morphology codes), </w:t>
      </w:r>
      <w:r>
        <w:rPr>
          <w:szCs w:val="24"/>
        </w:rPr>
        <w:t xml:space="preserve">12,423 </w:t>
      </w:r>
      <w:r w:rsidRPr="00824132">
        <w:rPr>
          <w:szCs w:val="24"/>
        </w:rPr>
        <w:t>codes remain in-scope for DCL assignment within the ECC Model.</w:t>
      </w:r>
    </w:p>
    <w:p w14:paraId="05A6CE1B" w14:textId="77777777" w:rsidR="00A1132E" w:rsidRPr="00DF6AB4" w:rsidRDefault="00A1132E" w:rsidP="00F44AB0">
      <w:pPr>
        <w:keepNext/>
        <w:pBdr>
          <w:top w:val="single" w:sz="4" w:space="1" w:color="auto"/>
          <w:left w:val="single" w:sz="4" w:space="4" w:color="auto"/>
          <w:bottom w:val="single" w:sz="4" w:space="1" w:color="auto"/>
          <w:right w:val="single" w:sz="4" w:space="4" w:color="auto"/>
        </w:pBdr>
        <w:shd w:val="clear" w:color="auto" w:fill="DBE5F1" w:themeFill="accent1" w:themeFillTint="33"/>
        <w:rPr>
          <w:b/>
          <w:i/>
          <w:color w:val="1F497D" w:themeColor="text2"/>
          <w:szCs w:val="24"/>
          <w:lang w:val="en-AU"/>
        </w:rPr>
      </w:pPr>
      <w:r w:rsidRPr="00DF6AB4">
        <w:rPr>
          <w:b/>
          <w:i/>
          <w:color w:val="1F497D" w:themeColor="text2"/>
          <w:szCs w:val="24"/>
          <w:lang w:val="en-AU"/>
        </w:rPr>
        <w:t xml:space="preserve">Key Finding </w:t>
      </w:r>
      <w:r w:rsidR="00FA7F1B">
        <w:rPr>
          <w:b/>
          <w:i/>
          <w:color w:val="1F497D" w:themeColor="text2"/>
          <w:szCs w:val="24"/>
          <w:lang w:val="en-AU"/>
        </w:rPr>
        <w:t>6</w:t>
      </w:r>
    </w:p>
    <w:p w14:paraId="6B3D86F9" w14:textId="77777777" w:rsidR="00A1132E" w:rsidRPr="00DF6AB4" w:rsidRDefault="008310F7" w:rsidP="00F44AB0">
      <w:pPr>
        <w:keepLines/>
        <w:pBdr>
          <w:top w:val="single" w:sz="4" w:space="1" w:color="auto"/>
          <w:left w:val="single" w:sz="4" w:space="4" w:color="auto"/>
          <w:bottom w:val="single" w:sz="4" w:space="1" w:color="auto"/>
          <w:right w:val="single" w:sz="4" w:space="4" w:color="auto"/>
        </w:pBdr>
        <w:shd w:val="clear" w:color="auto" w:fill="DBE5F1" w:themeFill="accent1" w:themeFillTint="33"/>
        <w:rPr>
          <w:i/>
          <w:szCs w:val="24"/>
        </w:rPr>
      </w:pPr>
      <w:r w:rsidRPr="008310F7">
        <w:rPr>
          <w:i/>
          <w:szCs w:val="24"/>
        </w:rPr>
        <w:t xml:space="preserve">The list of diagnoses permitted to be assigned nonzero DCLs has been guided by principles that aim to </w:t>
      </w:r>
      <w:proofErr w:type="spellStart"/>
      <w:r w:rsidRPr="008310F7">
        <w:rPr>
          <w:i/>
          <w:szCs w:val="24"/>
        </w:rPr>
        <w:t>characterise</w:t>
      </w:r>
      <w:proofErr w:type="spellEnd"/>
      <w:r w:rsidRPr="008310F7">
        <w:rPr>
          <w:i/>
          <w:szCs w:val="24"/>
        </w:rPr>
        <w:t xml:space="preserve"> the scope of the ECC model in terms of diagnoses considered relevant for DRG classification purposes. The diagnoses identified as out of scope are called exclusions, some of which have been excluded unconditionally and others excluded conditionally (depending on other diagnoses present) based upon guiding principles for DCL assignment.</w:t>
      </w:r>
    </w:p>
    <w:p w14:paraId="326FDBE5" w14:textId="77777777" w:rsidR="00A1132E" w:rsidRDefault="00A1132E" w:rsidP="00DF6AB4">
      <w:pPr>
        <w:jc w:val="both"/>
        <w:rPr>
          <w:b/>
          <w:szCs w:val="24"/>
          <w:lang w:val="en-AU"/>
        </w:rPr>
      </w:pPr>
    </w:p>
    <w:p w14:paraId="0853A727" w14:textId="77777777" w:rsidR="00A1132E" w:rsidRPr="00721499" w:rsidRDefault="00A1132E" w:rsidP="00721499">
      <w:pPr>
        <w:pStyle w:val="Recommendation"/>
        <w:rPr>
          <w:b/>
          <w:color w:val="1F497D" w:themeColor="text2"/>
        </w:rPr>
      </w:pPr>
      <w:r w:rsidRPr="00721499">
        <w:rPr>
          <w:b/>
          <w:color w:val="1F497D" w:themeColor="text2"/>
        </w:rPr>
        <w:t xml:space="preserve">Recommendation </w:t>
      </w:r>
      <w:r w:rsidR="00FA7F1B" w:rsidRPr="00721499">
        <w:rPr>
          <w:b/>
          <w:color w:val="1F497D" w:themeColor="text2"/>
        </w:rPr>
        <w:t>4</w:t>
      </w:r>
    </w:p>
    <w:p w14:paraId="0C40372C" w14:textId="77777777" w:rsidR="005B5818" w:rsidRDefault="008310F7" w:rsidP="00721499">
      <w:pPr>
        <w:pStyle w:val="Recommendation"/>
      </w:pPr>
      <w:r w:rsidRPr="008310F7">
        <w:t xml:space="preserve">Based on Key Finding </w:t>
      </w:r>
      <w:r w:rsidR="00FA7F1B">
        <w:t>6</w:t>
      </w:r>
      <w:r w:rsidRPr="008310F7">
        <w:t xml:space="preserve">, ACCD in consultation with the DTG and CCAG recommends that the proposed guiding principles for DCL assignment and list of </w:t>
      </w:r>
      <w:r w:rsidR="00600595">
        <w:t>identified</w:t>
      </w:r>
      <w:r w:rsidR="00600595" w:rsidRPr="008310F7">
        <w:t xml:space="preserve"> </w:t>
      </w:r>
      <w:r w:rsidRPr="008310F7">
        <w:t>exclusions (unconditional and conditional) be adopted</w:t>
      </w:r>
      <w:r w:rsidR="001B36F4">
        <w:t>.</w:t>
      </w:r>
    </w:p>
    <w:p w14:paraId="169148B6" w14:textId="77777777" w:rsidR="005B5818" w:rsidRPr="00A263CB" w:rsidRDefault="005B5818" w:rsidP="00B60372">
      <w:pPr>
        <w:pStyle w:val="Heading2"/>
      </w:pPr>
      <w:bookmarkStart w:id="126" w:name="_The_use_of"/>
      <w:bookmarkStart w:id="127" w:name="_Ref400541252"/>
      <w:bookmarkStart w:id="128" w:name="_Toc401061046"/>
      <w:bookmarkEnd w:id="126"/>
      <w:r w:rsidRPr="00A263CB">
        <w:lastRenderedPageBreak/>
        <w:t xml:space="preserve">The use of </w:t>
      </w:r>
      <w:r w:rsidR="004C70DD">
        <w:t>c</w:t>
      </w:r>
      <w:r w:rsidRPr="00A263CB">
        <w:t xml:space="preserve">ondition </w:t>
      </w:r>
      <w:r w:rsidR="004C70DD">
        <w:t>o</w:t>
      </w:r>
      <w:r w:rsidRPr="00A263CB">
        <w:t xml:space="preserve">nset </w:t>
      </w:r>
      <w:r w:rsidR="004C70DD">
        <w:t>f</w:t>
      </w:r>
      <w:r w:rsidRPr="00A263CB">
        <w:t>lag in classification design</w:t>
      </w:r>
      <w:bookmarkEnd w:id="127"/>
      <w:bookmarkEnd w:id="128"/>
      <w:r w:rsidRPr="00A263CB">
        <w:t xml:space="preserve"> </w:t>
      </w:r>
    </w:p>
    <w:p w14:paraId="5E9F2AA8" w14:textId="77777777" w:rsidR="009F11B8" w:rsidRPr="009F11B8" w:rsidRDefault="009F11B8" w:rsidP="002506C3">
      <w:r w:rsidRPr="009F11B8">
        <w:t>As per Australian Coding Standard 0048 ‘The condition onset flag (COF) is a means of differentiating those conditions which arise during, from those arising before, an admitted patient episode of care.’ Permissible values are:</w:t>
      </w:r>
    </w:p>
    <w:p w14:paraId="1B34663F" w14:textId="77777777" w:rsidR="009F11B8" w:rsidRPr="009F11B8" w:rsidRDefault="009F11B8" w:rsidP="002506C3">
      <w:pPr>
        <w:numPr>
          <w:ilvl w:val="0"/>
          <w:numId w:val="91"/>
        </w:numPr>
      </w:pPr>
      <w:r w:rsidRPr="009F11B8">
        <w:t>COF 1: A condition which arises during the episode of admitted patient care and would not have been present or suspected on admission.</w:t>
      </w:r>
    </w:p>
    <w:p w14:paraId="444331FD" w14:textId="77777777" w:rsidR="009F11B8" w:rsidRDefault="009F11B8" w:rsidP="002506C3">
      <w:pPr>
        <w:numPr>
          <w:ilvl w:val="0"/>
          <w:numId w:val="91"/>
        </w:numPr>
      </w:pPr>
      <w:r w:rsidRPr="009F11B8">
        <w:t>COF 2: A condition previously existing or suspected on admission such as the presenting problem, a comorbidity or chronic disease.</w:t>
      </w:r>
    </w:p>
    <w:p w14:paraId="60E18C1A" w14:textId="77777777" w:rsidR="00A1132E" w:rsidRPr="00DF6AB4" w:rsidRDefault="00A1132E" w:rsidP="002506C3">
      <w:r w:rsidRPr="00DF6AB4">
        <w:t>This</w:t>
      </w:r>
      <w:r w:rsidR="00650263">
        <w:t xml:space="preserve"> section considers whether </w:t>
      </w:r>
      <w:r w:rsidR="00813B09">
        <w:t xml:space="preserve">the COF should have an impact on case complexity when the condition arose during the </w:t>
      </w:r>
      <w:r w:rsidR="00FF498B">
        <w:t xml:space="preserve">acute admitted </w:t>
      </w:r>
      <w:r w:rsidR="00813B09">
        <w:t>episode (COF = 1). Specifically, the purpose of evaluating the CO</w:t>
      </w:r>
      <w:r w:rsidR="00813B09" w:rsidRPr="00010A15">
        <w:t xml:space="preserve">F </w:t>
      </w:r>
      <w:r w:rsidR="00FF498B">
        <w:t>was</w:t>
      </w:r>
      <w:r w:rsidR="00813B09" w:rsidRPr="00010A15">
        <w:t xml:space="preserve"> to ascertain </w:t>
      </w:r>
      <w:r w:rsidR="00FF498B">
        <w:t>whether</w:t>
      </w:r>
      <w:r w:rsidR="00813B09" w:rsidRPr="00010A15">
        <w:t xml:space="preserve"> </w:t>
      </w:r>
      <w:r w:rsidR="00FF498B">
        <w:t>conditions with a COF of 1 should be excluded from the case complexity adjustment process in classification design.</w:t>
      </w:r>
    </w:p>
    <w:p w14:paraId="47C8AF71" w14:textId="77777777" w:rsidR="005B5818" w:rsidRPr="00566A14" w:rsidRDefault="005B5818" w:rsidP="00B60372">
      <w:pPr>
        <w:pStyle w:val="Heading3"/>
      </w:pPr>
      <w:r w:rsidRPr="00566A14">
        <w:t>Background</w:t>
      </w:r>
      <w:r>
        <w:rPr>
          <w:rStyle w:val="FootnoteReference"/>
          <w:b w:val="0"/>
          <w:szCs w:val="24"/>
        </w:rPr>
        <w:footnoteReference w:id="16"/>
      </w:r>
    </w:p>
    <w:p w14:paraId="78FF4E66" w14:textId="77777777" w:rsidR="005B5818" w:rsidRPr="00AF060B" w:rsidRDefault="005B5818" w:rsidP="006056B9">
      <w:pPr>
        <w:rPr>
          <w:szCs w:val="24"/>
        </w:rPr>
      </w:pPr>
      <w:r w:rsidRPr="00AF060B">
        <w:rPr>
          <w:szCs w:val="24"/>
        </w:rPr>
        <w:t xml:space="preserve">Early </w:t>
      </w:r>
      <w:r>
        <w:rPr>
          <w:szCs w:val="24"/>
        </w:rPr>
        <w:t>case complexity</w:t>
      </w:r>
      <w:r w:rsidRPr="00AF060B">
        <w:rPr>
          <w:szCs w:val="24"/>
        </w:rPr>
        <w:t xml:space="preserve"> research using manual chart review revealed that much patient variation in complexity or cost was driven by ‘adverse patient occurrences’ rather than underlying poor health on admission </w:t>
      </w:r>
      <w:r>
        <w:rPr>
          <w:szCs w:val="24"/>
        </w:rPr>
        <w:t>(</w:t>
      </w:r>
      <w:r w:rsidRPr="00AF060B">
        <w:rPr>
          <w:szCs w:val="24"/>
        </w:rPr>
        <w:t>Schumacher, et al., 1987</w:t>
      </w:r>
      <w:r>
        <w:rPr>
          <w:szCs w:val="24"/>
        </w:rPr>
        <w:t>)</w:t>
      </w:r>
      <w:r w:rsidRPr="00AF060B">
        <w:rPr>
          <w:szCs w:val="24"/>
        </w:rPr>
        <w:t xml:space="preserve">. Over the past decade, increasing policy attention has focused on the quality and safety of </w:t>
      </w:r>
      <w:r>
        <w:rPr>
          <w:szCs w:val="24"/>
        </w:rPr>
        <w:t>acute admitted</w:t>
      </w:r>
      <w:r w:rsidRPr="00AF060B">
        <w:rPr>
          <w:szCs w:val="24"/>
        </w:rPr>
        <w:t xml:space="preserve"> care. This has led to a number of approaches to distinguish comorbidities (those conditions present on admission) from complications (conditions arising </w:t>
      </w:r>
      <w:r w:rsidR="00453AF4">
        <w:rPr>
          <w:szCs w:val="24"/>
        </w:rPr>
        <w:t>during the episode of admitted patient care</w:t>
      </w:r>
      <w:r w:rsidRPr="00AF060B">
        <w:rPr>
          <w:szCs w:val="24"/>
        </w:rPr>
        <w:t>). The fundamental argument behind making this distinction is that hospitals should not be ‘rewarded’ when poorer quality care leads to higher costs.</w:t>
      </w:r>
    </w:p>
    <w:p w14:paraId="756FA2C7" w14:textId="77777777" w:rsidR="005B5818" w:rsidRPr="00AF060B" w:rsidRDefault="005B5818" w:rsidP="006056B9">
      <w:pPr>
        <w:rPr>
          <w:szCs w:val="24"/>
        </w:rPr>
      </w:pPr>
      <w:r w:rsidRPr="00AF060B">
        <w:rPr>
          <w:szCs w:val="24"/>
        </w:rPr>
        <w:t xml:space="preserve">In 2008, the US Medicare program adopted a ‘Hospital Acquired Conditions’ (HAC) policy </w:t>
      </w:r>
      <w:r>
        <w:rPr>
          <w:szCs w:val="24"/>
        </w:rPr>
        <w:t>(</w:t>
      </w:r>
      <w:r w:rsidRPr="00AF060B">
        <w:rPr>
          <w:szCs w:val="24"/>
        </w:rPr>
        <w:t>CMS, 2008</w:t>
      </w:r>
      <w:r>
        <w:rPr>
          <w:szCs w:val="24"/>
        </w:rPr>
        <w:t>)</w:t>
      </w:r>
      <w:r w:rsidRPr="00AF060B">
        <w:rPr>
          <w:szCs w:val="24"/>
        </w:rPr>
        <w:t xml:space="preserve"> that removed 10-15 </w:t>
      </w:r>
      <w:r w:rsidR="002C51F2">
        <w:rPr>
          <w:szCs w:val="24"/>
        </w:rPr>
        <w:t>HACs</w:t>
      </w:r>
      <w:r w:rsidRPr="00AF060B">
        <w:rPr>
          <w:szCs w:val="24"/>
        </w:rPr>
        <w:t xml:space="preserve"> from CC lists of MS DRGs used for hospital payment. These conditions were chosen because they ‘could reasonably have been prevented </w:t>
      </w:r>
      <w:r w:rsidRPr="00AF060B">
        <w:rPr>
          <w:szCs w:val="24"/>
        </w:rPr>
        <w:lastRenderedPageBreak/>
        <w:t xml:space="preserve">through the application of evidence-based guidelines’. Some of them (e.g. in-hospital falls) are applied across all DRGs, while others (e.g. ‘surgical site infections following certain orthopedic procedures’) are removed from a more limited set of </w:t>
      </w:r>
      <w:r>
        <w:rPr>
          <w:szCs w:val="24"/>
        </w:rPr>
        <w:t>intervention</w:t>
      </w:r>
      <w:r w:rsidRPr="00AF060B">
        <w:rPr>
          <w:szCs w:val="24"/>
        </w:rPr>
        <w:t xml:space="preserve">-specific records before DRG assignment. The payment effect of this policy has been relatively small, but the cultural shifts attributed to the policy were larger than might have been expected </w:t>
      </w:r>
      <w:r>
        <w:rPr>
          <w:szCs w:val="24"/>
        </w:rPr>
        <w:t>(</w:t>
      </w:r>
      <w:r w:rsidRPr="00AF060B">
        <w:rPr>
          <w:szCs w:val="24"/>
        </w:rPr>
        <w:t>McNair, et al., 2009b).</w:t>
      </w:r>
    </w:p>
    <w:p w14:paraId="56C492B8" w14:textId="77777777" w:rsidR="005B5818" w:rsidRPr="00AF060B" w:rsidRDefault="005B5818" w:rsidP="006056B9">
      <w:pPr>
        <w:rPr>
          <w:szCs w:val="24"/>
        </w:rPr>
      </w:pPr>
      <w:r w:rsidRPr="00AF060B">
        <w:rPr>
          <w:szCs w:val="24"/>
        </w:rPr>
        <w:t xml:space="preserve">Information to identify </w:t>
      </w:r>
      <w:r w:rsidR="002C51F2">
        <w:rPr>
          <w:szCs w:val="24"/>
        </w:rPr>
        <w:t>HACs</w:t>
      </w:r>
      <w:r w:rsidRPr="00AF060B">
        <w:rPr>
          <w:szCs w:val="24"/>
        </w:rPr>
        <w:t xml:space="preserve"> had been recorded for some time in Canada, and in Victoria. A ‘present on admission’ flag was subsequently adopted in California and New York state, with a national Medicare mandate</w:t>
      </w:r>
      <w:r w:rsidR="00345851">
        <w:rPr>
          <w:szCs w:val="24"/>
        </w:rPr>
        <w:t xml:space="preserve"> </w:t>
      </w:r>
      <w:r w:rsidRPr="00AF060B">
        <w:rPr>
          <w:szCs w:val="24"/>
        </w:rPr>
        <w:t xml:space="preserve">to record this data element adopted to support the HAC policy within months of the Australian agreement amongst the States to record such a marker. The Australian data element is termed the </w:t>
      </w:r>
      <w:r w:rsidR="004C70DD">
        <w:rPr>
          <w:szCs w:val="24"/>
        </w:rPr>
        <w:t>condition onset flag</w:t>
      </w:r>
      <w:r w:rsidRPr="00AF060B">
        <w:rPr>
          <w:szCs w:val="24"/>
        </w:rPr>
        <w:t xml:space="preserve"> (C</w:t>
      </w:r>
      <w:r w:rsidR="004C70DD">
        <w:rPr>
          <w:szCs w:val="24"/>
        </w:rPr>
        <w:t>O</w:t>
      </w:r>
      <w:r w:rsidRPr="00AF060B">
        <w:rPr>
          <w:szCs w:val="24"/>
        </w:rPr>
        <w:t xml:space="preserve">F), and like others, distinguishes between comorbidities recorded as being present on admission and those noted in the patient’s record as arising </w:t>
      </w:r>
      <w:r w:rsidR="002C51F2">
        <w:rPr>
          <w:szCs w:val="24"/>
        </w:rPr>
        <w:t>during the admitted episode of care</w:t>
      </w:r>
      <w:r w:rsidRPr="00AF060B">
        <w:rPr>
          <w:szCs w:val="24"/>
        </w:rPr>
        <w:t>.</w:t>
      </w:r>
    </w:p>
    <w:p w14:paraId="4E3D825F" w14:textId="77777777" w:rsidR="005B5818" w:rsidRPr="00AF060B" w:rsidRDefault="005B5818" w:rsidP="006056B9">
      <w:pPr>
        <w:rPr>
          <w:szCs w:val="24"/>
        </w:rPr>
      </w:pPr>
      <w:r w:rsidRPr="00AF060B">
        <w:rPr>
          <w:szCs w:val="24"/>
        </w:rPr>
        <w:t xml:space="preserve">Australian research using the </w:t>
      </w:r>
      <w:r w:rsidR="004C70DD">
        <w:rPr>
          <w:szCs w:val="24"/>
        </w:rPr>
        <w:t>COF</w:t>
      </w:r>
      <w:r w:rsidRPr="00AF060B">
        <w:rPr>
          <w:szCs w:val="24"/>
        </w:rPr>
        <w:t xml:space="preserve"> in Victorian data estimated that 15.7</w:t>
      </w:r>
      <w:r w:rsidR="002201AB">
        <w:rPr>
          <w:szCs w:val="24"/>
        </w:rPr>
        <w:t xml:space="preserve"> per cent</w:t>
      </w:r>
      <w:r w:rsidRPr="00AF060B">
        <w:rPr>
          <w:szCs w:val="24"/>
        </w:rPr>
        <w:t xml:space="preserve"> of hospital expenditures were attributable to additional costs in cases with hospital-acquired diagnoses (HADs) </w:t>
      </w:r>
      <w:r>
        <w:rPr>
          <w:szCs w:val="24"/>
        </w:rPr>
        <w:t>(</w:t>
      </w:r>
      <w:proofErr w:type="spellStart"/>
      <w:r w:rsidRPr="00AF060B">
        <w:rPr>
          <w:szCs w:val="24"/>
        </w:rPr>
        <w:t>Ehsani</w:t>
      </w:r>
      <w:proofErr w:type="spellEnd"/>
      <w:r w:rsidRPr="00AF060B">
        <w:rPr>
          <w:szCs w:val="24"/>
        </w:rPr>
        <w:t>, et al., 2006</w:t>
      </w:r>
      <w:r>
        <w:rPr>
          <w:szCs w:val="24"/>
        </w:rPr>
        <w:t>)</w:t>
      </w:r>
      <w:r w:rsidRPr="00AF060B">
        <w:rPr>
          <w:szCs w:val="24"/>
        </w:rPr>
        <w:t>. Later work on data from two states (Victoria and Queensland) found they added 17.3</w:t>
      </w:r>
      <w:r w:rsidR="002201AB">
        <w:rPr>
          <w:szCs w:val="24"/>
        </w:rPr>
        <w:t xml:space="preserve"> per cent</w:t>
      </w:r>
      <w:r w:rsidRPr="00AF060B">
        <w:rPr>
          <w:szCs w:val="24"/>
        </w:rPr>
        <w:t xml:space="preserve"> to treatment costs </w:t>
      </w:r>
      <w:r>
        <w:rPr>
          <w:szCs w:val="24"/>
        </w:rPr>
        <w:t>(</w:t>
      </w:r>
      <w:r w:rsidRPr="00AF060B">
        <w:rPr>
          <w:szCs w:val="24"/>
        </w:rPr>
        <w:t>Jackson, et al., 2011</w:t>
      </w:r>
      <w:r>
        <w:rPr>
          <w:szCs w:val="24"/>
        </w:rPr>
        <w:t>)</w:t>
      </w:r>
      <w:r w:rsidRPr="00AF060B">
        <w:rPr>
          <w:szCs w:val="24"/>
        </w:rPr>
        <w:t>. While not all HAD complications can be prevented with current medical knowledge, these studies demonstrate the</w:t>
      </w:r>
      <w:r>
        <w:rPr>
          <w:szCs w:val="24"/>
        </w:rPr>
        <w:t xml:space="preserve"> need to assess the merits of excluding </w:t>
      </w:r>
      <w:r w:rsidR="002C51F2">
        <w:rPr>
          <w:szCs w:val="24"/>
        </w:rPr>
        <w:t>HADs</w:t>
      </w:r>
      <w:r>
        <w:rPr>
          <w:szCs w:val="24"/>
        </w:rPr>
        <w:t xml:space="preserve"> from the AR DRG classification.</w:t>
      </w:r>
    </w:p>
    <w:p w14:paraId="28BF5513" w14:textId="77777777" w:rsidR="005B5818" w:rsidRPr="00AF060B" w:rsidRDefault="005B5818" w:rsidP="006056B9">
      <w:pPr>
        <w:rPr>
          <w:szCs w:val="24"/>
        </w:rPr>
      </w:pPr>
      <w:r w:rsidRPr="00AF060B">
        <w:rPr>
          <w:szCs w:val="24"/>
        </w:rPr>
        <w:t xml:space="preserve">Building on this work, McNair, et al., </w:t>
      </w:r>
      <w:r>
        <w:rPr>
          <w:szCs w:val="24"/>
        </w:rPr>
        <w:t>(</w:t>
      </w:r>
      <w:r w:rsidRPr="00AF060B">
        <w:rPr>
          <w:szCs w:val="24"/>
        </w:rPr>
        <w:t>2009a</w:t>
      </w:r>
      <w:r>
        <w:rPr>
          <w:szCs w:val="24"/>
        </w:rPr>
        <w:t>)</w:t>
      </w:r>
      <w:r w:rsidRPr="00AF060B">
        <w:rPr>
          <w:szCs w:val="24"/>
        </w:rPr>
        <w:t xml:space="preserve"> used Victorian data to model a payment system that would result in hospitals being paid a ‘complications-averaged’ DRG amount by removing </w:t>
      </w:r>
      <w:r w:rsidR="004C70DD">
        <w:rPr>
          <w:szCs w:val="24"/>
        </w:rPr>
        <w:t>COF</w:t>
      </w:r>
      <w:r w:rsidRPr="00AF060B">
        <w:rPr>
          <w:szCs w:val="24"/>
        </w:rPr>
        <w:t xml:space="preserve"> diagnoses from DRG grouping and from estimation of relative resource weights. Modelling showed that while 15</w:t>
      </w:r>
      <w:r w:rsidR="002201AB">
        <w:rPr>
          <w:szCs w:val="24"/>
        </w:rPr>
        <w:t xml:space="preserve"> per cent</w:t>
      </w:r>
      <w:r w:rsidRPr="00AF060B">
        <w:rPr>
          <w:szCs w:val="24"/>
        </w:rPr>
        <w:t xml:space="preserve"> of episodes contained a HAD, only 1.6</w:t>
      </w:r>
      <w:r w:rsidR="002201AB">
        <w:rPr>
          <w:szCs w:val="24"/>
        </w:rPr>
        <w:t xml:space="preserve"> per cent</w:t>
      </w:r>
      <w:r w:rsidRPr="00AF060B">
        <w:rPr>
          <w:szCs w:val="24"/>
        </w:rPr>
        <w:t xml:space="preserve"> of episodes were grouped to a different DRG. If such a payment policy were applied to a sample of metropolitan hospitals, the model found that payments would be redistributed from +1.8</w:t>
      </w:r>
      <w:r w:rsidR="002201AB">
        <w:rPr>
          <w:szCs w:val="24"/>
        </w:rPr>
        <w:t xml:space="preserve"> per cent</w:t>
      </w:r>
      <w:r w:rsidRPr="00AF060B">
        <w:rPr>
          <w:szCs w:val="24"/>
        </w:rPr>
        <w:t xml:space="preserve"> to -2.5</w:t>
      </w:r>
      <w:r w:rsidR="002201AB">
        <w:rPr>
          <w:szCs w:val="24"/>
        </w:rPr>
        <w:t xml:space="preserve"> per cent</w:t>
      </w:r>
      <w:r w:rsidRPr="00AF060B">
        <w:rPr>
          <w:szCs w:val="24"/>
        </w:rPr>
        <w:t xml:space="preserve"> per hospital.</w:t>
      </w:r>
    </w:p>
    <w:p w14:paraId="4F2F7638" w14:textId="77777777" w:rsidR="005B5818" w:rsidRDefault="005B5818" w:rsidP="006056B9">
      <w:pPr>
        <w:rPr>
          <w:szCs w:val="24"/>
        </w:rPr>
      </w:pPr>
      <w:r w:rsidRPr="00AF060B">
        <w:rPr>
          <w:szCs w:val="24"/>
        </w:rPr>
        <w:t xml:space="preserve">A joint working party </w:t>
      </w:r>
      <w:r w:rsidR="002C51F2">
        <w:rPr>
          <w:szCs w:val="24"/>
        </w:rPr>
        <w:t xml:space="preserve">(JWP) </w:t>
      </w:r>
      <w:r w:rsidRPr="00AF060B">
        <w:rPr>
          <w:szCs w:val="24"/>
        </w:rPr>
        <w:t xml:space="preserve">of </w:t>
      </w:r>
      <w:r w:rsidR="002C51F2">
        <w:rPr>
          <w:szCs w:val="24"/>
        </w:rPr>
        <w:t>IHPA</w:t>
      </w:r>
      <w:r w:rsidRPr="00AF060B">
        <w:rPr>
          <w:szCs w:val="24"/>
        </w:rPr>
        <w:t xml:space="preserve"> and the Australian Commission on Safety and Quality in Health Care have published two literature reviews on options for integrating quality incentives into hospital pricing </w:t>
      </w:r>
      <w:r>
        <w:rPr>
          <w:szCs w:val="24"/>
        </w:rPr>
        <w:t>(</w:t>
      </w:r>
      <w:r w:rsidRPr="00AF060B">
        <w:rPr>
          <w:szCs w:val="24"/>
        </w:rPr>
        <w:t>JWP, 2013</w:t>
      </w:r>
      <w:r>
        <w:rPr>
          <w:szCs w:val="24"/>
        </w:rPr>
        <w:t>)</w:t>
      </w:r>
      <w:r w:rsidRPr="00AF060B">
        <w:rPr>
          <w:szCs w:val="24"/>
        </w:rPr>
        <w:t>.</w:t>
      </w:r>
      <w:r w:rsidR="00345851">
        <w:rPr>
          <w:szCs w:val="24"/>
        </w:rPr>
        <w:t xml:space="preserve"> </w:t>
      </w:r>
      <w:r w:rsidRPr="00AF060B">
        <w:rPr>
          <w:szCs w:val="24"/>
        </w:rPr>
        <w:t xml:space="preserve">More recently the JWP has commissioned work </w:t>
      </w:r>
      <w:r w:rsidRPr="00AF060B">
        <w:rPr>
          <w:szCs w:val="24"/>
        </w:rPr>
        <w:lastRenderedPageBreak/>
        <w:t xml:space="preserve">to estimate the effect of </w:t>
      </w:r>
      <w:r w:rsidR="002C51F2">
        <w:rPr>
          <w:szCs w:val="24"/>
        </w:rPr>
        <w:t>HACs</w:t>
      </w:r>
      <w:r w:rsidRPr="00AF060B">
        <w:rPr>
          <w:szCs w:val="24"/>
        </w:rPr>
        <w:t xml:space="preserve"> on hospital costs, but results of this analysis have not yet been made publicly available.</w:t>
      </w:r>
    </w:p>
    <w:p w14:paraId="6AD724A6" w14:textId="77777777" w:rsidR="005B5818" w:rsidRPr="00FF23ED" w:rsidRDefault="005B5818" w:rsidP="00B60372">
      <w:pPr>
        <w:pStyle w:val="Heading3"/>
      </w:pPr>
      <w:r w:rsidRPr="00FF23ED">
        <w:t xml:space="preserve">Is there a potential role for </w:t>
      </w:r>
      <w:r w:rsidR="004C70DD">
        <w:t>COF</w:t>
      </w:r>
      <w:r w:rsidRPr="00FF23ED">
        <w:t xml:space="preserve"> in classification development?</w:t>
      </w:r>
    </w:p>
    <w:p w14:paraId="5AA5DA22" w14:textId="77777777" w:rsidR="005B5818" w:rsidRPr="007F4EFD" w:rsidRDefault="005B5818" w:rsidP="006056B9">
      <w:pPr>
        <w:rPr>
          <w:szCs w:val="24"/>
          <w:lang w:val="en-AU"/>
        </w:rPr>
      </w:pPr>
      <w:r w:rsidRPr="007F4EFD">
        <w:rPr>
          <w:szCs w:val="24"/>
          <w:lang w:val="en-AU"/>
        </w:rPr>
        <w:t>In considering the role of conditions arising during the episode of care and their importance in classification development it is useful to</w:t>
      </w:r>
      <w:r w:rsidR="00345851">
        <w:rPr>
          <w:szCs w:val="24"/>
          <w:lang w:val="en-AU"/>
        </w:rPr>
        <w:t xml:space="preserve"> </w:t>
      </w:r>
      <w:r w:rsidRPr="007F4EFD">
        <w:rPr>
          <w:szCs w:val="24"/>
          <w:lang w:val="en-AU"/>
        </w:rPr>
        <w:t>identify the differences between five separate scenarios:-</w:t>
      </w:r>
    </w:p>
    <w:p w14:paraId="27AE1E7F" w14:textId="77777777" w:rsidR="005B5818" w:rsidRPr="007F4EFD" w:rsidRDefault="005B5818" w:rsidP="006056B9">
      <w:pPr>
        <w:rPr>
          <w:szCs w:val="24"/>
          <w:lang w:val="en-AU"/>
        </w:rPr>
      </w:pPr>
      <w:r w:rsidRPr="007F4EFD">
        <w:rPr>
          <w:b/>
          <w:szCs w:val="24"/>
          <w:lang w:val="en-AU"/>
        </w:rPr>
        <w:t>Scenario 1</w:t>
      </w:r>
      <w:r w:rsidRPr="007F4EFD">
        <w:rPr>
          <w:szCs w:val="24"/>
          <w:lang w:val="en-AU"/>
        </w:rPr>
        <w:t>:</w:t>
      </w:r>
      <w:r w:rsidR="00176984">
        <w:rPr>
          <w:szCs w:val="24"/>
          <w:lang w:val="en-AU"/>
        </w:rPr>
        <w:t xml:space="preserve"> </w:t>
      </w:r>
      <w:r w:rsidRPr="007F4EFD">
        <w:rPr>
          <w:szCs w:val="24"/>
          <w:lang w:val="en-AU"/>
        </w:rPr>
        <w:t>A patient is assigned to a specific ADRG.</w:t>
      </w:r>
      <w:r w:rsidR="00345851">
        <w:rPr>
          <w:szCs w:val="24"/>
          <w:lang w:val="en-AU"/>
        </w:rPr>
        <w:t xml:space="preserve"> </w:t>
      </w:r>
      <w:r w:rsidRPr="007F4EFD">
        <w:rPr>
          <w:szCs w:val="24"/>
          <w:lang w:val="en-AU"/>
        </w:rPr>
        <w:t xml:space="preserve">The patient has a </w:t>
      </w:r>
      <w:proofErr w:type="spellStart"/>
      <w:r w:rsidR="002C51F2">
        <w:rPr>
          <w:szCs w:val="24"/>
          <w:lang w:val="en-AU"/>
        </w:rPr>
        <w:t>PDx</w:t>
      </w:r>
      <w:proofErr w:type="spellEnd"/>
      <w:r w:rsidRPr="007F4EFD">
        <w:rPr>
          <w:szCs w:val="24"/>
          <w:lang w:val="en-AU"/>
        </w:rPr>
        <w:t xml:space="preserve"> of “XXX.XX” and no </w:t>
      </w:r>
      <w:proofErr w:type="spellStart"/>
      <w:r w:rsidR="002C51F2">
        <w:rPr>
          <w:szCs w:val="24"/>
          <w:lang w:val="en-AU"/>
        </w:rPr>
        <w:t>ADx</w:t>
      </w:r>
      <w:proofErr w:type="spellEnd"/>
      <w:r w:rsidRPr="007F4EFD">
        <w:rPr>
          <w:szCs w:val="24"/>
          <w:lang w:val="en-AU"/>
        </w:rPr>
        <w:t>.</w:t>
      </w:r>
    </w:p>
    <w:p w14:paraId="5DD4C74D" w14:textId="77777777" w:rsidR="005B5818" w:rsidRPr="007F4EFD" w:rsidRDefault="005B5818" w:rsidP="006056B9">
      <w:pPr>
        <w:rPr>
          <w:szCs w:val="24"/>
          <w:lang w:val="en-AU"/>
        </w:rPr>
      </w:pPr>
      <w:r w:rsidRPr="007F4EFD">
        <w:rPr>
          <w:b/>
          <w:szCs w:val="24"/>
          <w:lang w:val="en-AU"/>
        </w:rPr>
        <w:t>Scenario 2:</w:t>
      </w:r>
      <w:r w:rsidRPr="007F4EFD">
        <w:rPr>
          <w:szCs w:val="24"/>
          <w:lang w:val="en-AU"/>
        </w:rPr>
        <w:t xml:space="preserve"> A patient has a </w:t>
      </w:r>
      <w:proofErr w:type="spellStart"/>
      <w:r w:rsidR="002C51F2">
        <w:rPr>
          <w:szCs w:val="24"/>
          <w:lang w:val="en-AU"/>
        </w:rPr>
        <w:t>PDx</w:t>
      </w:r>
      <w:proofErr w:type="spellEnd"/>
      <w:r w:rsidRPr="007F4EFD">
        <w:rPr>
          <w:szCs w:val="24"/>
          <w:lang w:val="en-AU"/>
        </w:rPr>
        <w:t xml:space="preserve"> of “XXX.XX” and a single </w:t>
      </w:r>
      <w:proofErr w:type="spellStart"/>
      <w:r w:rsidR="002C51F2">
        <w:rPr>
          <w:szCs w:val="24"/>
          <w:lang w:val="en-AU"/>
        </w:rPr>
        <w:t>Adx</w:t>
      </w:r>
      <w:proofErr w:type="spellEnd"/>
      <w:r w:rsidRPr="007F4EFD">
        <w:rPr>
          <w:szCs w:val="24"/>
          <w:lang w:val="en-AU"/>
        </w:rPr>
        <w:t xml:space="preserve"> of “YYY.YY”.</w:t>
      </w:r>
      <w:r w:rsidR="00345851">
        <w:rPr>
          <w:szCs w:val="24"/>
          <w:lang w:val="en-AU"/>
        </w:rPr>
        <w:t xml:space="preserve"> </w:t>
      </w:r>
      <w:r w:rsidRPr="007F4EFD">
        <w:rPr>
          <w:szCs w:val="24"/>
          <w:lang w:val="en-AU"/>
        </w:rPr>
        <w:t xml:space="preserve">The </w:t>
      </w:r>
      <w:proofErr w:type="spellStart"/>
      <w:r w:rsidR="002C51F2">
        <w:rPr>
          <w:szCs w:val="24"/>
          <w:lang w:val="en-AU"/>
        </w:rPr>
        <w:t>ADx</w:t>
      </w:r>
      <w:proofErr w:type="spellEnd"/>
      <w:r w:rsidR="002C51F2">
        <w:rPr>
          <w:szCs w:val="24"/>
          <w:lang w:val="en-AU"/>
        </w:rPr>
        <w:t xml:space="preserve"> </w:t>
      </w:r>
      <w:r w:rsidRPr="007F4EFD">
        <w:rPr>
          <w:szCs w:val="24"/>
          <w:lang w:val="en-AU"/>
        </w:rPr>
        <w:t>was present on admission (</w:t>
      </w:r>
      <w:r w:rsidR="004C70DD">
        <w:rPr>
          <w:szCs w:val="24"/>
          <w:lang w:val="en-AU"/>
        </w:rPr>
        <w:t>COF</w:t>
      </w:r>
      <w:r w:rsidRPr="007F4EFD">
        <w:rPr>
          <w:szCs w:val="24"/>
          <w:lang w:val="en-AU"/>
        </w:rPr>
        <w:t>=2).</w:t>
      </w:r>
      <w:r w:rsidR="00345851">
        <w:rPr>
          <w:szCs w:val="24"/>
          <w:lang w:val="en-AU"/>
        </w:rPr>
        <w:t xml:space="preserve"> </w:t>
      </w:r>
    </w:p>
    <w:p w14:paraId="46EEB4A8" w14:textId="77777777" w:rsidR="005B5818" w:rsidRPr="007F4EFD" w:rsidRDefault="005B5818" w:rsidP="006056B9">
      <w:pPr>
        <w:rPr>
          <w:szCs w:val="24"/>
          <w:lang w:val="en-AU"/>
        </w:rPr>
      </w:pPr>
      <w:r w:rsidRPr="007F4EFD">
        <w:rPr>
          <w:b/>
          <w:szCs w:val="24"/>
          <w:lang w:val="en-AU"/>
        </w:rPr>
        <w:t>Scenario 3:</w:t>
      </w:r>
      <w:r w:rsidRPr="007F4EFD">
        <w:rPr>
          <w:szCs w:val="24"/>
          <w:lang w:val="en-AU"/>
        </w:rPr>
        <w:t xml:space="preserve"> A patient has a </w:t>
      </w:r>
      <w:proofErr w:type="spellStart"/>
      <w:r w:rsidR="002C51F2">
        <w:rPr>
          <w:szCs w:val="24"/>
          <w:lang w:val="en-AU"/>
        </w:rPr>
        <w:t>PDx</w:t>
      </w:r>
      <w:proofErr w:type="spellEnd"/>
      <w:r w:rsidRPr="007F4EFD">
        <w:rPr>
          <w:szCs w:val="24"/>
          <w:lang w:val="en-AU"/>
        </w:rPr>
        <w:t xml:space="preserve"> of “XXX.XX” and a single </w:t>
      </w:r>
      <w:proofErr w:type="spellStart"/>
      <w:r w:rsidR="002C51F2">
        <w:rPr>
          <w:szCs w:val="24"/>
          <w:lang w:val="en-AU"/>
        </w:rPr>
        <w:t>ADx</w:t>
      </w:r>
      <w:proofErr w:type="spellEnd"/>
      <w:r w:rsidRPr="007F4EFD">
        <w:rPr>
          <w:szCs w:val="24"/>
          <w:lang w:val="en-AU"/>
        </w:rPr>
        <w:t xml:space="preserve"> of “YYY.YY”.</w:t>
      </w:r>
      <w:r w:rsidR="00345851">
        <w:rPr>
          <w:szCs w:val="24"/>
          <w:lang w:val="en-AU"/>
        </w:rPr>
        <w:t xml:space="preserve"> </w:t>
      </w:r>
      <w:r w:rsidRPr="007F4EFD">
        <w:rPr>
          <w:szCs w:val="24"/>
          <w:lang w:val="en-AU"/>
        </w:rPr>
        <w:t xml:space="preserve">The </w:t>
      </w:r>
      <w:proofErr w:type="spellStart"/>
      <w:r w:rsidR="002C51F2">
        <w:rPr>
          <w:szCs w:val="24"/>
          <w:lang w:val="en-AU"/>
        </w:rPr>
        <w:t>ADx</w:t>
      </w:r>
      <w:proofErr w:type="spellEnd"/>
      <w:r w:rsidRPr="007F4EFD">
        <w:rPr>
          <w:szCs w:val="24"/>
          <w:lang w:val="en-AU"/>
        </w:rPr>
        <w:t xml:space="preserve"> was not present on admission (</w:t>
      </w:r>
      <w:r w:rsidR="004C70DD">
        <w:rPr>
          <w:szCs w:val="24"/>
          <w:lang w:val="en-AU"/>
        </w:rPr>
        <w:t>COF</w:t>
      </w:r>
      <w:r w:rsidRPr="007F4EFD">
        <w:rPr>
          <w:szCs w:val="24"/>
          <w:lang w:val="en-AU"/>
        </w:rPr>
        <w:t>=1) and arose during the episode of care by chance</w:t>
      </w:r>
      <w:r>
        <w:rPr>
          <w:szCs w:val="24"/>
          <w:lang w:val="en-AU"/>
        </w:rPr>
        <w:t>,</w:t>
      </w:r>
      <w:r w:rsidRPr="007F4EFD">
        <w:rPr>
          <w:szCs w:val="24"/>
          <w:lang w:val="en-AU"/>
        </w:rPr>
        <w:t xml:space="preserve"> perhaps due to the patient’s overall medical condition.</w:t>
      </w:r>
      <w:r w:rsidR="00345851">
        <w:rPr>
          <w:szCs w:val="24"/>
          <w:lang w:val="en-AU"/>
        </w:rPr>
        <w:t xml:space="preserve"> </w:t>
      </w:r>
    </w:p>
    <w:p w14:paraId="4E956925" w14:textId="77777777" w:rsidR="005B5818" w:rsidRPr="007F4EFD" w:rsidRDefault="005B5818" w:rsidP="006056B9">
      <w:pPr>
        <w:rPr>
          <w:szCs w:val="24"/>
          <w:lang w:val="en-AU"/>
        </w:rPr>
      </w:pPr>
      <w:r w:rsidRPr="007F4EFD">
        <w:rPr>
          <w:b/>
          <w:szCs w:val="24"/>
          <w:lang w:val="en-AU"/>
        </w:rPr>
        <w:t>Scenario 4:</w:t>
      </w:r>
      <w:r w:rsidRPr="007F4EFD">
        <w:rPr>
          <w:szCs w:val="24"/>
          <w:lang w:val="en-AU"/>
        </w:rPr>
        <w:t xml:space="preserve"> A patient has a </w:t>
      </w:r>
      <w:proofErr w:type="spellStart"/>
      <w:r w:rsidR="002C51F2">
        <w:rPr>
          <w:szCs w:val="24"/>
          <w:lang w:val="en-AU"/>
        </w:rPr>
        <w:t>PDx</w:t>
      </w:r>
      <w:proofErr w:type="spellEnd"/>
      <w:r w:rsidRPr="007F4EFD">
        <w:rPr>
          <w:szCs w:val="24"/>
          <w:lang w:val="en-AU"/>
        </w:rPr>
        <w:t xml:space="preserve"> of “XXX.XX” and a single </w:t>
      </w:r>
      <w:proofErr w:type="spellStart"/>
      <w:r w:rsidR="002C51F2">
        <w:rPr>
          <w:szCs w:val="24"/>
          <w:lang w:val="en-AU"/>
        </w:rPr>
        <w:t>ADx</w:t>
      </w:r>
      <w:proofErr w:type="spellEnd"/>
      <w:r w:rsidRPr="007F4EFD">
        <w:rPr>
          <w:szCs w:val="24"/>
          <w:lang w:val="en-AU"/>
        </w:rPr>
        <w:t xml:space="preserve"> of “YYY.YY”.</w:t>
      </w:r>
      <w:r w:rsidR="00345851">
        <w:rPr>
          <w:szCs w:val="24"/>
          <w:lang w:val="en-AU"/>
        </w:rPr>
        <w:t xml:space="preserve"> </w:t>
      </w:r>
      <w:r w:rsidRPr="007F4EFD">
        <w:rPr>
          <w:szCs w:val="24"/>
          <w:lang w:val="en-AU"/>
        </w:rPr>
        <w:t xml:space="preserve">The </w:t>
      </w:r>
      <w:proofErr w:type="spellStart"/>
      <w:r w:rsidR="002C51F2">
        <w:rPr>
          <w:szCs w:val="24"/>
          <w:lang w:val="en-AU"/>
        </w:rPr>
        <w:t>ADx</w:t>
      </w:r>
      <w:proofErr w:type="spellEnd"/>
      <w:r w:rsidRPr="007F4EFD">
        <w:rPr>
          <w:szCs w:val="24"/>
          <w:lang w:val="en-AU"/>
        </w:rPr>
        <w:t xml:space="preserve"> was not present on admission (</w:t>
      </w:r>
      <w:r w:rsidR="004C70DD">
        <w:rPr>
          <w:szCs w:val="24"/>
          <w:lang w:val="en-AU"/>
        </w:rPr>
        <w:t>COF</w:t>
      </w:r>
      <w:r w:rsidRPr="007F4EFD">
        <w:rPr>
          <w:szCs w:val="24"/>
          <w:lang w:val="en-AU"/>
        </w:rPr>
        <w:t>=1) and arose during the episode of care due to hospital actions.</w:t>
      </w:r>
      <w:r w:rsidR="00345851">
        <w:rPr>
          <w:szCs w:val="24"/>
          <w:lang w:val="en-AU"/>
        </w:rPr>
        <w:t xml:space="preserve"> </w:t>
      </w:r>
    </w:p>
    <w:p w14:paraId="54EFA1A8" w14:textId="77777777" w:rsidR="005B5818" w:rsidRPr="007F4EFD" w:rsidRDefault="005B5818" w:rsidP="006056B9">
      <w:pPr>
        <w:rPr>
          <w:szCs w:val="24"/>
          <w:lang w:val="en-AU"/>
        </w:rPr>
      </w:pPr>
      <w:r w:rsidRPr="007F4EFD">
        <w:rPr>
          <w:b/>
          <w:szCs w:val="24"/>
          <w:lang w:val="en-AU"/>
        </w:rPr>
        <w:t>Scenario 5:</w:t>
      </w:r>
      <w:r w:rsidRPr="007F4EFD">
        <w:rPr>
          <w:szCs w:val="24"/>
          <w:lang w:val="en-AU"/>
        </w:rPr>
        <w:t xml:space="preserve"> A patient has a </w:t>
      </w:r>
      <w:proofErr w:type="spellStart"/>
      <w:r w:rsidR="002C51F2">
        <w:rPr>
          <w:szCs w:val="24"/>
          <w:lang w:val="en-AU"/>
        </w:rPr>
        <w:t>PDx</w:t>
      </w:r>
      <w:proofErr w:type="spellEnd"/>
      <w:r w:rsidRPr="007F4EFD">
        <w:rPr>
          <w:szCs w:val="24"/>
          <w:lang w:val="en-AU"/>
        </w:rPr>
        <w:t xml:space="preserve"> of “XXX.XX” and a single </w:t>
      </w:r>
      <w:proofErr w:type="spellStart"/>
      <w:r w:rsidR="002C51F2">
        <w:rPr>
          <w:szCs w:val="24"/>
          <w:lang w:val="en-AU"/>
        </w:rPr>
        <w:t>ADx</w:t>
      </w:r>
      <w:proofErr w:type="spellEnd"/>
      <w:r w:rsidRPr="007F4EFD">
        <w:rPr>
          <w:szCs w:val="24"/>
          <w:lang w:val="en-AU"/>
        </w:rPr>
        <w:t xml:space="preserve"> of “YYY.YY”.</w:t>
      </w:r>
      <w:r w:rsidR="00345851">
        <w:rPr>
          <w:szCs w:val="24"/>
          <w:lang w:val="en-AU"/>
        </w:rPr>
        <w:t xml:space="preserve"> </w:t>
      </w:r>
      <w:r w:rsidRPr="007F4EFD">
        <w:rPr>
          <w:szCs w:val="24"/>
          <w:lang w:val="en-AU"/>
        </w:rPr>
        <w:t xml:space="preserve">The </w:t>
      </w:r>
      <w:proofErr w:type="spellStart"/>
      <w:r w:rsidR="002C51F2">
        <w:rPr>
          <w:szCs w:val="24"/>
          <w:lang w:val="en-AU"/>
        </w:rPr>
        <w:t>ADx</w:t>
      </w:r>
      <w:proofErr w:type="spellEnd"/>
      <w:r w:rsidRPr="007F4EFD">
        <w:rPr>
          <w:szCs w:val="24"/>
          <w:lang w:val="en-AU"/>
        </w:rPr>
        <w:t xml:space="preserve"> was not present on admission (</w:t>
      </w:r>
      <w:r w:rsidR="004C70DD">
        <w:rPr>
          <w:szCs w:val="24"/>
          <w:lang w:val="en-AU"/>
        </w:rPr>
        <w:t>COF</w:t>
      </w:r>
      <w:r w:rsidRPr="007F4EFD">
        <w:rPr>
          <w:szCs w:val="24"/>
          <w:lang w:val="en-AU"/>
        </w:rPr>
        <w:t>=1) and arose during the episode of care due to hospital actions but the patient was known to be at extreme risk of having the complication.</w:t>
      </w:r>
      <w:r w:rsidR="00345851">
        <w:rPr>
          <w:szCs w:val="24"/>
          <w:lang w:val="en-AU"/>
        </w:rPr>
        <w:t xml:space="preserve"> </w:t>
      </w:r>
      <w:r w:rsidRPr="007F4EFD">
        <w:rPr>
          <w:szCs w:val="24"/>
          <w:lang w:val="en-AU"/>
        </w:rPr>
        <w:t>This is a special sub-group of patients with scenario 4.</w:t>
      </w:r>
    </w:p>
    <w:p w14:paraId="0819957B" w14:textId="77777777" w:rsidR="005B5818" w:rsidRPr="007F4EFD" w:rsidRDefault="005B5818" w:rsidP="006056B9">
      <w:pPr>
        <w:rPr>
          <w:szCs w:val="24"/>
          <w:lang w:val="en-AU"/>
        </w:rPr>
      </w:pPr>
      <w:r w:rsidRPr="007F4EFD">
        <w:rPr>
          <w:szCs w:val="24"/>
          <w:lang w:val="en-AU"/>
        </w:rPr>
        <w:t xml:space="preserve">These five scenarios are </w:t>
      </w:r>
      <w:r w:rsidRPr="00424555">
        <w:rPr>
          <w:szCs w:val="24"/>
          <w:lang w:val="en-AU"/>
        </w:rPr>
        <w:t xml:space="preserve">summarised in </w:t>
      </w:r>
      <w:r w:rsidR="00CC0F16">
        <w:fldChar w:fldCharType="begin"/>
      </w:r>
      <w:r w:rsidR="00CC0F16">
        <w:instrText xml:space="preserve"> REF _Ref390967748 \h  \* MERGEFORMAT </w:instrText>
      </w:r>
      <w:r w:rsidR="00CC0F16">
        <w:fldChar w:fldCharType="separate"/>
      </w:r>
      <w:r w:rsidR="0031717B" w:rsidRPr="0031717B">
        <w:rPr>
          <w:szCs w:val="24"/>
        </w:rPr>
        <w:t>Table 10</w:t>
      </w:r>
      <w:r w:rsidR="00CC0F16">
        <w:fldChar w:fldCharType="end"/>
      </w:r>
      <w:r w:rsidRPr="00424555">
        <w:rPr>
          <w:szCs w:val="24"/>
          <w:lang w:val="en-AU"/>
        </w:rPr>
        <w:t xml:space="preserve"> below</w:t>
      </w:r>
      <w:r w:rsidRPr="007F4EFD">
        <w:rPr>
          <w:szCs w:val="24"/>
          <w:lang w:val="en-AU"/>
        </w:rPr>
        <w:t>.</w:t>
      </w:r>
    </w:p>
    <w:p w14:paraId="5888554A" w14:textId="77777777" w:rsidR="005B5818" w:rsidRPr="007F4EFD" w:rsidRDefault="005B5818" w:rsidP="000E5B4A">
      <w:pPr>
        <w:pStyle w:val="Caption"/>
        <w:rPr>
          <w:sz w:val="24"/>
          <w:szCs w:val="24"/>
          <w:lang w:val="en-AU"/>
        </w:rPr>
      </w:pPr>
      <w:bookmarkStart w:id="129" w:name="_Ref390967748"/>
      <w:bookmarkStart w:id="130" w:name="_Toc401061097"/>
      <w:r>
        <w:lastRenderedPageBreak/>
        <w:t xml:space="preserve">Table </w:t>
      </w:r>
      <w:r w:rsidR="005559F5">
        <w:fldChar w:fldCharType="begin"/>
      </w:r>
      <w:r>
        <w:instrText xml:space="preserve"> SEQ Table \* ARABIC </w:instrText>
      </w:r>
      <w:r w:rsidR="005559F5">
        <w:fldChar w:fldCharType="separate"/>
      </w:r>
      <w:r w:rsidR="0031717B">
        <w:rPr>
          <w:noProof/>
        </w:rPr>
        <w:t>10</w:t>
      </w:r>
      <w:r w:rsidR="005559F5">
        <w:rPr>
          <w:noProof/>
        </w:rPr>
        <w:fldChar w:fldCharType="end"/>
      </w:r>
      <w:bookmarkEnd w:id="129"/>
      <w:r>
        <w:t xml:space="preserve">: </w:t>
      </w:r>
      <w:r w:rsidRPr="00C039C8">
        <w:t>Characteristics of patients in five scenarios</w:t>
      </w:r>
      <w:r w:rsidR="000E4FA5">
        <w:t>.</w:t>
      </w:r>
      <w:bookmarkEnd w:id="130"/>
    </w:p>
    <w:tbl>
      <w:tblPr>
        <w:tblStyle w:val="Style1"/>
        <w:tblW w:w="0" w:type="auto"/>
        <w:tblLook w:val="0420" w:firstRow="1" w:lastRow="0" w:firstColumn="0" w:lastColumn="0" w:noHBand="0" w:noVBand="1"/>
        <w:tblCaption w:val="Table 9: Characteristics of patients in five scenarios"/>
        <w:tblDescription w:val="The table has six columns: the first column lists condition type; the second is scenario 1; the third is scenario 2; the fourth is scenario 3; the fifth is scenario 4;; the sixth is scenario 5."/>
      </w:tblPr>
      <w:tblGrid>
        <w:gridCol w:w="2835"/>
        <w:gridCol w:w="1191"/>
        <w:gridCol w:w="1191"/>
        <w:gridCol w:w="1191"/>
        <w:gridCol w:w="1191"/>
        <w:gridCol w:w="1191"/>
      </w:tblGrid>
      <w:tr w:rsidR="00823672" w:rsidRPr="00823672" w14:paraId="358E1A3B" w14:textId="77777777" w:rsidTr="00176984">
        <w:trPr>
          <w:cnfStyle w:val="100000000000" w:firstRow="1" w:lastRow="0" w:firstColumn="0" w:lastColumn="0" w:oddVBand="0" w:evenVBand="0" w:oddHBand="0" w:evenHBand="0" w:firstRowFirstColumn="0" w:firstRowLastColumn="0" w:lastRowFirstColumn="0" w:lastRowLastColumn="0"/>
          <w:trHeight w:val="290"/>
          <w:tblHeader/>
        </w:trPr>
        <w:tc>
          <w:tcPr>
            <w:tcW w:w="2835" w:type="dxa"/>
            <w:hideMark/>
          </w:tcPr>
          <w:p w14:paraId="013CEE46" w14:textId="77777777" w:rsidR="00823672" w:rsidRPr="00823672" w:rsidRDefault="00823672" w:rsidP="00F44AB0">
            <w:pPr>
              <w:pStyle w:val="Table"/>
              <w:rPr>
                <w:noProof/>
              </w:rPr>
            </w:pPr>
            <w:r w:rsidRPr="00823672">
              <w:rPr>
                <w:noProof/>
              </w:rPr>
              <w:t>Condition</w:t>
            </w:r>
          </w:p>
        </w:tc>
        <w:tc>
          <w:tcPr>
            <w:tcW w:w="1191" w:type="dxa"/>
            <w:noWrap/>
            <w:hideMark/>
          </w:tcPr>
          <w:p w14:paraId="198DA69C" w14:textId="77777777" w:rsidR="00823672" w:rsidRPr="00823672" w:rsidRDefault="00823672" w:rsidP="00F44AB0">
            <w:pPr>
              <w:pStyle w:val="Table"/>
              <w:rPr>
                <w:noProof/>
              </w:rPr>
            </w:pPr>
            <w:r>
              <w:rPr>
                <w:noProof/>
              </w:rPr>
              <w:t>Senario 1</w:t>
            </w:r>
          </w:p>
        </w:tc>
        <w:tc>
          <w:tcPr>
            <w:tcW w:w="1191" w:type="dxa"/>
            <w:noWrap/>
            <w:hideMark/>
          </w:tcPr>
          <w:p w14:paraId="6A3D6478" w14:textId="77777777" w:rsidR="00823672" w:rsidRPr="00823672" w:rsidRDefault="00823672" w:rsidP="00F44AB0">
            <w:pPr>
              <w:pStyle w:val="Table"/>
              <w:rPr>
                <w:noProof/>
              </w:rPr>
            </w:pPr>
            <w:r w:rsidRPr="00823672">
              <w:rPr>
                <w:noProof/>
              </w:rPr>
              <w:t>Senario 2</w:t>
            </w:r>
          </w:p>
        </w:tc>
        <w:tc>
          <w:tcPr>
            <w:tcW w:w="1191" w:type="dxa"/>
            <w:noWrap/>
            <w:hideMark/>
          </w:tcPr>
          <w:p w14:paraId="504444F8" w14:textId="77777777" w:rsidR="00823672" w:rsidRPr="00823672" w:rsidRDefault="00823672" w:rsidP="00F44AB0">
            <w:pPr>
              <w:pStyle w:val="Table"/>
              <w:rPr>
                <w:noProof/>
              </w:rPr>
            </w:pPr>
            <w:r w:rsidRPr="00823672">
              <w:rPr>
                <w:noProof/>
              </w:rPr>
              <w:t>Senario 3</w:t>
            </w:r>
          </w:p>
        </w:tc>
        <w:tc>
          <w:tcPr>
            <w:tcW w:w="1191" w:type="dxa"/>
            <w:noWrap/>
            <w:hideMark/>
          </w:tcPr>
          <w:p w14:paraId="6616B981" w14:textId="77777777" w:rsidR="00823672" w:rsidRPr="00823672" w:rsidRDefault="00823672" w:rsidP="00F44AB0">
            <w:pPr>
              <w:pStyle w:val="Table"/>
              <w:rPr>
                <w:noProof/>
              </w:rPr>
            </w:pPr>
            <w:r w:rsidRPr="00823672">
              <w:rPr>
                <w:noProof/>
              </w:rPr>
              <w:t>Senario 4</w:t>
            </w:r>
          </w:p>
        </w:tc>
        <w:tc>
          <w:tcPr>
            <w:tcW w:w="1191" w:type="dxa"/>
            <w:noWrap/>
            <w:hideMark/>
          </w:tcPr>
          <w:p w14:paraId="10D77AC9" w14:textId="77777777" w:rsidR="00823672" w:rsidRPr="00823672" w:rsidRDefault="00823672" w:rsidP="00F44AB0">
            <w:pPr>
              <w:pStyle w:val="Table"/>
              <w:rPr>
                <w:noProof/>
              </w:rPr>
            </w:pPr>
            <w:r w:rsidRPr="00823672">
              <w:rPr>
                <w:noProof/>
              </w:rPr>
              <w:t>Senario 5</w:t>
            </w:r>
          </w:p>
        </w:tc>
      </w:tr>
      <w:tr w:rsidR="00823672" w:rsidRPr="00823672" w14:paraId="06F8D25D" w14:textId="77777777" w:rsidTr="00823672">
        <w:trPr>
          <w:trHeight w:val="580"/>
        </w:trPr>
        <w:tc>
          <w:tcPr>
            <w:tcW w:w="2835" w:type="dxa"/>
            <w:hideMark/>
          </w:tcPr>
          <w:p w14:paraId="27911F87" w14:textId="77777777" w:rsidR="00823672" w:rsidRPr="00823672" w:rsidRDefault="00823672" w:rsidP="00F44AB0">
            <w:pPr>
              <w:pStyle w:val="Table"/>
              <w:keepNext/>
              <w:rPr>
                <w:noProof/>
              </w:rPr>
            </w:pPr>
            <w:r w:rsidRPr="00823672">
              <w:rPr>
                <w:noProof/>
              </w:rPr>
              <w:t>Adx Present on the record</w:t>
            </w:r>
          </w:p>
        </w:tc>
        <w:tc>
          <w:tcPr>
            <w:tcW w:w="1191" w:type="dxa"/>
            <w:noWrap/>
            <w:hideMark/>
          </w:tcPr>
          <w:p w14:paraId="05734C92" w14:textId="77777777" w:rsidR="00823672" w:rsidRPr="00823672" w:rsidRDefault="00823672" w:rsidP="00F44AB0">
            <w:pPr>
              <w:pStyle w:val="Table"/>
              <w:keepNext/>
              <w:rPr>
                <w:noProof/>
              </w:rPr>
            </w:pPr>
            <w:r w:rsidRPr="00823672">
              <w:rPr>
                <w:noProof/>
              </w:rPr>
              <w:t>No</w:t>
            </w:r>
          </w:p>
        </w:tc>
        <w:tc>
          <w:tcPr>
            <w:tcW w:w="1191" w:type="dxa"/>
            <w:noWrap/>
            <w:hideMark/>
          </w:tcPr>
          <w:p w14:paraId="334D3E4D" w14:textId="77777777" w:rsidR="00823672" w:rsidRPr="00823672" w:rsidRDefault="00823672" w:rsidP="00F44AB0">
            <w:pPr>
              <w:pStyle w:val="Table"/>
              <w:keepNext/>
              <w:rPr>
                <w:noProof/>
              </w:rPr>
            </w:pPr>
            <w:r w:rsidRPr="00823672">
              <w:rPr>
                <w:noProof/>
              </w:rPr>
              <w:t>Yes</w:t>
            </w:r>
          </w:p>
        </w:tc>
        <w:tc>
          <w:tcPr>
            <w:tcW w:w="1191" w:type="dxa"/>
            <w:noWrap/>
            <w:hideMark/>
          </w:tcPr>
          <w:p w14:paraId="355BF1D4" w14:textId="77777777" w:rsidR="00823672" w:rsidRPr="00823672" w:rsidRDefault="00823672" w:rsidP="00F44AB0">
            <w:pPr>
              <w:pStyle w:val="Table"/>
              <w:keepNext/>
              <w:rPr>
                <w:noProof/>
              </w:rPr>
            </w:pPr>
            <w:r w:rsidRPr="00823672">
              <w:rPr>
                <w:noProof/>
              </w:rPr>
              <w:t>Yes</w:t>
            </w:r>
          </w:p>
        </w:tc>
        <w:tc>
          <w:tcPr>
            <w:tcW w:w="1191" w:type="dxa"/>
            <w:noWrap/>
            <w:hideMark/>
          </w:tcPr>
          <w:p w14:paraId="23593466" w14:textId="77777777" w:rsidR="00823672" w:rsidRPr="00823672" w:rsidRDefault="00823672" w:rsidP="00F44AB0">
            <w:pPr>
              <w:pStyle w:val="Table"/>
              <w:keepNext/>
              <w:rPr>
                <w:noProof/>
              </w:rPr>
            </w:pPr>
            <w:r w:rsidRPr="00823672">
              <w:rPr>
                <w:noProof/>
              </w:rPr>
              <w:t>Yes</w:t>
            </w:r>
          </w:p>
        </w:tc>
        <w:tc>
          <w:tcPr>
            <w:tcW w:w="1191" w:type="dxa"/>
            <w:noWrap/>
            <w:hideMark/>
          </w:tcPr>
          <w:p w14:paraId="303BF37D" w14:textId="77777777" w:rsidR="00823672" w:rsidRPr="00823672" w:rsidRDefault="00823672" w:rsidP="00F44AB0">
            <w:pPr>
              <w:pStyle w:val="Table"/>
              <w:keepNext/>
              <w:rPr>
                <w:noProof/>
              </w:rPr>
            </w:pPr>
            <w:r w:rsidRPr="00823672">
              <w:rPr>
                <w:noProof/>
              </w:rPr>
              <w:t>Yes</w:t>
            </w:r>
          </w:p>
        </w:tc>
      </w:tr>
      <w:tr w:rsidR="00823672" w:rsidRPr="00823672" w14:paraId="643CD4CE" w14:textId="77777777" w:rsidTr="00823672">
        <w:trPr>
          <w:trHeight w:val="580"/>
        </w:trPr>
        <w:tc>
          <w:tcPr>
            <w:tcW w:w="2835" w:type="dxa"/>
            <w:hideMark/>
          </w:tcPr>
          <w:p w14:paraId="12AAE5FF" w14:textId="77777777" w:rsidR="00823672" w:rsidRPr="00823672" w:rsidRDefault="00823672" w:rsidP="00F44AB0">
            <w:pPr>
              <w:pStyle w:val="Table"/>
              <w:keepNext/>
              <w:rPr>
                <w:noProof/>
              </w:rPr>
            </w:pPr>
            <w:r w:rsidRPr="00823672">
              <w:rPr>
                <w:noProof/>
              </w:rPr>
              <w:t>Adx Present arising during admission</w:t>
            </w:r>
          </w:p>
        </w:tc>
        <w:tc>
          <w:tcPr>
            <w:tcW w:w="1191" w:type="dxa"/>
            <w:noWrap/>
            <w:hideMark/>
          </w:tcPr>
          <w:p w14:paraId="4146218E" w14:textId="77777777" w:rsidR="00823672" w:rsidRPr="00823672" w:rsidRDefault="00823672" w:rsidP="00F44AB0">
            <w:pPr>
              <w:pStyle w:val="Table"/>
              <w:keepNext/>
              <w:rPr>
                <w:noProof/>
              </w:rPr>
            </w:pPr>
            <w:r w:rsidRPr="00823672">
              <w:rPr>
                <w:noProof/>
              </w:rPr>
              <w:t>No</w:t>
            </w:r>
          </w:p>
        </w:tc>
        <w:tc>
          <w:tcPr>
            <w:tcW w:w="1191" w:type="dxa"/>
            <w:noWrap/>
            <w:hideMark/>
          </w:tcPr>
          <w:p w14:paraId="3A822E16" w14:textId="77777777" w:rsidR="00823672" w:rsidRPr="00823672" w:rsidRDefault="00823672" w:rsidP="00F44AB0">
            <w:pPr>
              <w:pStyle w:val="Table"/>
              <w:keepNext/>
              <w:rPr>
                <w:noProof/>
              </w:rPr>
            </w:pPr>
            <w:r w:rsidRPr="00823672">
              <w:rPr>
                <w:noProof/>
              </w:rPr>
              <w:t>No</w:t>
            </w:r>
          </w:p>
        </w:tc>
        <w:tc>
          <w:tcPr>
            <w:tcW w:w="1191" w:type="dxa"/>
            <w:noWrap/>
            <w:hideMark/>
          </w:tcPr>
          <w:p w14:paraId="2F2ED23E" w14:textId="77777777" w:rsidR="00823672" w:rsidRPr="00823672" w:rsidRDefault="00823672" w:rsidP="00F44AB0">
            <w:pPr>
              <w:pStyle w:val="Table"/>
              <w:keepNext/>
              <w:rPr>
                <w:noProof/>
              </w:rPr>
            </w:pPr>
            <w:r w:rsidRPr="00823672">
              <w:rPr>
                <w:noProof/>
              </w:rPr>
              <w:t>Yes</w:t>
            </w:r>
          </w:p>
        </w:tc>
        <w:tc>
          <w:tcPr>
            <w:tcW w:w="1191" w:type="dxa"/>
            <w:noWrap/>
            <w:hideMark/>
          </w:tcPr>
          <w:p w14:paraId="32445C9B" w14:textId="77777777" w:rsidR="00823672" w:rsidRPr="00823672" w:rsidRDefault="00823672" w:rsidP="00F44AB0">
            <w:pPr>
              <w:pStyle w:val="Table"/>
              <w:keepNext/>
              <w:rPr>
                <w:noProof/>
              </w:rPr>
            </w:pPr>
            <w:r w:rsidRPr="00823672">
              <w:rPr>
                <w:noProof/>
              </w:rPr>
              <w:t>Yes</w:t>
            </w:r>
          </w:p>
        </w:tc>
        <w:tc>
          <w:tcPr>
            <w:tcW w:w="1191" w:type="dxa"/>
            <w:noWrap/>
            <w:hideMark/>
          </w:tcPr>
          <w:p w14:paraId="03A1761C" w14:textId="77777777" w:rsidR="00823672" w:rsidRPr="00823672" w:rsidRDefault="00823672" w:rsidP="00F44AB0">
            <w:pPr>
              <w:pStyle w:val="Table"/>
              <w:keepNext/>
              <w:rPr>
                <w:noProof/>
              </w:rPr>
            </w:pPr>
            <w:r w:rsidRPr="00823672">
              <w:rPr>
                <w:noProof/>
              </w:rPr>
              <w:t>Yes</w:t>
            </w:r>
          </w:p>
        </w:tc>
      </w:tr>
      <w:tr w:rsidR="00823672" w:rsidRPr="00823672" w14:paraId="61522369" w14:textId="77777777" w:rsidTr="00823672">
        <w:trPr>
          <w:trHeight w:val="580"/>
        </w:trPr>
        <w:tc>
          <w:tcPr>
            <w:tcW w:w="2835" w:type="dxa"/>
            <w:hideMark/>
          </w:tcPr>
          <w:p w14:paraId="0CBCCB5D" w14:textId="77777777" w:rsidR="00823672" w:rsidRPr="00823672" w:rsidRDefault="00823672" w:rsidP="00F44AB0">
            <w:pPr>
              <w:pStyle w:val="Table"/>
              <w:keepNext/>
              <w:rPr>
                <w:noProof/>
              </w:rPr>
            </w:pPr>
            <w:r w:rsidRPr="00823672">
              <w:rPr>
                <w:noProof/>
              </w:rPr>
              <w:t>Adx caused by hospital</w:t>
            </w:r>
          </w:p>
        </w:tc>
        <w:tc>
          <w:tcPr>
            <w:tcW w:w="1191" w:type="dxa"/>
            <w:noWrap/>
            <w:hideMark/>
          </w:tcPr>
          <w:p w14:paraId="41D2712C" w14:textId="77777777" w:rsidR="00823672" w:rsidRPr="00823672" w:rsidRDefault="00823672" w:rsidP="00F44AB0">
            <w:pPr>
              <w:pStyle w:val="Table"/>
              <w:keepNext/>
              <w:rPr>
                <w:noProof/>
              </w:rPr>
            </w:pPr>
            <w:r w:rsidRPr="00823672">
              <w:rPr>
                <w:noProof/>
              </w:rPr>
              <w:t>No</w:t>
            </w:r>
          </w:p>
        </w:tc>
        <w:tc>
          <w:tcPr>
            <w:tcW w:w="1191" w:type="dxa"/>
            <w:noWrap/>
            <w:hideMark/>
          </w:tcPr>
          <w:p w14:paraId="414C7C47" w14:textId="77777777" w:rsidR="00823672" w:rsidRPr="00823672" w:rsidRDefault="00823672" w:rsidP="00F44AB0">
            <w:pPr>
              <w:pStyle w:val="Table"/>
              <w:keepNext/>
              <w:rPr>
                <w:noProof/>
              </w:rPr>
            </w:pPr>
            <w:r w:rsidRPr="00823672">
              <w:rPr>
                <w:noProof/>
              </w:rPr>
              <w:t>No</w:t>
            </w:r>
          </w:p>
        </w:tc>
        <w:tc>
          <w:tcPr>
            <w:tcW w:w="1191" w:type="dxa"/>
            <w:noWrap/>
            <w:hideMark/>
          </w:tcPr>
          <w:p w14:paraId="2E487AB9" w14:textId="77777777" w:rsidR="00823672" w:rsidRPr="00823672" w:rsidRDefault="00823672" w:rsidP="00F44AB0">
            <w:pPr>
              <w:pStyle w:val="Table"/>
              <w:keepNext/>
              <w:rPr>
                <w:noProof/>
              </w:rPr>
            </w:pPr>
            <w:r w:rsidRPr="00823672">
              <w:rPr>
                <w:noProof/>
              </w:rPr>
              <w:t>No</w:t>
            </w:r>
          </w:p>
        </w:tc>
        <w:tc>
          <w:tcPr>
            <w:tcW w:w="1191" w:type="dxa"/>
            <w:noWrap/>
            <w:hideMark/>
          </w:tcPr>
          <w:p w14:paraId="2D98D743" w14:textId="77777777" w:rsidR="00823672" w:rsidRPr="00823672" w:rsidRDefault="00823672" w:rsidP="00F44AB0">
            <w:pPr>
              <w:pStyle w:val="Table"/>
              <w:keepNext/>
              <w:rPr>
                <w:noProof/>
              </w:rPr>
            </w:pPr>
            <w:r w:rsidRPr="00823672">
              <w:rPr>
                <w:noProof/>
              </w:rPr>
              <w:t>Yes</w:t>
            </w:r>
          </w:p>
        </w:tc>
        <w:tc>
          <w:tcPr>
            <w:tcW w:w="1191" w:type="dxa"/>
            <w:noWrap/>
            <w:hideMark/>
          </w:tcPr>
          <w:p w14:paraId="5B86E6D3" w14:textId="77777777" w:rsidR="00823672" w:rsidRPr="00823672" w:rsidRDefault="00823672" w:rsidP="00F44AB0">
            <w:pPr>
              <w:pStyle w:val="Table"/>
              <w:keepNext/>
              <w:rPr>
                <w:noProof/>
              </w:rPr>
            </w:pPr>
            <w:r w:rsidRPr="00823672">
              <w:rPr>
                <w:noProof/>
              </w:rPr>
              <w:t>Yes</w:t>
            </w:r>
          </w:p>
        </w:tc>
      </w:tr>
      <w:tr w:rsidR="00823672" w:rsidRPr="00823672" w14:paraId="404E540F" w14:textId="77777777" w:rsidTr="00823672">
        <w:trPr>
          <w:trHeight w:val="870"/>
        </w:trPr>
        <w:tc>
          <w:tcPr>
            <w:tcW w:w="2835" w:type="dxa"/>
            <w:hideMark/>
          </w:tcPr>
          <w:p w14:paraId="27256F87" w14:textId="77777777" w:rsidR="00823672" w:rsidRPr="00823672" w:rsidRDefault="00823672" w:rsidP="00823672">
            <w:pPr>
              <w:pStyle w:val="Table"/>
              <w:rPr>
                <w:noProof/>
              </w:rPr>
            </w:pPr>
            <w:r w:rsidRPr="00823672">
              <w:rPr>
                <w:noProof/>
              </w:rPr>
              <w:t>High Risk of Adverse Event during Treatment</w:t>
            </w:r>
          </w:p>
        </w:tc>
        <w:tc>
          <w:tcPr>
            <w:tcW w:w="1191" w:type="dxa"/>
            <w:noWrap/>
            <w:hideMark/>
          </w:tcPr>
          <w:p w14:paraId="62345599" w14:textId="77777777" w:rsidR="00823672" w:rsidRPr="00823672" w:rsidRDefault="00823672" w:rsidP="00823672">
            <w:pPr>
              <w:pStyle w:val="Table"/>
              <w:rPr>
                <w:noProof/>
              </w:rPr>
            </w:pPr>
            <w:r w:rsidRPr="00823672">
              <w:rPr>
                <w:noProof/>
              </w:rPr>
              <w:t>No</w:t>
            </w:r>
          </w:p>
        </w:tc>
        <w:tc>
          <w:tcPr>
            <w:tcW w:w="1191" w:type="dxa"/>
            <w:noWrap/>
            <w:hideMark/>
          </w:tcPr>
          <w:p w14:paraId="0CC4BA55" w14:textId="77777777" w:rsidR="00823672" w:rsidRPr="00823672" w:rsidRDefault="00823672" w:rsidP="00823672">
            <w:pPr>
              <w:pStyle w:val="Table"/>
              <w:rPr>
                <w:noProof/>
              </w:rPr>
            </w:pPr>
            <w:r w:rsidRPr="00823672">
              <w:rPr>
                <w:noProof/>
              </w:rPr>
              <w:t>No</w:t>
            </w:r>
          </w:p>
        </w:tc>
        <w:tc>
          <w:tcPr>
            <w:tcW w:w="1191" w:type="dxa"/>
            <w:noWrap/>
            <w:hideMark/>
          </w:tcPr>
          <w:p w14:paraId="722D09FF" w14:textId="77777777" w:rsidR="00823672" w:rsidRPr="00823672" w:rsidRDefault="00823672" w:rsidP="00823672">
            <w:pPr>
              <w:pStyle w:val="Table"/>
              <w:rPr>
                <w:noProof/>
              </w:rPr>
            </w:pPr>
            <w:r w:rsidRPr="00823672">
              <w:rPr>
                <w:noProof/>
              </w:rPr>
              <w:t>No</w:t>
            </w:r>
          </w:p>
        </w:tc>
        <w:tc>
          <w:tcPr>
            <w:tcW w:w="1191" w:type="dxa"/>
            <w:noWrap/>
            <w:hideMark/>
          </w:tcPr>
          <w:p w14:paraId="44E5618A" w14:textId="77777777" w:rsidR="00823672" w:rsidRPr="00823672" w:rsidRDefault="00823672" w:rsidP="00823672">
            <w:pPr>
              <w:pStyle w:val="Table"/>
              <w:rPr>
                <w:noProof/>
              </w:rPr>
            </w:pPr>
            <w:r w:rsidRPr="00823672">
              <w:rPr>
                <w:noProof/>
              </w:rPr>
              <w:t>No</w:t>
            </w:r>
          </w:p>
        </w:tc>
        <w:tc>
          <w:tcPr>
            <w:tcW w:w="1191" w:type="dxa"/>
            <w:noWrap/>
            <w:hideMark/>
          </w:tcPr>
          <w:p w14:paraId="2EDBC62C" w14:textId="77777777" w:rsidR="00823672" w:rsidRPr="00823672" w:rsidRDefault="00823672" w:rsidP="00823672">
            <w:pPr>
              <w:pStyle w:val="Table"/>
              <w:rPr>
                <w:noProof/>
              </w:rPr>
            </w:pPr>
            <w:r w:rsidRPr="00823672">
              <w:rPr>
                <w:noProof/>
              </w:rPr>
              <w:t>Yes</w:t>
            </w:r>
          </w:p>
        </w:tc>
      </w:tr>
    </w:tbl>
    <w:p w14:paraId="17FBA7A2" w14:textId="77777777" w:rsidR="005B5818" w:rsidRPr="007F4EFD" w:rsidRDefault="005B5818" w:rsidP="006056B9">
      <w:pPr>
        <w:rPr>
          <w:szCs w:val="24"/>
          <w:lang w:val="en-AU"/>
        </w:rPr>
      </w:pPr>
      <w:r w:rsidRPr="00B5534A">
        <w:rPr>
          <w:szCs w:val="24"/>
          <w:lang w:val="en-AU"/>
        </w:rPr>
        <w:t>Different classification design issues require analysis of different combinations of patients with these different scenarios.</w:t>
      </w:r>
      <w:r>
        <w:rPr>
          <w:szCs w:val="24"/>
          <w:lang w:val="en-AU"/>
        </w:rPr>
        <w:t xml:space="preserve"> </w:t>
      </w:r>
      <w:r w:rsidRPr="00424555">
        <w:rPr>
          <w:szCs w:val="24"/>
          <w:lang w:val="en-AU"/>
        </w:rPr>
        <w:t>One possible approach would be to exclude</w:t>
      </w:r>
      <w:r w:rsidRPr="007F4EFD">
        <w:rPr>
          <w:szCs w:val="24"/>
          <w:lang w:val="en-AU"/>
        </w:rPr>
        <w:t xml:space="preserve"> codes that relate to hospital error.</w:t>
      </w:r>
      <w:r w:rsidR="00345851">
        <w:rPr>
          <w:szCs w:val="24"/>
          <w:lang w:val="en-AU"/>
        </w:rPr>
        <w:t xml:space="preserve"> </w:t>
      </w:r>
      <w:r w:rsidRPr="007F4EFD">
        <w:rPr>
          <w:szCs w:val="24"/>
          <w:lang w:val="en-AU"/>
        </w:rPr>
        <w:t xml:space="preserve">However the </w:t>
      </w:r>
      <w:r w:rsidR="004C70DD">
        <w:rPr>
          <w:szCs w:val="24"/>
          <w:lang w:val="en-AU"/>
        </w:rPr>
        <w:t>COF</w:t>
      </w:r>
      <w:r w:rsidRPr="007F4EFD">
        <w:rPr>
          <w:szCs w:val="24"/>
          <w:lang w:val="en-AU"/>
        </w:rPr>
        <w:t xml:space="preserve"> is not sufficient for this task as we cannot distinguish between patients in scenarios 3 (arising spontaneously) and scenario 4 (arising due to hospital actions). Excluding ICD codes with a </w:t>
      </w:r>
      <w:r w:rsidR="004C70DD">
        <w:rPr>
          <w:szCs w:val="24"/>
          <w:lang w:val="en-AU"/>
        </w:rPr>
        <w:t>COF</w:t>
      </w:r>
      <w:r w:rsidRPr="007F4EFD">
        <w:rPr>
          <w:szCs w:val="24"/>
          <w:lang w:val="en-AU"/>
        </w:rPr>
        <w:t xml:space="preserve"> of 1 will inappropriately remove </w:t>
      </w:r>
      <w:proofErr w:type="spellStart"/>
      <w:r w:rsidRPr="007F4EFD">
        <w:rPr>
          <w:szCs w:val="24"/>
          <w:lang w:val="en-AU"/>
        </w:rPr>
        <w:t>ADx</w:t>
      </w:r>
      <w:proofErr w:type="spellEnd"/>
      <w:r w:rsidRPr="007F4EFD">
        <w:rPr>
          <w:szCs w:val="24"/>
          <w:lang w:val="en-AU"/>
        </w:rPr>
        <w:t xml:space="preserve"> for patients under scenario 3.</w:t>
      </w:r>
    </w:p>
    <w:p w14:paraId="2C5A9FB6" w14:textId="77777777" w:rsidR="005B5818" w:rsidRPr="007F4EFD" w:rsidRDefault="005B5818" w:rsidP="006056B9">
      <w:pPr>
        <w:rPr>
          <w:szCs w:val="24"/>
          <w:lang w:val="en-AU"/>
        </w:rPr>
      </w:pPr>
      <w:r w:rsidRPr="007F4EFD">
        <w:rPr>
          <w:szCs w:val="24"/>
          <w:lang w:val="en-AU"/>
        </w:rPr>
        <w:t xml:space="preserve">Furthermore, the question arises </w:t>
      </w:r>
      <w:r>
        <w:rPr>
          <w:szCs w:val="24"/>
          <w:lang w:val="en-AU"/>
        </w:rPr>
        <w:t>as to</w:t>
      </w:r>
      <w:r w:rsidRPr="007F4EFD">
        <w:rPr>
          <w:szCs w:val="24"/>
          <w:lang w:val="en-AU"/>
        </w:rPr>
        <w:t xml:space="preserve"> whether </w:t>
      </w:r>
      <w:r>
        <w:rPr>
          <w:szCs w:val="24"/>
          <w:lang w:val="en-AU"/>
        </w:rPr>
        <w:t>a</w:t>
      </w:r>
      <w:r w:rsidRPr="007F4EFD">
        <w:rPr>
          <w:szCs w:val="24"/>
          <w:lang w:val="en-AU"/>
        </w:rPr>
        <w:t xml:space="preserve"> condition </w:t>
      </w:r>
      <w:r>
        <w:rPr>
          <w:szCs w:val="24"/>
          <w:lang w:val="en-AU"/>
        </w:rPr>
        <w:t xml:space="preserve">with a </w:t>
      </w:r>
      <w:r w:rsidR="004C70DD">
        <w:rPr>
          <w:szCs w:val="24"/>
          <w:lang w:val="en-AU"/>
        </w:rPr>
        <w:t>COF</w:t>
      </w:r>
      <w:r>
        <w:rPr>
          <w:szCs w:val="24"/>
          <w:lang w:val="en-AU"/>
        </w:rPr>
        <w:t xml:space="preserve"> of 1 </w:t>
      </w:r>
      <w:r w:rsidRPr="007F4EFD">
        <w:rPr>
          <w:szCs w:val="24"/>
          <w:lang w:val="en-AU"/>
        </w:rPr>
        <w:t xml:space="preserve">is caused by the acts or omissions of the hospital, or merely associated with the hospital episode (for example, all falls in a person with known high falls risk cannot be entirely prevented). </w:t>
      </w:r>
      <w:r>
        <w:rPr>
          <w:szCs w:val="24"/>
          <w:lang w:val="en-AU"/>
        </w:rPr>
        <w:t>A response by hospitals to total exclusion risks the exclusion of patients in Scenario 5 from treatment.</w:t>
      </w:r>
    </w:p>
    <w:p w14:paraId="2BADC2E3" w14:textId="77777777" w:rsidR="005B5818" w:rsidRPr="007F4EFD" w:rsidRDefault="005B5818" w:rsidP="006056B9">
      <w:pPr>
        <w:rPr>
          <w:szCs w:val="24"/>
          <w:lang w:val="en-AU"/>
        </w:rPr>
      </w:pPr>
      <w:r w:rsidRPr="007F4EFD">
        <w:rPr>
          <w:szCs w:val="24"/>
          <w:lang w:val="en-AU"/>
        </w:rPr>
        <w:t>This issue of funders not paying for hospital error was recognised by McNair et al (2009) who argued that by retaining patients in scenarios 3 and 4 within the “uncomplicated” DRG when calculating cost weights, all hospitals would be funded for an underlying proportion of error that might reasonably relate to patients in scenario 3 (</w:t>
      </w:r>
      <w:proofErr w:type="spellStart"/>
      <w:r w:rsidRPr="007F4EFD">
        <w:rPr>
          <w:szCs w:val="24"/>
          <w:lang w:val="en-AU"/>
        </w:rPr>
        <w:t>ADx</w:t>
      </w:r>
      <w:proofErr w:type="spellEnd"/>
      <w:r w:rsidRPr="007F4EFD">
        <w:rPr>
          <w:szCs w:val="24"/>
          <w:lang w:val="en-AU"/>
        </w:rPr>
        <w:t xml:space="preserve"> spontaneously arising).</w:t>
      </w:r>
      <w:r w:rsidR="00345851">
        <w:rPr>
          <w:szCs w:val="24"/>
          <w:lang w:val="en-AU"/>
        </w:rPr>
        <w:t xml:space="preserve"> </w:t>
      </w:r>
      <w:r w:rsidRPr="007F4EFD">
        <w:rPr>
          <w:szCs w:val="24"/>
          <w:lang w:val="en-AU"/>
        </w:rPr>
        <w:t xml:space="preserve">This argument however still relies on the appropriateness of the classification structure that recognises the impact of </w:t>
      </w:r>
      <w:proofErr w:type="spellStart"/>
      <w:r w:rsidRPr="007F4EFD">
        <w:rPr>
          <w:szCs w:val="24"/>
          <w:lang w:val="en-AU"/>
        </w:rPr>
        <w:t>ADx</w:t>
      </w:r>
      <w:proofErr w:type="spellEnd"/>
      <w:r w:rsidRPr="007F4EFD">
        <w:rPr>
          <w:szCs w:val="24"/>
          <w:lang w:val="en-AU"/>
        </w:rPr>
        <w:t xml:space="preserve"> that ar</w:t>
      </w:r>
      <w:r>
        <w:rPr>
          <w:szCs w:val="24"/>
          <w:lang w:val="en-AU"/>
        </w:rPr>
        <w:t>e present on admission (</w:t>
      </w:r>
      <w:r w:rsidR="004C70DD">
        <w:rPr>
          <w:szCs w:val="24"/>
          <w:lang w:val="en-AU"/>
        </w:rPr>
        <w:t>COF</w:t>
      </w:r>
      <w:r>
        <w:rPr>
          <w:szCs w:val="24"/>
          <w:lang w:val="en-AU"/>
        </w:rPr>
        <w:t>=2).</w:t>
      </w:r>
    </w:p>
    <w:p w14:paraId="441A5A07" w14:textId="77777777" w:rsidR="005B5818" w:rsidRPr="007F4EFD" w:rsidRDefault="005B5818" w:rsidP="006056B9">
      <w:pPr>
        <w:rPr>
          <w:szCs w:val="24"/>
          <w:lang w:val="en-AU"/>
        </w:rPr>
      </w:pPr>
      <w:r w:rsidRPr="007F4EFD">
        <w:rPr>
          <w:szCs w:val="24"/>
          <w:lang w:val="en-AU"/>
        </w:rPr>
        <w:t xml:space="preserve">Excluding codes with a </w:t>
      </w:r>
      <w:r w:rsidR="004C70DD">
        <w:rPr>
          <w:szCs w:val="24"/>
          <w:lang w:val="en-AU"/>
        </w:rPr>
        <w:t>COF</w:t>
      </w:r>
      <w:r w:rsidRPr="007F4EFD">
        <w:rPr>
          <w:szCs w:val="24"/>
          <w:lang w:val="en-AU"/>
        </w:rPr>
        <w:t xml:space="preserve"> of 1 prior to these analyses would result in patients in scenario 4 (and 5) being treated as not having the </w:t>
      </w:r>
      <w:proofErr w:type="spellStart"/>
      <w:r w:rsidRPr="007F4EFD">
        <w:rPr>
          <w:szCs w:val="24"/>
          <w:lang w:val="en-AU"/>
        </w:rPr>
        <w:t>ADx</w:t>
      </w:r>
      <w:proofErr w:type="spellEnd"/>
      <w:r w:rsidRPr="007F4EFD">
        <w:rPr>
          <w:szCs w:val="24"/>
          <w:lang w:val="en-AU"/>
        </w:rPr>
        <w:t>, driving up the costs of the baseline and distorting the DCL.</w:t>
      </w:r>
      <w:r w:rsidR="00345851">
        <w:rPr>
          <w:szCs w:val="24"/>
          <w:lang w:val="en-AU"/>
        </w:rPr>
        <w:t xml:space="preserve"> </w:t>
      </w:r>
      <w:r w:rsidRPr="007F4EFD">
        <w:rPr>
          <w:szCs w:val="24"/>
          <w:lang w:val="en-AU"/>
        </w:rPr>
        <w:t xml:space="preserve">In our terms, removing these codes would shift patients with higher </w:t>
      </w:r>
      <w:r w:rsidRPr="007F4EFD">
        <w:rPr>
          <w:szCs w:val="24"/>
          <w:lang w:val="en-AU"/>
        </w:rPr>
        <w:lastRenderedPageBreak/>
        <w:t>costs from E</w:t>
      </w:r>
      <w:r w:rsidRPr="007F4EFD">
        <w:rPr>
          <w:szCs w:val="24"/>
          <w:vertAlign w:val="subscript"/>
          <w:lang w:val="en-AU"/>
        </w:rPr>
        <w:t xml:space="preserve">i </w:t>
      </w:r>
      <w:r w:rsidRPr="007F4EFD">
        <w:rPr>
          <w:szCs w:val="24"/>
          <w:lang w:val="en-AU"/>
        </w:rPr>
        <w:t>to E</w:t>
      </w:r>
      <w:r w:rsidRPr="007F4EFD">
        <w:rPr>
          <w:szCs w:val="24"/>
          <w:vertAlign w:val="subscript"/>
          <w:lang w:val="en-AU"/>
        </w:rPr>
        <w:t>i-1</w:t>
      </w:r>
      <w:r w:rsidRPr="007F4EFD">
        <w:rPr>
          <w:szCs w:val="24"/>
          <w:lang w:val="en-AU"/>
        </w:rPr>
        <w:t xml:space="preserve"> and distort the calculation of mean (</w:t>
      </w:r>
      <w:proofErr w:type="spellStart"/>
      <w:r w:rsidRPr="007F4EFD">
        <w:rPr>
          <w:szCs w:val="24"/>
          <w:lang w:val="en-AU"/>
        </w:rPr>
        <w:t>E</w:t>
      </w:r>
      <w:r w:rsidRPr="007F4EFD">
        <w:rPr>
          <w:szCs w:val="24"/>
          <w:vertAlign w:val="subscript"/>
          <w:lang w:val="en-AU"/>
        </w:rPr>
        <w:t>i,ADx</w:t>
      </w:r>
      <w:proofErr w:type="spellEnd"/>
      <w:r w:rsidRPr="007F4EFD">
        <w:rPr>
          <w:szCs w:val="24"/>
          <w:vertAlign w:val="subscript"/>
          <w:lang w:val="en-AU"/>
        </w:rPr>
        <w:t xml:space="preserve"> </w:t>
      </w:r>
      <w:r w:rsidRPr="007F4EFD">
        <w:rPr>
          <w:szCs w:val="24"/>
          <w:lang w:val="en-AU"/>
        </w:rPr>
        <w:t>) ÷ mean (E</w:t>
      </w:r>
      <w:r w:rsidRPr="007F4EFD">
        <w:rPr>
          <w:szCs w:val="24"/>
          <w:vertAlign w:val="subscript"/>
          <w:lang w:val="en-AU"/>
        </w:rPr>
        <w:t>i-1</w:t>
      </w:r>
      <w:r w:rsidRPr="007F4EFD">
        <w:rPr>
          <w:szCs w:val="24"/>
          <w:lang w:val="en-AU"/>
        </w:rPr>
        <w:t>).</w:t>
      </w:r>
      <w:r w:rsidR="00345851">
        <w:rPr>
          <w:szCs w:val="24"/>
          <w:lang w:val="en-AU"/>
        </w:rPr>
        <w:t xml:space="preserve"> </w:t>
      </w:r>
      <w:r w:rsidRPr="007F4EFD">
        <w:rPr>
          <w:szCs w:val="24"/>
          <w:lang w:val="en-AU"/>
        </w:rPr>
        <w:t>This in turn could affect the splitting of ADRGs</w:t>
      </w:r>
      <w:r w:rsidRPr="000C464F">
        <w:rPr>
          <w:szCs w:val="24"/>
          <w:lang w:val="en-AU"/>
        </w:rPr>
        <w:t>.</w:t>
      </w:r>
    </w:p>
    <w:p w14:paraId="41FC9709" w14:textId="77777777" w:rsidR="005B5818" w:rsidRPr="00376372" w:rsidRDefault="005B5818" w:rsidP="006056B9">
      <w:pPr>
        <w:pBdr>
          <w:top w:val="single" w:sz="4" w:space="1" w:color="auto"/>
          <w:left w:val="single" w:sz="4" w:space="4" w:color="auto"/>
          <w:bottom w:val="single" w:sz="4" w:space="1" w:color="auto"/>
          <w:right w:val="single" w:sz="4" w:space="4" w:color="auto"/>
        </w:pBdr>
        <w:shd w:val="clear" w:color="auto" w:fill="DBE5F1" w:themeFill="accent1" w:themeFillTint="33"/>
        <w:rPr>
          <w:i/>
          <w:szCs w:val="24"/>
          <w:lang w:val="en-AU"/>
        </w:rPr>
      </w:pPr>
      <w:r w:rsidRPr="00080306">
        <w:rPr>
          <w:i/>
          <w:szCs w:val="24"/>
          <w:lang w:val="en-AU"/>
        </w:rPr>
        <w:t>Excluding ICD</w:t>
      </w:r>
      <w:r>
        <w:rPr>
          <w:i/>
          <w:szCs w:val="24"/>
          <w:lang w:val="en-AU"/>
        </w:rPr>
        <w:t xml:space="preserve"> codes</w:t>
      </w:r>
      <w:r w:rsidRPr="00080306">
        <w:rPr>
          <w:i/>
          <w:szCs w:val="24"/>
          <w:lang w:val="en-AU"/>
        </w:rPr>
        <w:t xml:space="preserve"> with a </w:t>
      </w:r>
      <w:r w:rsidR="004C70DD">
        <w:rPr>
          <w:i/>
          <w:szCs w:val="24"/>
          <w:lang w:val="en-AU"/>
        </w:rPr>
        <w:t>COF</w:t>
      </w:r>
      <w:r w:rsidRPr="00080306">
        <w:rPr>
          <w:i/>
          <w:szCs w:val="24"/>
          <w:lang w:val="en-AU"/>
        </w:rPr>
        <w:t xml:space="preserve"> of 1 from the development of the classification might reduce the capacity for the classification to accurately capture cost differences and thereby reduce the capacity of pricing policy to make appropriate adjustments for fundi</w:t>
      </w:r>
      <w:r>
        <w:rPr>
          <w:i/>
          <w:szCs w:val="24"/>
          <w:lang w:val="en-AU"/>
        </w:rPr>
        <w:t xml:space="preserve">ng poor quality care. </w:t>
      </w:r>
    </w:p>
    <w:p w14:paraId="123AFB9B" w14:textId="77777777" w:rsidR="005B5818" w:rsidRPr="007F4EFD" w:rsidRDefault="005B5818" w:rsidP="00B60372">
      <w:pPr>
        <w:pStyle w:val="Heading3"/>
      </w:pPr>
      <w:r w:rsidRPr="007F4EFD">
        <w:t>Other Considerations</w:t>
      </w:r>
    </w:p>
    <w:p w14:paraId="7BD319C9" w14:textId="77777777" w:rsidR="005B5818" w:rsidRPr="007F4EFD" w:rsidRDefault="005B5818" w:rsidP="00B60372">
      <w:pPr>
        <w:pStyle w:val="Heading4"/>
      </w:pPr>
      <w:r w:rsidRPr="007F4EFD">
        <w:t xml:space="preserve">Retaining the integrity of the </w:t>
      </w:r>
      <w:r w:rsidR="004C70DD">
        <w:t>COF</w:t>
      </w:r>
      <w:r w:rsidRPr="007F4EFD">
        <w:t xml:space="preserve"> information</w:t>
      </w:r>
    </w:p>
    <w:p w14:paraId="6C9121DD" w14:textId="77777777" w:rsidR="005B5818" w:rsidRPr="007F4EFD" w:rsidRDefault="005B5818" w:rsidP="00B60372">
      <w:pPr>
        <w:rPr>
          <w:szCs w:val="24"/>
          <w:lang w:val="en-AU"/>
        </w:rPr>
      </w:pPr>
      <w:r w:rsidRPr="007F4EFD">
        <w:rPr>
          <w:szCs w:val="24"/>
          <w:lang w:val="en-AU"/>
        </w:rPr>
        <w:t xml:space="preserve">Excluding diagnoses with a </w:t>
      </w:r>
      <w:r w:rsidR="004C70DD">
        <w:rPr>
          <w:szCs w:val="24"/>
          <w:lang w:val="en-AU"/>
        </w:rPr>
        <w:t>COF</w:t>
      </w:r>
      <w:r w:rsidRPr="007F4EFD">
        <w:rPr>
          <w:szCs w:val="24"/>
          <w:lang w:val="en-AU"/>
        </w:rPr>
        <w:t xml:space="preserve"> of 1 which resulted in lower funding (either through classification design or pricing policy) could result in hospitals failing to identify the cases appropriately</w:t>
      </w:r>
      <w:r w:rsidRPr="000C464F">
        <w:rPr>
          <w:szCs w:val="24"/>
          <w:lang w:val="en-AU"/>
        </w:rPr>
        <w:t xml:space="preserve"> within the </w:t>
      </w:r>
      <w:r w:rsidRPr="007F4EFD">
        <w:rPr>
          <w:szCs w:val="24"/>
          <w:lang w:val="en-AU"/>
        </w:rPr>
        <w:t>clinical record.</w:t>
      </w:r>
      <w:r w:rsidR="00345851">
        <w:rPr>
          <w:szCs w:val="24"/>
          <w:lang w:val="en-AU"/>
        </w:rPr>
        <w:t xml:space="preserve"> </w:t>
      </w:r>
      <w:r w:rsidRPr="007F4EFD">
        <w:rPr>
          <w:szCs w:val="24"/>
          <w:lang w:val="en-AU"/>
        </w:rPr>
        <w:t xml:space="preserve">Therefore the </w:t>
      </w:r>
      <w:r w:rsidR="004C70DD">
        <w:rPr>
          <w:szCs w:val="24"/>
          <w:lang w:val="en-AU"/>
        </w:rPr>
        <w:t>COF</w:t>
      </w:r>
      <w:r w:rsidRPr="007F4EFD">
        <w:rPr>
          <w:szCs w:val="24"/>
          <w:lang w:val="en-AU"/>
        </w:rPr>
        <w:t xml:space="preserve"> would need to be part of any clinical audit program.</w:t>
      </w:r>
    </w:p>
    <w:p w14:paraId="16CD0037" w14:textId="77777777" w:rsidR="005B5818" w:rsidRPr="007F4EFD" w:rsidRDefault="005B5818" w:rsidP="00B60372">
      <w:pPr>
        <w:pStyle w:val="Heading4"/>
      </w:pPr>
      <w:r w:rsidRPr="007F4EFD">
        <w:t>Treating at risk patients</w:t>
      </w:r>
    </w:p>
    <w:p w14:paraId="518E0B3B" w14:textId="77777777" w:rsidR="005B5818" w:rsidRPr="007F4EFD" w:rsidRDefault="005B5818" w:rsidP="006056B9">
      <w:pPr>
        <w:rPr>
          <w:szCs w:val="24"/>
          <w:lang w:val="en-AU"/>
        </w:rPr>
      </w:pPr>
      <w:r w:rsidRPr="007F4EFD">
        <w:rPr>
          <w:szCs w:val="24"/>
          <w:lang w:val="en-AU"/>
        </w:rPr>
        <w:t>Some treatments, by their very nature, have inherent risks of misadventure.</w:t>
      </w:r>
      <w:r w:rsidR="00345851">
        <w:rPr>
          <w:szCs w:val="24"/>
          <w:lang w:val="en-AU"/>
        </w:rPr>
        <w:t xml:space="preserve"> </w:t>
      </w:r>
      <w:r w:rsidRPr="007F4EFD">
        <w:rPr>
          <w:szCs w:val="24"/>
          <w:lang w:val="en-AU"/>
        </w:rPr>
        <w:t>Again excluding diagnoses which resulted in funding which was significantly under cost could result in selection bias in those patients offered specific therapies. High risk patients who are likely to undergo misadventure and require unfunded care might be less likely to be offered treatment.</w:t>
      </w:r>
      <w:r w:rsidR="00345851">
        <w:rPr>
          <w:szCs w:val="24"/>
          <w:lang w:val="en-AU"/>
        </w:rPr>
        <w:t xml:space="preserve"> </w:t>
      </w:r>
      <w:r w:rsidRPr="007F4EFD">
        <w:rPr>
          <w:szCs w:val="24"/>
          <w:lang w:val="en-AU"/>
        </w:rPr>
        <w:t xml:space="preserve">This would only become an issue where the </w:t>
      </w:r>
      <w:r w:rsidR="004C70DD">
        <w:rPr>
          <w:szCs w:val="24"/>
          <w:lang w:val="en-AU"/>
        </w:rPr>
        <w:t>COF</w:t>
      </w:r>
      <w:r w:rsidRPr="007F4EFD">
        <w:rPr>
          <w:szCs w:val="24"/>
          <w:lang w:val="en-AU"/>
        </w:rPr>
        <w:t xml:space="preserve"> resulted in lower funding.</w:t>
      </w:r>
    </w:p>
    <w:p w14:paraId="5151BAB0" w14:textId="77777777" w:rsidR="005B5818" w:rsidRPr="007F4EFD" w:rsidRDefault="005B5818" w:rsidP="00B60372">
      <w:pPr>
        <w:pStyle w:val="Heading3"/>
      </w:pPr>
      <w:r w:rsidRPr="000C464F">
        <w:t>In summary</w:t>
      </w:r>
    </w:p>
    <w:p w14:paraId="4773CD20" w14:textId="77777777" w:rsidR="005B5818" w:rsidRDefault="005B5818" w:rsidP="005B5818">
      <w:pPr>
        <w:rPr>
          <w:b/>
          <w:szCs w:val="24"/>
          <w:lang w:val="en-AU"/>
        </w:rPr>
      </w:pPr>
      <w:r w:rsidRPr="007F4EFD">
        <w:rPr>
          <w:szCs w:val="24"/>
          <w:lang w:val="en-AU"/>
        </w:rPr>
        <w:t>The classification should reflect, as far as reasonable, the real cost of treating patients.</w:t>
      </w:r>
      <w:r w:rsidR="00345851">
        <w:rPr>
          <w:szCs w:val="24"/>
          <w:lang w:val="en-AU"/>
        </w:rPr>
        <w:t xml:space="preserve"> </w:t>
      </w:r>
      <w:r w:rsidRPr="007F4EFD">
        <w:rPr>
          <w:szCs w:val="24"/>
          <w:lang w:val="en-AU"/>
        </w:rPr>
        <w:t xml:space="preserve">Excluding codes with a </w:t>
      </w:r>
      <w:r w:rsidR="004C70DD">
        <w:rPr>
          <w:szCs w:val="24"/>
          <w:lang w:val="en-AU"/>
        </w:rPr>
        <w:t>COF</w:t>
      </w:r>
      <w:r w:rsidRPr="007F4EFD">
        <w:rPr>
          <w:szCs w:val="24"/>
          <w:lang w:val="en-AU"/>
        </w:rPr>
        <w:t xml:space="preserve"> of 1 has the potential to distort these comparisons through shifti</w:t>
      </w:r>
      <w:r w:rsidR="002C51F2">
        <w:rPr>
          <w:szCs w:val="24"/>
          <w:lang w:val="en-AU"/>
        </w:rPr>
        <w:t>ng relative high cost cases to ‘uncomplicated’</w:t>
      </w:r>
      <w:r w:rsidRPr="007F4EFD">
        <w:rPr>
          <w:szCs w:val="24"/>
          <w:lang w:val="en-AU"/>
        </w:rPr>
        <w:t xml:space="preserve"> groups.</w:t>
      </w:r>
      <w:r w:rsidR="00345851">
        <w:rPr>
          <w:szCs w:val="24"/>
          <w:lang w:val="en-AU"/>
        </w:rPr>
        <w:t xml:space="preserve"> </w:t>
      </w:r>
      <w:r w:rsidRPr="007F4EFD">
        <w:rPr>
          <w:szCs w:val="24"/>
          <w:lang w:val="en-AU"/>
        </w:rPr>
        <w:t>This in turn could reduce the potential for pricing policy to make appropriate adjustments to not reward poor quality care</w:t>
      </w:r>
      <w:r>
        <w:rPr>
          <w:b/>
          <w:szCs w:val="24"/>
          <w:lang w:val="en-AU"/>
        </w:rPr>
        <w:t>.</w:t>
      </w:r>
    </w:p>
    <w:p w14:paraId="409120A3" w14:textId="77777777" w:rsidR="00650263" w:rsidRPr="007A28A7" w:rsidRDefault="00650263" w:rsidP="007A28A7">
      <w:pPr>
        <w:pStyle w:val="KeyFinding"/>
        <w:keepNext/>
        <w:rPr>
          <w:b/>
          <w:color w:val="1F497D" w:themeColor="text2"/>
        </w:rPr>
      </w:pPr>
      <w:r w:rsidRPr="007A28A7">
        <w:rPr>
          <w:b/>
          <w:color w:val="1F497D" w:themeColor="text2"/>
        </w:rPr>
        <w:lastRenderedPageBreak/>
        <w:t xml:space="preserve">Key Finding </w:t>
      </w:r>
      <w:r w:rsidR="00FA7F1B" w:rsidRPr="007A28A7">
        <w:rPr>
          <w:b/>
          <w:color w:val="1F497D" w:themeColor="text2"/>
        </w:rPr>
        <w:t>7</w:t>
      </w:r>
    </w:p>
    <w:p w14:paraId="1A9DE928" w14:textId="77777777" w:rsidR="00650263" w:rsidRPr="00DF6AB4" w:rsidRDefault="008310F7" w:rsidP="007A28A7">
      <w:pPr>
        <w:pStyle w:val="KeyFinding"/>
      </w:pPr>
      <w:r w:rsidRPr="008310F7">
        <w:t>In considering the potential role of the condition onset flag (COF) within the classification, ACCD had difficulty in defining what a condition arising during the episode of care meant in terms of its preventability.</w:t>
      </w:r>
      <w:r w:rsidR="00345851">
        <w:t xml:space="preserve"> </w:t>
      </w:r>
      <w:r w:rsidRPr="008310F7">
        <w:t xml:space="preserve">It was determined that removing codes associated with conditions arising during the episode of care </w:t>
      </w:r>
      <w:r w:rsidR="00600595">
        <w:t>(COF = 1)</w:t>
      </w:r>
      <w:r w:rsidR="00600595" w:rsidRPr="00B27BD2">
        <w:t xml:space="preserve"> </w:t>
      </w:r>
      <w:r w:rsidRPr="008310F7">
        <w:t>from the complexity algorithm would reduce the capacity of the classification to explain true cost differences between DRGs. It would potentially alter incentives to treat patients with risks of complication.</w:t>
      </w:r>
    </w:p>
    <w:p w14:paraId="37065223" w14:textId="77777777" w:rsidR="00650263" w:rsidRDefault="00650263" w:rsidP="005B5818">
      <w:pPr>
        <w:rPr>
          <w:b/>
          <w:szCs w:val="24"/>
          <w:lang w:val="en-AU"/>
        </w:rPr>
      </w:pPr>
    </w:p>
    <w:p w14:paraId="0889E1CF" w14:textId="77777777" w:rsidR="00EA7130" w:rsidRPr="00721499" w:rsidRDefault="00EA7130" w:rsidP="00721499">
      <w:pPr>
        <w:pStyle w:val="Recommendation"/>
        <w:rPr>
          <w:b/>
          <w:color w:val="1F497D" w:themeColor="text2"/>
        </w:rPr>
      </w:pPr>
      <w:r w:rsidRPr="00721499">
        <w:rPr>
          <w:b/>
          <w:color w:val="1F497D" w:themeColor="text2"/>
        </w:rPr>
        <w:t xml:space="preserve">Recommendation </w:t>
      </w:r>
      <w:r w:rsidR="00FA7F1B" w:rsidRPr="00721499">
        <w:rPr>
          <w:b/>
          <w:color w:val="1F497D" w:themeColor="text2"/>
        </w:rPr>
        <w:t>5</w:t>
      </w:r>
    </w:p>
    <w:p w14:paraId="2CA8748D" w14:textId="77777777" w:rsidR="005B5818" w:rsidRPr="002506C3" w:rsidRDefault="008310F7" w:rsidP="00721499">
      <w:pPr>
        <w:pStyle w:val="Recommendation"/>
      </w:pPr>
      <w:r w:rsidRPr="008310F7">
        <w:t xml:space="preserve">Based on Key Finding </w:t>
      </w:r>
      <w:r w:rsidR="00FA7F1B">
        <w:t>7</w:t>
      </w:r>
      <w:r w:rsidRPr="008310F7">
        <w:t xml:space="preserve">, ACCD in consultation with the DTG and CCAG recommends that the COF should not be used to exclude </w:t>
      </w:r>
      <w:r w:rsidR="001B36F4">
        <w:t>diagnosis</w:t>
      </w:r>
      <w:r w:rsidRPr="008310F7">
        <w:t xml:space="preserve"> codes from the DRG development process.</w:t>
      </w:r>
      <w:bookmarkStart w:id="131" w:name="Assessment_of_performance"/>
    </w:p>
    <w:p w14:paraId="558C2175" w14:textId="77777777" w:rsidR="005B5818" w:rsidRPr="0044582C" w:rsidRDefault="005B5818" w:rsidP="00B60372">
      <w:pPr>
        <w:pStyle w:val="Heading2"/>
      </w:pPr>
      <w:bookmarkStart w:id="132" w:name="_Evaluation_of_performance"/>
      <w:bookmarkStart w:id="133" w:name="_Ref400541286"/>
      <w:bookmarkStart w:id="134" w:name="_Toc401061047"/>
      <w:bookmarkEnd w:id="132"/>
      <w:r>
        <w:lastRenderedPageBreak/>
        <w:t xml:space="preserve">Evaluation of </w:t>
      </w:r>
      <w:r w:rsidRPr="00824132">
        <w:t xml:space="preserve">performance </w:t>
      </w:r>
      <w:bookmarkEnd w:id="131"/>
      <w:r>
        <w:t>of the ECC Model</w:t>
      </w:r>
      <w:bookmarkEnd w:id="133"/>
      <w:bookmarkEnd w:id="134"/>
    </w:p>
    <w:p w14:paraId="7BEC7658" w14:textId="77777777" w:rsidR="007C64D1" w:rsidRDefault="005B5818" w:rsidP="002506C3">
      <w:pPr>
        <w:rPr>
          <w:lang w:val="en-AU"/>
        </w:rPr>
      </w:pPr>
      <w:r w:rsidRPr="00DF6AB4">
        <w:rPr>
          <w:lang w:val="en-AU"/>
        </w:rPr>
        <w:t>PCCL is used as an ADRG splitting variable in the AR-DRG V7.0 classification. The episodes of each ADRG are divided into up to five categories by PCCL, and these set of categories are used together with other episode characteristics to define the DRGs of each ADRG. Throughout this section, the splitting of ADRGs into their PCCL categories is referred to as the PCCL model.</w:t>
      </w:r>
      <w:r w:rsidR="007A4C09">
        <w:rPr>
          <w:lang w:val="en-AU"/>
        </w:rPr>
        <w:t xml:space="preserve"> </w:t>
      </w:r>
      <w:r w:rsidR="00F52923">
        <w:rPr>
          <w:lang w:val="en-AU"/>
        </w:rPr>
        <w:t xml:space="preserve">This section focuses on </w:t>
      </w:r>
      <w:r w:rsidR="00F52923" w:rsidRPr="00F52923">
        <w:rPr>
          <w:lang w:val="en-AU"/>
        </w:rPr>
        <w:t>performance tests undertaken using 5-category ECCS models</w:t>
      </w:r>
      <w:r w:rsidR="00326D88">
        <w:rPr>
          <w:lang w:val="en-AU"/>
        </w:rPr>
        <w:t xml:space="preserve"> and makes comparisons </w:t>
      </w:r>
      <w:r w:rsidR="007C64D1">
        <w:rPr>
          <w:lang w:val="en-AU"/>
        </w:rPr>
        <w:t>of these models</w:t>
      </w:r>
      <w:r w:rsidR="00326D88">
        <w:rPr>
          <w:lang w:val="en-AU"/>
        </w:rPr>
        <w:t>’ performance</w:t>
      </w:r>
      <w:r w:rsidR="007C64D1">
        <w:rPr>
          <w:lang w:val="en-AU"/>
        </w:rPr>
        <w:t xml:space="preserve"> against </w:t>
      </w:r>
      <w:r w:rsidR="00326D88">
        <w:rPr>
          <w:lang w:val="en-AU"/>
        </w:rPr>
        <w:t xml:space="preserve">that of </w:t>
      </w:r>
      <w:r w:rsidR="007C64D1">
        <w:rPr>
          <w:lang w:val="en-AU"/>
        </w:rPr>
        <w:t>the PCCL model and the AR-DRG classification.</w:t>
      </w:r>
    </w:p>
    <w:p w14:paraId="3984FCF0" w14:textId="77777777" w:rsidR="008D09FF" w:rsidRDefault="007C64D1" w:rsidP="006056B9">
      <w:pPr>
        <w:rPr>
          <w:szCs w:val="24"/>
          <w:lang w:val="en-AU"/>
        </w:rPr>
      </w:pPr>
      <w:r w:rsidRPr="007C64D1">
        <w:rPr>
          <w:szCs w:val="24"/>
          <w:lang w:val="en-AU"/>
        </w:rPr>
        <w:t xml:space="preserve">The </w:t>
      </w:r>
      <w:r>
        <w:rPr>
          <w:szCs w:val="24"/>
          <w:lang w:val="en-AU"/>
        </w:rPr>
        <w:t xml:space="preserve">comparative </w:t>
      </w:r>
      <w:r w:rsidRPr="007C64D1">
        <w:rPr>
          <w:szCs w:val="24"/>
          <w:lang w:val="en-AU"/>
        </w:rPr>
        <w:t xml:space="preserve">performance of </w:t>
      </w:r>
      <w:r>
        <w:rPr>
          <w:szCs w:val="24"/>
          <w:lang w:val="en-AU"/>
        </w:rPr>
        <w:t>models was</w:t>
      </w:r>
      <w:r w:rsidRPr="007C64D1">
        <w:rPr>
          <w:szCs w:val="24"/>
          <w:lang w:val="en-AU"/>
        </w:rPr>
        <w:t xml:space="preserve"> assessed </w:t>
      </w:r>
      <w:r>
        <w:rPr>
          <w:szCs w:val="24"/>
          <w:lang w:val="en-AU"/>
        </w:rPr>
        <w:t xml:space="preserve">using </w:t>
      </w:r>
      <w:r w:rsidRPr="007C64D1">
        <w:rPr>
          <w:szCs w:val="24"/>
          <w:lang w:val="en-AU"/>
        </w:rPr>
        <w:t xml:space="preserve">two R-squared indices for the goodness of fit. Both indices take values from 0 (a model </w:t>
      </w:r>
      <w:r w:rsidR="00E23B52">
        <w:rPr>
          <w:szCs w:val="24"/>
          <w:lang w:val="en-AU"/>
        </w:rPr>
        <w:t xml:space="preserve">that </w:t>
      </w:r>
      <w:r w:rsidRPr="007C64D1">
        <w:rPr>
          <w:szCs w:val="24"/>
          <w:lang w:val="en-AU"/>
        </w:rPr>
        <w:t xml:space="preserve">does not describe data at all) to 1 (a model </w:t>
      </w:r>
      <w:r w:rsidR="00E23B52">
        <w:rPr>
          <w:szCs w:val="24"/>
          <w:lang w:val="en-AU"/>
        </w:rPr>
        <w:t xml:space="preserve">that </w:t>
      </w:r>
      <w:r w:rsidRPr="007C64D1">
        <w:rPr>
          <w:szCs w:val="24"/>
          <w:lang w:val="en-AU"/>
        </w:rPr>
        <w:t>fit</w:t>
      </w:r>
      <w:r w:rsidR="00E23B52">
        <w:rPr>
          <w:szCs w:val="24"/>
          <w:lang w:val="en-AU"/>
        </w:rPr>
        <w:t>s</w:t>
      </w:r>
      <w:r w:rsidRPr="007C64D1">
        <w:rPr>
          <w:szCs w:val="24"/>
          <w:lang w:val="en-AU"/>
        </w:rPr>
        <w:t xml:space="preserve"> all data perfectly).</w:t>
      </w:r>
    </w:p>
    <w:p w14:paraId="3DE85D7A" w14:textId="77777777" w:rsidR="007C64D1" w:rsidRPr="007C64D1" w:rsidRDefault="007C64D1" w:rsidP="006056B9">
      <w:pPr>
        <w:rPr>
          <w:szCs w:val="24"/>
          <w:lang w:val="en-AU"/>
        </w:rPr>
      </w:pPr>
      <w:r>
        <w:rPr>
          <w:szCs w:val="24"/>
          <w:lang w:val="en-AU"/>
        </w:rPr>
        <w:t>The first index is the classical R-squared statistic (R</w:t>
      </w:r>
      <w:r w:rsidRPr="00B5534A">
        <w:rPr>
          <w:szCs w:val="24"/>
          <w:vertAlign w:val="superscript"/>
          <w:lang w:val="en-AU"/>
        </w:rPr>
        <w:t>2</w:t>
      </w:r>
      <w:r>
        <w:rPr>
          <w:szCs w:val="24"/>
          <w:lang w:val="en-AU"/>
        </w:rPr>
        <w:t>)</w:t>
      </w:r>
      <w:r w:rsidRPr="007C64D1">
        <w:rPr>
          <w:szCs w:val="24"/>
          <w:lang w:val="en-AU"/>
        </w:rPr>
        <w:t>.</w:t>
      </w:r>
      <w:r w:rsidR="00A821E0">
        <w:rPr>
          <w:szCs w:val="24"/>
          <w:lang w:val="en-AU"/>
        </w:rPr>
        <w:t xml:space="preserve"> </w:t>
      </w:r>
      <w:r w:rsidRPr="007C64D1">
        <w:rPr>
          <w:szCs w:val="24"/>
          <w:lang w:val="en-AU"/>
        </w:rPr>
        <w:t xml:space="preserve">This index is used in analysis of variance </w:t>
      </w:r>
      <w:r w:rsidR="00182399">
        <w:rPr>
          <w:szCs w:val="24"/>
          <w:lang w:val="en-AU"/>
        </w:rPr>
        <w:t xml:space="preserve">in </w:t>
      </w:r>
      <w:r w:rsidRPr="007C64D1">
        <w:rPr>
          <w:szCs w:val="24"/>
          <w:lang w:val="en-AU"/>
        </w:rPr>
        <w:t>linear modelling and measures the fraction of variance in data that is explained by the model. Sometimes it is called the reduction in v</w:t>
      </w:r>
      <w:r w:rsidR="00A821E0">
        <w:rPr>
          <w:szCs w:val="24"/>
          <w:lang w:val="en-AU"/>
        </w:rPr>
        <w:t>ariance (RIV) due to the model.</w:t>
      </w:r>
    </w:p>
    <w:p w14:paraId="1656E671" w14:textId="77777777" w:rsidR="007C64D1" w:rsidRPr="002C4CD5" w:rsidRDefault="007C64D1" w:rsidP="006056B9">
      <w:pPr>
        <w:rPr>
          <w:szCs w:val="24"/>
          <w:lang w:val="en-AU"/>
        </w:rPr>
      </w:pPr>
      <w:r w:rsidRPr="007C64D1">
        <w:rPr>
          <w:szCs w:val="24"/>
          <w:lang w:val="en-AU"/>
        </w:rPr>
        <w:t>The second index belongs to the category of pseudo-</w:t>
      </w:r>
      <w:r w:rsidR="00A821E0">
        <w:rPr>
          <w:szCs w:val="24"/>
          <w:lang w:val="en-AU"/>
        </w:rPr>
        <w:t>R</w:t>
      </w:r>
      <w:r w:rsidR="00A821E0" w:rsidRPr="00B5534A">
        <w:rPr>
          <w:szCs w:val="24"/>
          <w:vertAlign w:val="superscript"/>
          <w:lang w:val="en-AU"/>
        </w:rPr>
        <w:t>2</w:t>
      </w:r>
      <w:r w:rsidRPr="007C64D1">
        <w:rPr>
          <w:szCs w:val="24"/>
          <w:lang w:val="en-AU"/>
        </w:rPr>
        <w:t xml:space="preserve"> </w:t>
      </w:r>
      <w:r w:rsidR="00A821E0">
        <w:rPr>
          <w:szCs w:val="24"/>
          <w:lang w:val="en-AU"/>
        </w:rPr>
        <w:t xml:space="preserve">statistics </w:t>
      </w:r>
      <w:r w:rsidRPr="007C64D1">
        <w:rPr>
          <w:szCs w:val="24"/>
          <w:lang w:val="en-AU"/>
        </w:rPr>
        <w:t xml:space="preserve">and </w:t>
      </w:r>
      <w:r w:rsidR="00A821E0">
        <w:rPr>
          <w:szCs w:val="24"/>
          <w:lang w:val="en-AU"/>
        </w:rPr>
        <w:t xml:space="preserve">is sometimes </w:t>
      </w:r>
      <w:r w:rsidRPr="007C64D1">
        <w:rPr>
          <w:szCs w:val="24"/>
          <w:lang w:val="en-AU"/>
        </w:rPr>
        <w:t xml:space="preserve">called </w:t>
      </w:r>
      <w:r w:rsidR="00A821E0">
        <w:rPr>
          <w:szCs w:val="24"/>
          <w:lang w:val="en-AU"/>
        </w:rPr>
        <w:t xml:space="preserve">the </w:t>
      </w:r>
      <w:proofErr w:type="spellStart"/>
      <w:r w:rsidRPr="007C64D1">
        <w:rPr>
          <w:szCs w:val="24"/>
          <w:lang w:val="en-AU"/>
        </w:rPr>
        <w:t>Kullback-Leibler</w:t>
      </w:r>
      <w:proofErr w:type="spellEnd"/>
      <w:r w:rsidRPr="007C64D1">
        <w:rPr>
          <w:szCs w:val="24"/>
          <w:lang w:val="en-AU"/>
        </w:rPr>
        <w:t xml:space="preserve"> </w:t>
      </w:r>
      <w:r w:rsidR="00A821E0">
        <w:rPr>
          <w:szCs w:val="24"/>
          <w:lang w:val="en-AU"/>
        </w:rPr>
        <w:t>R</w:t>
      </w:r>
      <w:r w:rsidR="00A821E0" w:rsidRPr="00B5534A">
        <w:rPr>
          <w:szCs w:val="24"/>
          <w:vertAlign w:val="superscript"/>
          <w:lang w:val="en-AU"/>
        </w:rPr>
        <w:t>2</w:t>
      </w:r>
      <w:r w:rsidRPr="007C64D1">
        <w:rPr>
          <w:szCs w:val="24"/>
          <w:lang w:val="en-AU"/>
        </w:rPr>
        <w:t xml:space="preserve"> (Cameron &amp; </w:t>
      </w:r>
      <w:proofErr w:type="spellStart"/>
      <w:r w:rsidRPr="007C64D1">
        <w:rPr>
          <w:szCs w:val="24"/>
          <w:lang w:val="en-AU"/>
        </w:rPr>
        <w:t>Windmeijer</w:t>
      </w:r>
      <w:proofErr w:type="spellEnd"/>
      <w:r w:rsidRPr="007C64D1">
        <w:rPr>
          <w:szCs w:val="24"/>
          <w:lang w:val="en-AU"/>
        </w:rPr>
        <w:t>, 199</w:t>
      </w:r>
      <w:r w:rsidR="00182399">
        <w:rPr>
          <w:szCs w:val="24"/>
          <w:lang w:val="en-AU"/>
        </w:rPr>
        <w:t>6</w:t>
      </w:r>
      <w:r w:rsidRPr="007C64D1">
        <w:rPr>
          <w:szCs w:val="24"/>
          <w:lang w:val="en-AU"/>
        </w:rPr>
        <w:t>; 199</w:t>
      </w:r>
      <w:r w:rsidR="00182399">
        <w:rPr>
          <w:szCs w:val="24"/>
          <w:lang w:val="en-AU"/>
        </w:rPr>
        <w:t>7</w:t>
      </w:r>
      <w:r w:rsidRPr="007C64D1">
        <w:rPr>
          <w:szCs w:val="24"/>
          <w:lang w:val="en-AU"/>
        </w:rPr>
        <w:t xml:space="preserve">). This index results from the analysis of deviance </w:t>
      </w:r>
      <w:r w:rsidR="00A821E0">
        <w:rPr>
          <w:szCs w:val="24"/>
          <w:lang w:val="en-AU"/>
        </w:rPr>
        <w:t>in</w:t>
      </w:r>
      <w:r w:rsidRPr="007C64D1">
        <w:rPr>
          <w:szCs w:val="24"/>
          <w:lang w:val="en-AU"/>
        </w:rPr>
        <w:t xml:space="preserve"> </w:t>
      </w:r>
      <w:r w:rsidR="00A821E0">
        <w:rPr>
          <w:szCs w:val="24"/>
          <w:lang w:val="en-AU"/>
        </w:rPr>
        <w:t>generalis</w:t>
      </w:r>
      <w:r w:rsidRPr="007C64D1">
        <w:rPr>
          <w:szCs w:val="24"/>
          <w:lang w:val="en-AU"/>
        </w:rPr>
        <w:t xml:space="preserve">ed linear modelling. Deviance plays </w:t>
      </w:r>
      <w:r w:rsidR="00A821E0">
        <w:rPr>
          <w:szCs w:val="24"/>
          <w:lang w:val="en-AU"/>
        </w:rPr>
        <w:t>a similar role in generalis</w:t>
      </w:r>
      <w:r w:rsidRPr="007C64D1">
        <w:rPr>
          <w:szCs w:val="24"/>
          <w:lang w:val="en-AU"/>
        </w:rPr>
        <w:t xml:space="preserve">ed linear modelling as </w:t>
      </w:r>
      <w:r w:rsidR="00E23B52">
        <w:rPr>
          <w:szCs w:val="24"/>
          <w:lang w:val="en-AU"/>
        </w:rPr>
        <w:t xml:space="preserve">does </w:t>
      </w:r>
      <w:r w:rsidRPr="007C64D1">
        <w:rPr>
          <w:szCs w:val="24"/>
          <w:lang w:val="en-AU"/>
        </w:rPr>
        <w:t xml:space="preserve">variance in linear modelling, thus </w:t>
      </w:r>
      <w:r w:rsidR="00A821E0">
        <w:rPr>
          <w:szCs w:val="24"/>
          <w:lang w:val="en-AU"/>
        </w:rPr>
        <w:t>the</w:t>
      </w:r>
      <w:r w:rsidRPr="007C64D1">
        <w:rPr>
          <w:szCs w:val="24"/>
          <w:lang w:val="en-AU"/>
        </w:rPr>
        <w:t xml:space="preserve"> </w:t>
      </w:r>
      <w:proofErr w:type="spellStart"/>
      <w:r w:rsidRPr="007C64D1">
        <w:rPr>
          <w:szCs w:val="24"/>
          <w:lang w:val="en-AU"/>
        </w:rPr>
        <w:t>Kullback-Leibler</w:t>
      </w:r>
      <w:proofErr w:type="spellEnd"/>
      <w:r w:rsidRPr="007C64D1">
        <w:rPr>
          <w:szCs w:val="24"/>
          <w:lang w:val="en-AU"/>
        </w:rPr>
        <w:t xml:space="preserve"> </w:t>
      </w:r>
      <w:r w:rsidR="00A821E0">
        <w:rPr>
          <w:szCs w:val="24"/>
          <w:lang w:val="en-AU"/>
        </w:rPr>
        <w:t>R</w:t>
      </w:r>
      <w:r w:rsidR="00A821E0" w:rsidRPr="00B5534A">
        <w:rPr>
          <w:szCs w:val="24"/>
          <w:vertAlign w:val="superscript"/>
          <w:lang w:val="en-AU"/>
        </w:rPr>
        <w:t>2</w:t>
      </w:r>
      <w:r w:rsidRPr="007C64D1">
        <w:rPr>
          <w:szCs w:val="24"/>
          <w:lang w:val="en-AU"/>
        </w:rPr>
        <w:t xml:space="preserve"> </w:t>
      </w:r>
      <w:r w:rsidR="00A821E0">
        <w:rPr>
          <w:szCs w:val="24"/>
          <w:lang w:val="en-AU"/>
        </w:rPr>
        <w:t xml:space="preserve">is referred to here as the </w:t>
      </w:r>
      <w:r w:rsidRPr="007C64D1">
        <w:rPr>
          <w:szCs w:val="24"/>
          <w:lang w:val="en-AU"/>
        </w:rPr>
        <w:t xml:space="preserve">reduction in deviance </w:t>
      </w:r>
      <w:r w:rsidR="00A821E0">
        <w:rPr>
          <w:szCs w:val="24"/>
          <w:lang w:val="en-AU"/>
        </w:rPr>
        <w:t>(RI</w:t>
      </w:r>
      <w:r w:rsidR="00326D88">
        <w:rPr>
          <w:szCs w:val="24"/>
          <w:lang w:val="en-AU"/>
        </w:rPr>
        <w:t>D</w:t>
      </w:r>
      <w:r w:rsidR="00A821E0">
        <w:rPr>
          <w:szCs w:val="24"/>
          <w:lang w:val="en-AU"/>
        </w:rPr>
        <w:t>) due to the model.</w:t>
      </w:r>
    </w:p>
    <w:p w14:paraId="1ED33DB7" w14:textId="77777777" w:rsidR="005B5818" w:rsidRDefault="005B5818" w:rsidP="006056B9">
      <w:pPr>
        <w:rPr>
          <w:szCs w:val="24"/>
          <w:lang w:val="en-AU"/>
        </w:rPr>
      </w:pPr>
      <w:r>
        <w:rPr>
          <w:szCs w:val="24"/>
          <w:lang w:val="en-AU"/>
        </w:rPr>
        <w:t>To enable some form of comparative assessment of performance between PCCL and ECCS, the episodes of each ADRG were partitioned into up to five categories based on their ECCS. This was done by determining all possible partitions of each ADRG into a maximum of five ECCS-based categories where each category had at least 5</w:t>
      </w:r>
      <w:r w:rsidR="002201AB">
        <w:rPr>
          <w:szCs w:val="24"/>
          <w:lang w:val="en-AU"/>
        </w:rPr>
        <w:t xml:space="preserve"> per cent</w:t>
      </w:r>
      <w:r>
        <w:rPr>
          <w:szCs w:val="24"/>
          <w:lang w:val="en-AU"/>
        </w:rPr>
        <w:t xml:space="preserve"> and 100 of the ADRG’s episodes.</w:t>
      </w:r>
    </w:p>
    <w:p w14:paraId="28F365F5" w14:textId="77777777" w:rsidR="005B5818" w:rsidRPr="00F875BC" w:rsidRDefault="005B5818" w:rsidP="006056B9">
      <w:pPr>
        <w:rPr>
          <w:szCs w:val="24"/>
          <w:lang w:val="en-AU"/>
        </w:rPr>
      </w:pPr>
      <w:r>
        <w:rPr>
          <w:szCs w:val="24"/>
          <w:lang w:val="en-AU"/>
        </w:rPr>
        <w:t xml:space="preserve">The set of all possible ECCS partitions were then tested for their ability to explain costs using </w:t>
      </w:r>
      <w:r w:rsidR="00A821E0">
        <w:rPr>
          <w:szCs w:val="24"/>
          <w:lang w:val="en-AU"/>
        </w:rPr>
        <w:t xml:space="preserve">the </w:t>
      </w:r>
      <w:r>
        <w:rPr>
          <w:szCs w:val="24"/>
          <w:lang w:val="en-AU"/>
        </w:rPr>
        <w:t>two model fit statistics</w:t>
      </w:r>
      <w:r w:rsidR="00326D88">
        <w:rPr>
          <w:szCs w:val="24"/>
          <w:lang w:val="en-AU"/>
        </w:rPr>
        <w:t xml:space="preserve"> R</w:t>
      </w:r>
      <w:r w:rsidR="00326D88" w:rsidRPr="00B5534A">
        <w:rPr>
          <w:szCs w:val="24"/>
          <w:vertAlign w:val="superscript"/>
          <w:lang w:val="en-AU"/>
        </w:rPr>
        <w:t>2</w:t>
      </w:r>
      <w:r w:rsidR="00326D88">
        <w:rPr>
          <w:szCs w:val="24"/>
          <w:lang w:val="en-AU"/>
        </w:rPr>
        <w:t xml:space="preserve"> and RID</w:t>
      </w:r>
      <w:r>
        <w:rPr>
          <w:szCs w:val="24"/>
          <w:lang w:val="en-AU"/>
        </w:rPr>
        <w:t>. That is, two 5-category ECCS models were defined, one which is optimised by R</w:t>
      </w:r>
      <w:r w:rsidRPr="00B5534A">
        <w:rPr>
          <w:szCs w:val="24"/>
          <w:vertAlign w:val="superscript"/>
          <w:lang w:val="en-AU"/>
        </w:rPr>
        <w:t>2</w:t>
      </w:r>
      <w:r>
        <w:rPr>
          <w:szCs w:val="24"/>
          <w:lang w:val="en-AU"/>
        </w:rPr>
        <w:t xml:space="preserve"> and the other optimised by RID. Although the two approaches </w:t>
      </w:r>
      <w:r>
        <w:rPr>
          <w:szCs w:val="24"/>
          <w:lang w:val="en-AU"/>
        </w:rPr>
        <w:lastRenderedPageBreak/>
        <w:t>(i.e. R</w:t>
      </w:r>
      <w:r>
        <w:rPr>
          <w:szCs w:val="24"/>
          <w:vertAlign w:val="superscript"/>
          <w:lang w:val="en-AU"/>
        </w:rPr>
        <w:t>2</w:t>
      </w:r>
      <w:r>
        <w:rPr>
          <w:szCs w:val="24"/>
          <w:lang w:val="en-AU"/>
        </w:rPr>
        <w:t xml:space="preserve"> and RID optimised) lead to very similar models and results, both approaches are presented to allow full consideration of each.</w:t>
      </w:r>
    </w:p>
    <w:p w14:paraId="1C9B1EA1" w14:textId="77777777" w:rsidR="005B5818" w:rsidRDefault="005B5818" w:rsidP="006056B9">
      <w:pPr>
        <w:rPr>
          <w:szCs w:val="24"/>
          <w:lang w:val="en-AU"/>
        </w:rPr>
      </w:pPr>
      <w:r>
        <w:rPr>
          <w:szCs w:val="24"/>
          <w:lang w:val="en-AU"/>
        </w:rPr>
        <w:t>The following comparative performance tests were undertaken using these 5-category ECCS models:</w:t>
      </w:r>
    </w:p>
    <w:p w14:paraId="05F2C9ED" w14:textId="77777777" w:rsidR="005B5818" w:rsidRDefault="005B5818" w:rsidP="006056B9">
      <w:pPr>
        <w:pStyle w:val="ListParagraph"/>
        <w:numPr>
          <w:ilvl w:val="0"/>
          <w:numId w:val="39"/>
        </w:numPr>
        <w:rPr>
          <w:szCs w:val="24"/>
          <w:lang w:val="en-AU"/>
        </w:rPr>
      </w:pPr>
      <w:r w:rsidRPr="00A146E0">
        <w:rPr>
          <w:szCs w:val="24"/>
          <w:lang w:val="en-AU"/>
        </w:rPr>
        <w:t xml:space="preserve">Comparison against </w:t>
      </w:r>
      <w:r>
        <w:rPr>
          <w:szCs w:val="24"/>
          <w:lang w:val="en-AU"/>
        </w:rPr>
        <w:t xml:space="preserve">the </w:t>
      </w:r>
      <w:r w:rsidRPr="00A146E0">
        <w:rPr>
          <w:szCs w:val="24"/>
          <w:lang w:val="en-AU"/>
        </w:rPr>
        <w:t>PCCL</w:t>
      </w:r>
      <w:r>
        <w:rPr>
          <w:szCs w:val="24"/>
          <w:lang w:val="en-AU"/>
        </w:rPr>
        <w:t xml:space="preserve"> model;</w:t>
      </w:r>
    </w:p>
    <w:p w14:paraId="4E394EDB" w14:textId="77777777" w:rsidR="005B5818" w:rsidRDefault="005B5818" w:rsidP="006056B9">
      <w:pPr>
        <w:pStyle w:val="ListParagraph"/>
        <w:numPr>
          <w:ilvl w:val="0"/>
          <w:numId w:val="39"/>
        </w:numPr>
        <w:rPr>
          <w:szCs w:val="24"/>
          <w:lang w:val="en-AU"/>
        </w:rPr>
      </w:pPr>
      <w:r w:rsidRPr="00A146E0">
        <w:rPr>
          <w:szCs w:val="24"/>
          <w:lang w:val="en-AU"/>
        </w:rPr>
        <w:t xml:space="preserve">Comparison against </w:t>
      </w:r>
      <w:r>
        <w:rPr>
          <w:szCs w:val="24"/>
          <w:lang w:val="en-AU"/>
        </w:rPr>
        <w:t>the AR-DRG classification;</w:t>
      </w:r>
    </w:p>
    <w:p w14:paraId="07930586" w14:textId="77777777" w:rsidR="005B5818" w:rsidRDefault="005B5818" w:rsidP="006056B9">
      <w:pPr>
        <w:pStyle w:val="ListParagraph"/>
        <w:numPr>
          <w:ilvl w:val="0"/>
          <w:numId w:val="39"/>
        </w:numPr>
        <w:rPr>
          <w:szCs w:val="24"/>
          <w:lang w:val="en-AU"/>
        </w:rPr>
      </w:pPr>
      <w:r>
        <w:rPr>
          <w:szCs w:val="24"/>
          <w:lang w:val="en-AU"/>
        </w:rPr>
        <w:t>Performance on paediatrics episodes; and</w:t>
      </w:r>
    </w:p>
    <w:p w14:paraId="2E47909D" w14:textId="77777777" w:rsidR="005B5818" w:rsidRPr="00DE7C55" w:rsidRDefault="005B5818" w:rsidP="006056B9">
      <w:pPr>
        <w:pStyle w:val="ListParagraph"/>
        <w:numPr>
          <w:ilvl w:val="0"/>
          <w:numId w:val="39"/>
        </w:numPr>
        <w:rPr>
          <w:szCs w:val="24"/>
          <w:lang w:val="en-AU"/>
        </w:rPr>
      </w:pPr>
      <w:r>
        <w:rPr>
          <w:szCs w:val="24"/>
          <w:lang w:val="en-AU"/>
        </w:rPr>
        <w:t>Performance on geriatrics episodes.</w:t>
      </w:r>
    </w:p>
    <w:p w14:paraId="0A83B3F3" w14:textId="77777777" w:rsidR="005B5818" w:rsidRDefault="005B5818" w:rsidP="006056B9">
      <w:pPr>
        <w:rPr>
          <w:szCs w:val="24"/>
          <w:lang w:val="en-AU"/>
        </w:rPr>
      </w:pPr>
      <w:r>
        <w:rPr>
          <w:szCs w:val="24"/>
          <w:lang w:val="en-AU"/>
        </w:rPr>
        <w:t xml:space="preserve">The ECCS models perform exceptionally well compared to the partitioning of ADRGs by PCCL and even compared to the full DRG </w:t>
      </w:r>
      <w:r w:rsidRPr="00F542A1">
        <w:rPr>
          <w:szCs w:val="24"/>
          <w:lang w:val="en-AU"/>
        </w:rPr>
        <w:t xml:space="preserve">classification. </w:t>
      </w:r>
      <w:r w:rsidR="00CC0F16">
        <w:fldChar w:fldCharType="begin"/>
      </w:r>
      <w:r w:rsidR="00CC0F16">
        <w:instrText xml:space="preserve"> REF _Ref391109939 \h  \* MERGEFORMAT </w:instrText>
      </w:r>
      <w:r w:rsidR="00CC0F16">
        <w:fldChar w:fldCharType="separate"/>
      </w:r>
      <w:r w:rsidR="0031717B" w:rsidRPr="0031717B">
        <w:rPr>
          <w:szCs w:val="24"/>
        </w:rPr>
        <w:t xml:space="preserve">Table </w:t>
      </w:r>
      <w:r w:rsidR="0031717B" w:rsidRPr="0031717B">
        <w:rPr>
          <w:noProof/>
          <w:szCs w:val="24"/>
        </w:rPr>
        <w:t>11</w:t>
      </w:r>
      <w:r w:rsidR="00CC0F16">
        <w:fldChar w:fldCharType="end"/>
      </w:r>
      <w:r w:rsidRPr="00F542A1">
        <w:rPr>
          <w:szCs w:val="24"/>
          <w:lang w:val="en-AU"/>
        </w:rPr>
        <w:t xml:space="preserve"> provides</w:t>
      </w:r>
      <w:r>
        <w:rPr>
          <w:szCs w:val="24"/>
          <w:lang w:val="en-AU"/>
        </w:rPr>
        <w:t xml:space="preserve"> a comparative summary of the performance of each model in terms of R</w:t>
      </w:r>
      <w:r w:rsidRPr="00B5534A">
        <w:rPr>
          <w:szCs w:val="24"/>
          <w:vertAlign w:val="superscript"/>
          <w:lang w:val="en-AU"/>
        </w:rPr>
        <w:t>2</w:t>
      </w:r>
      <w:r>
        <w:rPr>
          <w:szCs w:val="24"/>
          <w:lang w:val="en-AU"/>
        </w:rPr>
        <w:t xml:space="preserve"> and RID statistics.</w:t>
      </w:r>
    </w:p>
    <w:p w14:paraId="799B2DBE" w14:textId="77777777" w:rsidR="005B5818" w:rsidRDefault="00CC0F16" w:rsidP="006056B9">
      <w:pPr>
        <w:rPr>
          <w:szCs w:val="24"/>
          <w:lang w:val="en-AU"/>
        </w:rPr>
      </w:pPr>
      <w:r>
        <w:fldChar w:fldCharType="begin"/>
      </w:r>
      <w:r>
        <w:instrText xml:space="preserve"> REF _Ref391109939 \h  \* MERGEFORMAT </w:instrText>
      </w:r>
      <w:r>
        <w:fldChar w:fldCharType="separate"/>
      </w:r>
      <w:r w:rsidR="0031717B" w:rsidRPr="0031717B">
        <w:rPr>
          <w:szCs w:val="24"/>
        </w:rPr>
        <w:t xml:space="preserve">Table </w:t>
      </w:r>
      <w:r w:rsidR="0031717B" w:rsidRPr="0031717B">
        <w:rPr>
          <w:noProof/>
          <w:szCs w:val="24"/>
        </w:rPr>
        <w:t>11</w:t>
      </w:r>
      <w:r>
        <w:fldChar w:fldCharType="end"/>
      </w:r>
      <w:r w:rsidR="005B5818" w:rsidRPr="00337B19">
        <w:rPr>
          <w:szCs w:val="24"/>
          <w:lang w:val="en-AU"/>
        </w:rPr>
        <w:t xml:space="preserve"> </w:t>
      </w:r>
      <w:r w:rsidR="005B5818">
        <w:rPr>
          <w:szCs w:val="24"/>
          <w:lang w:val="en-AU"/>
        </w:rPr>
        <w:t>shows that t</w:t>
      </w:r>
      <w:r w:rsidR="005B5818" w:rsidRPr="00337B19">
        <w:rPr>
          <w:szCs w:val="24"/>
          <w:lang w:val="en-AU"/>
        </w:rPr>
        <w:t>he ECCS</w:t>
      </w:r>
      <w:r w:rsidR="005B5818">
        <w:rPr>
          <w:szCs w:val="24"/>
          <w:lang w:val="en-AU"/>
        </w:rPr>
        <w:t>-based models outperform both the PCCL model and the AR-DRG classification in terms of R</w:t>
      </w:r>
      <w:r w:rsidR="005B5818">
        <w:rPr>
          <w:szCs w:val="24"/>
          <w:vertAlign w:val="superscript"/>
          <w:lang w:val="en-AU"/>
        </w:rPr>
        <w:t>2</w:t>
      </w:r>
      <w:r w:rsidR="005B5818">
        <w:rPr>
          <w:szCs w:val="24"/>
          <w:lang w:val="en-AU"/>
        </w:rPr>
        <w:t>, but the AR-DRG classification performs slightly better than the ECCS models in terms of RID.</w:t>
      </w:r>
    </w:p>
    <w:p w14:paraId="5136C244" w14:textId="77777777" w:rsidR="005B5818" w:rsidRPr="00F542A1" w:rsidRDefault="005B5818" w:rsidP="006056B9">
      <w:pPr>
        <w:rPr>
          <w:szCs w:val="24"/>
          <w:lang w:val="en-AU"/>
        </w:rPr>
      </w:pPr>
      <w:r>
        <w:rPr>
          <w:szCs w:val="24"/>
          <w:lang w:val="en-AU"/>
        </w:rPr>
        <w:t>The AR-DRG classification performs better overall when degrees of freedom (i.e. numbers of categories) are taken into account, with 766 AR-DRG categories present in the data compared to 1,744 for the ECC</w:t>
      </w:r>
      <w:r w:rsidR="00974A43">
        <w:rPr>
          <w:szCs w:val="24"/>
          <w:lang w:val="en-AU"/>
        </w:rPr>
        <w:t>S</w:t>
      </w:r>
      <w:r>
        <w:rPr>
          <w:szCs w:val="24"/>
          <w:lang w:val="en-AU"/>
        </w:rPr>
        <w:t>-based models. However, as will be seen in the following sections, the higher performance of the AR-DRG classification is driven by the use of LOS as an ADRG splitting variable within the classification (e.g. same-day DRG splits). This observation, together with the ECCS models’ significantly higher performance compared to the PCCL model, demonstrate that if PCCL were replaced by ECCS, the resulting classification would significantly outperform AR-DRG V7.0. The performance of the ECC Model as an episode complexity measure within the AR-DRG classification will be the subject of Phase Two of AR-DRG V8.0 development.</w:t>
      </w:r>
    </w:p>
    <w:p w14:paraId="3CC78870" w14:textId="77777777" w:rsidR="005B5818" w:rsidRPr="00F542A1" w:rsidRDefault="005B5818" w:rsidP="000E5B4A">
      <w:pPr>
        <w:pStyle w:val="Caption"/>
      </w:pPr>
      <w:bookmarkStart w:id="135" w:name="_Ref391109939"/>
      <w:bookmarkStart w:id="136" w:name="_Toc401061098"/>
      <w:r w:rsidRPr="00F542A1">
        <w:lastRenderedPageBreak/>
        <w:t xml:space="preserve">Table </w:t>
      </w:r>
      <w:r w:rsidR="005559F5" w:rsidRPr="00F542A1">
        <w:fldChar w:fldCharType="begin"/>
      </w:r>
      <w:r w:rsidRPr="00F542A1">
        <w:instrText xml:space="preserve"> SEQ Table \* ARABIC </w:instrText>
      </w:r>
      <w:r w:rsidR="005559F5" w:rsidRPr="00F542A1">
        <w:fldChar w:fldCharType="separate"/>
      </w:r>
      <w:r w:rsidR="0031717B">
        <w:rPr>
          <w:noProof/>
        </w:rPr>
        <w:t>11</w:t>
      </w:r>
      <w:r w:rsidR="005559F5" w:rsidRPr="00F542A1">
        <w:fldChar w:fldCharType="end"/>
      </w:r>
      <w:bookmarkEnd w:id="135"/>
      <w:r w:rsidRPr="00F542A1">
        <w:t xml:space="preserve">: Comparative summary of the performance of </w:t>
      </w:r>
      <w:r w:rsidRPr="00F542A1">
        <w:rPr>
          <w:noProof/>
        </w:rPr>
        <w:t>ADRG splitting models</w:t>
      </w:r>
      <w:r w:rsidR="000E4FA5">
        <w:rPr>
          <w:noProof/>
        </w:rPr>
        <w:t>.</w:t>
      </w:r>
      <w:bookmarkEnd w:id="136"/>
    </w:p>
    <w:tbl>
      <w:tblPr>
        <w:tblStyle w:val="Style1"/>
        <w:tblW w:w="7580" w:type="dxa"/>
        <w:tblLook w:val="0460" w:firstRow="1" w:lastRow="1" w:firstColumn="0" w:lastColumn="0" w:noHBand="0" w:noVBand="1"/>
        <w:tblCaption w:val="Comparative summary of the performance of ADRG splitting models"/>
        <w:tblDescription w:val="The table has four columns: the first lists each ADRG splitting model classification; the second provides the number of categories for each classification; the third gives the R squared statistics (percentage); and the fourth gives statistics for RID (percentage)."/>
      </w:tblPr>
      <w:tblGrid>
        <w:gridCol w:w="3740"/>
        <w:gridCol w:w="1280"/>
        <w:gridCol w:w="1280"/>
        <w:gridCol w:w="1280"/>
      </w:tblGrid>
      <w:tr w:rsidR="005B5818" w:rsidRPr="000316FB" w14:paraId="3DA754D3" w14:textId="77777777" w:rsidTr="002C2518">
        <w:trPr>
          <w:cnfStyle w:val="100000000000" w:firstRow="1" w:lastRow="0" w:firstColumn="0" w:lastColumn="0" w:oddVBand="0" w:evenVBand="0" w:oddHBand="0" w:evenHBand="0" w:firstRowFirstColumn="0" w:firstRowLastColumn="0" w:lastRowFirstColumn="0" w:lastRowLastColumn="0"/>
          <w:trHeight w:val="300"/>
          <w:tblHeader/>
        </w:trPr>
        <w:tc>
          <w:tcPr>
            <w:tcW w:w="3740" w:type="dxa"/>
            <w:noWrap/>
            <w:hideMark/>
          </w:tcPr>
          <w:p w14:paraId="4DCA1371" w14:textId="77777777" w:rsidR="005B5818" w:rsidRPr="000316FB" w:rsidRDefault="005B5818" w:rsidP="006931BA">
            <w:pPr>
              <w:pStyle w:val="Table"/>
            </w:pPr>
            <w:r w:rsidRPr="000316FB">
              <w:t>Classification</w:t>
            </w:r>
          </w:p>
        </w:tc>
        <w:tc>
          <w:tcPr>
            <w:tcW w:w="1280" w:type="dxa"/>
            <w:noWrap/>
            <w:hideMark/>
          </w:tcPr>
          <w:p w14:paraId="5C58BF53" w14:textId="77777777" w:rsidR="005B5818" w:rsidRPr="000316FB" w:rsidRDefault="005B5818" w:rsidP="006931BA">
            <w:pPr>
              <w:pStyle w:val="Table"/>
            </w:pPr>
            <w:r w:rsidRPr="000316FB">
              <w:t>Categories</w:t>
            </w:r>
          </w:p>
        </w:tc>
        <w:tc>
          <w:tcPr>
            <w:tcW w:w="1280" w:type="dxa"/>
            <w:noWrap/>
            <w:hideMark/>
          </w:tcPr>
          <w:p w14:paraId="53B0B4DC" w14:textId="77777777" w:rsidR="005B5818" w:rsidRPr="000316FB" w:rsidRDefault="005B5818" w:rsidP="006931BA">
            <w:pPr>
              <w:pStyle w:val="Table"/>
            </w:pPr>
            <w:r w:rsidRPr="000316FB">
              <w:t>R</w:t>
            </w:r>
            <w:r>
              <w:rPr>
                <w:vertAlign w:val="superscript"/>
              </w:rPr>
              <w:t>2</w:t>
            </w:r>
          </w:p>
        </w:tc>
        <w:tc>
          <w:tcPr>
            <w:tcW w:w="1280" w:type="dxa"/>
            <w:noWrap/>
            <w:hideMark/>
          </w:tcPr>
          <w:p w14:paraId="3D17305E" w14:textId="77777777" w:rsidR="005B5818" w:rsidRPr="000316FB" w:rsidRDefault="005B5818" w:rsidP="006931BA">
            <w:pPr>
              <w:pStyle w:val="Table"/>
            </w:pPr>
            <w:r w:rsidRPr="000316FB">
              <w:t>RID</w:t>
            </w:r>
          </w:p>
        </w:tc>
      </w:tr>
      <w:tr w:rsidR="005B5818" w:rsidRPr="000316FB" w14:paraId="333EAD2B" w14:textId="77777777" w:rsidTr="00D56DD5">
        <w:trPr>
          <w:trHeight w:val="300"/>
        </w:trPr>
        <w:tc>
          <w:tcPr>
            <w:tcW w:w="3740" w:type="dxa"/>
            <w:noWrap/>
            <w:hideMark/>
          </w:tcPr>
          <w:p w14:paraId="576DF1DA" w14:textId="77777777" w:rsidR="005B5818" w:rsidRPr="000316FB" w:rsidRDefault="005B5818" w:rsidP="007A28A7">
            <w:pPr>
              <w:pStyle w:val="Table"/>
              <w:keepNext/>
            </w:pPr>
            <w:r w:rsidRPr="000316FB">
              <w:t>ADRG</w:t>
            </w:r>
          </w:p>
        </w:tc>
        <w:tc>
          <w:tcPr>
            <w:tcW w:w="1280" w:type="dxa"/>
            <w:noWrap/>
            <w:hideMark/>
          </w:tcPr>
          <w:p w14:paraId="2FE411D0" w14:textId="77777777" w:rsidR="005B5818" w:rsidRPr="000316FB" w:rsidRDefault="005B5818" w:rsidP="007A28A7">
            <w:pPr>
              <w:pStyle w:val="Table"/>
              <w:keepNext/>
            </w:pPr>
            <w:r w:rsidRPr="000316FB">
              <w:t>402</w:t>
            </w:r>
          </w:p>
        </w:tc>
        <w:tc>
          <w:tcPr>
            <w:tcW w:w="1280" w:type="dxa"/>
            <w:noWrap/>
            <w:hideMark/>
          </w:tcPr>
          <w:p w14:paraId="5B8C1554" w14:textId="77777777" w:rsidR="005B5818" w:rsidRPr="000316FB" w:rsidRDefault="005B5818" w:rsidP="007A28A7">
            <w:pPr>
              <w:pStyle w:val="Table"/>
              <w:keepNext/>
            </w:pPr>
            <w:r w:rsidRPr="000316FB">
              <w:t>42.8%</w:t>
            </w:r>
          </w:p>
        </w:tc>
        <w:tc>
          <w:tcPr>
            <w:tcW w:w="1280" w:type="dxa"/>
            <w:noWrap/>
            <w:hideMark/>
          </w:tcPr>
          <w:p w14:paraId="281B1D45" w14:textId="77777777" w:rsidR="005B5818" w:rsidRPr="000316FB" w:rsidRDefault="005B5818" w:rsidP="007A28A7">
            <w:pPr>
              <w:pStyle w:val="Table"/>
              <w:keepNext/>
            </w:pPr>
            <w:r w:rsidRPr="000316FB">
              <w:t>60.9%</w:t>
            </w:r>
          </w:p>
        </w:tc>
      </w:tr>
      <w:tr w:rsidR="005B5818" w:rsidRPr="000316FB" w14:paraId="0EBC02B2" w14:textId="77777777" w:rsidTr="00D56DD5">
        <w:trPr>
          <w:trHeight w:val="300"/>
        </w:trPr>
        <w:tc>
          <w:tcPr>
            <w:tcW w:w="3740" w:type="dxa"/>
            <w:noWrap/>
            <w:hideMark/>
          </w:tcPr>
          <w:p w14:paraId="068620F1" w14:textId="77777777" w:rsidR="005B5818" w:rsidRPr="000316FB" w:rsidRDefault="005B5818" w:rsidP="002F7E33">
            <w:pPr>
              <w:pStyle w:val="Table"/>
              <w:keepNext/>
              <w:rPr>
                <w:color w:val="000000"/>
              </w:rPr>
            </w:pPr>
            <w:r w:rsidRPr="000316FB">
              <w:rPr>
                <w:color w:val="000000"/>
              </w:rPr>
              <w:t>PCCL (in ADRG)</w:t>
            </w:r>
          </w:p>
        </w:tc>
        <w:tc>
          <w:tcPr>
            <w:tcW w:w="1280" w:type="dxa"/>
            <w:noWrap/>
            <w:hideMark/>
          </w:tcPr>
          <w:p w14:paraId="62AA7A9E" w14:textId="77777777" w:rsidR="005B5818" w:rsidRPr="000316FB" w:rsidRDefault="005B5818" w:rsidP="002F7E33">
            <w:pPr>
              <w:pStyle w:val="Table"/>
              <w:keepNext/>
              <w:rPr>
                <w:color w:val="000000"/>
              </w:rPr>
            </w:pPr>
            <w:r w:rsidRPr="000316FB">
              <w:rPr>
                <w:color w:val="000000"/>
              </w:rPr>
              <w:t>1,908</w:t>
            </w:r>
          </w:p>
        </w:tc>
        <w:tc>
          <w:tcPr>
            <w:tcW w:w="1280" w:type="dxa"/>
            <w:noWrap/>
            <w:hideMark/>
          </w:tcPr>
          <w:p w14:paraId="412EDAA9" w14:textId="77777777" w:rsidR="005B5818" w:rsidRPr="000316FB" w:rsidRDefault="005B5818" w:rsidP="002F7E33">
            <w:pPr>
              <w:pStyle w:val="Table"/>
              <w:keepNext/>
              <w:rPr>
                <w:color w:val="000000"/>
              </w:rPr>
            </w:pPr>
            <w:r w:rsidRPr="000316FB">
              <w:rPr>
                <w:color w:val="000000"/>
              </w:rPr>
              <w:t>48.8%</w:t>
            </w:r>
          </w:p>
        </w:tc>
        <w:tc>
          <w:tcPr>
            <w:tcW w:w="1280" w:type="dxa"/>
            <w:noWrap/>
            <w:hideMark/>
          </w:tcPr>
          <w:p w14:paraId="3D876860" w14:textId="77777777" w:rsidR="005B5818" w:rsidRPr="000316FB" w:rsidRDefault="005B5818" w:rsidP="002F7E33">
            <w:pPr>
              <w:pStyle w:val="Table"/>
              <w:keepNext/>
              <w:rPr>
                <w:color w:val="000000"/>
              </w:rPr>
            </w:pPr>
            <w:r w:rsidRPr="000316FB">
              <w:rPr>
                <w:color w:val="000000"/>
              </w:rPr>
              <w:t>67.7%</w:t>
            </w:r>
          </w:p>
        </w:tc>
      </w:tr>
      <w:tr w:rsidR="005B5818" w:rsidRPr="000316FB" w14:paraId="1D7BA7F3" w14:textId="77777777" w:rsidTr="00D56DD5">
        <w:trPr>
          <w:trHeight w:val="300"/>
        </w:trPr>
        <w:tc>
          <w:tcPr>
            <w:tcW w:w="3740" w:type="dxa"/>
            <w:noWrap/>
            <w:hideMark/>
          </w:tcPr>
          <w:p w14:paraId="5DC015A5" w14:textId="77777777" w:rsidR="005B5818" w:rsidRPr="000316FB" w:rsidRDefault="005B5818" w:rsidP="002F7E33">
            <w:pPr>
              <w:pStyle w:val="Table"/>
              <w:keepNext/>
              <w:rPr>
                <w:color w:val="000000"/>
              </w:rPr>
            </w:pPr>
            <w:r w:rsidRPr="000316FB">
              <w:rPr>
                <w:color w:val="000000"/>
              </w:rPr>
              <w:t>DRG</w:t>
            </w:r>
          </w:p>
        </w:tc>
        <w:tc>
          <w:tcPr>
            <w:tcW w:w="1280" w:type="dxa"/>
            <w:noWrap/>
            <w:hideMark/>
          </w:tcPr>
          <w:p w14:paraId="2D0B3083" w14:textId="77777777" w:rsidR="005B5818" w:rsidRPr="000316FB" w:rsidRDefault="005B5818" w:rsidP="002F7E33">
            <w:pPr>
              <w:pStyle w:val="Table"/>
              <w:keepNext/>
              <w:rPr>
                <w:color w:val="000000"/>
              </w:rPr>
            </w:pPr>
            <w:r w:rsidRPr="000316FB">
              <w:rPr>
                <w:color w:val="000000"/>
              </w:rPr>
              <w:t>766</w:t>
            </w:r>
          </w:p>
        </w:tc>
        <w:tc>
          <w:tcPr>
            <w:tcW w:w="1280" w:type="dxa"/>
            <w:noWrap/>
            <w:hideMark/>
          </w:tcPr>
          <w:p w14:paraId="2150D5B4" w14:textId="77777777" w:rsidR="005B5818" w:rsidRPr="000316FB" w:rsidRDefault="005B5818" w:rsidP="002F7E33">
            <w:pPr>
              <w:pStyle w:val="Table"/>
              <w:keepNext/>
              <w:rPr>
                <w:color w:val="000000"/>
              </w:rPr>
            </w:pPr>
            <w:r w:rsidRPr="000316FB">
              <w:rPr>
                <w:color w:val="000000"/>
              </w:rPr>
              <w:t>52.0%</w:t>
            </w:r>
          </w:p>
        </w:tc>
        <w:tc>
          <w:tcPr>
            <w:tcW w:w="1280" w:type="dxa"/>
            <w:noWrap/>
            <w:hideMark/>
          </w:tcPr>
          <w:p w14:paraId="35231223" w14:textId="77777777" w:rsidR="005B5818" w:rsidRPr="000316FB" w:rsidRDefault="005B5818" w:rsidP="002F7E33">
            <w:pPr>
              <w:pStyle w:val="Table"/>
              <w:keepNext/>
              <w:rPr>
                <w:color w:val="000000"/>
              </w:rPr>
            </w:pPr>
            <w:r w:rsidRPr="000316FB">
              <w:rPr>
                <w:color w:val="000000"/>
              </w:rPr>
              <w:t>70.7%</w:t>
            </w:r>
          </w:p>
        </w:tc>
      </w:tr>
      <w:tr w:rsidR="005B5818" w:rsidRPr="000316FB" w14:paraId="5B788BBA" w14:textId="77777777" w:rsidTr="00D56DD5">
        <w:trPr>
          <w:trHeight w:val="300"/>
        </w:trPr>
        <w:tc>
          <w:tcPr>
            <w:tcW w:w="3740" w:type="dxa"/>
            <w:noWrap/>
            <w:hideMark/>
          </w:tcPr>
          <w:p w14:paraId="2BE6E9F3" w14:textId="77777777" w:rsidR="005B5818" w:rsidRPr="000316FB" w:rsidRDefault="005B5818" w:rsidP="002F7E33">
            <w:pPr>
              <w:pStyle w:val="Table"/>
              <w:keepNext/>
              <w:rPr>
                <w:color w:val="000000"/>
              </w:rPr>
            </w:pPr>
            <w:r>
              <w:rPr>
                <w:color w:val="000000"/>
              </w:rPr>
              <w:t xml:space="preserve">5-category </w:t>
            </w:r>
            <w:r w:rsidRPr="000316FB">
              <w:rPr>
                <w:color w:val="000000"/>
              </w:rPr>
              <w:t xml:space="preserve">ECCS </w:t>
            </w:r>
            <w:r>
              <w:rPr>
                <w:color w:val="000000"/>
              </w:rPr>
              <w:t>model</w:t>
            </w:r>
            <w:r w:rsidRPr="000316FB">
              <w:rPr>
                <w:color w:val="000000"/>
              </w:rPr>
              <w:t xml:space="preserve"> - R</w:t>
            </w:r>
            <w:r w:rsidRPr="00B5534A">
              <w:rPr>
                <w:color w:val="000000"/>
                <w:vertAlign w:val="superscript"/>
              </w:rPr>
              <w:t>2</w:t>
            </w:r>
            <w:r w:rsidRPr="000316FB">
              <w:rPr>
                <w:color w:val="000000"/>
              </w:rPr>
              <w:t xml:space="preserve"> optimised</w:t>
            </w:r>
          </w:p>
        </w:tc>
        <w:tc>
          <w:tcPr>
            <w:tcW w:w="1280" w:type="dxa"/>
            <w:noWrap/>
            <w:hideMark/>
          </w:tcPr>
          <w:p w14:paraId="54A9CC7E" w14:textId="77777777" w:rsidR="005B5818" w:rsidRPr="000316FB" w:rsidRDefault="005B5818" w:rsidP="002F7E33">
            <w:pPr>
              <w:pStyle w:val="Table"/>
              <w:keepNext/>
              <w:rPr>
                <w:color w:val="000000"/>
              </w:rPr>
            </w:pPr>
            <w:r w:rsidRPr="000316FB">
              <w:rPr>
                <w:color w:val="000000"/>
              </w:rPr>
              <w:t>1,743</w:t>
            </w:r>
          </w:p>
        </w:tc>
        <w:tc>
          <w:tcPr>
            <w:tcW w:w="1280" w:type="dxa"/>
            <w:noWrap/>
            <w:hideMark/>
          </w:tcPr>
          <w:p w14:paraId="1116E6FA" w14:textId="77777777" w:rsidR="005B5818" w:rsidRPr="000316FB" w:rsidRDefault="005B5818" w:rsidP="002F7E33">
            <w:pPr>
              <w:pStyle w:val="Table"/>
              <w:keepNext/>
              <w:rPr>
                <w:color w:val="000000"/>
              </w:rPr>
            </w:pPr>
            <w:r w:rsidRPr="000316FB">
              <w:rPr>
                <w:color w:val="000000"/>
              </w:rPr>
              <w:t>55.1%</w:t>
            </w:r>
          </w:p>
        </w:tc>
        <w:tc>
          <w:tcPr>
            <w:tcW w:w="1280" w:type="dxa"/>
            <w:noWrap/>
            <w:hideMark/>
          </w:tcPr>
          <w:p w14:paraId="36A7B932" w14:textId="77777777" w:rsidR="005B5818" w:rsidRPr="000316FB" w:rsidRDefault="005B5818" w:rsidP="002F7E33">
            <w:pPr>
              <w:pStyle w:val="Table"/>
              <w:keepNext/>
              <w:rPr>
                <w:color w:val="000000"/>
              </w:rPr>
            </w:pPr>
            <w:r w:rsidRPr="000316FB">
              <w:rPr>
                <w:color w:val="000000"/>
              </w:rPr>
              <w:t>69.8%</w:t>
            </w:r>
          </w:p>
        </w:tc>
      </w:tr>
      <w:tr w:rsidR="005B5818" w:rsidRPr="000316FB" w14:paraId="5C66C985" w14:textId="77777777" w:rsidTr="00D56DD5">
        <w:trPr>
          <w:cnfStyle w:val="010000000000" w:firstRow="0" w:lastRow="1" w:firstColumn="0" w:lastColumn="0" w:oddVBand="0" w:evenVBand="0" w:oddHBand="0" w:evenHBand="0" w:firstRowFirstColumn="0" w:firstRowLastColumn="0" w:lastRowFirstColumn="0" w:lastRowLastColumn="0"/>
          <w:trHeight w:val="300"/>
        </w:trPr>
        <w:tc>
          <w:tcPr>
            <w:tcW w:w="3740" w:type="dxa"/>
            <w:noWrap/>
            <w:hideMark/>
          </w:tcPr>
          <w:p w14:paraId="3A95533C" w14:textId="77777777" w:rsidR="005B5818" w:rsidRPr="000316FB" w:rsidRDefault="005B5818" w:rsidP="006931BA">
            <w:pPr>
              <w:pStyle w:val="Table"/>
              <w:rPr>
                <w:color w:val="000000"/>
              </w:rPr>
            </w:pPr>
            <w:r>
              <w:rPr>
                <w:color w:val="000000"/>
              </w:rPr>
              <w:t xml:space="preserve">5-category </w:t>
            </w:r>
            <w:r w:rsidRPr="000316FB">
              <w:rPr>
                <w:color w:val="000000"/>
              </w:rPr>
              <w:t xml:space="preserve">ECCS </w:t>
            </w:r>
            <w:r>
              <w:rPr>
                <w:color w:val="000000"/>
              </w:rPr>
              <w:t>model</w:t>
            </w:r>
            <w:r w:rsidRPr="000316FB">
              <w:rPr>
                <w:color w:val="000000"/>
              </w:rPr>
              <w:t xml:space="preserve"> - RID optimised</w:t>
            </w:r>
          </w:p>
        </w:tc>
        <w:tc>
          <w:tcPr>
            <w:tcW w:w="1280" w:type="dxa"/>
            <w:noWrap/>
            <w:hideMark/>
          </w:tcPr>
          <w:p w14:paraId="0DA6F785" w14:textId="77777777" w:rsidR="005B5818" w:rsidRPr="000316FB" w:rsidRDefault="005B5818" w:rsidP="006931BA">
            <w:pPr>
              <w:pStyle w:val="Table"/>
              <w:rPr>
                <w:color w:val="000000"/>
              </w:rPr>
            </w:pPr>
            <w:r w:rsidRPr="000316FB">
              <w:rPr>
                <w:color w:val="000000"/>
              </w:rPr>
              <w:t>1,744</w:t>
            </w:r>
          </w:p>
        </w:tc>
        <w:tc>
          <w:tcPr>
            <w:tcW w:w="1280" w:type="dxa"/>
            <w:noWrap/>
            <w:hideMark/>
          </w:tcPr>
          <w:p w14:paraId="5972712C" w14:textId="77777777" w:rsidR="005B5818" w:rsidRPr="000316FB" w:rsidRDefault="005B5818" w:rsidP="006931BA">
            <w:pPr>
              <w:pStyle w:val="Table"/>
              <w:rPr>
                <w:color w:val="000000"/>
              </w:rPr>
            </w:pPr>
            <w:r w:rsidRPr="000316FB">
              <w:rPr>
                <w:color w:val="000000"/>
              </w:rPr>
              <w:t>54.9%</w:t>
            </w:r>
          </w:p>
        </w:tc>
        <w:tc>
          <w:tcPr>
            <w:tcW w:w="1280" w:type="dxa"/>
            <w:noWrap/>
            <w:hideMark/>
          </w:tcPr>
          <w:p w14:paraId="166C863F" w14:textId="77777777" w:rsidR="005B5818" w:rsidRPr="000316FB" w:rsidRDefault="005B5818" w:rsidP="006931BA">
            <w:pPr>
              <w:pStyle w:val="Table"/>
              <w:rPr>
                <w:color w:val="000000"/>
              </w:rPr>
            </w:pPr>
            <w:r w:rsidRPr="000316FB">
              <w:rPr>
                <w:color w:val="000000"/>
              </w:rPr>
              <w:t>69.9%</w:t>
            </w:r>
          </w:p>
        </w:tc>
      </w:tr>
    </w:tbl>
    <w:p w14:paraId="6E4DDAB7" w14:textId="77777777" w:rsidR="005B5818" w:rsidRDefault="005B5818" w:rsidP="006056B9">
      <w:pPr>
        <w:spacing w:before="240"/>
        <w:rPr>
          <w:szCs w:val="24"/>
          <w:lang w:val="en-AU"/>
        </w:rPr>
      </w:pPr>
      <w:r>
        <w:rPr>
          <w:szCs w:val="24"/>
          <w:lang w:val="en-AU"/>
        </w:rPr>
        <w:t xml:space="preserve">The DRG classification has a maximum of four categories by ADRG, and although the ECCS and PCCL models each have a maximum of five categories, the count of categories </w:t>
      </w:r>
      <w:r w:rsidR="003757ED">
        <w:rPr>
          <w:szCs w:val="24"/>
          <w:lang w:val="en-AU"/>
        </w:rPr>
        <w:t>within each</w:t>
      </w:r>
      <w:r>
        <w:rPr>
          <w:szCs w:val="24"/>
          <w:lang w:val="en-AU"/>
        </w:rPr>
        <w:t xml:space="preserve"> ADRG </w:t>
      </w:r>
      <w:r w:rsidR="003757ED">
        <w:rPr>
          <w:szCs w:val="24"/>
          <w:lang w:val="en-AU"/>
        </w:rPr>
        <w:t xml:space="preserve">often </w:t>
      </w:r>
      <w:r>
        <w:rPr>
          <w:szCs w:val="24"/>
          <w:lang w:val="en-AU"/>
        </w:rPr>
        <w:t>varies considerably between the models.</w:t>
      </w:r>
    </w:p>
    <w:p w14:paraId="3BCC91CC" w14:textId="77777777" w:rsidR="005B5818" w:rsidRDefault="00CC0F16" w:rsidP="006056B9">
      <w:pPr>
        <w:rPr>
          <w:szCs w:val="24"/>
          <w:lang w:val="en-AU"/>
        </w:rPr>
      </w:pPr>
      <w:r>
        <w:fldChar w:fldCharType="begin"/>
      </w:r>
      <w:r>
        <w:instrText xml:space="preserve"> REF _Ref391111435 \h  \* MERGEFORMAT </w:instrText>
      </w:r>
      <w:r>
        <w:fldChar w:fldCharType="separate"/>
      </w:r>
      <w:r w:rsidR="0031717B" w:rsidRPr="0031717B">
        <w:rPr>
          <w:szCs w:val="24"/>
        </w:rPr>
        <w:t xml:space="preserve">Table </w:t>
      </w:r>
      <w:r w:rsidR="0031717B" w:rsidRPr="0031717B">
        <w:rPr>
          <w:noProof/>
          <w:szCs w:val="24"/>
        </w:rPr>
        <w:t>12</w:t>
      </w:r>
      <w:r>
        <w:fldChar w:fldCharType="end"/>
      </w:r>
      <w:r w:rsidR="005B5818" w:rsidRPr="006D0D42">
        <w:rPr>
          <w:szCs w:val="24"/>
          <w:lang w:val="en-AU"/>
        </w:rPr>
        <w:t xml:space="preserve"> summar</w:t>
      </w:r>
      <w:r w:rsidR="005B5818">
        <w:rPr>
          <w:szCs w:val="24"/>
          <w:lang w:val="en-AU"/>
        </w:rPr>
        <w:t>ises the percentage split of episodes among the five categories of each model. DRGs are allocated to Categories 1 to 4 based on the number of DRGs in the ADRG and the corresponding DRG levels. Specifically:</w:t>
      </w:r>
    </w:p>
    <w:p w14:paraId="32020791" w14:textId="77777777" w:rsidR="005B5818" w:rsidRDefault="005B5818" w:rsidP="000E5B4A">
      <w:pPr>
        <w:pStyle w:val="ListBullet"/>
        <w:rPr>
          <w:lang w:val="en-AU"/>
        </w:rPr>
      </w:pPr>
      <w:r w:rsidRPr="006A40E1">
        <w:rPr>
          <w:szCs w:val="24"/>
          <w:lang w:val="en-AU"/>
        </w:rPr>
        <w:t>all Z-level DRGs are allocated to Category 1;</w:t>
      </w:r>
    </w:p>
    <w:p w14:paraId="12E911F5" w14:textId="77777777" w:rsidR="005B5818" w:rsidRDefault="005B5818" w:rsidP="000E5B4A">
      <w:pPr>
        <w:pStyle w:val="ListBullet"/>
        <w:rPr>
          <w:lang w:val="en-AU"/>
        </w:rPr>
      </w:pPr>
      <w:r w:rsidRPr="006A40E1">
        <w:rPr>
          <w:szCs w:val="24"/>
          <w:lang w:val="en-AU"/>
        </w:rPr>
        <w:t xml:space="preserve">for ADRGs with two DRGs, the B-level DRG is allocated to </w:t>
      </w:r>
      <w:r>
        <w:rPr>
          <w:szCs w:val="24"/>
          <w:lang w:val="en-AU"/>
        </w:rPr>
        <w:t>C</w:t>
      </w:r>
      <w:r w:rsidRPr="006A40E1">
        <w:rPr>
          <w:szCs w:val="24"/>
          <w:lang w:val="en-AU"/>
        </w:rPr>
        <w:t>ategory 1 and the A-level DRG is allocated to Category 2</w:t>
      </w:r>
      <w:r>
        <w:rPr>
          <w:szCs w:val="24"/>
          <w:lang w:val="en-AU"/>
        </w:rPr>
        <w:t>;</w:t>
      </w:r>
    </w:p>
    <w:p w14:paraId="12629409" w14:textId="77777777" w:rsidR="005B5818" w:rsidRDefault="005B5818" w:rsidP="000E5B4A">
      <w:pPr>
        <w:pStyle w:val="ListBullet"/>
        <w:rPr>
          <w:lang w:val="en-AU"/>
        </w:rPr>
      </w:pPr>
      <w:r>
        <w:rPr>
          <w:szCs w:val="24"/>
          <w:lang w:val="en-AU"/>
        </w:rPr>
        <w:t>for ADRGs with three DRGs, the C-level DRG is allocated to Category 1, the level-B DRG is allocated to Category 2 and the A-level DRG is allocated to Category 3; and</w:t>
      </w:r>
    </w:p>
    <w:p w14:paraId="6AD5E14D" w14:textId="77777777" w:rsidR="005B5818" w:rsidRPr="006A40E1" w:rsidRDefault="005B5818" w:rsidP="000E5B4A">
      <w:pPr>
        <w:pStyle w:val="ListBullet"/>
        <w:rPr>
          <w:lang w:val="en-AU"/>
        </w:rPr>
      </w:pPr>
      <w:r>
        <w:rPr>
          <w:szCs w:val="24"/>
          <w:lang w:val="en-AU"/>
        </w:rPr>
        <w:t>for ADRGs with four DRGs, the D-level DRG is allocated to Category 1, the C-level DRG is allocated to Category 2, the B-level DRG is allocated to Category 3 and the A-level DRG is allocated to Category 4.</w:t>
      </w:r>
    </w:p>
    <w:p w14:paraId="2A31447B" w14:textId="77777777" w:rsidR="005B5818" w:rsidRPr="006A40E1" w:rsidRDefault="005B5818" w:rsidP="006056B9">
      <w:pPr>
        <w:rPr>
          <w:szCs w:val="24"/>
          <w:lang w:val="en-AU"/>
        </w:rPr>
      </w:pPr>
      <w:r w:rsidRPr="006A40E1">
        <w:rPr>
          <w:szCs w:val="24"/>
          <w:lang w:val="en-AU"/>
        </w:rPr>
        <w:t>Note that the second category of the PCCL model (i.e. PCCL = 1) only contains 0.4</w:t>
      </w:r>
      <w:r w:rsidR="002201AB">
        <w:rPr>
          <w:szCs w:val="24"/>
          <w:lang w:val="en-AU"/>
        </w:rPr>
        <w:t xml:space="preserve"> per cent</w:t>
      </w:r>
      <w:r w:rsidRPr="006A40E1">
        <w:rPr>
          <w:szCs w:val="24"/>
          <w:lang w:val="en-AU"/>
        </w:rPr>
        <w:t xml:space="preserve"> of all episodes. From this perspective, it would appear PCCL is more similar to a four-category classification. However, </w:t>
      </w:r>
      <w:r w:rsidR="00CC0F16">
        <w:fldChar w:fldCharType="begin"/>
      </w:r>
      <w:r w:rsidR="00CC0F16">
        <w:instrText xml:space="preserve"> REF _Ref391109939 \h  \* MERGEFORMAT </w:instrText>
      </w:r>
      <w:r w:rsidR="00CC0F16">
        <w:fldChar w:fldCharType="separate"/>
      </w:r>
      <w:r w:rsidR="0031717B" w:rsidRPr="0031717B">
        <w:rPr>
          <w:szCs w:val="24"/>
        </w:rPr>
        <w:t xml:space="preserve">Table </w:t>
      </w:r>
      <w:r w:rsidR="0031717B" w:rsidRPr="0031717B">
        <w:rPr>
          <w:noProof/>
          <w:szCs w:val="24"/>
        </w:rPr>
        <w:t>11</w:t>
      </w:r>
      <w:r w:rsidR="00CC0F16">
        <w:fldChar w:fldCharType="end"/>
      </w:r>
      <w:r w:rsidRPr="006A40E1">
        <w:rPr>
          <w:szCs w:val="24"/>
          <w:lang w:val="en-AU"/>
        </w:rPr>
        <w:t xml:space="preserve"> shows that the PCCL model contains 160 more categories than either of the two ECCS models – an average of 4.7 PCCL categories per ADRG compared to an average of 4.3 ECCS categories per ADRG.</w:t>
      </w:r>
      <w:r>
        <w:rPr>
          <w:szCs w:val="24"/>
          <w:lang w:val="en-AU"/>
        </w:rPr>
        <w:t xml:space="preserve"> The main factor reducing the number of </w:t>
      </w:r>
      <w:r>
        <w:rPr>
          <w:szCs w:val="24"/>
          <w:lang w:val="en-AU"/>
        </w:rPr>
        <w:lastRenderedPageBreak/>
        <w:t>ECCS-based categories is the requirement that each contain at least 5</w:t>
      </w:r>
      <w:r w:rsidR="002201AB">
        <w:rPr>
          <w:szCs w:val="24"/>
          <w:lang w:val="en-AU"/>
        </w:rPr>
        <w:t xml:space="preserve"> per cent</w:t>
      </w:r>
      <w:r>
        <w:rPr>
          <w:szCs w:val="24"/>
          <w:lang w:val="en-AU"/>
        </w:rPr>
        <w:t xml:space="preserve"> and 100 of an ADRG’s episodes.</w:t>
      </w:r>
    </w:p>
    <w:p w14:paraId="3F1CDFC0" w14:textId="77777777" w:rsidR="005B5818" w:rsidRPr="006D0D42" w:rsidRDefault="005B5818" w:rsidP="000E5B4A">
      <w:pPr>
        <w:pStyle w:val="Caption"/>
      </w:pPr>
      <w:bookmarkStart w:id="137" w:name="_Ref391111435"/>
      <w:bookmarkStart w:id="138" w:name="_Toc401061099"/>
      <w:r w:rsidRPr="006D0D42">
        <w:t xml:space="preserve">Table </w:t>
      </w:r>
      <w:r w:rsidR="005559F5" w:rsidRPr="006D0D42">
        <w:fldChar w:fldCharType="begin"/>
      </w:r>
      <w:r w:rsidRPr="006D0D42">
        <w:instrText xml:space="preserve"> SEQ Table \* ARABIC </w:instrText>
      </w:r>
      <w:r w:rsidR="005559F5" w:rsidRPr="006D0D42">
        <w:fldChar w:fldCharType="separate"/>
      </w:r>
      <w:r w:rsidR="0031717B">
        <w:rPr>
          <w:noProof/>
        </w:rPr>
        <w:t>12</w:t>
      </w:r>
      <w:r w:rsidR="005559F5" w:rsidRPr="006D0D42">
        <w:fldChar w:fldCharType="end"/>
      </w:r>
      <w:bookmarkEnd w:id="137"/>
      <w:r w:rsidRPr="006D0D42">
        <w:t>: Summary of percentage distribution of episodes by PCCL</w:t>
      </w:r>
      <w:r>
        <w:t>, DRG</w:t>
      </w:r>
      <w:r w:rsidRPr="006D0D42">
        <w:t xml:space="preserve"> and ECCS categories</w:t>
      </w:r>
      <w:r w:rsidR="000E4FA5">
        <w:t>.</w:t>
      </w:r>
      <w:bookmarkEnd w:id="138"/>
    </w:p>
    <w:tbl>
      <w:tblPr>
        <w:tblStyle w:val="Style1"/>
        <w:tblW w:w="9083" w:type="dxa"/>
        <w:tblLook w:val="0460" w:firstRow="1" w:lastRow="1" w:firstColumn="0" w:lastColumn="0" w:noHBand="0" w:noVBand="1"/>
        <w:tblCaption w:val="Summary of percentage distribution of episodes by PCCL, DRG and ECCS categories"/>
        <w:tblDescription w:val="The table has five columns: the first lists the category; the second provides the PCCL percentage distribution across these categories; the third provides the DRG percentage distribution; the fourth provides the ECCS - RID optimised percentage distribution; and the fifth provides the ECCS - R squared optimised percentage distribution. "/>
      </w:tblPr>
      <w:tblGrid>
        <w:gridCol w:w="1289"/>
        <w:gridCol w:w="1280"/>
        <w:gridCol w:w="1298"/>
        <w:gridCol w:w="2608"/>
        <w:gridCol w:w="2608"/>
      </w:tblGrid>
      <w:tr w:rsidR="005B5818" w:rsidRPr="006D0D42" w14:paraId="3D525605" w14:textId="77777777" w:rsidTr="0016559E">
        <w:trPr>
          <w:cnfStyle w:val="100000000000" w:firstRow="1" w:lastRow="0" w:firstColumn="0" w:lastColumn="0" w:oddVBand="0" w:evenVBand="0" w:oddHBand="0" w:evenHBand="0" w:firstRowFirstColumn="0" w:firstRowLastColumn="0" w:lastRowFirstColumn="0" w:lastRowLastColumn="0"/>
          <w:trHeight w:val="300"/>
          <w:tblHeader/>
        </w:trPr>
        <w:tc>
          <w:tcPr>
            <w:tcW w:w="1289" w:type="dxa"/>
            <w:noWrap/>
            <w:hideMark/>
          </w:tcPr>
          <w:p w14:paraId="51C0A403" w14:textId="77777777" w:rsidR="005B5818" w:rsidRPr="006D0D42" w:rsidRDefault="00892FC0">
            <w:pPr>
              <w:pStyle w:val="Table"/>
            </w:pPr>
            <w:r>
              <w:t>Category</w:t>
            </w:r>
          </w:p>
        </w:tc>
        <w:tc>
          <w:tcPr>
            <w:tcW w:w="1280" w:type="dxa"/>
            <w:noWrap/>
            <w:hideMark/>
          </w:tcPr>
          <w:p w14:paraId="6660EA11" w14:textId="77777777" w:rsidR="005B5818" w:rsidRPr="006D0D42" w:rsidRDefault="005B5818">
            <w:pPr>
              <w:pStyle w:val="Table"/>
              <w:rPr>
                <w:bCs/>
              </w:rPr>
            </w:pPr>
            <w:r w:rsidRPr="006D0D42">
              <w:rPr>
                <w:bCs/>
              </w:rPr>
              <w:t>PCCL</w:t>
            </w:r>
          </w:p>
        </w:tc>
        <w:tc>
          <w:tcPr>
            <w:tcW w:w="1298" w:type="dxa"/>
          </w:tcPr>
          <w:p w14:paraId="2F008C5B" w14:textId="77777777" w:rsidR="005B5818" w:rsidRPr="006D0D42" w:rsidRDefault="005B5818">
            <w:pPr>
              <w:pStyle w:val="Table"/>
              <w:rPr>
                <w:bCs/>
              </w:rPr>
            </w:pPr>
            <w:r>
              <w:rPr>
                <w:bCs/>
              </w:rPr>
              <w:t>DRG</w:t>
            </w:r>
          </w:p>
        </w:tc>
        <w:tc>
          <w:tcPr>
            <w:tcW w:w="2608" w:type="dxa"/>
            <w:noWrap/>
            <w:hideMark/>
          </w:tcPr>
          <w:p w14:paraId="43155467" w14:textId="77777777" w:rsidR="005B5818" w:rsidRPr="006D0D42" w:rsidRDefault="005B5818">
            <w:pPr>
              <w:pStyle w:val="Table"/>
              <w:rPr>
                <w:bCs/>
              </w:rPr>
            </w:pPr>
            <w:r w:rsidRPr="006D0D42">
              <w:rPr>
                <w:bCs/>
              </w:rPr>
              <w:t>ECCS - RID optimised</w:t>
            </w:r>
          </w:p>
        </w:tc>
        <w:tc>
          <w:tcPr>
            <w:tcW w:w="2608" w:type="dxa"/>
            <w:noWrap/>
            <w:hideMark/>
          </w:tcPr>
          <w:p w14:paraId="2453C8FD" w14:textId="77777777" w:rsidR="005B5818" w:rsidRPr="006D0D42" w:rsidRDefault="005B5818">
            <w:pPr>
              <w:pStyle w:val="Table"/>
              <w:rPr>
                <w:bCs/>
              </w:rPr>
            </w:pPr>
            <w:r w:rsidRPr="006D0D42">
              <w:rPr>
                <w:bCs/>
              </w:rPr>
              <w:t>ECCS - R</w:t>
            </w:r>
            <w:r w:rsidRPr="00B5534A">
              <w:rPr>
                <w:bCs/>
                <w:vertAlign w:val="superscript"/>
              </w:rPr>
              <w:t>2</w:t>
            </w:r>
            <w:r w:rsidRPr="006D0D42">
              <w:rPr>
                <w:bCs/>
              </w:rPr>
              <w:t xml:space="preserve"> optimised</w:t>
            </w:r>
          </w:p>
        </w:tc>
      </w:tr>
      <w:tr w:rsidR="005B5818" w:rsidRPr="006D0D42" w14:paraId="2DACC113" w14:textId="77777777" w:rsidTr="0016559E">
        <w:trPr>
          <w:trHeight w:val="300"/>
        </w:trPr>
        <w:tc>
          <w:tcPr>
            <w:tcW w:w="1289" w:type="dxa"/>
            <w:noWrap/>
            <w:hideMark/>
          </w:tcPr>
          <w:p w14:paraId="1ABADBEE" w14:textId="77777777" w:rsidR="005B5818" w:rsidRPr="006D0D42" w:rsidRDefault="005B5818" w:rsidP="002F7E33">
            <w:pPr>
              <w:pStyle w:val="Table"/>
              <w:keepNext/>
              <w:rPr>
                <w:color w:val="000000"/>
              </w:rPr>
            </w:pPr>
            <w:r w:rsidRPr="006D0D42">
              <w:rPr>
                <w:color w:val="000000"/>
              </w:rPr>
              <w:t>Category 1</w:t>
            </w:r>
          </w:p>
        </w:tc>
        <w:tc>
          <w:tcPr>
            <w:tcW w:w="1280" w:type="dxa"/>
            <w:noWrap/>
            <w:hideMark/>
          </w:tcPr>
          <w:p w14:paraId="0D93F256" w14:textId="77777777" w:rsidR="005B5818" w:rsidRPr="006D0D42" w:rsidRDefault="005B5818">
            <w:pPr>
              <w:pStyle w:val="TableNumber"/>
            </w:pPr>
            <w:r w:rsidRPr="006D0D42">
              <w:t>77.0%</w:t>
            </w:r>
          </w:p>
        </w:tc>
        <w:tc>
          <w:tcPr>
            <w:tcW w:w="1298" w:type="dxa"/>
          </w:tcPr>
          <w:p w14:paraId="7FC47B8B" w14:textId="77777777" w:rsidR="005B5818" w:rsidRPr="006D0D42" w:rsidRDefault="005B5818">
            <w:pPr>
              <w:pStyle w:val="TableNumber"/>
            </w:pPr>
            <w:r>
              <w:t>77.1%</w:t>
            </w:r>
          </w:p>
        </w:tc>
        <w:tc>
          <w:tcPr>
            <w:tcW w:w="2608" w:type="dxa"/>
            <w:noWrap/>
            <w:hideMark/>
          </w:tcPr>
          <w:p w14:paraId="2FC48D71" w14:textId="77777777" w:rsidR="005B5818" w:rsidRPr="006D0D42" w:rsidRDefault="005B5818">
            <w:pPr>
              <w:pStyle w:val="TableNumber"/>
            </w:pPr>
            <w:r w:rsidRPr="006D0D42">
              <w:t>57.7%</w:t>
            </w:r>
          </w:p>
        </w:tc>
        <w:tc>
          <w:tcPr>
            <w:tcW w:w="2608" w:type="dxa"/>
            <w:noWrap/>
            <w:hideMark/>
          </w:tcPr>
          <w:p w14:paraId="2272EAF7" w14:textId="77777777" w:rsidR="005B5818" w:rsidRPr="006D0D42" w:rsidRDefault="005B5818">
            <w:pPr>
              <w:pStyle w:val="TableNumber"/>
            </w:pPr>
            <w:r w:rsidRPr="006D0D42">
              <w:t>60.4%</w:t>
            </w:r>
          </w:p>
        </w:tc>
      </w:tr>
      <w:tr w:rsidR="005B5818" w:rsidRPr="006D0D42" w14:paraId="6837FEA3" w14:textId="77777777" w:rsidTr="0016559E">
        <w:trPr>
          <w:trHeight w:val="300"/>
        </w:trPr>
        <w:tc>
          <w:tcPr>
            <w:tcW w:w="1289" w:type="dxa"/>
            <w:noWrap/>
            <w:hideMark/>
          </w:tcPr>
          <w:p w14:paraId="5777CA58" w14:textId="77777777" w:rsidR="005B5818" w:rsidRPr="006D0D42" w:rsidRDefault="005B5818" w:rsidP="002F7E33">
            <w:pPr>
              <w:pStyle w:val="Table"/>
              <w:keepNext/>
              <w:rPr>
                <w:color w:val="000000"/>
              </w:rPr>
            </w:pPr>
            <w:r w:rsidRPr="006D0D42">
              <w:rPr>
                <w:color w:val="000000"/>
              </w:rPr>
              <w:t>Category 2</w:t>
            </w:r>
          </w:p>
        </w:tc>
        <w:tc>
          <w:tcPr>
            <w:tcW w:w="1280" w:type="dxa"/>
            <w:noWrap/>
            <w:hideMark/>
          </w:tcPr>
          <w:p w14:paraId="299A8702" w14:textId="77777777" w:rsidR="005B5818" w:rsidRPr="006D0D42" w:rsidRDefault="005B5818">
            <w:pPr>
              <w:pStyle w:val="TableNumber"/>
            </w:pPr>
            <w:r w:rsidRPr="006D0D42">
              <w:t>0.4%</w:t>
            </w:r>
          </w:p>
        </w:tc>
        <w:tc>
          <w:tcPr>
            <w:tcW w:w="1298" w:type="dxa"/>
          </w:tcPr>
          <w:p w14:paraId="283A26ED" w14:textId="77777777" w:rsidR="005B5818" w:rsidRPr="006D0D42" w:rsidRDefault="005B5818">
            <w:pPr>
              <w:pStyle w:val="TableNumber"/>
            </w:pPr>
            <w:r>
              <w:t>18.5%</w:t>
            </w:r>
          </w:p>
        </w:tc>
        <w:tc>
          <w:tcPr>
            <w:tcW w:w="2608" w:type="dxa"/>
            <w:noWrap/>
            <w:hideMark/>
          </w:tcPr>
          <w:p w14:paraId="59F42BB6" w14:textId="77777777" w:rsidR="005B5818" w:rsidRPr="006D0D42" w:rsidRDefault="005B5818">
            <w:pPr>
              <w:pStyle w:val="TableNumber"/>
            </w:pPr>
            <w:r w:rsidRPr="006D0D42">
              <w:t>21.7%</w:t>
            </w:r>
          </w:p>
        </w:tc>
        <w:tc>
          <w:tcPr>
            <w:tcW w:w="2608" w:type="dxa"/>
            <w:noWrap/>
            <w:hideMark/>
          </w:tcPr>
          <w:p w14:paraId="073DC840" w14:textId="77777777" w:rsidR="005B5818" w:rsidRPr="006D0D42" w:rsidRDefault="005B5818">
            <w:pPr>
              <w:pStyle w:val="TableNumber"/>
            </w:pPr>
            <w:r w:rsidRPr="006D0D42">
              <w:t>21.2%</w:t>
            </w:r>
          </w:p>
        </w:tc>
      </w:tr>
      <w:tr w:rsidR="005B5818" w:rsidRPr="006D0D42" w14:paraId="1306350C" w14:textId="77777777" w:rsidTr="0016559E">
        <w:trPr>
          <w:trHeight w:val="300"/>
        </w:trPr>
        <w:tc>
          <w:tcPr>
            <w:tcW w:w="1289" w:type="dxa"/>
            <w:noWrap/>
            <w:hideMark/>
          </w:tcPr>
          <w:p w14:paraId="4730A6AE" w14:textId="77777777" w:rsidR="005B5818" w:rsidRPr="006D0D42" w:rsidRDefault="005B5818" w:rsidP="002F7E33">
            <w:pPr>
              <w:pStyle w:val="Table"/>
              <w:keepNext/>
              <w:rPr>
                <w:color w:val="000000"/>
              </w:rPr>
            </w:pPr>
            <w:r w:rsidRPr="006D0D42">
              <w:rPr>
                <w:color w:val="000000"/>
              </w:rPr>
              <w:t>Category 3</w:t>
            </w:r>
          </w:p>
        </w:tc>
        <w:tc>
          <w:tcPr>
            <w:tcW w:w="1280" w:type="dxa"/>
            <w:noWrap/>
            <w:hideMark/>
          </w:tcPr>
          <w:p w14:paraId="30773788" w14:textId="77777777" w:rsidR="005B5818" w:rsidRPr="006D0D42" w:rsidRDefault="005B5818">
            <w:pPr>
              <w:pStyle w:val="TableNumber"/>
            </w:pPr>
            <w:r w:rsidRPr="006D0D42">
              <w:t>8.7%</w:t>
            </w:r>
          </w:p>
        </w:tc>
        <w:tc>
          <w:tcPr>
            <w:tcW w:w="1298" w:type="dxa"/>
          </w:tcPr>
          <w:p w14:paraId="689A1978" w14:textId="77777777" w:rsidR="005B5818" w:rsidRPr="006D0D42" w:rsidRDefault="005B5818">
            <w:pPr>
              <w:pStyle w:val="TableNumber"/>
            </w:pPr>
            <w:r>
              <w:t>4.2%</w:t>
            </w:r>
          </w:p>
        </w:tc>
        <w:tc>
          <w:tcPr>
            <w:tcW w:w="2608" w:type="dxa"/>
            <w:noWrap/>
            <w:hideMark/>
          </w:tcPr>
          <w:p w14:paraId="7AD01237" w14:textId="77777777" w:rsidR="005B5818" w:rsidRPr="006D0D42" w:rsidRDefault="005B5818">
            <w:pPr>
              <w:pStyle w:val="TableNumber"/>
            </w:pPr>
            <w:r w:rsidRPr="006D0D42">
              <w:t>10.3%</w:t>
            </w:r>
          </w:p>
        </w:tc>
        <w:tc>
          <w:tcPr>
            <w:tcW w:w="2608" w:type="dxa"/>
            <w:noWrap/>
            <w:hideMark/>
          </w:tcPr>
          <w:p w14:paraId="1B57D154" w14:textId="77777777" w:rsidR="005B5818" w:rsidRPr="006D0D42" w:rsidRDefault="005B5818">
            <w:pPr>
              <w:pStyle w:val="TableNumber"/>
            </w:pPr>
            <w:r w:rsidRPr="006D0D42">
              <w:t>9.1%</w:t>
            </w:r>
          </w:p>
        </w:tc>
      </w:tr>
      <w:tr w:rsidR="005B5818" w:rsidRPr="006D0D42" w14:paraId="114952FB" w14:textId="77777777" w:rsidTr="0016559E">
        <w:trPr>
          <w:trHeight w:val="300"/>
        </w:trPr>
        <w:tc>
          <w:tcPr>
            <w:tcW w:w="1289" w:type="dxa"/>
            <w:noWrap/>
            <w:hideMark/>
          </w:tcPr>
          <w:p w14:paraId="702DC34E" w14:textId="77777777" w:rsidR="005B5818" w:rsidRPr="006D0D42" w:rsidRDefault="005B5818" w:rsidP="002F7E33">
            <w:pPr>
              <w:pStyle w:val="Table"/>
              <w:keepNext/>
              <w:rPr>
                <w:color w:val="000000"/>
              </w:rPr>
            </w:pPr>
            <w:r w:rsidRPr="006D0D42">
              <w:rPr>
                <w:color w:val="000000"/>
              </w:rPr>
              <w:t>Category 4</w:t>
            </w:r>
          </w:p>
        </w:tc>
        <w:tc>
          <w:tcPr>
            <w:tcW w:w="1280" w:type="dxa"/>
            <w:noWrap/>
            <w:hideMark/>
          </w:tcPr>
          <w:p w14:paraId="26AA7F26" w14:textId="77777777" w:rsidR="005B5818" w:rsidRPr="006D0D42" w:rsidRDefault="005B5818">
            <w:pPr>
              <w:pStyle w:val="TableNumber"/>
            </w:pPr>
            <w:r w:rsidRPr="006D0D42">
              <w:t>8.3%</w:t>
            </w:r>
          </w:p>
        </w:tc>
        <w:tc>
          <w:tcPr>
            <w:tcW w:w="1298" w:type="dxa"/>
          </w:tcPr>
          <w:p w14:paraId="75DC995C" w14:textId="77777777" w:rsidR="005B5818" w:rsidRPr="006D0D42" w:rsidRDefault="005B5818">
            <w:pPr>
              <w:pStyle w:val="TableNumber"/>
            </w:pPr>
            <w:r>
              <w:t>0.2%</w:t>
            </w:r>
          </w:p>
        </w:tc>
        <w:tc>
          <w:tcPr>
            <w:tcW w:w="2608" w:type="dxa"/>
            <w:noWrap/>
            <w:hideMark/>
          </w:tcPr>
          <w:p w14:paraId="2AF46658" w14:textId="77777777" w:rsidR="005B5818" w:rsidRPr="006D0D42" w:rsidRDefault="005B5818">
            <w:pPr>
              <w:pStyle w:val="TableNumber"/>
            </w:pPr>
            <w:r w:rsidRPr="006D0D42">
              <w:t>6.5%</w:t>
            </w:r>
          </w:p>
        </w:tc>
        <w:tc>
          <w:tcPr>
            <w:tcW w:w="2608" w:type="dxa"/>
            <w:noWrap/>
            <w:hideMark/>
          </w:tcPr>
          <w:p w14:paraId="7D07049F" w14:textId="77777777" w:rsidR="005B5818" w:rsidRPr="006D0D42" w:rsidRDefault="005B5818">
            <w:pPr>
              <w:pStyle w:val="TableNumber"/>
            </w:pPr>
            <w:r w:rsidRPr="006D0D42">
              <w:t>5.6%</w:t>
            </w:r>
          </w:p>
        </w:tc>
      </w:tr>
      <w:tr w:rsidR="005B5818" w:rsidRPr="006D0D42" w14:paraId="5B7D9BE2" w14:textId="77777777" w:rsidTr="0016559E">
        <w:trPr>
          <w:cnfStyle w:val="010000000000" w:firstRow="0" w:lastRow="1" w:firstColumn="0" w:lastColumn="0" w:oddVBand="0" w:evenVBand="0" w:oddHBand="0" w:evenHBand="0" w:firstRowFirstColumn="0" w:firstRowLastColumn="0" w:lastRowFirstColumn="0" w:lastRowLastColumn="0"/>
          <w:trHeight w:val="300"/>
        </w:trPr>
        <w:tc>
          <w:tcPr>
            <w:tcW w:w="1289" w:type="dxa"/>
            <w:noWrap/>
            <w:hideMark/>
          </w:tcPr>
          <w:p w14:paraId="45012D8B" w14:textId="77777777" w:rsidR="005B5818" w:rsidRPr="006D0D42" w:rsidRDefault="005B5818" w:rsidP="00C53C19">
            <w:pPr>
              <w:pStyle w:val="Table"/>
              <w:rPr>
                <w:color w:val="000000"/>
              </w:rPr>
            </w:pPr>
            <w:r w:rsidRPr="006D0D42">
              <w:rPr>
                <w:color w:val="000000"/>
              </w:rPr>
              <w:t>Category 5</w:t>
            </w:r>
          </w:p>
        </w:tc>
        <w:tc>
          <w:tcPr>
            <w:tcW w:w="1280" w:type="dxa"/>
            <w:noWrap/>
            <w:hideMark/>
          </w:tcPr>
          <w:p w14:paraId="593CF67A" w14:textId="77777777" w:rsidR="005B5818" w:rsidRPr="006D0D42" w:rsidRDefault="005B5818" w:rsidP="00C53C19">
            <w:pPr>
              <w:pStyle w:val="TableNumber"/>
            </w:pPr>
            <w:r w:rsidRPr="006D0D42">
              <w:t>5.6%</w:t>
            </w:r>
          </w:p>
        </w:tc>
        <w:tc>
          <w:tcPr>
            <w:tcW w:w="1298" w:type="dxa"/>
          </w:tcPr>
          <w:p w14:paraId="12C87D04" w14:textId="77777777" w:rsidR="005B5818" w:rsidRPr="006D0D42" w:rsidRDefault="00C53C19" w:rsidP="00C53C19">
            <w:pPr>
              <w:pStyle w:val="TableNumber"/>
            </w:pPr>
            <w:r>
              <w:t>0.0%</w:t>
            </w:r>
          </w:p>
        </w:tc>
        <w:tc>
          <w:tcPr>
            <w:tcW w:w="2608" w:type="dxa"/>
            <w:noWrap/>
            <w:hideMark/>
          </w:tcPr>
          <w:p w14:paraId="3070BC00" w14:textId="77777777" w:rsidR="005B5818" w:rsidRPr="006D0D42" w:rsidRDefault="005B5818" w:rsidP="00C53C19">
            <w:pPr>
              <w:pStyle w:val="TableNumber"/>
            </w:pPr>
            <w:r w:rsidRPr="006D0D42">
              <w:t>3.8%</w:t>
            </w:r>
          </w:p>
        </w:tc>
        <w:tc>
          <w:tcPr>
            <w:tcW w:w="2608" w:type="dxa"/>
            <w:noWrap/>
            <w:hideMark/>
          </w:tcPr>
          <w:p w14:paraId="6FE912A8" w14:textId="77777777" w:rsidR="005B5818" w:rsidRPr="006D0D42" w:rsidRDefault="005B5818" w:rsidP="00C53C19">
            <w:pPr>
              <w:pStyle w:val="TableNumber"/>
            </w:pPr>
            <w:r w:rsidRPr="006D0D42">
              <w:t>3.6%</w:t>
            </w:r>
          </w:p>
        </w:tc>
      </w:tr>
    </w:tbl>
    <w:p w14:paraId="7CD219D2" w14:textId="77777777" w:rsidR="005B5818" w:rsidRDefault="00CC0F16" w:rsidP="006056B9">
      <w:pPr>
        <w:spacing w:before="240"/>
        <w:rPr>
          <w:szCs w:val="24"/>
          <w:lang w:val="en-AU"/>
        </w:rPr>
      </w:pPr>
      <w:r>
        <w:fldChar w:fldCharType="begin"/>
      </w:r>
      <w:r>
        <w:instrText xml:space="preserve"> REF _Ref391113269 \h  \* MERGEFORMAT </w:instrText>
      </w:r>
      <w:r>
        <w:fldChar w:fldCharType="separate"/>
      </w:r>
      <w:r w:rsidR="0031717B" w:rsidRPr="0031717B">
        <w:rPr>
          <w:szCs w:val="24"/>
        </w:rPr>
        <w:t xml:space="preserve">Table </w:t>
      </w:r>
      <w:r w:rsidR="0031717B" w:rsidRPr="0031717B">
        <w:rPr>
          <w:noProof/>
          <w:szCs w:val="24"/>
        </w:rPr>
        <w:t>13</w:t>
      </w:r>
      <w:r>
        <w:fldChar w:fldCharType="end"/>
      </w:r>
      <w:r w:rsidR="005B5818" w:rsidRPr="007E4F4B">
        <w:rPr>
          <w:szCs w:val="24"/>
          <w:lang w:val="en-AU"/>
        </w:rPr>
        <w:t xml:space="preserve"> shows the</w:t>
      </w:r>
      <w:r w:rsidR="005B5818">
        <w:rPr>
          <w:szCs w:val="24"/>
          <w:lang w:val="en-AU"/>
        </w:rPr>
        <w:t xml:space="preserve"> distribution of ADRGs based on the number of categories each has for the four models. It shows that the DRG classification has by far the most ADRGs with a single category (i.e.</w:t>
      </w:r>
      <w:r w:rsidR="00C946A7">
        <w:rPr>
          <w:szCs w:val="24"/>
          <w:lang w:val="en-AU"/>
        </w:rPr>
        <w:t xml:space="preserve"> not split</w:t>
      </w:r>
      <w:r w:rsidR="005B5818">
        <w:rPr>
          <w:szCs w:val="24"/>
          <w:lang w:val="en-AU"/>
        </w:rPr>
        <w:t>), followed by the ECCS models, with all but two ADRGs having three or more PCCL categories. Instances of fewer than five ECCS categories are a consequence of the minimum sample criteria applied to each ECCS category.</w:t>
      </w:r>
    </w:p>
    <w:p w14:paraId="23357CA2" w14:textId="77777777" w:rsidR="005B5818" w:rsidRDefault="005B5818" w:rsidP="000E5B4A">
      <w:pPr>
        <w:pStyle w:val="Caption"/>
        <w:rPr>
          <w:noProof/>
        </w:rPr>
      </w:pPr>
      <w:bookmarkStart w:id="139" w:name="_Ref391113269"/>
      <w:bookmarkStart w:id="140" w:name="_Toc401061100"/>
      <w:r w:rsidRPr="00790FBA">
        <w:t xml:space="preserve">Table </w:t>
      </w:r>
      <w:r w:rsidR="005559F5" w:rsidRPr="00790FBA">
        <w:fldChar w:fldCharType="begin"/>
      </w:r>
      <w:r w:rsidRPr="00790FBA">
        <w:instrText xml:space="preserve"> SEQ Table \* ARABIC </w:instrText>
      </w:r>
      <w:r w:rsidR="005559F5" w:rsidRPr="00790FBA">
        <w:fldChar w:fldCharType="separate"/>
      </w:r>
      <w:r w:rsidR="0031717B">
        <w:rPr>
          <w:noProof/>
        </w:rPr>
        <w:t>13</w:t>
      </w:r>
      <w:r w:rsidR="005559F5" w:rsidRPr="00790FBA">
        <w:fldChar w:fldCharType="end"/>
      </w:r>
      <w:bookmarkEnd w:id="139"/>
      <w:r w:rsidRPr="00790FBA">
        <w:t>: Breakdown of ADRGs</w:t>
      </w:r>
      <w:r w:rsidRPr="00790FBA">
        <w:rPr>
          <w:noProof/>
        </w:rPr>
        <w:t xml:space="preserve"> </w:t>
      </w:r>
      <w:r w:rsidR="00FE3C50">
        <w:rPr>
          <w:noProof/>
        </w:rPr>
        <w:t xml:space="preserve">within each model </w:t>
      </w:r>
      <w:r w:rsidRPr="00790FBA">
        <w:rPr>
          <w:noProof/>
        </w:rPr>
        <w:t>by number of model categories</w:t>
      </w:r>
      <w:r w:rsidR="000E4FA5">
        <w:rPr>
          <w:noProof/>
        </w:rPr>
        <w:t>.</w:t>
      </w:r>
      <w:bookmarkEnd w:id="140"/>
    </w:p>
    <w:tbl>
      <w:tblPr>
        <w:tblStyle w:val="Style1"/>
        <w:tblW w:w="8905" w:type="dxa"/>
        <w:tblLook w:val="0420" w:firstRow="1" w:lastRow="0" w:firstColumn="0" w:lastColumn="0" w:noHBand="0" w:noVBand="1"/>
        <w:tblCaption w:val="Breakdown of ADRGs within each model by number of model categories "/>
        <w:tblDescription w:val="The table has six columns: the first column lists each of the four model classifications; the second column gives the number of ADRGs with one category; the third gives the number with two categories;  the fourth gives  the number with three categories;  the fifth gives  the number with four categories;  the sixth provides  the number with five categories."/>
      </w:tblPr>
      <w:tblGrid>
        <w:gridCol w:w="2185"/>
        <w:gridCol w:w="1160"/>
        <w:gridCol w:w="1320"/>
        <w:gridCol w:w="1480"/>
        <w:gridCol w:w="1440"/>
        <w:gridCol w:w="1320"/>
      </w:tblGrid>
      <w:tr w:rsidR="00FE3C50" w:rsidRPr="00FE3C50" w14:paraId="2E612F5B" w14:textId="77777777" w:rsidTr="002C2518">
        <w:trPr>
          <w:cnfStyle w:val="100000000000" w:firstRow="1" w:lastRow="0" w:firstColumn="0" w:lastColumn="0" w:oddVBand="0" w:evenVBand="0" w:oddHBand="0" w:evenHBand="0" w:firstRowFirstColumn="0" w:firstRowLastColumn="0" w:lastRowFirstColumn="0" w:lastRowLastColumn="0"/>
          <w:trHeight w:val="320"/>
          <w:tblHeader/>
        </w:trPr>
        <w:tc>
          <w:tcPr>
            <w:tcW w:w="2185" w:type="dxa"/>
            <w:hideMark/>
          </w:tcPr>
          <w:p w14:paraId="55FB29B1" w14:textId="77777777" w:rsidR="00FE3C50" w:rsidRPr="00FE3C50" w:rsidRDefault="00773E3B" w:rsidP="00FE3C50">
            <w:pPr>
              <w:pStyle w:val="Table"/>
            </w:pPr>
            <w:r>
              <w:t>Classification</w:t>
            </w:r>
          </w:p>
        </w:tc>
        <w:tc>
          <w:tcPr>
            <w:tcW w:w="1160" w:type="dxa"/>
            <w:noWrap/>
            <w:hideMark/>
          </w:tcPr>
          <w:p w14:paraId="1F7B5926" w14:textId="77777777" w:rsidR="00FE3C50" w:rsidRPr="00FE3C50" w:rsidRDefault="00FE3C50" w:rsidP="00FE3C50">
            <w:pPr>
              <w:pStyle w:val="Table"/>
              <w:rPr>
                <w:color w:val="000000"/>
              </w:rPr>
            </w:pPr>
            <w:r>
              <w:rPr>
                <w:color w:val="000000"/>
              </w:rPr>
              <w:t xml:space="preserve">One </w:t>
            </w:r>
            <w:r w:rsidRPr="00FE3C50">
              <w:rPr>
                <w:color w:val="000000"/>
              </w:rPr>
              <w:t>Category</w:t>
            </w:r>
          </w:p>
        </w:tc>
        <w:tc>
          <w:tcPr>
            <w:tcW w:w="1320" w:type="dxa"/>
            <w:noWrap/>
            <w:hideMark/>
          </w:tcPr>
          <w:p w14:paraId="5A17C538" w14:textId="77777777" w:rsidR="00FE3C50" w:rsidRPr="00FE3C50" w:rsidRDefault="00FE3C50" w:rsidP="00FE3C50">
            <w:pPr>
              <w:pStyle w:val="Table"/>
              <w:rPr>
                <w:color w:val="000000"/>
              </w:rPr>
            </w:pPr>
            <w:r>
              <w:rPr>
                <w:color w:val="000000"/>
              </w:rPr>
              <w:t xml:space="preserve">Two </w:t>
            </w:r>
            <w:r w:rsidRPr="00FE3C50">
              <w:rPr>
                <w:color w:val="000000"/>
              </w:rPr>
              <w:t>Categories</w:t>
            </w:r>
          </w:p>
        </w:tc>
        <w:tc>
          <w:tcPr>
            <w:tcW w:w="1480" w:type="dxa"/>
            <w:noWrap/>
            <w:hideMark/>
          </w:tcPr>
          <w:p w14:paraId="5CF5DAF2" w14:textId="77777777" w:rsidR="00FE3C50" w:rsidRPr="00FE3C50" w:rsidRDefault="00FE3C50" w:rsidP="00FE3C50">
            <w:pPr>
              <w:pStyle w:val="Table"/>
              <w:rPr>
                <w:color w:val="000000"/>
              </w:rPr>
            </w:pPr>
            <w:r>
              <w:rPr>
                <w:color w:val="000000"/>
              </w:rPr>
              <w:t xml:space="preserve">There </w:t>
            </w:r>
            <w:r w:rsidRPr="00FE3C50">
              <w:rPr>
                <w:color w:val="000000"/>
              </w:rPr>
              <w:t>Categories</w:t>
            </w:r>
          </w:p>
        </w:tc>
        <w:tc>
          <w:tcPr>
            <w:tcW w:w="1440" w:type="dxa"/>
            <w:noWrap/>
            <w:hideMark/>
          </w:tcPr>
          <w:p w14:paraId="5EDD5B71" w14:textId="77777777" w:rsidR="00FE3C50" w:rsidRPr="00FE3C50" w:rsidRDefault="00FE3C50" w:rsidP="00FE3C50">
            <w:pPr>
              <w:pStyle w:val="Table"/>
              <w:rPr>
                <w:color w:val="000000"/>
              </w:rPr>
            </w:pPr>
            <w:r>
              <w:rPr>
                <w:color w:val="000000"/>
              </w:rPr>
              <w:t xml:space="preserve">Four </w:t>
            </w:r>
            <w:r w:rsidRPr="00FE3C50">
              <w:rPr>
                <w:color w:val="000000"/>
              </w:rPr>
              <w:t>Categories</w:t>
            </w:r>
          </w:p>
        </w:tc>
        <w:tc>
          <w:tcPr>
            <w:tcW w:w="1320" w:type="dxa"/>
            <w:noWrap/>
            <w:hideMark/>
          </w:tcPr>
          <w:p w14:paraId="6D09DC9C" w14:textId="77777777" w:rsidR="00FE3C50" w:rsidRPr="00FE3C50" w:rsidRDefault="00FE3C50" w:rsidP="00FE3C50">
            <w:pPr>
              <w:pStyle w:val="Table"/>
              <w:rPr>
                <w:color w:val="000000"/>
              </w:rPr>
            </w:pPr>
            <w:r>
              <w:rPr>
                <w:color w:val="000000"/>
              </w:rPr>
              <w:t xml:space="preserve">Five </w:t>
            </w:r>
            <w:r w:rsidRPr="00FE3C50">
              <w:rPr>
                <w:color w:val="000000"/>
              </w:rPr>
              <w:t>Categories</w:t>
            </w:r>
          </w:p>
        </w:tc>
      </w:tr>
      <w:tr w:rsidR="00FE3C50" w:rsidRPr="00FE3C50" w14:paraId="5028EBF5" w14:textId="77777777" w:rsidTr="00FE3C50">
        <w:trPr>
          <w:trHeight w:val="320"/>
        </w:trPr>
        <w:tc>
          <w:tcPr>
            <w:tcW w:w="2185" w:type="dxa"/>
            <w:noWrap/>
            <w:hideMark/>
          </w:tcPr>
          <w:p w14:paraId="61627213" w14:textId="77777777" w:rsidR="00FE3C50" w:rsidRPr="00FE3C50" w:rsidRDefault="00FE3C50" w:rsidP="002F7E33">
            <w:pPr>
              <w:pStyle w:val="Table"/>
              <w:keepNext/>
              <w:rPr>
                <w:color w:val="000000"/>
              </w:rPr>
            </w:pPr>
            <w:r w:rsidRPr="00FE3C50">
              <w:rPr>
                <w:color w:val="000000"/>
              </w:rPr>
              <w:t>PCCL</w:t>
            </w:r>
          </w:p>
        </w:tc>
        <w:tc>
          <w:tcPr>
            <w:tcW w:w="1160" w:type="dxa"/>
            <w:noWrap/>
            <w:hideMark/>
          </w:tcPr>
          <w:p w14:paraId="18BF2FB3" w14:textId="77777777" w:rsidR="00FE3C50" w:rsidRPr="00FE3C50" w:rsidRDefault="00FE3C50">
            <w:pPr>
              <w:pStyle w:val="TableNumber"/>
            </w:pPr>
            <w:r w:rsidRPr="00FE3C50">
              <w:t>1</w:t>
            </w:r>
          </w:p>
        </w:tc>
        <w:tc>
          <w:tcPr>
            <w:tcW w:w="1320" w:type="dxa"/>
            <w:noWrap/>
            <w:hideMark/>
          </w:tcPr>
          <w:p w14:paraId="7995B5F9" w14:textId="77777777" w:rsidR="00FE3C50" w:rsidRPr="00FE3C50" w:rsidRDefault="00FE3C50">
            <w:pPr>
              <w:pStyle w:val="TableNumber"/>
            </w:pPr>
            <w:r w:rsidRPr="00FE3C50">
              <w:t>1</w:t>
            </w:r>
          </w:p>
        </w:tc>
        <w:tc>
          <w:tcPr>
            <w:tcW w:w="1480" w:type="dxa"/>
            <w:noWrap/>
            <w:hideMark/>
          </w:tcPr>
          <w:p w14:paraId="7F730A63" w14:textId="77777777" w:rsidR="00FE3C50" w:rsidRPr="00FE3C50" w:rsidRDefault="00FE3C50">
            <w:pPr>
              <w:pStyle w:val="TableNumber"/>
            </w:pPr>
            <w:r w:rsidRPr="00FE3C50">
              <w:t>19</w:t>
            </w:r>
          </w:p>
        </w:tc>
        <w:tc>
          <w:tcPr>
            <w:tcW w:w="1440" w:type="dxa"/>
            <w:noWrap/>
            <w:hideMark/>
          </w:tcPr>
          <w:p w14:paraId="7B627EC2" w14:textId="77777777" w:rsidR="00FE3C50" w:rsidRPr="00FE3C50" w:rsidRDefault="00FE3C50">
            <w:pPr>
              <w:pStyle w:val="TableNumber"/>
            </w:pPr>
            <w:r w:rsidRPr="00FE3C50">
              <w:t>61</w:t>
            </w:r>
          </w:p>
        </w:tc>
        <w:tc>
          <w:tcPr>
            <w:tcW w:w="1320" w:type="dxa"/>
            <w:noWrap/>
            <w:hideMark/>
          </w:tcPr>
          <w:p w14:paraId="0CA5CFFE" w14:textId="77777777" w:rsidR="00FE3C50" w:rsidRPr="00FE3C50" w:rsidRDefault="00FE3C50">
            <w:pPr>
              <w:pStyle w:val="TableNumber"/>
            </w:pPr>
            <w:r w:rsidRPr="00FE3C50">
              <w:t>321</w:t>
            </w:r>
          </w:p>
        </w:tc>
      </w:tr>
      <w:tr w:rsidR="00FE3C50" w:rsidRPr="00FE3C50" w14:paraId="66E6D01E" w14:textId="77777777" w:rsidTr="00FE3C50">
        <w:trPr>
          <w:trHeight w:val="320"/>
        </w:trPr>
        <w:tc>
          <w:tcPr>
            <w:tcW w:w="2185" w:type="dxa"/>
            <w:hideMark/>
          </w:tcPr>
          <w:p w14:paraId="4CF1080B" w14:textId="77777777" w:rsidR="00FE3C50" w:rsidRPr="00FE3C50" w:rsidRDefault="00FE3C50" w:rsidP="002F7E33">
            <w:pPr>
              <w:pStyle w:val="Table"/>
              <w:keepNext/>
              <w:rPr>
                <w:color w:val="000000"/>
              </w:rPr>
            </w:pPr>
            <w:r w:rsidRPr="00FE3C50">
              <w:rPr>
                <w:color w:val="000000"/>
              </w:rPr>
              <w:t>DRG</w:t>
            </w:r>
          </w:p>
        </w:tc>
        <w:tc>
          <w:tcPr>
            <w:tcW w:w="1160" w:type="dxa"/>
            <w:hideMark/>
          </w:tcPr>
          <w:p w14:paraId="55CE795E" w14:textId="77777777" w:rsidR="00FE3C50" w:rsidRPr="00FE3C50" w:rsidRDefault="00FE3C50">
            <w:pPr>
              <w:pStyle w:val="TableNumber"/>
            </w:pPr>
            <w:r w:rsidRPr="00FE3C50">
              <w:t>128</w:t>
            </w:r>
          </w:p>
        </w:tc>
        <w:tc>
          <w:tcPr>
            <w:tcW w:w="1320" w:type="dxa"/>
            <w:hideMark/>
          </w:tcPr>
          <w:p w14:paraId="6D12F026" w14:textId="77777777" w:rsidR="00FE3C50" w:rsidRPr="00FE3C50" w:rsidRDefault="00FE3C50">
            <w:pPr>
              <w:pStyle w:val="TableNumber"/>
            </w:pPr>
            <w:r w:rsidRPr="00FE3C50">
              <w:t>192</w:t>
            </w:r>
          </w:p>
        </w:tc>
        <w:tc>
          <w:tcPr>
            <w:tcW w:w="1480" w:type="dxa"/>
            <w:hideMark/>
          </w:tcPr>
          <w:p w14:paraId="0A93DC51" w14:textId="77777777" w:rsidR="00FE3C50" w:rsidRPr="00FE3C50" w:rsidRDefault="00FE3C50">
            <w:pPr>
              <w:pStyle w:val="TableNumber"/>
            </w:pPr>
            <w:r w:rsidRPr="00FE3C50">
              <w:t>77</w:t>
            </w:r>
          </w:p>
        </w:tc>
        <w:tc>
          <w:tcPr>
            <w:tcW w:w="1440" w:type="dxa"/>
            <w:hideMark/>
          </w:tcPr>
          <w:p w14:paraId="6577C24D" w14:textId="77777777" w:rsidR="00FE3C50" w:rsidRPr="00FE3C50" w:rsidRDefault="00FE3C50">
            <w:pPr>
              <w:pStyle w:val="TableNumber"/>
            </w:pPr>
            <w:r w:rsidRPr="00FE3C50">
              <w:t>6</w:t>
            </w:r>
          </w:p>
        </w:tc>
        <w:tc>
          <w:tcPr>
            <w:tcW w:w="1320" w:type="dxa"/>
            <w:hideMark/>
          </w:tcPr>
          <w:p w14:paraId="3E65EAA0" w14:textId="77777777" w:rsidR="00FE3C50" w:rsidRPr="00FE3C50" w:rsidRDefault="00FE3C50">
            <w:pPr>
              <w:pStyle w:val="TableNumber"/>
            </w:pPr>
            <w:r>
              <w:t>0</w:t>
            </w:r>
          </w:p>
        </w:tc>
      </w:tr>
      <w:tr w:rsidR="00FE3C50" w:rsidRPr="00FE3C50" w14:paraId="32A043AB" w14:textId="77777777" w:rsidTr="00FE3C50">
        <w:trPr>
          <w:trHeight w:val="320"/>
        </w:trPr>
        <w:tc>
          <w:tcPr>
            <w:tcW w:w="2185" w:type="dxa"/>
            <w:noWrap/>
            <w:hideMark/>
          </w:tcPr>
          <w:p w14:paraId="3FCB007D" w14:textId="77777777" w:rsidR="00FE3C50" w:rsidRPr="00FE3C50" w:rsidRDefault="00FE3C50" w:rsidP="002F7E33">
            <w:pPr>
              <w:pStyle w:val="Table"/>
              <w:keepNext/>
              <w:rPr>
                <w:color w:val="000000"/>
              </w:rPr>
            </w:pPr>
            <w:r w:rsidRPr="00FE3C50">
              <w:rPr>
                <w:color w:val="000000"/>
              </w:rPr>
              <w:t>ECCS - RID optimised</w:t>
            </w:r>
          </w:p>
        </w:tc>
        <w:tc>
          <w:tcPr>
            <w:tcW w:w="1160" w:type="dxa"/>
            <w:noWrap/>
            <w:hideMark/>
          </w:tcPr>
          <w:p w14:paraId="69DEA355" w14:textId="77777777" w:rsidR="00FE3C50" w:rsidRPr="00FE3C50" w:rsidRDefault="00FE3C50">
            <w:pPr>
              <w:pStyle w:val="TableNumber"/>
            </w:pPr>
            <w:r w:rsidRPr="00FE3C50">
              <w:t>18</w:t>
            </w:r>
          </w:p>
        </w:tc>
        <w:tc>
          <w:tcPr>
            <w:tcW w:w="1320" w:type="dxa"/>
            <w:noWrap/>
            <w:hideMark/>
          </w:tcPr>
          <w:p w14:paraId="1D2CF19C" w14:textId="77777777" w:rsidR="00FE3C50" w:rsidRPr="00FE3C50" w:rsidRDefault="00FE3C50">
            <w:pPr>
              <w:pStyle w:val="TableNumber"/>
            </w:pPr>
            <w:r w:rsidRPr="00FE3C50">
              <w:t>20</w:t>
            </w:r>
          </w:p>
        </w:tc>
        <w:tc>
          <w:tcPr>
            <w:tcW w:w="1480" w:type="dxa"/>
            <w:noWrap/>
            <w:hideMark/>
          </w:tcPr>
          <w:p w14:paraId="603DBF91" w14:textId="77777777" w:rsidR="00FE3C50" w:rsidRPr="00FE3C50" w:rsidRDefault="00FE3C50">
            <w:pPr>
              <w:pStyle w:val="TableNumber"/>
            </w:pPr>
            <w:r w:rsidRPr="00FE3C50">
              <w:t>42</w:t>
            </w:r>
          </w:p>
        </w:tc>
        <w:tc>
          <w:tcPr>
            <w:tcW w:w="1440" w:type="dxa"/>
            <w:noWrap/>
            <w:hideMark/>
          </w:tcPr>
          <w:p w14:paraId="3BEB0BF9" w14:textId="77777777" w:rsidR="00FE3C50" w:rsidRPr="00FE3C50" w:rsidRDefault="00FE3C50">
            <w:pPr>
              <w:pStyle w:val="TableNumber"/>
            </w:pPr>
            <w:r w:rsidRPr="00FE3C50">
              <w:t>54</w:t>
            </w:r>
          </w:p>
        </w:tc>
        <w:tc>
          <w:tcPr>
            <w:tcW w:w="1320" w:type="dxa"/>
            <w:noWrap/>
            <w:hideMark/>
          </w:tcPr>
          <w:p w14:paraId="43371152" w14:textId="77777777" w:rsidR="00FE3C50" w:rsidRPr="00FE3C50" w:rsidRDefault="00FE3C50">
            <w:pPr>
              <w:pStyle w:val="TableNumber"/>
            </w:pPr>
            <w:r w:rsidRPr="00FE3C50">
              <w:t>269</w:t>
            </w:r>
          </w:p>
        </w:tc>
      </w:tr>
      <w:tr w:rsidR="00FE3C50" w:rsidRPr="00FE3C50" w14:paraId="59E37DC9" w14:textId="77777777" w:rsidTr="00FE3C50">
        <w:trPr>
          <w:trHeight w:val="360"/>
        </w:trPr>
        <w:tc>
          <w:tcPr>
            <w:tcW w:w="2185" w:type="dxa"/>
            <w:noWrap/>
            <w:hideMark/>
          </w:tcPr>
          <w:p w14:paraId="4950B889" w14:textId="77777777" w:rsidR="00FE3C50" w:rsidRPr="00FE3C50" w:rsidRDefault="00FE3C50" w:rsidP="00FE3C50">
            <w:pPr>
              <w:pStyle w:val="Table"/>
              <w:rPr>
                <w:color w:val="000000"/>
              </w:rPr>
            </w:pPr>
            <w:r w:rsidRPr="00FE3C50">
              <w:rPr>
                <w:color w:val="000000"/>
              </w:rPr>
              <w:t>ECCS - R</w:t>
            </w:r>
            <w:r w:rsidRPr="00FE3C50">
              <w:rPr>
                <w:color w:val="000000"/>
                <w:vertAlign w:val="superscript"/>
              </w:rPr>
              <w:t>2</w:t>
            </w:r>
            <w:r w:rsidRPr="00FE3C50">
              <w:rPr>
                <w:color w:val="000000"/>
              </w:rPr>
              <w:t xml:space="preserve"> optimised</w:t>
            </w:r>
          </w:p>
        </w:tc>
        <w:tc>
          <w:tcPr>
            <w:tcW w:w="1160" w:type="dxa"/>
            <w:noWrap/>
            <w:hideMark/>
          </w:tcPr>
          <w:p w14:paraId="38C42933" w14:textId="77777777" w:rsidR="00FE3C50" w:rsidRPr="00FE3C50" w:rsidRDefault="00FE3C50" w:rsidP="00FE3C50">
            <w:pPr>
              <w:pStyle w:val="TableNumber"/>
            </w:pPr>
            <w:r w:rsidRPr="00FE3C50">
              <w:t>18</w:t>
            </w:r>
          </w:p>
        </w:tc>
        <w:tc>
          <w:tcPr>
            <w:tcW w:w="1320" w:type="dxa"/>
            <w:noWrap/>
            <w:hideMark/>
          </w:tcPr>
          <w:p w14:paraId="586D63AA" w14:textId="77777777" w:rsidR="00FE3C50" w:rsidRPr="00FE3C50" w:rsidRDefault="00FE3C50" w:rsidP="00FE3C50">
            <w:pPr>
              <w:pStyle w:val="TableNumber"/>
            </w:pPr>
            <w:r w:rsidRPr="00FE3C50">
              <w:t>20</w:t>
            </w:r>
          </w:p>
        </w:tc>
        <w:tc>
          <w:tcPr>
            <w:tcW w:w="1480" w:type="dxa"/>
            <w:noWrap/>
            <w:hideMark/>
          </w:tcPr>
          <w:p w14:paraId="77955E4D" w14:textId="77777777" w:rsidR="00FE3C50" w:rsidRPr="00FE3C50" w:rsidRDefault="00FE3C50" w:rsidP="00FE3C50">
            <w:pPr>
              <w:pStyle w:val="TableNumber"/>
            </w:pPr>
            <w:r w:rsidRPr="00FE3C50">
              <w:t>42</w:t>
            </w:r>
          </w:p>
        </w:tc>
        <w:tc>
          <w:tcPr>
            <w:tcW w:w="1440" w:type="dxa"/>
            <w:noWrap/>
            <w:hideMark/>
          </w:tcPr>
          <w:p w14:paraId="384F9F3E" w14:textId="77777777" w:rsidR="00FE3C50" w:rsidRPr="00FE3C50" w:rsidRDefault="00FE3C50" w:rsidP="00FE3C50">
            <w:pPr>
              <w:pStyle w:val="TableNumber"/>
            </w:pPr>
            <w:r w:rsidRPr="00FE3C50">
              <w:t>55</w:t>
            </w:r>
          </w:p>
        </w:tc>
        <w:tc>
          <w:tcPr>
            <w:tcW w:w="1320" w:type="dxa"/>
            <w:noWrap/>
            <w:hideMark/>
          </w:tcPr>
          <w:p w14:paraId="619CDD52" w14:textId="77777777" w:rsidR="00FE3C50" w:rsidRPr="00FE3C50" w:rsidRDefault="00FE3C50" w:rsidP="00FE3C50">
            <w:pPr>
              <w:pStyle w:val="TableNumber"/>
            </w:pPr>
            <w:r w:rsidRPr="00FE3C50">
              <w:t>268</w:t>
            </w:r>
          </w:p>
        </w:tc>
      </w:tr>
    </w:tbl>
    <w:p w14:paraId="075D708C" w14:textId="77777777" w:rsidR="005B5818" w:rsidRDefault="005B5818" w:rsidP="006056B9">
      <w:pPr>
        <w:spacing w:before="240"/>
        <w:rPr>
          <w:szCs w:val="24"/>
          <w:lang w:val="en-AU"/>
        </w:rPr>
      </w:pPr>
      <w:r>
        <w:rPr>
          <w:szCs w:val="24"/>
          <w:lang w:val="en-AU"/>
        </w:rPr>
        <w:t>Note that this breakdown is based on categories appearing in the data and may not represent the total number of categories theoretically possible. The factor that most distinguishes performance of ECCS models compared to the PCCL model at the ADRG level is the minimum 5</w:t>
      </w:r>
      <w:r w:rsidR="002201AB">
        <w:rPr>
          <w:szCs w:val="24"/>
          <w:lang w:val="en-AU"/>
        </w:rPr>
        <w:t xml:space="preserve"> per cent</w:t>
      </w:r>
      <w:r>
        <w:rPr>
          <w:szCs w:val="24"/>
          <w:lang w:val="en-AU"/>
        </w:rPr>
        <w:t xml:space="preserve"> and 100 episodes property that the ECCS models satisfy. No such minimum exists for PCCL, with 385 of the 1,908 PCCL categories containing less than 1</w:t>
      </w:r>
      <w:r w:rsidR="002201AB">
        <w:rPr>
          <w:szCs w:val="24"/>
          <w:lang w:val="en-AU"/>
        </w:rPr>
        <w:t xml:space="preserve"> per cent</w:t>
      </w:r>
      <w:r>
        <w:rPr>
          <w:szCs w:val="24"/>
          <w:lang w:val="en-AU"/>
        </w:rPr>
        <w:t xml:space="preserve"> of their respective ADRG episodes and 163 categories containing less than 10 episodes.</w:t>
      </w:r>
    </w:p>
    <w:p w14:paraId="26B36D3F" w14:textId="77777777" w:rsidR="005B5818" w:rsidRDefault="005B5818" w:rsidP="006056B9">
      <w:pPr>
        <w:spacing w:before="240"/>
        <w:rPr>
          <w:b/>
          <w:szCs w:val="24"/>
          <w:lang w:val="en-AU"/>
        </w:rPr>
      </w:pPr>
      <w:r>
        <w:rPr>
          <w:szCs w:val="24"/>
          <w:lang w:val="en-AU"/>
        </w:rPr>
        <w:lastRenderedPageBreak/>
        <w:t>On the other hand, the factor that most distinguishes performance of ECCS models compared to the AR-DRG classification is the use of LOS as a splitting variable in the AR-DRG classification (i.e. &lt;5 days, &lt;2 days or same-day). Regarding minimum episodes by DRG, only eight DRGs contain less than 5</w:t>
      </w:r>
      <w:r w:rsidR="002201AB">
        <w:rPr>
          <w:szCs w:val="24"/>
          <w:lang w:val="en-AU"/>
        </w:rPr>
        <w:t xml:space="preserve"> per cent</w:t>
      </w:r>
      <w:r>
        <w:rPr>
          <w:szCs w:val="24"/>
          <w:lang w:val="en-AU"/>
        </w:rPr>
        <w:t xml:space="preserve"> of their respective ADRGs, and only two DRGs contain less than 100 episodes.</w:t>
      </w:r>
      <w:r w:rsidR="00FE35E3">
        <w:rPr>
          <w:szCs w:val="24"/>
          <w:lang w:val="en-AU"/>
        </w:rPr>
        <w:t xml:space="preserve"> </w:t>
      </w:r>
      <w:r>
        <w:rPr>
          <w:szCs w:val="24"/>
          <w:lang w:val="en-AU"/>
        </w:rPr>
        <w:t>These comparisons are explored further in the following sections.</w:t>
      </w:r>
    </w:p>
    <w:p w14:paraId="4C72E12E" w14:textId="77777777" w:rsidR="005B5818" w:rsidRPr="00033906" w:rsidRDefault="005B5818" w:rsidP="00B60372">
      <w:pPr>
        <w:pStyle w:val="Heading3"/>
      </w:pPr>
      <w:r w:rsidRPr="00033906">
        <w:t>Comparison of the 5-category ECCS models against the PCCL model</w:t>
      </w:r>
    </w:p>
    <w:p w14:paraId="6E356CA3" w14:textId="77777777" w:rsidR="00892FC0" w:rsidRDefault="005B5818" w:rsidP="006056B9">
      <w:pPr>
        <w:spacing w:before="240"/>
        <w:rPr>
          <w:szCs w:val="24"/>
          <w:lang w:val="en-AU"/>
        </w:rPr>
      </w:pPr>
      <w:r>
        <w:rPr>
          <w:szCs w:val="24"/>
          <w:lang w:val="en-AU"/>
        </w:rPr>
        <w:t>The performance of the ECCS models was compared at the ADRG level by looking at the difference in either of the RID or R</w:t>
      </w:r>
      <w:r w:rsidRPr="00B5534A">
        <w:rPr>
          <w:szCs w:val="24"/>
          <w:vertAlign w:val="superscript"/>
          <w:lang w:val="en-AU"/>
        </w:rPr>
        <w:t>2</w:t>
      </w:r>
      <w:r>
        <w:rPr>
          <w:szCs w:val="24"/>
          <w:lang w:val="en-AU"/>
        </w:rPr>
        <w:t xml:space="preserve"> performance statistics. A positive difference in RID between the models (e.g. RID of ECCS model minus RID of PCCL model) indicates better performance of the ECCS model, and a negative difference indicates better performance of the PCCL </w:t>
      </w:r>
      <w:r w:rsidRPr="00A0459D">
        <w:rPr>
          <w:szCs w:val="24"/>
          <w:lang w:val="en-AU"/>
        </w:rPr>
        <w:t xml:space="preserve">model. </w:t>
      </w:r>
      <w:r w:rsidR="00CC0F16">
        <w:fldChar w:fldCharType="begin"/>
      </w:r>
      <w:r w:rsidR="00CC0F16">
        <w:instrText xml:space="preserve"> REF _Ref391112449 \h  \* MERGEFORMAT </w:instrText>
      </w:r>
      <w:r w:rsidR="00CC0F16">
        <w:fldChar w:fldCharType="separate"/>
      </w:r>
      <w:r w:rsidR="0031717B" w:rsidRPr="0031717B">
        <w:rPr>
          <w:szCs w:val="24"/>
        </w:rPr>
        <w:t xml:space="preserve">Figure </w:t>
      </w:r>
      <w:r w:rsidR="0031717B" w:rsidRPr="0031717B">
        <w:rPr>
          <w:noProof/>
          <w:szCs w:val="24"/>
        </w:rPr>
        <w:t>24</w:t>
      </w:r>
      <w:r w:rsidR="00CC0F16">
        <w:fldChar w:fldCharType="end"/>
      </w:r>
      <w:r w:rsidRPr="00A0459D">
        <w:rPr>
          <w:szCs w:val="24"/>
          <w:lang w:val="en-AU"/>
        </w:rPr>
        <w:t xml:space="preserve"> </w:t>
      </w:r>
      <w:r>
        <w:rPr>
          <w:szCs w:val="24"/>
          <w:lang w:val="en-AU"/>
        </w:rPr>
        <w:t xml:space="preserve">shows </w:t>
      </w:r>
      <w:r w:rsidRPr="00A0459D">
        <w:rPr>
          <w:szCs w:val="24"/>
          <w:lang w:val="en-AU"/>
        </w:rPr>
        <w:t>the</w:t>
      </w:r>
      <w:r>
        <w:rPr>
          <w:szCs w:val="24"/>
          <w:lang w:val="en-AU"/>
        </w:rPr>
        <w:t xml:space="preserve"> distribution of these RID differences across all ADRGs, with the equal performance threshold of zero highlighted red.</w:t>
      </w:r>
    </w:p>
    <w:p w14:paraId="12959BA2" w14:textId="77777777" w:rsidR="005B5818" w:rsidRPr="00A0459D" w:rsidRDefault="005B5818" w:rsidP="000E5B4A">
      <w:pPr>
        <w:pStyle w:val="Caption"/>
      </w:pPr>
      <w:bookmarkStart w:id="141" w:name="_Ref391112449"/>
      <w:bookmarkStart w:id="142" w:name="_Toc401061077"/>
      <w:r w:rsidRPr="00A0459D">
        <w:t xml:space="preserve">Figure </w:t>
      </w:r>
      <w:r w:rsidR="005559F5" w:rsidRPr="00A0459D">
        <w:fldChar w:fldCharType="begin"/>
      </w:r>
      <w:r w:rsidRPr="00A0459D">
        <w:instrText xml:space="preserve"> SEQ Figure \* ARABIC </w:instrText>
      </w:r>
      <w:r w:rsidR="005559F5" w:rsidRPr="00A0459D">
        <w:fldChar w:fldCharType="separate"/>
      </w:r>
      <w:r w:rsidR="0031717B">
        <w:rPr>
          <w:noProof/>
        </w:rPr>
        <w:t>24</w:t>
      </w:r>
      <w:r w:rsidR="005559F5" w:rsidRPr="00A0459D">
        <w:fldChar w:fldCharType="end"/>
      </w:r>
      <w:bookmarkEnd w:id="141"/>
      <w:r w:rsidRPr="00A0459D">
        <w:t xml:space="preserve">: </w:t>
      </w:r>
      <w:r>
        <w:t xml:space="preserve">Comparative difference of </w:t>
      </w:r>
      <w:r w:rsidRPr="00A0459D">
        <w:t xml:space="preserve">RID statistics </w:t>
      </w:r>
      <w:r>
        <w:t xml:space="preserve">across </w:t>
      </w:r>
      <w:r w:rsidRPr="00A0459D">
        <w:t>ADRG</w:t>
      </w:r>
      <w:r>
        <w:t>s – ECCS models v PCCL model</w:t>
      </w:r>
      <w:r w:rsidR="004B0E59">
        <w:t>.</w:t>
      </w:r>
      <w:bookmarkEnd w:id="142"/>
    </w:p>
    <w:p w14:paraId="1080576B" w14:textId="77777777" w:rsidR="000E6DC3" w:rsidRDefault="000E6DC3" w:rsidP="00FE35E3">
      <w:pPr>
        <w:ind w:left="-709" w:right="-471"/>
        <w:rPr>
          <w:szCs w:val="24"/>
          <w:lang w:val="en-AU"/>
        </w:rPr>
      </w:pPr>
      <w:r w:rsidRPr="000E6DC3">
        <w:rPr>
          <w:noProof/>
          <w:lang w:val="en-AU" w:eastAsia="en-AU"/>
        </w:rPr>
        <w:drawing>
          <wp:inline distT="0" distB="0" distL="0" distR="0" wp14:anchorId="1E6C4E49" wp14:editId="3C03F713">
            <wp:extent cx="6408000" cy="4269412"/>
            <wp:effectExtent l="0" t="0" r="0" b="0"/>
            <wp:docPr id="14362" name="Picture 14362" descr="The figure shows a standard distribution of the RID differences between ECCS Model-RID optimised and PCCL with a range between -0.16 and 0.26, and a mode of 0.04. Eighty seven per cent of the RID difference values were greater than zero. The distribution of the RID differences between ECCS Model-R squared optimised and PCCL is also a range between -0.16 and 0.26, and a mode of 0.04. Again, eighty seven per cent of the RID difference values were greater than zero. " title="Comparative difference of RID statistics across ADRGs – ECCS models v PCCL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16"/>
                    <pic:cNvPicPr>
                      <a:picLocks noChangeAspect="1" noChangeArrowheads="1"/>
                    </pic:cNvPicPr>
                  </pic:nvPicPr>
                  <pic:blipFill>
                    <a:blip r:embed="rId794" cstate="print">
                      <a:extLst>
                        <a:ext uri="{28A0092B-C50C-407E-A947-70E740481C1C}">
                          <a14:useLocalDpi xmlns:a14="http://schemas.microsoft.com/office/drawing/2010/main" val="0"/>
                        </a:ext>
                      </a:extLst>
                    </a:blip>
                    <a:srcRect/>
                    <a:stretch>
                      <a:fillRect/>
                    </a:stretch>
                  </pic:blipFill>
                  <pic:spPr bwMode="auto">
                    <a:xfrm>
                      <a:off x="0" y="0"/>
                      <a:ext cx="6408000" cy="4269412"/>
                    </a:xfrm>
                    <a:prstGeom prst="rect">
                      <a:avLst/>
                    </a:prstGeom>
                    <a:noFill/>
                    <a:ln>
                      <a:noFill/>
                    </a:ln>
                  </pic:spPr>
                </pic:pic>
              </a:graphicData>
            </a:graphic>
          </wp:inline>
        </w:drawing>
      </w:r>
    </w:p>
    <w:p w14:paraId="26A654E0" w14:textId="77777777" w:rsidR="005B5818" w:rsidRDefault="00CC0F16" w:rsidP="006056B9">
      <w:pPr>
        <w:rPr>
          <w:szCs w:val="24"/>
          <w:lang w:val="en-AU"/>
        </w:rPr>
      </w:pPr>
      <w:r>
        <w:lastRenderedPageBreak/>
        <w:fldChar w:fldCharType="begin"/>
      </w:r>
      <w:r>
        <w:instrText xml:space="preserve"> REF _Ref391112449 \h  \* MERGEFORMAT </w:instrText>
      </w:r>
      <w:r>
        <w:fldChar w:fldCharType="separate"/>
      </w:r>
      <w:r w:rsidR="0031717B" w:rsidRPr="0031717B">
        <w:rPr>
          <w:szCs w:val="24"/>
        </w:rPr>
        <w:t xml:space="preserve">Figure </w:t>
      </w:r>
      <w:r w:rsidR="0031717B" w:rsidRPr="0031717B">
        <w:rPr>
          <w:noProof/>
          <w:szCs w:val="24"/>
        </w:rPr>
        <w:t>24</w:t>
      </w:r>
      <w:r>
        <w:fldChar w:fldCharType="end"/>
      </w:r>
      <w:r w:rsidR="005B5818" w:rsidRPr="00D75BC0">
        <w:rPr>
          <w:szCs w:val="24"/>
          <w:lang w:val="en-AU"/>
        </w:rPr>
        <w:t xml:space="preserve"> shows that the two 5-category ECCS models perfor</w:t>
      </w:r>
      <w:r w:rsidR="005B5818">
        <w:rPr>
          <w:szCs w:val="24"/>
          <w:lang w:val="en-AU"/>
        </w:rPr>
        <w:t>m significantly better than the PCCL model across almost all ADRGs, based on comparison of RID. Specifically, the ECCS models outperform the PCCL model in 358 of the 403 ADRGs. Furthermore, of the 45 ADRGs where the PCCL model performs at least as well as the ECCS models, almost half of them are due to the ECCS models only having one category. Given that the minimum sample criteria (i.e. 5</w:t>
      </w:r>
      <w:r w:rsidR="002201AB">
        <w:rPr>
          <w:szCs w:val="24"/>
          <w:lang w:val="en-AU"/>
        </w:rPr>
        <w:t xml:space="preserve"> per cent</w:t>
      </w:r>
      <w:r w:rsidR="005B5818">
        <w:rPr>
          <w:szCs w:val="24"/>
          <w:lang w:val="en-AU"/>
        </w:rPr>
        <w:t xml:space="preserve"> and 100 episodes) is the main cause of some ADRGs only having one ECCS category, relaxing these criteria would lead to the ECCS models performing better than PCCL in almost all (if not all) ADRGs.</w:t>
      </w:r>
    </w:p>
    <w:p w14:paraId="5612E745" w14:textId="77777777" w:rsidR="005B5818" w:rsidRPr="00550335" w:rsidRDefault="005B5818" w:rsidP="006056B9">
      <w:pPr>
        <w:rPr>
          <w:szCs w:val="24"/>
          <w:lang w:val="en-AU"/>
        </w:rPr>
      </w:pPr>
      <w:r>
        <w:rPr>
          <w:szCs w:val="24"/>
          <w:lang w:val="en-AU"/>
        </w:rPr>
        <w:t xml:space="preserve">Similar </w:t>
      </w:r>
      <w:r w:rsidRPr="009C0E65">
        <w:rPr>
          <w:szCs w:val="24"/>
          <w:lang w:val="en-AU"/>
        </w:rPr>
        <w:t xml:space="preserve">to </w:t>
      </w:r>
      <w:r w:rsidR="00CC0F16">
        <w:fldChar w:fldCharType="begin"/>
      </w:r>
      <w:r w:rsidR="00CC0F16">
        <w:instrText xml:space="preserve"> REF _Ref391112449 \h  \* MERGEFORMAT </w:instrText>
      </w:r>
      <w:r w:rsidR="00CC0F16">
        <w:fldChar w:fldCharType="separate"/>
      </w:r>
      <w:r w:rsidR="0031717B" w:rsidRPr="0031717B">
        <w:rPr>
          <w:szCs w:val="24"/>
        </w:rPr>
        <w:t xml:space="preserve">Figure </w:t>
      </w:r>
      <w:r w:rsidR="0031717B" w:rsidRPr="0031717B">
        <w:rPr>
          <w:noProof/>
          <w:szCs w:val="24"/>
        </w:rPr>
        <w:t>24</w:t>
      </w:r>
      <w:r w:rsidR="00CC0F16">
        <w:fldChar w:fldCharType="end"/>
      </w:r>
      <w:r w:rsidRPr="009C0E65">
        <w:rPr>
          <w:szCs w:val="24"/>
          <w:lang w:val="en-AU"/>
        </w:rPr>
        <w:t xml:space="preserve">, </w:t>
      </w:r>
      <w:r w:rsidR="00CC0F16">
        <w:fldChar w:fldCharType="begin"/>
      </w:r>
      <w:r w:rsidR="00CC0F16">
        <w:instrText xml:space="preserve"> REF _Ref391115584 \h  \* MERGEFORMAT </w:instrText>
      </w:r>
      <w:r w:rsidR="00CC0F16">
        <w:fldChar w:fldCharType="separate"/>
      </w:r>
      <w:r w:rsidR="0031717B" w:rsidRPr="0031717B">
        <w:rPr>
          <w:szCs w:val="24"/>
        </w:rPr>
        <w:t xml:space="preserve">Figure </w:t>
      </w:r>
      <w:r w:rsidR="0031717B" w:rsidRPr="0031717B">
        <w:rPr>
          <w:noProof/>
          <w:szCs w:val="24"/>
        </w:rPr>
        <w:t>25</w:t>
      </w:r>
      <w:r w:rsidR="00CC0F16">
        <w:fldChar w:fldCharType="end"/>
      </w:r>
      <w:r>
        <w:rPr>
          <w:szCs w:val="24"/>
          <w:lang w:val="en-AU"/>
        </w:rPr>
        <w:t xml:space="preserve"> </w:t>
      </w:r>
      <w:r w:rsidRPr="009C0E65">
        <w:rPr>
          <w:szCs w:val="24"/>
          <w:lang w:val="en-AU"/>
        </w:rPr>
        <w:t>shows the comparative difference between R</w:t>
      </w:r>
      <w:r w:rsidRPr="00B5534A">
        <w:rPr>
          <w:szCs w:val="24"/>
          <w:vertAlign w:val="superscript"/>
          <w:lang w:val="en-AU"/>
        </w:rPr>
        <w:t>2</w:t>
      </w:r>
      <w:r w:rsidRPr="009C0E65">
        <w:rPr>
          <w:szCs w:val="24"/>
          <w:lang w:val="en-AU"/>
        </w:rPr>
        <w:t xml:space="preserve"> statistics of models </w:t>
      </w:r>
      <w:r>
        <w:rPr>
          <w:szCs w:val="24"/>
          <w:lang w:val="en-AU"/>
        </w:rPr>
        <w:t>across ADRGs. As with the RID comparison,</w:t>
      </w:r>
      <w:r w:rsidRPr="009C0E65">
        <w:rPr>
          <w:szCs w:val="24"/>
          <w:lang w:val="en-AU"/>
        </w:rPr>
        <w:t xml:space="preserve"> </w:t>
      </w:r>
      <w:r w:rsidR="00CC0F16">
        <w:fldChar w:fldCharType="begin"/>
      </w:r>
      <w:r w:rsidR="00CC0F16">
        <w:instrText xml:space="preserve"> REF _Ref391115584 \h  \* MERGEFORMAT </w:instrText>
      </w:r>
      <w:r w:rsidR="00CC0F16">
        <w:fldChar w:fldCharType="separate"/>
      </w:r>
      <w:r w:rsidR="0031717B" w:rsidRPr="0031717B">
        <w:rPr>
          <w:szCs w:val="24"/>
        </w:rPr>
        <w:t xml:space="preserve">Figure </w:t>
      </w:r>
      <w:r w:rsidR="0031717B" w:rsidRPr="0031717B">
        <w:rPr>
          <w:noProof/>
          <w:szCs w:val="24"/>
        </w:rPr>
        <w:t>25</w:t>
      </w:r>
      <w:r w:rsidR="00CC0F16">
        <w:fldChar w:fldCharType="end"/>
      </w:r>
      <w:r>
        <w:rPr>
          <w:szCs w:val="24"/>
          <w:lang w:val="en-AU"/>
        </w:rPr>
        <w:t xml:space="preserve"> shows the ECCS models demonstrate significantly better R</w:t>
      </w:r>
      <w:r w:rsidRPr="00B5534A">
        <w:rPr>
          <w:szCs w:val="24"/>
          <w:vertAlign w:val="superscript"/>
          <w:lang w:val="en-AU"/>
        </w:rPr>
        <w:t>2</w:t>
      </w:r>
      <w:r>
        <w:rPr>
          <w:szCs w:val="24"/>
          <w:lang w:val="en-AU"/>
        </w:rPr>
        <w:t xml:space="preserve"> performance across almost all ADRGs.</w:t>
      </w:r>
    </w:p>
    <w:p w14:paraId="2E3F305D" w14:textId="77777777" w:rsidR="005B5818" w:rsidRPr="00550335" w:rsidRDefault="005B5818" w:rsidP="000E5B4A">
      <w:pPr>
        <w:pStyle w:val="Caption"/>
      </w:pPr>
      <w:bookmarkStart w:id="143" w:name="_Ref391115584"/>
      <w:bookmarkStart w:id="144" w:name="_Toc401061078"/>
      <w:r w:rsidRPr="00550335">
        <w:t xml:space="preserve">Figure </w:t>
      </w:r>
      <w:r w:rsidR="005559F5" w:rsidRPr="00550335">
        <w:fldChar w:fldCharType="begin"/>
      </w:r>
      <w:r w:rsidRPr="00550335">
        <w:instrText xml:space="preserve"> SEQ Figure \* ARABIC </w:instrText>
      </w:r>
      <w:r w:rsidR="005559F5" w:rsidRPr="00550335">
        <w:fldChar w:fldCharType="separate"/>
      </w:r>
      <w:r w:rsidR="0031717B">
        <w:rPr>
          <w:noProof/>
        </w:rPr>
        <w:t>25</w:t>
      </w:r>
      <w:r w:rsidR="005559F5" w:rsidRPr="00550335">
        <w:fldChar w:fldCharType="end"/>
      </w:r>
      <w:bookmarkEnd w:id="143"/>
      <w:r w:rsidRPr="00550335">
        <w:t>: Comparative difference of R</w:t>
      </w:r>
      <w:r w:rsidRPr="00B5534A">
        <w:rPr>
          <w:vertAlign w:val="superscript"/>
        </w:rPr>
        <w:t>2</w:t>
      </w:r>
      <w:r w:rsidRPr="00550335">
        <w:t xml:space="preserve"> statistics across ADRGs</w:t>
      </w:r>
      <w:r>
        <w:t xml:space="preserve"> – ECCS models v PCCL model</w:t>
      </w:r>
      <w:r w:rsidR="004B0E59">
        <w:t>.</w:t>
      </w:r>
      <w:bookmarkEnd w:id="144"/>
    </w:p>
    <w:p w14:paraId="492F21A6" w14:textId="77777777" w:rsidR="00FE35E3" w:rsidRDefault="001A65C0" w:rsidP="00FE35E3">
      <w:pPr>
        <w:ind w:left="-709"/>
      </w:pPr>
      <w:r w:rsidRPr="001A65C0">
        <w:rPr>
          <w:noProof/>
          <w:lang w:val="en-AU" w:eastAsia="en-AU"/>
        </w:rPr>
        <w:drawing>
          <wp:inline distT="0" distB="0" distL="0" distR="0" wp14:anchorId="7F2A6259" wp14:editId="180BF75B">
            <wp:extent cx="6766560" cy="3997591"/>
            <wp:effectExtent l="0" t="0" r="0" b="0"/>
            <wp:docPr id="15" name="Picture 15" descr="The figure shows a standard distribution of the R squared differences between ECCS Model-RID optimised and PCCL with a range between -0.16 and 0.26, and a mode of 0.03. Seventy nine per cent of the R squared difference values were greater than zero. The distribution of the R squared differences between ECCS Model-R squared optimised and PCCL is also as a range between -0.16 and 0.26, but a mode of 0.05. Again, eighty seven per cent of the R squared difference values were greater than zero. " title="Comparative difference of R squared statistics across ADRGs – ECCS models v PCCL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5" cstate="print">
                      <a:extLst>
                        <a:ext uri="{28A0092B-C50C-407E-A947-70E740481C1C}">
                          <a14:useLocalDpi xmlns:a14="http://schemas.microsoft.com/office/drawing/2010/main" val="0"/>
                        </a:ext>
                      </a:extLst>
                    </a:blip>
                    <a:srcRect/>
                    <a:stretch>
                      <a:fillRect/>
                    </a:stretch>
                  </pic:blipFill>
                  <pic:spPr bwMode="auto">
                    <a:xfrm>
                      <a:off x="0" y="0"/>
                      <a:ext cx="6775296" cy="4002752"/>
                    </a:xfrm>
                    <a:prstGeom prst="rect">
                      <a:avLst/>
                    </a:prstGeom>
                    <a:noFill/>
                    <a:ln>
                      <a:noFill/>
                    </a:ln>
                  </pic:spPr>
                </pic:pic>
              </a:graphicData>
            </a:graphic>
          </wp:inline>
        </w:drawing>
      </w:r>
    </w:p>
    <w:p w14:paraId="302AAA2F" w14:textId="77777777" w:rsidR="005B5818" w:rsidRPr="00033906" w:rsidRDefault="005B5818" w:rsidP="00B60372">
      <w:pPr>
        <w:pStyle w:val="Heading3"/>
      </w:pPr>
      <w:r w:rsidRPr="00033906">
        <w:lastRenderedPageBreak/>
        <w:t xml:space="preserve">Comparison of the 5-category ECCS models against the </w:t>
      </w:r>
      <w:r w:rsidR="00FF498B">
        <w:t>AR-</w:t>
      </w:r>
      <w:r w:rsidRPr="00033906">
        <w:t>DRG classification</w:t>
      </w:r>
    </w:p>
    <w:p w14:paraId="6FCF8E7C" w14:textId="77777777" w:rsidR="005B5818" w:rsidRDefault="005B5818" w:rsidP="00FE35E3">
      <w:pPr>
        <w:keepNext/>
        <w:rPr>
          <w:szCs w:val="24"/>
          <w:lang w:val="en-AU"/>
        </w:rPr>
      </w:pPr>
      <w:r>
        <w:rPr>
          <w:szCs w:val="24"/>
          <w:lang w:val="en-AU"/>
        </w:rPr>
        <w:t>In contrast to the 5-category ECCS models and the PCCL model, the maximum number of ADRG categories within the AR-DRG classification is four.</w:t>
      </w:r>
    </w:p>
    <w:p w14:paraId="089A1AD8" w14:textId="77777777" w:rsidR="005B5818" w:rsidRPr="00065DCA" w:rsidRDefault="005B5818" w:rsidP="006056B9">
      <w:pPr>
        <w:rPr>
          <w:szCs w:val="24"/>
          <w:lang w:val="en-AU"/>
        </w:rPr>
      </w:pPr>
      <w:r>
        <w:rPr>
          <w:szCs w:val="24"/>
          <w:lang w:val="en-AU"/>
        </w:rPr>
        <w:t xml:space="preserve">Similar </w:t>
      </w:r>
      <w:r w:rsidRPr="00065DCA">
        <w:rPr>
          <w:szCs w:val="24"/>
          <w:lang w:val="en-AU"/>
        </w:rPr>
        <w:t>to the previous section, comparative performance of the 5-category ECCS models against the AR-DRG classification is assessed by comparing R</w:t>
      </w:r>
      <w:r w:rsidRPr="00B5534A">
        <w:rPr>
          <w:szCs w:val="24"/>
          <w:vertAlign w:val="superscript"/>
          <w:lang w:val="en-AU"/>
        </w:rPr>
        <w:t>2</w:t>
      </w:r>
      <w:r w:rsidRPr="00065DCA">
        <w:rPr>
          <w:szCs w:val="24"/>
          <w:lang w:val="en-AU"/>
        </w:rPr>
        <w:t xml:space="preserve"> and RID statistics by ADRG. </w:t>
      </w:r>
    </w:p>
    <w:p w14:paraId="1B04843F" w14:textId="77777777" w:rsidR="005B5818" w:rsidRPr="00065DCA" w:rsidRDefault="00CC0F16" w:rsidP="006056B9">
      <w:pPr>
        <w:rPr>
          <w:szCs w:val="24"/>
          <w:lang w:val="en-AU"/>
        </w:rPr>
      </w:pPr>
      <w:r>
        <w:fldChar w:fldCharType="begin"/>
      </w:r>
      <w:r>
        <w:instrText xml:space="preserve"> REF _Ref391119516 \h  \* MERGEFORMAT </w:instrText>
      </w:r>
      <w:r>
        <w:fldChar w:fldCharType="separate"/>
      </w:r>
      <w:r w:rsidR="0031717B" w:rsidRPr="0031717B">
        <w:rPr>
          <w:szCs w:val="24"/>
        </w:rPr>
        <w:t xml:space="preserve">Figure </w:t>
      </w:r>
      <w:r w:rsidR="0031717B" w:rsidRPr="0031717B">
        <w:rPr>
          <w:noProof/>
          <w:szCs w:val="24"/>
        </w:rPr>
        <w:t>26</w:t>
      </w:r>
      <w:r>
        <w:fldChar w:fldCharType="end"/>
      </w:r>
      <w:r w:rsidR="005B5818" w:rsidRPr="00065DCA">
        <w:rPr>
          <w:szCs w:val="24"/>
          <w:lang w:val="en-AU"/>
        </w:rPr>
        <w:t xml:space="preserve"> show</w:t>
      </w:r>
      <w:r w:rsidR="005B5818">
        <w:rPr>
          <w:szCs w:val="24"/>
          <w:lang w:val="en-AU"/>
        </w:rPr>
        <w:t>s</w:t>
      </w:r>
      <w:r w:rsidR="005B5818" w:rsidRPr="00065DCA">
        <w:rPr>
          <w:szCs w:val="24"/>
          <w:lang w:val="en-AU"/>
        </w:rPr>
        <w:t xml:space="preserve"> the comparative difference in </w:t>
      </w:r>
      <w:r w:rsidR="005B5818">
        <w:rPr>
          <w:szCs w:val="24"/>
          <w:lang w:val="en-AU"/>
        </w:rPr>
        <w:t xml:space="preserve">the </w:t>
      </w:r>
      <w:r w:rsidR="005B5818" w:rsidRPr="00065DCA">
        <w:rPr>
          <w:szCs w:val="24"/>
          <w:lang w:val="en-AU"/>
        </w:rPr>
        <w:t xml:space="preserve">RID </w:t>
      </w:r>
      <w:r w:rsidR="005B5818">
        <w:rPr>
          <w:szCs w:val="24"/>
          <w:lang w:val="en-AU"/>
        </w:rPr>
        <w:t xml:space="preserve">statistic </w:t>
      </w:r>
      <w:r w:rsidR="005B5818" w:rsidRPr="00065DCA">
        <w:rPr>
          <w:szCs w:val="24"/>
          <w:lang w:val="en-AU"/>
        </w:rPr>
        <w:t>by ADRG for the 5-category ECCS models compared to the AR-DRG classification. Although the DRG classification performs better overall in terms of RID</w:t>
      </w:r>
      <w:r w:rsidR="005B5818">
        <w:rPr>
          <w:szCs w:val="24"/>
          <w:lang w:val="en-AU"/>
        </w:rPr>
        <w:t xml:space="preserve"> </w:t>
      </w:r>
      <w:r w:rsidR="005B5818" w:rsidRPr="00065DCA">
        <w:rPr>
          <w:szCs w:val="24"/>
          <w:lang w:val="en-AU"/>
        </w:rPr>
        <w:t xml:space="preserve">(see </w:t>
      </w:r>
      <w:r>
        <w:fldChar w:fldCharType="begin"/>
      </w:r>
      <w:r>
        <w:instrText xml:space="preserve"> REF _Ref391109939 \h  \* MERGEFORMAT </w:instrText>
      </w:r>
      <w:r>
        <w:fldChar w:fldCharType="separate"/>
      </w:r>
      <w:r w:rsidR="0031717B" w:rsidRPr="0031717B">
        <w:rPr>
          <w:szCs w:val="24"/>
        </w:rPr>
        <w:t xml:space="preserve">Table </w:t>
      </w:r>
      <w:r w:rsidR="0031717B" w:rsidRPr="0031717B">
        <w:rPr>
          <w:noProof/>
          <w:szCs w:val="24"/>
        </w:rPr>
        <w:t>11</w:t>
      </w:r>
      <w:r>
        <w:fldChar w:fldCharType="end"/>
      </w:r>
      <w:r w:rsidR="005B5818" w:rsidRPr="00065DCA">
        <w:rPr>
          <w:szCs w:val="24"/>
          <w:lang w:val="en-AU"/>
        </w:rPr>
        <w:t>), the two ECCS models perform consistently better by ADRG.</w:t>
      </w:r>
    </w:p>
    <w:p w14:paraId="17522C12" w14:textId="77777777" w:rsidR="005B5818" w:rsidRDefault="005B5818" w:rsidP="000E5B4A">
      <w:pPr>
        <w:pStyle w:val="Caption"/>
      </w:pPr>
      <w:bookmarkStart w:id="145" w:name="_Ref391119516"/>
      <w:bookmarkStart w:id="146" w:name="_Toc401061079"/>
      <w:r w:rsidRPr="00795355">
        <w:t xml:space="preserve">Figure </w:t>
      </w:r>
      <w:r w:rsidR="005559F5" w:rsidRPr="00795355">
        <w:fldChar w:fldCharType="begin"/>
      </w:r>
      <w:r w:rsidRPr="00795355">
        <w:instrText xml:space="preserve"> SEQ Figure \* ARABIC </w:instrText>
      </w:r>
      <w:r w:rsidR="005559F5" w:rsidRPr="00795355">
        <w:fldChar w:fldCharType="separate"/>
      </w:r>
      <w:r w:rsidR="0031717B">
        <w:rPr>
          <w:noProof/>
        </w:rPr>
        <w:t>26</w:t>
      </w:r>
      <w:r w:rsidR="005559F5" w:rsidRPr="00795355">
        <w:fldChar w:fldCharType="end"/>
      </w:r>
      <w:bookmarkEnd w:id="145"/>
      <w:r w:rsidRPr="00795355">
        <w:t>: Comparative difference of RID statistics across ADRGs – ECCS models v DRG classification</w:t>
      </w:r>
      <w:r w:rsidR="00981B6D">
        <w:t>.</w:t>
      </w:r>
      <w:bookmarkEnd w:id="146"/>
    </w:p>
    <w:p w14:paraId="46717772" w14:textId="77777777" w:rsidR="001A65C0" w:rsidRDefault="001A65C0" w:rsidP="006C07C0">
      <w:pPr>
        <w:ind w:left="-851"/>
      </w:pPr>
      <w:r w:rsidRPr="001A65C0">
        <w:rPr>
          <w:noProof/>
          <w:lang w:val="en-AU" w:eastAsia="en-AU"/>
        </w:rPr>
        <w:drawing>
          <wp:inline distT="0" distB="0" distL="0" distR="0" wp14:anchorId="1E1D1DD3" wp14:editId="5E0DF13B">
            <wp:extent cx="6815797" cy="3982012"/>
            <wp:effectExtent l="0" t="0" r="0" b="0"/>
            <wp:docPr id="17" name="Picture 17" descr="The figure shows a non-standard distribution of the RID differences between ECCS Model-RID optimised and DRG with a range between -0.16 and 0.26, and two modes at -0.16, 0.09, 0.11 and 0.26 (note that the -0.16 bin contains all observations equal to or less than -0.16 and the 0.26 bin includes all observations equal to or greater than 0.26). Seventy six per cent of the RID differences have a value greater than zero. The distribution of the RID differences between ECCS Model-R squared optimised and DRG is also non-norma with a range between -0.16 and 0.26, and four modes at -0.16, 0.09, 0.11 and 0.26 (note that the -0.16 bin contains all observations equal to or less than -0.16 and the 0.26 bin includes all observations equal to or greater than 0.26). Again, seventy six per cent of the RID differences have a value greater than zero. " title="Comparative difference of RID statistics across ADRGs – ECCS models v DRG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6" cstate="print">
                      <a:extLst>
                        <a:ext uri="{28A0092B-C50C-407E-A947-70E740481C1C}">
                          <a14:useLocalDpi xmlns:a14="http://schemas.microsoft.com/office/drawing/2010/main" val="0"/>
                        </a:ext>
                      </a:extLst>
                    </a:blip>
                    <a:srcRect/>
                    <a:stretch>
                      <a:fillRect/>
                    </a:stretch>
                  </pic:blipFill>
                  <pic:spPr bwMode="auto">
                    <a:xfrm>
                      <a:off x="0" y="0"/>
                      <a:ext cx="6835544" cy="3993549"/>
                    </a:xfrm>
                    <a:prstGeom prst="rect">
                      <a:avLst/>
                    </a:prstGeom>
                    <a:noFill/>
                    <a:ln>
                      <a:noFill/>
                    </a:ln>
                  </pic:spPr>
                </pic:pic>
              </a:graphicData>
            </a:graphic>
          </wp:inline>
        </w:drawing>
      </w:r>
    </w:p>
    <w:p w14:paraId="0A002024" w14:textId="77777777" w:rsidR="006C07C0" w:rsidRDefault="006C07C0" w:rsidP="00F44AB0">
      <w:pPr>
        <w:rPr>
          <w:lang w:val="en-AU"/>
        </w:rPr>
      </w:pPr>
      <w:r w:rsidRPr="00065DCA">
        <w:rPr>
          <w:lang w:val="en-AU"/>
        </w:rPr>
        <w:t xml:space="preserve">As indicated previously, the main factor influencing better performance of the DRG classification is the use of LOS as a splitting variable. The greater level of performance is </w:t>
      </w:r>
      <w:r w:rsidRPr="00065DCA">
        <w:rPr>
          <w:lang w:val="en-AU"/>
        </w:rPr>
        <w:lastRenderedPageBreak/>
        <w:t xml:space="preserve">demonstrated in </w:t>
      </w:r>
      <w:r>
        <w:fldChar w:fldCharType="begin"/>
      </w:r>
      <w:r>
        <w:instrText xml:space="preserve"> REF _Ref391121168 \h  \* MERGEFORMAT </w:instrText>
      </w:r>
      <w:r>
        <w:fldChar w:fldCharType="separate"/>
      </w:r>
      <w:r w:rsidR="0031717B" w:rsidRPr="00183C66">
        <w:t xml:space="preserve">Figure </w:t>
      </w:r>
      <w:r w:rsidR="0031717B">
        <w:rPr>
          <w:noProof/>
        </w:rPr>
        <w:t>27</w:t>
      </w:r>
      <w:r>
        <w:fldChar w:fldCharType="end"/>
      </w:r>
      <w:r w:rsidRPr="00065DCA">
        <w:rPr>
          <w:lang w:val="en-AU"/>
        </w:rPr>
        <w:t xml:space="preserve">, which is </w:t>
      </w:r>
      <w:r>
        <w:fldChar w:fldCharType="begin"/>
      </w:r>
      <w:r>
        <w:instrText xml:space="preserve"> REF _Ref391119516 \h  \* MERGEFORMAT </w:instrText>
      </w:r>
      <w:r>
        <w:fldChar w:fldCharType="separate"/>
      </w:r>
      <w:r w:rsidR="0031717B" w:rsidRPr="00795355">
        <w:t xml:space="preserve">Figure </w:t>
      </w:r>
      <w:r w:rsidR="0031717B">
        <w:rPr>
          <w:noProof/>
        </w:rPr>
        <w:t>26</w:t>
      </w:r>
      <w:r>
        <w:fldChar w:fldCharType="end"/>
      </w:r>
      <w:r w:rsidRPr="00065DCA">
        <w:rPr>
          <w:lang w:val="en-AU"/>
        </w:rPr>
        <w:t xml:space="preserve"> restricted to LOS-split ADRGs. </w:t>
      </w:r>
      <w:r>
        <w:rPr>
          <w:lang w:val="en-AU"/>
        </w:rPr>
        <w:t>Note that the restriction to LOS-split ADRGs excludes Z-level ADRGs that are defined using LOS.</w:t>
      </w:r>
    </w:p>
    <w:p w14:paraId="41DDC2BF" w14:textId="77777777" w:rsidR="006C07C0" w:rsidRPr="001A65C0" w:rsidRDefault="006C07C0" w:rsidP="006C07C0">
      <w:pPr>
        <w:keepLines/>
      </w:pPr>
      <w:r w:rsidRPr="00065DCA">
        <w:rPr>
          <w:lang w:val="en-AU"/>
        </w:rPr>
        <w:t>Comparison of these two figures shows that the ADRGs in which the DRG classification is outperforming the ECCS models are made up almost entirely of ADRGs with LOS as a splitting variable.</w:t>
      </w:r>
      <w:r>
        <w:rPr>
          <w:lang w:val="en-AU"/>
        </w:rPr>
        <w:t xml:space="preserve"> That is, the ECCS models outperform the AR-DRG classification in almost all ADRGs where the AR-DRG classification does not use LOS as a splitting variable.</w:t>
      </w:r>
    </w:p>
    <w:p w14:paraId="7384DFAB" w14:textId="77777777" w:rsidR="005B5818" w:rsidRPr="00183C66" w:rsidRDefault="005B5818" w:rsidP="000E5B4A">
      <w:pPr>
        <w:pStyle w:val="Caption"/>
      </w:pPr>
      <w:bookmarkStart w:id="147" w:name="_Ref391121168"/>
      <w:bookmarkStart w:id="148" w:name="_Toc401061080"/>
      <w:r w:rsidRPr="00183C66">
        <w:t xml:space="preserve">Figure </w:t>
      </w:r>
      <w:r w:rsidR="005559F5" w:rsidRPr="00183C66">
        <w:fldChar w:fldCharType="begin"/>
      </w:r>
      <w:r w:rsidRPr="00183C66">
        <w:instrText xml:space="preserve"> SEQ Figure \* ARABIC </w:instrText>
      </w:r>
      <w:r w:rsidR="005559F5" w:rsidRPr="00183C66">
        <w:fldChar w:fldCharType="separate"/>
      </w:r>
      <w:r w:rsidR="0031717B">
        <w:rPr>
          <w:noProof/>
        </w:rPr>
        <w:t>27</w:t>
      </w:r>
      <w:r w:rsidR="005559F5" w:rsidRPr="00183C66">
        <w:fldChar w:fldCharType="end"/>
      </w:r>
      <w:bookmarkEnd w:id="147"/>
      <w:r w:rsidRPr="00183C66">
        <w:t>: Comparative difference of RID statistics across LOS-split ADRGs – ECCS models v DRG classification</w:t>
      </w:r>
      <w:r w:rsidR="00981B6D">
        <w:t>.</w:t>
      </w:r>
      <w:bookmarkEnd w:id="148"/>
    </w:p>
    <w:p w14:paraId="4B858B7F" w14:textId="77777777" w:rsidR="005B5818" w:rsidRDefault="00BA4D9C" w:rsidP="006C07C0">
      <w:pPr>
        <w:ind w:left="-851"/>
        <w:rPr>
          <w:szCs w:val="24"/>
          <w:lang w:val="en-AU"/>
        </w:rPr>
      </w:pPr>
      <w:r w:rsidRPr="00BA4D9C">
        <w:rPr>
          <w:noProof/>
          <w:lang w:val="en-AU" w:eastAsia="en-AU"/>
        </w:rPr>
        <w:drawing>
          <wp:inline distT="0" distB="0" distL="0" distR="0" wp14:anchorId="57EC4C82" wp14:editId="1F3FFC88">
            <wp:extent cx="6829864" cy="4061957"/>
            <wp:effectExtent l="0" t="0" r="0" b="0"/>
            <wp:docPr id="11" name="Picture 11" descr="The figure shows a non-standard distribution of the RID differences across LOS-split ADRGs between ECCS Model-RID optimised and DRG with a range between -0.16 and 0.26, and a mode of -0.16. Eleven per cent of the RID differences have a value greater than zero. The non-standard distribution of the RID differences across LOS-split ADRGs between ECCS Model-R squared optimised and DRG is almost identical, with a range between -0.16 and 0.26, and a mode of -0.16. Again, eleven per cent of the RID differences have a value greater than zero. " title="Comparative difference of RID statistics across LOS-split ADRGs – ECCS models v DRG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6843605" cy="4070129"/>
                    </a:xfrm>
                    <a:prstGeom prst="rect">
                      <a:avLst/>
                    </a:prstGeom>
                    <a:noFill/>
                    <a:ln>
                      <a:noFill/>
                    </a:ln>
                  </pic:spPr>
                </pic:pic>
              </a:graphicData>
            </a:graphic>
          </wp:inline>
        </w:drawing>
      </w:r>
    </w:p>
    <w:p w14:paraId="5D456206" w14:textId="77777777" w:rsidR="005B5818" w:rsidRPr="0055264C" w:rsidRDefault="00CC0F16" w:rsidP="00F44AB0">
      <w:pPr>
        <w:keepLines/>
        <w:rPr>
          <w:szCs w:val="24"/>
          <w:lang w:val="en-AU"/>
        </w:rPr>
      </w:pPr>
      <w:r>
        <w:fldChar w:fldCharType="begin"/>
      </w:r>
      <w:r>
        <w:instrText xml:space="preserve"> REF _Ref391119517 \h  \* MERGEFORMAT </w:instrText>
      </w:r>
      <w:r>
        <w:fldChar w:fldCharType="separate"/>
      </w:r>
      <w:r w:rsidR="0031717B" w:rsidRPr="0031717B">
        <w:rPr>
          <w:szCs w:val="24"/>
        </w:rPr>
        <w:t xml:space="preserve">Figure </w:t>
      </w:r>
      <w:r w:rsidR="0031717B" w:rsidRPr="0031717B">
        <w:rPr>
          <w:noProof/>
          <w:szCs w:val="24"/>
        </w:rPr>
        <w:t>28</w:t>
      </w:r>
      <w:r>
        <w:fldChar w:fldCharType="end"/>
      </w:r>
      <w:r w:rsidR="005B5818">
        <w:rPr>
          <w:szCs w:val="24"/>
          <w:lang w:val="en-AU"/>
        </w:rPr>
        <w:t xml:space="preserve"> shows the </w:t>
      </w:r>
      <w:r w:rsidR="005B5818" w:rsidRPr="00065DCA">
        <w:rPr>
          <w:szCs w:val="24"/>
          <w:lang w:val="en-AU"/>
        </w:rPr>
        <w:t xml:space="preserve">comparative difference in </w:t>
      </w:r>
      <w:r w:rsidR="005B5818">
        <w:rPr>
          <w:szCs w:val="24"/>
          <w:lang w:val="en-AU"/>
        </w:rPr>
        <w:t>the R</w:t>
      </w:r>
      <w:r w:rsidR="005B5818" w:rsidRPr="00B5534A">
        <w:rPr>
          <w:szCs w:val="24"/>
          <w:vertAlign w:val="superscript"/>
          <w:lang w:val="en-AU"/>
        </w:rPr>
        <w:t>2</w:t>
      </w:r>
      <w:r w:rsidR="005B5818">
        <w:rPr>
          <w:szCs w:val="24"/>
          <w:lang w:val="en-AU"/>
        </w:rPr>
        <w:t xml:space="preserve"> statistic </w:t>
      </w:r>
      <w:r w:rsidR="005B5818" w:rsidRPr="00065DCA">
        <w:rPr>
          <w:szCs w:val="24"/>
          <w:lang w:val="en-AU"/>
        </w:rPr>
        <w:t>by ADRG for the 5-category ECCS models compared to the AR-DRG classification</w:t>
      </w:r>
      <w:r w:rsidR="005B5818">
        <w:rPr>
          <w:szCs w:val="24"/>
          <w:lang w:val="en-AU"/>
        </w:rPr>
        <w:t xml:space="preserve">. </w:t>
      </w:r>
      <w:r>
        <w:fldChar w:fldCharType="begin"/>
      </w:r>
      <w:r>
        <w:instrText xml:space="preserve"> REF _Ref391109939 \h  \* MERGEFORMAT </w:instrText>
      </w:r>
      <w:r>
        <w:fldChar w:fldCharType="separate"/>
      </w:r>
      <w:r w:rsidR="0031717B" w:rsidRPr="0031717B">
        <w:rPr>
          <w:szCs w:val="24"/>
        </w:rPr>
        <w:t xml:space="preserve">Table </w:t>
      </w:r>
      <w:r w:rsidR="0031717B" w:rsidRPr="0031717B">
        <w:rPr>
          <w:noProof/>
          <w:szCs w:val="24"/>
        </w:rPr>
        <w:t>11</w:t>
      </w:r>
      <w:r>
        <w:fldChar w:fldCharType="end"/>
      </w:r>
      <w:r w:rsidR="005B5818">
        <w:rPr>
          <w:szCs w:val="24"/>
          <w:lang w:val="en-AU"/>
        </w:rPr>
        <w:t xml:space="preserve"> shows that the two ECCS models exhibit significantly better overall R</w:t>
      </w:r>
      <w:r w:rsidR="005B5818" w:rsidRPr="00B5534A">
        <w:rPr>
          <w:szCs w:val="24"/>
          <w:vertAlign w:val="superscript"/>
          <w:lang w:val="en-AU"/>
        </w:rPr>
        <w:t>2</w:t>
      </w:r>
      <w:r w:rsidR="005B5818">
        <w:rPr>
          <w:szCs w:val="24"/>
          <w:lang w:val="en-AU"/>
        </w:rPr>
        <w:t xml:space="preserve"> performance compared to the DRG classification, and </w:t>
      </w:r>
      <w:r>
        <w:fldChar w:fldCharType="begin"/>
      </w:r>
      <w:r>
        <w:instrText xml:space="preserve"> REF _Ref391119517 \h  \* MERGEFORMAT </w:instrText>
      </w:r>
      <w:r>
        <w:fldChar w:fldCharType="separate"/>
      </w:r>
      <w:r w:rsidR="0031717B" w:rsidRPr="0031717B">
        <w:rPr>
          <w:szCs w:val="24"/>
        </w:rPr>
        <w:t xml:space="preserve">Figure </w:t>
      </w:r>
      <w:r w:rsidR="0031717B" w:rsidRPr="0031717B">
        <w:rPr>
          <w:noProof/>
          <w:szCs w:val="24"/>
        </w:rPr>
        <w:t>28</w:t>
      </w:r>
      <w:r>
        <w:fldChar w:fldCharType="end"/>
      </w:r>
      <w:r w:rsidR="005B5818">
        <w:rPr>
          <w:szCs w:val="24"/>
          <w:lang w:val="en-AU"/>
        </w:rPr>
        <w:t xml:space="preserve"> demonstrates this better performance is consistent across almost all ADRGs.</w:t>
      </w:r>
    </w:p>
    <w:p w14:paraId="49CE66AE" w14:textId="77777777" w:rsidR="005B5818" w:rsidRDefault="005B5818" w:rsidP="000E5B4A">
      <w:pPr>
        <w:pStyle w:val="Caption"/>
      </w:pPr>
      <w:bookmarkStart w:id="149" w:name="_Ref391119517"/>
      <w:bookmarkStart w:id="150" w:name="_Toc401061081"/>
      <w:r w:rsidRPr="0055264C">
        <w:lastRenderedPageBreak/>
        <w:t xml:space="preserve">Figure </w:t>
      </w:r>
      <w:r w:rsidR="005559F5" w:rsidRPr="0055264C">
        <w:fldChar w:fldCharType="begin"/>
      </w:r>
      <w:r w:rsidRPr="0055264C">
        <w:instrText xml:space="preserve"> SEQ Figure \* ARABIC </w:instrText>
      </w:r>
      <w:r w:rsidR="005559F5" w:rsidRPr="0055264C">
        <w:fldChar w:fldCharType="separate"/>
      </w:r>
      <w:r w:rsidR="0031717B">
        <w:rPr>
          <w:noProof/>
        </w:rPr>
        <w:t>28</w:t>
      </w:r>
      <w:r w:rsidR="005559F5" w:rsidRPr="0055264C">
        <w:fldChar w:fldCharType="end"/>
      </w:r>
      <w:bookmarkEnd w:id="149"/>
      <w:r w:rsidRPr="0055264C">
        <w:t>: Comparative difference of R</w:t>
      </w:r>
      <w:r w:rsidRPr="00B5534A">
        <w:rPr>
          <w:vertAlign w:val="superscript"/>
        </w:rPr>
        <w:t>2</w:t>
      </w:r>
      <w:r w:rsidRPr="0055264C">
        <w:t xml:space="preserve"> statistics across ADRGs – ECCS models v DRG classification</w:t>
      </w:r>
      <w:r w:rsidR="00981B6D">
        <w:t>.</w:t>
      </w:r>
      <w:bookmarkEnd w:id="150"/>
    </w:p>
    <w:p w14:paraId="0E460DA3" w14:textId="77777777" w:rsidR="001A65C0" w:rsidRPr="001A65C0" w:rsidRDefault="001A65C0" w:rsidP="006C07C0">
      <w:pPr>
        <w:ind w:left="-851"/>
      </w:pPr>
      <w:r w:rsidRPr="001A65C0">
        <w:rPr>
          <w:noProof/>
          <w:lang w:val="en-AU" w:eastAsia="en-AU"/>
        </w:rPr>
        <w:drawing>
          <wp:inline distT="0" distB="0" distL="0" distR="0" wp14:anchorId="74C7B70F" wp14:editId="2CC6A97F">
            <wp:extent cx="6893169" cy="4078259"/>
            <wp:effectExtent l="0" t="0" r="0" b="0"/>
            <wp:docPr id="19" name="Picture 19" descr="The distribution of the R squared differences between ECCS Model-RID optimised and PCCL has a range between -0.16 and 0.26, and a mode of 0.03. Seventy nine per cent of the R squared difference values were greater than zero. The distribution of the RID differences between ECCS Model-R squared optimised and PCCL also has a range between -0.16 and 0.26, but a mode of 0.05. Again, eighty seven per cent of the R squared difference values were greater than zero. " title="Comparative difference of R2 statistics across ADRGs – ECCS models v DRG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6909210" cy="4087750"/>
                    </a:xfrm>
                    <a:prstGeom prst="rect">
                      <a:avLst/>
                    </a:prstGeom>
                    <a:noFill/>
                    <a:ln>
                      <a:noFill/>
                    </a:ln>
                  </pic:spPr>
                </pic:pic>
              </a:graphicData>
            </a:graphic>
          </wp:inline>
        </w:drawing>
      </w:r>
    </w:p>
    <w:p w14:paraId="3085D353" w14:textId="77777777" w:rsidR="005B5818" w:rsidRDefault="005B5818" w:rsidP="00B60372">
      <w:pPr>
        <w:pStyle w:val="Heading3"/>
      </w:pPr>
      <w:r w:rsidRPr="00916412">
        <w:t>Comparison of performance across all models</w:t>
      </w:r>
    </w:p>
    <w:p w14:paraId="7B6922D2" w14:textId="7B230AD4" w:rsidR="00144F26" w:rsidRDefault="00CC0F16">
      <w:pPr>
        <w:rPr>
          <w:szCs w:val="24"/>
          <w:lang w:val="en-AU"/>
        </w:rPr>
      </w:pPr>
      <w:r>
        <w:fldChar w:fldCharType="begin"/>
      </w:r>
      <w:r>
        <w:instrText xml:space="preserve"> REF _Ref391541885 \h  \* MERGEFORMAT </w:instrText>
      </w:r>
      <w:r>
        <w:fldChar w:fldCharType="separate"/>
      </w:r>
      <w:r w:rsidR="0031717B" w:rsidRPr="0031717B">
        <w:rPr>
          <w:szCs w:val="24"/>
        </w:rPr>
        <w:t xml:space="preserve">Figure </w:t>
      </w:r>
      <w:r w:rsidR="0031717B" w:rsidRPr="0031717B">
        <w:rPr>
          <w:noProof/>
          <w:szCs w:val="24"/>
        </w:rPr>
        <w:t>29</w:t>
      </w:r>
      <w:r>
        <w:fldChar w:fldCharType="end"/>
      </w:r>
      <w:r w:rsidR="005B5818">
        <w:rPr>
          <w:szCs w:val="24"/>
          <w:lang w:val="en-AU"/>
        </w:rPr>
        <w:t xml:space="preserve">, </w:t>
      </w:r>
      <w:r>
        <w:fldChar w:fldCharType="begin"/>
      </w:r>
      <w:r>
        <w:instrText xml:space="preserve"> REF _Ref391541886 \h  \* MERGEFORMAT </w:instrText>
      </w:r>
      <w:r>
        <w:fldChar w:fldCharType="separate"/>
      </w:r>
      <w:r w:rsidR="0031717B" w:rsidRPr="0031717B">
        <w:rPr>
          <w:szCs w:val="24"/>
        </w:rPr>
        <w:t xml:space="preserve">Figure </w:t>
      </w:r>
      <w:r w:rsidR="0031717B" w:rsidRPr="0031717B">
        <w:rPr>
          <w:noProof/>
          <w:szCs w:val="24"/>
        </w:rPr>
        <w:t>30</w:t>
      </w:r>
      <w:r>
        <w:fldChar w:fldCharType="end"/>
      </w:r>
      <w:r w:rsidR="005B5818">
        <w:rPr>
          <w:szCs w:val="24"/>
          <w:lang w:val="en-AU"/>
        </w:rPr>
        <w:t xml:space="preserve">, </w:t>
      </w:r>
      <w:r w:rsidR="008074DA">
        <w:rPr>
          <w:szCs w:val="24"/>
          <w:lang w:val="en-AU"/>
        </w:rPr>
        <w:fldChar w:fldCharType="begin"/>
      </w:r>
      <w:r w:rsidR="008074DA">
        <w:rPr>
          <w:szCs w:val="24"/>
          <w:lang w:val="en-AU"/>
        </w:rPr>
        <w:instrText xml:space="preserve"> REF _Ref400551438 \h </w:instrText>
      </w:r>
      <w:r w:rsidR="008074DA">
        <w:rPr>
          <w:szCs w:val="24"/>
          <w:lang w:val="en-AU"/>
        </w:rPr>
      </w:r>
      <w:r w:rsidR="008074DA">
        <w:rPr>
          <w:szCs w:val="24"/>
          <w:lang w:val="en-AU"/>
        </w:rPr>
        <w:fldChar w:fldCharType="separate"/>
      </w:r>
      <w:r w:rsidR="0031717B">
        <w:t xml:space="preserve">Figure </w:t>
      </w:r>
      <w:r w:rsidR="0031717B">
        <w:rPr>
          <w:noProof/>
        </w:rPr>
        <w:t>31</w:t>
      </w:r>
      <w:r w:rsidR="008074DA">
        <w:rPr>
          <w:szCs w:val="24"/>
          <w:lang w:val="en-AU"/>
        </w:rPr>
        <w:fldChar w:fldCharType="end"/>
      </w:r>
      <w:r w:rsidR="005B5818">
        <w:rPr>
          <w:szCs w:val="24"/>
          <w:lang w:val="en-AU"/>
        </w:rPr>
        <w:t xml:space="preserve"> and </w:t>
      </w:r>
      <w:r w:rsidR="008074DA">
        <w:rPr>
          <w:szCs w:val="24"/>
          <w:lang w:val="en-AU"/>
        </w:rPr>
        <w:fldChar w:fldCharType="begin"/>
      </w:r>
      <w:r w:rsidR="008074DA">
        <w:rPr>
          <w:szCs w:val="24"/>
          <w:lang w:val="en-AU"/>
        </w:rPr>
        <w:instrText xml:space="preserve"> REF _Ref400551449 \h </w:instrText>
      </w:r>
      <w:r w:rsidR="008074DA">
        <w:rPr>
          <w:szCs w:val="24"/>
          <w:lang w:val="en-AU"/>
        </w:rPr>
      </w:r>
      <w:r w:rsidR="008074DA">
        <w:rPr>
          <w:szCs w:val="24"/>
          <w:lang w:val="en-AU"/>
        </w:rPr>
        <w:fldChar w:fldCharType="separate"/>
      </w:r>
      <w:r w:rsidR="0031717B">
        <w:t xml:space="preserve">Figure </w:t>
      </w:r>
      <w:r w:rsidR="0031717B">
        <w:rPr>
          <w:noProof/>
        </w:rPr>
        <w:t>32</w:t>
      </w:r>
      <w:r w:rsidR="008074DA">
        <w:rPr>
          <w:szCs w:val="24"/>
          <w:lang w:val="en-AU"/>
        </w:rPr>
        <w:fldChar w:fldCharType="end"/>
      </w:r>
      <w:r w:rsidR="005B5818">
        <w:rPr>
          <w:szCs w:val="24"/>
          <w:lang w:val="en-AU"/>
        </w:rPr>
        <w:t xml:space="preserve"> </w:t>
      </w:r>
      <w:r w:rsidR="005B5818" w:rsidRPr="005E1F47">
        <w:rPr>
          <w:szCs w:val="24"/>
          <w:lang w:val="en-AU"/>
        </w:rPr>
        <w:t>provide comparisons</w:t>
      </w:r>
      <w:r w:rsidR="005B5818">
        <w:rPr>
          <w:szCs w:val="24"/>
          <w:lang w:val="en-AU"/>
        </w:rPr>
        <w:t xml:space="preserve"> of the ECCS model (rounded to the nearest integer), the 5-category ECCS model (R</w:t>
      </w:r>
      <w:r w:rsidR="005B5818" w:rsidRPr="00B5534A">
        <w:rPr>
          <w:szCs w:val="24"/>
          <w:vertAlign w:val="superscript"/>
          <w:lang w:val="en-AU"/>
        </w:rPr>
        <w:t>2</w:t>
      </w:r>
      <w:r w:rsidR="005B5818">
        <w:rPr>
          <w:szCs w:val="24"/>
          <w:lang w:val="en-AU"/>
        </w:rPr>
        <w:t xml:space="preserve"> optimised), the existing PCCL model and the AR-DRG classification itself. The figures are representative of the pattern of evidence across almost all ADRGs of the ability of ECCS to outperform PCCL and the AR-DRG classification in terms of prediction of costs. In particular, comparisons of the y axis (i.e. cost) scale and range for the ECCS-based models to those of the PCCL and AR-DRG models show a significantly greate</w:t>
      </w:r>
      <w:r w:rsidR="005B5818" w:rsidRPr="005E74BF">
        <w:rPr>
          <w:szCs w:val="24"/>
          <w:lang w:val="en-AU"/>
        </w:rPr>
        <w:t>r ability of the ECCS-based models to link episode complexity and cost.</w:t>
      </w:r>
    </w:p>
    <w:p w14:paraId="727E59E5" w14:textId="77777777" w:rsidR="005B5818" w:rsidRDefault="005B5818" w:rsidP="000E5B4A">
      <w:pPr>
        <w:pStyle w:val="Caption"/>
      </w:pPr>
      <w:bookmarkStart w:id="151" w:name="_Ref391541885"/>
      <w:bookmarkStart w:id="152" w:name="_Toc391543706"/>
      <w:bookmarkStart w:id="153" w:name="_Toc401061082"/>
      <w:r>
        <w:lastRenderedPageBreak/>
        <w:t xml:space="preserve">Figure </w:t>
      </w:r>
      <w:r w:rsidR="005559F5">
        <w:fldChar w:fldCharType="begin"/>
      </w:r>
      <w:r>
        <w:instrText xml:space="preserve"> SEQ Figure \* ARABIC </w:instrText>
      </w:r>
      <w:r w:rsidR="005559F5">
        <w:fldChar w:fldCharType="separate"/>
      </w:r>
      <w:r w:rsidR="0031717B">
        <w:rPr>
          <w:noProof/>
        </w:rPr>
        <w:t>29</w:t>
      </w:r>
      <w:r w:rsidR="005559F5">
        <w:fldChar w:fldCharType="end"/>
      </w:r>
      <w:bookmarkEnd w:id="151"/>
      <w:r>
        <w:t xml:space="preserve">: Comparison of ECCS, PCCL and AR-DRG by cost - B02 </w:t>
      </w:r>
      <w:r w:rsidRPr="0026140D">
        <w:t>Cranial Procedures</w:t>
      </w:r>
      <w:bookmarkEnd w:id="152"/>
      <w:r w:rsidR="00981B6D">
        <w:t>.</w:t>
      </w:r>
      <w:bookmarkEnd w:id="153"/>
    </w:p>
    <w:p w14:paraId="744BA591" w14:textId="77777777" w:rsidR="005B5818" w:rsidRDefault="000C44A9" w:rsidP="002F7E33">
      <w:pPr>
        <w:tabs>
          <w:tab w:val="left" w:pos="142"/>
        </w:tabs>
        <w:rPr>
          <w:szCs w:val="24"/>
          <w:lang w:val="en-AU"/>
        </w:rPr>
      </w:pPr>
      <w:r w:rsidRPr="000C44A9">
        <w:rPr>
          <w:noProof/>
          <w:lang w:val="en-AU" w:eastAsia="en-AU"/>
        </w:rPr>
        <w:drawing>
          <wp:inline distT="0" distB="0" distL="0" distR="0" wp14:anchorId="5C61281B" wp14:editId="164C6BC7">
            <wp:extent cx="8280000" cy="5619600"/>
            <wp:effectExtent l="0" t="0" r="3810" b="0"/>
            <wp:docPr id="14437" name="Picture 14437" descr="For Rounded ECCS, there are eleven categories labelled 0 to 10. A positive relationship is shown between episode cost and category number. At Category 0 (n=3,249), the mean cost is $17,111 with an interquartile range between $10,581 and $20,988. At Category 10 (n=141), the mean cost is $89,402 with an interquartile range between $57,508 and $103,400.&#10;For 5-category ECCS, there are five categories labelled 1 to 5. A positive relationship is shown between episode cost and category number. At Category 1 (n=1,230), the mean cost is $10,334 with an interquartile range between $6,659 and $12,400. At Category 5 (n=516), the mean cost is $57,183 with an interquartile range between $36,167 and $67,931.&#10;For PCCL, there are five categories labelled 0 to 4. There is no relationship shown between category number and episode cost. At Category 0 (n=1,066), the mean cost is $11,612 with an interquartile range between $7,127 and $13,482. At Category 4 (n=2,926), the mean cost is $39,568 with an interquartile range between $20,603 and $49,825.&#10;For DRG, there are three categories labelled A, B and C. A positive linear relationship is shown between episode cost and category. At Category C (n=3,637), the mean cost is $10,227 with an interquartile range between $6,829 and $12,373. At Category A (n=3,965), the mean cost is $36,502 with an interquartile range between $19,502 and $45,663." title="Comparison of ECCS, PCCL and AR-DRG by cost - B02 Cranial Procedur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799" cstate="print">
                      <a:extLst>
                        <a:ext uri="{28A0092B-C50C-407E-A947-70E740481C1C}">
                          <a14:useLocalDpi xmlns:a14="http://schemas.microsoft.com/office/drawing/2010/main" val="0"/>
                        </a:ext>
                      </a:extLst>
                    </a:blip>
                    <a:srcRect/>
                    <a:stretch>
                      <a:fillRect/>
                    </a:stretch>
                  </pic:blipFill>
                  <pic:spPr bwMode="auto">
                    <a:xfrm rot="16200000">
                      <a:off x="0" y="0"/>
                      <a:ext cx="8280000" cy="5619600"/>
                    </a:xfrm>
                    <a:prstGeom prst="rect">
                      <a:avLst/>
                    </a:prstGeom>
                    <a:noFill/>
                    <a:ln>
                      <a:noFill/>
                    </a:ln>
                  </pic:spPr>
                </pic:pic>
              </a:graphicData>
            </a:graphic>
          </wp:inline>
        </w:drawing>
      </w:r>
    </w:p>
    <w:p w14:paraId="151BA3CA" w14:textId="77777777" w:rsidR="005B5818" w:rsidRDefault="005B5818" w:rsidP="000E5B4A">
      <w:pPr>
        <w:pStyle w:val="Caption"/>
      </w:pPr>
      <w:bookmarkStart w:id="154" w:name="_Ref391541886"/>
      <w:bookmarkStart w:id="155" w:name="_Toc391543707"/>
      <w:bookmarkStart w:id="156" w:name="_Toc401061083"/>
      <w:r>
        <w:lastRenderedPageBreak/>
        <w:t xml:space="preserve">Figure </w:t>
      </w:r>
      <w:r w:rsidR="005559F5">
        <w:fldChar w:fldCharType="begin"/>
      </w:r>
      <w:r>
        <w:instrText xml:space="preserve"> SEQ Figure \* ARABIC </w:instrText>
      </w:r>
      <w:r w:rsidR="005559F5">
        <w:fldChar w:fldCharType="separate"/>
      </w:r>
      <w:r w:rsidR="0031717B">
        <w:rPr>
          <w:noProof/>
        </w:rPr>
        <w:t>30</w:t>
      </w:r>
      <w:r w:rsidR="005559F5">
        <w:fldChar w:fldCharType="end"/>
      </w:r>
      <w:bookmarkEnd w:id="154"/>
      <w:r>
        <w:t xml:space="preserve">: Comparison of ECCS, PCCL and AR-DRG by cost - G03 </w:t>
      </w:r>
      <w:r w:rsidRPr="0065352D">
        <w:t xml:space="preserve">Stomach, </w:t>
      </w:r>
      <w:proofErr w:type="spellStart"/>
      <w:r w:rsidRPr="0065352D">
        <w:t>Oesophageal</w:t>
      </w:r>
      <w:proofErr w:type="spellEnd"/>
      <w:r w:rsidRPr="0065352D">
        <w:t xml:space="preserve"> and Duodenal Procedures</w:t>
      </w:r>
      <w:bookmarkEnd w:id="155"/>
      <w:r w:rsidR="00981B6D">
        <w:t>.</w:t>
      </w:r>
      <w:bookmarkEnd w:id="156"/>
    </w:p>
    <w:p w14:paraId="60673673" w14:textId="77777777" w:rsidR="00C910F3" w:rsidRDefault="000437D7" w:rsidP="002F7E33">
      <w:r w:rsidRPr="000437D7">
        <w:rPr>
          <w:noProof/>
          <w:lang w:val="en-AU" w:eastAsia="en-AU"/>
        </w:rPr>
        <w:drawing>
          <wp:inline distT="0" distB="0" distL="0" distR="0" wp14:anchorId="0CCF6E37" wp14:editId="0CC3DAF2">
            <wp:extent cx="8028000" cy="5479200"/>
            <wp:effectExtent l="0" t="0" r="0" b="0"/>
            <wp:docPr id="14439" name="Picture 14439" descr="For Rounded ECCS, there are seven categories labelled 0 to 6. 85% of the samples lie within categories 0 to 3. A positive relationship is shown between episode cost and category number. As the Category number increases, the episode cost increases at an increasing rate. At Category 0 (n=1,230), the mean cost is $10,334 with an interquartile range between $6,659 and $12,400. At Category 6 (n=37), the mean cost is $83,515 with an interquartile range between $56,597 and $107,030.&#10;&#10;For 5-category ECCS, there are five categories labelled 1 to 5. 72% of the samples lie within categories 1 and 2. A positive linear relationship is shown between episode cost and category number. At Category 1 (n=1,230), the mean cost is $10,334 with an interquartile range between $6,659 and $12,400. At Category 5 (n=516), the mean cost is $57,183 with an interquartile range between $36,167 and $67,931.&#10;&#10;For PCCL, there are five categories labelled 0 to 4. There is no relationship between sample sizes within each of these categories and the category number. A positive relationship is shown between episode cost and category number. At Category 0 (n=1,066), the mean cost is $11,612 with an interquartile range between $7,127 and $13,482. At Category 4 (n=2,926), the mean cost is $39,568 with an interquartile range between $20,603 and $49,825.&#10;&#10;For DRG, there are three categories labelled A, B and C. A positive relationship is shown between episode cost and category. At Category C (n=3,637), the mean cost is $10,227 with an interquartile range between $6,829 and $12,373. At Category A (n=3,965), the mean cost is $36,502 with an interquartile range between $19,502 and $45,663." title="Comparison of ECCS, PCCL and AR-DRG by cost - G03 Stomach, Oesophageal and Duodenal Procedur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800" cstate="print">
                      <a:extLst>
                        <a:ext uri="{28A0092B-C50C-407E-A947-70E740481C1C}">
                          <a14:useLocalDpi xmlns:a14="http://schemas.microsoft.com/office/drawing/2010/main" val="0"/>
                        </a:ext>
                      </a:extLst>
                    </a:blip>
                    <a:srcRect/>
                    <a:stretch>
                      <a:fillRect/>
                    </a:stretch>
                  </pic:blipFill>
                  <pic:spPr bwMode="auto">
                    <a:xfrm rot="16200000">
                      <a:off x="0" y="0"/>
                      <a:ext cx="8028000" cy="5479200"/>
                    </a:xfrm>
                    <a:prstGeom prst="rect">
                      <a:avLst/>
                    </a:prstGeom>
                    <a:noFill/>
                    <a:ln>
                      <a:noFill/>
                    </a:ln>
                  </pic:spPr>
                </pic:pic>
              </a:graphicData>
            </a:graphic>
          </wp:inline>
        </w:drawing>
      </w:r>
      <w:bookmarkStart w:id="157" w:name="_Ref391541888"/>
      <w:bookmarkStart w:id="158" w:name="_Toc391543708"/>
    </w:p>
    <w:p w14:paraId="72A0D136" w14:textId="77777777" w:rsidR="005B5818" w:rsidRDefault="005B5818" w:rsidP="000E5B4A">
      <w:pPr>
        <w:pStyle w:val="Caption"/>
      </w:pPr>
      <w:bookmarkStart w:id="159" w:name="_Ref400551438"/>
      <w:bookmarkStart w:id="160" w:name="_Toc401061084"/>
      <w:r>
        <w:lastRenderedPageBreak/>
        <w:t xml:space="preserve">Figure </w:t>
      </w:r>
      <w:r w:rsidR="005559F5">
        <w:fldChar w:fldCharType="begin"/>
      </w:r>
      <w:r>
        <w:instrText xml:space="preserve"> SEQ Figure \* ARABIC </w:instrText>
      </w:r>
      <w:r w:rsidR="005559F5">
        <w:fldChar w:fldCharType="separate"/>
      </w:r>
      <w:r w:rsidR="0031717B">
        <w:rPr>
          <w:noProof/>
        </w:rPr>
        <w:t>31</w:t>
      </w:r>
      <w:r w:rsidR="005559F5">
        <w:fldChar w:fldCharType="end"/>
      </w:r>
      <w:bookmarkEnd w:id="157"/>
      <w:bookmarkEnd w:id="159"/>
      <w:r>
        <w:t xml:space="preserve">: </w:t>
      </w:r>
      <w:r w:rsidRPr="007B2A48">
        <w:t>Comparison of ECCS, PCCL and AR-DRG by cost - H01 Pancreas, Liver and Shunt Procedures</w:t>
      </w:r>
      <w:bookmarkEnd w:id="158"/>
      <w:r w:rsidR="00981B6D">
        <w:t>.</w:t>
      </w:r>
      <w:bookmarkEnd w:id="160"/>
    </w:p>
    <w:p w14:paraId="1E86F2FD" w14:textId="77777777" w:rsidR="00C910F3" w:rsidRDefault="000437D7" w:rsidP="002F7E33">
      <w:r w:rsidRPr="000437D7">
        <w:rPr>
          <w:noProof/>
          <w:lang w:val="en-AU" w:eastAsia="en-AU"/>
        </w:rPr>
        <w:drawing>
          <wp:inline distT="0" distB="0" distL="0" distR="0" wp14:anchorId="50B33AC6" wp14:editId="06E29500">
            <wp:extent cx="8136000" cy="5500800"/>
            <wp:effectExtent l="3175" t="0" r="1905" b="1905"/>
            <wp:docPr id="14442" name="Picture 14442" descr="For Rounded ECCS, there are seven categories labelled 0 to 6. 86% of the samples lie within categories 0 to 3. A positive relationship is shown between episode cost and category number. As the Category number increases, the episode cost increases at an increasing rate. At Category 0 (n=1,230), the mean cost is $10,688 with an interquartile range between $3,921 and $15,024. At Category 6 (n=37), the mean cost is $113,193 with an interquartile range between $76,235 and $143,845.&#10;&#10;For 5-category ECCS, there are five categories labelled 1 to 5. There is a negative relationship between sample sizes within each of these categories and the category number: as the category number increases, the sample size decreases. A positive relationship is again shown between episode cost and category number. As the Category number increases, the episode cost increases at an increasing rate. At Category 1 (n=1,230), the mean cost is $10,688 with an interquartile range between $3,921 and $15,024. At Category 5 (n=516), the mean cost is $71,736 with an interquartile range between $44,797 and $86,166.&#10;&#10;For PCCL, there are five categories labelled 0 to 4. There is no relationship between sample sizes within each of these categories and the category number. A positive relationship is shown between episode cost and category number. At Category 0 (n=1,066), the mean cost is $14,822 with an interquartile range between $4,931 and $20,335. At Category 4 (n=2,926), the mean cost is $38,448 with an interquartile range between $19,767 and $49,402.&#10;&#10;For DRG, there are two categories labelled A and B. The two categories have comparable sample sizes. A small positive relationship is shown between episode cost and category. At Category A (n=2,845), the mean cost is $18,262 with an interquartile range between $7,279 and $25,038. At Category B (n=2,926), the mean cost is $38,448 with an interquartile range between $19,767 and $49,402." title="Comparison of ECCS, PCCL and AR-DRG by cost - H01 Pancreas, Liver and Shunt Procedur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801" cstate="print">
                      <a:extLst>
                        <a:ext uri="{28A0092B-C50C-407E-A947-70E740481C1C}">
                          <a14:useLocalDpi xmlns:a14="http://schemas.microsoft.com/office/drawing/2010/main" val="0"/>
                        </a:ext>
                      </a:extLst>
                    </a:blip>
                    <a:srcRect/>
                    <a:stretch>
                      <a:fillRect/>
                    </a:stretch>
                  </pic:blipFill>
                  <pic:spPr bwMode="auto">
                    <a:xfrm rot="16200000">
                      <a:off x="0" y="0"/>
                      <a:ext cx="8136000" cy="5500800"/>
                    </a:xfrm>
                    <a:prstGeom prst="rect">
                      <a:avLst/>
                    </a:prstGeom>
                    <a:noFill/>
                    <a:ln>
                      <a:noFill/>
                    </a:ln>
                  </pic:spPr>
                </pic:pic>
              </a:graphicData>
            </a:graphic>
          </wp:inline>
        </w:drawing>
      </w:r>
      <w:bookmarkStart w:id="161" w:name="_Ref391541889"/>
      <w:bookmarkStart w:id="162" w:name="_Toc391543709"/>
    </w:p>
    <w:p w14:paraId="3A249CD1" w14:textId="77777777" w:rsidR="005B5818" w:rsidRDefault="005B5818" w:rsidP="000E5B4A">
      <w:pPr>
        <w:pStyle w:val="Caption"/>
      </w:pPr>
      <w:bookmarkStart w:id="163" w:name="_Ref400551449"/>
      <w:bookmarkStart w:id="164" w:name="_Toc401061085"/>
      <w:r>
        <w:lastRenderedPageBreak/>
        <w:t xml:space="preserve">Figure </w:t>
      </w:r>
      <w:r w:rsidR="005559F5">
        <w:fldChar w:fldCharType="begin"/>
      </w:r>
      <w:r>
        <w:instrText xml:space="preserve"> SEQ Figure \* ARABIC </w:instrText>
      </w:r>
      <w:r w:rsidR="005559F5">
        <w:fldChar w:fldCharType="separate"/>
      </w:r>
      <w:r w:rsidR="0031717B">
        <w:rPr>
          <w:noProof/>
        </w:rPr>
        <w:t>32</w:t>
      </w:r>
      <w:r w:rsidR="005559F5">
        <w:fldChar w:fldCharType="end"/>
      </w:r>
      <w:bookmarkEnd w:id="161"/>
      <w:bookmarkEnd w:id="163"/>
      <w:r>
        <w:t xml:space="preserve">: </w:t>
      </w:r>
      <w:r w:rsidRPr="00500782">
        <w:t xml:space="preserve">Comparison of ECCS, PCCL and AR-DRG by cost - T60 </w:t>
      </w:r>
      <w:proofErr w:type="spellStart"/>
      <w:r w:rsidRPr="00500782">
        <w:t>Septicaemia</w:t>
      </w:r>
      <w:bookmarkEnd w:id="162"/>
      <w:proofErr w:type="spellEnd"/>
      <w:r w:rsidR="00981B6D">
        <w:t>.</w:t>
      </w:r>
      <w:bookmarkEnd w:id="164"/>
    </w:p>
    <w:p w14:paraId="29A0CDA7" w14:textId="77777777" w:rsidR="00144F26" w:rsidRDefault="000437D7" w:rsidP="00F44AB0">
      <w:pPr>
        <w:rPr>
          <w:szCs w:val="24"/>
          <w:lang w:val="en-AU"/>
        </w:rPr>
      </w:pPr>
      <w:r w:rsidRPr="000437D7">
        <w:rPr>
          <w:noProof/>
          <w:lang w:val="en-AU" w:eastAsia="en-AU"/>
        </w:rPr>
        <w:drawing>
          <wp:inline distT="0" distB="0" distL="0" distR="0" wp14:anchorId="3D7AD706" wp14:editId="2C97D999">
            <wp:extent cx="8280000" cy="5742000"/>
            <wp:effectExtent l="0" t="7302" r="0" b="0"/>
            <wp:docPr id="14443" name="Picture 14443" descr="For Rounded ECCS, there are eleven categories labelled 0 to 10. Sample sizes within each of these categories is normally distributed, with the mode occurring at Category 3 (n=9,768).  A positive relationship is shown between episode cost and category number. As the Category number increases, the episode cost increases at an increasing rate. At Category 0 (n=39), the mean cost is $4,533 with an interquartile range between $1,386 and $5,502. At Category 10 (n=67), the mean cost is $47,913 with an interquartile range between $22,949 and $65,246.&#10;&#10;For 5-category ECCS, there are five categories labelled 1 to 5. There is a negative relationship between sample sizes within each of these categories and the category number: as the category number increases, the sample size decreases. A positive relationship is again shown between episode cost and category number. At Category 1 (n=11,911), the mean cost is $6,507 with an interquartile range between $2,801 and $8,291. At Category 5 (n=2,935), the mean cost is $30,088 with an interquartile range between $14,039 and $38,952.&#10;&#10;For PCCL, there are five categories labelled 0 to 4. There is generally a positive relationship between sample sizes within each of these categories and the category number: as the category number increases, the sample size increases (except for at Category 1 which only contains only 0.3% of all episodes). A very weak positive relationship is shown between episode cost and category number. At Category 0 (n=3,790), the mean cost is $6,037 with an interquartile range between $2,248 and $7,757. At Category 4 (n=17,603), the mean cost is $15,879 with an interquartile range between $6,376 and $19,788&#10;&#10;For DRG, there are two categories labelled A and B. The two categories have comparable sample sizes. A small positive relationship is shown between episode cost and category. At Category A (n=17,234), the mean cost is $7,893 with a range between $3,510 and $9,942. At Category B (n=17,603), the mean cost is $15,879 with a range between $6,376 and $19,788." title="Comparison of ECCS, PCCL and AR-DRG by cost - T60 Septicaem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802" cstate="print">
                      <a:extLst>
                        <a:ext uri="{28A0092B-C50C-407E-A947-70E740481C1C}">
                          <a14:useLocalDpi xmlns:a14="http://schemas.microsoft.com/office/drawing/2010/main" val="0"/>
                        </a:ext>
                      </a:extLst>
                    </a:blip>
                    <a:srcRect/>
                    <a:stretch>
                      <a:fillRect/>
                    </a:stretch>
                  </pic:blipFill>
                  <pic:spPr bwMode="auto">
                    <a:xfrm rot="16200000">
                      <a:off x="0" y="0"/>
                      <a:ext cx="8280000" cy="5742000"/>
                    </a:xfrm>
                    <a:prstGeom prst="rect">
                      <a:avLst/>
                    </a:prstGeom>
                    <a:noFill/>
                    <a:ln>
                      <a:noFill/>
                    </a:ln>
                  </pic:spPr>
                </pic:pic>
              </a:graphicData>
            </a:graphic>
          </wp:inline>
        </w:drawing>
      </w:r>
    </w:p>
    <w:p w14:paraId="6C83D286" w14:textId="77777777" w:rsidR="008310F7" w:rsidRPr="00B27BD2" w:rsidRDefault="008310F7" w:rsidP="00FB653B">
      <w:pPr>
        <w:keepNext/>
        <w:pBdr>
          <w:top w:val="single" w:sz="4" w:space="1" w:color="auto"/>
          <w:left w:val="single" w:sz="4" w:space="4" w:color="auto"/>
          <w:bottom w:val="single" w:sz="4" w:space="1" w:color="auto"/>
          <w:right w:val="single" w:sz="4" w:space="4" w:color="auto"/>
        </w:pBdr>
        <w:shd w:val="clear" w:color="auto" w:fill="DBE5F1" w:themeFill="accent1" w:themeFillTint="33"/>
        <w:rPr>
          <w:b/>
          <w:i/>
          <w:szCs w:val="24"/>
          <w:lang w:val="en-AU"/>
        </w:rPr>
      </w:pPr>
      <w:r>
        <w:rPr>
          <w:b/>
          <w:i/>
          <w:color w:val="1F497D" w:themeColor="text2"/>
          <w:szCs w:val="24"/>
          <w:lang w:val="en-AU"/>
        </w:rPr>
        <w:lastRenderedPageBreak/>
        <w:t xml:space="preserve">Key Finding </w:t>
      </w:r>
      <w:r w:rsidR="00FA7F1B">
        <w:rPr>
          <w:b/>
          <w:i/>
          <w:color w:val="1F497D" w:themeColor="text2"/>
          <w:szCs w:val="24"/>
          <w:lang w:val="en-AU"/>
        </w:rPr>
        <w:t>8</w:t>
      </w:r>
    </w:p>
    <w:p w14:paraId="1830470F" w14:textId="77777777" w:rsidR="008310F7" w:rsidRPr="00883B8D" w:rsidRDefault="008310F7" w:rsidP="006056B9">
      <w:pPr>
        <w:pBdr>
          <w:top w:val="single" w:sz="4" w:space="1" w:color="auto"/>
          <w:left w:val="single" w:sz="4" w:space="4" w:color="auto"/>
          <w:bottom w:val="single" w:sz="4" w:space="1" w:color="auto"/>
          <w:right w:val="single" w:sz="4" w:space="4" w:color="auto"/>
        </w:pBdr>
        <w:shd w:val="clear" w:color="auto" w:fill="DBE5F1" w:themeFill="accent1" w:themeFillTint="33"/>
        <w:rPr>
          <w:i/>
          <w:szCs w:val="24"/>
          <w:lang w:val="en-AU"/>
        </w:rPr>
      </w:pPr>
      <w:r w:rsidRPr="008310F7">
        <w:rPr>
          <w:i/>
          <w:szCs w:val="24"/>
          <w:lang w:val="en-AU"/>
        </w:rPr>
        <w:t>The new ECCS was shown to be a much improved predictor of cost at the episode level wh</w:t>
      </w:r>
      <w:r w:rsidR="003214EC">
        <w:rPr>
          <w:i/>
          <w:szCs w:val="24"/>
          <w:lang w:val="en-AU"/>
        </w:rPr>
        <w:t>en compared to the current PCCL</w:t>
      </w:r>
      <w:r w:rsidRPr="008310F7">
        <w:rPr>
          <w:i/>
          <w:szCs w:val="24"/>
          <w:lang w:val="en-AU"/>
        </w:rPr>
        <w:t>. Overall, the ECCS was shown to have the potential to greatly increase performance of the AR-DRG classification.</w:t>
      </w:r>
    </w:p>
    <w:p w14:paraId="0F22BEFA" w14:textId="77777777" w:rsidR="008310F7" w:rsidRDefault="008310F7" w:rsidP="006056B9">
      <w:pPr>
        <w:rPr>
          <w:szCs w:val="24"/>
          <w:lang w:val="en-AU"/>
        </w:rPr>
      </w:pPr>
    </w:p>
    <w:p w14:paraId="43053CF6" w14:textId="77777777" w:rsidR="00931718" w:rsidRPr="00721499" w:rsidRDefault="00931718" w:rsidP="00721499">
      <w:pPr>
        <w:pStyle w:val="Recommendation"/>
        <w:rPr>
          <w:b/>
          <w:color w:val="1F497D" w:themeColor="text2"/>
        </w:rPr>
      </w:pPr>
      <w:r w:rsidRPr="00721499">
        <w:rPr>
          <w:b/>
          <w:color w:val="1F497D" w:themeColor="text2"/>
        </w:rPr>
        <w:t xml:space="preserve">Recommendation </w:t>
      </w:r>
      <w:r w:rsidR="00FA7F1B" w:rsidRPr="00721499">
        <w:rPr>
          <w:b/>
          <w:color w:val="1F497D" w:themeColor="text2"/>
        </w:rPr>
        <w:t>6</w:t>
      </w:r>
    </w:p>
    <w:p w14:paraId="3B006F6D" w14:textId="77777777" w:rsidR="003214EC" w:rsidRDefault="003214EC" w:rsidP="00721499">
      <w:pPr>
        <w:pStyle w:val="Recommendation"/>
      </w:pPr>
      <w:r>
        <w:t>Based on Key Finding</w:t>
      </w:r>
      <w:r w:rsidRPr="00B27BD2">
        <w:t xml:space="preserve"> </w:t>
      </w:r>
      <w:r>
        <w:t>8</w:t>
      </w:r>
      <w:r w:rsidRPr="00B27BD2">
        <w:t xml:space="preserve">, ACCD in consultation with the </w:t>
      </w:r>
      <w:r>
        <w:t>DTG</w:t>
      </w:r>
      <w:r w:rsidRPr="00B27BD2">
        <w:t xml:space="preserve"> and </w:t>
      </w:r>
      <w:r>
        <w:t>CCAG</w:t>
      </w:r>
      <w:r w:rsidRPr="00B27BD2">
        <w:t xml:space="preserve"> recommends that </w:t>
      </w:r>
      <w:r>
        <w:t>the ECCS measure be adopted to estimate clinical complexity at the episode level.</w:t>
      </w:r>
    </w:p>
    <w:p w14:paraId="1ABF7C12" w14:textId="77777777" w:rsidR="008310F7" w:rsidRPr="00721499" w:rsidRDefault="008310F7" w:rsidP="00721499">
      <w:pPr>
        <w:pStyle w:val="Recommendation"/>
        <w:rPr>
          <w:b/>
          <w:color w:val="1F497D" w:themeColor="text2"/>
        </w:rPr>
      </w:pPr>
      <w:r w:rsidRPr="00721499">
        <w:rPr>
          <w:b/>
          <w:color w:val="1F497D" w:themeColor="text2"/>
        </w:rPr>
        <w:t xml:space="preserve">Recommendation </w:t>
      </w:r>
      <w:r w:rsidR="00FA7F1B" w:rsidRPr="00721499">
        <w:rPr>
          <w:b/>
          <w:color w:val="1F497D" w:themeColor="text2"/>
        </w:rPr>
        <w:t>7</w:t>
      </w:r>
    </w:p>
    <w:p w14:paraId="3F077F5A" w14:textId="77777777" w:rsidR="008310F7" w:rsidRPr="00883B8D" w:rsidRDefault="008310F7" w:rsidP="00721499">
      <w:pPr>
        <w:pStyle w:val="Recommendation"/>
      </w:pPr>
      <w:r w:rsidRPr="00B27BD2">
        <w:t xml:space="preserve">Based on Key Findings </w:t>
      </w:r>
      <w:r>
        <w:t>1</w:t>
      </w:r>
      <w:r w:rsidRPr="00B27BD2">
        <w:t xml:space="preserve"> – </w:t>
      </w:r>
      <w:r w:rsidR="00FA7F1B">
        <w:t>8</w:t>
      </w:r>
      <w:r w:rsidRPr="00B27BD2">
        <w:t xml:space="preserve">, ACCD in consultation with the </w:t>
      </w:r>
      <w:r>
        <w:t>DTG</w:t>
      </w:r>
      <w:r w:rsidRPr="00B27BD2">
        <w:t xml:space="preserve"> and </w:t>
      </w:r>
      <w:r>
        <w:t>CCAG</w:t>
      </w:r>
      <w:r w:rsidRPr="00B27BD2">
        <w:t xml:space="preserve"> recommends that the proposed ECC Model which has shown to be a much improved predictor of cost at the diagnosis and episode level be adopted as the new case complexity structure for AR-DRG Version 8.0 and future versions of </w:t>
      </w:r>
      <w:r>
        <w:t>the AR-DRG classification.</w:t>
      </w:r>
    </w:p>
    <w:p w14:paraId="1DAD7E1B" w14:textId="77777777" w:rsidR="005B5818" w:rsidRPr="00033906" w:rsidRDefault="005B5818" w:rsidP="00B60372">
      <w:pPr>
        <w:pStyle w:val="Heading3"/>
      </w:pPr>
      <w:r w:rsidRPr="00033906">
        <w:t>Comparative performance on paediatric episodes</w:t>
      </w:r>
    </w:p>
    <w:p w14:paraId="23CBA68E" w14:textId="77777777" w:rsidR="005B5818" w:rsidRPr="00DA749A" w:rsidRDefault="005B5818" w:rsidP="006056B9">
      <w:pPr>
        <w:rPr>
          <w:szCs w:val="24"/>
          <w:lang w:val="en-AU"/>
        </w:rPr>
      </w:pPr>
      <w:r>
        <w:rPr>
          <w:szCs w:val="24"/>
          <w:lang w:val="en-AU"/>
        </w:rPr>
        <w:t>The assessment of the ECC Model on paediatric episodes was</w:t>
      </w:r>
      <w:r w:rsidR="0072496C">
        <w:rPr>
          <w:szCs w:val="24"/>
          <w:lang w:val="en-AU"/>
        </w:rPr>
        <w:t xml:space="preserve"> assessed in terms of the overall </w:t>
      </w:r>
      <w:r>
        <w:rPr>
          <w:szCs w:val="24"/>
          <w:lang w:val="en-AU"/>
        </w:rPr>
        <w:t>RID and R</w:t>
      </w:r>
      <w:r w:rsidRPr="00B5534A">
        <w:rPr>
          <w:szCs w:val="24"/>
          <w:vertAlign w:val="superscript"/>
          <w:lang w:val="en-AU"/>
        </w:rPr>
        <w:t>2</w:t>
      </w:r>
      <w:r>
        <w:rPr>
          <w:szCs w:val="24"/>
          <w:lang w:val="en-AU"/>
        </w:rPr>
        <w:t xml:space="preserve"> st</w:t>
      </w:r>
      <w:r w:rsidR="0072496C">
        <w:rPr>
          <w:szCs w:val="24"/>
          <w:lang w:val="en-AU"/>
        </w:rPr>
        <w:t>atistics on paediatric episodes and a c</w:t>
      </w:r>
      <w:r>
        <w:rPr>
          <w:szCs w:val="24"/>
          <w:lang w:val="en-AU"/>
        </w:rPr>
        <w:t>ost ratio analysis of population-level cost models restricted to paediatric episodes.</w:t>
      </w:r>
    </w:p>
    <w:p w14:paraId="56C159C5" w14:textId="77777777" w:rsidR="005B5818" w:rsidRDefault="005B5818" w:rsidP="006056B9">
      <w:pPr>
        <w:rPr>
          <w:szCs w:val="24"/>
          <w:lang w:val="en-AU"/>
        </w:rPr>
      </w:pPr>
      <w:r>
        <w:rPr>
          <w:szCs w:val="24"/>
          <w:lang w:val="en-AU"/>
        </w:rPr>
        <w:t>Note that paediatrics was taken to be episodes with age (in years) of patient at admission less than or equal to 16, excluding newborn episodes (i.e. MDC 15).</w:t>
      </w:r>
    </w:p>
    <w:p w14:paraId="529DBFA5" w14:textId="77777777" w:rsidR="005B5818" w:rsidRPr="00225F62" w:rsidRDefault="00CC0F16" w:rsidP="006056B9">
      <w:pPr>
        <w:rPr>
          <w:szCs w:val="24"/>
          <w:lang w:val="en-AU"/>
        </w:rPr>
      </w:pPr>
      <w:r>
        <w:fldChar w:fldCharType="begin"/>
      </w:r>
      <w:r>
        <w:instrText xml:space="preserve"> REF _Ref391125561 \h  \* MERGEFORMAT </w:instrText>
      </w:r>
      <w:r>
        <w:fldChar w:fldCharType="separate"/>
      </w:r>
      <w:r w:rsidR="0031717B" w:rsidRPr="0031717B">
        <w:rPr>
          <w:szCs w:val="24"/>
        </w:rPr>
        <w:t xml:space="preserve">Table </w:t>
      </w:r>
      <w:r w:rsidR="0031717B" w:rsidRPr="0031717B">
        <w:rPr>
          <w:noProof/>
          <w:szCs w:val="24"/>
        </w:rPr>
        <w:t>14</w:t>
      </w:r>
      <w:r>
        <w:fldChar w:fldCharType="end"/>
      </w:r>
      <w:r w:rsidR="005B5818" w:rsidRPr="00904A5C">
        <w:rPr>
          <w:szCs w:val="24"/>
          <w:lang w:val="en-AU"/>
        </w:rPr>
        <w:t xml:space="preserve"> shows that the 5-category ECCS models perform well overall in terms of </w:t>
      </w:r>
      <w:r w:rsidR="005B5818">
        <w:rPr>
          <w:szCs w:val="24"/>
          <w:lang w:val="en-AU"/>
        </w:rPr>
        <w:t>R</w:t>
      </w:r>
      <w:r w:rsidR="005B5818" w:rsidRPr="00C938E8">
        <w:rPr>
          <w:szCs w:val="24"/>
          <w:vertAlign w:val="superscript"/>
          <w:lang w:val="en-AU"/>
        </w:rPr>
        <w:t>2</w:t>
      </w:r>
      <w:r w:rsidR="005B5818" w:rsidRPr="00904A5C">
        <w:rPr>
          <w:szCs w:val="24"/>
          <w:lang w:val="en-AU"/>
        </w:rPr>
        <w:t xml:space="preserve"> and RID statistics.</w:t>
      </w:r>
      <w:r w:rsidR="005B5818">
        <w:rPr>
          <w:szCs w:val="24"/>
          <w:lang w:val="en-AU"/>
        </w:rPr>
        <w:t xml:space="preserve"> Similar to performance across all episodes, the ECCS models significantly outperform both the nested PCCL model and the AR-DRG classification in terms of R</w:t>
      </w:r>
      <w:r w:rsidR="005B5818">
        <w:rPr>
          <w:szCs w:val="24"/>
          <w:vertAlign w:val="superscript"/>
          <w:lang w:val="en-AU"/>
        </w:rPr>
        <w:t>2</w:t>
      </w:r>
      <w:r w:rsidR="005B5818">
        <w:rPr>
          <w:szCs w:val="24"/>
          <w:lang w:val="en-AU"/>
        </w:rPr>
        <w:t xml:space="preserve">. They also outperform the PCCL model in terms of RID, and although they have a lower RID compared to the AR-DRG classification, the extra reduction in </w:t>
      </w:r>
      <w:proofErr w:type="spellStart"/>
      <w:r w:rsidR="005B5818">
        <w:rPr>
          <w:szCs w:val="24"/>
          <w:lang w:val="en-AU"/>
        </w:rPr>
        <w:t>deviance</w:t>
      </w:r>
      <w:proofErr w:type="spellEnd"/>
      <w:r w:rsidR="005B5818">
        <w:rPr>
          <w:szCs w:val="24"/>
          <w:lang w:val="en-AU"/>
        </w:rPr>
        <w:t xml:space="preserve"> of the AR-DRG classification is due to the use of other variables including LOS in the classification. </w:t>
      </w:r>
    </w:p>
    <w:p w14:paraId="08CDF80F" w14:textId="77777777" w:rsidR="005B5818" w:rsidRPr="00225F62" w:rsidRDefault="005B5818" w:rsidP="000E5B4A">
      <w:pPr>
        <w:pStyle w:val="Caption"/>
      </w:pPr>
      <w:bookmarkStart w:id="165" w:name="_Ref391125561"/>
      <w:bookmarkStart w:id="166" w:name="_Toc401061101"/>
      <w:r w:rsidRPr="00225F62">
        <w:lastRenderedPageBreak/>
        <w:t xml:space="preserve">Table </w:t>
      </w:r>
      <w:r w:rsidR="005559F5" w:rsidRPr="00225F62">
        <w:fldChar w:fldCharType="begin"/>
      </w:r>
      <w:r w:rsidRPr="00225F62">
        <w:instrText xml:space="preserve"> SEQ Table \* ARABIC </w:instrText>
      </w:r>
      <w:r w:rsidR="005559F5" w:rsidRPr="00225F62">
        <w:fldChar w:fldCharType="separate"/>
      </w:r>
      <w:r w:rsidR="0031717B">
        <w:rPr>
          <w:noProof/>
        </w:rPr>
        <w:t>14</w:t>
      </w:r>
      <w:r w:rsidR="005559F5" w:rsidRPr="00225F62">
        <w:fldChar w:fldCharType="end"/>
      </w:r>
      <w:bookmarkEnd w:id="165"/>
      <w:r w:rsidRPr="00225F62">
        <w:t>: Comparative summary of the performance of ADRG splitting models</w:t>
      </w:r>
      <w:r w:rsidRPr="00225F62">
        <w:rPr>
          <w:noProof/>
        </w:rPr>
        <w:t xml:space="preserve"> using R2 and RID - paediatric episodes</w:t>
      </w:r>
      <w:r w:rsidR="000E4FA5">
        <w:rPr>
          <w:noProof/>
        </w:rPr>
        <w:t>.</w:t>
      </w:r>
      <w:bookmarkEnd w:id="166"/>
    </w:p>
    <w:tbl>
      <w:tblPr>
        <w:tblStyle w:val="Style1"/>
        <w:tblW w:w="7051" w:type="dxa"/>
        <w:tblLook w:val="0460" w:firstRow="1" w:lastRow="1" w:firstColumn="0" w:lastColumn="0" w:noHBand="0" w:noVBand="1"/>
        <w:tblCaption w:val="Comparative summary of the performance of ADRG splitting models using R2 and RID - paediatric episodes"/>
        <w:tblDescription w:val="The table has four columns: the first lists the model classifications being compared; the second gives the number of paediatric categories in each classification; the third gives the R squared statistic; and the fourth gives the RID statistic."/>
      </w:tblPr>
      <w:tblGrid>
        <w:gridCol w:w="4025"/>
        <w:gridCol w:w="1280"/>
        <w:gridCol w:w="873"/>
        <w:gridCol w:w="873"/>
      </w:tblGrid>
      <w:tr w:rsidR="005B5818" w:rsidRPr="00F26F94" w14:paraId="17FEBD93" w14:textId="77777777" w:rsidTr="0016559E">
        <w:trPr>
          <w:cnfStyle w:val="100000000000" w:firstRow="1" w:lastRow="0" w:firstColumn="0" w:lastColumn="0" w:oddVBand="0" w:evenVBand="0" w:oddHBand="0" w:evenHBand="0" w:firstRowFirstColumn="0" w:firstRowLastColumn="0" w:lastRowFirstColumn="0" w:lastRowLastColumn="0"/>
          <w:trHeight w:val="300"/>
          <w:tblHeader/>
        </w:trPr>
        <w:tc>
          <w:tcPr>
            <w:tcW w:w="4025" w:type="dxa"/>
            <w:noWrap/>
            <w:hideMark/>
          </w:tcPr>
          <w:p w14:paraId="60B20621" w14:textId="77777777" w:rsidR="005B5818" w:rsidRPr="00F26F94" w:rsidRDefault="005B5818" w:rsidP="00715204">
            <w:pPr>
              <w:pStyle w:val="Table"/>
            </w:pPr>
            <w:r w:rsidRPr="00F26F94">
              <w:t>Classification</w:t>
            </w:r>
          </w:p>
        </w:tc>
        <w:tc>
          <w:tcPr>
            <w:tcW w:w="1280" w:type="dxa"/>
            <w:noWrap/>
            <w:hideMark/>
          </w:tcPr>
          <w:p w14:paraId="28A2000C" w14:textId="77777777" w:rsidR="005B5818" w:rsidRPr="00F26F94" w:rsidRDefault="005B5818" w:rsidP="00715204">
            <w:pPr>
              <w:pStyle w:val="Table"/>
            </w:pPr>
            <w:r w:rsidRPr="00F26F94">
              <w:t>Categories</w:t>
            </w:r>
          </w:p>
        </w:tc>
        <w:tc>
          <w:tcPr>
            <w:tcW w:w="873" w:type="dxa"/>
            <w:noWrap/>
            <w:hideMark/>
          </w:tcPr>
          <w:p w14:paraId="69E8A0F4" w14:textId="77777777" w:rsidR="005B5818" w:rsidRPr="00F26F94" w:rsidRDefault="005B5818" w:rsidP="00715204">
            <w:pPr>
              <w:pStyle w:val="Table"/>
            </w:pPr>
            <w:r w:rsidRPr="00F26F94">
              <w:t>R</w:t>
            </w:r>
            <w:r>
              <w:rPr>
                <w:vertAlign w:val="superscript"/>
              </w:rPr>
              <w:t>2</w:t>
            </w:r>
          </w:p>
        </w:tc>
        <w:tc>
          <w:tcPr>
            <w:tcW w:w="873" w:type="dxa"/>
            <w:noWrap/>
            <w:hideMark/>
          </w:tcPr>
          <w:p w14:paraId="1C738D41" w14:textId="77777777" w:rsidR="005B5818" w:rsidRPr="00F26F94" w:rsidRDefault="005B5818" w:rsidP="00715204">
            <w:pPr>
              <w:pStyle w:val="Table"/>
            </w:pPr>
            <w:r w:rsidRPr="00F26F94">
              <w:t>RID</w:t>
            </w:r>
          </w:p>
        </w:tc>
      </w:tr>
      <w:tr w:rsidR="005B5818" w:rsidRPr="00F26F94" w14:paraId="138643FA" w14:textId="77777777" w:rsidTr="0016559E">
        <w:trPr>
          <w:trHeight w:val="300"/>
        </w:trPr>
        <w:tc>
          <w:tcPr>
            <w:tcW w:w="4025" w:type="dxa"/>
            <w:noWrap/>
            <w:hideMark/>
          </w:tcPr>
          <w:p w14:paraId="22BB6468" w14:textId="77777777" w:rsidR="005B5818" w:rsidRPr="00F26F94" w:rsidRDefault="005B5818" w:rsidP="002F7E33">
            <w:pPr>
              <w:pStyle w:val="Table"/>
              <w:keepNext/>
            </w:pPr>
            <w:r w:rsidRPr="00F26F94">
              <w:t>ADRG</w:t>
            </w:r>
          </w:p>
        </w:tc>
        <w:tc>
          <w:tcPr>
            <w:tcW w:w="1280" w:type="dxa"/>
            <w:noWrap/>
            <w:hideMark/>
          </w:tcPr>
          <w:p w14:paraId="0A079F82" w14:textId="77777777" w:rsidR="005B5818" w:rsidRPr="00F26F94" w:rsidRDefault="005B5818">
            <w:pPr>
              <w:pStyle w:val="TableNumber"/>
            </w:pPr>
            <w:r w:rsidRPr="00F26F94">
              <w:t>375</w:t>
            </w:r>
          </w:p>
        </w:tc>
        <w:tc>
          <w:tcPr>
            <w:tcW w:w="873" w:type="dxa"/>
            <w:noWrap/>
            <w:hideMark/>
          </w:tcPr>
          <w:p w14:paraId="617EFAC4" w14:textId="77777777" w:rsidR="005B5818" w:rsidRPr="00F26F94" w:rsidRDefault="005B5818">
            <w:pPr>
              <w:pStyle w:val="TableNumber"/>
            </w:pPr>
            <w:r w:rsidRPr="00F26F94">
              <w:t>37.8%</w:t>
            </w:r>
          </w:p>
        </w:tc>
        <w:tc>
          <w:tcPr>
            <w:tcW w:w="873" w:type="dxa"/>
            <w:noWrap/>
            <w:hideMark/>
          </w:tcPr>
          <w:p w14:paraId="5F67286A" w14:textId="77777777" w:rsidR="005B5818" w:rsidRPr="00F26F94" w:rsidRDefault="005B5818">
            <w:pPr>
              <w:pStyle w:val="TableNumber"/>
            </w:pPr>
            <w:r w:rsidRPr="00F26F94">
              <w:t>45.1%</w:t>
            </w:r>
          </w:p>
        </w:tc>
      </w:tr>
      <w:tr w:rsidR="005B5818" w:rsidRPr="00F26F94" w14:paraId="2E5948DE" w14:textId="77777777" w:rsidTr="0016559E">
        <w:trPr>
          <w:trHeight w:val="300"/>
        </w:trPr>
        <w:tc>
          <w:tcPr>
            <w:tcW w:w="4025" w:type="dxa"/>
            <w:noWrap/>
            <w:hideMark/>
          </w:tcPr>
          <w:p w14:paraId="20EA7CA7" w14:textId="77777777" w:rsidR="005B5818" w:rsidRPr="00F26F94" w:rsidRDefault="005B5818" w:rsidP="002F7E33">
            <w:pPr>
              <w:pStyle w:val="Table"/>
              <w:keepNext/>
            </w:pPr>
            <w:r w:rsidRPr="00F26F94">
              <w:t>PCCL (in ADRG)</w:t>
            </w:r>
          </w:p>
        </w:tc>
        <w:tc>
          <w:tcPr>
            <w:tcW w:w="1280" w:type="dxa"/>
            <w:noWrap/>
            <w:hideMark/>
          </w:tcPr>
          <w:p w14:paraId="5EBCDA4C" w14:textId="77777777" w:rsidR="005B5818" w:rsidRPr="00F26F94" w:rsidRDefault="005B5818">
            <w:pPr>
              <w:pStyle w:val="TableNumber"/>
            </w:pPr>
            <w:r w:rsidRPr="00F26F94">
              <w:t>1,626</w:t>
            </w:r>
          </w:p>
        </w:tc>
        <w:tc>
          <w:tcPr>
            <w:tcW w:w="873" w:type="dxa"/>
            <w:noWrap/>
            <w:hideMark/>
          </w:tcPr>
          <w:p w14:paraId="0E0F8854" w14:textId="77777777" w:rsidR="005B5818" w:rsidRPr="00F26F94" w:rsidRDefault="005B5818">
            <w:pPr>
              <w:pStyle w:val="TableNumber"/>
            </w:pPr>
            <w:r w:rsidRPr="00F26F94">
              <w:t>44.7%</w:t>
            </w:r>
          </w:p>
        </w:tc>
        <w:tc>
          <w:tcPr>
            <w:tcW w:w="873" w:type="dxa"/>
            <w:noWrap/>
            <w:hideMark/>
          </w:tcPr>
          <w:p w14:paraId="04EDB584" w14:textId="77777777" w:rsidR="005B5818" w:rsidRPr="00F26F94" w:rsidRDefault="005B5818">
            <w:pPr>
              <w:pStyle w:val="TableNumber"/>
            </w:pPr>
            <w:r w:rsidRPr="00F26F94">
              <w:t>52.2%</w:t>
            </w:r>
          </w:p>
        </w:tc>
      </w:tr>
      <w:tr w:rsidR="005B5818" w:rsidRPr="00F26F94" w14:paraId="416D114F" w14:textId="77777777" w:rsidTr="0016559E">
        <w:trPr>
          <w:trHeight w:val="300"/>
        </w:trPr>
        <w:tc>
          <w:tcPr>
            <w:tcW w:w="4025" w:type="dxa"/>
            <w:noWrap/>
            <w:hideMark/>
          </w:tcPr>
          <w:p w14:paraId="324D442A" w14:textId="77777777" w:rsidR="005B5818" w:rsidRPr="00F26F94" w:rsidRDefault="005B5818" w:rsidP="002F7E33">
            <w:pPr>
              <w:pStyle w:val="Table"/>
              <w:keepNext/>
            </w:pPr>
            <w:r w:rsidRPr="00F26F94">
              <w:t>DRG</w:t>
            </w:r>
          </w:p>
        </w:tc>
        <w:tc>
          <w:tcPr>
            <w:tcW w:w="1280" w:type="dxa"/>
            <w:noWrap/>
            <w:hideMark/>
          </w:tcPr>
          <w:p w14:paraId="593CDF17" w14:textId="77777777" w:rsidR="005B5818" w:rsidRPr="00F26F94" w:rsidRDefault="005B5818">
            <w:pPr>
              <w:pStyle w:val="TableNumber"/>
            </w:pPr>
            <w:r w:rsidRPr="00F26F94">
              <w:t>701</w:t>
            </w:r>
          </w:p>
        </w:tc>
        <w:tc>
          <w:tcPr>
            <w:tcW w:w="873" w:type="dxa"/>
            <w:noWrap/>
            <w:hideMark/>
          </w:tcPr>
          <w:p w14:paraId="0F475B69" w14:textId="77777777" w:rsidR="005B5818" w:rsidRPr="00F26F94" w:rsidRDefault="005B5818">
            <w:pPr>
              <w:pStyle w:val="TableNumber"/>
            </w:pPr>
            <w:r w:rsidRPr="00F26F94">
              <w:t>44.9%</w:t>
            </w:r>
          </w:p>
        </w:tc>
        <w:tc>
          <w:tcPr>
            <w:tcW w:w="873" w:type="dxa"/>
            <w:noWrap/>
            <w:hideMark/>
          </w:tcPr>
          <w:p w14:paraId="3F8A8DC2" w14:textId="77777777" w:rsidR="005B5818" w:rsidRPr="00F26F94" w:rsidRDefault="005B5818">
            <w:pPr>
              <w:pStyle w:val="TableNumber"/>
            </w:pPr>
            <w:r w:rsidRPr="00F26F94">
              <w:t>56.6%</w:t>
            </w:r>
          </w:p>
        </w:tc>
      </w:tr>
      <w:tr w:rsidR="005B5818" w:rsidRPr="00F26F94" w14:paraId="023534FA" w14:textId="77777777" w:rsidTr="0016559E">
        <w:trPr>
          <w:trHeight w:val="300"/>
        </w:trPr>
        <w:tc>
          <w:tcPr>
            <w:tcW w:w="4025" w:type="dxa"/>
            <w:noWrap/>
            <w:hideMark/>
          </w:tcPr>
          <w:p w14:paraId="103DE8A2" w14:textId="77777777" w:rsidR="005B5818" w:rsidRPr="00F26F94" w:rsidRDefault="005B5818" w:rsidP="002F7E33">
            <w:pPr>
              <w:pStyle w:val="Table"/>
              <w:keepNext/>
              <w:rPr>
                <w:rFonts w:ascii="Calibri" w:eastAsia="Times New Roman" w:hAnsi="Calibri" w:cs="Times New Roman"/>
                <w:color w:val="000000"/>
              </w:rPr>
            </w:pPr>
            <w:r w:rsidRPr="00F26F94">
              <w:rPr>
                <w:rFonts w:ascii="Calibri" w:eastAsia="Times New Roman" w:hAnsi="Calibri" w:cs="Times New Roman"/>
                <w:color w:val="000000"/>
              </w:rPr>
              <w:t xml:space="preserve">ECCS 5Cat (in ADRG) - </w:t>
            </w:r>
            <w:r>
              <w:rPr>
                <w:szCs w:val="24"/>
              </w:rPr>
              <w:t>R</w:t>
            </w:r>
            <w:r w:rsidRPr="00C938E8">
              <w:rPr>
                <w:szCs w:val="24"/>
                <w:vertAlign w:val="superscript"/>
              </w:rPr>
              <w:t>2</w:t>
            </w:r>
            <w:r w:rsidRPr="00F26F94">
              <w:rPr>
                <w:rFonts w:ascii="Calibri" w:eastAsia="Times New Roman" w:hAnsi="Calibri" w:cs="Times New Roman"/>
                <w:color w:val="000000"/>
              </w:rPr>
              <w:t>optimised</w:t>
            </w:r>
          </w:p>
        </w:tc>
        <w:tc>
          <w:tcPr>
            <w:tcW w:w="1280" w:type="dxa"/>
            <w:noWrap/>
            <w:hideMark/>
          </w:tcPr>
          <w:p w14:paraId="321235AA" w14:textId="77777777" w:rsidR="005B5818" w:rsidRPr="00F26F94" w:rsidRDefault="005B5818">
            <w:pPr>
              <w:pStyle w:val="TableNumber"/>
              <w:rPr>
                <w:rFonts w:ascii="Calibri" w:eastAsia="Times New Roman" w:hAnsi="Calibri" w:cs="Times New Roman"/>
                <w:color w:val="000000"/>
              </w:rPr>
            </w:pPr>
            <w:r w:rsidRPr="00F26F94">
              <w:rPr>
                <w:rFonts w:ascii="Calibri" w:eastAsia="Times New Roman" w:hAnsi="Calibri" w:cs="Times New Roman"/>
                <w:color w:val="000000"/>
              </w:rPr>
              <w:t>1,563</w:t>
            </w:r>
          </w:p>
        </w:tc>
        <w:tc>
          <w:tcPr>
            <w:tcW w:w="873" w:type="dxa"/>
            <w:noWrap/>
            <w:hideMark/>
          </w:tcPr>
          <w:p w14:paraId="7FA1980A" w14:textId="77777777" w:rsidR="005B5818" w:rsidRPr="00F26F94" w:rsidRDefault="005B5818">
            <w:pPr>
              <w:pStyle w:val="TableNumber"/>
              <w:rPr>
                <w:rFonts w:ascii="Calibri" w:eastAsia="Times New Roman" w:hAnsi="Calibri" w:cs="Times New Roman"/>
                <w:color w:val="000000"/>
              </w:rPr>
            </w:pPr>
            <w:r w:rsidRPr="00F26F94">
              <w:rPr>
                <w:rFonts w:ascii="Calibri" w:eastAsia="Times New Roman" w:hAnsi="Calibri" w:cs="Times New Roman"/>
                <w:color w:val="000000"/>
              </w:rPr>
              <w:t>49.5%</w:t>
            </w:r>
          </w:p>
        </w:tc>
        <w:tc>
          <w:tcPr>
            <w:tcW w:w="873" w:type="dxa"/>
            <w:noWrap/>
            <w:hideMark/>
          </w:tcPr>
          <w:p w14:paraId="7552BD4D" w14:textId="77777777" w:rsidR="005B5818" w:rsidRPr="00F26F94" w:rsidRDefault="005B5818">
            <w:pPr>
              <w:pStyle w:val="TableNumber"/>
              <w:rPr>
                <w:rFonts w:ascii="Calibri" w:eastAsia="Times New Roman" w:hAnsi="Calibri" w:cs="Times New Roman"/>
                <w:color w:val="000000"/>
              </w:rPr>
            </w:pPr>
            <w:r w:rsidRPr="00F26F94">
              <w:rPr>
                <w:rFonts w:ascii="Calibri" w:eastAsia="Times New Roman" w:hAnsi="Calibri" w:cs="Times New Roman"/>
                <w:color w:val="000000"/>
              </w:rPr>
              <w:t>54.9%</w:t>
            </w:r>
          </w:p>
        </w:tc>
      </w:tr>
      <w:tr w:rsidR="005B5818" w:rsidRPr="00F26F94" w14:paraId="3E6F7B4C" w14:textId="77777777" w:rsidTr="0016559E">
        <w:trPr>
          <w:cnfStyle w:val="010000000000" w:firstRow="0" w:lastRow="1" w:firstColumn="0" w:lastColumn="0" w:oddVBand="0" w:evenVBand="0" w:oddHBand="0" w:evenHBand="0" w:firstRowFirstColumn="0" w:firstRowLastColumn="0" w:lastRowFirstColumn="0" w:lastRowLastColumn="0"/>
          <w:trHeight w:val="300"/>
        </w:trPr>
        <w:tc>
          <w:tcPr>
            <w:tcW w:w="4025" w:type="dxa"/>
            <w:noWrap/>
            <w:hideMark/>
          </w:tcPr>
          <w:p w14:paraId="4E3E13FD" w14:textId="77777777" w:rsidR="005B5818" w:rsidRPr="00F26F94" w:rsidRDefault="005B5818" w:rsidP="00715204">
            <w:pPr>
              <w:pStyle w:val="Table"/>
              <w:rPr>
                <w:rFonts w:ascii="Calibri" w:eastAsia="Times New Roman" w:hAnsi="Calibri" w:cs="Times New Roman"/>
                <w:color w:val="000000"/>
              </w:rPr>
            </w:pPr>
            <w:r w:rsidRPr="00F26F94">
              <w:rPr>
                <w:rFonts w:ascii="Calibri" w:eastAsia="Times New Roman" w:hAnsi="Calibri" w:cs="Times New Roman"/>
                <w:color w:val="000000"/>
              </w:rPr>
              <w:t>ECCS 5Cat (in ADRG) - RID optimised</w:t>
            </w:r>
          </w:p>
        </w:tc>
        <w:tc>
          <w:tcPr>
            <w:tcW w:w="1280" w:type="dxa"/>
            <w:noWrap/>
            <w:hideMark/>
          </w:tcPr>
          <w:p w14:paraId="3E91C175" w14:textId="77777777" w:rsidR="005B5818" w:rsidRPr="00F26F94" w:rsidRDefault="005B5818" w:rsidP="00715204">
            <w:pPr>
              <w:pStyle w:val="TableNumber"/>
              <w:rPr>
                <w:rFonts w:ascii="Calibri" w:eastAsia="Times New Roman" w:hAnsi="Calibri" w:cs="Times New Roman"/>
                <w:color w:val="000000"/>
              </w:rPr>
            </w:pPr>
            <w:r w:rsidRPr="00F26F94">
              <w:rPr>
                <w:rFonts w:ascii="Calibri" w:eastAsia="Times New Roman" w:hAnsi="Calibri" w:cs="Times New Roman"/>
                <w:color w:val="000000"/>
              </w:rPr>
              <w:t>1,568</w:t>
            </w:r>
          </w:p>
        </w:tc>
        <w:tc>
          <w:tcPr>
            <w:tcW w:w="873" w:type="dxa"/>
            <w:noWrap/>
            <w:hideMark/>
          </w:tcPr>
          <w:p w14:paraId="78B7693C" w14:textId="77777777" w:rsidR="005B5818" w:rsidRPr="00F26F94" w:rsidRDefault="005B5818" w:rsidP="00715204">
            <w:pPr>
              <w:pStyle w:val="TableNumber"/>
              <w:rPr>
                <w:rFonts w:ascii="Calibri" w:eastAsia="Times New Roman" w:hAnsi="Calibri" w:cs="Times New Roman"/>
                <w:color w:val="000000"/>
              </w:rPr>
            </w:pPr>
            <w:r w:rsidRPr="00F26F94">
              <w:rPr>
                <w:rFonts w:ascii="Calibri" w:eastAsia="Times New Roman" w:hAnsi="Calibri" w:cs="Times New Roman"/>
                <w:color w:val="000000"/>
              </w:rPr>
              <w:t>48.7%</w:t>
            </w:r>
          </w:p>
        </w:tc>
        <w:tc>
          <w:tcPr>
            <w:tcW w:w="873" w:type="dxa"/>
            <w:noWrap/>
            <w:hideMark/>
          </w:tcPr>
          <w:p w14:paraId="2F4D2ACB" w14:textId="77777777" w:rsidR="005B5818" w:rsidRPr="00F26F94" w:rsidRDefault="005B5818" w:rsidP="00715204">
            <w:pPr>
              <w:pStyle w:val="TableNumber"/>
              <w:rPr>
                <w:rFonts w:ascii="Calibri" w:eastAsia="Times New Roman" w:hAnsi="Calibri" w:cs="Times New Roman"/>
                <w:color w:val="000000"/>
              </w:rPr>
            </w:pPr>
            <w:r w:rsidRPr="00F26F94">
              <w:rPr>
                <w:rFonts w:ascii="Calibri" w:eastAsia="Times New Roman" w:hAnsi="Calibri" w:cs="Times New Roman"/>
                <w:color w:val="000000"/>
              </w:rPr>
              <w:t>55.0%</w:t>
            </w:r>
          </w:p>
        </w:tc>
      </w:tr>
    </w:tbl>
    <w:p w14:paraId="55D9EC5F" w14:textId="77777777" w:rsidR="005B5818" w:rsidRPr="00D639FB" w:rsidRDefault="0072496C" w:rsidP="006056B9">
      <w:pPr>
        <w:spacing w:before="240"/>
        <w:rPr>
          <w:szCs w:val="24"/>
          <w:lang w:val="en-AU"/>
        </w:rPr>
      </w:pPr>
      <w:r>
        <w:rPr>
          <w:szCs w:val="24"/>
          <w:lang w:val="en-AU"/>
        </w:rPr>
        <w:t>Next</w:t>
      </w:r>
      <w:r w:rsidR="005B5818">
        <w:rPr>
          <w:szCs w:val="24"/>
          <w:lang w:val="en-AU"/>
        </w:rPr>
        <w:t xml:space="preserve">, the ability of each model to predict costs was examined in terms of cost ratios. Specifically, a cost model was derived for each of the four models by taking the mean cost of each model’s categories across the entire population of episodes. That is, with reference to </w:t>
      </w:r>
      <w:r w:rsidR="005B5818" w:rsidRPr="00D639FB">
        <w:rPr>
          <w:szCs w:val="24"/>
          <w:lang w:val="en-AU"/>
        </w:rPr>
        <w:t xml:space="preserve">the category counts in </w:t>
      </w:r>
      <w:r w:rsidR="00CC0F16">
        <w:fldChar w:fldCharType="begin"/>
      </w:r>
      <w:r w:rsidR="00CC0F16">
        <w:instrText xml:space="preserve"> REF _Ref391109939 \h  \* MERGEFORMAT </w:instrText>
      </w:r>
      <w:r w:rsidR="00CC0F16">
        <w:fldChar w:fldCharType="separate"/>
      </w:r>
      <w:r w:rsidR="0031717B" w:rsidRPr="0031717B">
        <w:rPr>
          <w:szCs w:val="24"/>
        </w:rPr>
        <w:t xml:space="preserve">Table </w:t>
      </w:r>
      <w:r w:rsidR="0031717B" w:rsidRPr="0031717B">
        <w:rPr>
          <w:noProof/>
          <w:szCs w:val="24"/>
        </w:rPr>
        <w:t>11</w:t>
      </w:r>
      <w:r w:rsidR="00CC0F16">
        <w:fldChar w:fldCharType="end"/>
      </w:r>
      <w:r w:rsidR="005B5818" w:rsidRPr="00D639FB">
        <w:rPr>
          <w:szCs w:val="24"/>
          <w:lang w:val="en-AU"/>
        </w:rPr>
        <w:t xml:space="preserve">, </w:t>
      </w:r>
      <w:r w:rsidR="005B5818">
        <w:rPr>
          <w:szCs w:val="24"/>
          <w:lang w:val="en-AU"/>
        </w:rPr>
        <w:t>the mean cost was taken across each of the 1,908 PCCL categories, across each of the 766 DRGs, across each of the 1,743 ECCS (R</w:t>
      </w:r>
      <w:r w:rsidR="005B5818">
        <w:rPr>
          <w:szCs w:val="24"/>
          <w:vertAlign w:val="superscript"/>
          <w:lang w:val="en-AU"/>
        </w:rPr>
        <w:t>2</w:t>
      </w:r>
      <w:r w:rsidR="005B5818">
        <w:rPr>
          <w:szCs w:val="24"/>
          <w:lang w:val="en-AU"/>
        </w:rPr>
        <w:t xml:space="preserve"> optimised) categories, and across each of the 1,744 ECCS (RID optimised) categories. This resulted in four mean-cost models.</w:t>
      </w:r>
    </w:p>
    <w:p w14:paraId="244DE995" w14:textId="77777777" w:rsidR="005B5818" w:rsidRDefault="005B5818" w:rsidP="006056B9">
      <w:pPr>
        <w:rPr>
          <w:szCs w:val="24"/>
          <w:lang w:val="en-AU"/>
        </w:rPr>
      </w:pPr>
      <w:r>
        <w:rPr>
          <w:szCs w:val="24"/>
          <w:lang w:val="en-AU"/>
        </w:rPr>
        <w:t>These mean-cost models were then applied across all data, giving a model predicted value against each episode for each of the four models. The data was then restricted to paediatric episodes, and the ratio of total actual costs to total model costs was then calculated for each model.</w:t>
      </w:r>
    </w:p>
    <w:p w14:paraId="5C06B046" w14:textId="77777777" w:rsidR="005B5818" w:rsidRDefault="005B5818" w:rsidP="006056B9">
      <w:pPr>
        <w:rPr>
          <w:szCs w:val="24"/>
          <w:lang w:val="en-AU"/>
        </w:rPr>
      </w:pPr>
      <w:r>
        <w:rPr>
          <w:szCs w:val="24"/>
          <w:lang w:val="en-AU"/>
        </w:rPr>
        <w:t>The resulting cost ratio of each model can be thought of as the adjustment required to re-calibrate the model to the paediatric subpopulation, with a cost ratio above 1 indicating that the given model under-costs paediatric episodes.</w:t>
      </w:r>
    </w:p>
    <w:p w14:paraId="07A561A6" w14:textId="77777777" w:rsidR="005B5818" w:rsidRPr="00B178C7" w:rsidRDefault="005B5818" w:rsidP="006056B9">
      <w:pPr>
        <w:rPr>
          <w:szCs w:val="24"/>
          <w:lang w:val="en-AU"/>
        </w:rPr>
      </w:pPr>
      <w:r>
        <w:rPr>
          <w:szCs w:val="24"/>
          <w:lang w:val="en-AU"/>
        </w:rPr>
        <w:t xml:space="preserve">The closer the paediatric cost ratios are to the value of 1, the less calibration the model would require, and hence the better the model performs with respect to the paediatric episodes in </w:t>
      </w:r>
      <w:r w:rsidRPr="00B178C7">
        <w:rPr>
          <w:szCs w:val="24"/>
          <w:lang w:val="en-AU"/>
        </w:rPr>
        <w:t>the sense that it shows less bias to cost estimation.</w:t>
      </w:r>
    </w:p>
    <w:p w14:paraId="6E9FC637" w14:textId="77777777" w:rsidR="005B5818" w:rsidRDefault="00CC0F16" w:rsidP="006056B9">
      <w:pPr>
        <w:rPr>
          <w:szCs w:val="24"/>
          <w:lang w:val="en-AU"/>
        </w:rPr>
      </w:pPr>
      <w:r>
        <w:fldChar w:fldCharType="begin"/>
      </w:r>
      <w:r>
        <w:instrText xml:space="preserve"> REF _Ref391126551 \h  \* MERGEFORMAT </w:instrText>
      </w:r>
      <w:r>
        <w:fldChar w:fldCharType="separate"/>
      </w:r>
      <w:r w:rsidR="0031717B" w:rsidRPr="0031717B">
        <w:rPr>
          <w:szCs w:val="24"/>
        </w:rPr>
        <w:t xml:space="preserve">Table </w:t>
      </w:r>
      <w:r w:rsidR="0031717B" w:rsidRPr="0031717B">
        <w:rPr>
          <w:noProof/>
          <w:szCs w:val="24"/>
        </w:rPr>
        <w:t>15</w:t>
      </w:r>
      <w:r>
        <w:fldChar w:fldCharType="end"/>
      </w:r>
      <w:r w:rsidR="005B5818" w:rsidRPr="00B178C7">
        <w:rPr>
          <w:szCs w:val="24"/>
          <w:lang w:val="en-AU"/>
        </w:rPr>
        <w:t xml:space="preserve"> shows the cost ratios of each of the four models when applied to the paediatric episodes. The ECCS models</w:t>
      </w:r>
      <w:r w:rsidR="005B5818">
        <w:rPr>
          <w:szCs w:val="24"/>
          <w:lang w:val="en-AU"/>
        </w:rPr>
        <w:t xml:space="preserve"> are seen to demonstrate significantly better performance in terms of minimising bias of cost estimation, showing an adjustment of 0.7</w:t>
      </w:r>
      <w:r w:rsidR="002201AB">
        <w:rPr>
          <w:szCs w:val="24"/>
          <w:lang w:val="en-AU"/>
        </w:rPr>
        <w:t xml:space="preserve"> per cent</w:t>
      </w:r>
      <w:r w:rsidR="005B5818">
        <w:rPr>
          <w:szCs w:val="24"/>
          <w:lang w:val="en-AU"/>
        </w:rPr>
        <w:t xml:space="preserve"> would be </w:t>
      </w:r>
      <w:r w:rsidR="005B5818">
        <w:rPr>
          <w:szCs w:val="24"/>
          <w:lang w:val="en-AU"/>
        </w:rPr>
        <w:lastRenderedPageBreak/>
        <w:t>required to calibrate the model to paediatric episodes, compared to 3.4</w:t>
      </w:r>
      <w:r w:rsidR="002201AB">
        <w:rPr>
          <w:szCs w:val="24"/>
          <w:lang w:val="en-AU"/>
        </w:rPr>
        <w:t xml:space="preserve"> per cent</w:t>
      </w:r>
      <w:r w:rsidR="005B5818">
        <w:rPr>
          <w:szCs w:val="24"/>
          <w:lang w:val="en-AU"/>
        </w:rPr>
        <w:t xml:space="preserve"> for the DRG model and 6.6</w:t>
      </w:r>
      <w:r w:rsidR="002201AB">
        <w:rPr>
          <w:szCs w:val="24"/>
          <w:lang w:val="en-AU"/>
        </w:rPr>
        <w:t xml:space="preserve"> per cent</w:t>
      </w:r>
      <w:r w:rsidR="005B5818">
        <w:rPr>
          <w:szCs w:val="24"/>
          <w:lang w:val="en-AU"/>
        </w:rPr>
        <w:t xml:space="preserve"> for the PCCL model.</w:t>
      </w:r>
    </w:p>
    <w:p w14:paraId="02840C91" w14:textId="77777777" w:rsidR="005B5818" w:rsidRPr="00B178C7" w:rsidRDefault="005B5818" w:rsidP="000E5B4A">
      <w:pPr>
        <w:pStyle w:val="Caption"/>
      </w:pPr>
      <w:bookmarkStart w:id="167" w:name="_Ref391126551"/>
      <w:bookmarkStart w:id="168" w:name="_Toc401061102"/>
      <w:r w:rsidRPr="00B178C7">
        <w:t xml:space="preserve">Table </w:t>
      </w:r>
      <w:r w:rsidR="005559F5" w:rsidRPr="00B178C7">
        <w:fldChar w:fldCharType="begin"/>
      </w:r>
      <w:r w:rsidRPr="00B178C7">
        <w:instrText xml:space="preserve"> SEQ Table \* ARABIC </w:instrText>
      </w:r>
      <w:r w:rsidR="005559F5" w:rsidRPr="00B178C7">
        <w:fldChar w:fldCharType="separate"/>
      </w:r>
      <w:r w:rsidR="0031717B">
        <w:rPr>
          <w:noProof/>
        </w:rPr>
        <w:t>15</w:t>
      </w:r>
      <w:r w:rsidR="005559F5" w:rsidRPr="00B178C7">
        <w:fldChar w:fldCharType="end"/>
      </w:r>
      <w:bookmarkEnd w:id="167"/>
      <w:r w:rsidRPr="00B178C7">
        <w:t xml:space="preserve">: Comparison of cost ratios on </w:t>
      </w:r>
      <w:proofErr w:type="spellStart"/>
      <w:r w:rsidRPr="00B178C7">
        <w:t>paediatric</w:t>
      </w:r>
      <w:proofErr w:type="spellEnd"/>
      <w:r>
        <w:t xml:space="preserve"> </w:t>
      </w:r>
      <w:r w:rsidRPr="00B178C7">
        <w:t>episodes</w:t>
      </w:r>
      <w:r w:rsidR="000E4FA5">
        <w:t>.</w:t>
      </w:r>
      <w:bookmarkEnd w:id="168"/>
    </w:p>
    <w:tbl>
      <w:tblPr>
        <w:tblStyle w:val="Style1"/>
        <w:tblW w:w="5221" w:type="dxa"/>
        <w:tblLook w:val="0460" w:firstRow="1" w:lastRow="1" w:firstColumn="0" w:lastColumn="0" w:noHBand="0" w:noVBand="1"/>
        <w:tblCaption w:val="Comparison of cost ratios on paediatric episodes"/>
        <w:tblDescription w:val="The table has two columns: the first lists each model classification being compared; and the second gives the cost ratio on paediatric episodes for each classification."/>
      </w:tblPr>
      <w:tblGrid>
        <w:gridCol w:w="3871"/>
        <w:gridCol w:w="1350"/>
      </w:tblGrid>
      <w:tr w:rsidR="005B5818" w:rsidRPr="00217139" w14:paraId="427E1BD8" w14:textId="77777777" w:rsidTr="002C2518">
        <w:trPr>
          <w:cnfStyle w:val="100000000000" w:firstRow="1" w:lastRow="0" w:firstColumn="0" w:lastColumn="0" w:oddVBand="0" w:evenVBand="0" w:oddHBand="0" w:evenHBand="0" w:firstRowFirstColumn="0" w:firstRowLastColumn="0" w:lastRowFirstColumn="0" w:lastRowLastColumn="0"/>
          <w:trHeight w:val="300"/>
          <w:tblHeader/>
        </w:trPr>
        <w:tc>
          <w:tcPr>
            <w:tcW w:w="3871" w:type="dxa"/>
            <w:noWrap/>
            <w:hideMark/>
          </w:tcPr>
          <w:p w14:paraId="1EE2CF66" w14:textId="77777777" w:rsidR="005B5818" w:rsidRPr="00217139" w:rsidRDefault="005B5818" w:rsidP="00715204">
            <w:pPr>
              <w:pStyle w:val="Table"/>
            </w:pPr>
            <w:r w:rsidRPr="00217139">
              <w:t>Classification</w:t>
            </w:r>
          </w:p>
        </w:tc>
        <w:tc>
          <w:tcPr>
            <w:tcW w:w="1350" w:type="dxa"/>
            <w:noWrap/>
            <w:hideMark/>
          </w:tcPr>
          <w:p w14:paraId="7E3B42C9" w14:textId="77777777" w:rsidR="005B5818" w:rsidRPr="00217139" w:rsidRDefault="005B5818" w:rsidP="00715204">
            <w:pPr>
              <w:pStyle w:val="Table"/>
            </w:pPr>
            <w:r w:rsidRPr="00217139">
              <w:t>Cost Ratio</w:t>
            </w:r>
          </w:p>
        </w:tc>
      </w:tr>
      <w:tr w:rsidR="005B5818" w:rsidRPr="00217139" w14:paraId="6C4F0CBD" w14:textId="77777777" w:rsidTr="00715204">
        <w:trPr>
          <w:trHeight w:val="300"/>
        </w:trPr>
        <w:tc>
          <w:tcPr>
            <w:tcW w:w="3871" w:type="dxa"/>
            <w:noWrap/>
            <w:hideMark/>
          </w:tcPr>
          <w:p w14:paraId="7AFF0D00" w14:textId="77777777" w:rsidR="005B5818" w:rsidRPr="00217139" w:rsidRDefault="005B5818" w:rsidP="002F7E33">
            <w:pPr>
              <w:pStyle w:val="Table"/>
              <w:keepNext/>
            </w:pPr>
            <w:r w:rsidRPr="00217139">
              <w:t>PCCL (in ADRG)</w:t>
            </w:r>
          </w:p>
        </w:tc>
        <w:tc>
          <w:tcPr>
            <w:tcW w:w="1350" w:type="dxa"/>
            <w:noWrap/>
            <w:hideMark/>
          </w:tcPr>
          <w:p w14:paraId="25A2A98B" w14:textId="77777777" w:rsidR="005B5818" w:rsidRPr="00217139" w:rsidRDefault="005B5818">
            <w:pPr>
              <w:pStyle w:val="TableNumber"/>
            </w:pPr>
            <w:r w:rsidRPr="00217139">
              <w:t>1.066</w:t>
            </w:r>
          </w:p>
        </w:tc>
      </w:tr>
      <w:tr w:rsidR="005B5818" w:rsidRPr="00217139" w14:paraId="107FFA2E" w14:textId="77777777" w:rsidTr="00715204">
        <w:trPr>
          <w:trHeight w:val="300"/>
        </w:trPr>
        <w:tc>
          <w:tcPr>
            <w:tcW w:w="3871" w:type="dxa"/>
            <w:noWrap/>
            <w:hideMark/>
          </w:tcPr>
          <w:p w14:paraId="2FA8A74C" w14:textId="77777777" w:rsidR="005B5818" w:rsidRPr="00217139" w:rsidRDefault="005B5818" w:rsidP="002F7E33">
            <w:pPr>
              <w:pStyle w:val="Table"/>
              <w:keepNext/>
            </w:pPr>
            <w:r w:rsidRPr="00217139">
              <w:t>DRG</w:t>
            </w:r>
          </w:p>
        </w:tc>
        <w:tc>
          <w:tcPr>
            <w:tcW w:w="1350" w:type="dxa"/>
            <w:noWrap/>
            <w:hideMark/>
          </w:tcPr>
          <w:p w14:paraId="7426D32A" w14:textId="77777777" w:rsidR="005B5818" w:rsidRPr="00217139" w:rsidRDefault="005B5818">
            <w:pPr>
              <w:pStyle w:val="TableNumber"/>
            </w:pPr>
            <w:r w:rsidRPr="00217139">
              <w:t>1.034</w:t>
            </w:r>
          </w:p>
        </w:tc>
      </w:tr>
      <w:tr w:rsidR="005B5818" w:rsidRPr="00217139" w14:paraId="2D9C4093" w14:textId="77777777" w:rsidTr="00715204">
        <w:trPr>
          <w:trHeight w:val="300"/>
        </w:trPr>
        <w:tc>
          <w:tcPr>
            <w:tcW w:w="3871" w:type="dxa"/>
            <w:noWrap/>
            <w:hideMark/>
          </w:tcPr>
          <w:p w14:paraId="18AD7D5F" w14:textId="77777777" w:rsidR="005B5818" w:rsidRPr="00217139" w:rsidRDefault="005B5818" w:rsidP="002F7E33">
            <w:pPr>
              <w:pStyle w:val="Table"/>
              <w:keepNext/>
            </w:pPr>
            <w:r w:rsidRPr="00217139">
              <w:t>ECCS 5Cat (in ADRG) - R</w:t>
            </w:r>
            <w:r w:rsidRPr="00217139">
              <w:rPr>
                <w:vertAlign w:val="superscript"/>
              </w:rPr>
              <w:t>2</w:t>
            </w:r>
            <w:r w:rsidRPr="00217139">
              <w:t xml:space="preserve"> optimised</w:t>
            </w:r>
          </w:p>
        </w:tc>
        <w:tc>
          <w:tcPr>
            <w:tcW w:w="1350" w:type="dxa"/>
            <w:noWrap/>
            <w:hideMark/>
          </w:tcPr>
          <w:p w14:paraId="52AF6400" w14:textId="77777777" w:rsidR="005B5818" w:rsidRPr="00217139" w:rsidRDefault="005B5818">
            <w:pPr>
              <w:pStyle w:val="TableNumber"/>
            </w:pPr>
            <w:r w:rsidRPr="00217139">
              <w:t>1.007</w:t>
            </w:r>
          </w:p>
        </w:tc>
      </w:tr>
      <w:tr w:rsidR="005B5818" w:rsidRPr="00217139" w14:paraId="52C56B7D" w14:textId="77777777" w:rsidTr="00715204">
        <w:trPr>
          <w:cnfStyle w:val="010000000000" w:firstRow="0" w:lastRow="1" w:firstColumn="0" w:lastColumn="0" w:oddVBand="0" w:evenVBand="0" w:oddHBand="0" w:evenHBand="0" w:firstRowFirstColumn="0" w:firstRowLastColumn="0" w:lastRowFirstColumn="0" w:lastRowLastColumn="0"/>
          <w:trHeight w:val="300"/>
        </w:trPr>
        <w:tc>
          <w:tcPr>
            <w:tcW w:w="3871" w:type="dxa"/>
            <w:noWrap/>
            <w:hideMark/>
          </w:tcPr>
          <w:p w14:paraId="5E660272" w14:textId="77777777" w:rsidR="005B5818" w:rsidRPr="00217139" w:rsidRDefault="005B5818" w:rsidP="00715204">
            <w:pPr>
              <w:pStyle w:val="Table"/>
            </w:pPr>
            <w:r w:rsidRPr="00217139">
              <w:t>ECCS 5Cat (in ADRG) - RID optimised</w:t>
            </w:r>
          </w:p>
        </w:tc>
        <w:tc>
          <w:tcPr>
            <w:tcW w:w="1350" w:type="dxa"/>
            <w:noWrap/>
            <w:hideMark/>
          </w:tcPr>
          <w:p w14:paraId="0A78AE5A" w14:textId="77777777" w:rsidR="005B5818" w:rsidRPr="00217139" w:rsidRDefault="005B5818" w:rsidP="00715204">
            <w:pPr>
              <w:pStyle w:val="TableNumber"/>
            </w:pPr>
            <w:r w:rsidRPr="00217139">
              <w:t>1.007</w:t>
            </w:r>
          </w:p>
        </w:tc>
      </w:tr>
    </w:tbl>
    <w:p w14:paraId="7AB98E79" w14:textId="77777777" w:rsidR="000056F6" w:rsidRPr="00F8779F" w:rsidRDefault="005B5818" w:rsidP="006056B9">
      <w:pPr>
        <w:spacing w:before="240"/>
        <w:rPr>
          <w:szCs w:val="24"/>
          <w:lang w:val="en-AU"/>
        </w:rPr>
      </w:pPr>
      <w:r>
        <w:rPr>
          <w:szCs w:val="24"/>
          <w:lang w:val="en-AU"/>
        </w:rPr>
        <w:t xml:space="preserve">The cost ratio of each ADRG was calculated in the same </w:t>
      </w:r>
      <w:r w:rsidR="00217139">
        <w:rPr>
          <w:szCs w:val="24"/>
          <w:lang w:val="en-AU"/>
        </w:rPr>
        <w:t xml:space="preserve">way </w:t>
      </w:r>
      <w:r>
        <w:rPr>
          <w:szCs w:val="24"/>
          <w:lang w:val="en-AU"/>
        </w:rPr>
        <w:t xml:space="preserve">and used to measure the model </w:t>
      </w:r>
      <w:r w:rsidRPr="00F8779F">
        <w:rPr>
          <w:szCs w:val="24"/>
          <w:lang w:val="en-AU"/>
        </w:rPr>
        <w:t xml:space="preserve">performance on paediatric episodes at the ADRG level. </w:t>
      </w:r>
      <w:r w:rsidR="00CC0F16">
        <w:fldChar w:fldCharType="begin"/>
      </w:r>
      <w:r w:rsidR="00CC0F16">
        <w:instrText xml:space="preserve"> REF _Ref391139588 \h  \* MERGEFORMAT </w:instrText>
      </w:r>
      <w:r w:rsidR="00CC0F16">
        <w:fldChar w:fldCharType="separate"/>
      </w:r>
      <w:r w:rsidR="0031717B" w:rsidRPr="0031717B">
        <w:rPr>
          <w:szCs w:val="24"/>
        </w:rPr>
        <w:t xml:space="preserve">Figure </w:t>
      </w:r>
      <w:r w:rsidR="0031717B" w:rsidRPr="0031717B">
        <w:rPr>
          <w:noProof/>
          <w:szCs w:val="24"/>
        </w:rPr>
        <w:t>33</w:t>
      </w:r>
      <w:r w:rsidR="00CC0F16">
        <w:fldChar w:fldCharType="end"/>
      </w:r>
      <w:r w:rsidRPr="00F8779F">
        <w:rPr>
          <w:szCs w:val="24"/>
          <w:lang w:val="en-AU"/>
        </w:rPr>
        <w:t xml:space="preserve"> s</w:t>
      </w:r>
      <w:r>
        <w:rPr>
          <w:szCs w:val="24"/>
          <w:lang w:val="en-AU"/>
        </w:rPr>
        <w:t>hows the distribution of ADRG-level cost ratios for each of the four models. The two ECCS models show a significantly higher proportion of ADRG-level cost ratios between 0.9 and 1.1.</w:t>
      </w:r>
    </w:p>
    <w:p w14:paraId="3B9B9FA9" w14:textId="77777777" w:rsidR="005B5818" w:rsidRPr="00F8779F" w:rsidRDefault="005B5818" w:rsidP="000E5B4A">
      <w:pPr>
        <w:pStyle w:val="Caption"/>
      </w:pPr>
      <w:bookmarkStart w:id="169" w:name="_Ref391139588"/>
      <w:bookmarkStart w:id="170" w:name="_Toc401061086"/>
      <w:r w:rsidRPr="00F8779F">
        <w:t xml:space="preserve">Figure </w:t>
      </w:r>
      <w:r w:rsidR="005559F5" w:rsidRPr="00F8779F">
        <w:fldChar w:fldCharType="begin"/>
      </w:r>
      <w:r w:rsidRPr="00F8779F">
        <w:instrText xml:space="preserve"> SEQ Figure \* ARABIC </w:instrText>
      </w:r>
      <w:r w:rsidR="005559F5" w:rsidRPr="00F8779F">
        <w:fldChar w:fldCharType="separate"/>
      </w:r>
      <w:r w:rsidR="0031717B">
        <w:rPr>
          <w:noProof/>
        </w:rPr>
        <w:t>33</w:t>
      </w:r>
      <w:r w:rsidR="005559F5" w:rsidRPr="00F8779F">
        <w:fldChar w:fldCharType="end"/>
      </w:r>
      <w:bookmarkEnd w:id="169"/>
      <w:r w:rsidRPr="00F8779F">
        <w:t>: Distribu</w:t>
      </w:r>
      <w:r>
        <w:t xml:space="preserve">tion ADRG-level </w:t>
      </w:r>
      <w:r w:rsidRPr="00F8779F">
        <w:t>cost ratios</w:t>
      </w:r>
      <w:r>
        <w:t xml:space="preserve"> across each model on </w:t>
      </w:r>
      <w:proofErr w:type="spellStart"/>
      <w:r>
        <w:t>paediatric</w:t>
      </w:r>
      <w:proofErr w:type="spellEnd"/>
      <w:r>
        <w:t xml:space="preserve"> episodes</w:t>
      </w:r>
      <w:r w:rsidR="00981B6D">
        <w:t>.</w:t>
      </w:r>
      <w:bookmarkEnd w:id="170"/>
    </w:p>
    <w:p w14:paraId="5C48D8DB" w14:textId="77777777" w:rsidR="005B5818" w:rsidRDefault="00632FF4" w:rsidP="00D762F2">
      <w:pPr>
        <w:ind w:left="-851"/>
        <w:jc w:val="center"/>
        <w:rPr>
          <w:szCs w:val="24"/>
          <w:lang w:val="en-AU"/>
        </w:rPr>
      </w:pPr>
      <w:r w:rsidRPr="00632FF4">
        <w:rPr>
          <w:noProof/>
          <w:lang w:val="en-AU" w:eastAsia="en-AU"/>
        </w:rPr>
        <w:drawing>
          <wp:inline distT="0" distB="0" distL="0" distR="0" wp14:anchorId="588382F2" wp14:editId="484358E0">
            <wp:extent cx="5732145" cy="4039786"/>
            <wp:effectExtent l="0" t="0" r="1905" b="0"/>
            <wp:docPr id="14359" name="Picture 14359" descr="The figure shows the distribution of the ADRG-level cost ratios across each model (PCCL, DRG, ECCS - RID optimised, and ECCS - R squared optimised) on paediatric episodes. The ratio data is shown across ten ADRG-level cost ratio bins (under 0.5, 0.5 to 0.7,..., 1.9 to 2.1, and over 2.1) The mode of each distribution lies within the 0.9 to 1.1 bin. The ECCS model shows a stronger ability to cluster around a cost ratio of 1 (0.9 to 1.1). For example, nearly half (48%) of the cost ratios within each of the ECCS Models  lie within the 0.9 to 1.1 ratio bin, compared to just over one third of those in the PCCL (34%) and DRG (36%) models." title="Distribution ADRG-level cost ratios across each model on paediatric epis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4"/>
                    <pic:cNvPicPr>
                      <a:picLocks noChangeAspect="1" noChangeArrowheads="1"/>
                    </pic:cNvPicPr>
                  </pic:nvPicPr>
                  <pic:blipFill>
                    <a:blip r:embed="rId803" cstate="print">
                      <a:extLst>
                        <a:ext uri="{28A0092B-C50C-407E-A947-70E740481C1C}">
                          <a14:useLocalDpi xmlns:a14="http://schemas.microsoft.com/office/drawing/2010/main" val="0"/>
                        </a:ext>
                      </a:extLst>
                    </a:blip>
                    <a:srcRect/>
                    <a:stretch>
                      <a:fillRect/>
                    </a:stretch>
                  </pic:blipFill>
                  <pic:spPr bwMode="auto">
                    <a:xfrm>
                      <a:off x="0" y="0"/>
                      <a:ext cx="5732145" cy="4039786"/>
                    </a:xfrm>
                    <a:prstGeom prst="rect">
                      <a:avLst/>
                    </a:prstGeom>
                    <a:noFill/>
                    <a:ln>
                      <a:noFill/>
                    </a:ln>
                  </pic:spPr>
                </pic:pic>
              </a:graphicData>
            </a:graphic>
          </wp:inline>
        </w:drawing>
      </w:r>
    </w:p>
    <w:p w14:paraId="71B427D1" w14:textId="77777777" w:rsidR="007700D8" w:rsidRDefault="007700D8" w:rsidP="006056B9">
      <w:pPr>
        <w:rPr>
          <w:szCs w:val="24"/>
          <w:lang w:val="en-AU"/>
        </w:rPr>
      </w:pPr>
      <w:r>
        <w:rPr>
          <w:szCs w:val="24"/>
          <w:lang w:val="en-AU"/>
        </w:rPr>
        <w:lastRenderedPageBreak/>
        <w:t xml:space="preserve">In summary, compared to both PCCL and the AR-DRG classification, the ECCS-based models exhibit a significantly enhanced ability to classify paediatric episodes </w:t>
      </w:r>
      <w:r w:rsidR="00B97CFC">
        <w:rPr>
          <w:szCs w:val="24"/>
          <w:lang w:val="en-AU"/>
        </w:rPr>
        <w:t xml:space="preserve">in a way that </w:t>
      </w:r>
      <w:r>
        <w:rPr>
          <w:szCs w:val="24"/>
          <w:lang w:val="en-AU"/>
        </w:rPr>
        <w:t>min</w:t>
      </w:r>
      <w:r w:rsidR="00B97CFC">
        <w:rPr>
          <w:szCs w:val="24"/>
          <w:lang w:val="en-AU"/>
        </w:rPr>
        <w:t>imises</w:t>
      </w:r>
      <w:r>
        <w:rPr>
          <w:szCs w:val="24"/>
          <w:lang w:val="en-AU"/>
        </w:rPr>
        <w:t xml:space="preserve"> bias in cost estimation</w:t>
      </w:r>
      <w:r w:rsidR="00B97CFC">
        <w:rPr>
          <w:szCs w:val="24"/>
          <w:lang w:val="en-AU"/>
        </w:rPr>
        <w:t>. The decreased bias in cost estimation occurs consistently within ADRGs and also manifests in an overall decreased bias in cost estimation.</w:t>
      </w:r>
    </w:p>
    <w:p w14:paraId="27686A19" w14:textId="77777777" w:rsidR="005B5818" w:rsidRPr="004C7C2D" w:rsidRDefault="005B5818" w:rsidP="00B60372">
      <w:pPr>
        <w:pStyle w:val="Heading3"/>
      </w:pPr>
      <w:r w:rsidRPr="004C7C2D">
        <w:t>Comparative performance on geriatric episodes</w:t>
      </w:r>
    </w:p>
    <w:p w14:paraId="000B1107" w14:textId="77777777" w:rsidR="0031717B" w:rsidRPr="0031717B" w:rsidRDefault="005B5818">
      <w:pPr>
        <w:rPr>
          <w:noProof/>
          <w:szCs w:val="24"/>
        </w:rPr>
      </w:pPr>
      <w:r>
        <w:rPr>
          <w:szCs w:val="24"/>
          <w:lang w:val="en-AU"/>
        </w:rPr>
        <w:t>Similar to the evaluation of performance on paediatric episodes, the models were compared in terms of their performance of the subset of geriatric episodes. For the purpose of this analysis, geriatric episodes were defined as those with age (in years) of patient at admission of greater than or equal to 80.</w:t>
      </w:r>
      <w:r w:rsidR="00CC0F16">
        <w:fldChar w:fldCharType="begin"/>
      </w:r>
      <w:r w:rsidR="00CC0F16">
        <w:instrText xml:space="preserve"> REF _Ref393444573 \h  \* MERGEFORMAT </w:instrText>
      </w:r>
      <w:r w:rsidR="00CC0F16">
        <w:fldChar w:fldCharType="separate"/>
      </w:r>
    </w:p>
    <w:p w14:paraId="0204F86E" w14:textId="77777777" w:rsidR="00157BD3" w:rsidRPr="00B838FA" w:rsidRDefault="0031717B" w:rsidP="00F46D15">
      <w:pPr>
        <w:rPr>
          <w:szCs w:val="24"/>
        </w:rPr>
      </w:pPr>
      <w:r>
        <w:t>Table</w:t>
      </w:r>
      <w:r>
        <w:rPr>
          <w:noProof/>
        </w:rPr>
        <w:t xml:space="preserve"> 16</w:t>
      </w:r>
      <w:r w:rsidR="00CC0F16">
        <w:fldChar w:fldCharType="end"/>
      </w:r>
      <w:r w:rsidR="00F46D15" w:rsidRPr="00EA7BE9">
        <w:rPr>
          <w:szCs w:val="24"/>
          <w:lang w:val="en-AU"/>
        </w:rPr>
        <w:t xml:space="preserve"> summ</w:t>
      </w:r>
      <w:r w:rsidR="00F46D15">
        <w:rPr>
          <w:szCs w:val="24"/>
          <w:lang w:val="en-AU"/>
        </w:rPr>
        <w:t xml:space="preserve">arises the overall performance of the ECCS-based models when restricted to geriatric episodes, comparing them to ADRGs, </w:t>
      </w:r>
      <w:r w:rsidR="00157BD3">
        <w:rPr>
          <w:szCs w:val="24"/>
          <w:lang w:val="en-AU"/>
        </w:rPr>
        <w:t xml:space="preserve">the </w:t>
      </w:r>
      <w:r w:rsidR="00F46D15">
        <w:rPr>
          <w:szCs w:val="24"/>
          <w:lang w:val="en-AU"/>
        </w:rPr>
        <w:t xml:space="preserve">nested </w:t>
      </w:r>
      <w:r w:rsidR="00157BD3">
        <w:rPr>
          <w:szCs w:val="24"/>
          <w:lang w:val="en-AU"/>
        </w:rPr>
        <w:t>PCCL model and the AR-DRG classification.</w:t>
      </w:r>
    </w:p>
    <w:p w14:paraId="13BB4BA3" w14:textId="77777777" w:rsidR="0041530E" w:rsidRDefault="00F46D15">
      <w:pPr>
        <w:rPr>
          <w:b/>
          <w:bCs/>
          <w:sz w:val="18"/>
          <w:szCs w:val="18"/>
        </w:rPr>
      </w:pPr>
      <w:r>
        <w:rPr>
          <w:szCs w:val="24"/>
          <w:lang w:val="en-AU"/>
        </w:rPr>
        <w:t xml:space="preserve">As with their performance overall and when restricted to paediatric episodes, the ECCS-based models </w:t>
      </w:r>
      <w:r w:rsidR="00217139">
        <w:rPr>
          <w:szCs w:val="24"/>
          <w:lang w:val="en-AU"/>
        </w:rPr>
        <w:t xml:space="preserve">have </w:t>
      </w:r>
      <w:r>
        <w:rPr>
          <w:szCs w:val="24"/>
          <w:lang w:val="en-AU"/>
        </w:rPr>
        <w:t>significantly better</w:t>
      </w:r>
      <w:r w:rsidR="00217139">
        <w:rPr>
          <w:szCs w:val="24"/>
          <w:lang w:val="en-AU"/>
        </w:rPr>
        <w:t xml:space="preserve"> R</w:t>
      </w:r>
      <w:r w:rsidR="00217139">
        <w:rPr>
          <w:szCs w:val="24"/>
          <w:vertAlign w:val="superscript"/>
          <w:lang w:val="en-AU"/>
        </w:rPr>
        <w:t>2</w:t>
      </w:r>
      <w:r w:rsidR="00217139">
        <w:rPr>
          <w:szCs w:val="24"/>
          <w:lang w:val="en-AU"/>
        </w:rPr>
        <w:t xml:space="preserve"> performance on geriatric episodes compared with</w:t>
      </w:r>
      <w:r>
        <w:rPr>
          <w:szCs w:val="24"/>
          <w:lang w:val="en-AU"/>
        </w:rPr>
        <w:t xml:space="preserve"> the other models</w:t>
      </w:r>
      <w:r w:rsidR="00217139">
        <w:rPr>
          <w:szCs w:val="24"/>
          <w:lang w:val="en-AU"/>
        </w:rPr>
        <w:t>.</w:t>
      </w:r>
      <w:r>
        <w:rPr>
          <w:szCs w:val="24"/>
          <w:lang w:val="en-AU"/>
        </w:rPr>
        <w:t xml:space="preserve"> </w:t>
      </w:r>
      <w:r w:rsidR="00157BD3">
        <w:rPr>
          <w:szCs w:val="24"/>
          <w:lang w:val="en-AU"/>
        </w:rPr>
        <w:t xml:space="preserve">The ECCS </w:t>
      </w:r>
      <w:r>
        <w:rPr>
          <w:szCs w:val="24"/>
          <w:lang w:val="en-AU"/>
        </w:rPr>
        <w:t xml:space="preserve">models </w:t>
      </w:r>
      <w:r w:rsidR="00157BD3">
        <w:rPr>
          <w:szCs w:val="24"/>
          <w:lang w:val="en-AU"/>
        </w:rPr>
        <w:t xml:space="preserve">also </w:t>
      </w:r>
      <w:r>
        <w:rPr>
          <w:szCs w:val="24"/>
          <w:lang w:val="en-AU"/>
        </w:rPr>
        <w:t xml:space="preserve">perform </w:t>
      </w:r>
      <w:r w:rsidR="00157BD3">
        <w:rPr>
          <w:szCs w:val="24"/>
          <w:lang w:val="en-AU"/>
        </w:rPr>
        <w:t xml:space="preserve">significantly better </w:t>
      </w:r>
      <w:r>
        <w:rPr>
          <w:szCs w:val="24"/>
          <w:lang w:val="en-AU"/>
        </w:rPr>
        <w:t>than the nested PCCL model in terms of RID, and have only a slightly lesser performance than the full AR-DRG classification in terms of RID.</w:t>
      </w:r>
      <w:r w:rsidR="00157BD3">
        <w:rPr>
          <w:szCs w:val="24"/>
          <w:lang w:val="en-AU"/>
        </w:rPr>
        <w:t xml:space="preserve"> As discussed with regard to overall performance, the slightly increased performance of the full AR-DRG classification is due to the use of non-clinical variables including LOS</w:t>
      </w:r>
      <w:r w:rsidR="000056F6">
        <w:rPr>
          <w:szCs w:val="24"/>
          <w:lang w:val="en-AU"/>
        </w:rPr>
        <w:t xml:space="preserve"> in the classification</w:t>
      </w:r>
      <w:r w:rsidR="00157BD3">
        <w:rPr>
          <w:szCs w:val="24"/>
          <w:lang w:val="en-AU"/>
        </w:rPr>
        <w:t>.</w:t>
      </w:r>
      <w:bookmarkStart w:id="171" w:name="_Ref393444573"/>
    </w:p>
    <w:p w14:paraId="13515E1F" w14:textId="77777777" w:rsidR="00F46D15" w:rsidRDefault="00F46D15" w:rsidP="000E5B4A">
      <w:pPr>
        <w:pStyle w:val="Caption"/>
      </w:pPr>
      <w:bookmarkStart w:id="172" w:name="_Toc401061103"/>
      <w:r>
        <w:t xml:space="preserve">Table </w:t>
      </w:r>
      <w:r w:rsidR="005559F5">
        <w:fldChar w:fldCharType="begin"/>
      </w:r>
      <w:r>
        <w:instrText xml:space="preserve"> SEQ Table \* ARABIC </w:instrText>
      </w:r>
      <w:r w:rsidR="005559F5">
        <w:fldChar w:fldCharType="separate"/>
      </w:r>
      <w:r w:rsidR="0031717B">
        <w:rPr>
          <w:noProof/>
        </w:rPr>
        <w:t>16</w:t>
      </w:r>
      <w:r w:rsidR="005559F5">
        <w:fldChar w:fldCharType="end"/>
      </w:r>
      <w:bookmarkEnd w:id="171"/>
      <w:r>
        <w:t xml:space="preserve">: </w:t>
      </w:r>
      <w:r w:rsidRPr="005F0AC3">
        <w:t>Comparative summary of the performance of ADRG splitting models usin</w:t>
      </w:r>
      <w:r w:rsidR="00715204">
        <w:t>g R2</w:t>
      </w:r>
      <w:r w:rsidRPr="005F0AC3">
        <w:t xml:space="preserve"> and RID - </w:t>
      </w:r>
      <w:r>
        <w:t xml:space="preserve">geriatric </w:t>
      </w:r>
      <w:r w:rsidRPr="005F0AC3">
        <w:t>episodes</w:t>
      </w:r>
      <w:r w:rsidR="000E4FA5">
        <w:t>.</w:t>
      </w:r>
      <w:bookmarkEnd w:id="172"/>
    </w:p>
    <w:tbl>
      <w:tblPr>
        <w:tblStyle w:val="Style1"/>
        <w:tblW w:w="6526" w:type="dxa"/>
        <w:tblLook w:val="0420" w:firstRow="1" w:lastRow="0" w:firstColumn="0" w:lastColumn="0" w:noHBand="0" w:noVBand="1"/>
        <w:tblCaption w:val="Comparative summary of the performance of ADRG splitting models using R2 and RID - geriatric episodes"/>
        <w:tblDescription w:val="The table has four columns: the first lists the model classification being compared; the second gives the number of geriatric categories in each classification; the third provides the R squared statistic for geriatric episodes; and the fourth provides the RID statistic for geriatric episodes."/>
      </w:tblPr>
      <w:tblGrid>
        <w:gridCol w:w="3500"/>
        <w:gridCol w:w="1280"/>
        <w:gridCol w:w="873"/>
        <w:gridCol w:w="873"/>
      </w:tblGrid>
      <w:tr w:rsidR="00F46D15" w:rsidRPr="00F26F94" w14:paraId="7FC45130" w14:textId="77777777" w:rsidTr="002C2518">
        <w:trPr>
          <w:cnfStyle w:val="100000000000" w:firstRow="1" w:lastRow="0" w:firstColumn="0" w:lastColumn="0" w:oddVBand="0" w:evenVBand="0" w:oddHBand="0" w:evenHBand="0" w:firstRowFirstColumn="0" w:firstRowLastColumn="0" w:lastRowFirstColumn="0" w:lastRowLastColumn="0"/>
          <w:trHeight w:val="300"/>
          <w:tblHeader/>
        </w:trPr>
        <w:tc>
          <w:tcPr>
            <w:tcW w:w="3500" w:type="dxa"/>
            <w:noWrap/>
            <w:hideMark/>
          </w:tcPr>
          <w:p w14:paraId="339494B1" w14:textId="77777777" w:rsidR="00F46D15" w:rsidRPr="00F26F94" w:rsidRDefault="00F46D15" w:rsidP="00715204">
            <w:pPr>
              <w:pStyle w:val="Table"/>
            </w:pPr>
            <w:r w:rsidRPr="00F26F94">
              <w:t>Classification</w:t>
            </w:r>
          </w:p>
        </w:tc>
        <w:tc>
          <w:tcPr>
            <w:tcW w:w="1280" w:type="dxa"/>
            <w:noWrap/>
            <w:hideMark/>
          </w:tcPr>
          <w:p w14:paraId="66192470" w14:textId="77777777" w:rsidR="00F46D15" w:rsidRPr="00F26F94" w:rsidRDefault="00F46D15" w:rsidP="00715204">
            <w:pPr>
              <w:pStyle w:val="Table"/>
            </w:pPr>
            <w:r w:rsidRPr="00F26F94">
              <w:t>Categories</w:t>
            </w:r>
          </w:p>
        </w:tc>
        <w:tc>
          <w:tcPr>
            <w:tcW w:w="873" w:type="dxa"/>
            <w:noWrap/>
            <w:hideMark/>
          </w:tcPr>
          <w:p w14:paraId="6D97CA3B" w14:textId="77777777" w:rsidR="00F46D15" w:rsidRPr="00F26F94" w:rsidRDefault="00F46D15" w:rsidP="00715204">
            <w:pPr>
              <w:pStyle w:val="Table"/>
            </w:pPr>
            <w:r w:rsidRPr="00F26F94">
              <w:t>R</w:t>
            </w:r>
            <w:r>
              <w:rPr>
                <w:vertAlign w:val="superscript"/>
              </w:rPr>
              <w:t>2</w:t>
            </w:r>
          </w:p>
        </w:tc>
        <w:tc>
          <w:tcPr>
            <w:tcW w:w="873" w:type="dxa"/>
            <w:noWrap/>
            <w:hideMark/>
          </w:tcPr>
          <w:p w14:paraId="733628B3" w14:textId="77777777" w:rsidR="00F46D15" w:rsidRPr="00F26F94" w:rsidRDefault="00F46D15" w:rsidP="00715204">
            <w:pPr>
              <w:pStyle w:val="Table"/>
            </w:pPr>
            <w:r w:rsidRPr="00F26F94">
              <w:t>RID</w:t>
            </w:r>
          </w:p>
        </w:tc>
      </w:tr>
      <w:tr w:rsidR="00157BD3" w:rsidRPr="00F26F94" w14:paraId="7AA3E0BB" w14:textId="77777777" w:rsidTr="00715204">
        <w:trPr>
          <w:trHeight w:val="300"/>
        </w:trPr>
        <w:tc>
          <w:tcPr>
            <w:tcW w:w="3500" w:type="dxa"/>
            <w:noWrap/>
            <w:hideMark/>
          </w:tcPr>
          <w:p w14:paraId="296B8983" w14:textId="77777777" w:rsidR="00157BD3" w:rsidRPr="00F26F94" w:rsidRDefault="00157BD3" w:rsidP="002F7E33">
            <w:pPr>
              <w:pStyle w:val="Table"/>
              <w:keepNext/>
            </w:pPr>
            <w:r w:rsidRPr="00F26F94">
              <w:t>ADRG</w:t>
            </w:r>
          </w:p>
        </w:tc>
        <w:tc>
          <w:tcPr>
            <w:tcW w:w="1280" w:type="dxa"/>
            <w:noWrap/>
          </w:tcPr>
          <w:p w14:paraId="1D872FCC" w14:textId="77777777" w:rsidR="00157BD3" w:rsidRPr="00EA7BE9" w:rsidRDefault="00157BD3">
            <w:pPr>
              <w:pStyle w:val="TableNumber"/>
            </w:pPr>
            <w:r>
              <w:t>364</w:t>
            </w:r>
          </w:p>
        </w:tc>
        <w:tc>
          <w:tcPr>
            <w:tcW w:w="873" w:type="dxa"/>
            <w:noWrap/>
          </w:tcPr>
          <w:p w14:paraId="66416A57" w14:textId="77777777" w:rsidR="00157BD3" w:rsidRPr="00EA7BE9" w:rsidRDefault="00157BD3">
            <w:pPr>
              <w:pStyle w:val="TableNumber"/>
            </w:pPr>
            <w:r>
              <w:t>38.7%</w:t>
            </w:r>
          </w:p>
        </w:tc>
        <w:tc>
          <w:tcPr>
            <w:tcW w:w="873" w:type="dxa"/>
            <w:noWrap/>
          </w:tcPr>
          <w:p w14:paraId="76998583" w14:textId="77777777" w:rsidR="00157BD3" w:rsidRPr="00EA7BE9" w:rsidRDefault="00157BD3">
            <w:pPr>
              <w:pStyle w:val="TableNumber"/>
            </w:pPr>
            <w:r>
              <w:t>60.3%</w:t>
            </w:r>
          </w:p>
        </w:tc>
      </w:tr>
      <w:tr w:rsidR="00157BD3" w:rsidRPr="00F26F94" w14:paraId="34FD1B30" w14:textId="77777777" w:rsidTr="00715204">
        <w:trPr>
          <w:trHeight w:val="300"/>
        </w:trPr>
        <w:tc>
          <w:tcPr>
            <w:tcW w:w="3500" w:type="dxa"/>
            <w:noWrap/>
            <w:hideMark/>
          </w:tcPr>
          <w:p w14:paraId="7BF166BB" w14:textId="77777777" w:rsidR="00157BD3" w:rsidRPr="00F26F94" w:rsidRDefault="00157BD3" w:rsidP="002F7E33">
            <w:pPr>
              <w:pStyle w:val="Table"/>
              <w:keepNext/>
            </w:pPr>
            <w:r w:rsidRPr="00F26F94">
              <w:t>PCCL (in ADRG)</w:t>
            </w:r>
          </w:p>
        </w:tc>
        <w:tc>
          <w:tcPr>
            <w:tcW w:w="1280" w:type="dxa"/>
            <w:noWrap/>
          </w:tcPr>
          <w:p w14:paraId="76FF1D6D" w14:textId="77777777" w:rsidR="00157BD3" w:rsidRPr="00EA7BE9" w:rsidRDefault="00157BD3">
            <w:pPr>
              <w:pStyle w:val="TableNumber"/>
            </w:pPr>
            <w:r>
              <w:t>1,539</w:t>
            </w:r>
          </w:p>
        </w:tc>
        <w:tc>
          <w:tcPr>
            <w:tcW w:w="873" w:type="dxa"/>
            <w:noWrap/>
          </w:tcPr>
          <w:p w14:paraId="3418C46D" w14:textId="77777777" w:rsidR="00157BD3" w:rsidRPr="00EA7BE9" w:rsidRDefault="00157BD3">
            <w:pPr>
              <w:pStyle w:val="TableNumber"/>
            </w:pPr>
            <w:r>
              <w:t>46.7%</w:t>
            </w:r>
          </w:p>
        </w:tc>
        <w:tc>
          <w:tcPr>
            <w:tcW w:w="873" w:type="dxa"/>
            <w:noWrap/>
          </w:tcPr>
          <w:p w14:paraId="35345DBE" w14:textId="77777777" w:rsidR="00157BD3" w:rsidRPr="00EA7BE9" w:rsidRDefault="00157BD3">
            <w:pPr>
              <w:pStyle w:val="TableNumber"/>
            </w:pPr>
            <w:r>
              <w:t>68.5%</w:t>
            </w:r>
          </w:p>
        </w:tc>
      </w:tr>
      <w:tr w:rsidR="00157BD3" w:rsidRPr="00F26F94" w14:paraId="4DC2B272" w14:textId="77777777" w:rsidTr="00715204">
        <w:trPr>
          <w:trHeight w:val="300"/>
        </w:trPr>
        <w:tc>
          <w:tcPr>
            <w:tcW w:w="3500" w:type="dxa"/>
            <w:noWrap/>
            <w:hideMark/>
          </w:tcPr>
          <w:p w14:paraId="6D08E01E" w14:textId="77777777" w:rsidR="00157BD3" w:rsidRPr="00F26F94" w:rsidRDefault="00157BD3" w:rsidP="002F7E33">
            <w:pPr>
              <w:pStyle w:val="Table"/>
              <w:keepNext/>
            </w:pPr>
            <w:r w:rsidRPr="00F26F94">
              <w:t>DRG</w:t>
            </w:r>
          </w:p>
        </w:tc>
        <w:tc>
          <w:tcPr>
            <w:tcW w:w="1280" w:type="dxa"/>
            <w:noWrap/>
          </w:tcPr>
          <w:p w14:paraId="088ADD62" w14:textId="77777777" w:rsidR="00157BD3" w:rsidRPr="00EA7BE9" w:rsidRDefault="00157BD3">
            <w:pPr>
              <w:pStyle w:val="TableNumber"/>
            </w:pPr>
            <w:r>
              <w:t>689</w:t>
            </w:r>
          </w:p>
        </w:tc>
        <w:tc>
          <w:tcPr>
            <w:tcW w:w="873" w:type="dxa"/>
            <w:noWrap/>
          </w:tcPr>
          <w:p w14:paraId="525B9D17" w14:textId="77777777" w:rsidR="00157BD3" w:rsidRPr="00EA7BE9" w:rsidRDefault="00157BD3">
            <w:pPr>
              <w:pStyle w:val="TableNumber"/>
            </w:pPr>
            <w:r>
              <w:t>48.9%</w:t>
            </w:r>
          </w:p>
        </w:tc>
        <w:tc>
          <w:tcPr>
            <w:tcW w:w="873" w:type="dxa"/>
            <w:noWrap/>
          </w:tcPr>
          <w:p w14:paraId="1FA666CE" w14:textId="77777777" w:rsidR="00157BD3" w:rsidRPr="00EA7BE9" w:rsidRDefault="00157BD3">
            <w:pPr>
              <w:pStyle w:val="TableNumber"/>
            </w:pPr>
            <w:r>
              <w:t>70.9%</w:t>
            </w:r>
          </w:p>
        </w:tc>
      </w:tr>
      <w:tr w:rsidR="00157BD3" w:rsidRPr="00F26F94" w14:paraId="7F561E2A" w14:textId="77777777" w:rsidTr="00715204">
        <w:trPr>
          <w:trHeight w:val="300"/>
        </w:trPr>
        <w:tc>
          <w:tcPr>
            <w:tcW w:w="3500" w:type="dxa"/>
            <w:noWrap/>
            <w:hideMark/>
          </w:tcPr>
          <w:p w14:paraId="41448F70" w14:textId="77777777" w:rsidR="00157BD3" w:rsidRPr="00F26F94" w:rsidRDefault="00157BD3" w:rsidP="002F7E33">
            <w:pPr>
              <w:pStyle w:val="Table"/>
              <w:keepNext/>
            </w:pPr>
            <w:r w:rsidRPr="00F26F94">
              <w:t xml:space="preserve">ECCS 5Cat (in ADRG) - </w:t>
            </w:r>
            <w:r>
              <w:rPr>
                <w:szCs w:val="24"/>
              </w:rPr>
              <w:t>R</w:t>
            </w:r>
            <w:r w:rsidRPr="00C938E8">
              <w:rPr>
                <w:szCs w:val="24"/>
                <w:vertAlign w:val="superscript"/>
              </w:rPr>
              <w:t>2</w:t>
            </w:r>
            <w:r w:rsidRPr="00F26F94">
              <w:t>optimised</w:t>
            </w:r>
          </w:p>
        </w:tc>
        <w:tc>
          <w:tcPr>
            <w:tcW w:w="1280" w:type="dxa"/>
            <w:noWrap/>
          </w:tcPr>
          <w:p w14:paraId="7E3F9539" w14:textId="77777777" w:rsidR="00157BD3" w:rsidRPr="00EA7BE9" w:rsidRDefault="00157BD3">
            <w:pPr>
              <w:pStyle w:val="TableNumber"/>
            </w:pPr>
            <w:r>
              <w:t>1,578</w:t>
            </w:r>
          </w:p>
        </w:tc>
        <w:tc>
          <w:tcPr>
            <w:tcW w:w="873" w:type="dxa"/>
            <w:noWrap/>
          </w:tcPr>
          <w:p w14:paraId="684CAE3B" w14:textId="77777777" w:rsidR="00157BD3" w:rsidRPr="00EA7BE9" w:rsidRDefault="00157BD3">
            <w:pPr>
              <w:pStyle w:val="TableNumber"/>
            </w:pPr>
            <w:r>
              <w:t>51.4%</w:t>
            </w:r>
          </w:p>
        </w:tc>
        <w:tc>
          <w:tcPr>
            <w:tcW w:w="873" w:type="dxa"/>
            <w:noWrap/>
          </w:tcPr>
          <w:p w14:paraId="60C4F775" w14:textId="77777777" w:rsidR="00157BD3" w:rsidRPr="00EA7BE9" w:rsidRDefault="00157BD3">
            <w:pPr>
              <w:pStyle w:val="TableNumber"/>
            </w:pPr>
            <w:r>
              <w:t>70.2%</w:t>
            </w:r>
          </w:p>
        </w:tc>
      </w:tr>
      <w:tr w:rsidR="00157BD3" w:rsidRPr="00F26F94" w14:paraId="6722EFA5" w14:textId="77777777" w:rsidTr="00715204">
        <w:trPr>
          <w:trHeight w:val="300"/>
        </w:trPr>
        <w:tc>
          <w:tcPr>
            <w:tcW w:w="3500" w:type="dxa"/>
            <w:noWrap/>
            <w:hideMark/>
          </w:tcPr>
          <w:p w14:paraId="25D02938" w14:textId="77777777" w:rsidR="00157BD3" w:rsidRPr="00F26F94" w:rsidRDefault="00157BD3" w:rsidP="00715204">
            <w:pPr>
              <w:pStyle w:val="Table"/>
            </w:pPr>
            <w:r w:rsidRPr="00F26F94">
              <w:t xml:space="preserve">ECCS 5Cat (in ADRG) - RID </w:t>
            </w:r>
            <w:r w:rsidRPr="00F26F94">
              <w:lastRenderedPageBreak/>
              <w:t>optimised</w:t>
            </w:r>
          </w:p>
        </w:tc>
        <w:tc>
          <w:tcPr>
            <w:tcW w:w="1280" w:type="dxa"/>
            <w:noWrap/>
          </w:tcPr>
          <w:p w14:paraId="3DCA1BD7" w14:textId="77777777" w:rsidR="00157BD3" w:rsidRPr="00EA7BE9" w:rsidRDefault="00157BD3" w:rsidP="00715204">
            <w:pPr>
              <w:pStyle w:val="TableNumber"/>
            </w:pPr>
            <w:r>
              <w:lastRenderedPageBreak/>
              <w:t>1,579</w:t>
            </w:r>
          </w:p>
        </w:tc>
        <w:tc>
          <w:tcPr>
            <w:tcW w:w="873" w:type="dxa"/>
            <w:noWrap/>
          </w:tcPr>
          <w:p w14:paraId="0D9AE06C" w14:textId="77777777" w:rsidR="00157BD3" w:rsidRPr="00EA7BE9" w:rsidRDefault="00157BD3" w:rsidP="00715204">
            <w:pPr>
              <w:pStyle w:val="TableNumber"/>
            </w:pPr>
            <w:r>
              <w:t>51.2%</w:t>
            </w:r>
          </w:p>
        </w:tc>
        <w:tc>
          <w:tcPr>
            <w:tcW w:w="873" w:type="dxa"/>
            <w:noWrap/>
          </w:tcPr>
          <w:p w14:paraId="09A0567F" w14:textId="77777777" w:rsidR="00157BD3" w:rsidRPr="00EA7BE9" w:rsidRDefault="00157BD3" w:rsidP="00715204">
            <w:pPr>
              <w:pStyle w:val="TableNumber"/>
            </w:pPr>
            <w:r>
              <w:t>70.3%</w:t>
            </w:r>
          </w:p>
        </w:tc>
      </w:tr>
    </w:tbl>
    <w:p w14:paraId="42507EE8" w14:textId="77777777" w:rsidR="005B5818" w:rsidRDefault="00CC0F16" w:rsidP="000056F6">
      <w:pPr>
        <w:spacing w:before="240"/>
        <w:rPr>
          <w:szCs w:val="24"/>
          <w:lang w:val="en-AU"/>
        </w:rPr>
      </w:pPr>
      <w:r>
        <w:fldChar w:fldCharType="begin"/>
      </w:r>
      <w:r>
        <w:instrText xml:space="preserve"> REF _Ref391140403 \h  \* MERGEFORMAT </w:instrText>
      </w:r>
      <w:r>
        <w:fldChar w:fldCharType="separate"/>
      </w:r>
      <w:r w:rsidR="0031717B" w:rsidRPr="0031717B">
        <w:rPr>
          <w:szCs w:val="24"/>
        </w:rPr>
        <w:t xml:space="preserve">Table </w:t>
      </w:r>
      <w:r w:rsidR="0031717B" w:rsidRPr="0031717B">
        <w:rPr>
          <w:noProof/>
          <w:szCs w:val="24"/>
        </w:rPr>
        <w:t>17</w:t>
      </w:r>
      <w:r>
        <w:fldChar w:fldCharType="end"/>
      </w:r>
      <w:r w:rsidR="005B5818" w:rsidRPr="000B786C">
        <w:rPr>
          <w:szCs w:val="24"/>
          <w:lang w:val="en-AU"/>
        </w:rPr>
        <w:t xml:space="preserve"> shows the</w:t>
      </w:r>
      <w:r w:rsidR="005B5818">
        <w:rPr>
          <w:szCs w:val="24"/>
          <w:lang w:val="en-AU"/>
        </w:rPr>
        <w:t xml:space="preserve"> cost ratios of each model applied to geriatric episodes. </w:t>
      </w:r>
      <w:r w:rsidR="00DA765A">
        <w:rPr>
          <w:szCs w:val="24"/>
          <w:lang w:val="en-AU"/>
        </w:rPr>
        <w:t xml:space="preserve">While the </w:t>
      </w:r>
      <w:r w:rsidR="005B5818">
        <w:rPr>
          <w:szCs w:val="24"/>
          <w:lang w:val="en-AU"/>
        </w:rPr>
        <w:t>ECCS models do not perform as well on these episodes as they do on paediatric episodes, their geriatric cost ratio of 1.015 (or 1.5</w:t>
      </w:r>
      <w:r w:rsidR="002201AB">
        <w:rPr>
          <w:szCs w:val="24"/>
          <w:lang w:val="en-AU"/>
        </w:rPr>
        <w:t xml:space="preserve"> per cent</w:t>
      </w:r>
      <w:r w:rsidR="005B5818">
        <w:rPr>
          <w:szCs w:val="24"/>
          <w:lang w:val="en-AU"/>
        </w:rPr>
        <w:t xml:space="preserve"> increase) </w:t>
      </w:r>
      <w:r w:rsidR="00DA765A">
        <w:rPr>
          <w:szCs w:val="24"/>
          <w:lang w:val="en-AU"/>
        </w:rPr>
        <w:t xml:space="preserve">is relatively minor and does not differ substantially from that </w:t>
      </w:r>
      <w:r w:rsidR="005B5818">
        <w:rPr>
          <w:szCs w:val="24"/>
          <w:lang w:val="en-AU"/>
        </w:rPr>
        <w:t>of the DRG and PCCL models</w:t>
      </w:r>
      <w:r w:rsidR="00DA765A">
        <w:rPr>
          <w:szCs w:val="24"/>
          <w:lang w:val="en-AU"/>
        </w:rPr>
        <w:t>.</w:t>
      </w:r>
    </w:p>
    <w:p w14:paraId="25216EB0" w14:textId="77777777" w:rsidR="005B5818" w:rsidRPr="000B786C" w:rsidRDefault="005B5818" w:rsidP="005B5818">
      <w:pPr>
        <w:rPr>
          <w:szCs w:val="24"/>
          <w:lang w:val="en-AU"/>
        </w:rPr>
      </w:pPr>
      <w:r>
        <w:rPr>
          <w:szCs w:val="24"/>
          <w:lang w:val="en-AU"/>
        </w:rPr>
        <w:t>Among the contributing factors to the 1.5</w:t>
      </w:r>
      <w:r w:rsidR="002201AB">
        <w:rPr>
          <w:szCs w:val="24"/>
          <w:lang w:val="en-AU"/>
        </w:rPr>
        <w:t xml:space="preserve"> per cent</w:t>
      </w:r>
      <w:r>
        <w:rPr>
          <w:szCs w:val="24"/>
          <w:lang w:val="en-AU"/>
        </w:rPr>
        <w:t xml:space="preserve"> under-prediction of costs across geriatric episodes is the ECC Model scope excluding diagnoses associated with long-stay episodes such as those where the patient is awaiting admission to a residential age care service (</w:t>
      </w:r>
      <w:r w:rsidRPr="00495863">
        <w:rPr>
          <w:szCs w:val="24"/>
          <w:lang w:val="en-AU"/>
        </w:rPr>
        <w:t>Z75.11</w:t>
      </w:r>
      <w:r>
        <w:rPr>
          <w:szCs w:val="24"/>
          <w:lang w:val="en-AU"/>
        </w:rPr>
        <w:t>).</w:t>
      </w:r>
    </w:p>
    <w:p w14:paraId="0EA018B4" w14:textId="77777777" w:rsidR="005B5818" w:rsidRPr="000B786C" w:rsidRDefault="005B5818" w:rsidP="000E5B4A">
      <w:pPr>
        <w:pStyle w:val="Caption"/>
      </w:pPr>
      <w:bookmarkStart w:id="173" w:name="_Ref391140403"/>
      <w:bookmarkStart w:id="174" w:name="_Toc401061104"/>
      <w:r w:rsidRPr="000B786C">
        <w:t xml:space="preserve">Table </w:t>
      </w:r>
      <w:r w:rsidR="005559F5" w:rsidRPr="000B786C">
        <w:fldChar w:fldCharType="begin"/>
      </w:r>
      <w:r w:rsidRPr="000B786C">
        <w:instrText xml:space="preserve"> SEQ Table \* ARABIC </w:instrText>
      </w:r>
      <w:r w:rsidR="005559F5" w:rsidRPr="000B786C">
        <w:fldChar w:fldCharType="separate"/>
      </w:r>
      <w:r w:rsidR="0031717B">
        <w:rPr>
          <w:noProof/>
        </w:rPr>
        <w:t>17</w:t>
      </w:r>
      <w:r w:rsidR="005559F5" w:rsidRPr="000B786C">
        <w:fldChar w:fldCharType="end"/>
      </w:r>
      <w:bookmarkEnd w:id="173"/>
      <w:r w:rsidRPr="000B786C">
        <w:t xml:space="preserve">: Comparison of cost ratios on </w:t>
      </w:r>
      <w:r>
        <w:t xml:space="preserve">geriatric </w:t>
      </w:r>
      <w:r w:rsidRPr="000B786C">
        <w:t>episodes</w:t>
      </w:r>
      <w:r w:rsidR="000E4FA5">
        <w:t>.</w:t>
      </w:r>
      <w:bookmarkEnd w:id="174"/>
    </w:p>
    <w:tbl>
      <w:tblPr>
        <w:tblStyle w:val="Style1"/>
        <w:tblW w:w="6588" w:type="dxa"/>
        <w:tblLook w:val="0460" w:firstRow="1" w:lastRow="1" w:firstColumn="0" w:lastColumn="0" w:noHBand="0" w:noVBand="1"/>
        <w:tblCaption w:val="Comparison of cost ratios on geriatric episodes"/>
        <w:tblDescription w:val="The table has two columns: the first column lists the model classification being compared; and the second gives the cost ratio on geriatric episodes for each classification"/>
      </w:tblPr>
      <w:tblGrid>
        <w:gridCol w:w="4139"/>
        <w:gridCol w:w="2449"/>
      </w:tblGrid>
      <w:tr w:rsidR="005B5818" w:rsidRPr="000B786C" w14:paraId="01D6240A" w14:textId="77777777" w:rsidTr="002C2518">
        <w:trPr>
          <w:cnfStyle w:val="100000000000" w:firstRow="1" w:lastRow="0" w:firstColumn="0" w:lastColumn="0" w:oddVBand="0" w:evenVBand="0" w:oddHBand="0" w:evenHBand="0" w:firstRowFirstColumn="0" w:firstRowLastColumn="0" w:lastRowFirstColumn="0" w:lastRowLastColumn="0"/>
          <w:trHeight w:val="300"/>
          <w:tblHeader/>
        </w:trPr>
        <w:tc>
          <w:tcPr>
            <w:tcW w:w="4139" w:type="dxa"/>
            <w:noWrap/>
            <w:hideMark/>
          </w:tcPr>
          <w:p w14:paraId="2EE05ECC" w14:textId="77777777" w:rsidR="005B5818" w:rsidRPr="000B786C" w:rsidRDefault="005B5818" w:rsidP="00715204">
            <w:pPr>
              <w:pStyle w:val="Table"/>
            </w:pPr>
            <w:r w:rsidRPr="000B786C">
              <w:t>Classification</w:t>
            </w:r>
          </w:p>
        </w:tc>
        <w:tc>
          <w:tcPr>
            <w:tcW w:w="2449" w:type="dxa"/>
            <w:noWrap/>
            <w:hideMark/>
          </w:tcPr>
          <w:p w14:paraId="70A194CB" w14:textId="77777777" w:rsidR="005B5818" w:rsidRPr="000B786C" w:rsidRDefault="005B5818" w:rsidP="00715204">
            <w:pPr>
              <w:pStyle w:val="Table"/>
            </w:pPr>
            <w:r>
              <w:t>Cost Ratio</w:t>
            </w:r>
          </w:p>
        </w:tc>
      </w:tr>
      <w:tr w:rsidR="005B5818" w:rsidRPr="000B786C" w14:paraId="11B54A1D" w14:textId="77777777" w:rsidTr="00715204">
        <w:trPr>
          <w:trHeight w:val="300"/>
        </w:trPr>
        <w:tc>
          <w:tcPr>
            <w:tcW w:w="4139" w:type="dxa"/>
            <w:noWrap/>
            <w:hideMark/>
          </w:tcPr>
          <w:p w14:paraId="0F314384" w14:textId="77777777" w:rsidR="005B5818" w:rsidRPr="000B786C" w:rsidRDefault="005B5818" w:rsidP="007A28A7">
            <w:pPr>
              <w:pStyle w:val="Table"/>
              <w:keepNext/>
            </w:pPr>
            <w:r w:rsidRPr="000B786C">
              <w:t>PCCL (in ADRG)</w:t>
            </w:r>
          </w:p>
        </w:tc>
        <w:tc>
          <w:tcPr>
            <w:tcW w:w="2449" w:type="dxa"/>
            <w:noWrap/>
            <w:hideMark/>
          </w:tcPr>
          <w:p w14:paraId="6FF7D50D" w14:textId="77777777" w:rsidR="005B5818" w:rsidRPr="000B786C" w:rsidRDefault="005B5818" w:rsidP="007A28A7">
            <w:pPr>
              <w:pStyle w:val="TableNumber"/>
            </w:pPr>
            <w:r w:rsidRPr="000B786C">
              <w:t>0.991</w:t>
            </w:r>
          </w:p>
        </w:tc>
      </w:tr>
      <w:tr w:rsidR="005B5818" w:rsidRPr="000B786C" w14:paraId="7092FCD0" w14:textId="77777777" w:rsidTr="00715204">
        <w:trPr>
          <w:trHeight w:val="300"/>
        </w:trPr>
        <w:tc>
          <w:tcPr>
            <w:tcW w:w="4139" w:type="dxa"/>
            <w:noWrap/>
            <w:hideMark/>
          </w:tcPr>
          <w:p w14:paraId="72E8EDB5" w14:textId="77777777" w:rsidR="005B5818" w:rsidRPr="000B786C" w:rsidRDefault="005B5818" w:rsidP="002F7E33">
            <w:pPr>
              <w:pStyle w:val="Table"/>
              <w:keepNext/>
            </w:pPr>
            <w:r w:rsidRPr="000B786C">
              <w:t>DRG</w:t>
            </w:r>
          </w:p>
        </w:tc>
        <w:tc>
          <w:tcPr>
            <w:tcW w:w="2449" w:type="dxa"/>
            <w:noWrap/>
            <w:hideMark/>
          </w:tcPr>
          <w:p w14:paraId="6CF43B47" w14:textId="77777777" w:rsidR="005B5818" w:rsidRPr="000B786C" w:rsidRDefault="005B5818">
            <w:pPr>
              <w:pStyle w:val="TableNumber"/>
            </w:pPr>
            <w:r w:rsidRPr="000B786C">
              <w:t>1.007</w:t>
            </w:r>
          </w:p>
        </w:tc>
      </w:tr>
      <w:tr w:rsidR="005B5818" w:rsidRPr="000B786C" w14:paraId="2A1D6053" w14:textId="77777777" w:rsidTr="00715204">
        <w:trPr>
          <w:trHeight w:val="300"/>
        </w:trPr>
        <w:tc>
          <w:tcPr>
            <w:tcW w:w="4139" w:type="dxa"/>
            <w:noWrap/>
            <w:hideMark/>
          </w:tcPr>
          <w:p w14:paraId="51F9B8AA" w14:textId="77777777" w:rsidR="005B5818" w:rsidRPr="000B786C" w:rsidRDefault="005B5818" w:rsidP="002F7E33">
            <w:pPr>
              <w:pStyle w:val="Table"/>
              <w:keepNext/>
            </w:pPr>
            <w:r w:rsidRPr="000B786C">
              <w:t>ECCS 5Cat (in ADRG) - R</w:t>
            </w:r>
            <w:r w:rsidRPr="00B5534A">
              <w:rPr>
                <w:vertAlign w:val="superscript"/>
              </w:rPr>
              <w:t>2</w:t>
            </w:r>
            <w:r w:rsidRPr="000B786C">
              <w:t xml:space="preserve"> optimised</w:t>
            </w:r>
          </w:p>
        </w:tc>
        <w:tc>
          <w:tcPr>
            <w:tcW w:w="2449" w:type="dxa"/>
            <w:noWrap/>
            <w:hideMark/>
          </w:tcPr>
          <w:p w14:paraId="742E2A65" w14:textId="77777777" w:rsidR="005B5818" w:rsidRPr="000B786C" w:rsidRDefault="005B5818">
            <w:pPr>
              <w:pStyle w:val="TableNumber"/>
            </w:pPr>
            <w:r w:rsidRPr="000B786C">
              <w:t>1.015</w:t>
            </w:r>
          </w:p>
        </w:tc>
      </w:tr>
      <w:tr w:rsidR="005B5818" w:rsidRPr="000B786C" w14:paraId="17AFD37D" w14:textId="77777777" w:rsidTr="00715204">
        <w:trPr>
          <w:cnfStyle w:val="010000000000" w:firstRow="0" w:lastRow="1" w:firstColumn="0" w:lastColumn="0" w:oddVBand="0" w:evenVBand="0" w:oddHBand="0" w:evenHBand="0" w:firstRowFirstColumn="0" w:firstRowLastColumn="0" w:lastRowFirstColumn="0" w:lastRowLastColumn="0"/>
          <w:trHeight w:val="300"/>
        </w:trPr>
        <w:tc>
          <w:tcPr>
            <w:tcW w:w="4139" w:type="dxa"/>
            <w:noWrap/>
            <w:hideMark/>
          </w:tcPr>
          <w:p w14:paraId="44051EE7" w14:textId="77777777" w:rsidR="005B5818" w:rsidRPr="000B786C" w:rsidRDefault="005B5818" w:rsidP="00715204">
            <w:pPr>
              <w:pStyle w:val="Table"/>
            </w:pPr>
            <w:r w:rsidRPr="000B786C">
              <w:t>ECCS 5Cat (in ADRG) - RID optimised</w:t>
            </w:r>
          </w:p>
        </w:tc>
        <w:tc>
          <w:tcPr>
            <w:tcW w:w="2449" w:type="dxa"/>
            <w:noWrap/>
            <w:hideMark/>
          </w:tcPr>
          <w:p w14:paraId="137F5A17" w14:textId="77777777" w:rsidR="005B5818" w:rsidRPr="000B786C" w:rsidRDefault="005B5818" w:rsidP="00715204">
            <w:pPr>
              <w:pStyle w:val="TableNumber"/>
            </w:pPr>
            <w:r w:rsidRPr="000B786C">
              <w:t>1.015</w:t>
            </w:r>
          </w:p>
        </w:tc>
      </w:tr>
    </w:tbl>
    <w:p w14:paraId="4F511F8D" w14:textId="77777777" w:rsidR="005B5818" w:rsidRDefault="00DA765A" w:rsidP="00DA765A">
      <w:pPr>
        <w:spacing w:before="240"/>
        <w:rPr>
          <w:szCs w:val="24"/>
          <w:lang w:val="en-AU"/>
        </w:rPr>
      </w:pPr>
      <w:r>
        <w:rPr>
          <w:szCs w:val="24"/>
          <w:lang w:val="en-AU"/>
        </w:rPr>
        <w:t xml:space="preserve">Finally, the </w:t>
      </w:r>
      <w:r w:rsidR="00606E94">
        <w:rPr>
          <w:szCs w:val="24"/>
          <w:lang w:val="en-AU"/>
        </w:rPr>
        <w:t>performance of the four models was</w:t>
      </w:r>
      <w:r w:rsidR="00415E8E">
        <w:rPr>
          <w:szCs w:val="24"/>
          <w:lang w:val="en-AU"/>
        </w:rPr>
        <w:t xml:space="preserve"> evaluated by calculating their cost ratios restricted to geriatric </w:t>
      </w:r>
      <w:r w:rsidR="00415E8E" w:rsidRPr="00415E8E">
        <w:rPr>
          <w:szCs w:val="24"/>
          <w:lang w:val="en-AU"/>
        </w:rPr>
        <w:t xml:space="preserve">episodes within each ADRG. </w:t>
      </w:r>
      <w:r w:rsidR="00CC0F16">
        <w:fldChar w:fldCharType="begin"/>
      </w:r>
      <w:r w:rsidR="00CC0F16">
        <w:instrText xml:space="preserve"> REF _Ref393185738 \h  \* MERGEFORMAT </w:instrText>
      </w:r>
      <w:r w:rsidR="00CC0F16">
        <w:fldChar w:fldCharType="separate"/>
      </w:r>
      <w:r w:rsidR="0031717B" w:rsidRPr="0031717B">
        <w:rPr>
          <w:szCs w:val="24"/>
        </w:rPr>
        <w:t xml:space="preserve">Figure </w:t>
      </w:r>
      <w:r w:rsidR="0031717B" w:rsidRPr="0031717B">
        <w:rPr>
          <w:noProof/>
          <w:szCs w:val="24"/>
        </w:rPr>
        <w:t>34</w:t>
      </w:r>
      <w:r w:rsidR="00CC0F16">
        <w:fldChar w:fldCharType="end"/>
      </w:r>
      <w:r w:rsidR="00415E8E" w:rsidRPr="00415E8E">
        <w:rPr>
          <w:szCs w:val="24"/>
          <w:lang w:val="en-AU"/>
        </w:rPr>
        <w:t xml:space="preserve"> </w:t>
      </w:r>
      <w:r w:rsidR="00415E8E">
        <w:rPr>
          <w:szCs w:val="24"/>
          <w:lang w:val="en-AU"/>
        </w:rPr>
        <w:t xml:space="preserve">shows the </w:t>
      </w:r>
      <w:r w:rsidRPr="00415E8E">
        <w:rPr>
          <w:szCs w:val="24"/>
          <w:lang w:val="en-AU"/>
        </w:rPr>
        <w:t>distributions</w:t>
      </w:r>
      <w:r>
        <w:rPr>
          <w:szCs w:val="24"/>
          <w:lang w:val="en-AU"/>
        </w:rPr>
        <w:t xml:space="preserve"> of </w:t>
      </w:r>
      <w:r w:rsidR="00415E8E">
        <w:rPr>
          <w:szCs w:val="24"/>
          <w:lang w:val="en-AU"/>
        </w:rPr>
        <w:t xml:space="preserve">these </w:t>
      </w:r>
      <w:r w:rsidRPr="00415E8E">
        <w:rPr>
          <w:szCs w:val="24"/>
          <w:lang w:val="en-AU"/>
        </w:rPr>
        <w:t>ADRG-level cost ratios</w:t>
      </w:r>
      <w:r w:rsidR="00415E8E" w:rsidRPr="00415E8E">
        <w:rPr>
          <w:szCs w:val="24"/>
          <w:lang w:val="en-AU"/>
        </w:rPr>
        <w:t xml:space="preserve"> for each of the four models. Similar to</w:t>
      </w:r>
      <w:r w:rsidR="00415E8E">
        <w:rPr>
          <w:szCs w:val="24"/>
          <w:lang w:val="en-AU"/>
        </w:rPr>
        <w:t xml:space="preserve"> their performance on paediatric episodes,</w:t>
      </w:r>
      <w:r w:rsidR="00415E8E" w:rsidRPr="00415E8E">
        <w:rPr>
          <w:szCs w:val="24"/>
          <w:lang w:val="en-AU"/>
        </w:rPr>
        <w:t xml:space="preserve"> </w:t>
      </w:r>
      <w:r w:rsidR="00CC0F16">
        <w:fldChar w:fldCharType="begin"/>
      </w:r>
      <w:r w:rsidR="00CC0F16">
        <w:instrText xml:space="preserve"> REF _Ref393185738 \h  \* MERGEFORMAT </w:instrText>
      </w:r>
      <w:r w:rsidR="00CC0F16">
        <w:fldChar w:fldCharType="separate"/>
      </w:r>
      <w:r w:rsidR="0031717B" w:rsidRPr="0031717B">
        <w:rPr>
          <w:szCs w:val="24"/>
        </w:rPr>
        <w:t xml:space="preserve">Figure </w:t>
      </w:r>
      <w:r w:rsidR="0031717B" w:rsidRPr="0031717B">
        <w:rPr>
          <w:noProof/>
          <w:szCs w:val="24"/>
        </w:rPr>
        <w:t>34</w:t>
      </w:r>
      <w:r w:rsidR="00CC0F16">
        <w:fldChar w:fldCharType="end"/>
      </w:r>
      <w:r w:rsidR="00415E8E" w:rsidRPr="00415E8E">
        <w:rPr>
          <w:szCs w:val="24"/>
          <w:lang w:val="en-AU"/>
        </w:rPr>
        <w:t xml:space="preserve"> </w:t>
      </w:r>
      <w:r w:rsidR="00415E8E">
        <w:rPr>
          <w:szCs w:val="24"/>
          <w:lang w:val="en-AU"/>
        </w:rPr>
        <w:t xml:space="preserve">shows a considerably tighter distribution of the </w:t>
      </w:r>
      <w:r>
        <w:rPr>
          <w:szCs w:val="24"/>
          <w:lang w:val="en-AU"/>
        </w:rPr>
        <w:t>ECCS models</w:t>
      </w:r>
      <w:r w:rsidR="00415E8E">
        <w:rPr>
          <w:szCs w:val="24"/>
          <w:lang w:val="en-AU"/>
        </w:rPr>
        <w:t xml:space="preserve">’ ADRG cost ratios </w:t>
      </w:r>
      <w:r>
        <w:rPr>
          <w:szCs w:val="24"/>
          <w:lang w:val="en-AU"/>
        </w:rPr>
        <w:t>about 1</w:t>
      </w:r>
      <w:r w:rsidR="00415E8E">
        <w:rPr>
          <w:szCs w:val="24"/>
          <w:lang w:val="en-AU"/>
        </w:rPr>
        <w:t>, compared to the PCCL model and AR-DRG classification.</w:t>
      </w:r>
    </w:p>
    <w:p w14:paraId="76344673" w14:textId="77777777" w:rsidR="005B5818" w:rsidRPr="008A6E53" w:rsidRDefault="005B5818" w:rsidP="000E5B4A">
      <w:pPr>
        <w:pStyle w:val="Caption"/>
      </w:pPr>
      <w:bookmarkStart w:id="175" w:name="_Ref393185738"/>
      <w:bookmarkStart w:id="176" w:name="_Toc391761705"/>
      <w:bookmarkStart w:id="177" w:name="_Toc401061087"/>
      <w:r w:rsidRPr="008A6E53">
        <w:lastRenderedPageBreak/>
        <w:t xml:space="preserve">Figure </w:t>
      </w:r>
      <w:r w:rsidR="005559F5" w:rsidRPr="008A6E53">
        <w:fldChar w:fldCharType="begin"/>
      </w:r>
      <w:r w:rsidRPr="008A6E53">
        <w:instrText xml:space="preserve"> SEQ Figure \* ARABIC </w:instrText>
      </w:r>
      <w:r w:rsidR="005559F5" w:rsidRPr="008A6E53">
        <w:fldChar w:fldCharType="separate"/>
      </w:r>
      <w:r w:rsidR="0031717B">
        <w:rPr>
          <w:noProof/>
        </w:rPr>
        <w:t>34</w:t>
      </w:r>
      <w:r w:rsidR="005559F5" w:rsidRPr="008A6E53">
        <w:fldChar w:fldCharType="end"/>
      </w:r>
      <w:bookmarkEnd w:id="175"/>
      <w:r w:rsidRPr="008A6E53">
        <w:t>: Distribution ADRG-level cost ratios across each model on geriatric episodes</w:t>
      </w:r>
      <w:bookmarkEnd w:id="176"/>
      <w:r w:rsidR="00981B6D">
        <w:t>.</w:t>
      </w:r>
      <w:bookmarkEnd w:id="177"/>
    </w:p>
    <w:p w14:paraId="4E7FAF00" w14:textId="77777777" w:rsidR="005B5818" w:rsidRDefault="008413C0" w:rsidP="00D762F2">
      <w:pPr>
        <w:ind w:left="-851"/>
        <w:jc w:val="center"/>
        <w:rPr>
          <w:szCs w:val="24"/>
          <w:lang w:val="en-AU"/>
        </w:rPr>
      </w:pPr>
      <w:r w:rsidRPr="008413C0">
        <w:rPr>
          <w:szCs w:val="24"/>
          <w:lang w:val="en-AU"/>
        </w:rPr>
        <w:t xml:space="preserve"> </w:t>
      </w:r>
      <w:r w:rsidR="00632FF4" w:rsidRPr="00632FF4">
        <w:rPr>
          <w:noProof/>
          <w:lang w:val="en-AU" w:eastAsia="en-AU"/>
        </w:rPr>
        <w:drawing>
          <wp:inline distT="0" distB="0" distL="0" distR="0" wp14:anchorId="5AB576D8" wp14:editId="7E9D24C4">
            <wp:extent cx="5940000" cy="4186274"/>
            <wp:effectExtent l="0" t="0" r="3810" b="5080"/>
            <wp:docPr id="14360" name="Picture 14360" descr="The figure shows the distribution of the ADRG-level cost ratios across each model (PCCL, DRG, ECCS - RID optimised, and ECCS - R squared optimised) on geriatric episodes. The ratio data is shown across ten ADRG-level cost ratio bins (under 0.5, 0.5 to 0.7,..., 1.9 to 2.1, and over 2.1). The mode of each distribution lies within the 0.9 to 1.1 bin. Again, the ECCS model shows a stronger ability to cluster around a cost ratio of 1 (0.9 to 1.1). For example, 58-59% of the cost ratios within each of the ECCS models lie within the 0.9 to 1.1 ratio bin, compared to 51% of those in the PCCL model and 45% of those in the DRG model." title="Distribution ADRG-level cost ratios across each model on geriatric epis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5"/>
                    <pic:cNvPicPr>
                      <a:picLocks noChangeAspect="1" noChangeArrowheads="1"/>
                    </pic:cNvPicPr>
                  </pic:nvPicPr>
                  <pic:blipFill>
                    <a:blip r:embed="rId804" cstate="print">
                      <a:extLst>
                        <a:ext uri="{28A0092B-C50C-407E-A947-70E740481C1C}">
                          <a14:useLocalDpi xmlns:a14="http://schemas.microsoft.com/office/drawing/2010/main" val="0"/>
                        </a:ext>
                      </a:extLst>
                    </a:blip>
                    <a:srcRect/>
                    <a:stretch>
                      <a:fillRect/>
                    </a:stretch>
                  </pic:blipFill>
                  <pic:spPr bwMode="auto">
                    <a:xfrm>
                      <a:off x="0" y="0"/>
                      <a:ext cx="5940000" cy="4186274"/>
                    </a:xfrm>
                    <a:prstGeom prst="rect">
                      <a:avLst/>
                    </a:prstGeom>
                    <a:noFill/>
                    <a:ln>
                      <a:noFill/>
                    </a:ln>
                  </pic:spPr>
                </pic:pic>
              </a:graphicData>
            </a:graphic>
          </wp:inline>
        </w:drawing>
      </w:r>
    </w:p>
    <w:p w14:paraId="13696B58" w14:textId="77777777" w:rsidR="005B5818" w:rsidRDefault="007C267D" w:rsidP="005B5818">
      <w:pPr>
        <w:rPr>
          <w:szCs w:val="24"/>
          <w:lang w:val="en-AU"/>
        </w:rPr>
      </w:pPr>
      <w:r>
        <w:rPr>
          <w:szCs w:val="24"/>
          <w:lang w:val="en-AU"/>
        </w:rPr>
        <w:t xml:space="preserve">In summary, </w:t>
      </w:r>
      <w:r w:rsidR="00C31102">
        <w:rPr>
          <w:szCs w:val="24"/>
          <w:lang w:val="en-AU"/>
        </w:rPr>
        <w:t xml:space="preserve">compared to the PCCL model and the AR-DRG classification, </w:t>
      </w:r>
      <w:r>
        <w:rPr>
          <w:szCs w:val="24"/>
          <w:lang w:val="en-AU"/>
        </w:rPr>
        <w:t>the ECC</w:t>
      </w:r>
      <w:r w:rsidR="007157A8">
        <w:rPr>
          <w:szCs w:val="24"/>
          <w:lang w:val="en-AU"/>
        </w:rPr>
        <w:t>S</w:t>
      </w:r>
      <w:r>
        <w:rPr>
          <w:szCs w:val="24"/>
          <w:lang w:val="en-AU"/>
        </w:rPr>
        <w:t xml:space="preserve"> models </w:t>
      </w:r>
      <w:r w:rsidR="00C31102">
        <w:rPr>
          <w:szCs w:val="24"/>
          <w:lang w:val="en-AU"/>
        </w:rPr>
        <w:t>show an enhanced capability to minimise bias in cost estimation within ADRGs</w:t>
      </w:r>
      <w:r w:rsidR="007157A8">
        <w:rPr>
          <w:szCs w:val="24"/>
          <w:lang w:val="en-AU"/>
        </w:rPr>
        <w:t>. A</w:t>
      </w:r>
      <w:r w:rsidR="00C31102">
        <w:rPr>
          <w:szCs w:val="24"/>
          <w:lang w:val="en-AU"/>
        </w:rPr>
        <w:t xml:space="preserve">lthough </w:t>
      </w:r>
      <w:r w:rsidR="00E06265">
        <w:rPr>
          <w:szCs w:val="24"/>
          <w:lang w:val="en-AU"/>
        </w:rPr>
        <w:t>the</w:t>
      </w:r>
      <w:r w:rsidR="007157A8">
        <w:rPr>
          <w:szCs w:val="24"/>
          <w:lang w:val="en-AU"/>
        </w:rPr>
        <w:t>ir</w:t>
      </w:r>
      <w:r w:rsidR="00E06265">
        <w:rPr>
          <w:szCs w:val="24"/>
          <w:lang w:val="en-AU"/>
        </w:rPr>
        <w:t xml:space="preserve"> does remain more of</w:t>
      </w:r>
      <w:r w:rsidR="007157A8">
        <w:rPr>
          <w:szCs w:val="24"/>
          <w:lang w:val="en-AU"/>
        </w:rPr>
        <w:t xml:space="preserve"> an overall </w:t>
      </w:r>
      <w:r w:rsidR="00E06265">
        <w:rPr>
          <w:szCs w:val="24"/>
          <w:lang w:val="en-AU"/>
        </w:rPr>
        <w:t>bias</w:t>
      </w:r>
      <w:r w:rsidR="007157A8">
        <w:rPr>
          <w:szCs w:val="24"/>
          <w:lang w:val="en-AU"/>
        </w:rPr>
        <w:t xml:space="preserve"> in cost estimation </w:t>
      </w:r>
      <w:r w:rsidR="00213715">
        <w:rPr>
          <w:szCs w:val="24"/>
          <w:lang w:val="en-AU"/>
        </w:rPr>
        <w:t xml:space="preserve">of geriatric episodes </w:t>
      </w:r>
      <w:r w:rsidR="00E06265">
        <w:rPr>
          <w:szCs w:val="24"/>
          <w:lang w:val="en-AU"/>
        </w:rPr>
        <w:t xml:space="preserve">compared to performance </w:t>
      </w:r>
      <w:r w:rsidR="007157A8">
        <w:rPr>
          <w:szCs w:val="24"/>
          <w:lang w:val="en-AU"/>
        </w:rPr>
        <w:t xml:space="preserve">of the ECCS models </w:t>
      </w:r>
      <w:r w:rsidR="00E06265">
        <w:rPr>
          <w:szCs w:val="24"/>
          <w:lang w:val="en-AU"/>
        </w:rPr>
        <w:t>on paediatric episodes, t</w:t>
      </w:r>
      <w:r w:rsidR="007157A8">
        <w:rPr>
          <w:szCs w:val="24"/>
          <w:lang w:val="en-AU"/>
        </w:rPr>
        <w:t>his is understandable given the increased presence non-clinical factors that may lead to increased length of stay, such as the processes of admission to residential aged care facilities.</w:t>
      </w:r>
    </w:p>
    <w:p w14:paraId="4E47C85D" w14:textId="77777777" w:rsidR="00EA10FE" w:rsidRPr="00FA395D" w:rsidRDefault="00EA10FE" w:rsidP="00D762F2">
      <w:pPr>
        <w:keepNext/>
        <w:pBdr>
          <w:top w:val="single" w:sz="4" w:space="1" w:color="auto"/>
          <w:left w:val="single" w:sz="4" w:space="4" w:color="auto"/>
          <w:bottom w:val="single" w:sz="4" w:space="1" w:color="auto"/>
          <w:right w:val="single" w:sz="4" w:space="4" w:color="auto"/>
        </w:pBdr>
        <w:shd w:val="clear" w:color="auto" w:fill="DBE5F1" w:themeFill="accent1" w:themeFillTint="33"/>
        <w:rPr>
          <w:b/>
          <w:i/>
          <w:szCs w:val="24"/>
          <w:lang w:val="en-AU"/>
        </w:rPr>
      </w:pPr>
      <w:r>
        <w:rPr>
          <w:b/>
          <w:i/>
          <w:color w:val="1F497D" w:themeColor="text2"/>
          <w:szCs w:val="24"/>
          <w:lang w:val="en-AU"/>
        </w:rPr>
        <w:t xml:space="preserve">Key Finding </w:t>
      </w:r>
      <w:r w:rsidR="00FA7F1B">
        <w:rPr>
          <w:b/>
          <w:i/>
          <w:color w:val="1F497D" w:themeColor="text2"/>
          <w:szCs w:val="24"/>
          <w:lang w:val="en-AU"/>
        </w:rPr>
        <w:t>9</w:t>
      </w:r>
    </w:p>
    <w:p w14:paraId="32DE76DF" w14:textId="77777777" w:rsidR="00EA10FE" w:rsidRPr="00FA395D" w:rsidRDefault="00EA10FE" w:rsidP="00EA10FE">
      <w:pPr>
        <w:pBdr>
          <w:top w:val="single" w:sz="4" w:space="1" w:color="auto"/>
          <w:left w:val="single" w:sz="4" w:space="4" w:color="auto"/>
          <w:bottom w:val="single" w:sz="4" w:space="1" w:color="auto"/>
          <w:right w:val="single" w:sz="4" w:space="4" w:color="auto"/>
        </w:pBdr>
        <w:shd w:val="clear" w:color="auto" w:fill="DBE5F1" w:themeFill="accent1" w:themeFillTint="33"/>
        <w:rPr>
          <w:i/>
          <w:szCs w:val="24"/>
          <w:lang w:val="en-AU"/>
        </w:rPr>
      </w:pPr>
      <w:r w:rsidRPr="00EA10FE">
        <w:rPr>
          <w:i/>
          <w:szCs w:val="24"/>
          <w:lang w:val="en-AU"/>
        </w:rPr>
        <w:t>ECCS performance was evaluated on paediatric and geriatric episodes and compared to that of the current PCCL measure. When compared to the PCCL measure, ECCS showed a much improved ability to minimise bias in cost estimation within ADRGs among both cohorts (i.e. minimising over and under prediction of cost).</w:t>
      </w:r>
    </w:p>
    <w:p w14:paraId="1B830FBF" w14:textId="39FB3D80" w:rsidR="0031717B" w:rsidRDefault="0031717B">
      <w:pPr>
        <w:spacing w:before="0" w:after="200" w:line="276" w:lineRule="auto"/>
        <w:rPr>
          <w:lang w:val="en-AU"/>
        </w:rPr>
      </w:pPr>
      <w:r>
        <w:rPr>
          <w:lang w:val="en-AU"/>
        </w:rPr>
        <w:br w:type="page"/>
      </w:r>
    </w:p>
    <w:p w14:paraId="76732AE4" w14:textId="77777777" w:rsidR="00EA10FE" w:rsidRDefault="00EA10FE" w:rsidP="00721499">
      <w:pPr>
        <w:spacing w:before="0" w:after="0" w:line="240" w:lineRule="auto"/>
        <w:rPr>
          <w:lang w:val="en-AU"/>
        </w:rPr>
      </w:pPr>
    </w:p>
    <w:p w14:paraId="0DFFD7D9" w14:textId="77777777" w:rsidR="00EA10FE" w:rsidRPr="00721499" w:rsidRDefault="00EA10FE" w:rsidP="00721499">
      <w:pPr>
        <w:pStyle w:val="Recommendation"/>
        <w:rPr>
          <w:b/>
          <w:color w:val="1F497D" w:themeColor="text2"/>
        </w:rPr>
      </w:pPr>
      <w:r w:rsidRPr="00721499">
        <w:rPr>
          <w:b/>
          <w:color w:val="1F497D" w:themeColor="text2"/>
        </w:rPr>
        <w:t xml:space="preserve">Recommendation </w:t>
      </w:r>
      <w:r w:rsidR="00FA7F1B" w:rsidRPr="00721499">
        <w:rPr>
          <w:b/>
          <w:color w:val="1F497D" w:themeColor="text2"/>
        </w:rPr>
        <w:t>8</w:t>
      </w:r>
    </w:p>
    <w:p w14:paraId="2B0861EC" w14:textId="77777777" w:rsidR="005B5818" w:rsidRPr="002506C3" w:rsidRDefault="00EA10FE" w:rsidP="00721499">
      <w:pPr>
        <w:pStyle w:val="Recommendation"/>
      </w:pPr>
      <w:r>
        <w:t xml:space="preserve">Based on Key Finding </w:t>
      </w:r>
      <w:r w:rsidR="00FA7F1B">
        <w:t>9</w:t>
      </w:r>
      <w:r>
        <w:t xml:space="preserve">, ACCD recommends that separate </w:t>
      </w:r>
      <w:r w:rsidR="000B78D8">
        <w:t>approaches</w:t>
      </w:r>
      <w:r>
        <w:t xml:space="preserve"> for paediatric and geriatric episodes are not required, g</w:t>
      </w:r>
      <w:r w:rsidRPr="00FA395D">
        <w:t xml:space="preserve">iven the </w:t>
      </w:r>
      <w:r w:rsidRPr="009C21A6">
        <w:t>improved performance of the ECC Model in explaining cost variations for paediatric and geriatric episodes.</w:t>
      </w:r>
      <w:bookmarkStart w:id="178" w:name="Continued_refinement"/>
    </w:p>
    <w:p w14:paraId="7BA15626" w14:textId="77777777" w:rsidR="005B5818" w:rsidRDefault="005B5818" w:rsidP="00B60372">
      <w:pPr>
        <w:pStyle w:val="Heading2"/>
      </w:pPr>
      <w:bookmarkStart w:id="179" w:name="_Continued_refinement_of"/>
      <w:bookmarkStart w:id="180" w:name="_Toc393116730"/>
      <w:bookmarkStart w:id="181" w:name="_Ref400541112"/>
      <w:bookmarkStart w:id="182" w:name="_Ref400541297"/>
      <w:bookmarkStart w:id="183" w:name="_Toc401061048"/>
      <w:bookmarkEnd w:id="178"/>
      <w:bookmarkEnd w:id="179"/>
      <w:r w:rsidRPr="00220522">
        <w:lastRenderedPageBreak/>
        <w:t>Continued refinement of ECC Model</w:t>
      </w:r>
      <w:bookmarkEnd w:id="180"/>
      <w:bookmarkEnd w:id="181"/>
      <w:bookmarkEnd w:id="182"/>
      <w:bookmarkEnd w:id="183"/>
    </w:p>
    <w:p w14:paraId="7772F194" w14:textId="77777777" w:rsidR="005B5818" w:rsidRPr="00E23B52" w:rsidRDefault="005B5818" w:rsidP="002506C3">
      <w:pPr>
        <w:rPr>
          <w:lang w:val="en-AU"/>
        </w:rPr>
      </w:pPr>
      <w:r w:rsidRPr="00E23B52">
        <w:rPr>
          <w:lang w:val="en-AU"/>
        </w:rPr>
        <w:t xml:space="preserve">The ECC Model will require ongoing evaluation and refinement to ensure the model is best suited to its role in the AR-DRG classification. </w:t>
      </w:r>
      <w:r w:rsidR="00B84234" w:rsidRPr="00E23B52">
        <w:rPr>
          <w:lang w:val="en-AU"/>
        </w:rPr>
        <w:t>This section</w:t>
      </w:r>
      <w:r w:rsidRPr="00E23B52">
        <w:rPr>
          <w:lang w:val="en-AU"/>
        </w:rPr>
        <w:t xml:space="preserve"> set</w:t>
      </w:r>
      <w:r w:rsidR="00B84234" w:rsidRPr="00E23B52">
        <w:rPr>
          <w:lang w:val="en-AU"/>
        </w:rPr>
        <w:t>s</w:t>
      </w:r>
      <w:r w:rsidRPr="00E23B52">
        <w:rPr>
          <w:lang w:val="en-AU"/>
        </w:rPr>
        <w:t xml:space="preserve"> out a framework that supports a continuous and systematic approach to evaluation and refinement which encompasses the broader AR-DRG refinement process.</w:t>
      </w:r>
    </w:p>
    <w:p w14:paraId="0FAAABB0" w14:textId="77777777" w:rsidR="005B5818" w:rsidRPr="000944A7" w:rsidRDefault="005B5818" w:rsidP="006056B9">
      <w:pPr>
        <w:rPr>
          <w:szCs w:val="24"/>
          <w:lang w:val="en-AU"/>
        </w:rPr>
      </w:pPr>
      <w:r w:rsidRPr="000944A7">
        <w:rPr>
          <w:szCs w:val="24"/>
          <w:lang w:val="en-AU"/>
        </w:rPr>
        <w:t>The ongoing evaluation and refinement of the ECC Model can be divided into two groups, relating to:</w:t>
      </w:r>
    </w:p>
    <w:p w14:paraId="2189283A" w14:textId="77777777" w:rsidR="005B5818" w:rsidRPr="009C21A6" w:rsidRDefault="005B5818" w:rsidP="00721499">
      <w:pPr>
        <w:numPr>
          <w:ilvl w:val="0"/>
          <w:numId w:val="105"/>
        </w:numPr>
        <w:rPr>
          <w:lang w:val="en-AU"/>
        </w:rPr>
      </w:pPr>
      <w:r w:rsidRPr="009C21A6">
        <w:rPr>
          <w:lang w:val="en-AU"/>
        </w:rPr>
        <w:t>The methodological and technical components of the model, including processes that enhance model precision and performance within the AR-DRG classification; and</w:t>
      </w:r>
    </w:p>
    <w:p w14:paraId="25D8EFC5" w14:textId="77777777" w:rsidR="005B5818" w:rsidRPr="009C21A6" w:rsidRDefault="005B5818" w:rsidP="00721499">
      <w:pPr>
        <w:numPr>
          <w:ilvl w:val="0"/>
          <w:numId w:val="105"/>
        </w:numPr>
        <w:rPr>
          <w:lang w:val="en-AU"/>
        </w:rPr>
      </w:pPr>
      <w:r w:rsidRPr="009C21A6">
        <w:rPr>
          <w:lang w:val="en-AU"/>
        </w:rPr>
        <w:t>The empirically derived components of the model, including processes that monitor for unintended model behaviour caused by anomalous data and ensure stable updating of the model as new data becomes available.</w:t>
      </w:r>
    </w:p>
    <w:p w14:paraId="0E7322F9" w14:textId="77777777" w:rsidR="005B5818" w:rsidRDefault="005B5818" w:rsidP="00B60372">
      <w:pPr>
        <w:pStyle w:val="Heading3"/>
      </w:pPr>
      <w:bookmarkStart w:id="184" w:name="_Toc393116731"/>
      <w:r>
        <w:t>Ongoing evaluation and refinement of methodological and technical components of the ECC Model</w:t>
      </w:r>
      <w:bookmarkEnd w:id="184"/>
    </w:p>
    <w:p w14:paraId="72116C17" w14:textId="77777777" w:rsidR="005B5818" w:rsidRDefault="005B5818" w:rsidP="00B60372">
      <w:pPr>
        <w:rPr>
          <w:szCs w:val="24"/>
          <w:lang w:val="en-AU"/>
        </w:rPr>
      </w:pPr>
      <w:r w:rsidRPr="00B326E5">
        <w:rPr>
          <w:szCs w:val="24"/>
          <w:lang w:val="en-AU"/>
        </w:rPr>
        <w:t xml:space="preserve">The methodological and technical components of the ECC Model ensure that </w:t>
      </w:r>
      <w:r>
        <w:rPr>
          <w:szCs w:val="24"/>
          <w:lang w:val="en-AU"/>
        </w:rPr>
        <w:t>the model has a sound conceptual basis and that its performance is optimised against its role in the AR-DRG classification. Therefore any refinement of these components of the model should be approached in a way that maintains consistency with the underlying methodology either by extension or modification. Any refinement of this type should also be measured in terms of its ability to enhance the performance of the model within the AR-DRG classification.</w:t>
      </w:r>
    </w:p>
    <w:p w14:paraId="216CB30E" w14:textId="77777777" w:rsidR="005B5818" w:rsidRDefault="005B5818" w:rsidP="00B60372">
      <w:pPr>
        <w:rPr>
          <w:szCs w:val="24"/>
          <w:lang w:val="en-AU"/>
        </w:rPr>
      </w:pPr>
      <w:r>
        <w:rPr>
          <w:szCs w:val="24"/>
          <w:lang w:val="en-AU"/>
        </w:rPr>
        <w:t>One particular element of the ECC Model technical specifications that should be evaluated on an ongoing basis with a view to enhancing the model’s performance is the level of precision of the DCLs. The following section details the process by which this could begin to occur.</w:t>
      </w:r>
    </w:p>
    <w:p w14:paraId="621DEDEF" w14:textId="77777777" w:rsidR="005B5818" w:rsidRDefault="005B5818" w:rsidP="00B60372">
      <w:pPr>
        <w:pStyle w:val="Heading4"/>
      </w:pPr>
      <w:bookmarkStart w:id="185" w:name="_Toc393116732"/>
      <w:bookmarkStart w:id="186" w:name="_Ref393367890"/>
      <w:bookmarkStart w:id="187" w:name="_Ref400544765"/>
      <w:bookmarkStart w:id="188" w:name="_Ref400544787"/>
      <w:r>
        <w:lastRenderedPageBreak/>
        <w:t>Enhancing DCL precision</w:t>
      </w:r>
      <w:bookmarkEnd w:id="185"/>
      <w:bookmarkEnd w:id="186"/>
      <w:bookmarkEnd w:id="187"/>
      <w:bookmarkEnd w:id="188"/>
    </w:p>
    <w:p w14:paraId="313DDF76" w14:textId="474E9EEB" w:rsidR="005B5818" w:rsidRDefault="005B5818" w:rsidP="006056B9">
      <w:pPr>
        <w:rPr>
          <w:szCs w:val="24"/>
          <w:lang w:val="en-AU"/>
        </w:rPr>
      </w:pPr>
      <w:r w:rsidRPr="00266729">
        <w:rPr>
          <w:szCs w:val="24"/>
          <w:lang w:val="en-AU"/>
        </w:rPr>
        <w:t xml:space="preserve">As detailed in </w:t>
      </w:r>
      <w:r w:rsidR="0047513D">
        <w:rPr>
          <w:szCs w:val="24"/>
          <w:lang w:val="en-AU"/>
        </w:rPr>
        <w:t xml:space="preserve">the </w:t>
      </w:r>
      <w:r w:rsidR="0047513D" w:rsidRPr="002F7E33">
        <w:rPr>
          <w:i/>
          <w:szCs w:val="24"/>
          <w:lang w:val="en-AU"/>
        </w:rPr>
        <w:fldChar w:fldCharType="begin"/>
      </w:r>
      <w:r w:rsidR="0047513D" w:rsidRPr="002F7E33">
        <w:rPr>
          <w:i/>
          <w:szCs w:val="24"/>
          <w:lang w:val="en-AU"/>
        </w:rPr>
        <w:instrText xml:space="preserve"> REF _Ref391625516 \h </w:instrText>
      </w:r>
      <w:r w:rsidR="0047513D">
        <w:rPr>
          <w:i/>
          <w:szCs w:val="24"/>
          <w:lang w:val="en-AU"/>
        </w:rPr>
        <w:instrText xml:space="preserve"> \* MERGEFORMAT </w:instrText>
      </w:r>
      <w:r w:rsidR="0047513D" w:rsidRPr="002F7E33">
        <w:rPr>
          <w:i/>
          <w:szCs w:val="24"/>
          <w:lang w:val="en-AU"/>
        </w:rPr>
      </w:r>
      <w:r w:rsidR="0047513D" w:rsidRPr="002F7E33">
        <w:rPr>
          <w:i/>
          <w:szCs w:val="24"/>
          <w:lang w:val="en-AU"/>
        </w:rPr>
        <w:fldChar w:fldCharType="separate"/>
      </w:r>
      <w:r w:rsidR="0031717B" w:rsidRPr="0031717B">
        <w:rPr>
          <w:i/>
        </w:rPr>
        <w:t>Derivation of the Diagnosis Complexity Level</w:t>
      </w:r>
      <w:r w:rsidR="0047513D" w:rsidRPr="002F7E33">
        <w:rPr>
          <w:i/>
          <w:szCs w:val="24"/>
          <w:lang w:val="en-AU"/>
        </w:rPr>
        <w:fldChar w:fldCharType="end"/>
      </w:r>
      <w:r w:rsidR="0047513D">
        <w:rPr>
          <w:szCs w:val="24"/>
          <w:lang w:val="en-AU"/>
        </w:rPr>
        <w:t xml:space="preserve"> section</w:t>
      </w:r>
      <w:r w:rsidRPr="00266729">
        <w:rPr>
          <w:szCs w:val="24"/>
          <w:lang w:val="en-AU"/>
        </w:rPr>
        <w:t xml:space="preserve">, the finest level of precision at which the ECC Model derives </w:t>
      </w:r>
      <w:r>
        <w:rPr>
          <w:szCs w:val="24"/>
          <w:lang w:val="en-AU"/>
        </w:rPr>
        <w:t>DCLs is the three-character category level within CDC. This level is chosen to strike a balance between maximising both ECCS performance and robustness of DCL values whilst at the same time applying a consistent method of DCL derivation across all diagnosis codes.</w:t>
      </w:r>
    </w:p>
    <w:p w14:paraId="2DB29274" w14:textId="77777777" w:rsidR="005B5818" w:rsidRDefault="005B5818" w:rsidP="006056B9">
      <w:pPr>
        <w:rPr>
          <w:szCs w:val="24"/>
          <w:lang w:val="en-AU"/>
        </w:rPr>
      </w:pPr>
      <w:r>
        <w:rPr>
          <w:szCs w:val="24"/>
          <w:lang w:val="en-AU"/>
        </w:rPr>
        <w:t>The ongoing evaluation and review of the ECC Model should include careful consideration of extending this aspect of the methodology by increasing DCL precision for identified diagnosis codes. This would occur by deriving DCL values at the fourth and fifth character level of the diagnosis codes in circumstances where comparative levels of complexity between codes is known (e.g. when disease severity is explicit in the code descriptions).</w:t>
      </w:r>
    </w:p>
    <w:p w14:paraId="36A924CA" w14:textId="77777777" w:rsidR="005B5818" w:rsidRDefault="005B5818" w:rsidP="006056B9">
      <w:pPr>
        <w:rPr>
          <w:szCs w:val="24"/>
          <w:lang w:val="en-AU"/>
        </w:rPr>
      </w:pPr>
      <w:r>
        <w:rPr>
          <w:szCs w:val="24"/>
          <w:lang w:val="en-AU"/>
        </w:rPr>
        <w:t xml:space="preserve">The following three-character categories are identified as initial candidates for enhanced DCL precision by calculating DCL at the </w:t>
      </w:r>
      <w:r w:rsidRPr="00472DC2">
        <w:rPr>
          <w:szCs w:val="24"/>
          <w:lang w:val="en-AU"/>
        </w:rPr>
        <w:t>fo</w:t>
      </w:r>
      <w:r>
        <w:rPr>
          <w:szCs w:val="24"/>
          <w:lang w:val="en-AU"/>
        </w:rPr>
        <w:t>urth and fifth character level:</w:t>
      </w:r>
    </w:p>
    <w:p w14:paraId="11F51926" w14:textId="77777777" w:rsidR="005B5818" w:rsidRPr="009C21A6" w:rsidRDefault="005B5818" w:rsidP="002506C3">
      <w:pPr>
        <w:numPr>
          <w:ilvl w:val="0"/>
          <w:numId w:val="94"/>
        </w:numPr>
        <w:rPr>
          <w:lang w:val="en-AU"/>
        </w:rPr>
      </w:pPr>
      <w:r w:rsidRPr="009C21A6">
        <w:rPr>
          <w:lang w:val="en-AU"/>
        </w:rPr>
        <w:t xml:space="preserve">I70.2- </w:t>
      </w:r>
      <w:r w:rsidRPr="002506C3">
        <w:rPr>
          <w:i/>
          <w:lang w:val="en-AU"/>
        </w:rPr>
        <w:t>Atherosclerosis of arteries of extremities</w:t>
      </w:r>
    </w:p>
    <w:p w14:paraId="02D29063" w14:textId="77777777" w:rsidR="005B5818" w:rsidRPr="009C21A6" w:rsidRDefault="005B5818" w:rsidP="002506C3">
      <w:pPr>
        <w:numPr>
          <w:ilvl w:val="0"/>
          <w:numId w:val="94"/>
        </w:numPr>
        <w:rPr>
          <w:lang w:val="en-AU"/>
        </w:rPr>
      </w:pPr>
      <w:r w:rsidRPr="009C21A6">
        <w:rPr>
          <w:lang w:val="en-AU"/>
        </w:rPr>
        <w:t xml:space="preserve">I83.- </w:t>
      </w:r>
      <w:r w:rsidRPr="002506C3">
        <w:rPr>
          <w:i/>
          <w:lang w:val="en-AU"/>
        </w:rPr>
        <w:t>Varicose veins of lower extremities</w:t>
      </w:r>
    </w:p>
    <w:p w14:paraId="62F9E7AD" w14:textId="77777777" w:rsidR="005B5818" w:rsidRPr="009C21A6" w:rsidRDefault="005B5818" w:rsidP="002506C3">
      <w:pPr>
        <w:numPr>
          <w:ilvl w:val="0"/>
          <w:numId w:val="94"/>
        </w:numPr>
        <w:rPr>
          <w:lang w:val="en-AU"/>
        </w:rPr>
      </w:pPr>
      <w:r w:rsidRPr="009C21A6">
        <w:rPr>
          <w:lang w:val="en-AU"/>
        </w:rPr>
        <w:t xml:space="preserve">L89.- </w:t>
      </w:r>
      <w:r w:rsidRPr="002506C3">
        <w:rPr>
          <w:i/>
          <w:lang w:val="en-AU"/>
        </w:rPr>
        <w:t>Decubitus ulcer and pressure area</w:t>
      </w:r>
    </w:p>
    <w:p w14:paraId="2839BD28" w14:textId="77777777" w:rsidR="005B5818" w:rsidRPr="009C21A6" w:rsidRDefault="005B5818" w:rsidP="002506C3">
      <w:pPr>
        <w:numPr>
          <w:ilvl w:val="0"/>
          <w:numId w:val="94"/>
        </w:numPr>
        <w:rPr>
          <w:lang w:val="en-AU"/>
        </w:rPr>
      </w:pPr>
      <w:r w:rsidRPr="009C21A6">
        <w:rPr>
          <w:lang w:val="en-AU"/>
        </w:rPr>
        <w:t xml:space="preserve">N18.- </w:t>
      </w:r>
      <w:r w:rsidRPr="002506C3">
        <w:rPr>
          <w:i/>
          <w:lang w:val="en-AU"/>
        </w:rPr>
        <w:t>Chronic kidney disease</w:t>
      </w:r>
    </w:p>
    <w:p w14:paraId="4A1A61D3" w14:textId="77777777" w:rsidR="005B5818" w:rsidRPr="009C21A6" w:rsidRDefault="005B5818" w:rsidP="002506C3">
      <w:pPr>
        <w:numPr>
          <w:ilvl w:val="0"/>
          <w:numId w:val="94"/>
        </w:numPr>
        <w:rPr>
          <w:lang w:val="en-AU"/>
        </w:rPr>
      </w:pPr>
      <w:r w:rsidRPr="009C21A6">
        <w:rPr>
          <w:lang w:val="en-AU"/>
        </w:rPr>
        <w:t xml:space="preserve">T31.- </w:t>
      </w:r>
      <w:r w:rsidRPr="002506C3">
        <w:rPr>
          <w:i/>
          <w:lang w:val="en-AU"/>
        </w:rPr>
        <w:t>Burns classified according to extent of body surface involved</w:t>
      </w:r>
    </w:p>
    <w:p w14:paraId="7127C1A1" w14:textId="77777777" w:rsidR="005B5818" w:rsidRPr="00B326E5" w:rsidRDefault="005B5818" w:rsidP="006056B9">
      <w:pPr>
        <w:rPr>
          <w:szCs w:val="24"/>
          <w:lang w:val="en-AU"/>
        </w:rPr>
      </w:pPr>
      <w:r>
        <w:rPr>
          <w:szCs w:val="24"/>
          <w:lang w:val="en-AU"/>
        </w:rPr>
        <w:t>Where there is adequate sample size and where calculated DCL hierarchies align with disease severity, the DCLs should be set at the enhanced level of precision. Where there is misalignment, DCLs should be combined to ensure they do not contradict comparisons of disease severity.</w:t>
      </w:r>
    </w:p>
    <w:p w14:paraId="1D3C1F7F" w14:textId="77777777" w:rsidR="005B5818" w:rsidRDefault="005B5818" w:rsidP="00B60372">
      <w:pPr>
        <w:pStyle w:val="Heading3"/>
      </w:pPr>
      <w:bookmarkStart w:id="189" w:name="_Toc393116733"/>
      <w:r>
        <w:lastRenderedPageBreak/>
        <w:t>Ongoing evaluation and refinement of empirically derived components of the ECC Model</w:t>
      </w:r>
      <w:bookmarkEnd w:id="189"/>
    </w:p>
    <w:p w14:paraId="26911518" w14:textId="77777777" w:rsidR="005B5818" w:rsidRDefault="005B5818" w:rsidP="00C83D03">
      <w:pPr>
        <w:keepNext/>
        <w:rPr>
          <w:szCs w:val="24"/>
          <w:lang w:val="en-AU"/>
        </w:rPr>
      </w:pPr>
      <w:r w:rsidRPr="000E6A88">
        <w:rPr>
          <w:szCs w:val="24"/>
          <w:lang w:val="en-AU"/>
        </w:rPr>
        <w:t xml:space="preserve">The </w:t>
      </w:r>
      <w:r>
        <w:rPr>
          <w:szCs w:val="24"/>
          <w:lang w:val="en-AU"/>
        </w:rPr>
        <w:t xml:space="preserve">ECC Model parameters, including DCLs, are </w:t>
      </w:r>
      <w:r w:rsidRPr="000E6A88">
        <w:rPr>
          <w:szCs w:val="24"/>
          <w:lang w:val="en-AU"/>
        </w:rPr>
        <w:t xml:space="preserve">derived from </w:t>
      </w:r>
      <w:r>
        <w:rPr>
          <w:szCs w:val="24"/>
          <w:lang w:val="en-AU"/>
        </w:rPr>
        <w:t xml:space="preserve">the </w:t>
      </w:r>
      <w:r w:rsidRPr="000E6A88">
        <w:rPr>
          <w:szCs w:val="24"/>
          <w:lang w:val="en-AU"/>
        </w:rPr>
        <w:t>three years of cost data</w:t>
      </w:r>
      <w:r>
        <w:rPr>
          <w:szCs w:val="24"/>
          <w:lang w:val="en-AU"/>
        </w:rPr>
        <w:t xml:space="preserve"> from 2009-10 to 2011-12. Consequently, the parameters are subject to variation in data and the model is specifically adapted to the </w:t>
      </w:r>
      <w:proofErr w:type="spellStart"/>
      <w:r>
        <w:rPr>
          <w:szCs w:val="24"/>
          <w:lang w:val="en-AU"/>
        </w:rPr>
        <w:t>casemix</w:t>
      </w:r>
      <w:proofErr w:type="spellEnd"/>
      <w:r>
        <w:rPr>
          <w:szCs w:val="24"/>
          <w:lang w:val="en-AU"/>
        </w:rPr>
        <w:t xml:space="preserve"> and cost profiles of those three years.</w:t>
      </w:r>
    </w:p>
    <w:p w14:paraId="26E2F7E9" w14:textId="77777777" w:rsidR="005B5818" w:rsidRDefault="005B5818" w:rsidP="00B60372">
      <w:pPr>
        <w:rPr>
          <w:szCs w:val="24"/>
          <w:lang w:val="en-AU"/>
        </w:rPr>
      </w:pPr>
      <w:r>
        <w:rPr>
          <w:szCs w:val="24"/>
          <w:lang w:val="en-AU"/>
        </w:rPr>
        <w:t xml:space="preserve">As more recent data becomes available the ECC Model would benefit from having its parameters updated to ensure that its role within the AR-DRG classification remains current. The ongoing updating of model parameters is also of benefit as the quality of cost data improves over time. However, care must be taken when updating the ECC Model parameters to ensure that changes due to sample variation, or ‘noise’ in the data, are minimised while at the same time allowing the model to adapt to changes in </w:t>
      </w:r>
      <w:proofErr w:type="spellStart"/>
      <w:r>
        <w:rPr>
          <w:szCs w:val="24"/>
          <w:lang w:val="en-AU"/>
        </w:rPr>
        <w:t>casemix</w:t>
      </w:r>
      <w:proofErr w:type="spellEnd"/>
      <w:r>
        <w:rPr>
          <w:szCs w:val="24"/>
          <w:lang w:val="en-AU"/>
        </w:rPr>
        <w:t xml:space="preserve"> and costs and improvements in data quality.</w:t>
      </w:r>
    </w:p>
    <w:p w14:paraId="6C4D7657" w14:textId="77777777" w:rsidR="005B5818" w:rsidRPr="000E6A88" w:rsidRDefault="005B5818" w:rsidP="00B60372">
      <w:pPr>
        <w:rPr>
          <w:szCs w:val="24"/>
          <w:lang w:val="en-AU"/>
        </w:rPr>
      </w:pPr>
      <w:r>
        <w:rPr>
          <w:szCs w:val="24"/>
          <w:lang w:val="en-AU"/>
        </w:rPr>
        <w:t>The following section explores the way in which variation in data can affect DCLs, and looks at ways to minimise this effect.</w:t>
      </w:r>
    </w:p>
    <w:p w14:paraId="72C1D97E" w14:textId="77777777" w:rsidR="005B5818" w:rsidRDefault="005B5818" w:rsidP="00B60372">
      <w:pPr>
        <w:pStyle w:val="Heading4"/>
      </w:pPr>
      <w:bookmarkStart w:id="190" w:name="_Ref393363623"/>
      <w:r w:rsidRPr="00F541EC">
        <w:t>Sample variation and DCL stability</w:t>
      </w:r>
      <w:bookmarkEnd w:id="190"/>
    </w:p>
    <w:p w14:paraId="11C1BA93" w14:textId="77777777" w:rsidR="005B5818" w:rsidRDefault="005B5818" w:rsidP="005B5818">
      <w:pPr>
        <w:rPr>
          <w:szCs w:val="24"/>
          <w:lang w:val="en-AU"/>
        </w:rPr>
      </w:pPr>
      <w:r>
        <w:rPr>
          <w:szCs w:val="24"/>
          <w:lang w:val="en-AU"/>
        </w:rPr>
        <w:t xml:space="preserve">To assess the stability of DCLs over time and with respect to data variability, the </w:t>
      </w:r>
      <w:r w:rsidR="00FC7528">
        <w:rPr>
          <w:szCs w:val="24"/>
          <w:lang w:val="en-AU"/>
        </w:rPr>
        <w:t xml:space="preserve">DCL </w:t>
      </w:r>
      <w:r>
        <w:rPr>
          <w:szCs w:val="24"/>
          <w:lang w:val="en-AU"/>
        </w:rPr>
        <w:t xml:space="preserve">matrix </w:t>
      </w:r>
      <w:r w:rsidR="00FC7528">
        <w:rPr>
          <w:szCs w:val="24"/>
          <w:lang w:val="en-AU"/>
        </w:rPr>
        <w:t xml:space="preserve">was </w:t>
      </w:r>
      <w:r>
        <w:rPr>
          <w:szCs w:val="24"/>
          <w:lang w:val="en-AU"/>
        </w:rPr>
        <w:t>calculated from different datasets.</w:t>
      </w:r>
    </w:p>
    <w:p w14:paraId="501F605C" w14:textId="77777777" w:rsidR="005B5818" w:rsidRDefault="005B5818" w:rsidP="005B5818">
      <w:pPr>
        <w:rPr>
          <w:szCs w:val="24"/>
          <w:lang w:val="en-AU"/>
        </w:rPr>
      </w:pPr>
      <w:r>
        <w:rPr>
          <w:szCs w:val="24"/>
          <w:lang w:val="en-AU"/>
        </w:rPr>
        <w:t xml:space="preserve">Initial testing </w:t>
      </w:r>
      <w:r w:rsidR="00FC7528">
        <w:rPr>
          <w:szCs w:val="24"/>
          <w:lang w:val="en-AU"/>
        </w:rPr>
        <w:t xml:space="preserve">was </w:t>
      </w:r>
      <w:r>
        <w:rPr>
          <w:szCs w:val="24"/>
          <w:lang w:val="en-AU"/>
        </w:rPr>
        <w:t>undertaken based on the following approaches:</w:t>
      </w:r>
    </w:p>
    <w:p w14:paraId="5EC083C9" w14:textId="77777777" w:rsidR="005B5818" w:rsidRPr="009C21A6" w:rsidRDefault="005B5818" w:rsidP="00721499">
      <w:pPr>
        <w:numPr>
          <w:ilvl w:val="0"/>
          <w:numId w:val="106"/>
        </w:numPr>
        <w:rPr>
          <w:lang w:val="en-AU"/>
        </w:rPr>
      </w:pPr>
      <w:r w:rsidRPr="009C21A6">
        <w:rPr>
          <w:lang w:val="en-AU"/>
        </w:rPr>
        <w:t>Derivation of the DCL matrix from the full 3 years of cost data from 2009-10 to 2011-12 (i.e. the version of the DCL matrix used in the ECC Model);</w:t>
      </w:r>
    </w:p>
    <w:p w14:paraId="1A8C921C" w14:textId="77777777" w:rsidR="005B5818" w:rsidRPr="009C21A6" w:rsidRDefault="005B5818" w:rsidP="00721499">
      <w:pPr>
        <w:numPr>
          <w:ilvl w:val="0"/>
          <w:numId w:val="106"/>
        </w:numPr>
        <w:rPr>
          <w:lang w:val="en-AU"/>
        </w:rPr>
      </w:pPr>
      <w:r w:rsidRPr="009C21A6">
        <w:rPr>
          <w:lang w:val="en-AU"/>
        </w:rPr>
        <w:t>Derivation of the DCL matrix from the full 3 years of cost data from 2008-09 to 2010-11;</w:t>
      </w:r>
    </w:p>
    <w:p w14:paraId="1DCDF8B7" w14:textId="77777777" w:rsidR="005B5818" w:rsidRPr="009C21A6" w:rsidRDefault="005B5818" w:rsidP="00721499">
      <w:pPr>
        <w:numPr>
          <w:ilvl w:val="0"/>
          <w:numId w:val="106"/>
        </w:numPr>
        <w:rPr>
          <w:lang w:val="en-AU"/>
        </w:rPr>
      </w:pPr>
      <w:r w:rsidRPr="009C21A6">
        <w:rPr>
          <w:lang w:val="en-AU"/>
        </w:rPr>
        <w:t>50 derivations of the DCL matrix based on randomly selected 95</w:t>
      </w:r>
      <w:r w:rsidR="002201AB" w:rsidRPr="009C21A6">
        <w:rPr>
          <w:lang w:val="en-AU"/>
        </w:rPr>
        <w:t xml:space="preserve"> per cent</w:t>
      </w:r>
      <w:r w:rsidRPr="009C21A6">
        <w:rPr>
          <w:lang w:val="en-AU"/>
        </w:rPr>
        <w:t xml:space="preserve"> subsamples of establishments from the 3 years of cost data 2009-10 to 2011-12; and</w:t>
      </w:r>
    </w:p>
    <w:p w14:paraId="01CB5555" w14:textId="77777777" w:rsidR="005B5818" w:rsidRPr="009C21A6" w:rsidRDefault="005B5818" w:rsidP="00721499">
      <w:pPr>
        <w:numPr>
          <w:ilvl w:val="0"/>
          <w:numId w:val="106"/>
        </w:numPr>
        <w:rPr>
          <w:lang w:val="en-AU"/>
        </w:rPr>
      </w:pPr>
      <w:r w:rsidRPr="009C21A6">
        <w:rPr>
          <w:lang w:val="en-AU"/>
        </w:rPr>
        <w:t>50 derivations of the DCL matrix based on randomly selected 95</w:t>
      </w:r>
      <w:r w:rsidR="002201AB" w:rsidRPr="009C21A6">
        <w:rPr>
          <w:lang w:val="en-AU"/>
        </w:rPr>
        <w:t xml:space="preserve"> per cent</w:t>
      </w:r>
      <w:r w:rsidRPr="009C21A6">
        <w:rPr>
          <w:lang w:val="en-AU"/>
        </w:rPr>
        <w:t xml:space="preserve"> subsamples of establishments from the 3 years of cost data 2008-09 to 2010-11.</w:t>
      </w:r>
    </w:p>
    <w:p w14:paraId="709550FA" w14:textId="77777777" w:rsidR="005B5818" w:rsidRDefault="005B5818" w:rsidP="005B5818">
      <w:pPr>
        <w:rPr>
          <w:szCs w:val="24"/>
          <w:lang w:val="en-AU"/>
        </w:rPr>
      </w:pPr>
      <w:r>
        <w:rPr>
          <w:szCs w:val="24"/>
          <w:lang w:val="en-AU"/>
        </w:rPr>
        <w:lastRenderedPageBreak/>
        <w:t>The results show that, while the DCLs show a high level of stability with respect to sample variation within either of the 3-year datasets, they show considerably more variation when compared across the two 3-year datasets.</w:t>
      </w:r>
    </w:p>
    <w:p w14:paraId="2B508262" w14:textId="77777777" w:rsidR="005B5818" w:rsidRDefault="005B5818" w:rsidP="005B5818">
      <w:pPr>
        <w:rPr>
          <w:szCs w:val="24"/>
          <w:lang w:val="en-AU"/>
        </w:rPr>
      </w:pPr>
      <w:r>
        <w:rPr>
          <w:szCs w:val="24"/>
          <w:lang w:val="en-AU"/>
        </w:rPr>
        <w:t xml:space="preserve">Each derivation of the DCL matrix contains 5,005,663 DCLs that aren’t manually set to zero on account of being </w:t>
      </w:r>
      <w:r w:rsidR="00213715">
        <w:rPr>
          <w:szCs w:val="24"/>
          <w:lang w:val="en-AU"/>
        </w:rPr>
        <w:t>UEs</w:t>
      </w:r>
      <w:r>
        <w:rPr>
          <w:szCs w:val="24"/>
          <w:lang w:val="en-AU"/>
        </w:rPr>
        <w:t xml:space="preserve"> (i.e. out of scope diagnoses).</w:t>
      </w:r>
      <w:r w:rsidR="00FC7528">
        <w:rPr>
          <w:szCs w:val="24"/>
          <w:lang w:val="en-AU"/>
        </w:rPr>
        <w:t xml:space="preserve"> </w:t>
      </w:r>
      <w:r w:rsidR="00CC0F16">
        <w:fldChar w:fldCharType="begin"/>
      </w:r>
      <w:r w:rsidR="00CC0F16">
        <w:instrText xml:space="preserve"> REF _Ref391567129 \h  \* MERGEFORMAT </w:instrText>
      </w:r>
      <w:r w:rsidR="00CC0F16">
        <w:fldChar w:fldCharType="separate"/>
      </w:r>
      <w:r w:rsidR="0031717B" w:rsidRPr="0031717B">
        <w:rPr>
          <w:szCs w:val="24"/>
        </w:rPr>
        <w:t xml:space="preserve">Table </w:t>
      </w:r>
      <w:r w:rsidR="0031717B" w:rsidRPr="0031717B">
        <w:rPr>
          <w:noProof/>
          <w:szCs w:val="24"/>
        </w:rPr>
        <w:t>18</w:t>
      </w:r>
      <w:r w:rsidR="00CC0F16">
        <w:fldChar w:fldCharType="end"/>
      </w:r>
      <w:r>
        <w:rPr>
          <w:szCs w:val="24"/>
          <w:lang w:val="en-AU"/>
        </w:rPr>
        <w:t xml:space="preserve"> </w:t>
      </w:r>
      <w:r w:rsidRPr="007F0393">
        <w:rPr>
          <w:szCs w:val="24"/>
          <w:lang w:val="en-AU"/>
        </w:rPr>
        <w:t xml:space="preserve">shows the </w:t>
      </w:r>
      <w:r>
        <w:rPr>
          <w:szCs w:val="24"/>
          <w:lang w:val="en-AU"/>
        </w:rPr>
        <w:t xml:space="preserve">variation of </w:t>
      </w:r>
      <w:r w:rsidR="00FC7528">
        <w:rPr>
          <w:szCs w:val="24"/>
          <w:lang w:val="en-AU"/>
        </w:rPr>
        <w:t xml:space="preserve">these particular </w:t>
      </w:r>
      <w:r>
        <w:rPr>
          <w:szCs w:val="24"/>
          <w:lang w:val="en-AU"/>
        </w:rPr>
        <w:t>DCLs when comparing the 2009-10 to 2011-12 full sample derivation to the 50 subsample derivations of 2009-10 to 2011-12. It shows that 94.34</w:t>
      </w:r>
      <w:r w:rsidR="002201AB">
        <w:rPr>
          <w:szCs w:val="24"/>
          <w:lang w:val="en-AU"/>
        </w:rPr>
        <w:t xml:space="preserve"> per cent</w:t>
      </w:r>
      <w:r>
        <w:rPr>
          <w:szCs w:val="24"/>
          <w:lang w:val="en-AU"/>
        </w:rPr>
        <w:t xml:space="preserve"> of all subsample-derived DCLs agree with their full sample counterparts, and 99.96</w:t>
      </w:r>
      <w:r w:rsidR="002201AB">
        <w:rPr>
          <w:szCs w:val="24"/>
          <w:lang w:val="en-AU"/>
        </w:rPr>
        <w:t xml:space="preserve"> per cent</w:t>
      </w:r>
      <w:r>
        <w:rPr>
          <w:szCs w:val="24"/>
          <w:lang w:val="en-AU"/>
        </w:rPr>
        <w:t xml:space="preserve"> agree to within ±1 DCL.</w:t>
      </w:r>
    </w:p>
    <w:p w14:paraId="4AA6A1DF" w14:textId="77777777" w:rsidR="005B5818" w:rsidRDefault="005B5818" w:rsidP="000E5B4A">
      <w:pPr>
        <w:pStyle w:val="Caption"/>
      </w:pPr>
      <w:bookmarkStart w:id="191" w:name="_Ref391567129"/>
      <w:bookmarkStart w:id="192" w:name="_Ref391567126"/>
      <w:bookmarkStart w:id="193" w:name="_Toc401061105"/>
      <w:r>
        <w:t xml:space="preserve">Table </w:t>
      </w:r>
      <w:r w:rsidR="005559F5">
        <w:fldChar w:fldCharType="begin"/>
      </w:r>
      <w:r>
        <w:instrText xml:space="preserve"> SEQ Table \* ARABIC </w:instrText>
      </w:r>
      <w:r w:rsidR="005559F5">
        <w:fldChar w:fldCharType="separate"/>
      </w:r>
      <w:r w:rsidR="0031717B">
        <w:rPr>
          <w:noProof/>
        </w:rPr>
        <w:t>18</w:t>
      </w:r>
      <w:r w:rsidR="005559F5">
        <w:fldChar w:fldCharType="end"/>
      </w:r>
      <w:bookmarkEnd w:id="191"/>
      <w:r>
        <w:t>: Variation of DCLs</w:t>
      </w:r>
      <w:r>
        <w:rPr>
          <w:noProof/>
        </w:rPr>
        <w:t xml:space="preserve"> - 2009-10 to 2011-12 full sample vs. 50 x 2009-10 to 2011-12 random 95% subsamples</w:t>
      </w:r>
      <w:bookmarkEnd w:id="192"/>
      <w:r w:rsidR="000E4FA5">
        <w:rPr>
          <w:noProof/>
        </w:rPr>
        <w:t>.</w:t>
      </w:r>
      <w:bookmarkEnd w:id="193"/>
    </w:p>
    <w:tbl>
      <w:tblPr>
        <w:tblStyle w:val="Style1"/>
        <w:tblW w:w="3402" w:type="dxa"/>
        <w:tblLook w:val="0460" w:firstRow="1" w:lastRow="1" w:firstColumn="0" w:lastColumn="0" w:noHBand="0" w:noVBand="1"/>
        <w:tblCaption w:val="Variation of DCLs - 2009-10 to 2011-12 full sample vs. 50 x 2009-10 to 2011-12 random 95% subsamples"/>
        <w:tblDescription w:val="The table has two columns: the first lists the DCL difference value; and the second gives the percentage variation  of DCLs - 2009-10 to 2011-12 full sample vs. 50 x 2009-10 to 2011-12 random 95% subsamples for each DCL difference value."/>
      </w:tblPr>
      <w:tblGrid>
        <w:gridCol w:w="1701"/>
        <w:gridCol w:w="1701"/>
      </w:tblGrid>
      <w:tr w:rsidR="009C21A6" w:rsidRPr="007F0393" w14:paraId="30B5FA0B" w14:textId="77777777" w:rsidTr="002C2518">
        <w:trPr>
          <w:cnfStyle w:val="100000000000" w:firstRow="1" w:lastRow="0" w:firstColumn="0" w:lastColumn="0" w:oddVBand="0" w:evenVBand="0" w:oddHBand="0" w:evenHBand="0" w:firstRowFirstColumn="0" w:firstRowLastColumn="0" w:lastRowFirstColumn="0" w:lastRowLastColumn="0"/>
          <w:trHeight w:val="300"/>
          <w:tblHeader/>
        </w:trPr>
        <w:tc>
          <w:tcPr>
            <w:tcW w:w="1701" w:type="dxa"/>
            <w:noWrap/>
            <w:hideMark/>
          </w:tcPr>
          <w:p w14:paraId="759CD1A8" w14:textId="77777777" w:rsidR="00E14BEC" w:rsidRPr="00773E3B" w:rsidRDefault="00E14BEC" w:rsidP="00773E3B">
            <w:pPr>
              <w:pStyle w:val="Table"/>
            </w:pPr>
            <w:r w:rsidRPr="00773E3B">
              <w:t>DCL difference</w:t>
            </w:r>
          </w:p>
        </w:tc>
        <w:tc>
          <w:tcPr>
            <w:tcW w:w="1701" w:type="dxa"/>
            <w:noWrap/>
            <w:hideMark/>
          </w:tcPr>
          <w:p w14:paraId="1C241E95" w14:textId="77777777" w:rsidR="00E14BEC" w:rsidRPr="00773E3B" w:rsidRDefault="00E14BEC" w:rsidP="00773E3B">
            <w:pPr>
              <w:pStyle w:val="Table"/>
            </w:pPr>
            <w:r w:rsidRPr="00773E3B">
              <w:t>%</w:t>
            </w:r>
          </w:p>
        </w:tc>
      </w:tr>
      <w:tr w:rsidR="009C21A6" w:rsidRPr="007F0393" w14:paraId="2998F94A" w14:textId="77777777" w:rsidTr="00773E3B">
        <w:trPr>
          <w:trHeight w:val="300"/>
        </w:trPr>
        <w:tc>
          <w:tcPr>
            <w:tcW w:w="1701" w:type="dxa"/>
            <w:noWrap/>
            <w:hideMark/>
          </w:tcPr>
          <w:p w14:paraId="50464F83" w14:textId="77777777" w:rsidR="00E14BEC" w:rsidRPr="00773E3B" w:rsidRDefault="00E14BEC" w:rsidP="002F7E33">
            <w:pPr>
              <w:pStyle w:val="Table"/>
              <w:keepNext/>
            </w:pPr>
            <w:r w:rsidRPr="00773E3B">
              <w:t>-3</w:t>
            </w:r>
          </w:p>
        </w:tc>
        <w:tc>
          <w:tcPr>
            <w:tcW w:w="1701" w:type="dxa"/>
            <w:noWrap/>
            <w:hideMark/>
          </w:tcPr>
          <w:p w14:paraId="3465346D" w14:textId="77777777" w:rsidR="00E14BEC" w:rsidRPr="00773E3B" w:rsidRDefault="00E14BEC">
            <w:pPr>
              <w:pStyle w:val="TableNumber"/>
            </w:pPr>
            <w:r w:rsidRPr="00773E3B">
              <w:t>0.00%</w:t>
            </w:r>
          </w:p>
        </w:tc>
      </w:tr>
      <w:tr w:rsidR="009C21A6" w:rsidRPr="007F0393" w14:paraId="03A0C607" w14:textId="77777777" w:rsidTr="00773E3B">
        <w:trPr>
          <w:trHeight w:val="300"/>
        </w:trPr>
        <w:tc>
          <w:tcPr>
            <w:tcW w:w="1701" w:type="dxa"/>
            <w:noWrap/>
            <w:hideMark/>
          </w:tcPr>
          <w:p w14:paraId="6CA04E7E" w14:textId="77777777" w:rsidR="00E14BEC" w:rsidRPr="00773E3B" w:rsidRDefault="00E14BEC" w:rsidP="002F7E33">
            <w:pPr>
              <w:pStyle w:val="Table"/>
              <w:keepNext/>
            </w:pPr>
            <w:r w:rsidRPr="00773E3B">
              <w:t>-2</w:t>
            </w:r>
          </w:p>
        </w:tc>
        <w:tc>
          <w:tcPr>
            <w:tcW w:w="1701" w:type="dxa"/>
            <w:noWrap/>
            <w:hideMark/>
          </w:tcPr>
          <w:p w14:paraId="5CF023F8" w14:textId="77777777" w:rsidR="00E14BEC" w:rsidRPr="00773E3B" w:rsidRDefault="00E14BEC">
            <w:pPr>
              <w:pStyle w:val="TableNumber"/>
            </w:pPr>
            <w:r w:rsidRPr="00773E3B">
              <w:t>0.03%</w:t>
            </w:r>
          </w:p>
        </w:tc>
      </w:tr>
      <w:tr w:rsidR="009C21A6" w:rsidRPr="007F0393" w14:paraId="2976F847" w14:textId="77777777" w:rsidTr="00773E3B">
        <w:trPr>
          <w:trHeight w:val="300"/>
        </w:trPr>
        <w:tc>
          <w:tcPr>
            <w:tcW w:w="1701" w:type="dxa"/>
            <w:noWrap/>
            <w:hideMark/>
          </w:tcPr>
          <w:p w14:paraId="49D9A15B" w14:textId="77777777" w:rsidR="00E14BEC" w:rsidRPr="00773E3B" w:rsidRDefault="00E14BEC" w:rsidP="002F7E33">
            <w:pPr>
              <w:pStyle w:val="Table"/>
              <w:keepNext/>
            </w:pPr>
            <w:r w:rsidRPr="00773E3B">
              <w:t>-1</w:t>
            </w:r>
          </w:p>
        </w:tc>
        <w:tc>
          <w:tcPr>
            <w:tcW w:w="1701" w:type="dxa"/>
            <w:noWrap/>
            <w:hideMark/>
          </w:tcPr>
          <w:p w14:paraId="3D0FFD58" w14:textId="77777777" w:rsidR="00E14BEC" w:rsidRPr="00773E3B" w:rsidRDefault="00E14BEC">
            <w:pPr>
              <w:pStyle w:val="TableNumber"/>
            </w:pPr>
            <w:r w:rsidRPr="00773E3B">
              <w:t>2.68%</w:t>
            </w:r>
          </w:p>
        </w:tc>
      </w:tr>
      <w:tr w:rsidR="009C21A6" w:rsidRPr="007F0393" w14:paraId="58919072" w14:textId="77777777" w:rsidTr="00773E3B">
        <w:trPr>
          <w:trHeight w:val="300"/>
        </w:trPr>
        <w:tc>
          <w:tcPr>
            <w:tcW w:w="1701" w:type="dxa"/>
            <w:noWrap/>
            <w:hideMark/>
          </w:tcPr>
          <w:p w14:paraId="541F976E" w14:textId="77777777" w:rsidR="00E14BEC" w:rsidRPr="00773E3B" w:rsidRDefault="00E14BEC" w:rsidP="002F7E33">
            <w:pPr>
              <w:pStyle w:val="Table"/>
              <w:keepNext/>
            </w:pPr>
            <w:r w:rsidRPr="00773E3B">
              <w:t>0</w:t>
            </w:r>
          </w:p>
        </w:tc>
        <w:tc>
          <w:tcPr>
            <w:tcW w:w="1701" w:type="dxa"/>
            <w:noWrap/>
            <w:hideMark/>
          </w:tcPr>
          <w:p w14:paraId="5B01366B" w14:textId="77777777" w:rsidR="00E14BEC" w:rsidRPr="00773E3B" w:rsidRDefault="00E14BEC">
            <w:pPr>
              <w:pStyle w:val="TableNumber"/>
            </w:pPr>
            <w:r w:rsidRPr="00773E3B">
              <w:t>94.34%</w:t>
            </w:r>
          </w:p>
        </w:tc>
      </w:tr>
      <w:tr w:rsidR="009C21A6" w:rsidRPr="007F0393" w14:paraId="102EB9BD" w14:textId="77777777" w:rsidTr="00773E3B">
        <w:trPr>
          <w:trHeight w:val="300"/>
        </w:trPr>
        <w:tc>
          <w:tcPr>
            <w:tcW w:w="1701" w:type="dxa"/>
            <w:noWrap/>
            <w:hideMark/>
          </w:tcPr>
          <w:p w14:paraId="635F3CA1" w14:textId="77777777" w:rsidR="00E14BEC" w:rsidRPr="00773E3B" w:rsidRDefault="00E14BEC" w:rsidP="002F7E33">
            <w:pPr>
              <w:pStyle w:val="Table"/>
              <w:keepNext/>
            </w:pPr>
            <w:r w:rsidRPr="00773E3B">
              <w:t>1</w:t>
            </w:r>
          </w:p>
        </w:tc>
        <w:tc>
          <w:tcPr>
            <w:tcW w:w="1701" w:type="dxa"/>
            <w:noWrap/>
            <w:hideMark/>
          </w:tcPr>
          <w:p w14:paraId="57A5D6CF" w14:textId="77777777" w:rsidR="00E14BEC" w:rsidRPr="00773E3B" w:rsidRDefault="00E14BEC">
            <w:pPr>
              <w:pStyle w:val="TableNumber"/>
            </w:pPr>
            <w:r w:rsidRPr="00773E3B">
              <w:t>2.94%</w:t>
            </w:r>
          </w:p>
        </w:tc>
      </w:tr>
      <w:tr w:rsidR="009C21A6" w:rsidRPr="007F0393" w14:paraId="68301A74" w14:textId="77777777" w:rsidTr="00773E3B">
        <w:trPr>
          <w:trHeight w:val="300"/>
        </w:trPr>
        <w:tc>
          <w:tcPr>
            <w:tcW w:w="1701" w:type="dxa"/>
            <w:noWrap/>
            <w:hideMark/>
          </w:tcPr>
          <w:p w14:paraId="6B9848C5" w14:textId="77777777" w:rsidR="00E14BEC" w:rsidRPr="00773E3B" w:rsidRDefault="00E14BEC" w:rsidP="002F7E33">
            <w:pPr>
              <w:pStyle w:val="Table"/>
              <w:keepNext/>
            </w:pPr>
            <w:r w:rsidRPr="00773E3B">
              <w:t>2</w:t>
            </w:r>
          </w:p>
        </w:tc>
        <w:tc>
          <w:tcPr>
            <w:tcW w:w="1701" w:type="dxa"/>
            <w:noWrap/>
            <w:hideMark/>
          </w:tcPr>
          <w:p w14:paraId="4C2CA7D9" w14:textId="77777777" w:rsidR="00E14BEC" w:rsidRPr="00773E3B" w:rsidRDefault="00E14BEC">
            <w:pPr>
              <w:pStyle w:val="TableNumber"/>
            </w:pPr>
            <w:r w:rsidRPr="00773E3B">
              <w:t>0.01%</w:t>
            </w:r>
          </w:p>
        </w:tc>
      </w:tr>
      <w:tr w:rsidR="009C21A6" w:rsidRPr="007F0393" w14:paraId="5235F961" w14:textId="77777777" w:rsidTr="00773E3B">
        <w:trPr>
          <w:trHeight w:val="300"/>
        </w:trPr>
        <w:tc>
          <w:tcPr>
            <w:tcW w:w="1701" w:type="dxa"/>
            <w:noWrap/>
            <w:hideMark/>
          </w:tcPr>
          <w:p w14:paraId="1873C031" w14:textId="77777777" w:rsidR="00E14BEC" w:rsidRPr="00773E3B" w:rsidRDefault="00E14BEC" w:rsidP="002F7E33">
            <w:pPr>
              <w:pStyle w:val="Table"/>
              <w:keepNext/>
            </w:pPr>
            <w:r w:rsidRPr="00773E3B">
              <w:t>3</w:t>
            </w:r>
          </w:p>
        </w:tc>
        <w:tc>
          <w:tcPr>
            <w:tcW w:w="1701" w:type="dxa"/>
            <w:noWrap/>
            <w:hideMark/>
          </w:tcPr>
          <w:p w14:paraId="2BA0C86E" w14:textId="77777777" w:rsidR="00E14BEC" w:rsidRPr="00773E3B" w:rsidRDefault="00E14BEC">
            <w:pPr>
              <w:pStyle w:val="TableNumber"/>
            </w:pPr>
            <w:r w:rsidRPr="00773E3B">
              <w:t>0.00%</w:t>
            </w:r>
          </w:p>
        </w:tc>
      </w:tr>
      <w:tr w:rsidR="009C21A6" w:rsidRPr="007F0393" w14:paraId="28E3DCCB" w14:textId="77777777" w:rsidTr="00773E3B">
        <w:trPr>
          <w:cnfStyle w:val="010000000000" w:firstRow="0" w:lastRow="1" w:firstColumn="0" w:lastColumn="0" w:oddVBand="0" w:evenVBand="0" w:oddHBand="0" w:evenHBand="0" w:firstRowFirstColumn="0" w:firstRowLastColumn="0" w:lastRowFirstColumn="0" w:lastRowLastColumn="0"/>
          <w:trHeight w:val="300"/>
        </w:trPr>
        <w:tc>
          <w:tcPr>
            <w:tcW w:w="1701" w:type="dxa"/>
            <w:noWrap/>
          </w:tcPr>
          <w:p w14:paraId="7BACDAC5" w14:textId="77777777" w:rsidR="00E14BEC" w:rsidRPr="00773E3B" w:rsidRDefault="00E14BEC" w:rsidP="00773E3B">
            <w:pPr>
              <w:pStyle w:val="Table"/>
              <w:rPr>
                <w:b/>
              </w:rPr>
            </w:pPr>
            <w:r w:rsidRPr="00773E3B">
              <w:rPr>
                <w:b/>
              </w:rPr>
              <w:t>TOTAL</w:t>
            </w:r>
          </w:p>
        </w:tc>
        <w:tc>
          <w:tcPr>
            <w:tcW w:w="1701" w:type="dxa"/>
            <w:noWrap/>
          </w:tcPr>
          <w:p w14:paraId="3151C448" w14:textId="77777777" w:rsidR="00E14BEC" w:rsidRPr="00773E3B" w:rsidRDefault="00E14BEC" w:rsidP="00773E3B">
            <w:pPr>
              <w:pStyle w:val="TableNumber"/>
              <w:rPr>
                <w:b/>
              </w:rPr>
            </w:pPr>
            <w:r w:rsidRPr="00773E3B">
              <w:rPr>
                <w:b/>
              </w:rPr>
              <w:t>100.00%</w:t>
            </w:r>
          </w:p>
        </w:tc>
      </w:tr>
    </w:tbl>
    <w:p w14:paraId="489A1B08" w14:textId="77777777" w:rsidR="00352779" w:rsidRDefault="00352779" w:rsidP="00352779">
      <w:pPr>
        <w:spacing w:before="240"/>
        <w:rPr>
          <w:szCs w:val="24"/>
          <w:lang w:val="en-AU"/>
        </w:rPr>
      </w:pPr>
      <w:bookmarkStart w:id="194" w:name="_Ref391569294"/>
      <w:r w:rsidRPr="00FC7AAE">
        <w:rPr>
          <w:szCs w:val="24"/>
          <w:lang w:val="en-AU"/>
        </w:rPr>
        <w:t xml:space="preserve">Similarly, </w:t>
      </w:r>
      <w:r w:rsidR="00721499">
        <w:fldChar w:fldCharType="begin"/>
      </w:r>
      <w:r w:rsidR="00721499">
        <w:rPr>
          <w:szCs w:val="24"/>
          <w:lang w:val="en-AU"/>
        </w:rPr>
        <w:instrText xml:space="preserve"> REF _Ref397090750 \h </w:instrText>
      </w:r>
      <w:r w:rsidR="00721499">
        <w:fldChar w:fldCharType="separate"/>
      </w:r>
      <w:r w:rsidR="0031717B">
        <w:t xml:space="preserve">Table </w:t>
      </w:r>
      <w:r w:rsidR="0031717B">
        <w:rPr>
          <w:noProof/>
        </w:rPr>
        <w:t>19</w:t>
      </w:r>
      <w:r w:rsidR="00721499">
        <w:fldChar w:fldCharType="end"/>
      </w:r>
      <w:r w:rsidRPr="00FC7AAE">
        <w:rPr>
          <w:szCs w:val="24"/>
          <w:lang w:val="en-AU"/>
        </w:rPr>
        <w:t xml:space="preserve"> shows the</w:t>
      </w:r>
      <w:r>
        <w:rPr>
          <w:szCs w:val="24"/>
          <w:lang w:val="en-AU"/>
        </w:rPr>
        <w:t xml:space="preserve"> variation of DCLs when comparing the 2008-09 to 2010-11 full sample derivation to the 50 subsample derivations of 2008-09 to 2010-11. It shows that 94.10 per cent of all subsample-derived DCLs agree with their full sample counterparts, with 99.94 per cent agreeing to within ±1 DCL.</w:t>
      </w:r>
    </w:p>
    <w:p w14:paraId="5B0BE017" w14:textId="77777777" w:rsidR="005B5818" w:rsidRDefault="005B5818" w:rsidP="000E5B4A">
      <w:pPr>
        <w:pStyle w:val="Caption"/>
      </w:pPr>
      <w:bookmarkStart w:id="195" w:name="_Ref397090750"/>
      <w:bookmarkStart w:id="196" w:name="_Toc401061106"/>
      <w:r>
        <w:lastRenderedPageBreak/>
        <w:t xml:space="preserve">Table </w:t>
      </w:r>
      <w:r w:rsidR="005559F5">
        <w:fldChar w:fldCharType="begin"/>
      </w:r>
      <w:r>
        <w:instrText xml:space="preserve"> SEQ Table \* ARABIC </w:instrText>
      </w:r>
      <w:r w:rsidR="005559F5">
        <w:fldChar w:fldCharType="separate"/>
      </w:r>
      <w:r w:rsidR="0031717B">
        <w:rPr>
          <w:noProof/>
        </w:rPr>
        <w:t>19</w:t>
      </w:r>
      <w:r w:rsidR="005559F5">
        <w:fldChar w:fldCharType="end"/>
      </w:r>
      <w:bookmarkEnd w:id="194"/>
      <w:bookmarkEnd w:id="195"/>
      <w:r>
        <w:t xml:space="preserve">: </w:t>
      </w:r>
      <w:r w:rsidRPr="00790096">
        <w:t>Variation of DCLs - 200</w:t>
      </w:r>
      <w:r>
        <w:t>8</w:t>
      </w:r>
      <w:r w:rsidRPr="00790096">
        <w:t>-</w:t>
      </w:r>
      <w:r>
        <w:t>09</w:t>
      </w:r>
      <w:r w:rsidRPr="00790096">
        <w:t xml:space="preserve"> to 201</w:t>
      </w:r>
      <w:r>
        <w:t>0</w:t>
      </w:r>
      <w:r w:rsidRPr="00790096">
        <w:t>-1</w:t>
      </w:r>
      <w:r>
        <w:t>1</w:t>
      </w:r>
      <w:r w:rsidRPr="00790096">
        <w:t xml:space="preserve"> full sample vs. 50 x 200</w:t>
      </w:r>
      <w:r>
        <w:t>8</w:t>
      </w:r>
      <w:r w:rsidRPr="00790096">
        <w:t>-</w:t>
      </w:r>
      <w:r>
        <w:t>09</w:t>
      </w:r>
      <w:r w:rsidRPr="00790096">
        <w:t xml:space="preserve"> to 201</w:t>
      </w:r>
      <w:r>
        <w:t>0</w:t>
      </w:r>
      <w:r w:rsidRPr="00790096">
        <w:t>-1</w:t>
      </w:r>
      <w:r>
        <w:t>1</w:t>
      </w:r>
      <w:r w:rsidRPr="00790096">
        <w:t xml:space="preserve"> random 95% subsamples</w:t>
      </w:r>
      <w:r w:rsidR="000E4FA5">
        <w:t>.</w:t>
      </w:r>
      <w:bookmarkEnd w:id="196"/>
    </w:p>
    <w:tbl>
      <w:tblPr>
        <w:tblStyle w:val="Style1"/>
        <w:tblW w:w="3402" w:type="dxa"/>
        <w:tblLook w:val="0420" w:firstRow="1" w:lastRow="0" w:firstColumn="0" w:lastColumn="0" w:noHBand="0" w:noVBand="1"/>
        <w:tblCaption w:val="Variation of DCLs - 2008-09 to 2010-11 full sample vs. 50 x 2008-09 to 2010-11 random 95% subsamples"/>
        <w:tblDescription w:val="The table has two columns: the first lists the DCL difference value; and the second gives the percentage variation of DCLs - 2008-09 to 2010-11 full sample vs. 50 x 2008-09 to 2010-11 random 95% subsamples for each DCL difference value."/>
      </w:tblPr>
      <w:tblGrid>
        <w:gridCol w:w="1701"/>
        <w:gridCol w:w="1701"/>
      </w:tblGrid>
      <w:tr w:rsidR="00E14BEC" w:rsidRPr="00FC7AAE" w14:paraId="32CCEA2B" w14:textId="77777777" w:rsidTr="007A28A7">
        <w:trPr>
          <w:cnfStyle w:val="100000000000" w:firstRow="1" w:lastRow="0" w:firstColumn="0" w:lastColumn="0" w:oddVBand="0" w:evenVBand="0" w:oddHBand="0" w:evenHBand="0" w:firstRowFirstColumn="0" w:firstRowLastColumn="0" w:lastRowFirstColumn="0" w:lastRowLastColumn="0"/>
          <w:trHeight w:val="300"/>
          <w:tblHeader/>
        </w:trPr>
        <w:tc>
          <w:tcPr>
            <w:tcW w:w="1701" w:type="dxa"/>
            <w:noWrap/>
            <w:hideMark/>
          </w:tcPr>
          <w:p w14:paraId="71A0B88E" w14:textId="77777777" w:rsidR="00E14BEC" w:rsidRPr="00FC7AAE" w:rsidRDefault="00E14BEC" w:rsidP="00773E3B">
            <w:pPr>
              <w:pStyle w:val="Table"/>
            </w:pPr>
            <w:r w:rsidRPr="00FC7AAE">
              <w:t>DCL difference</w:t>
            </w:r>
          </w:p>
        </w:tc>
        <w:tc>
          <w:tcPr>
            <w:tcW w:w="1701" w:type="dxa"/>
            <w:noWrap/>
            <w:hideMark/>
          </w:tcPr>
          <w:p w14:paraId="3DD5167F" w14:textId="77777777" w:rsidR="00E14BEC" w:rsidRPr="00FC7AAE" w:rsidRDefault="00E14BEC" w:rsidP="00773E3B">
            <w:pPr>
              <w:pStyle w:val="Table"/>
            </w:pPr>
            <w:r w:rsidRPr="00FC7AAE">
              <w:t>%</w:t>
            </w:r>
          </w:p>
        </w:tc>
      </w:tr>
      <w:tr w:rsidR="00E14BEC" w:rsidRPr="00FC7AAE" w14:paraId="76C18722" w14:textId="77777777" w:rsidTr="007A28A7">
        <w:trPr>
          <w:trHeight w:val="300"/>
        </w:trPr>
        <w:tc>
          <w:tcPr>
            <w:tcW w:w="1701" w:type="dxa"/>
            <w:noWrap/>
            <w:hideMark/>
          </w:tcPr>
          <w:p w14:paraId="7A4039E7" w14:textId="77777777" w:rsidR="00E14BEC" w:rsidRPr="00FC7AAE" w:rsidRDefault="00E14BEC" w:rsidP="007A28A7">
            <w:pPr>
              <w:pStyle w:val="Table"/>
              <w:keepNext/>
            </w:pPr>
            <w:r w:rsidRPr="00FC7AAE">
              <w:t>-3</w:t>
            </w:r>
          </w:p>
        </w:tc>
        <w:tc>
          <w:tcPr>
            <w:tcW w:w="1701" w:type="dxa"/>
            <w:noWrap/>
            <w:hideMark/>
          </w:tcPr>
          <w:p w14:paraId="0CFA3B4C" w14:textId="77777777" w:rsidR="00E14BEC" w:rsidRPr="00FC7AAE" w:rsidRDefault="00E14BEC" w:rsidP="007A28A7">
            <w:pPr>
              <w:pStyle w:val="TableNumber"/>
            </w:pPr>
            <w:r w:rsidRPr="00FC7AAE">
              <w:t>0.01%</w:t>
            </w:r>
          </w:p>
        </w:tc>
      </w:tr>
      <w:tr w:rsidR="00E14BEC" w:rsidRPr="00FC7AAE" w14:paraId="13046CF2" w14:textId="77777777" w:rsidTr="007A28A7">
        <w:trPr>
          <w:trHeight w:val="300"/>
        </w:trPr>
        <w:tc>
          <w:tcPr>
            <w:tcW w:w="1701" w:type="dxa"/>
            <w:noWrap/>
            <w:hideMark/>
          </w:tcPr>
          <w:p w14:paraId="796A09DA" w14:textId="77777777" w:rsidR="00E14BEC" w:rsidRPr="00FC7AAE" w:rsidRDefault="00E14BEC" w:rsidP="002F7E33">
            <w:pPr>
              <w:pStyle w:val="Table"/>
              <w:keepNext/>
            </w:pPr>
            <w:r w:rsidRPr="00FC7AAE">
              <w:t>-2</w:t>
            </w:r>
          </w:p>
        </w:tc>
        <w:tc>
          <w:tcPr>
            <w:tcW w:w="1701" w:type="dxa"/>
            <w:noWrap/>
            <w:hideMark/>
          </w:tcPr>
          <w:p w14:paraId="7408DC9D" w14:textId="77777777" w:rsidR="00E14BEC" w:rsidRPr="00FC7AAE" w:rsidRDefault="00E14BEC">
            <w:pPr>
              <w:pStyle w:val="TableNumber"/>
            </w:pPr>
            <w:r w:rsidRPr="00FC7AAE">
              <w:t>0.02%</w:t>
            </w:r>
          </w:p>
        </w:tc>
      </w:tr>
      <w:tr w:rsidR="00E14BEC" w:rsidRPr="00FC7AAE" w14:paraId="5FCE3CA6" w14:textId="77777777" w:rsidTr="007A28A7">
        <w:trPr>
          <w:trHeight w:val="300"/>
        </w:trPr>
        <w:tc>
          <w:tcPr>
            <w:tcW w:w="1701" w:type="dxa"/>
            <w:noWrap/>
            <w:hideMark/>
          </w:tcPr>
          <w:p w14:paraId="2BD447C6" w14:textId="77777777" w:rsidR="00E14BEC" w:rsidRPr="00FC7AAE" w:rsidRDefault="00E14BEC" w:rsidP="002F7E33">
            <w:pPr>
              <w:pStyle w:val="Table"/>
              <w:keepNext/>
            </w:pPr>
            <w:r w:rsidRPr="00FC7AAE">
              <w:t>-1</w:t>
            </w:r>
          </w:p>
        </w:tc>
        <w:tc>
          <w:tcPr>
            <w:tcW w:w="1701" w:type="dxa"/>
            <w:noWrap/>
            <w:hideMark/>
          </w:tcPr>
          <w:p w14:paraId="09D231D4" w14:textId="77777777" w:rsidR="00E14BEC" w:rsidRPr="00FC7AAE" w:rsidRDefault="00E14BEC">
            <w:pPr>
              <w:pStyle w:val="TableNumber"/>
            </w:pPr>
            <w:r w:rsidRPr="00FC7AAE">
              <w:t>2.77%</w:t>
            </w:r>
          </w:p>
        </w:tc>
      </w:tr>
      <w:tr w:rsidR="00E14BEC" w:rsidRPr="00FC7AAE" w14:paraId="052C0F23" w14:textId="77777777" w:rsidTr="007A28A7">
        <w:trPr>
          <w:trHeight w:val="300"/>
        </w:trPr>
        <w:tc>
          <w:tcPr>
            <w:tcW w:w="1701" w:type="dxa"/>
            <w:noWrap/>
            <w:hideMark/>
          </w:tcPr>
          <w:p w14:paraId="05F993B6" w14:textId="77777777" w:rsidR="00E14BEC" w:rsidRPr="00FC7AAE" w:rsidRDefault="00E14BEC" w:rsidP="002F7E33">
            <w:pPr>
              <w:pStyle w:val="Table"/>
              <w:keepNext/>
            </w:pPr>
            <w:r w:rsidRPr="00FC7AAE">
              <w:t>0</w:t>
            </w:r>
          </w:p>
        </w:tc>
        <w:tc>
          <w:tcPr>
            <w:tcW w:w="1701" w:type="dxa"/>
            <w:noWrap/>
            <w:hideMark/>
          </w:tcPr>
          <w:p w14:paraId="52A453B4" w14:textId="77777777" w:rsidR="00E14BEC" w:rsidRPr="00FC7AAE" w:rsidRDefault="00E14BEC">
            <w:pPr>
              <w:pStyle w:val="TableNumber"/>
            </w:pPr>
            <w:r w:rsidRPr="00FC7AAE">
              <w:t>94.10%</w:t>
            </w:r>
          </w:p>
        </w:tc>
      </w:tr>
      <w:tr w:rsidR="00E14BEC" w:rsidRPr="00FC7AAE" w14:paraId="66539F53" w14:textId="77777777" w:rsidTr="007A28A7">
        <w:trPr>
          <w:trHeight w:val="300"/>
        </w:trPr>
        <w:tc>
          <w:tcPr>
            <w:tcW w:w="1701" w:type="dxa"/>
            <w:noWrap/>
            <w:hideMark/>
          </w:tcPr>
          <w:p w14:paraId="064D7707" w14:textId="77777777" w:rsidR="00E14BEC" w:rsidRPr="00FC7AAE" w:rsidRDefault="00E14BEC" w:rsidP="002F7E33">
            <w:pPr>
              <w:pStyle w:val="Table"/>
              <w:keepNext/>
            </w:pPr>
            <w:r w:rsidRPr="00FC7AAE">
              <w:t>1</w:t>
            </w:r>
          </w:p>
        </w:tc>
        <w:tc>
          <w:tcPr>
            <w:tcW w:w="1701" w:type="dxa"/>
            <w:noWrap/>
            <w:hideMark/>
          </w:tcPr>
          <w:p w14:paraId="64DBFBB1" w14:textId="77777777" w:rsidR="00E14BEC" w:rsidRPr="00FC7AAE" w:rsidRDefault="00E14BEC">
            <w:pPr>
              <w:pStyle w:val="TableNumber"/>
            </w:pPr>
            <w:r w:rsidRPr="00FC7AAE">
              <w:t>3.07%</w:t>
            </w:r>
          </w:p>
        </w:tc>
      </w:tr>
      <w:tr w:rsidR="00E14BEC" w:rsidRPr="00FC7AAE" w14:paraId="10B2D31B" w14:textId="77777777" w:rsidTr="007A28A7">
        <w:trPr>
          <w:trHeight w:val="300"/>
        </w:trPr>
        <w:tc>
          <w:tcPr>
            <w:tcW w:w="1701" w:type="dxa"/>
            <w:noWrap/>
            <w:hideMark/>
          </w:tcPr>
          <w:p w14:paraId="31140DD1" w14:textId="77777777" w:rsidR="00E14BEC" w:rsidRPr="00FC7AAE" w:rsidRDefault="00E14BEC" w:rsidP="002F7E33">
            <w:pPr>
              <w:pStyle w:val="Table"/>
              <w:keepNext/>
            </w:pPr>
            <w:r w:rsidRPr="00FC7AAE">
              <w:t>2</w:t>
            </w:r>
          </w:p>
        </w:tc>
        <w:tc>
          <w:tcPr>
            <w:tcW w:w="1701" w:type="dxa"/>
            <w:noWrap/>
            <w:hideMark/>
          </w:tcPr>
          <w:p w14:paraId="6962DC85" w14:textId="77777777" w:rsidR="00E14BEC" w:rsidRPr="00FC7AAE" w:rsidRDefault="00E14BEC">
            <w:pPr>
              <w:pStyle w:val="TableNumber"/>
            </w:pPr>
            <w:r w:rsidRPr="00FC7AAE">
              <w:t>0.02%</w:t>
            </w:r>
          </w:p>
        </w:tc>
      </w:tr>
      <w:tr w:rsidR="00E14BEC" w:rsidRPr="00FC7AAE" w14:paraId="757F641F" w14:textId="77777777" w:rsidTr="007A28A7">
        <w:trPr>
          <w:trHeight w:val="300"/>
        </w:trPr>
        <w:tc>
          <w:tcPr>
            <w:tcW w:w="1701" w:type="dxa"/>
            <w:noWrap/>
            <w:hideMark/>
          </w:tcPr>
          <w:p w14:paraId="37595ECB" w14:textId="77777777" w:rsidR="00E14BEC" w:rsidRPr="00FC7AAE" w:rsidRDefault="00E14BEC" w:rsidP="002F7E33">
            <w:pPr>
              <w:pStyle w:val="Table"/>
              <w:keepNext/>
            </w:pPr>
            <w:r w:rsidRPr="00FC7AAE">
              <w:t>3</w:t>
            </w:r>
          </w:p>
        </w:tc>
        <w:tc>
          <w:tcPr>
            <w:tcW w:w="1701" w:type="dxa"/>
            <w:noWrap/>
            <w:hideMark/>
          </w:tcPr>
          <w:p w14:paraId="7A965D1F" w14:textId="77777777" w:rsidR="00E14BEC" w:rsidRPr="00FC7AAE" w:rsidRDefault="00E14BEC">
            <w:pPr>
              <w:pStyle w:val="TableNumber"/>
            </w:pPr>
            <w:r w:rsidRPr="00FC7AAE">
              <w:t>0.01%</w:t>
            </w:r>
          </w:p>
        </w:tc>
      </w:tr>
      <w:tr w:rsidR="00E14BEC" w:rsidRPr="00FC7AAE" w14:paraId="773269B3" w14:textId="77777777" w:rsidTr="007A28A7">
        <w:trPr>
          <w:trHeight w:val="300"/>
        </w:trPr>
        <w:tc>
          <w:tcPr>
            <w:tcW w:w="1701" w:type="dxa"/>
            <w:noWrap/>
            <w:hideMark/>
          </w:tcPr>
          <w:p w14:paraId="3330EED3" w14:textId="77777777" w:rsidR="00E14BEC" w:rsidRPr="00773E3B" w:rsidRDefault="00E14BEC" w:rsidP="00773E3B">
            <w:pPr>
              <w:pStyle w:val="Table"/>
              <w:rPr>
                <w:b/>
              </w:rPr>
            </w:pPr>
            <w:r w:rsidRPr="00773E3B">
              <w:rPr>
                <w:b/>
              </w:rPr>
              <w:t>TOTAL</w:t>
            </w:r>
          </w:p>
        </w:tc>
        <w:tc>
          <w:tcPr>
            <w:tcW w:w="1701" w:type="dxa"/>
            <w:noWrap/>
            <w:hideMark/>
          </w:tcPr>
          <w:p w14:paraId="7746EE57" w14:textId="77777777" w:rsidR="00E14BEC" w:rsidRPr="00773E3B" w:rsidRDefault="00E14BEC" w:rsidP="00773E3B">
            <w:pPr>
              <w:pStyle w:val="TableNumber"/>
              <w:rPr>
                <w:b/>
              </w:rPr>
            </w:pPr>
            <w:r w:rsidRPr="00773E3B">
              <w:rPr>
                <w:b/>
              </w:rPr>
              <w:t>100.00%</w:t>
            </w:r>
          </w:p>
        </w:tc>
      </w:tr>
    </w:tbl>
    <w:p w14:paraId="640E0005" w14:textId="77777777" w:rsidR="005B5818" w:rsidRDefault="005B5818" w:rsidP="00352779">
      <w:pPr>
        <w:rPr>
          <w:lang w:val="en-AU"/>
        </w:rPr>
      </w:pPr>
      <w:r w:rsidRPr="00D76082">
        <w:rPr>
          <w:lang w:val="en-AU"/>
        </w:rPr>
        <w:t xml:space="preserve">In contrast, </w:t>
      </w:r>
      <w:r w:rsidR="00CC0F16">
        <w:rPr>
          <w:b/>
          <w:bCs/>
        </w:rPr>
        <w:fldChar w:fldCharType="begin"/>
      </w:r>
      <w:r w:rsidR="00CC0F16">
        <w:instrText xml:space="preserve"> REF _Ref391631018 \h  \* MERGEFORMAT </w:instrText>
      </w:r>
      <w:r w:rsidR="00CC0F16">
        <w:rPr>
          <w:b/>
          <w:bCs/>
        </w:rPr>
      </w:r>
      <w:r w:rsidR="00CC0F16">
        <w:rPr>
          <w:b/>
          <w:bCs/>
        </w:rPr>
        <w:fldChar w:fldCharType="separate"/>
      </w:r>
      <w:r w:rsidR="0031717B">
        <w:t xml:space="preserve">Table </w:t>
      </w:r>
      <w:r w:rsidR="0031717B">
        <w:rPr>
          <w:noProof/>
        </w:rPr>
        <w:t>20</w:t>
      </w:r>
      <w:r w:rsidR="00CC0F16">
        <w:rPr>
          <w:b/>
          <w:bCs/>
        </w:rPr>
        <w:fldChar w:fldCharType="end"/>
      </w:r>
      <w:r w:rsidRPr="00D76082">
        <w:rPr>
          <w:lang w:val="en-AU"/>
        </w:rPr>
        <w:t xml:space="preserve"> compares</w:t>
      </w:r>
      <w:r>
        <w:rPr>
          <w:lang w:val="en-AU"/>
        </w:rPr>
        <w:t xml:space="preserve"> the 2009-10 to 2011-12 and 2008-09 to 2010-11 full sample DCL derivations, where ‘DCL difference’ is 2009-10 to 2011-12 DCL minus 2008-09 to 2010</w:t>
      </w:r>
      <w:r>
        <w:rPr>
          <w:lang w:val="en-AU"/>
        </w:rPr>
        <w:noBreakHyphen/>
        <w:t>11 DCL. It shows that only 76.66</w:t>
      </w:r>
      <w:r w:rsidR="002201AB">
        <w:rPr>
          <w:lang w:val="en-AU"/>
        </w:rPr>
        <w:t xml:space="preserve"> per cent</w:t>
      </w:r>
      <w:r>
        <w:rPr>
          <w:lang w:val="en-AU"/>
        </w:rPr>
        <w:t xml:space="preserve"> of the DCLs agree between the two 3-year windows. However, 98.53</w:t>
      </w:r>
      <w:r w:rsidR="002201AB">
        <w:rPr>
          <w:lang w:val="en-AU"/>
        </w:rPr>
        <w:t xml:space="preserve"> per cent</w:t>
      </w:r>
      <w:r>
        <w:rPr>
          <w:lang w:val="en-AU"/>
        </w:rPr>
        <w:t xml:space="preserve"> of DCLs agree to within ±1 DCL.</w:t>
      </w:r>
    </w:p>
    <w:p w14:paraId="0823B3BC" w14:textId="77777777" w:rsidR="005B5818" w:rsidRDefault="005B5818" w:rsidP="000E5B4A">
      <w:pPr>
        <w:pStyle w:val="Caption"/>
      </w:pPr>
      <w:bookmarkStart w:id="197" w:name="_Ref391631018"/>
      <w:bookmarkStart w:id="198" w:name="_Toc401061107"/>
      <w:r>
        <w:lastRenderedPageBreak/>
        <w:t xml:space="preserve">Table </w:t>
      </w:r>
      <w:r w:rsidR="005559F5">
        <w:fldChar w:fldCharType="begin"/>
      </w:r>
      <w:r>
        <w:instrText xml:space="preserve"> SEQ Table \* ARABIC </w:instrText>
      </w:r>
      <w:r w:rsidR="005559F5">
        <w:fldChar w:fldCharType="separate"/>
      </w:r>
      <w:r w:rsidR="0031717B">
        <w:rPr>
          <w:noProof/>
        </w:rPr>
        <w:t>20</w:t>
      </w:r>
      <w:r w:rsidR="005559F5">
        <w:fldChar w:fldCharType="end"/>
      </w:r>
      <w:bookmarkEnd w:id="197"/>
      <w:r>
        <w:t>: Variation of DCLs - 2009</w:t>
      </w:r>
      <w:r w:rsidRPr="00AE2B93">
        <w:t>-</w:t>
      </w:r>
      <w:r>
        <w:t>10</w:t>
      </w:r>
      <w:r w:rsidRPr="00AE2B93">
        <w:t xml:space="preserve"> to 201</w:t>
      </w:r>
      <w:r>
        <w:t>1</w:t>
      </w:r>
      <w:r w:rsidRPr="00AE2B93">
        <w:t>-1</w:t>
      </w:r>
      <w:r>
        <w:t>2</w:t>
      </w:r>
      <w:r w:rsidRPr="00AE2B93">
        <w:t xml:space="preserve"> full sample vs. 2008-09 to 2010-11 </w:t>
      </w:r>
      <w:r>
        <w:t>full sample</w:t>
      </w:r>
      <w:r w:rsidR="000E4FA5">
        <w:t>.</w:t>
      </w:r>
      <w:bookmarkEnd w:id="198"/>
    </w:p>
    <w:tbl>
      <w:tblPr>
        <w:tblStyle w:val="Style1"/>
        <w:tblW w:w="3402" w:type="dxa"/>
        <w:tblLook w:val="0420" w:firstRow="1" w:lastRow="0" w:firstColumn="0" w:lastColumn="0" w:noHBand="0" w:noVBand="1"/>
        <w:tblCaption w:val="Variation of DCLs - 2009-10 to 2011-12 full sample vs. 2008-09 to 2010-11 full sample"/>
        <w:tblDescription w:val="The table has two columns: the first lists the DCL difference value; and the second gives the percentage variation of DCLs - 2009-10 to 2011-12 full sample vs. 2008-09 to 2010-11 full sample for each DCL difference value."/>
      </w:tblPr>
      <w:tblGrid>
        <w:gridCol w:w="1701"/>
        <w:gridCol w:w="1701"/>
      </w:tblGrid>
      <w:tr w:rsidR="00E14BEC" w:rsidRPr="00D76082" w14:paraId="501F8272" w14:textId="77777777" w:rsidTr="007A28A7">
        <w:trPr>
          <w:cnfStyle w:val="100000000000" w:firstRow="1" w:lastRow="0" w:firstColumn="0" w:lastColumn="0" w:oddVBand="0" w:evenVBand="0" w:oddHBand="0" w:evenHBand="0" w:firstRowFirstColumn="0" w:firstRowLastColumn="0" w:lastRowFirstColumn="0" w:lastRowLastColumn="0"/>
          <w:trHeight w:val="300"/>
          <w:tblHeader/>
        </w:trPr>
        <w:tc>
          <w:tcPr>
            <w:tcW w:w="1701" w:type="dxa"/>
            <w:noWrap/>
            <w:hideMark/>
          </w:tcPr>
          <w:p w14:paraId="5CB2E6B2" w14:textId="77777777" w:rsidR="00E14BEC" w:rsidRPr="00352779" w:rsidRDefault="00E14BEC" w:rsidP="00352779">
            <w:pPr>
              <w:pStyle w:val="Table"/>
            </w:pPr>
            <w:r w:rsidRPr="00352779">
              <w:t>DCL difference</w:t>
            </w:r>
          </w:p>
        </w:tc>
        <w:tc>
          <w:tcPr>
            <w:tcW w:w="1701" w:type="dxa"/>
            <w:noWrap/>
            <w:hideMark/>
          </w:tcPr>
          <w:p w14:paraId="56492BBB" w14:textId="77777777" w:rsidR="00E14BEC" w:rsidRPr="00352779" w:rsidRDefault="00E14BEC" w:rsidP="00352779">
            <w:pPr>
              <w:pStyle w:val="Table"/>
            </w:pPr>
            <w:r w:rsidRPr="00D76082">
              <w:t>%</w:t>
            </w:r>
          </w:p>
        </w:tc>
      </w:tr>
      <w:tr w:rsidR="00E14BEC" w:rsidRPr="00D76082" w14:paraId="68A2BF67" w14:textId="77777777" w:rsidTr="007A28A7">
        <w:trPr>
          <w:trHeight w:val="300"/>
        </w:trPr>
        <w:tc>
          <w:tcPr>
            <w:tcW w:w="1701" w:type="dxa"/>
            <w:noWrap/>
            <w:hideMark/>
          </w:tcPr>
          <w:p w14:paraId="63DC1D43" w14:textId="77777777" w:rsidR="00E14BEC" w:rsidRPr="00352779" w:rsidRDefault="00E14BEC" w:rsidP="007A28A7">
            <w:pPr>
              <w:pStyle w:val="Table"/>
              <w:keepNext/>
            </w:pPr>
            <w:r w:rsidRPr="00352779">
              <w:t>-5</w:t>
            </w:r>
          </w:p>
        </w:tc>
        <w:tc>
          <w:tcPr>
            <w:tcW w:w="1701" w:type="dxa"/>
            <w:noWrap/>
            <w:hideMark/>
          </w:tcPr>
          <w:p w14:paraId="0E5B88FB" w14:textId="77777777" w:rsidR="00E14BEC" w:rsidRPr="00352779" w:rsidRDefault="00E14BEC" w:rsidP="007A28A7">
            <w:pPr>
              <w:pStyle w:val="TableNumber"/>
            </w:pPr>
            <w:r w:rsidRPr="00352779">
              <w:t>0.00%</w:t>
            </w:r>
          </w:p>
        </w:tc>
      </w:tr>
      <w:tr w:rsidR="00E14BEC" w:rsidRPr="00D76082" w14:paraId="49BE1126" w14:textId="77777777" w:rsidTr="007A28A7">
        <w:trPr>
          <w:trHeight w:val="300"/>
        </w:trPr>
        <w:tc>
          <w:tcPr>
            <w:tcW w:w="1701" w:type="dxa"/>
            <w:noWrap/>
            <w:hideMark/>
          </w:tcPr>
          <w:p w14:paraId="4695B16D" w14:textId="77777777" w:rsidR="00E14BEC" w:rsidRPr="00352779" w:rsidRDefault="00E14BEC" w:rsidP="007A28A7">
            <w:pPr>
              <w:pStyle w:val="Table"/>
              <w:keepNext/>
            </w:pPr>
            <w:r w:rsidRPr="00352779">
              <w:t>-4</w:t>
            </w:r>
          </w:p>
        </w:tc>
        <w:tc>
          <w:tcPr>
            <w:tcW w:w="1701" w:type="dxa"/>
            <w:noWrap/>
            <w:hideMark/>
          </w:tcPr>
          <w:p w14:paraId="77C488B9" w14:textId="77777777" w:rsidR="00E14BEC" w:rsidRPr="00352779" w:rsidRDefault="00E14BEC" w:rsidP="007A28A7">
            <w:pPr>
              <w:pStyle w:val="TableNumber"/>
            </w:pPr>
            <w:r w:rsidRPr="00352779">
              <w:t>0.04%</w:t>
            </w:r>
          </w:p>
        </w:tc>
      </w:tr>
      <w:tr w:rsidR="00E14BEC" w:rsidRPr="00D76082" w14:paraId="5765C26E" w14:textId="77777777" w:rsidTr="007A28A7">
        <w:trPr>
          <w:trHeight w:val="300"/>
        </w:trPr>
        <w:tc>
          <w:tcPr>
            <w:tcW w:w="1701" w:type="dxa"/>
            <w:noWrap/>
            <w:hideMark/>
          </w:tcPr>
          <w:p w14:paraId="1BA4C708" w14:textId="77777777" w:rsidR="00E14BEC" w:rsidRPr="00352779" w:rsidRDefault="00E14BEC" w:rsidP="007A28A7">
            <w:pPr>
              <w:pStyle w:val="Table"/>
              <w:keepNext/>
            </w:pPr>
            <w:r w:rsidRPr="00352779">
              <w:t>-3</w:t>
            </w:r>
          </w:p>
        </w:tc>
        <w:tc>
          <w:tcPr>
            <w:tcW w:w="1701" w:type="dxa"/>
            <w:noWrap/>
            <w:hideMark/>
          </w:tcPr>
          <w:p w14:paraId="1B744AC9" w14:textId="77777777" w:rsidR="00E14BEC" w:rsidRPr="00352779" w:rsidRDefault="00E14BEC" w:rsidP="007A28A7">
            <w:pPr>
              <w:pStyle w:val="TableNumber"/>
            </w:pPr>
            <w:r w:rsidRPr="00352779">
              <w:t>0.09%</w:t>
            </w:r>
          </w:p>
        </w:tc>
      </w:tr>
      <w:tr w:rsidR="00E14BEC" w:rsidRPr="00D76082" w14:paraId="1E4C3FDF" w14:textId="77777777" w:rsidTr="007A28A7">
        <w:trPr>
          <w:trHeight w:val="300"/>
        </w:trPr>
        <w:tc>
          <w:tcPr>
            <w:tcW w:w="1701" w:type="dxa"/>
            <w:noWrap/>
            <w:hideMark/>
          </w:tcPr>
          <w:p w14:paraId="75E0E5C0" w14:textId="77777777" w:rsidR="00E14BEC" w:rsidRPr="00352779" w:rsidRDefault="00E14BEC" w:rsidP="007A28A7">
            <w:pPr>
              <w:pStyle w:val="Table"/>
              <w:keepNext/>
            </w:pPr>
            <w:r w:rsidRPr="00352779">
              <w:t>-2</w:t>
            </w:r>
          </w:p>
        </w:tc>
        <w:tc>
          <w:tcPr>
            <w:tcW w:w="1701" w:type="dxa"/>
            <w:noWrap/>
            <w:hideMark/>
          </w:tcPr>
          <w:p w14:paraId="4FDAF740" w14:textId="77777777" w:rsidR="00E14BEC" w:rsidRPr="00352779" w:rsidRDefault="00E14BEC" w:rsidP="007A28A7">
            <w:pPr>
              <w:pStyle w:val="TableNumber"/>
            </w:pPr>
            <w:r w:rsidRPr="00352779">
              <w:t>0.59%</w:t>
            </w:r>
          </w:p>
        </w:tc>
      </w:tr>
      <w:tr w:rsidR="00E14BEC" w:rsidRPr="00D76082" w14:paraId="41C3C5A8" w14:textId="77777777" w:rsidTr="007A28A7">
        <w:trPr>
          <w:trHeight w:val="300"/>
        </w:trPr>
        <w:tc>
          <w:tcPr>
            <w:tcW w:w="1701" w:type="dxa"/>
            <w:noWrap/>
            <w:hideMark/>
          </w:tcPr>
          <w:p w14:paraId="6E3B1DE2" w14:textId="77777777" w:rsidR="00E14BEC" w:rsidRPr="00352779" w:rsidRDefault="00E14BEC" w:rsidP="007A28A7">
            <w:pPr>
              <w:pStyle w:val="Table"/>
              <w:keepNext/>
            </w:pPr>
            <w:r w:rsidRPr="00352779">
              <w:t>-1</w:t>
            </w:r>
          </w:p>
        </w:tc>
        <w:tc>
          <w:tcPr>
            <w:tcW w:w="1701" w:type="dxa"/>
            <w:noWrap/>
            <w:hideMark/>
          </w:tcPr>
          <w:p w14:paraId="6CF65911" w14:textId="77777777" w:rsidR="00E14BEC" w:rsidRPr="00352779" w:rsidRDefault="00E14BEC" w:rsidP="007A28A7">
            <w:pPr>
              <w:pStyle w:val="TableNumber"/>
            </w:pPr>
            <w:r w:rsidRPr="00352779">
              <w:t>12.70%</w:t>
            </w:r>
          </w:p>
        </w:tc>
      </w:tr>
      <w:tr w:rsidR="00E14BEC" w:rsidRPr="00D76082" w14:paraId="2001E95D" w14:textId="77777777" w:rsidTr="007A28A7">
        <w:trPr>
          <w:trHeight w:val="300"/>
        </w:trPr>
        <w:tc>
          <w:tcPr>
            <w:tcW w:w="1701" w:type="dxa"/>
            <w:noWrap/>
            <w:hideMark/>
          </w:tcPr>
          <w:p w14:paraId="0E8287D7" w14:textId="77777777" w:rsidR="00E14BEC" w:rsidRPr="00352779" w:rsidRDefault="00E14BEC" w:rsidP="007A28A7">
            <w:pPr>
              <w:pStyle w:val="Table"/>
              <w:keepNext/>
            </w:pPr>
            <w:r w:rsidRPr="00352779">
              <w:t>0</w:t>
            </w:r>
          </w:p>
        </w:tc>
        <w:tc>
          <w:tcPr>
            <w:tcW w:w="1701" w:type="dxa"/>
            <w:noWrap/>
            <w:hideMark/>
          </w:tcPr>
          <w:p w14:paraId="40A1F35C" w14:textId="77777777" w:rsidR="00E14BEC" w:rsidRPr="00352779" w:rsidRDefault="00E14BEC" w:rsidP="007A28A7">
            <w:pPr>
              <w:pStyle w:val="TableNumber"/>
            </w:pPr>
            <w:r w:rsidRPr="00352779">
              <w:t>76.66%</w:t>
            </w:r>
          </w:p>
        </w:tc>
      </w:tr>
      <w:tr w:rsidR="00E14BEC" w:rsidRPr="00D76082" w14:paraId="06E0647B" w14:textId="77777777" w:rsidTr="007A28A7">
        <w:trPr>
          <w:trHeight w:val="300"/>
        </w:trPr>
        <w:tc>
          <w:tcPr>
            <w:tcW w:w="1701" w:type="dxa"/>
            <w:noWrap/>
            <w:hideMark/>
          </w:tcPr>
          <w:p w14:paraId="04625F91" w14:textId="77777777" w:rsidR="00E14BEC" w:rsidRPr="00352779" w:rsidRDefault="00E14BEC" w:rsidP="007A28A7">
            <w:pPr>
              <w:pStyle w:val="Table"/>
              <w:keepNext/>
            </w:pPr>
            <w:r w:rsidRPr="00352779">
              <w:t>1</w:t>
            </w:r>
          </w:p>
        </w:tc>
        <w:tc>
          <w:tcPr>
            <w:tcW w:w="1701" w:type="dxa"/>
            <w:noWrap/>
            <w:hideMark/>
          </w:tcPr>
          <w:p w14:paraId="4CF8FBCA" w14:textId="77777777" w:rsidR="00E14BEC" w:rsidRPr="00352779" w:rsidRDefault="00E14BEC" w:rsidP="007A28A7">
            <w:pPr>
              <w:pStyle w:val="TableNumber"/>
            </w:pPr>
            <w:r w:rsidRPr="00352779">
              <w:t>9.17%</w:t>
            </w:r>
          </w:p>
        </w:tc>
      </w:tr>
      <w:tr w:rsidR="00E14BEC" w:rsidRPr="00D76082" w14:paraId="2E2F56F0" w14:textId="77777777" w:rsidTr="007A28A7">
        <w:trPr>
          <w:trHeight w:val="300"/>
        </w:trPr>
        <w:tc>
          <w:tcPr>
            <w:tcW w:w="1701" w:type="dxa"/>
            <w:noWrap/>
            <w:hideMark/>
          </w:tcPr>
          <w:p w14:paraId="697B6BF8" w14:textId="77777777" w:rsidR="00E14BEC" w:rsidRPr="00352779" w:rsidRDefault="00E14BEC" w:rsidP="007A28A7">
            <w:pPr>
              <w:pStyle w:val="Table"/>
              <w:keepNext/>
            </w:pPr>
            <w:r w:rsidRPr="00352779">
              <w:t>2</w:t>
            </w:r>
          </w:p>
        </w:tc>
        <w:tc>
          <w:tcPr>
            <w:tcW w:w="1701" w:type="dxa"/>
            <w:noWrap/>
            <w:hideMark/>
          </w:tcPr>
          <w:p w14:paraId="3EE9E628" w14:textId="77777777" w:rsidR="00E14BEC" w:rsidRPr="00352779" w:rsidRDefault="00E14BEC" w:rsidP="007A28A7">
            <w:pPr>
              <w:pStyle w:val="TableNumber"/>
            </w:pPr>
            <w:r w:rsidRPr="00352779">
              <w:t>0.59%</w:t>
            </w:r>
          </w:p>
        </w:tc>
      </w:tr>
      <w:tr w:rsidR="00E14BEC" w:rsidRPr="00D76082" w14:paraId="71F8E9AF" w14:textId="77777777" w:rsidTr="007A28A7">
        <w:trPr>
          <w:trHeight w:val="300"/>
        </w:trPr>
        <w:tc>
          <w:tcPr>
            <w:tcW w:w="1701" w:type="dxa"/>
            <w:noWrap/>
            <w:hideMark/>
          </w:tcPr>
          <w:p w14:paraId="6926F6D3" w14:textId="77777777" w:rsidR="00E14BEC" w:rsidRPr="00352779" w:rsidRDefault="00E14BEC" w:rsidP="007A28A7">
            <w:pPr>
              <w:pStyle w:val="Table"/>
              <w:keepNext/>
            </w:pPr>
            <w:r w:rsidRPr="00352779">
              <w:t>3</w:t>
            </w:r>
          </w:p>
        </w:tc>
        <w:tc>
          <w:tcPr>
            <w:tcW w:w="1701" w:type="dxa"/>
            <w:noWrap/>
            <w:hideMark/>
          </w:tcPr>
          <w:p w14:paraId="16D7DAFD" w14:textId="77777777" w:rsidR="00E14BEC" w:rsidRPr="00352779" w:rsidRDefault="00E14BEC" w:rsidP="007A28A7">
            <w:pPr>
              <w:pStyle w:val="TableNumber"/>
            </w:pPr>
            <w:r w:rsidRPr="00352779">
              <w:t>0.11%</w:t>
            </w:r>
          </w:p>
        </w:tc>
      </w:tr>
      <w:tr w:rsidR="00E14BEC" w:rsidRPr="00D76082" w14:paraId="0A4C77A7" w14:textId="77777777" w:rsidTr="007A28A7">
        <w:trPr>
          <w:trHeight w:val="300"/>
        </w:trPr>
        <w:tc>
          <w:tcPr>
            <w:tcW w:w="1701" w:type="dxa"/>
            <w:noWrap/>
            <w:hideMark/>
          </w:tcPr>
          <w:p w14:paraId="7529CD3E" w14:textId="77777777" w:rsidR="00E14BEC" w:rsidRPr="00352779" w:rsidRDefault="00E14BEC" w:rsidP="002F7E33">
            <w:pPr>
              <w:pStyle w:val="Table"/>
              <w:keepNext/>
            </w:pPr>
            <w:r w:rsidRPr="00352779">
              <w:t>4</w:t>
            </w:r>
          </w:p>
        </w:tc>
        <w:tc>
          <w:tcPr>
            <w:tcW w:w="1701" w:type="dxa"/>
            <w:noWrap/>
            <w:hideMark/>
          </w:tcPr>
          <w:p w14:paraId="5FB3A84D" w14:textId="77777777" w:rsidR="00E14BEC" w:rsidRPr="00352779" w:rsidRDefault="00E14BEC">
            <w:pPr>
              <w:pStyle w:val="TableNumber"/>
            </w:pPr>
            <w:r w:rsidRPr="00352779">
              <w:t>0.04%</w:t>
            </w:r>
          </w:p>
        </w:tc>
      </w:tr>
      <w:tr w:rsidR="00E14BEC" w:rsidRPr="00D76082" w14:paraId="636F56B3" w14:textId="77777777" w:rsidTr="007A28A7">
        <w:trPr>
          <w:trHeight w:val="300"/>
        </w:trPr>
        <w:tc>
          <w:tcPr>
            <w:tcW w:w="1701" w:type="dxa"/>
            <w:noWrap/>
            <w:hideMark/>
          </w:tcPr>
          <w:p w14:paraId="329707CD" w14:textId="77777777" w:rsidR="00E14BEC" w:rsidRPr="00352779" w:rsidRDefault="00E14BEC" w:rsidP="002F7E33">
            <w:pPr>
              <w:pStyle w:val="Table"/>
              <w:keepNext/>
            </w:pPr>
            <w:r w:rsidRPr="00352779">
              <w:t>5</w:t>
            </w:r>
          </w:p>
        </w:tc>
        <w:tc>
          <w:tcPr>
            <w:tcW w:w="1701" w:type="dxa"/>
            <w:noWrap/>
            <w:hideMark/>
          </w:tcPr>
          <w:p w14:paraId="67131DE9" w14:textId="77777777" w:rsidR="00E14BEC" w:rsidRPr="00352779" w:rsidRDefault="00E14BEC">
            <w:pPr>
              <w:pStyle w:val="TableNumber"/>
            </w:pPr>
            <w:r w:rsidRPr="00352779">
              <w:t>0.00%</w:t>
            </w:r>
          </w:p>
        </w:tc>
      </w:tr>
      <w:tr w:rsidR="00E14BEC" w:rsidRPr="00D76082" w14:paraId="7EC127F5" w14:textId="77777777" w:rsidTr="007A28A7">
        <w:trPr>
          <w:trHeight w:val="300"/>
        </w:trPr>
        <w:tc>
          <w:tcPr>
            <w:tcW w:w="1701" w:type="dxa"/>
            <w:noWrap/>
            <w:hideMark/>
          </w:tcPr>
          <w:p w14:paraId="415DEFD0" w14:textId="77777777" w:rsidR="00E14BEC" w:rsidRPr="00C910F3" w:rsidRDefault="00E14BEC" w:rsidP="00352779">
            <w:pPr>
              <w:pStyle w:val="Table"/>
              <w:rPr>
                <w:b/>
              </w:rPr>
            </w:pPr>
            <w:r w:rsidRPr="00C910F3">
              <w:rPr>
                <w:b/>
              </w:rPr>
              <w:t>TOTAL</w:t>
            </w:r>
          </w:p>
        </w:tc>
        <w:tc>
          <w:tcPr>
            <w:tcW w:w="1701" w:type="dxa"/>
            <w:noWrap/>
            <w:hideMark/>
          </w:tcPr>
          <w:p w14:paraId="4BC5CFC9" w14:textId="77777777" w:rsidR="00E14BEC" w:rsidRPr="00C910F3" w:rsidRDefault="00E14BEC" w:rsidP="00352779">
            <w:pPr>
              <w:pStyle w:val="TableNumber"/>
              <w:rPr>
                <w:b/>
              </w:rPr>
            </w:pPr>
            <w:r w:rsidRPr="00C910F3">
              <w:rPr>
                <w:b/>
              </w:rPr>
              <w:t>100.00%</w:t>
            </w:r>
          </w:p>
        </w:tc>
      </w:tr>
    </w:tbl>
    <w:p w14:paraId="5326EF51" w14:textId="77777777" w:rsidR="005B5818" w:rsidDel="009C21A6" w:rsidRDefault="005B5818" w:rsidP="005B5818">
      <w:pPr>
        <w:spacing w:before="240"/>
        <w:rPr>
          <w:szCs w:val="24"/>
          <w:lang w:val="en-AU"/>
        </w:rPr>
      </w:pPr>
      <w:r w:rsidDel="009C21A6">
        <w:rPr>
          <w:szCs w:val="24"/>
          <w:lang w:val="en-AU"/>
        </w:rPr>
        <w:t xml:space="preserve">The above tables suggest that a ±1 DCL buffer could be used to stabilise the DCLs over time when updating using more current data. This could be achieved by halving the difference between DCL calculations and setting each 0.5 fraction of DCL to round down (i.e. 0.5 rounds down to 0, 1.5 rounds down to </w:t>
      </w:r>
      <w:r w:rsidRPr="00C90DEA" w:rsidDel="009C21A6">
        <w:rPr>
          <w:szCs w:val="24"/>
          <w:lang w:val="en-AU"/>
        </w:rPr>
        <w:t xml:space="preserve">1, etc.). </w:t>
      </w:r>
      <w:r w:rsidR="00CC0F16" w:rsidDel="009C21A6">
        <w:fldChar w:fldCharType="begin"/>
      </w:r>
      <w:r w:rsidR="00CC0F16" w:rsidDel="009C21A6">
        <w:instrText xml:space="preserve"> REF _Ref391632777 \h  \* MERGEFORMAT </w:instrText>
      </w:r>
      <w:r w:rsidR="00CC0F16" w:rsidDel="009C21A6">
        <w:fldChar w:fldCharType="separate"/>
      </w:r>
      <w:r w:rsidR="0031717B" w:rsidRPr="0031717B">
        <w:rPr>
          <w:szCs w:val="24"/>
        </w:rPr>
        <w:t xml:space="preserve">Table </w:t>
      </w:r>
      <w:r w:rsidR="0031717B" w:rsidRPr="0031717B">
        <w:rPr>
          <w:noProof/>
          <w:szCs w:val="24"/>
        </w:rPr>
        <w:t>21</w:t>
      </w:r>
      <w:r w:rsidR="00CC0F16" w:rsidDel="009C21A6">
        <w:fldChar w:fldCharType="end"/>
      </w:r>
      <w:r w:rsidRPr="00C90DEA" w:rsidDel="009C21A6">
        <w:rPr>
          <w:szCs w:val="24"/>
          <w:lang w:val="en-AU"/>
        </w:rPr>
        <w:t xml:space="preserve"> shows how</w:t>
      </w:r>
      <w:r w:rsidDel="009C21A6">
        <w:rPr>
          <w:szCs w:val="24"/>
          <w:lang w:val="en-AU"/>
        </w:rPr>
        <w:t xml:space="preserve"> this method would change DCLs. </w:t>
      </w:r>
    </w:p>
    <w:p w14:paraId="17B7E672" w14:textId="77777777" w:rsidR="005B5818" w:rsidRDefault="005B5818" w:rsidP="000E5B4A">
      <w:pPr>
        <w:pStyle w:val="Caption"/>
      </w:pPr>
      <w:bookmarkStart w:id="199" w:name="_Ref391632777"/>
      <w:bookmarkStart w:id="200" w:name="_Toc401061108"/>
      <w:r>
        <w:lastRenderedPageBreak/>
        <w:t xml:space="preserve">Table </w:t>
      </w:r>
      <w:r w:rsidR="005559F5">
        <w:fldChar w:fldCharType="begin"/>
      </w:r>
      <w:r>
        <w:instrText xml:space="preserve"> SEQ Table \* ARABIC </w:instrText>
      </w:r>
      <w:r w:rsidR="005559F5">
        <w:fldChar w:fldCharType="separate"/>
      </w:r>
      <w:r w:rsidR="0031717B">
        <w:rPr>
          <w:noProof/>
        </w:rPr>
        <w:t>21</w:t>
      </w:r>
      <w:r w:rsidR="005559F5">
        <w:fldChar w:fldCharType="end"/>
      </w:r>
      <w:bookmarkEnd w:id="199"/>
      <w:r>
        <w:t>: Illustration of the method changing DCLs based on halving the difference between original and revised calculation</w:t>
      </w:r>
      <w:r w:rsidR="000E4FA5">
        <w:t>.</w:t>
      </w:r>
      <w:bookmarkEnd w:id="200"/>
    </w:p>
    <w:tbl>
      <w:tblPr>
        <w:tblStyle w:val="Style1"/>
        <w:tblW w:w="3402" w:type="dxa"/>
        <w:tblLook w:val="0420" w:firstRow="1" w:lastRow="0" w:firstColumn="0" w:lastColumn="0" w:noHBand="0" w:noVBand="1"/>
        <w:tblCaption w:val="Illustration of the method changing DCLs based on halving the difference between original and revised calculation"/>
        <w:tblDescription w:val="The table has two columns: the first column lists the DCL difference; and the second column provides the resulting change to DCL (after halving the difference)."/>
      </w:tblPr>
      <w:tblGrid>
        <w:gridCol w:w="1701"/>
        <w:gridCol w:w="1701"/>
      </w:tblGrid>
      <w:tr w:rsidR="005B5818" w:rsidRPr="003D28FF" w14:paraId="0FC228F3" w14:textId="77777777" w:rsidTr="007A28A7">
        <w:trPr>
          <w:cnfStyle w:val="100000000000" w:firstRow="1" w:lastRow="0" w:firstColumn="0" w:lastColumn="0" w:oddVBand="0" w:evenVBand="0" w:oddHBand="0" w:evenHBand="0" w:firstRowFirstColumn="0" w:firstRowLastColumn="0" w:lastRowFirstColumn="0" w:lastRowLastColumn="0"/>
          <w:trHeight w:val="300"/>
          <w:tblHeader/>
        </w:trPr>
        <w:tc>
          <w:tcPr>
            <w:tcW w:w="1701" w:type="dxa"/>
            <w:noWrap/>
            <w:hideMark/>
          </w:tcPr>
          <w:p w14:paraId="05106C19" w14:textId="77777777" w:rsidR="005B5818" w:rsidRPr="003D28FF" w:rsidRDefault="005B5818" w:rsidP="002E3E9D">
            <w:pPr>
              <w:pStyle w:val="Table"/>
            </w:pPr>
            <w:r w:rsidRPr="003D28FF">
              <w:t>DCL difference</w:t>
            </w:r>
          </w:p>
        </w:tc>
        <w:tc>
          <w:tcPr>
            <w:tcW w:w="1701" w:type="dxa"/>
            <w:noWrap/>
            <w:hideMark/>
          </w:tcPr>
          <w:p w14:paraId="620FB5E6" w14:textId="77777777" w:rsidR="005B5818" w:rsidRPr="003D28FF" w:rsidRDefault="005B5818" w:rsidP="002E3E9D">
            <w:pPr>
              <w:pStyle w:val="Table"/>
            </w:pPr>
            <w:r w:rsidRPr="003D28FF">
              <w:t>Resulting change to DCL</w:t>
            </w:r>
          </w:p>
        </w:tc>
      </w:tr>
      <w:tr w:rsidR="005B5818" w:rsidRPr="003D28FF" w14:paraId="094FCC9C" w14:textId="77777777" w:rsidTr="007A28A7">
        <w:trPr>
          <w:trHeight w:val="300"/>
        </w:trPr>
        <w:tc>
          <w:tcPr>
            <w:tcW w:w="1701" w:type="dxa"/>
            <w:noWrap/>
            <w:hideMark/>
          </w:tcPr>
          <w:p w14:paraId="26A9B770" w14:textId="77777777" w:rsidR="005B5818" w:rsidRPr="003D28FF" w:rsidRDefault="005B5818" w:rsidP="007A28A7">
            <w:pPr>
              <w:pStyle w:val="Table"/>
              <w:keepNext/>
            </w:pPr>
            <w:r w:rsidRPr="003D28FF">
              <w:t>-5</w:t>
            </w:r>
          </w:p>
        </w:tc>
        <w:tc>
          <w:tcPr>
            <w:tcW w:w="1701" w:type="dxa"/>
            <w:noWrap/>
            <w:hideMark/>
          </w:tcPr>
          <w:p w14:paraId="57EF1043" w14:textId="77777777" w:rsidR="005B5818" w:rsidRPr="003D28FF" w:rsidRDefault="005B5818" w:rsidP="007A28A7">
            <w:pPr>
              <w:pStyle w:val="TableNumber"/>
            </w:pPr>
            <w:r w:rsidRPr="003D28FF">
              <w:t>-2</w:t>
            </w:r>
          </w:p>
        </w:tc>
      </w:tr>
      <w:tr w:rsidR="005B5818" w:rsidRPr="003D28FF" w14:paraId="2697D29A" w14:textId="77777777" w:rsidTr="007A28A7">
        <w:trPr>
          <w:trHeight w:val="300"/>
        </w:trPr>
        <w:tc>
          <w:tcPr>
            <w:tcW w:w="1701" w:type="dxa"/>
            <w:noWrap/>
            <w:hideMark/>
          </w:tcPr>
          <w:p w14:paraId="55693039" w14:textId="77777777" w:rsidR="005B5818" w:rsidRPr="003D28FF" w:rsidRDefault="005B5818" w:rsidP="007A28A7">
            <w:pPr>
              <w:pStyle w:val="Table"/>
              <w:keepNext/>
            </w:pPr>
            <w:r w:rsidRPr="003D28FF">
              <w:t>-4</w:t>
            </w:r>
          </w:p>
        </w:tc>
        <w:tc>
          <w:tcPr>
            <w:tcW w:w="1701" w:type="dxa"/>
            <w:noWrap/>
            <w:hideMark/>
          </w:tcPr>
          <w:p w14:paraId="3F6BD359" w14:textId="77777777" w:rsidR="005B5818" w:rsidRPr="003D28FF" w:rsidRDefault="005B5818" w:rsidP="007A28A7">
            <w:pPr>
              <w:pStyle w:val="TableNumber"/>
            </w:pPr>
            <w:r w:rsidRPr="003D28FF">
              <w:t>-2</w:t>
            </w:r>
          </w:p>
        </w:tc>
      </w:tr>
      <w:tr w:rsidR="005B5818" w:rsidRPr="003D28FF" w14:paraId="5753B317" w14:textId="77777777" w:rsidTr="007A28A7">
        <w:trPr>
          <w:trHeight w:val="300"/>
        </w:trPr>
        <w:tc>
          <w:tcPr>
            <w:tcW w:w="1701" w:type="dxa"/>
            <w:noWrap/>
            <w:hideMark/>
          </w:tcPr>
          <w:p w14:paraId="29772C8C" w14:textId="77777777" w:rsidR="005B5818" w:rsidRPr="003D28FF" w:rsidRDefault="005B5818" w:rsidP="007A28A7">
            <w:pPr>
              <w:pStyle w:val="Table"/>
              <w:keepNext/>
            </w:pPr>
            <w:r w:rsidRPr="003D28FF">
              <w:t>-3</w:t>
            </w:r>
          </w:p>
        </w:tc>
        <w:tc>
          <w:tcPr>
            <w:tcW w:w="1701" w:type="dxa"/>
            <w:noWrap/>
            <w:hideMark/>
          </w:tcPr>
          <w:p w14:paraId="5BF4BF17" w14:textId="77777777" w:rsidR="005B5818" w:rsidRPr="003D28FF" w:rsidRDefault="005B5818" w:rsidP="007A28A7">
            <w:pPr>
              <w:pStyle w:val="TableNumber"/>
            </w:pPr>
            <w:r w:rsidRPr="003D28FF">
              <w:t>-1</w:t>
            </w:r>
          </w:p>
        </w:tc>
      </w:tr>
      <w:tr w:rsidR="005B5818" w:rsidRPr="003D28FF" w14:paraId="5565021F" w14:textId="77777777" w:rsidTr="007A28A7">
        <w:trPr>
          <w:trHeight w:val="300"/>
        </w:trPr>
        <w:tc>
          <w:tcPr>
            <w:tcW w:w="1701" w:type="dxa"/>
            <w:noWrap/>
            <w:hideMark/>
          </w:tcPr>
          <w:p w14:paraId="410A5C1C" w14:textId="77777777" w:rsidR="005B5818" w:rsidRPr="003D28FF" w:rsidRDefault="005B5818" w:rsidP="007A28A7">
            <w:pPr>
              <w:pStyle w:val="Table"/>
              <w:keepNext/>
            </w:pPr>
            <w:r w:rsidRPr="003D28FF">
              <w:t>-2</w:t>
            </w:r>
          </w:p>
        </w:tc>
        <w:tc>
          <w:tcPr>
            <w:tcW w:w="1701" w:type="dxa"/>
            <w:noWrap/>
            <w:hideMark/>
          </w:tcPr>
          <w:p w14:paraId="457C8772" w14:textId="77777777" w:rsidR="005B5818" w:rsidRPr="003D28FF" w:rsidRDefault="005B5818" w:rsidP="007A28A7">
            <w:pPr>
              <w:pStyle w:val="TableNumber"/>
            </w:pPr>
            <w:r w:rsidRPr="003D28FF">
              <w:t>-1</w:t>
            </w:r>
          </w:p>
        </w:tc>
      </w:tr>
      <w:tr w:rsidR="005B5818" w:rsidRPr="003D28FF" w14:paraId="0E88CC2A" w14:textId="77777777" w:rsidTr="007A28A7">
        <w:trPr>
          <w:trHeight w:val="300"/>
        </w:trPr>
        <w:tc>
          <w:tcPr>
            <w:tcW w:w="1701" w:type="dxa"/>
            <w:noWrap/>
            <w:hideMark/>
          </w:tcPr>
          <w:p w14:paraId="1F0F33B5" w14:textId="77777777" w:rsidR="005B5818" w:rsidRPr="003D28FF" w:rsidRDefault="005B5818" w:rsidP="002F7E33">
            <w:pPr>
              <w:pStyle w:val="Table"/>
              <w:keepNext/>
            </w:pPr>
            <w:r w:rsidRPr="003D28FF">
              <w:t>-1</w:t>
            </w:r>
          </w:p>
        </w:tc>
        <w:tc>
          <w:tcPr>
            <w:tcW w:w="1701" w:type="dxa"/>
            <w:noWrap/>
            <w:hideMark/>
          </w:tcPr>
          <w:p w14:paraId="253F756E" w14:textId="77777777" w:rsidR="005B5818" w:rsidRPr="003D28FF" w:rsidRDefault="005B5818">
            <w:pPr>
              <w:pStyle w:val="TableNumber"/>
            </w:pPr>
            <w:r w:rsidRPr="003D28FF">
              <w:t>0</w:t>
            </w:r>
          </w:p>
        </w:tc>
      </w:tr>
      <w:tr w:rsidR="005B5818" w:rsidRPr="003D28FF" w14:paraId="594C18CF" w14:textId="77777777" w:rsidTr="007A28A7">
        <w:trPr>
          <w:trHeight w:val="300"/>
        </w:trPr>
        <w:tc>
          <w:tcPr>
            <w:tcW w:w="1701" w:type="dxa"/>
            <w:noWrap/>
            <w:hideMark/>
          </w:tcPr>
          <w:p w14:paraId="310D1A83" w14:textId="77777777" w:rsidR="005B5818" w:rsidRPr="003D28FF" w:rsidRDefault="005B5818" w:rsidP="002F7E33">
            <w:pPr>
              <w:pStyle w:val="Table"/>
              <w:keepNext/>
            </w:pPr>
            <w:r w:rsidRPr="003D28FF">
              <w:t>0</w:t>
            </w:r>
          </w:p>
        </w:tc>
        <w:tc>
          <w:tcPr>
            <w:tcW w:w="1701" w:type="dxa"/>
            <w:noWrap/>
            <w:hideMark/>
          </w:tcPr>
          <w:p w14:paraId="5EBED05B" w14:textId="77777777" w:rsidR="005B5818" w:rsidRPr="003D28FF" w:rsidRDefault="005B5818">
            <w:pPr>
              <w:pStyle w:val="TableNumber"/>
            </w:pPr>
            <w:r w:rsidRPr="003D28FF">
              <w:t>0</w:t>
            </w:r>
          </w:p>
        </w:tc>
      </w:tr>
      <w:tr w:rsidR="005B5818" w:rsidRPr="003D28FF" w14:paraId="74B4FC54" w14:textId="77777777" w:rsidTr="007A28A7">
        <w:trPr>
          <w:trHeight w:val="300"/>
        </w:trPr>
        <w:tc>
          <w:tcPr>
            <w:tcW w:w="1701" w:type="dxa"/>
            <w:noWrap/>
            <w:hideMark/>
          </w:tcPr>
          <w:p w14:paraId="5760B0AA" w14:textId="77777777" w:rsidR="005B5818" w:rsidRPr="003D28FF" w:rsidRDefault="005B5818" w:rsidP="002F7E33">
            <w:pPr>
              <w:pStyle w:val="Table"/>
              <w:keepNext/>
            </w:pPr>
            <w:r w:rsidRPr="003D28FF">
              <w:t>1</w:t>
            </w:r>
          </w:p>
        </w:tc>
        <w:tc>
          <w:tcPr>
            <w:tcW w:w="1701" w:type="dxa"/>
            <w:noWrap/>
            <w:hideMark/>
          </w:tcPr>
          <w:p w14:paraId="33664014" w14:textId="77777777" w:rsidR="005B5818" w:rsidRPr="003D28FF" w:rsidRDefault="005B5818">
            <w:pPr>
              <w:pStyle w:val="TableNumber"/>
            </w:pPr>
            <w:r w:rsidRPr="003D28FF">
              <w:t>0</w:t>
            </w:r>
          </w:p>
        </w:tc>
      </w:tr>
      <w:tr w:rsidR="005B5818" w:rsidRPr="003D28FF" w14:paraId="1C224302" w14:textId="77777777" w:rsidTr="007A28A7">
        <w:trPr>
          <w:trHeight w:val="300"/>
        </w:trPr>
        <w:tc>
          <w:tcPr>
            <w:tcW w:w="1701" w:type="dxa"/>
            <w:noWrap/>
            <w:hideMark/>
          </w:tcPr>
          <w:p w14:paraId="5E412424" w14:textId="77777777" w:rsidR="005B5818" w:rsidRPr="003D28FF" w:rsidRDefault="005B5818" w:rsidP="002F7E33">
            <w:pPr>
              <w:pStyle w:val="Table"/>
              <w:keepNext/>
            </w:pPr>
            <w:r w:rsidRPr="003D28FF">
              <w:t>2</w:t>
            </w:r>
          </w:p>
        </w:tc>
        <w:tc>
          <w:tcPr>
            <w:tcW w:w="1701" w:type="dxa"/>
            <w:noWrap/>
            <w:hideMark/>
          </w:tcPr>
          <w:p w14:paraId="04145C36" w14:textId="77777777" w:rsidR="005B5818" w:rsidRPr="003D28FF" w:rsidRDefault="005B5818">
            <w:pPr>
              <w:pStyle w:val="TableNumber"/>
            </w:pPr>
            <w:r w:rsidRPr="003D28FF">
              <w:t>1</w:t>
            </w:r>
          </w:p>
        </w:tc>
      </w:tr>
      <w:tr w:rsidR="005B5818" w:rsidRPr="003D28FF" w14:paraId="3310DF4F" w14:textId="77777777" w:rsidTr="007A28A7">
        <w:trPr>
          <w:trHeight w:val="300"/>
        </w:trPr>
        <w:tc>
          <w:tcPr>
            <w:tcW w:w="1701" w:type="dxa"/>
            <w:noWrap/>
            <w:hideMark/>
          </w:tcPr>
          <w:p w14:paraId="697170D3" w14:textId="77777777" w:rsidR="005B5818" w:rsidRPr="003D28FF" w:rsidRDefault="005B5818" w:rsidP="002F7E33">
            <w:pPr>
              <w:pStyle w:val="Table"/>
              <w:keepNext/>
            </w:pPr>
            <w:r w:rsidRPr="003D28FF">
              <w:t>3</w:t>
            </w:r>
          </w:p>
        </w:tc>
        <w:tc>
          <w:tcPr>
            <w:tcW w:w="1701" w:type="dxa"/>
            <w:noWrap/>
            <w:hideMark/>
          </w:tcPr>
          <w:p w14:paraId="40024B55" w14:textId="77777777" w:rsidR="005B5818" w:rsidRPr="003D28FF" w:rsidRDefault="005B5818">
            <w:pPr>
              <w:pStyle w:val="TableNumber"/>
            </w:pPr>
            <w:r w:rsidRPr="003D28FF">
              <w:t>1</w:t>
            </w:r>
          </w:p>
        </w:tc>
      </w:tr>
      <w:tr w:rsidR="005B5818" w:rsidRPr="003D28FF" w14:paraId="69494225" w14:textId="77777777" w:rsidTr="007A28A7">
        <w:trPr>
          <w:trHeight w:val="300"/>
        </w:trPr>
        <w:tc>
          <w:tcPr>
            <w:tcW w:w="1701" w:type="dxa"/>
            <w:noWrap/>
            <w:hideMark/>
          </w:tcPr>
          <w:p w14:paraId="2953B4F7" w14:textId="77777777" w:rsidR="005B5818" w:rsidRPr="003D28FF" w:rsidRDefault="005B5818" w:rsidP="002F7E33">
            <w:pPr>
              <w:pStyle w:val="Table"/>
              <w:keepNext/>
            </w:pPr>
            <w:r w:rsidRPr="003D28FF">
              <w:t>4</w:t>
            </w:r>
          </w:p>
        </w:tc>
        <w:tc>
          <w:tcPr>
            <w:tcW w:w="1701" w:type="dxa"/>
            <w:noWrap/>
            <w:hideMark/>
          </w:tcPr>
          <w:p w14:paraId="0B52245A" w14:textId="77777777" w:rsidR="005B5818" w:rsidRPr="003D28FF" w:rsidRDefault="005B5818">
            <w:pPr>
              <w:pStyle w:val="TableNumber"/>
            </w:pPr>
            <w:r w:rsidRPr="003D28FF">
              <w:t>2</w:t>
            </w:r>
          </w:p>
        </w:tc>
      </w:tr>
      <w:tr w:rsidR="005B5818" w:rsidRPr="003D28FF" w14:paraId="09157AFD" w14:textId="77777777" w:rsidTr="007A28A7">
        <w:trPr>
          <w:trHeight w:val="300"/>
        </w:trPr>
        <w:tc>
          <w:tcPr>
            <w:tcW w:w="1701" w:type="dxa"/>
            <w:noWrap/>
            <w:hideMark/>
          </w:tcPr>
          <w:p w14:paraId="3A7B8126" w14:textId="77777777" w:rsidR="005B5818" w:rsidRPr="003D28FF" w:rsidRDefault="005B5818" w:rsidP="002E3E9D">
            <w:pPr>
              <w:pStyle w:val="Table"/>
            </w:pPr>
            <w:r w:rsidRPr="003D28FF">
              <w:t>5</w:t>
            </w:r>
          </w:p>
        </w:tc>
        <w:tc>
          <w:tcPr>
            <w:tcW w:w="1701" w:type="dxa"/>
            <w:noWrap/>
            <w:hideMark/>
          </w:tcPr>
          <w:p w14:paraId="2F166460" w14:textId="77777777" w:rsidR="005B5818" w:rsidRPr="003D28FF" w:rsidRDefault="005B5818" w:rsidP="002E3E9D">
            <w:pPr>
              <w:pStyle w:val="TableNumber"/>
            </w:pPr>
            <w:r w:rsidRPr="003D28FF">
              <w:t>2</w:t>
            </w:r>
          </w:p>
        </w:tc>
      </w:tr>
    </w:tbl>
    <w:p w14:paraId="5EF191A8" w14:textId="77777777" w:rsidR="0031717B" w:rsidRPr="0031717B" w:rsidRDefault="005B5818" w:rsidP="0031717B">
      <w:pPr>
        <w:spacing w:before="240"/>
      </w:pPr>
      <w:r w:rsidRPr="00985EC2">
        <w:rPr>
          <w:szCs w:val="24"/>
          <w:lang w:val="en-AU"/>
        </w:rPr>
        <w:t xml:space="preserve">Interpreting </w:t>
      </w:r>
      <w:r w:rsidR="00CC0F16">
        <w:fldChar w:fldCharType="begin"/>
      </w:r>
      <w:r w:rsidR="00CC0F16">
        <w:instrText xml:space="preserve"> REF _Ref391631018 \h  \* MERGEFORMAT </w:instrText>
      </w:r>
      <w:r w:rsidR="00CC0F16">
        <w:fldChar w:fldCharType="separate"/>
      </w:r>
      <w:r w:rsidR="0031717B" w:rsidRPr="0031717B">
        <w:rPr>
          <w:szCs w:val="24"/>
        </w:rPr>
        <w:t xml:space="preserve">Table </w:t>
      </w:r>
      <w:r w:rsidR="0031717B" w:rsidRPr="0031717B">
        <w:rPr>
          <w:noProof/>
          <w:szCs w:val="24"/>
        </w:rPr>
        <w:t>20</w:t>
      </w:r>
      <w:r w:rsidR="00CC0F16">
        <w:fldChar w:fldCharType="end"/>
      </w:r>
      <w:r>
        <w:rPr>
          <w:szCs w:val="24"/>
          <w:lang w:val="en-AU"/>
        </w:rPr>
        <w:t xml:space="preserve"> as the change between an existing DCL matrix and a new version derived on updated </w:t>
      </w:r>
      <w:r w:rsidRPr="00C90DEA">
        <w:rPr>
          <w:szCs w:val="24"/>
          <w:lang w:val="en-AU"/>
        </w:rPr>
        <w:t>data</w:t>
      </w:r>
      <w:r w:rsidR="00352779">
        <w:rPr>
          <w:szCs w:val="24"/>
          <w:lang w:val="en-AU"/>
        </w:rPr>
        <w:t>.</w:t>
      </w:r>
      <w:r w:rsidR="007A28A7">
        <w:rPr>
          <w:szCs w:val="24"/>
          <w:lang w:val="en-AU"/>
        </w:rPr>
        <w:t xml:space="preserve"> </w:t>
      </w:r>
      <w:r w:rsidR="00CC0F16">
        <w:fldChar w:fldCharType="begin"/>
      </w:r>
      <w:r w:rsidR="00CC0F16">
        <w:instrText xml:space="preserve"> REF _Ref391632776 \h  \* MERGEFORMAT </w:instrText>
      </w:r>
      <w:r w:rsidR="00CC0F16">
        <w:fldChar w:fldCharType="separate"/>
      </w:r>
    </w:p>
    <w:p w14:paraId="035F5345" w14:textId="77777777" w:rsidR="0041530E" w:rsidRPr="007A28A7" w:rsidRDefault="0031717B" w:rsidP="00BA02D0">
      <w:pPr>
        <w:pageBreakBefore/>
        <w:spacing w:before="240"/>
        <w:rPr>
          <w:noProof/>
          <w:szCs w:val="24"/>
        </w:rPr>
      </w:pPr>
      <w:r>
        <w:rPr>
          <w:noProof/>
        </w:rPr>
        <w:lastRenderedPageBreak/>
        <w:t>Table 22</w:t>
      </w:r>
      <w:r w:rsidR="00CC0F16">
        <w:fldChar w:fldCharType="end"/>
      </w:r>
      <w:r w:rsidR="005B5818" w:rsidRPr="00C90DEA">
        <w:rPr>
          <w:szCs w:val="24"/>
          <w:lang w:val="en-AU"/>
        </w:rPr>
        <w:t xml:space="preserve"> shows how</w:t>
      </w:r>
      <w:r w:rsidR="005B5818">
        <w:rPr>
          <w:szCs w:val="24"/>
          <w:lang w:val="en-AU"/>
        </w:rPr>
        <w:t xml:space="preserve"> the resulting DCLs would change using this approach.</w:t>
      </w:r>
      <w:bookmarkStart w:id="201" w:name="_Ref391632776"/>
    </w:p>
    <w:p w14:paraId="7B0A2C5E" w14:textId="77777777" w:rsidR="005B5818" w:rsidRDefault="005B5818" w:rsidP="000E5B4A">
      <w:pPr>
        <w:pStyle w:val="Caption"/>
      </w:pPr>
      <w:bookmarkStart w:id="202" w:name="_Toc401061109"/>
      <w:r>
        <w:t xml:space="preserve">Table </w:t>
      </w:r>
      <w:r w:rsidR="005559F5">
        <w:fldChar w:fldCharType="begin"/>
      </w:r>
      <w:r>
        <w:instrText xml:space="preserve"> SEQ Table \* ARABIC </w:instrText>
      </w:r>
      <w:r w:rsidR="005559F5">
        <w:fldChar w:fldCharType="separate"/>
      </w:r>
      <w:r w:rsidR="0031717B">
        <w:rPr>
          <w:noProof/>
        </w:rPr>
        <w:t>22</w:t>
      </w:r>
      <w:r w:rsidR="005559F5">
        <w:fldChar w:fldCharType="end"/>
      </w:r>
      <w:bookmarkEnd w:id="201"/>
      <w:r>
        <w:t>: Illustration of resulting changes to DCLs if a half-difference method is used to update the DCL matrix</w:t>
      </w:r>
      <w:r w:rsidR="000E4FA5">
        <w:t>.</w:t>
      </w:r>
      <w:bookmarkEnd w:id="202"/>
    </w:p>
    <w:tbl>
      <w:tblPr>
        <w:tblStyle w:val="Style1"/>
        <w:tblW w:w="3402" w:type="dxa"/>
        <w:tblLook w:val="0460" w:firstRow="1" w:lastRow="1" w:firstColumn="0" w:lastColumn="0" w:noHBand="0" w:noVBand="1"/>
        <w:tblCaption w:val="Illustration of resulting changes to DCLs if a half-difference method is used to update the DCL matrix"/>
        <w:tblDescription w:val="The table has two columns: the first lists the change to DCL; and the second gives the percentage change to DCLs if a half-differnce method is used to update the DCL matrix."/>
      </w:tblPr>
      <w:tblGrid>
        <w:gridCol w:w="1701"/>
        <w:gridCol w:w="1701"/>
      </w:tblGrid>
      <w:tr w:rsidR="00E14BEC" w:rsidRPr="003D28FF" w14:paraId="2A170D32" w14:textId="77777777" w:rsidTr="007A28A7">
        <w:trPr>
          <w:cnfStyle w:val="100000000000" w:firstRow="1" w:lastRow="0" w:firstColumn="0" w:lastColumn="0" w:oddVBand="0" w:evenVBand="0" w:oddHBand="0" w:evenHBand="0" w:firstRowFirstColumn="0" w:firstRowLastColumn="0" w:lastRowFirstColumn="0" w:lastRowLastColumn="0"/>
          <w:trHeight w:val="300"/>
          <w:tblHeader/>
        </w:trPr>
        <w:tc>
          <w:tcPr>
            <w:tcW w:w="1701" w:type="dxa"/>
            <w:noWrap/>
            <w:hideMark/>
          </w:tcPr>
          <w:p w14:paraId="50551C17" w14:textId="77777777" w:rsidR="00E14BEC" w:rsidRPr="003D28FF" w:rsidRDefault="00E14BEC" w:rsidP="009D3B03">
            <w:pPr>
              <w:pStyle w:val="Table"/>
            </w:pPr>
            <w:r w:rsidRPr="003D28FF">
              <w:t>Change to DCL</w:t>
            </w:r>
          </w:p>
        </w:tc>
        <w:tc>
          <w:tcPr>
            <w:tcW w:w="1701" w:type="dxa"/>
            <w:noWrap/>
            <w:hideMark/>
          </w:tcPr>
          <w:p w14:paraId="6C2387A1" w14:textId="77777777" w:rsidR="00E14BEC" w:rsidRPr="003D28FF" w:rsidRDefault="00E14BEC" w:rsidP="009D3B03">
            <w:pPr>
              <w:pStyle w:val="Table"/>
            </w:pPr>
            <w:r w:rsidRPr="003D28FF">
              <w:t>%</w:t>
            </w:r>
          </w:p>
        </w:tc>
      </w:tr>
      <w:tr w:rsidR="00E14BEC" w:rsidRPr="003D28FF" w14:paraId="5352DB88" w14:textId="77777777" w:rsidTr="007A28A7">
        <w:trPr>
          <w:trHeight w:val="300"/>
        </w:trPr>
        <w:tc>
          <w:tcPr>
            <w:tcW w:w="1701" w:type="dxa"/>
            <w:noWrap/>
            <w:hideMark/>
          </w:tcPr>
          <w:p w14:paraId="51620B9C" w14:textId="77777777" w:rsidR="00E14BEC" w:rsidRPr="003D28FF" w:rsidRDefault="00E14BEC" w:rsidP="002F7E33">
            <w:pPr>
              <w:pStyle w:val="Table"/>
              <w:keepNext/>
            </w:pPr>
            <w:r w:rsidRPr="003D28FF">
              <w:t>-2</w:t>
            </w:r>
          </w:p>
        </w:tc>
        <w:tc>
          <w:tcPr>
            <w:tcW w:w="1701" w:type="dxa"/>
            <w:noWrap/>
            <w:hideMark/>
          </w:tcPr>
          <w:p w14:paraId="39642E59" w14:textId="77777777" w:rsidR="00E14BEC" w:rsidRPr="003D28FF" w:rsidRDefault="00E14BEC">
            <w:pPr>
              <w:pStyle w:val="TableNumber"/>
            </w:pPr>
            <w:r w:rsidRPr="003D28FF">
              <w:t>0.04%</w:t>
            </w:r>
          </w:p>
        </w:tc>
      </w:tr>
      <w:tr w:rsidR="00E14BEC" w:rsidRPr="003D28FF" w14:paraId="2C8D9DAB" w14:textId="77777777" w:rsidTr="007A28A7">
        <w:trPr>
          <w:trHeight w:val="300"/>
        </w:trPr>
        <w:tc>
          <w:tcPr>
            <w:tcW w:w="1701" w:type="dxa"/>
            <w:noWrap/>
            <w:hideMark/>
          </w:tcPr>
          <w:p w14:paraId="2CBCCA06" w14:textId="77777777" w:rsidR="00E14BEC" w:rsidRPr="003D28FF" w:rsidRDefault="00E14BEC" w:rsidP="002F7E33">
            <w:pPr>
              <w:pStyle w:val="Table"/>
              <w:keepNext/>
            </w:pPr>
            <w:r w:rsidRPr="003D28FF">
              <w:t>-1</w:t>
            </w:r>
          </w:p>
        </w:tc>
        <w:tc>
          <w:tcPr>
            <w:tcW w:w="1701" w:type="dxa"/>
            <w:noWrap/>
            <w:hideMark/>
          </w:tcPr>
          <w:p w14:paraId="619F04F2" w14:textId="77777777" w:rsidR="00E14BEC" w:rsidRPr="003D28FF" w:rsidRDefault="00E14BEC">
            <w:pPr>
              <w:pStyle w:val="TableNumber"/>
            </w:pPr>
            <w:r w:rsidRPr="003D28FF">
              <w:t>0.69%</w:t>
            </w:r>
          </w:p>
        </w:tc>
      </w:tr>
      <w:tr w:rsidR="00E14BEC" w:rsidRPr="003D28FF" w14:paraId="0948AC9D" w14:textId="77777777" w:rsidTr="007A28A7">
        <w:trPr>
          <w:trHeight w:val="300"/>
        </w:trPr>
        <w:tc>
          <w:tcPr>
            <w:tcW w:w="1701" w:type="dxa"/>
            <w:noWrap/>
            <w:hideMark/>
          </w:tcPr>
          <w:p w14:paraId="4FE67639" w14:textId="77777777" w:rsidR="00E14BEC" w:rsidRPr="003D28FF" w:rsidRDefault="00E14BEC" w:rsidP="002F7E33">
            <w:pPr>
              <w:pStyle w:val="Table"/>
              <w:keepNext/>
            </w:pPr>
            <w:r w:rsidRPr="003D28FF">
              <w:t>0</w:t>
            </w:r>
          </w:p>
        </w:tc>
        <w:tc>
          <w:tcPr>
            <w:tcW w:w="1701" w:type="dxa"/>
            <w:noWrap/>
            <w:hideMark/>
          </w:tcPr>
          <w:p w14:paraId="57523F06" w14:textId="77777777" w:rsidR="00E14BEC" w:rsidRPr="003D28FF" w:rsidRDefault="00E14BEC">
            <w:pPr>
              <w:pStyle w:val="TableNumber"/>
            </w:pPr>
            <w:r w:rsidRPr="003D28FF">
              <w:t>98.53%</w:t>
            </w:r>
          </w:p>
        </w:tc>
      </w:tr>
      <w:tr w:rsidR="00E14BEC" w:rsidRPr="003D28FF" w14:paraId="033B6CA8" w14:textId="77777777" w:rsidTr="007A28A7">
        <w:trPr>
          <w:trHeight w:val="300"/>
        </w:trPr>
        <w:tc>
          <w:tcPr>
            <w:tcW w:w="1701" w:type="dxa"/>
            <w:noWrap/>
            <w:hideMark/>
          </w:tcPr>
          <w:p w14:paraId="4412B7EF" w14:textId="77777777" w:rsidR="00E14BEC" w:rsidRPr="003D28FF" w:rsidRDefault="00E14BEC" w:rsidP="002F7E33">
            <w:pPr>
              <w:pStyle w:val="Table"/>
              <w:keepNext/>
            </w:pPr>
            <w:r w:rsidRPr="003D28FF">
              <w:t>1</w:t>
            </w:r>
          </w:p>
        </w:tc>
        <w:tc>
          <w:tcPr>
            <w:tcW w:w="1701" w:type="dxa"/>
            <w:noWrap/>
            <w:hideMark/>
          </w:tcPr>
          <w:p w14:paraId="1D272ECF" w14:textId="77777777" w:rsidR="00E14BEC" w:rsidRPr="003D28FF" w:rsidRDefault="00E14BEC">
            <w:pPr>
              <w:pStyle w:val="TableNumber"/>
            </w:pPr>
            <w:r w:rsidRPr="003D28FF">
              <w:t>0.71%</w:t>
            </w:r>
          </w:p>
        </w:tc>
      </w:tr>
      <w:tr w:rsidR="00E14BEC" w:rsidRPr="003D28FF" w14:paraId="50582E82" w14:textId="77777777" w:rsidTr="007A28A7">
        <w:trPr>
          <w:trHeight w:val="300"/>
        </w:trPr>
        <w:tc>
          <w:tcPr>
            <w:tcW w:w="1701" w:type="dxa"/>
            <w:noWrap/>
            <w:hideMark/>
          </w:tcPr>
          <w:p w14:paraId="19C41804" w14:textId="77777777" w:rsidR="00E14BEC" w:rsidRPr="003D28FF" w:rsidRDefault="00E14BEC" w:rsidP="002F7E33">
            <w:pPr>
              <w:pStyle w:val="Table"/>
              <w:keepNext/>
            </w:pPr>
            <w:r w:rsidRPr="003D28FF">
              <w:t>2</w:t>
            </w:r>
          </w:p>
        </w:tc>
        <w:tc>
          <w:tcPr>
            <w:tcW w:w="1701" w:type="dxa"/>
            <w:noWrap/>
            <w:hideMark/>
          </w:tcPr>
          <w:p w14:paraId="12DA00AA" w14:textId="77777777" w:rsidR="00E14BEC" w:rsidRPr="003D28FF" w:rsidRDefault="00E14BEC">
            <w:pPr>
              <w:pStyle w:val="TableNumber"/>
            </w:pPr>
            <w:r w:rsidRPr="003D28FF">
              <w:t>0.04%</w:t>
            </w:r>
          </w:p>
        </w:tc>
      </w:tr>
      <w:tr w:rsidR="00E14BEC" w:rsidRPr="003D28FF" w14:paraId="1BC25139" w14:textId="77777777" w:rsidTr="007A28A7">
        <w:trPr>
          <w:cnfStyle w:val="010000000000" w:firstRow="0" w:lastRow="1" w:firstColumn="0" w:lastColumn="0" w:oddVBand="0" w:evenVBand="0" w:oddHBand="0" w:evenHBand="0" w:firstRowFirstColumn="0" w:firstRowLastColumn="0" w:lastRowFirstColumn="0" w:lastRowLastColumn="0"/>
          <w:trHeight w:val="300"/>
        </w:trPr>
        <w:tc>
          <w:tcPr>
            <w:tcW w:w="1701" w:type="dxa"/>
            <w:noWrap/>
            <w:hideMark/>
          </w:tcPr>
          <w:p w14:paraId="61FD0645" w14:textId="77777777" w:rsidR="00E14BEC" w:rsidRPr="009D3B03" w:rsidRDefault="00E14BEC" w:rsidP="009D3B03">
            <w:pPr>
              <w:pStyle w:val="Table"/>
              <w:rPr>
                <w:b/>
              </w:rPr>
            </w:pPr>
            <w:r w:rsidRPr="009D3B03">
              <w:rPr>
                <w:b/>
              </w:rPr>
              <w:t>TOTAL</w:t>
            </w:r>
          </w:p>
        </w:tc>
        <w:tc>
          <w:tcPr>
            <w:tcW w:w="1701" w:type="dxa"/>
            <w:noWrap/>
            <w:hideMark/>
          </w:tcPr>
          <w:p w14:paraId="42E66520" w14:textId="77777777" w:rsidR="00E14BEC" w:rsidRPr="009D3B03" w:rsidRDefault="00E14BEC" w:rsidP="009D3B03">
            <w:pPr>
              <w:pStyle w:val="TableNumber"/>
              <w:rPr>
                <w:b/>
              </w:rPr>
            </w:pPr>
            <w:r w:rsidRPr="009D3B03">
              <w:rPr>
                <w:b/>
              </w:rPr>
              <w:t>100.00%</w:t>
            </w:r>
          </w:p>
        </w:tc>
      </w:tr>
    </w:tbl>
    <w:p w14:paraId="08B2ADF5" w14:textId="77777777" w:rsidR="005B5818" w:rsidRDefault="00E14BEC" w:rsidP="00BA02D0">
      <w:pPr>
        <w:spacing w:before="240"/>
        <w:rPr>
          <w:szCs w:val="24"/>
          <w:lang w:val="en-AU"/>
        </w:rPr>
      </w:pPr>
      <w:r>
        <w:rPr>
          <w:szCs w:val="24"/>
          <w:lang w:val="en-AU"/>
        </w:rPr>
        <w:t xml:space="preserve">In summary, a technique of halving differences could be used to increase the stability of DCLs when updating the ECC Model as new data becomes available. </w:t>
      </w:r>
    </w:p>
    <w:p w14:paraId="49C856F6" w14:textId="77777777" w:rsidR="00B53CA7" w:rsidRPr="003B2F85" w:rsidRDefault="00B53CA7" w:rsidP="003B2F85">
      <w:pPr>
        <w:pBdr>
          <w:top w:val="single" w:sz="4" w:space="1" w:color="auto"/>
          <w:left w:val="single" w:sz="4" w:space="4" w:color="auto"/>
          <w:bottom w:val="single" w:sz="4" w:space="1" w:color="auto"/>
          <w:right w:val="single" w:sz="4" w:space="4" w:color="auto"/>
        </w:pBdr>
        <w:shd w:val="clear" w:color="auto" w:fill="DBE5F1" w:themeFill="accent1" w:themeFillTint="33"/>
        <w:rPr>
          <w:i/>
          <w:szCs w:val="24"/>
        </w:rPr>
      </w:pPr>
      <w:r w:rsidRPr="003B2F85">
        <w:rPr>
          <w:b/>
          <w:i/>
          <w:color w:val="1F497D" w:themeColor="text2"/>
          <w:szCs w:val="24"/>
        </w:rPr>
        <w:t xml:space="preserve">Key </w:t>
      </w:r>
      <w:r w:rsidR="00600595">
        <w:rPr>
          <w:b/>
          <w:i/>
          <w:color w:val="1F497D" w:themeColor="text2"/>
          <w:szCs w:val="24"/>
        </w:rPr>
        <w:t>F</w:t>
      </w:r>
      <w:r w:rsidRPr="003B2F85">
        <w:rPr>
          <w:b/>
          <w:i/>
          <w:color w:val="1F497D" w:themeColor="text2"/>
          <w:szCs w:val="24"/>
        </w:rPr>
        <w:t>inding 1</w:t>
      </w:r>
      <w:r w:rsidR="00FA7F1B">
        <w:rPr>
          <w:b/>
          <w:i/>
          <w:color w:val="1F497D" w:themeColor="text2"/>
          <w:szCs w:val="24"/>
        </w:rPr>
        <w:t>0</w:t>
      </w:r>
    </w:p>
    <w:p w14:paraId="25BCF5BC" w14:textId="77777777" w:rsidR="00B53CA7" w:rsidRPr="003B2F85" w:rsidRDefault="002A7A97" w:rsidP="003B2F85">
      <w:pPr>
        <w:pBdr>
          <w:top w:val="single" w:sz="4" w:space="1" w:color="auto"/>
          <w:left w:val="single" w:sz="4" w:space="4" w:color="auto"/>
          <w:bottom w:val="single" w:sz="4" w:space="1" w:color="auto"/>
          <w:right w:val="single" w:sz="4" w:space="4" w:color="auto"/>
        </w:pBdr>
        <w:shd w:val="clear" w:color="auto" w:fill="DBE5F1" w:themeFill="accent1" w:themeFillTint="33"/>
        <w:rPr>
          <w:i/>
          <w:szCs w:val="24"/>
        </w:rPr>
      </w:pPr>
      <w:r w:rsidRPr="002A7A97">
        <w:rPr>
          <w:i/>
          <w:szCs w:val="24"/>
        </w:rPr>
        <w:t>Changes in clinical care and improvements in data quality over time were identified as necessitating the ongoing evaluation and review of the ECC Model to ensure it is best suited to its proposed role in the AR-DRG classification.</w:t>
      </w:r>
    </w:p>
    <w:p w14:paraId="5D2BE305" w14:textId="77777777" w:rsidR="00B53CA7" w:rsidRPr="004C022D" w:rsidRDefault="00B53CA7" w:rsidP="00721499">
      <w:pPr>
        <w:spacing w:before="0" w:after="0" w:line="240" w:lineRule="auto"/>
        <w:rPr>
          <w:szCs w:val="24"/>
        </w:rPr>
      </w:pPr>
    </w:p>
    <w:p w14:paraId="77B119B8" w14:textId="77777777" w:rsidR="00B53CA7" w:rsidRPr="00721499" w:rsidRDefault="00B53CA7" w:rsidP="00721499">
      <w:pPr>
        <w:pStyle w:val="Recommendation"/>
        <w:rPr>
          <w:b/>
          <w:color w:val="1F497D" w:themeColor="text2"/>
        </w:rPr>
      </w:pPr>
      <w:r w:rsidRPr="00721499">
        <w:rPr>
          <w:b/>
          <w:color w:val="1F497D" w:themeColor="text2"/>
        </w:rPr>
        <w:t xml:space="preserve">Recommendation </w:t>
      </w:r>
      <w:r w:rsidR="00FA7F1B" w:rsidRPr="00721499">
        <w:rPr>
          <w:b/>
          <w:color w:val="1F497D" w:themeColor="text2"/>
        </w:rPr>
        <w:t>9</w:t>
      </w:r>
    </w:p>
    <w:p w14:paraId="60349F0E" w14:textId="77777777" w:rsidR="005B5818" w:rsidRPr="002506C3" w:rsidRDefault="002A7A97" w:rsidP="00721499">
      <w:pPr>
        <w:pStyle w:val="Recommendation"/>
      </w:pPr>
      <w:r w:rsidRPr="002A7A97">
        <w:t>Based on Key Finding 1</w:t>
      </w:r>
      <w:r w:rsidR="00FA7F1B">
        <w:t>0</w:t>
      </w:r>
      <w:r w:rsidRPr="002A7A97">
        <w:t>, ACCD in consultation with the DTG and CCAG recommends that an ongoing and systematic approach be taken to evaluat</w:t>
      </w:r>
      <w:r w:rsidR="009F39A1">
        <w:t>e</w:t>
      </w:r>
      <w:r w:rsidRPr="002A7A97">
        <w:t xml:space="preserve"> and refine the ECC Model as part of the broader AR-DRG refinement process</w:t>
      </w:r>
      <w:r>
        <w:t>.</w:t>
      </w:r>
    </w:p>
    <w:p w14:paraId="5DC6B5A0" w14:textId="77777777" w:rsidR="005B5818" w:rsidRPr="00396677" w:rsidRDefault="005B5818" w:rsidP="00B60372">
      <w:pPr>
        <w:pStyle w:val="Heading2"/>
      </w:pPr>
      <w:bookmarkStart w:id="203" w:name="_Conclusion"/>
      <w:bookmarkStart w:id="204" w:name="Conclusion"/>
      <w:bookmarkStart w:id="205" w:name="_Toc401061049"/>
      <w:bookmarkEnd w:id="203"/>
      <w:r w:rsidRPr="00824132">
        <w:lastRenderedPageBreak/>
        <w:t>Conclusion</w:t>
      </w:r>
      <w:bookmarkEnd w:id="204"/>
      <w:bookmarkEnd w:id="205"/>
    </w:p>
    <w:p w14:paraId="2B32974A" w14:textId="77777777" w:rsidR="00AE76E2" w:rsidRDefault="005B5818" w:rsidP="005B5818">
      <w:pPr>
        <w:rPr>
          <w:szCs w:val="24"/>
          <w:lang w:val="en-AU"/>
        </w:rPr>
      </w:pPr>
      <w:r w:rsidRPr="00671CB8">
        <w:rPr>
          <w:szCs w:val="24"/>
          <w:lang w:val="en-AU"/>
        </w:rPr>
        <w:t xml:space="preserve">As part of the groundwork for the development of AR-DRG V8.0 and future AR-DRG versions, ACCD </w:t>
      </w:r>
      <w:r w:rsidR="003B2F85">
        <w:rPr>
          <w:szCs w:val="24"/>
          <w:lang w:val="en-AU"/>
        </w:rPr>
        <w:t>undertook</w:t>
      </w:r>
      <w:r w:rsidRPr="00671CB8">
        <w:rPr>
          <w:szCs w:val="24"/>
          <w:lang w:val="en-AU"/>
        </w:rPr>
        <w:t xml:space="preserve"> a significant and timely portion of refinement within the AR-DRG classification component of its work program.</w:t>
      </w:r>
      <w:r w:rsidR="00345851">
        <w:rPr>
          <w:szCs w:val="24"/>
          <w:lang w:val="en-AU"/>
        </w:rPr>
        <w:t xml:space="preserve"> </w:t>
      </w:r>
      <w:r w:rsidRPr="00671CB8">
        <w:rPr>
          <w:szCs w:val="24"/>
          <w:lang w:val="en-AU"/>
        </w:rPr>
        <w:t xml:space="preserve">Given the elapse of time since the introduction of case complexity processing in AR-DRG V4.0, a review of the system </w:t>
      </w:r>
      <w:r w:rsidR="003B2F85">
        <w:rPr>
          <w:szCs w:val="24"/>
          <w:lang w:val="en-AU"/>
        </w:rPr>
        <w:t>was</w:t>
      </w:r>
      <w:r w:rsidRPr="00671CB8">
        <w:rPr>
          <w:szCs w:val="24"/>
          <w:lang w:val="en-AU"/>
        </w:rPr>
        <w:t xml:space="preserve"> appropriate. In some cases there have been significant changes in clinical practice (e.g. reducing </w:t>
      </w:r>
      <w:r w:rsidR="00C45D3F">
        <w:rPr>
          <w:szCs w:val="24"/>
          <w:lang w:val="en-AU"/>
        </w:rPr>
        <w:t>LOS</w:t>
      </w:r>
      <w:r w:rsidRPr="00671CB8">
        <w:rPr>
          <w:szCs w:val="24"/>
          <w:lang w:val="en-AU"/>
        </w:rPr>
        <w:t>).</w:t>
      </w:r>
      <w:r w:rsidR="00345851">
        <w:rPr>
          <w:szCs w:val="24"/>
          <w:lang w:val="en-AU"/>
        </w:rPr>
        <w:t xml:space="preserve"> </w:t>
      </w:r>
      <w:r w:rsidRPr="00671CB8">
        <w:rPr>
          <w:szCs w:val="24"/>
          <w:lang w:val="en-AU"/>
        </w:rPr>
        <w:t xml:space="preserve">Further, the availability of patient level data and associated cost information is much improved, and the computing capacity to analyse the available data is now far </w:t>
      </w:r>
      <w:r w:rsidR="00721499" w:rsidRPr="00671CB8">
        <w:rPr>
          <w:szCs w:val="24"/>
          <w:lang w:val="en-AU"/>
        </w:rPr>
        <w:t xml:space="preserve">superior </w:t>
      </w:r>
      <w:r w:rsidR="00721499">
        <w:rPr>
          <w:szCs w:val="24"/>
          <w:lang w:val="en-AU"/>
        </w:rPr>
        <w:t>to</w:t>
      </w:r>
      <w:r w:rsidRPr="00671CB8">
        <w:rPr>
          <w:szCs w:val="24"/>
          <w:lang w:val="en-AU"/>
        </w:rPr>
        <w:t xml:space="preserve"> the 1990s.</w:t>
      </w:r>
    </w:p>
    <w:p w14:paraId="4EE2B565" w14:textId="77777777" w:rsidR="005B5818" w:rsidRPr="00671CB8" w:rsidRDefault="00AE76E2" w:rsidP="005B5818">
      <w:pPr>
        <w:rPr>
          <w:szCs w:val="24"/>
          <w:lang w:val="en-AU"/>
        </w:rPr>
      </w:pPr>
      <w:r w:rsidRPr="00AE76E2">
        <w:rPr>
          <w:szCs w:val="24"/>
          <w:lang w:val="en-AU"/>
        </w:rPr>
        <w:t>During the course of the project, ACCD worked closely with both the DTG and CCAG in developing the proposed methodology for the ECC Model. A DTG subgroup of clinical and classification experts from the ACCD and the DTG reviewed and formalised guiding principles for the scope of the DCL (including unconditional and conditional exclusions) within the ECC Model.</w:t>
      </w:r>
      <w:r>
        <w:rPr>
          <w:szCs w:val="24"/>
          <w:lang w:val="en-AU"/>
        </w:rPr>
        <w:t xml:space="preserve"> </w:t>
      </w:r>
      <w:r w:rsidR="005B5818">
        <w:rPr>
          <w:szCs w:val="24"/>
          <w:lang w:val="en-AU"/>
        </w:rPr>
        <w:t xml:space="preserve">The project evolved sequentially with </w:t>
      </w:r>
      <w:r>
        <w:rPr>
          <w:szCs w:val="24"/>
          <w:lang w:val="en-AU"/>
        </w:rPr>
        <w:t xml:space="preserve">a number of </w:t>
      </w:r>
      <w:r w:rsidR="005B5818">
        <w:rPr>
          <w:szCs w:val="24"/>
          <w:lang w:val="en-AU"/>
        </w:rPr>
        <w:t>steps undertaken to ensure its success.</w:t>
      </w:r>
    </w:p>
    <w:p w14:paraId="6A55B06A" w14:textId="77777777" w:rsidR="005B5818" w:rsidRDefault="005B5818" w:rsidP="005B5818">
      <w:pPr>
        <w:rPr>
          <w:szCs w:val="24"/>
          <w:lang w:val="en-AU"/>
        </w:rPr>
      </w:pPr>
      <w:r w:rsidRPr="00671CB8">
        <w:rPr>
          <w:szCs w:val="24"/>
          <w:lang w:val="en-AU"/>
        </w:rPr>
        <w:t xml:space="preserve">A literature review and consultative process </w:t>
      </w:r>
      <w:r w:rsidR="00AE76E2">
        <w:rPr>
          <w:szCs w:val="24"/>
          <w:lang w:val="en-AU"/>
        </w:rPr>
        <w:t xml:space="preserve">in the initial stages </w:t>
      </w:r>
      <w:r w:rsidRPr="00671CB8">
        <w:rPr>
          <w:szCs w:val="24"/>
          <w:lang w:val="en-AU"/>
        </w:rPr>
        <w:t xml:space="preserve">revealed that detailed information on the formal (i.e. theoretical) development of diagnosis level (CCLs) and episode level (PCCL) case complexity measures was lacking. </w:t>
      </w:r>
      <w:r w:rsidRPr="00404749">
        <w:rPr>
          <w:szCs w:val="24"/>
          <w:lang w:val="en-AU"/>
        </w:rPr>
        <w:t>Much of the earlier work on assessing CCs was based upon the extent to which LOS was increased, rather than costs.</w:t>
      </w:r>
      <w:r w:rsidR="00345851">
        <w:rPr>
          <w:szCs w:val="24"/>
          <w:lang w:val="en-AU"/>
        </w:rPr>
        <w:t xml:space="preserve"> </w:t>
      </w:r>
      <w:r w:rsidRPr="00404749">
        <w:rPr>
          <w:szCs w:val="24"/>
          <w:lang w:val="en-AU"/>
        </w:rPr>
        <w:t>With the increased use of same day admissions the utility of LOS in describing cost differences is reducing.</w:t>
      </w:r>
    </w:p>
    <w:p w14:paraId="745DD2B5" w14:textId="77777777" w:rsidR="005B5818" w:rsidRDefault="005B5818" w:rsidP="005B5818">
      <w:pPr>
        <w:rPr>
          <w:szCs w:val="24"/>
          <w:lang w:val="en-AU"/>
        </w:rPr>
      </w:pPr>
      <w:r w:rsidRPr="00404749">
        <w:rPr>
          <w:szCs w:val="24"/>
          <w:lang w:val="en-AU"/>
        </w:rPr>
        <w:t>In light of the lack of consensus on how increased case complexity may be best measured</w:t>
      </w:r>
      <w:r>
        <w:rPr>
          <w:szCs w:val="24"/>
          <w:lang w:val="en-AU"/>
        </w:rPr>
        <w:t>,</w:t>
      </w:r>
      <w:r w:rsidRPr="00404749">
        <w:rPr>
          <w:szCs w:val="24"/>
          <w:lang w:val="en-AU"/>
        </w:rPr>
        <w:t xml:space="preserve"> </w:t>
      </w:r>
      <w:r w:rsidRPr="00671CB8">
        <w:rPr>
          <w:szCs w:val="24"/>
          <w:lang w:val="en-AU"/>
        </w:rPr>
        <w:t>ACCD determined that the revision of the current PCCL mechanism would require a sound conceptual basis and the use of robust statistical methods to ensure confidence in the resultant improvements to the current system. These underpinning principles guided the approach taken during this review.</w:t>
      </w:r>
    </w:p>
    <w:p w14:paraId="4E6961CA" w14:textId="77777777" w:rsidR="005B5818" w:rsidRDefault="00AE76E2" w:rsidP="005B5818">
      <w:pPr>
        <w:rPr>
          <w:szCs w:val="24"/>
          <w:lang w:val="en-AU"/>
        </w:rPr>
      </w:pPr>
      <w:r>
        <w:rPr>
          <w:szCs w:val="24"/>
          <w:lang w:val="en-AU"/>
        </w:rPr>
        <w:t>During the exploratory stage, a</w:t>
      </w:r>
      <w:r w:rsidR="005B5818" w:rsidRPr="00671CB8">
        <w:rPr>
          <w:szCs w:val="24"/>
          <w:lang w:val="en-AU"/>
        </w:rPr>
        <w:t xml:space="preserve"> thorough evidence-based review of PCCL was undertaken </w:t>
      </w:r>
      <w:r w:rsidR="005B5818">
        <w:rPr>
          <w:szCs w:val="24"/>
          <w:lang w:val="en-AU"/>
        </w:rPr>
        <w:t>drawing from an available</w:t>
      </w:r>
      <w:r w:rsidR="005B5818" w:rsidRPr="00671CB8">
        <w:rPr>
          <w:szCs w:val="24"/>
          <w:lang w:val="en-AU"/>
        </w:rPr>
        <w:t xml:space="preserve"> six years of patient level cost and activity data from 2006-07 to </w:t>
      </w:r>
      <w:r w:rsidR="005B5818" w:rsidRPr="00671CB8">
        <w:rPr>
          <w:szCs w:val="24"/>
          <w:lang w:val="en-AU"/>
        </w:rPr>
        <w:lastRenderedPageBreak/>
        <w:t>2011-12, with cost data from the most recent three years being used for in depth study of diagnosis (CCL) and episode level complexity (PCCL).</w:t>
      </w:r>
    </w:p>
    <w:p w14:paraId="3BD95BEC" w14:textId="77777777" w:rsidR="005B5818" w:rsidRDefault="005B5818" w:rsidP="005B5818">
      <w:pPr>
        <w:rPr>
          <w:szCs w:val="24"/>
          <w:lang w:val="en-AU"/>
        </w:rPr>
      </w:pPr>
      <w:r>
        <w:rPr>
          <w:szCs w:val="24"/>
          <w:lang w:val="en-AU"/>
        </w:rPr>
        <w:t>In the first instance, c</w:t>
      </w:r>
      <w:r w:rsidRPr="00671CB8">
        <w:rPr>
          <w:szCs w:val="24"/>
          <w:lang w:val="en-AU"/>
        </w:rPr>
        <w:t xml:space="preserve">ost profiles of ADRGs and diagnoses were used to test </w:t>
      </w:r>
      <w:r w:rsidR="00C45D3F">
        <w:rPr>
          <w:szCs w:val="24"/>
          <w:lang w:val="en-AU"/>
        </w:rPr>
        <w:t xml:space="preserve">the </w:t>
      </w:r>
      <w:r w:rsidRPr="00671CB8">
        <w:rPr>
          <w:szCs w:val="24"/>
          <w:lang w:val="en-AU"/>
        </w:rPr>
        <w:t>validity of CCLs as a predictor o</w:t>
      </w:r>
      <w:r>
        <w:rPr>
          <w:szCs w:val="24"/>
          <w:lang w:val="en-AU"/>
        </w:rPr>
        <w:t xml:space="preserve">f cost at the diagnosis level. This exploratory stage revealed that </w:t>
      </w:r>
      <w:r w:rsidRPr="00671CB8">
        <w:rPr>
          <w:szCs w:val="24"/>
          <w:lang w:val="en-AU"/>
        </w:rPr>
        <w:t>CCLs were shown to have very little (if any) correlation with cost.</w:t>
      </w:r>
    </w:p>
    <w:p w14:paraId="1CA848E6" w14:textId="77777777" w:rsidR="005B5818" w:rsidRDefault="005B5818" w:rsidP="005B5818">
      <w:pPr>
        <w:rPr>
          <w:szCs w:val="24"/>
          <w:lang w:val="en-AU"/>
        </w:rPr>
      </w:pPr>
      <w:r>
        <w:rPr>
          <w:szCs w:val="24"/>
          <w:lang w:val="en-AU"/>
        </w:rPr>
        <w:t>Following the exploratory stage, a</w:t>
      </w:r>
      <w:r w:rsidRPr="00671CB8">
        <w:rPr>
          <w:szCs w:val="24"/>
          <w:lang w:val="en-AU"/>
        </w:rPr>
        <w:t xml:space="preserve"> conceptually based, formally derived and data driven </w:t>
      </w:r>
      <w:r>
        <w:rPr>
          <w:szCs w:val="24"/>
          <w:lang w:val="en-AU"/>
        </w:rPr>
        <w:t>ECC</w:t>
      </w:r>
      <w:r w:rsidRPr="00671CB8">
        <w:rPr>
          <w:szCs w:val="24"/>
          <w:lang w:val="en-AU"/>
        </w:rPr>
        <w:t xml:space="preserve"> Model was developed</w:t>
      </w:r>
      <w:r>
        <w:rPr>
          <w:szCs w:val="24"/>
          <w:lang w:val="en-AU"/>
        </w:rPr>
        <w:t xml:space="preserve"> which included a DCL </w:t>
      </w:r>
      <w:r w:rsidRPr="007E58B8">
        <w:rPr>
          <w:szCs w:val="24"/>
          <w:lang w:val="en-AU"/>
        </w:rPr>
        <w:t>that measures relative costs associated with each diagnosis in the context of each ADRG; and</w:t>
      </w:r>
      <w:r>
        <w:rPr>
          <w:szCs w:val="24"/>
          <w:lang w:val="en-AU"/>
        </w:rPr>
        <w:t xml:space="preserve"> a</w:t>
      </w:r>
      <w:r w:rsidRPr="007E58B8">
        <w:rPr>
          <w:szCs w:val="24"/>
          <w:lang w:val="en-AU"/>
        </w:rPr>
        <w:t xml:space="preserve">n </w:t>
      </w:r>
      <w:r>
        <w:rPr>
          <w:szCs w:val="24"/>
          <w:lang w:val="en-AU"/>
        </w:rPr>
        <w:t>ECCS</w:t>
      </w:r>
      <w:r w:rsidRPr="007E58B8">
        <w:rPr>
          <w:szCs w:val="24"/>
          <w:lang w:val="en-AU"/>
        </w:rPr>
        <w:t xml:space="preserve"> that measures relative costs associated with each episode based on the DCLs of the diagnoses present </w:t>
      </w:r>
      <w:r>
        <w:rPr>
          <w:szCs w:val="24"/>
          <w:lang w:val="en-AU"/>
        </w:rPr>
        <w:t xml:space="preserve">in </w:t>
      </w:r>
      <w:r w:rsidRPr="007E58B8">
        <w:rPr>
          <w:szCs w:val="24"/>
          <w:lang w:val="en-AU"/>
        </w:rPr>
        <w:t>the episode.</w:t>
      </w:r>
    </w:p>
    <w:p w14:paraId="7F016310" w14:textId="77777777" w:rsidR="002553C0" w:rsidRDefault="005B5818" w:rsidP="005B5818">
      <w:pPr>
        <w:rPr>
          <w:szCs w:val="24"/>
          <w:lang w:val="en-AU"/>
        </w:rPr>
      </w:pPr>
      <w:r w:rsidRPr="007E58B8">
        <w:rPr>
          <w:szCs w:val="24"/>
          <w:lang w:val="en-AU"/>
        </w:rPr>
        <w:t xml:space="preserve">DCLs </w:t>
      </w:r>
      <w:r w:rsidR="00CD3A79">
        <w:rPr>
          <w:szCs w:val="24"/>
          <w:lang w:val="en-AU"/>
        </w:rPr>
        <w:t>were</w:t>
      </w:r>
      <w:r>
        <w:rPr>
          <w:szCs w:val="24"/>
          <w:lang w:val="en-AU"/>
        </w:rPr>
        <w:t xml:space="preserve"> </w:t>
      </w:r>
      <w:r w:rsidRPr="007E58B8">
        <w:rPr>
          <w:szCs w:val="24"/>
          <w:lang w:val="en-AU"/>
        </w:rPr>
        <w:t xml:space="preserve">designed to align optimally with diagnosis cost profiles and </w:t>
      </w:r>
      <w:r w:rsidR="00C45D3F">
        <w:rPr>
          <w:szCs w:val="24"/>
          <w:lang w:val="en-AU"/>
        </w:rPr>
        <w:t>showed</w:t>
      </w:r>
      <w:r w:rsidRPr="007E58B8">
        <w:rPr>
          <w:szCs w:val="24"/>
          <w:lang w:val="en-AU"/>
        </w:rPr>
        <w:t xml:space="preserve"> significantly higher correlation with costs compared to CCLs.</w:t>
      </w:r>
    </w:p>
    <w:p w14:paraId="73424FE6" w14:textId="77777777" w:rsidR="005B5818" w:rsidRDefault="005B5818" w:rsidP="005B5818">
      <w:pPr>
        <w:rPr>
          <w:szCs w:val="24"/>
          <w:lang w:val="en-AU"/>
        </w:rPr>
      </w:pPr>
      <w:r>
        <w:rPr>
          <w:szCs w:val="24"/>
          <w:lang w:val="en-AU"/>
        </w:rPr>
        <w:t>The ECC M</w:t>
      </w:r>
      <w:r w:rsidRPr="00321683">
        <w:rPr>
          <w:szCs w:val="24"/>
          <w:lang w:val="en-AU"/>
        </w:rPr>
        <w:t>odel differs substantially from the approach originally taken in AR-DRG V4.0.</w:t>
      </w:r>
      <w:r>
        <w:rPr>
          <w:szCs w:val="24"/>
          <w:lang w:val="en-AU"/>
        </w:rPr>
        <w:t xml:space="preserve"> </w:t>
      </w:r>
      <w:r w:rsidR="003B6604">
        <w:rPr>
          <w:szCs w:val="24"/>
          <w:lang w:val="en-AU"/>
        </w:rPr>
        <w:t xml:space="preserve">Firstly, </w:t>
      </w:r>
      <w:r>
        <w:rPr>
          <w:szCs w:val="24"/>
          <w:lang w:val="en-AU"/>
        </w:rPr>
        <w:t xml:space="preserve">ACCD developed clearly defined guiding principles </w:t>
      </w:r>
      <w:r w:rsidRPr="009272EE">
        <w:rPr>
          <w:szCs w:val="24"/>
          <w:lang w:val="en-AU"/>
        </w:rPr>
        <w:t xml:space="preserve">to characterise the scope of the ECC </w:t>
      </w:r>
      <w:r w:rsidR="003B6604">
        <w:rPr>
          <w:szCs w:val="24"/>
          <w:lang w:val="en-AU"/>
        </w:rPr>
        <w:t>M</w:t>
      </w:r>
      <w:r w:rsidRPr="009272EE">
        <w:rPr>
          <w:szCs w:val="24"/>
          <w:lang w:val="en-AU"/>
        </w:rPr>
        <w:t>odel in terms of diagnoses considered relevant for DRG classification purposes</w:t>
      </w:r>
      <w:r>
        <w:rPr>
          <w:szCs w:val="24"/>
          <w:lang w:val="en-AU"/>
        </w:rPr>
        <w:t>.</w:t>
      </w:r>
      <w:r w:rsidR="003B6604">
        <w:rPr>
          <w:szCs w:val="24"/>
          <w:lang w:val="en-AU"/>
        </w:rPr>
        <w:t xml:space="preserve"> Secondly, t</w:t>
      </w:r>
      <w:r>
        <w:rPr>
          <w:szCs w:val="24"/>
          <w:lang w:val="en-AU"/>
        </w:rPr>
        <w:t xml:space="preserve">he </w:t>
      </w:r>
      <w:r w:rsidRPr="009272EE">
        <w:rPr>
          <w:szCs w:val="24"/>
          <w:lang w:val="en-AU"/>
        </w:rPr>
        <w:t xml:space="preserve">assignment of DCLs to selected diagnoses including the </w:t>
      </w:r>
      <w:proofErr w:type="spellStart"/>
      <w:r w:rsidRPr="009272EE">
        <w:rPr>
          <w:szCs w:val="24"/>
          <w:lang w:val="en-AU"/>
        </w:rPr>
        <w:t>PDx</w:t>
      </w:r>
      <w:proofErr w:type="spellEnd"/>
      <w:r w:rsidR="00A072A0">
        <w:rPr>
          <w:szCs w:val="24"/>
          <w:lang w:val="en-AU"/>
        </w:rPr>
        <w:t xml:space="preserve">, </w:t>
      </w:r>
      <w:r>
        <w:rPr>
          <w:szCs w:val="24"/>
          <w:lang w:val="en-AU"/>
        </w:rPr>
        <w:t xml:space="preserve">and the methodological approach taken in identifying unconditional and conditional exclusions </w:t>
      </w:r>
      <w:r w:rsidR="003B6604">
        <w:rPr>
          <w:szCs w:val="24"/>
          <w:lang w:val="en-AU"/>
        </w:rPr>
        <w:t>ensures</w:t>
      </w:r>
      <w:r w:rsidR="003B2F85">
        <w:rPr>
          <w:szCs w:val="24"/>
          <w:lang w:val="en-AU"/>
        </w:rPr>
        <w:t xml:space="preserve"> </w:t>
      </w:r>
      <w:r w:rsidRPr="009272EE">
        <w:rPr>
          <w:szCs w:val="24"/>
          <w:lang w:val="en-AU"/>
        </w:rPr>
        <w:t>that the proposed exclusion process can be operationalised a</w:t>
      </w:r>
      <w:r w:rsidR="003B6604">
        <w:rPr>
          <w:szCs w:val="24"/>
          <w:lang w:val="en-AU"/>
        </w:rPr>
        <w:t>nd provide stability over time. The ECC Model therefore considers a</w:t>
      </w:r>
      <w:r w:rsidRPr="009272EE">
        <w:rPr>
          <w:szCs w:val="24"/>
          <w:lang w:val="en-AU"/>
        </w:rPr>
        <w:t>ll available patient clinical information</w:t>
      </w:r>
      <w:r>
        <w:rPr>
          <w:szCs w:val="24"/>
          <w:lang w:val="en-AU"/>
        </w:rPr>
        <w:t>,</w:t>
      </w:r>
      <w:r w:rsidRPr="009272EE">
        <w:rPr>
          <w:szCs w:val="24"/>
          <w:lang w:val="en-AU"/>
        </w:rPr>
        <w:t xml:space="preserve"> </w:t>
      </w:r>
      <w:r>
        <w:rPr>
          <w:szCs w:val="24"/>
          <w:lang w:val="en-AU"/>
        </w:rPr>
        <w:t xml:space="preserve">including the </w:t>
      </w:r>
      <w:proofErr w:type="spellStart"/>
      <w:r>
        <w:rPr>
          <w:szCs w:val="24"/>
          <w:lang w:val="en-AU"/>
        </w:rPr>
        <w:t>PDx</w:t>
      </w:r>
      <w:proofErr w:type="spellEnd"/>
      <w:r>
        <w:rPr>
          <w:szCs w:val="24"/>
          <w:lang w:val="en-AU"/>
        </w:rPr>
        <w:t xml:space="preserve"> </w:t>
      </w:r>
      <w:r w:rsidR="003B6604">
        <w:rPr>
          <w:szCs w:val="24"/>
          <w:lang w:val="en-AU"/>
        </w:rPr>
        <w:t>when determining</w:t>
      </w:r>
      <w:r w:rsidRPr="009272EE">
        <w:rPr>
          <w:szCs w:val="24"/>
          <w:lang w:val="en-AU"/>
        </w:rPr>
        <w:t xml:space="preserve"> DCLs and an overall </w:t>
      </w:r>
      <w:r>
        <w:rPr>
          <w:szCs w:val="24"/>
          <w:lang w:val="en-AU"/>
        </w:rPr>
        <w:t>ECCS</w:t>
      </w:r>
      <w:r w:rsidRPr="009272EE">
        <w:rPr>
          <w:szCs w:val="24"/>
          <w:lang w:val="en-AU"/>
        </w:rPr>
        <w:t>.</w:t>
      </w:r>
    </w:p>
    <w:p w14:paraId="52002AC2" w14:textId="77777777" w:rsidR="005B5818" w:rsidRPr="008440E1" w:rsidRDefault="00444FB9" w:rsidP="005B5818">
      <w:pPr>
        <w:rPr>
          <w:szCs w:val="24"/>
          <w:lang w:val="en-AU"/>
        </w:rPr>
      </w:pPr>
      <w:r>
        <w:rPr>
          <w:szCs w:val="24"/>
          <w:lang w:val="en-AU"/>
        </w:rPr>
        <w:t>C</w:t>
      </w:r>
      <w:r w:rsidR="005B5818" w:rsidRPr="008440E1">
        <w:rPr>
          <w:szCs w:val="24"/>
          <w:lang w:val="en-AU"/>
        </w:rPr>
        <w:t xml:space="preserve">omparative results </w:t>
      </w:r>
      <w:r w:rsidR="00C45D3F">
        <w:rPr>
          <w:szCs w:val="24"/>
          <w:lang w:val="en-AU"/>
        </w:rPr>
        <w:t xml:space="preserve">have </w:t>
      </w:r>
      <w:r w:rsidR="005B5818" w:rsidRPr="008440E1">
        <w:rPr>
          <w:szCs w:val="24"/>
          <w:lang w:val="en-AU"/>
        </w:rPr>
        <w:t>clearly demonstrate</w:t>
      </w:r>
      <w:r w:rsidR="00C45D3F">
        <w:rPr>
          <w:szCs w:val="24"/>
          <w:lang w:val="en-AU"/>
        </w:rPr>
        <w:t>d</w:t>
      </w:r>
      <w:r w:rsidR="005B5818" w:rsidRPr="008440E1">
        <w:rPr>
          <w:szCs w:val="24"/>
          <w:lang w:val="en-AU"/>
        </w:rPr>
        <w:t xml:space="preserve"> that the replacement of PCCL by ECCS within the AR-DRG classification lead</w:t>
      </w:r>
      <w:r w:rsidR="00C45D3F">
        <w:rPr>
          <w:szCs w:val="24"/>
          <w:lang w:val="en-AU"/>
        </w:rPr>
        <w:t>s</w:t>
      </w:r>
      <w:r w:rsidR="005B5818" w:rsidRPr="008440E1">
        <w:rPr>
          <w:szCs w:val="24"/>
          <w:lang w:val="en-AU"/>
        </w:rPr>
        <w:t xml:space="preserve"> to a significantly better performing classification</w:t>
      </w:r>
      <w:r w:rsidR="005B5818">
        <w:rPr>
          <w:szCs w:val="24"/>
          <w:lang w:val="en-AU"/>
        </w:rPr>
        <w:t xml:space="preserve"> system for acute admitted </w:t>
      </w:r>
      <w:r w:rsidR="00A072A0">
        <w:rPr>
          <w:szCs w:val="24"/>
          <w:lang w:val="en-AU"/>
        </w:rPr>
        <w:t>episodes</w:t>
      </w:r>
      <w:r w:rsidR="005B5818" w:rsidRPr="008440E1">
        <w:rPr>
          <w:szCs w:val="24"/>
          <w:lang w:val="en-AU"/>
        </w:rPr>
        <w:t>.</w:t>
      </w:r>
    </w:p>
    <w:p w14:paraId="6B752639" w14:textId="77777777" w:rsidR="005B5818" w:rsidRDefault="005B5818" w:rsidP="005B5818">
      <w:pPr>
        <w:rPr>
          <w:szCs w:val="24"/>
          <w:lang w:val="en-AU"/>
        </w:rPr>
      </w:pPr>
      <w:r w:rsidRPr="00437351">
        <w:rPr>
          <w:szCs w:val="24"/>
          <w:lang w:val="en-AU"/>
        </w:rPr>
        <w:t xml:space="preserve">Comparisons show ECCS to perform significantly better than PCCL in explaining cost variation within almost all ADRGs. Although the AR-DRG classification shows slightly better performance overall with </w:t>
      </w:r>
      <w:r w:rsidR="00736EBC">
        <w:rPr>
          <w:szCs w:val="24"/>
          <w:lang w:val="en-AU"/>
        </w:rPr>
        <w:t>fewer</w:t>
      </w:r>
      <w:r w:rsidRPr="00437351">
        <w:rPr>
          <w:szCs w:val="24"/>
          <w:lang w:val="en-AU"/>
        </w:rPr>
        <w:t xml:space="preserve"> ADRG splits (compared to the 5-category ECCS-based splits chosen for use in comparisons), it is clear that the higher performance of the AR-DRG classification is driven by the use of LOS as an ADRG splitting variable within the classification (e.g. same-day DRG splits). This observation, together with the ECCS models’ significantly higher performance compared to the PCCL model, demonstrate that if PCCL </w:t>
      </w:r>
      <w:r w:rsidRPr="00437351">
        <w:rPr>
          <w:szCs w:val="24"/>
          <w:lang w:val="en-AU"/>
        </w:rPr>
        <w:lastRenderedPageBreak/>
        <w:t>were replaced by ECCS, the resulting classification (i.e.</w:t>
      </w:r>
      <w:r w:rsidR="00345851">
        <w:rPr>
          <w:szCs w:val="24"/>
          <w:lang w:val="en-AU"/>
        </w:rPr>
        <w:t xml:space="preserve"> </w:t>
      </w:r>
      <w:r w:rsidRPr="00437351">
        <w:rPr>
          <w:szCs w:val="24"/>
          <w:lang w:val="en-AU"/>
        </w:rPr>
        <w:t>AR-DRG V8.0) would significantly outperform AR-DRG V7.0.</w:t>
      </w:r>
    </w:p>
    <w:p w14:paraId="08483912" w14:textId="77777777" w:rsidR="005B5818" w:rsidRPr="00437351" w:rsidRDefault="005B5818" w:rsidP="005B5818">
      <w:pPr>
        <w:rPr>
          <w:szCs w:val="24"/>
          <w:lang w:val="en-AU"/>
        </w:rPr>
      </w:pPr>
      <w:r w:rsidRPr="00437351">
        <w:rPr>
          <w:szCs w:val="24"/>
          <w:lang w:val="en-AU"/>
        </w:rPr>
        <w:t>The ECCS models’ performance on paediatric and geriatric episodes was evaluated and compared to the current PCCL measure and the AR-DRG classification. It was found that ECCS performed well on both cohorts, with exceptional results on paediatric episodes.</w:t>
      </w:r>
    </w:p>
    <w:p w14:paraId="55C20B6E" w14:textId="77777777" w:rsidR="005B5818" w:rsidRPr="00437351" w:rsidRDefault="005B5818" w:rsidP="005B5818">
      <w:pPr>
        <w:rPr>
          <w:szCs w:val="24"/>
          <w:lang w:val="en-AU"/>
        </w:rPr>
      </w:pPr>
      <w:r w:rsidRPr="00437351">
        <w:rPr>
          <w:szCs w:val="24"/>
          <w:lang w:val="en-AU"/>
        </w:rPr>
        <w:t>For paediatrics the ECCS models demonstrated significantly better performance in terms of minimising bias of cost estimation, showing an adjustment of 0.7</w:t>
      </w:r>
      <w:r w:rsidR="002201AB">
        <w:rPr>
          <w:szCs w:val="24"/>
          <w:lang w:val="en-AU"/>
        </w:rPr>
        <w:t xml:space="preserve"> per cent</w:t>
      </w:r>
      <w:r w:rsidRPr="00437351">
        <w:rPr>
          <w:szCs w:val="24"/>
          <w:lang w:val="en-AU"/>
        </w:rPr>
        <w:t xml:space="preserve"> would be required to calibrate the model to paediatric episodes, compared to 3.4</w:t>
      </w:r>
      <w:r w:rsidR="002201AB">
        <w:rPr>
          <w:szCs w:val="24"/>
          <w:lang w:val="en-AU"/>
        </w:rPr>
        <w:t xml:space="preserve"> per cent</w:t>
      </w:r>
      <w:r w:rsidRPr="00437351">
        <w:rPr>
          <w:szCs w:val="24"/>
          <w:lang w:val="en-AU"/>
        </w:rPr>
        <w:t xml:space="preserve"> for the AR-DRG classification and 6.6</w:t>
      </w:r>
      <w:r w:rsidR="002201AB">
        <w:rPr>
          <w:szCs w:val="24"/>
          <w:lang w:val="en-AU"/>
        </w:rPr>
        <w:t xml:space="preserve"> per cent</w:t>
      </w:r>
      <w:r w:rsidRPr="00437351">
        <w:rPr>
          <w:szCs w:val="24"/>
          <w:lang w:val="en-AU"/>
        </w:rPr>
        <w:t xml:space="preserve"> for the PCCL model.</w:t>
      </w:r>
    </w:p>
    <w:p w14:paraId="103D5507" w14:textId="77777777" w:rsidR="005B5818" w:rsidRPr="00437351" w:rsidRDefault="005B5818" w:rsidP="005B5818">
      <w:pPr>
        <w:rPr>
          <w:szCs w:val="24"/>
          <w:lang w:val="en-AU"/>
        </w:rPr>
      </w:pPr>
      <w:r w:rsidRPr="00437351">
        <w:rPr>
          <w:szCs w:val="24"/>
          <w:lang w:val="en-AU"/>
        </w:rPr>
        <w:t>When restricted to either paediatric or geriatric episodes, the ECCS models show a significantly higher proportion of ADRG-level cost ratios between 0.9 and 1.1, compared to the PCCL model and the AR-DRG classification, demonstrating that ECCS performs consistently well in minimising bias of cost estimation across ADRGs on both cohorts.</w:t>
      </w:r>
    </w:p>
    <w:p w14:paraId="1BF3ADC2" w14:textId="77777777" w:rsidR="005B5818" w:rsidRDefault="005B5818" w:rsidP="005B5818">
      <w:pPr>
        <w:rPr>
          <w:szCs w:val="24"/>
          <w:lang w:val="en-AU"/>
        </w:rPr>
      </w:pPr>
      <w:r w:rsidRPr="00437351">
        <w:rPr>
          <w:szCs w:val="24"/>
          <w:lang w:val="en-AU"/>
        </w:rPr>
        <w:t xml:space="preserve">The ECCS models do not perform as well on geriatric episodes </w:t>
      </w:r>
      <w:r w:rsidR="00C45D3F">
        <w:rPr>
          <w:szCs w:val="24"/>
          <w:lang w:val="en-AU"/>
        </w:rPr>
        <w:t xml:space="preserve">when </w:t>
      </w:r>
      <w:r w:rsidRPr="00437351">
        <w:rPr>
          <w:szCs w:val="24"/>
          <w:lang w:val="en-AU"/>
        </w:rPr>
        <w:t>compared to performance on paediatric episodes. However, the resulting geriatric cost ratio of 1.015 (or 1.5</w:t>
      </w:r>
      <w:r w:rsidR="002201AB">
        <w:rPr>
          <w:szCs w:val="24"/>
          <w:lang w:val="en-AU"/>
        </w:rPr>
        <w:t xml:space="preserve"> per cent</w:t>
      </w:r>
      <w:r w:rsidRPr="00437351">
        <w:rPr>
          <w:szCs w:val="24"/>
          <w:lang w:val="en-AU"/>
        </w:rPr>
        <w:t xml:space="preserve"> increase) is nonetheless a relatively small level of bias of cost estimation, particularly compared to that of the PCCL model and the AR-DRG classification on paediatric episodes.</w:t>
      </w:r>
    </w:p>
    <w:p w14:paraId="6E5DB880" w14:textId="77777777" w:rsidR="00444FB9" w:rsidRDefault="00444FB9" w:rsidP="005B5818">
      <w:pPr>
        <w:rPr>
          <w:szCs w:val="24"/>
          <w:lang w:val="en-AU"/>
        </w:rPr>
      </w:pPr>
      <w:r w:rsidRPr="00444FB9">
        <w:rPr>
          <w:szCs w:val="24"/>
          <w:lang w:val="en-AU"/>
        </w:rPr>
        <w:t xml:space="preserve">As part of the project the ACCD was also required to consider the potential role of the COF within the classification. This evaluation process established the difficulty associated with defining what a condition arising during the episode of care meant in terms of its preventability; and how these conditions could be </w:t>
      </w:r>
      <w:r w:rsidR="00C45D3F">
        <w:rPr>
          <w:szCs w:val="24"/>
          <w:lang w:val="en-AU"/>
        </w:rPr>
        <w:t>differentiated</w:t>
      </w:r>
      <w:r w:rsidRPr="00444FB9">
        <w:rPr>
          <w:szCs w:val="24"/>
          <w:lang w:val="en-AU"/>
        </w:rPr>
        <w:t xml:space="preserve"> from other conditions also arising during the acute admitted episode.</w:t>
      </w:r>
      <w:r w:rsidR="00345851">
        <w:rPr>
          <w:szCs w:val="24"/>
          <w:lang w:val="en-AU"/>
        </w:rPr>
        <w:t xml:space="preserve"> </w:t>
      </w:r>
      <w:r w:rsidRPr="00444FB9">
        <w:rPr>
          <w:szCs w:val="24"/>
          <w:lang w:val="en-AU"/>
        </w:rPr>
        <w:t>It was therefore determined that removing ICD codes associated with these conditions from the complexity algorithm reduces the capacity of the classification to explain true cost differences between DRGs.</w:t>
      </w:r>
    </w:p>
    <w:p w14:paraId="1C7BFC37" w14:textId="77777777" w:rsidR="00C237B4" w:rsidRPr="00C237B4" w:rsidRDefault="00C237B4" w:rsidP="00C237B4">
      <w:pPr>
        <w:rPr>
          <w:szCs w:val="24"/>
          <w:lang w:val="en-AU"/>
        </w:rPr>
      </w:pPr>
      <w:r w:rsidRPr="00C237B4">
        <w:rPr>
          <w:szCs w:val="24"/>
          <w:lang w:val="en-AU"/>
        </w:rPr>
        <w:t>Changes in clinical care and improvements in data quality over time were identified as necessitating the ongoing evaluation and review of the ECC Model to ensure it is best suited to its proposed role in the AR-DRG classification.</w:t>
      </w:r>
      <w:r>
        <w:rPr>
          <w:szCs w:val="24"/>
          <w:lang w:val="en-AU"/>
        </w:rPr>
        <w:t xml:space="preserve"> The development of </w:t>
      </w:r>
      <w:r w:rsidRPr="00C237B4">
        <w:rPr>
          <w:szCs w:val="24"/>
          <w:lang w:val="en-AU"/>
        </w:rPr>
        <w:t xml:space="preserve">a framework that </w:t>
      </w:r>
      <w:r w:rsidRPr="00C237B4">
        <w:rPr>
          <w:szCs w:val="24"/>
          <w:lang w:val="en-AU"/>
        </w:rPr>
        <w:lastRenderedPageBreak/>
        <w:t>supports a continuous and systematic approach to evaluation and refinement which encompasses the broader AR-DRG refinement process</w:t>
      </w:r>
      <w:r>
        <w:rPr>
          <w:szCs w:val="24"/>
          <w:lang w:val="en-AU"/>
        </w:rPr>
        <w:t xml:space="preserve"> will be implemented</w:t>
      </w:r>
      <w:r w:rsidRPr="00C237B4">
        <w:rPr>
          <w:szCs w:val="24"/>
          <w:lang w:val="en-AU"/>
        </w:rPr>
        <w:t>.</w:t>
      </w:r>
    </w:p>
    <w:p w14:paraId="5B878B3E" w14:textId="77777777" w:rsidR="005B5818" w:rsidRPr="00832251" w:rsidRDefault="005B5818" w:rsidP="002506C3">
      <w:pPr>
        <w:pBdr>
          <w:top w:val="single" w:sz="4" w:space="1" w:color="auto"/>
          <w:left w:val="single" w:sz="4" w:space="4" w:color="auto"/>
          <w:bottom w:val="single" w:sz="4" w:space="1" w:color="auto"/>
          <w:right w:val="single" w:sz="4" w:space="4" w:color="auto"/>
        </w:pBdr>
        <w:shd w:val="clear" w:color="auto" w:fill="D3DFEE"/>
        <w:rPr>
          <w:szCs w:val="24"/>
          <w:lang w:val="en-AU"/>
        </w:rPr>
      </w:pPr>
      <w:r w:rsidRPr="00FC346C">
        <w:rPr>
          <w:i/>
          <w:szCs w:val="24"/>
          <w:lang w:val="en-AU"/>
        </w:rPr>
        <w:t xml:space="preserve">In conclusion, </w:t>
      </w:r>
      <w:r>
        <w:rPr>
          <w:i/>
          <w:szCs w:val="24"/>
          <w:lang w:val="en-AU"/>
        </w:rPr>
        <w:t xml:space="preserve">the ECC Model is a </w:t>
      </w:r>
      <w:r w:rsidRPr="00884950">
        <w:rPr>
          <w:i/>
          <w:szCs w:val="24"/>
          <w:lang w:val="en-AU"/>
        </w:rPr>
        <w:t>conceptually based, formally derived and data driven</w:t>
      </w:r>
      <w:r>
        <w:rPr>
          <w:i/>
          <w:szCs w:val="24"/>
          <w:lang w:val="en-AU"/>
        </w:rPr>
        <w:t xml:space="preserve"> episode clinical complexity measure that has been shown to perform significantly better than the PCCL model within AR-DRG Version 7.0. The </w:t>
      </w:r>
      <w:r w:rsidRPr="00FC346C">
        <w:rPr>
          <w:i/>
          <w:szCs w:val="24"/>
          <w:lang w:val="en-AU"/>
        </w:rPr>
        <w:t>performance of the ECC Model within the AR-DRG classification will be the subject of Phase Two of the AR-DRG Review.</w:t>
      </w:r>
    </w:p>
    <w:p w14:paraId="79F5AB60" w14:textId="77777777" w:rsidR="005B5818" w:rsidRDefault="005B5818" w:rsidP="00B60372">
      <w:pPr>
        <w:pStyle w:val="Heading2"/>
      </w:pPr>
      <w:bookmarkStart w:id="206" w:name="_Toc401061050"/>
      <w:r w:rsidRPr="008D003A">
        <w:lastRenderedPageBreak/>
        <w:t>References</w:t>
      </w:r>
      <w:bookmarkEnd w:id="206"/>
    </w:p>
    <w:p w14:paraId="60BC8A9E" w14:textId="77777777" w:rsidR="005B5818" w:rsidRPr="003748EA" w:rsidRDefault="005B5818" w:rsidP="005B5818">
      <w:r w:rsidRPr="003748EA">
        <w:t xml:space="preserve">Averill RF, Goldfield N, Hughes JS, </w:t>
      </w:r>
      <w:proofErr w:type="spellStart"/>
      <w:r w:rsidRPr="003748EA">
        <w:t>Bonazelli</w:t>
      </w:r>
      <w:proofErr w:type="spellEnd"/>
      <w:r w:rsidRPr="003748EA">
        <w:t xml:space="preserve"> J, McCullough EC, Mullin R, Tang AM, Muldoon J, Turner L, Gay J, Neff J, and </w:t>
      </w:r>
      <w:proofErr w:type="spellStart"/>
      <w:r w:rsidRPr="003748EA">
        <w:t>Sedman</w:t>
      </w:r>
      <w:proofErr w:type="spellEnd"/>
      <w:r w:rsidRPr="003748EA">
        <w:t xml:space="preserve"> A. (2008). 3M™ </w:t>
      </w:r>
      <w:r w:rsidRPr="003748EA">
        <w:rPr>
          <w:i/>
        </w:rPr>
        <w:t>APR DRG Classification System Version 26.1, Methodology Overview.</w:t>
      </w:r>
      <w:r w:rsidR="00345851">
        <w:t xml:space="preserve"> </w:t>
      </w:r>
      <w:r w:rsidRPr="003748EA">
        <w:t>Wallingford, CT: 3M Health Information Systems.</w:t>
      </w:r>
    </w:p>
    <w:p w14:paraId="3C1EBC45" w14:textId="77777777" w:rsidR="005B5818" w:rsidRPr="003748EA" w:rsidRDefault="005B5818" w:rsidP="005B5818">
      <w:r w:rsidRPr="003748EA">
        <w:t>Bottle A, Aylin P</w:t>
      </w:r>
      <w:r w:rsidR="00053329" w:rsidRPr="003748EA">
        <w:t>. (</w:t>
      </w:r>
      <w:r w:rsidRPr="003748EA">
        <w:t xml:space="preserve">2011). Comorbidity scores for administrative data benefited from adaptation to local coding and diagnostic practices. </w:t>
      </w:r>
      <w:r w:rsidRPr="003748EA">
        <w:rPr>
          <w:i/>
        </w:rPr>
        <w:t>J Clin Epi</w:t>
      </w:r>
      <w:r w:rsidRPr="003748EA">
        <w:t xml:space="preserve"> 64: 1426-1433.</w:t>
      </w:r>
    </w:p>
    <w:p w14:paraId="022979FD" w14:textId="77777777" w:rsidR="005B5818" w:rsidRDefault="005B5818" w:rsidP="005B5818">
      <w:r w:rsidRPr="003748EA">
        <w:t xml:space="preserve">Brewster A C, </w:t>
      </w:r>
      <w:proofErr w:type="spellStart"/>
      <w:r w:rsidRPr="003748EA">
        <w:t>Karlin</w:t>
      </w:r>
      <w:proofErr w:type="spellEnd"/>
      <w:r w:rsidRPr="003748EA">
        <w:t xml:space="preserve"> BG, Hyde LA, Jacobs CM, Bradbury RC, Chae YM. (1985). MEDISGRPS: a clinically based approach to classifying hospital patients at admission. </w:t>
      </w:r>
      <w:r w:rsidRPr="003748EA">
        <w:rPr>
          <w:i/>
        </w:rPr>
        <w:t>Inquiry: a journal of medical care organization, provision and financing</w:t>
      </w:r>
      <w:r w:rsidRPr="003748EA">
        <w:t>, 22(4): 377</w:t>
      </w:r>
    </w:p>
    <w:p w14:paraId="0C398700" w14:textId="77777777" w:rsidR="00182399" w:rsidRDefault="00182399" w:rsidP="00182399">
      <w:r>
        <w:t xml:space="preserve">Cameron AC, </w:t>
      </w:r>
      <w:proofErr w:type="spellStart"/>
      <w:r>
        <w:t>Windmeijer</w:t>
      </w:r>
      <w:proofErr w:type="spellEnd"/>
      <w:r>
        <w:t xml:space="preserve"> FAG (1996). R-Squared measures for count data regression models with applications to health-care utilization. </w:t>
      </w:r>
      <w:r w:rsidRPr="003B2F85">
        <w:rPr>
          <w:i/>
        </w:rPr>
        <w:t>Journal of Business &amp; Economic Statistics</w:t>
      </w:r>
      <w:r>
        <w:t xml:space="preserve"> 14: 209-220.</w:t>
      </w:r>
    </w:p>
    <w:p w14:paraId="15FCC54D" w14:textId="77777777" w:rsidR="00182399" w:rsidRPr="003748EA" w:rsidRDefault="00182399" w:rsidP="00182399">
      <w:r>
        <w:t xml:space="preserve">Cameron AC, </w:t>
      </w:r>
      <w:proofErr w:type="spellStart"/>
      <w:r>
        <w:t>Windmeijer</w:t>
      </w:r>
      <w:proofErr w:type="spellEnd"/>
      <w:r>
        <w:t xml:space="preserve"> FAG (1997). An R-squared measure of goodness of fit for some common nonlinear regression models. </w:t>
      </w:r>
      <w:r w:rsidRPr="003B2F85">
        <w:rPr>
          <w:i/>
        </w:rPr>
        <w:t>Journal of Econometrics</w:t>
      </w:r>
      <w:r>
        <w:t xml:space="preserve"> 77: 329-342.</w:t>
      </w:r>
    </w:p>
    <w:p w14:paraId="1D29CB38" w14:textId="77777777" w:rsidR="005B5818" w:rsidRPr="003748EA" w:rsidRDefault="005B5818" w:rsidP="005B5818">
      <w:proofErr w:type="spellStart"/>
      <w:r w:rsidRPr="003748EA">
        <w:t>Charlson</w:t>
      </w:r>
      <w:proofErr w:type="spellEnd"/>
      <w:r w:rsidRPr="003748EA">
        <w:t xml:space="preserve"> ME, Pompei P, Ales KL, </w:t>
      </w:r>
      <w:proofErr w:type="spellStart"/>
      <w:r w:rsidRPr="003748EA">
        <w:t>MacKenzie</w:t>
      </w:r>
      <w:proofErr w:type="spellEnd"/>
      <w:r w:rsidRPr="003748EA">
        <w:t xml:space="preserve"> CR. A new method of classifying prognostic comorbidity in longitudinal studies: development and validation. </w:t>
      </w:r>
      <w:r w:rsidRPr="003748EA">
        <w:rPr>
          <w:i/>
        </w:rPr>
        <w:t>Journal of Chronic Diseases</w:t>
      </w:r>
      <w:r w:rsidRPr="003748EA">
        <w:t xml:space="preserve"> 40 (5):373-383.</w:t>
      </w:r>
    </w:p>
    <w:p w14:paraId="6765ED09" w14:textId="77777777" w:rsidR="005B5818" w:rsidRPr="003748EA" w:rsidRDefault="005B5818" w:rsidP="005B5818">
      <w:pPr>
        <w:rPr>
          <w:bCs/>
        </w:rPr>
      </w:pPr>
      <w:r w:rsidRPr="003748EA">
        <w:rPr>
          <w:bCs/>
        </w:rPr>
        <w:t>CMS (</w:t>
      </w:r>
      <w:proofErr w:type="spellStart"/>
      <w:r w:rsidRPr="003748EA">
        <w:rPr>
          <w:bCs/>
        </w:rPr>
        <w:t>Centres</w:t>
      </w:r>
      <w:proofErr w:type="spellEnd"/>
      <w:r w:rsidRPr="003748EA">
        <w:rPr>
          <w:bCs/>
        </w:rPr>
        <w:t xml:space="preserve"> for Medicare and Medicaid Services) (2008). </w:t>
      </w:r>
      <w:hyperlink r:id="rId805" w:history="1">
        <w:r w:rsidRPr="005E10D1">
          <w:rPr>
            <w:rStyle w:val="Hyperlink"/>
            <w:bCs/>
            <w:noProof w:val="0"/>
          </w:rPr>
          <w:t>Hospital-Acquired Conditions (Present on Admission Indicator)</w:t>
        </w:r>
      </w:hyperlink>
      <w:r w:rsidR="005E10D1">
        <w:rPr>
          <w:bCs/>
        </w:rPr>
        <w:t>,</w:t>
      </w:r>
      <w:r w:rsidRPr="003748EA">
        <w:rPr>
          <w:bCs/>
        </w:rPr>
        <w:t xml:space="preserve"> </w:t>
      </w:r>
      <w:r w:rsidR="005E10D1">
        <w:t>accessed 19 May 2014.</w:t>
      </w:r>
      <w:r w:rsidR="00D72D58">
        <w:t xml:space="preserve"> &lt;</w:t>
      </w:r>
      <w:r w:rsidR="00D72D58" w:rsidRPr="00D72D58">
        <w:t>http://www.cms.gov/Medicare/Medicare-Fee-for-Service-Payment/HospitalAcq%20Cond/Hospital-Acquired_Conditions.html</w:t>
      </w:r>
      <w:r w:rsidR="00D72D58">
        <w:t>&gt;.</w:t>
      </w:r>
    </w:p>
    <w:p w14:paraId="4C43519E" w14:textId="77777777" w:rsidR="005B5818" w:rsidRPr="003748EA" w:rsidRDefault="005B5818" w:rsidP="005B5818">
      <w:pPr>
        <w:rPr>
          <w:bCs/>
        </w:rPr>
      </w:pPr>
      <w:r w:rsidRPr="003748EA">
        <w:rPr>
          <w:bCs/>
        </w:rPr>
        <w:t>Commonwealth Department of Health and Aged Care (2000). Development of the Australian Refined Diagnosis Related Groups (AR-DRG) Classification Version 4: Volume 3 Complications and Comorbidities in AR-DRG Classification Version 4.0: Commonwealth of Australia.</w:t>
      </w:r>
    </w:p>
    <w:p w14:paraId="4D9EE660" w14:textId="77777777" w:rsidR="005B5818" w:rsidRPr="003748EA" w:rsidRDefault="005B5818" w:rsidP="005B5818">
      <w:pPr>
        <w:rPr>
          <w:bCs/>
        </w:rPr>
      </w:pPr>
      <w:r w:rsidRPr="003748EA">
        <w:rPr>
          <w:bCs/>
        </w:rPr>
        <w:t>Commonwealth Department of Health and Ageing (2008). Australian Refined Diagnosis Related Groups Version 6.0</w:t>
      </w:r>
      <w:r w:rsidRPr="003748EA">
        <w:t xml:space="preserve"> </w:t>
      </w:r>
      <w:r w:rsidRPr="003748EA">
        <w:rPr>
          <w:bCs/>
        </w:rPr>
        <w:t>Definitions Manual: Volume One: Commonwealth of Australia.</w:t>
      </w:r>
    </w:p>
    <w:p w14:paraId="63F8D1C1" w14:textId="77777777" w:rsidR="005B5818" w:rsidRPr="003748EA" w:rsidRDefault="005B5818" w:rsidP="005B5818">
      <w:proofErr w:type="spellStart"/>
      <w:r w:rsidRPr="003748EA">
        <w:lastRenderedPageBreak/>
        <w:t>Elixhauser</w:t>
      </w:r>
      <w:proofErr w:type="spellEnd"/>
      <w:r w:rsidRPr="003748EA">
        <w:t xml:space="preserve"> A, Steiner C, Harris DR, </w:t>
      </w:r>
      <w:proofErr w:type="spellStart"/>
      <w:r w:rsidR="004C70DD">
        <w:t>COF</w:t>
      </w:r>
      <w:r w:rsidRPr="003748EA">
        <w:t>fey</w:t>
      </w:r>
      <w:proofErr w:type="spellEnd"/>
      <w:r w:rsidRPr="003748EA">
        <w:t xml:space="preserve"> RM. (1998) Comorbidity measures for use with administrative data. </w:t>
      </w:r>
      <w:r w:rsidRPr="003748EA">
        <w:rPr>
          <w:i/>
        </w:rPr>
        <w:t>Medical Care</w:t>
      </w:r>
      <w:r w:rsidRPr="003748EA">
        <w:t xml:space="preserve"> 36(1) 8-27.</w:t>
      </w:r>
    </w:p>
    <w:p w14:paraId="5B93D3FF" w14:textId="77777777" w:rsidR="005B5818" w:rsidRPr="003748EA" w:rsidRDefault="005B5818" w:rsidP="005B5818">
      <w:r w:rsidRPr="003748EA">
        <w:t xml:space="preserve">Fetter RB, Brand, DA, Gamache, D. (1991) </w:t>
      </w:r>
      <w:hyperlink r:id="rId806" w:history="1">
        <w:r w:rsidRPr="003748EA">
          <w:rPr>
            <w:i/>
            <w:color w:val="0000FF" w:themeColor="hyperlink"/>
            <w:u w:val="single"/>
          </w:rPr>
          <w:t>DRGs: their design and development</w:t>
        </w:r>
      </w:hyperlink>
      <w:r w:rsidRPr="003748EA">
        <w:t xml:space="preserve"> Ann Arbor, Mich: Health Administration Press.</w:t>
      </w:r>
      <w:r w:rsidR="00D72D58">
        <w:t xml:space="preserve"> &lt;</w:t>
      </w:r>
      <w:r w:rsidR="00D72D58" w:rsidRPr="00D72D58">
        <w:t>http://www.ncbi.nlm.nih.gov/nlmcatalog/9007288</w:t>
      </w:r>
      <w:r w:rsidR="00D72D58">
        <w:t>&gt;.</w:t>
      </w:r>
    </w:p>
    <w:p w14:paraId="5138B347" w14:textId="77777777" w:rsidR="005B5818" w:rsidRPr="003748EA" w:rsidRDefault="005B5818" w:rsidP="005B5818">
      <w:r w:rsidRPr="003748EA">
        <w:t xml:space="preserve">Geissler A, </w:t>
      </w:r>
      <w:proofErr w:type="spellStart"/>
      <w:r w:rsidRPr="003748EA">
        <w:t>Scheller-Kreinsen</w:t>
      </w:r>
      <w:proofErr w:type="spellEnd"/>
      <w:r w:rsidRPr="003748EA">
        <w:t xml:space="preserve"> D, Quentin W, </w:t>
      </w:r>
      <w:proofErr w:type="spellStart"/>
      <w:r w:rsidRPr="003748EA">
        <w:t>Busse</w:t>
      </w:r>
      <w:proofErr w:type="spellEnd"/>
      <w:r w:rsidRPr="003748EA">
        <w:t xml:space="preserve"> R. (2011). Germany: Understanding G-DRGs. Chapter 14 in </w:t>
      </w:r>
      <w:proofErr w:type="spellStart"/>
      <w:r w:rsidRPr="003748EA">
        <w:t>Busse</w:t>
      </w:r>
      <w:proofErr w:type="spellEnd"/>
      <w:r w:rsidRPr="003748EA">
        <w:t xml:space="preserve">, Geissler, Quentin &amp; Wiley, </w:t>
      </w:r>
      <w:r w:rsidRPr="003748EA">
        <w:rPr>
          <w:i/>
        </w:rPr>
        <w:t>Diagnosis Related Groups in Europe: Moving towards transparency, efficiency and quality in hospitals</w:t>
      </w:r>
      <w:r w:rsidRPr="003748EA">
        <w:t>. UK: European Observatory on Health Systems and Policies/ McGraw-Hill.</w:t>
      </w:r>
    </w:p>
    <w:p w14:paraId="07429C3D" w14:textId="77777777" w:rsidR="005B5818" w:rsidRPr="003748EA" w:rsidRDefault="005B5818" w:rsidP="005B5818">
      <w:r w:rsidRPr="003748EA">
        <w:t xml:space="preserve">Gonnella JS, </w:t>
      </w:r>
      <w:proofErr w:type="spellStart"/>
      <w:r w:rsidRPr="003748EA">
        <w:t>Hornbrook</w:t>
      </w:r>
      <w:proofErr w:type="spellEnd"/>
      <w:r w:rsidRPr="003748EA">
        <w:t xml:space="preserve"> MC, Louis DZ. (1984). Staging of disease: A case-mix measurement. </w:t>
      </w:r>
      <w:r w:rsidRPr="003748EA">
        <w:rPr>
          <w:i/>
        </w:rPr>
        <w:t>Journal of the American Medical Association</w:t>
      </w:r>
      <w:r w:rsidRPr="003748EA">
        <w:t xml:space="preserve"> 251(5): 637-644.</w:t>
      </w:r>
    </w:p>
    <w:p w14:paraId="217083CA" w14:textId="77777777" w:rsidR="005B5818" w:rsidRPr="003748EA" w:rsidRDefault="005B5818" w:rsidP="005B5818">
      <w:r w:rsidRPr="003748EA">
        <w:t>Horn SD, Horn RA,</w:t>
      </w:r>
      <w:r w:rsidR="00053329">
        <w:t xml:space="preserve"> </w:t>
      </w:r>
      <w:r w:rsidRPr="003748EA">
        <w:t xml:space="preserve">Sharkey PD. (1983).The Severity of Illness Index as a severity adjustment to diagnosis-related groups. </w:t>
      </w:r>
      <w:r w:rsidRPr="003748EA">
        <w:rPr>
          <w:i/>
        </w:rPr>
        <w:t>Health Care Financing Review</w:t>
      </w:r>
      <w:r w:rsidRPr="003748EA">
        <w:t xml:space="preserve"> Suppl:</w:t>
      </w:r>
      <w:r w:rsidR="006B44EE">
        <w:t xml:space="preserve"> </w:t>
      </w:r>
      <w:r w:rsidRPr="003748EA">
        <w:t>33-45.</w:t>
      </w:r>
    </w:p>
    <w:p w14:paraId="747C95A0" w14:textId="77777777" w:rsidR="005B5818" w:rsidRPr="003748EA" w:rsidRDefault="005B5818" w:rsidP="005B5818">
      <w:r w:rsidRPr="003748EA">
        <w:t xml:space="preserve">Horn, SD, Sharkey, PD, Chambers, AF, &amp; Horn, RA. (1985). Severity of illness within DRGs: impact on prospective payment. </w:t>
      </w:r>
      <w:r w:rsidRPr="003748EA">
        <w:rPr>
          <w:i/>
        </w:rPr>
        <w:t>American journal of public health</w:t>
      </w:r>
      <w:r w:rsidRPr="003748EA">
        <w:t>, 75(10), 1195-1199.</w:t>
      </w:r>
    </w:p>
    <w:p w14:paraId="6A8512A2" w14:textId="77777777" w:rsidR="005B5818" w:rsidRPr="003748EA" w:rsidRDefault="005B5818" w:rsidP="005B5818">
      <w:r w:rsidRPr="003748EA">
        <w:t xml:space="preserve">Jackson TJ, Nghiem HS, Rowell DS, </w:t>
      </w:r>
      <w:proofErr w:type="spellStart"/>
      <w:r w:rsidRPr="003748EA">
        <w:t>Jorm</w:t>
      </w:r>
      <w:proofErr w:type="spellEnd"/>
      <w:r w:rsidRPr="003748EA">
        <w:t xml:space="preserve"> C, Wakefield J. (2011). Marginal costs of hospital acquired conditions: information for priority setting for patient safety programs and research.</w:t>
      </w:r>
      <w:r w:rsidR="00345851">
        <w:t xml:space="preserve"> </w:t>
      </w:r>
      <w:r w:rsidRPr="003748EA">
        <w:rPr>
          <w:i/>
        </w:rPr>
        <w:t>Journal of Health Services Research and Policy</w:t>
      </w:r>
      <w:r w:rsidRPr="003748EA">
        <w:t xml:space="preserve"> 16(3):141–146.</w:t>
      </w:r>
    </w:p>
    <w:p w14:paraId="0E28C644" w14:textId="77777777" w:rsidR="005B5818" w:rsidRPr="003748EA" w:rsidRDefault="005B5818" w:rsidP="005B5818">
      <w:r w:rsidRPr="003748EA">
        <w:t xml:space="preserve">Jencks SF, Dobson A. (1987). Refining case-mix adjustment: The research evidence. </w:t>
      </w:r>
      <w:r w:rsidRPr="003748EA">
        <w:rPr>
          <w:i/>
        </w:rPr>
        <w:t>The New England Journal of Medicine</w:t>
      </w:r>
      <w:r w:rsidRPr="003748EA">
        <w:t xml:space="preserve"> 317(11): 679-686.</w:t>
      </w:r>
    </w:p>
    <w:p w14:paraId="4D4AEA61" w14:textId="77777777" w:rsidR="005B5818" w:rsidRPr="003748EA" w:rsidRDefault="005B5818" w:rsidP="005B5818">
      <w:r w:rsidRPr="003748EA">
        <w:t xml:space="preserve">Joint Working Party of the (Australian) Commission (on Safety and Quality in Health Care) and the Independent Hospital Pricing Authority (2013). </w:t>
      </w:r>
      <w:hyperlink r:id="rId807" w:history="1">
        <w:r w:rsidRPr="009C21A6">
          <w:rPr>
            <w:rStyle w:val="Hyperlink"/>
            <w:i/>
            <w:noProof w:val="0"/>
          </w:rPr>
          <w:t>A Literature Review on Integrating Quality and Safety into Hospital Pricing Systems and</w:t>
        </w:r>
        <w:r w:rsidRPr="009C21A6">
          <w:rPr>
            <w:rStyle w:val="Hyperlink"/>
            <w:i/>
            <w:noProof w:val="0"/>
            <w:lang w:val="en-AU"/>
          </w:rPr>
          <w:t xml:space="preserve"> </w:t>
        </w:r>
        <w:r w:rsidRPr="009C21A6">
          <w:rPr>
            <w:rStyle w:val="Hyperlink"/>
            <w:i/>
            <w:noProof w:val="0"/>
          </w:rPr>
          <w:t>Supplementary Briefing</w:t>
        </w:r>
      </w:hyperlink>
      <w:r w:rsidR="009C21A6">
        <w:rPr>
          <w:i/>
        </w:rPr>
        <w:t>.</w:t>
      </w:r>
      <w:r w:rsidRPr="003748EA">
        <w:rPr>
          <w:bCs/>
        </w:rPr>
        <w:t xml:space="preserve"> </w:t>
      </w:r>
      <w:r w:rsidR="009C21A6">
        <w:t>A</w:t>
      </w:r>
      <w:r w:rsidRPr="003748EA">
        <w:t xml:space="preserve">ccessed 19 </w:t>
      </w:r>
      <w:r w:rsidR="009C21A6">
        <w:t>May</w:t>
      </w:r>
      <w:r w:rsidR="009C21A6" w:rsidRPr="003748EA">
        <w:t xml:space="preserve"> </w:t>
      </w:r>
      <w:r w:rsidR="009C21A6">
        <w:t>20</w:t>
      </w:r>
      <w:r w:rsidRPr="003748EA">
        <w:t>14</w:t>
      </w:r>
      <w:r w:rsidR="009C21A6">
        <w:t>.</w:t>
      </w:r>
      <w:r w:rsidR="00D72D58">
        <w:t xml:space="preserve"> &lt;</w:t>
      </w:r>
      <w:r w:rsidR="00D72D58" w:rsidRPr="00D72D58">
        <w:t>http://www.safetyandquality.gov.au/national-priorities/jwp-acsqhc-ihpa/</w:t>
      </w:r>
      <w:r w:rsidR="00D72D58">
        <w:t>&gt;.</w:t>
      </w:r>
    </w:p>
    <w:p w14:paraId="4E0E769C" w14:textId="77777777" w:rsidR="005B5818" w:rsidRPr="003748EA" w:rsidRDefault="005B5818" w:rsidP="005B5818">
      <w:r w:rsidRPr="003748EA">
        <w:t xml:space="preserve">Kalman I, McCarthy B (2007). </w:t>
      </w:r>
      <w:r w:rsidRPr="003748EA">
        <w:rPr>
          <w:i/>
        </w:rPr>
        <w:t>Benchmark studies of DRG systems used in the EU: Experience in Ireland and Germany</w:t>
      </w:r>
      <w:r w:rsidRPr="003748EA">
        <w:t>. European Commission Twinning Project Report.</w:t>
      </w:r>
    </w:p>
    <w:p w14:paraId="1BE923AE" w14:textId="77777777" w:rsidR="005B5818" w:rsidRPr="003748EA" w:rsidRDefault="005B5818" w:rsidP="005B5818">
      <w:proofErr w:type="spellStart"/>
      <w:r w:rsidRPr="003748EA">
        <w:t>Kobel</w:t>
      </w:r>
      <w:proofErr w:type="spellEnd"/>
      <w:r w:rsidRPr="003748EA">
        <w:t xml:space="preserve"> C, Pfeiffer K-P. (2011). Austria: Inpatient care and the LKF framework. Chapter 11 in </w:t>
      </w:r>
      <w:proofErr w:type="spellStart"/>
      <w:r w:rsidRPr="003748EA">
        <w:t>Busse</w:t>
      </w:r>
      <w:proofErr w:type="spellEnd"/>
      <w:r w:rsidRPr="003748EA">
        <w:t xml:space="preserve">, Geissler, Quentin &amp; Wiley, </w:t>
      </w:r>
      <w:r w:rsidRPr="003748EA">
        <w:rPr>
          <w:i/>
        </w:rPr>
        <w:t xml:space="preserve">Diagnosis Related Groups in Europe: Moving towards </w:t>
      </w:r>
      <w:r w:rsidRPr="003748EA">
        <w:rPr>
          <w:i/>
        </w:rPr>
        <w:lastRenderedPageBreak/>
        <w:t>transparency, efficiency and quality in hospitals</w:t>
      </w:r>
      <w:r w:rsidRPr="003748EA">
        <w:t>. UK: European Observatory on Health Systems and Policies/ McGraw-Hill.</w:t>
      </w:r>
    </w:p>
    <w:p w14:paraId="5A0A77FE" w14:textId="77777777" w:rsidR="005B5818" w:rsidRPr="003748EA" w:rsidRDefault="005B5818" w:rsidP="005B5818">
      <w:pPr>
        <w:rPr>
          <w:lang w:val="en-AU"/>
        </w:rPr>
      </w:pPr>
      <w:r w:rsidRPr="003748EA">
        <w:rPr>
          <w:lang w:val="en-AU"/>
        </w:rPr>
        <w:t xml:space="preserve">McNair PD, </w:t>
      </w:r>
      <w:proofErr w:type="spellStart"/>
      <w:r w:rsidRPr="003748EA">
        <w:rPr>
          <w:lang w:val="en-AU"/>
        </w:rPr>
        <w:t>Borovnicar</w:t>
      </w:r>
      <w:proofErr w:type="spellEnd"/>
      <w:r w:rsidRPr="003748EA">
        <w:rPr>
          <w:lang w:val="en-AU"/>
        </w:rPr>
        <w:t xml:space="preserve"> D, Jackson TJ, Gillett S. (2009a) Prospective payment to encourage system wide quality improvement. </w:t>
      </w:r>
      <w:r w:rsidRPr="003748EA">
        <w:rPr>
          <w:i/>
          <w:lang w:val="en-AU"/>
        </w:rPr>
        <w:t>Medical Care</w:t>
      </w:r>
      <w:r w:rsidRPr="003748EA">
        <w:rPr>
          <w:lang w:val="en-AU"/>
        </w:rPr>
        <w:t xml:space="preserve"> 47(3):272-278.</w:t>
      </w:r>
    </w:p>
    <w:p w14:paraId="5EAA2470" w14:textId="77777777" w:rsidR="005B5818" w:rsidRPr="003748EA" w:rsidRDefault="005B5818" w:rsidP="005B5818">
      <w:pPr>
        <w:rPr>
          <w:lang w:val="en-AU"/>
        </w:rPr>
      </w:pPr>
      <w:r w:rsidRPr="003748EA">
        <w:rPr>
          <w:lang w:val="en-AU"/>
        </w:rPr>
        <w:t>McNair PD, Luft HS, Bindman AB. (2009b).Medicare’s policy not to pay for treating hospital-acquired conditions: the impact. Health Affairs 28(5):1485-1493.</w:t>
      </w:r>
    </w:p>
    <w:p w14:paraId="4044BC5F" w14:textId="77777777" w:rsidR="005B5818" w:rsidRPr="003748EA" w:rsidRDefault="005B5818" w:rsidP="005B5818">
      <w:pPr>
        <w:rPr>
          <w:lang w:val="en-GB"/>
        </w:rPr>
      </w:pPr>
      <w:r w:rsidRPr="003748EA">
        <w:t xml:space="preserve">National </w:t>
      </w:r>
      <w:proofErr w:type="spellStart"/>
      <w:r w:rsidRPr="003748EA">
        <w:t>Casemix</w:t>
      </w:r>
      <w:proofErr w:type="spellEnd"/>
      <w:r w:rsidRPr="003748EA">
        <w:t xml:space="preserve"> and Classification Centre (NCCC). (2013). </w:t>
      </w:r>
      <w:r w:rsidRPr="003748EA">
        <w:rPr>
          <w:i/>
        </w:rPr>
        <w:t xml:space="preserve">Australian Refined Diagnosis Related Groups Version 7.0 Definitions Manual: Volume Three (Appendices). </w:t>
      </w:r>
      <w:r w:rsidRPr="003748EA">
        <w:t>Wollongong, NSW: NCCC, Australian Health Services Research Institute, University of Wollongong.</w:t>
      </w:r>
    </w:p>
    <w:p w14:paraId="27FB60A1" w14:textId="77777777" w:rsidR="005B5818" w:rsidRPr="003748EA" w:rsidRDefault="005B5818" w:rsidP="005B5818">
      <w:r w:rsidRPr="003748EA">
        <w:t xml:space="preserve">National </w:t>
      </w:r>
      <w:proofErr w:type="spellStart"/>
      <w:r w:rsidRPr="003748EA">
        <w:t>Casemix</w:t>
      </w:r>
      <w:proofErr w:type="spellEnd"/>
      <w:r w:rsidRPr="003748EA">
        <w:t xml:space="preserve"> and Classification Centre (NCCC). (2012</w:t>
      </w:r>
      <w:r w:rsidR="006E5DD8">
        <w:t>a</w:t>
      </w:r>
      <w:r w:rsidRPr="003748EA">
        <w:t xml:space="preserve">). </w:t>
      </w:r>
      <w:r w:rsidRPr="003748EA">
        <w:rPr>
          <w:i/>
        </w:rPr>
        <w:t>The International Statistical Classification of Diseases and Related Health Problems, Tenth Revision, Australian Modification, Australian Coding Standards (8th ed.)</w:t>
      </w:r>
      <w:r w:rsidRPr="003748EA">
        <w:t>. Wollongong, NSW: NCCC, Australian Health Services Research Institute, University of Wollongong.</w:t>
      </w:r>
    </w:p>
    <w:p w14:paraId="71B6CB57" w14:textId="77777777" w:rsidR="006E5DD8" w:rsidRPr="003748EA" w:rsidRDefault="006E5DD8" w:rsidP="006E5DD8">
      <w:r w:rsidRPr="003748EA">
        <w:t xml:space="preserve">National </w:t>
      </w:r>
      <w:proofErr w:type="spellStart"/>
      <w:r w:rsidRPr="003748EA">
        <w:t>Casemix</w:t>
      </w:r>
      <w:proofErr w:type="spellEnd"/>
      <w:r w:rsidRPr="003748EA">
        <w:t xml:space="preserve"> and Classification Centre (NCCC). (2012</w:t>
      </w:r>
      <w:r>
        <w:t>b</w:t>
      </w:r>
      <w:r w:rsidRPr="003748EA">
        <w:t xml:space="preserve">). </w:t>
      </w:r>
      <w:r w:rsidRPr="003748EA">
        <w:rPr>
          <w:i/>
        </w:rPr>
        <w:t>The International Statistical Classification of Diseases and Related Health Problems, Tenth Re</w:t>
      </w:r>
      <w:r>
        <w:rPr>
          <w:i/>
        </w:rPr>
        <w:t>vision, Australian Modification</w:t>
      </w:r>
      <w:r w:rsidRPr="006E5DD8">
        <w:t xml:space="preserve"> (ICD-10-AM) – Tabular List of Diseases</w:t>
      </w:r>
      <w:r w:rsidRPr="003748EA">
        <w:t>. Wollongong, NSW: NCCC, Australian Health Services Research Institute, University of Wollongong.</w:t>
      </w:r>
    </w:p>
    <w:p w14:paraId="0CA3B40E" w14:textId="77777777" w:rsidR="005B5818" w:rsidRPr="003748EA" w:rsidRDefault="005B5818" w:rsidP="005B5818">
      <w:r w:rsidRPr="003748EA">
        <w:t>National Centre for Classification In Health (2003). The Good Clinical Documentation Guide. Sydney NSW: NCCH, The University of Sydney: Commonwealth of Australia.</w:t>
      </w:r>
    </w:p>
    <w:p w14:paraId="7F3F42D7" w14:textId="77777777" w:rsidR="005B5818" w:rsidRPr="003748EA" w:rsidRDefault="005B5818" w:rsidP="005B5818">
      <w:proofErr w:type="spellStart"/>
      <w:r w:rsidRPr="003748EA">
        <w:t>Patris</w:t>
      </w:r>
      <w:proofErr w:type="spellEnd"/>
      <w:r w:rsidRPr="003748EA">
        <w:t xml:space="preserve"> A, Gomez S, Mendelsohn M. (2008). Refined French DRG with four severity levels. </w:t>
      </w:r>
      <w:r w:rsidRPr="003748EA">
        <w:rPr>
          <w:i/>
        </w:rPr>
        <w:t>AITH Working Paper</w:t>
      </w:r>
      <w:r w:rsidRPr="003748EA">
        <w:t xml:space="preserve">, Lyon: </w:t>
      </w:r>
      <w:proofErr w:type="spellStart"/>
      <w:r w:rsidRPr="003748EA">
        <w:t>Agence</w:t>
      </w:r>
      <w:proofErr w:type="spellEnd"/>
      <w:r w:rsidRPr="003748EA">
        <w:t xml:space="preserve"> Technique de </w:t>
      </w:r>
      <w:proofErr w:type="spellStart"/>
      <w:r w:rsidRPr="003748EA">
        <w:t>l’Information</w:t>
      </w:r>
      <w:proofErr w:type="spellEnd"/>
      <w:r w:rsidRPr="003748EA">
        <w:t xml:space="preserve"> sur </w:t>
      </w:r>
      <w:proofErr w:type="spellStart"/>
      <w:r w:rsidRPr="003748EA">
        <w:t>l’Hospitalisation</w:t>
      </w:r>
      <w:proofErr w:type="spellEnd"/>
      <w:r w:rsidRPr="003748EA">
        <w:t>.</w:t>
      </w:r>
    </w:p>
    <w:p w14:paraId="38F4366E" w14:textId="77777777" w:rsidR="005B5818" w:rsidRPr="003748EA" w:rsidRDefault="005B5818" w:rsidP="005B5818">
      <w:r w:rsidRPr="003748EA">
        <w:t xml:space="preserve">Quan H, Sundararajan V, </w:t>
      </w:r>
      <w:proofErr w:type="spellStart"/>
      <w:r w:rsidRPr="003748EA">
        <w:t>Halfon</w:t>
      </w:r>
      <w:proofErr w:type="spellEnd"/>
      <w:r w:rsidRPr="003748EA">
        <w:t xml:space="preserve"> P, Fong A, </w:t>
      </w:r>
      <w:proofErr w:type="spellStart"/>
      <w:r w:rsidRPr="003748EA">
        <w:t>Burnand</w:t>
      </w:r>
      <w:proofErr w:type="spellEnd"/>
      <w:r w:rsidRPr="003748EA">
        <w:t xml:space="preserve"> B, </w:t>
      </w:r>
      <w:proofErr w:type="spellStart"/>
      <w:r w:rsidRPr="003748EA">
        <w:t>Luthi</w:t>
      </w:r>
      <w:proofErr w:type="spellEnd"/>
      <w:r w:rsidRPr="003748EA">
        <w:t xml:space="preserve"> JC, Saunders LD, Beck CA, </w:t>
      </w:r>
      <w:proofErr w:type="spellStart"/>
      <w:r w:rsidRPr="003748EA">
        <w:t>Feasby</w:t>
      </w:r>
      <w:proofErr w:type="spellEnd"/>
      <w:r w:rsidRPr="003748EA">
        <w:t xml:space="preserve"> TA, </w:t>
      </w:r>
      <w:proofErr w:type="spellStart"/>
      <w:r w:rsidRPr="003748EA">
        <w:t>Ghali</w:t>
      </w:r>
      <w:proofErr w:type="spellEnd"/>
      <w:r w:rsidRPr="003748EA">
        <w:t xml:space="preserve"> WA. (2005). Coding algorithms for defining comorbidities in ICD-9-CM and ICD-10 administrative data. </w:t>
      </w:r>
      <w:r w:rsidRPr="003748EA">
        <w:rPr>
          <w:i/>
        </w:rPr>
        <w:t>Medical Care</w:t>
      </w:r>
      <w:r w:rsidRPr="003748EA">
        <w:t xml:space="preserve"> 43(11):1130-1139.</w:t>
      </w:r>
    </w:p>
    <w:p w14:paraId="0BD8EB69" w14:textId="77777777" w:rsidR="005B5818" w:rsidRPr="003748EA" w:rsidRDefault="005B5818" w:rsidP="005B5818">
      <w:r w:rsidRPr="003748EA">
        <w:t xml:space="preserve">Schumacher DN, Parker B, </w:t>
      </w:r>
      <w:proofErr w:type="spellStart"/>
      <w:r w:rsidRPr="003748EA">
        <w:t>Kofie</w:t>
      </w:r>
      <w:proofErr w:type="spellEnd"/>
      <w:r w:rsidRPr="003748EA">
        <w:t xml:space="preserve"> V, Munns JM. (1987). Severity of illness index and the adverse patient occurrence index: a reliability study and policy implications. </w:t>
      </w:r>
      <w:r w:rsidRPr="003748EA">
        <w:rPr>
          <w:i/>
        </w:rPr>
        <w:t>Medical Care</w:t>
      </w:r>
      <w:r w:rsidRPr="003748EA">
        <w:t xml:space="preserve"> 25(8):695-704.</w:t>
      </w:r>
    </w:p>
    <w:p w14:paraId="1BCBDFA2" w14:textId="77777777" w:rsidR="005B5818" w:rsidRPr="002D07BD" w:rsidRDefault="005B5818" w:rsidP="00923D9A">
      <w:pPr>
        <w:spacing w:after="0" w:line="240" w:lineRule="auto"/>
        <w:rPr>
          <w:b/>
          <w:sz w:val="32"/>
          <w:szCs w:val="32"/>
        </w:rPr>
      </w:pPr>
      <w:r w:rsidRPr="003748EA">
        <w:lastRenderedPageBreak/>
        <w:t xml:space="preserve">Smits HL, Fetter RB, McMahon LF. (1983). Variation in resource use within diagnosis-related groups: the severity issue. </w:t>
      </w:r>
      <w:r w:rsidRPr="003748EA">
        <w:rPr>
          <w:i/>
        </w:rPr>
        <w:t>Health Care Financing Review</w:t>
      </w:r>
      <w:r w:rsidRPr="003748EA">
        <w:t>, Suppl:</w:t>
      </w:r>
      <w:r w:rsidR="006B44EE">
        <w:t xml:space="preserve"> </w:t>
      </w:r>
      <w:r w:rsidRPr="003748EA">
        <w:t>71-78.</w:t>
      </w:r>
    </w:p>
    <w:p w14:paraId="774EFE13" w14:textId="77777777" w:rsidR="005B5818" w:rsidRPr="00833181" w:rsidRDefault="005B5818" w:rsidP="00B60372">
      <w:pPr>
        <w:pStyle w:val="Heading2"/>
      </w:pPr>
      <w:bookmarkStart w:id="207" w:name="_Toc401061051"/>
      <w:r w:rsidRPr="007861FE">
        <w:lastRenderedPageBreak/>
        <w:t>Appendices</w:t>
      </w:r>
      <w:bookmarkEnd w:id="207"/>
    </w:p>
    <w:p w14:paraId="2C760FE5" w14:textId="742FFB0A" w:rsidR="005B5818" w:rsidRPr="007861FE" w:rsidRDefault="00000000" w:rsidP="005B5818">
      <w:pPr>
        <w:ind w:left="1440" w:hanging="1440"/>
        <w:rPr>
          <w:szCs w:val="24"/>
          <w:lang w:val="en-AU"/>
        </w:rPr>
      </w:pPr>
      <w:hyperlink r:id="rId808" w:history="1">
        <w:r w:rsidR="000944A7" w:rsidRPr="00F85278">
          <w:rPr>
            <w:rStyle w:val="Hyperlink"/>
            <w:noProof w:val="0"/>
          </w:rPr>
          <w:t>Appendix 1</w:t>
        </w:r>
      </w:hyperlink>
      <w:r w:rsidR="000944A7" w:rsidRPr="003B2F85">
        <w:t>:</w:t>
      </w:r>
      <w:r w:rsidR="005B5818" w:rsidRPr="007861FE">
        <w:rPr>
          <w:szCs w:val="24"/>
          <w:lang w:val="en-AU"/>
        </w:rPr>
        <w:tab/>
        <w:t>What approaches to DRG development have been taken internationally to account for complications and comorbidities? (Discussion paper)</w:t>
      </w:r>
    </w:p>
    <w:p w14:paraId="484C9ABC" w14:textId="6F9DC7BC" w:rsidR="005B5818" w:rsidRPr="007861FE" w:rsidRDefault="00000000" w:rsidP="005B5818">
      <w:pPr>
        <w:ind w:left="1418" w:hanging="1418"/>
        <w:rPr>
          <w:szCs w:val="24"/>
          <w:lang w:val="en-AU"/>
        </w:rPr>
      </w:pPr>
      <w:hyperlink r:id="rId809" w:history="1">
        <w:r w:rsidR="000944A7" w:rsidRPr="00F85278">
          <w:rPr>
            <w:rStyle w:val="Hyperlink"/>
            <w:noProof w:val="0"/>
          </w:rPr>
          <w:t>Appendix 2</w:t>
        </w:r>
      </w:hyperlink>
      <w:r w:rsidR="000944A7" w:rsidRPr="003B2F85">
        <w:t>:</w:t>
      </w:r>
      <w:r w:rsidR="005B5818" w:rsidRPr="007861FE">
        <w:rPr>
          <w:szCs w:val="24"/>
          <w:lang w:val="en-AU"/>
        </w:rPr>
        <w:tab/>
        <w:t>List of Chapter 18 Signs and symptoms codes with DCL in-scope codes</w:t>
      </w:r>
      <w:r w:rsidR="005B5818">
        <w:rPr>
          <w:szCs w:val="24"/>
          <w:lang w:val="en-AU"/>
        </w:rPr>
        <w:t xml:space="preserve"> </w:t>
      </w:r>
      <w:r w:rsidR="005B5818" w:rsidRPr="007861FE">
        <w:rPr>
          <w:szCs w:val="24"/>
          <w:lang w:val="en-AU"/>
        </w:rPr>
        <w:t>identified</w:t>
      </w:r>
    </w:p>
    <w:p w14:paraId="3DD8F045" w14:textId="21D50271" w:rsidR="005B5818" w:rsidRPr="007861FE" w:rsidRDefault="00000000" w:rsidP="005B5818">
      <w:pPr>
        <w:ind w:left="1440" w:hanging="1440"/>
        <w:rPr>
          <w:szCs w:val="24"/>
          <w:lang w:val="en-AU"/>
        </w:rPr>
      </w:pPr>
      <w:hyperlink r:id="rId810" w:history="1">
        <w:r w:rsidR="000944A7" w:rsidRPr="00F85278">
          <w:rPr>
            <w:rStyle w:val="Hyperlink"/>
            <w:noProof w:val="0"/>
          </w:rPr>
          <w:t>Appendix 3</w:t>
        </w:r>
      </w:hyperlink>
      <w:r w:rsidR="000944A7" w:rsidRPr="003B2F85">
        <w:t>:</w:t>
      </w:r>
      <w:r w:rsidR="005B5818" w:rsidRPr="007861FE">
        <w:rPr>
          <w:szCs w:val="24"/>
          <w:lang w:val="en-AU"/>
        </w:rPr>
        <w:tab/>
        <w:t xml:space="preserve">List of all Chapter 21 codes with Unacceptable </w:t>
      </w:r>
      <w:proofErr w:type="spellStart"/>
      <w:r w:rsidR="005B5818" w:rsidRPr="007861FE">
        <w:rPr>
          <w:szCs w:val="24"/>
          <w:lang w:val="en-AU"/>
        </w:rPr>
        <w:t>PDx</w:t>
      </w:r>
      <w:proofErr w:type="spellEnd"/>
      <w:r w:rsidR="005B5818" w:rsidRPr="007861FE">
        <w:rPr>
          <w:szCs w:val="24"/>
          <w:lang w:val="en-AU"/>
        </w:rPr>
        <w:t xml:space="preserve"> codes and DCL in-scope codes identified</w:t>
      </w:r>
    </w:p>
    <w:p w14:paraId="468655F7" w14:textId="52151BE9" w:rsidR="005B5818" w:rsidRPr="007861FE" w:rsidRDefault="00000000" w:rsidP="005B5818">
      <w:pPr>
        <w:ind w:left="1440" w:hanging="1440"/>
        <w:rPr>
          <w:szCs w:val="24"/>
          <w:lang w:val="en-AU"/>
        </w:rPr>
      </w:pPr>
      <w:hyperlink r:id="rId811" w:history="1">
        <w:r w:rsidR="000944A7" w:rsidRPr="00F85278">
          <w:rPr>
            <w:rStyle w:val="Hyperlink"/>
            <w:noProof w:val="0"/>
          </w:rPr>
          <w:t>Appendix 4</w:t>
        </w:r>
      </w:hyperlink>
      <w:r w:rsidR="000944A7" w:rsidRPr="003B2F85">
        <w:t>:</w:t>
      </w:r>
      <w:r w:rsidR="005B5818" w:rsidRPr="007861FE">
        <w:rPr>
          <w:szCs w:val="24"/>
          <w:lang w:val="en-AU"/>
        </w:rPr>
        <w:tab/>
        <w:t xml:space="preserve">List of all Unacceptable </w:t>
      </w:r>
      <w:proofErr w:type="spellStart"/>
      <w:r w:rsidR="005B5818" w:rsidRPr="007861FE">
        <w:rPr>
          <w:szCs w:val="24"/>
          <w:lang w:val="en-AU"/>
        </w:rPr>
        <w:t>PDx</w:t>
      </w:r>
      <w:proofErr w:type="spellEnd"/>
      <w:r w:rsidR="005B5818" w:rsidRPr="007861FE">
        <w:rPr>
          <w:szCs w:val="24"/>
          <w:lang w:val="en-AU"/>
        </w:rPr>
        <w:t xml:space="preserve"> codes with DCL in-scope codes identified</w:t>
      </w:r>
    </w:p>
    <w:p w14:paraId="2A9CC8D6" w14:textId="4B00BB3A" w:rsidR="005B5818" w:rsidRPr="007861FE" w:rsidRDefault="00000000" w:rsidP="005B5818">
      <w:pPr>
        <w:ind w:left="1440" w:hanging="1440"/>
        <w:rPr>
          <w:szCs w:val="24"/>
          <w:lang w:val="en-AU"/>
        </w:rPr>
      </w:pPr>
      <w:hyperlink r:id="rId812" w:history="1">
        <w:r w:rsidR="000944A7" w:rsidRPr="00F85278">
          <w:rPr>
            <w:rStyle w:val="Hyperlink"/>
            <w:noProof w:val="0"/>
          </w:rPr>
          <w:t>Appendix 5</w:t>
        </w:r>
      </w:hyperlink>
      <w:r w:rsidR="000944A7" w:rsidRPr="003B2F85">
        <w:t>:</w:t>
      </w:r>
      <w:r w:rsidR="005B5818" w:rsidRPr="007861FE">
        <w:rPr>
          <w:szCs w:val="24"/>
          <w:lang w:val="en-AU"/>
        </w:rPr>
        <w:tab/>
        <w:t>Special case unconditional exclusions: sequelae codes</w:t>
      </w:r>
    </w:p>
    <w:p w14:paraId="5BD186FE" w14:textId="5EECB983" w:rsidR="005B5818" w:rsidRPr="007861FE" w:rsidRDefault="00000000" w:rsidP="005B5818">
      <w:pPr>
        <w:ind w:left="1440" w:hanging="1440"/>
        <w:rPr>
          <w:szCs w:val="24"/>
          <w:lang w:val="en-AU"/>
        </w:rPr>
      </w:pPr>
      <w:hyperlink r:id="rId813" w:history="1">
        <w:r w:rsidR="000944A7" w:rsidRPr="00F85278">
          <w:rPr>
            <w:rStyle w:val="Hyperlink"/>
            <w:noProof w:val="0"/>
          </w:rPr>
          <w:t>Appendix 6</w:t>
        </w:r>
      </w:hyperlink>
      <w:r w:rsidR="000944A7" w:rsidRPr="003B2F85">
        <w:t>:</w:t>
      </w:r>
      <w:r w:rsidR="005B5818" w:rsidRPr="007861FE">
        <w:rPr>
          <w:szCs w:val="24"/>
          <w:lang w:val="en-AU"/>
        </w:rPr>
        <w:tab/>
        <w:t>Special case unconditional exclusions: full-time dagger codes</w:t>
      </w:r>
    </w:p>
    <w:p w14:paraId="1034A288" w14:textId="0039FB5C" w:rsidR="005B5818" w:rsidRPr="00843030" w:rsidRDefault="00000000" w:rsidP="005B5818">
      <w:pPr>
        <w:ind w:left="1440" w:hanging="1440"/>
        <w:rPr>
          <w:szCs w:val="24"/>
          <w:lang w:val="en-AU"/>
        </w:rPr>
      </w:pPr>
      <w:hyperlink r:id="rId814" w:history="1">
        <w:r w:rsidR="000944A7" w:rsidRPr="00F85278">
          <w:rPr>
            <w:rStyle w:val="Hyperlink"/>
            <w:noProof w:val="0"/>
          </w:rPr>
          <w:t>Appendix 7</w:t>
        </w:r>
      </w:hyperlink>
      <w:r w:rsidR="000944A7" w:rsidRPr="003B2F85">
        <w:t>:</w:t>
      </w:r>
      <w:r w:rsidR="005B5818" w:rsidRPr="007861FE">
        <w:rPr>
          <w:szCs w:val="24"/>
          <w:lang w:val="en-AU"/>
        </w:rPr>
        <w:tab/>
        <w:t>Special case conditional exclusions: asterisk</w:t>
      </w:r>
      <w:r w:rsidR="005B5818">
        <w:rPr>
          <w:szCs w:val="24"/>
          <w:lang w:val="en-AU"/>
        </w:rPr>
        <w:t xml:space="preserve"> codes with single dagger codes</w:t>
      </w:r>
    </w:p>
    <w:p w14:paraId="4E4BF03B" w14:textId="37242D90" w:rsidR="005B5818" w:rsidRDefault="00000000" w:rsidP="005E10D1">
      <w:pPr>
        <w:ind w:left="1440" w:hanging="1440"/>
        <w:rPr>
          <w:lang w:val="en-AU"/>
        </w:rPr>
      </w:pPr>
      <w:hyperlink r:id="rId815" w:history="1">
        <w:r w:rsidR="000944A7" w:rsidRPr="00F85278">
          <w:rPr>
            <w:rStyle w:val="Hyperlink"/>
            <w:noProof w:val="0"/>
          </w:rPr>
          <w:t>Appendix 8</w:t>
        </w:r>
      </w:hyperlink>
      <w:r w:rsidR="000944A7" w:rsidRPr="003B2F85">
        <w:t>:</w:t>
      </w:r>
      <w:r w:rsidR="005B5818" w:rsidRPr="007861FE">
        <w:rPr>
          <w:rFonts w:eastAsiaTheme="minorEastAsia"/>
          <w:szCs w:val="24"/>
          <w:lang w:val="en-AU"/>
        </w:rPr>
        <w:tab/>
      </w:r>
      <w:r w:rsidR="005B5818" w:rsidRPr="00DF0737">
        <w:rPr>
          <w:rFonts w:eastAsiaTheme="minorEastAsia"/>
          <w:szCs w:val="24"/>
          <w:lang w:val="en-AU"/>
        </w:rPr>
        <w:t>List of in-scope diagnosis codes with their Coherent Diagnosis Class</w:t>
      </w:r>
    </w:p>
    <w:p w14:paraId="524BE372" w14:textId="77777777" w:rsidR="005B5818" w:rsidRDefault="005B5818" w:rsidP="00B60372">
      <w:pPr>
        <w:pStyle w:val="Heading2"/>
      </w:pPr>
      <w:bookmarkStart w:id="208" w:name="_Toc401061052"/>
      <w:r>
        <w:lastRenderedPageBreak/>
        <w:t>List of Figures</w:t>
      </w:r>
      <w:bookmarkEnd w:id="208"/>
    </w:p>
    <w:p w14:paraId="4461685A" w14:textId="77777777" w:rsidR="00B60372" w:rsidRDefault="005559F5">
      <w:pPr>
        <w:pStyle w:val="TableofFigures"/>
        <w:tabs>
          <w:tab w:val="right" w:leader="dot" w:pos="9017"/>
        </w:tabs>
        <w:rPr>
          <w:rFonts w:eastAsiaTheme="minorEastAsia"/>
          <w:noProof/>
          <w:sz w:val="22"/>
          <w:lang w:val="en-AU" w:eastAsia="en-AU"/>
        </w:rPr>
      </w:pPr>
      <w:r w:rsidRPr="00FC780F">
        <w:fldChar w:fldCharType="begin"/>
      </w:r>
      <w:r w:rsidR="005B5818" w:rsidRPr="00FC780F">
        <w:instrText xml:space="preserve"> TOC \h \z \c "Figure" </w:instrText>
      </w:r>
      <w:r w:rsidRPr="00FC780F">
        <w:fldChar w:fldCharType="separate"/>
      </w:r>
      <w:hyperlink w:anchor="_Toc401061054" w:history="1">
        <w:r w:rsidR="00B60372" w:rsidRPr="00CF0576">
          <w:rPr>
            <w:rStyle w:val="Hyperlink"/>
          </w:rPr>
          <w:t>Figure 1: The AR-DRG Classification System Development and Refinement Services Governance Structure.</w:t>
        </w:r>
        <w:r w:rsidR="00B60372">
          <w:rPr>
            <w:noProof/>
            <w:webHidden/>
          </w:rPr>
          <w:tab/>
        </w:r>
        <w:r w:rsidR="00B60372">
          <w:rPr>
            <w:noProof/>
            <w:webHidden/>
          </w:rPr>
          <w:fldChar w:fldCharType="begin"/>
        </w:r>
        <w:r w:rsidR="00B60372">
          <w:rPr>
            <w:noProof/>
            <w:webHidden/>
          </w:rPr>
          <w:instrText xml:space="preserve"> PAGEREF _Toc401061054 \h </w:instrText>
        </w:r>
        <w:r w:rsidR="00B60372">
          <w:rPr>
            <w:noProof/>
            <w:webHidden/>
          </w:rPr>
        </w:r>
        <w:r w:rsidR="00B60372">
          <w:rPr>
            <w:noProof/>
            <w:webHidden/>
          </w:rPr>
          <w:fldChar w:fldCharType="separate"/>
        </w:r>
        <w:r w:rsidR="0031717B">
          <w:rPr>
            <w:noProof/>
            <w:webHidden/>
          </w:rPr>
          <w:t>26</w:t>
        </w:r>
        <w:r w:rsidR="00B60372">
          <w:rPr>
            <w:noProof/>
            <w:webHidden/>
          </w:rPr>
          <w:fldChar w:fldCharType="end"/>
        </w:r>
      </w:hyperlink>
    </w:p>
    <w:p w14:paraId="67ED19A9" w14:textId="77777777" w:rsidR="00B60372" w:rsidRDefault="00000000">
      <w:pPr>
        <w:pStyle w:val="TableofFigures"/>
        <w:tabs>
          <w:tab w:val="right" w:leader="dot" w:pos="9017"/>
        </w:tabs>
        <w:rPr>
          <w:rFonts w:eastAsiaTheme="minorEastAsia"/>
          <w:noProof/>
          <w:sz w:val="22"/>
          <w:lang w:val="en-AU" w:eastAsia="en-AU"/>
        </w:rPr>
      </w:pPr>
      <w:hyperlink w:anchor="_Toc401061055" w:history="1">
        <w:r w:rsidR="00B60372" w:rsidRPr="00CF0576">
          <w:rPr>
            <w:rStyle w:val="Hyperlink"/>
          </w:rPr>
          <w:t xml:space="preserve">Figure 2: Illustration of ADRG cost profiles – mean, median and interquartile range costs of </w:t>
        </w:r>
        <w:r w:rsidR="00B60372" w:rsidRPr="0084513A">
          <w:rPr>
            <w:noProof/>
            <w:position w:val="-14"/>
          </w:rPr>
          <w:object w:dxaOrig="900" w:dyaOrig="400" w14:anchorId="6D986D69">
            <v:shape id="_x0000_i1471" type="#_x0000_t75" style="width:46.5pt;height:20.25pt" o:ole="">
              <v:imagedata r:id="rId47" o:title=""/>
            </v:shape>
            <o:OLEObject Type="Embed" ProgID="Equation.DSMT4" ShapeID="_x0000_i1471" DrawAspect="Content" ObjectID="_1775046107" r:id="rId816"/>
          </w:object>
        </w:r>
        <w:r w:rsidR="00B60372" w:rsidRPr="00CF0576">
          <w:rPr>
            <w:rStyle w:val="Hyperlink"/>
          </w:rPr>
          <w:t xml:space="preserve"> for </w:t>
        </w:r>
        <w:r w:rsidR="00B60372" w:rsidRPr="0084513A">
          <w:rPr>
            <w:noProof/>
            <w:position w:val="-10"/>
          </w:rPr>
          <w:object w:dxaOrig="1060" w:dyaOrig="320" w14:anchorId="0BAA38E1">
            <v:shape id="_x0000_i1472" type="#_x0000_t75" style="width:53.25pt;height:15.75pt" o:ole="">
              <v:imagedata r:id="rId49" o:title=""/>
            </v:shape>
            <o:OLEObject Type="Embed" ProgID="Equation.DSMT4" ShapeID="_x0000_i1472" DrawAspect="Content" ObjectID="_1775046108" r:id="rId817"/>
          </w:object>
        </w:r>
        <w:r w:rsidR="00B60372" w:rsidRPr="00CF0576">
          <w:rPr>
            <w:rStyle w:val="Hyperlink"/>
          </w:rPr>
          <w:t>.</w:t>
        </w:r>
        <w:r w:rsidR="00B60372">
          <w:rPr>
            <w:noProof/>
            <w:webHidden/>
          </w:rPr>
          <w:tab/>
        </w:r>
        <w:r w:rsidR="00B60372">
          <w:rPr>
            <w:noProof/>
            <w:webHidden/>
          </w:rPr>
          <w:fldChar w:fldCharType="begin"/>
        </w:r>
        <w:r w:rsidR="00B60372">
          <w:rPr>
            <w:noProof/>
            <w:webHidden/>
          </w:rPr>
          <w:instrText xml:space="preserve"> PAGEREF _Toc401061055 \h </w:instrText>
        </w:r>
        <w:r w:rsidR="00B60372">
          <w:rPr>
            <w:noProof/>
            <w:webHidden/>
          </w:rPr>
        </w:r>
        <w:r w:rsidR="00B60372">
          <w:rPr>
            <w:noProof/>
            <w:webHidden/>
          </w:rPr>
          <w:fldChar w:fldCharType="separate"/>
        </w:r>
        <w:r w:rsidR="0031717B">
          <w:rPr>
            <w:noProof/>
            <w:webHidden/>
          </w:rPr>
          <w:t>32</w:t>
        </w:r>
        <w:r w:rsidR="00B60372">
          <w:rPr>
            <w:noProof/>
            <w:webHidden/>
          </w:rPr>
          <w:fldChar w:fldCharType="end"/>
        </w:r>
      </w:hyperlink>
    </w:p>
    <w:p w14:paraId="0DFE67DA" w14:textId="77777777" w:rsidR="00B60372" w:rsidRDefault="00000000">
      <w:pPr>
        <w:pStyle w:val="TableofFigures"/>
        <w:tabs>
          <w:tab w:val="right" w:leader="dot" w:pos="9017"/>
        </w:tabs>
        <w:rPr>
          <w:rFonts w:eastAsiaTheme="minorEastAsia"/>
          <w:noProof/>
          <w:sz w:val="22"/>
          <w:lang w:val="en-AU" w:eastAsia="en-AU"/>
        </w:rPr>
      </w:pPr>
      <w:hyperlink w:anchor="_Toc401061056" w:history="1">
        <w:r w:rsidR="00B60372" w:rsidRPr="00CF0576">
          <w:rPr>
            <w:rStyle w:val="Hyperlink"/>
          </w:rPr>
          <w:t xml:space="preserve">Figure 3: Illustration of mean diagnosis profile costs of diagnosis </w:t>
        </w:r>
        <w:r w:rsidR="00B60372" w:rsidRPr="006400E1">
          <w:rPr>
            <w:noProof/>
            <w:position w:val="-6"/>
          </w:rPr>
          <w:object w:dxaOrig="200" w:dyaOrig="220" w14:anchorId="1C54BA3A">
            <v:shape id="_x0000_i1473" type="#_x0000_t75" style="width:9.75pt;height:11.25pt" o:ole="">
              <v:imagedata r:id="rId52" o:title=""/>
            </v:shape>
            <o:OLEObject Type="Embed" ProgID="Equation.DSMT4" ShapeID="_x0000_i1473" DrawAspect="Content" ObjectID="_1775046109" r:id="rId818"/>
          </w:object>
        </w:r>
        <w:r w:rsidR="00B60372" w:rsidRPr="00CF0576">
          <w:rPr>
            <w:rStyle w:val="Hyperlink"/>
          </w:rPr>
          <w:t xml:space="preserve"> in B66.</w:t>
        </w:r>
        <w:r w:rsidR="00B60372">
          <w:rPr>
            <w:noProof/>
            <w:webHidden/>
          </w:rPr>
          <w:tab/>
        </w:r>
        <w:r w:rsidR="00B60372">
          <w:rPr>
            <w:noProof/>
            <w:webHidden/>
          </w:rPr>
          <w:fldChar w:fldCharType="begin"/>
        </w:r>
        <w:r w:rsidR="00B60372">
          <w:rPr>
            <w:noProof/>
            <w:webHidden/>
          </w:rPr>
          <w:instrText xml:space="preserve"> PAGEREF _Toc401061056 \h </w:instrText>
        </w:r>
        <w:r w:rsidR="00B60372">
          <w:rPr>
            <w:noProof/>
            <w:webHidden/>
          </w:rPr>
        </w:r>
        <w:r w:rsidR="00B60372">
          <w:rPr>
            <w:noProof/>
            <w:webHidden/>
          </w:rPr>
          <w:fldChar w:fldCharType="separate"/>
        </w:r>
        <w:r w:rsidR="0031717B">
          <w:rPr>
            <w:noProof/>
            <w:webHidden/>
          </w:rPr>
          <w:t>33</w:t>
        </w:r>
        <w:r w:rsidR="00B60372">
          <w:rPr>
            <w:noProof/>
            <w:webHidden/>
          </w:rPr>
          <w:fldChar w:fldCharType="end"/>
        </w:r>
      </w:hyperlink>
    </w:p>
    <w:p w14:paraId="73E2C88B" w14:textId="77777777" w:rsidR="00B60372" w:rsidRDefault="00000000">
      <w:pPr>
        <w:pStyle w:val="TableofFigures"/>
        <w:tabs>
          <w:tab w:val="right" w:leader="dot" w:pos="9017"/>
        </w:tabs>
        <w:rPr>
          <w:rFonts w:eastAsiaTheme="minorEastAsia"/>
          <w:noProof/>
          <w:sz w:val="22"/>
          <w:lang w:val="en-AU" w:eastAsia="en-AU"/>
        </w:rPr>
      </w:pPr>
      <w:hyperlink w:anchor="_Toc401061057" w:history="1">
        <w:r w:rsidR="00B60372" w:rsidRPr="00CF0576">
          <w:rPr>
            <w:rStyle w:val="Hyperlink"/>
          </w:rPr>
          <w:t xml:space="preserve">Figure 4: Scatter plot of diagnosis profile mean cost by CCL value for diseases occurring in </w:t>
        </w:r>
        <w:r w:rsidR="00B60372" w:rsidRPr="00F57A4C">
          <w:rPr>
            <w:noProof/>
            <w:position w:val="-14"/>
          </w:rPr>
          <w:object w:dxaOrig="940" w:dyaOrig="400" w14:anchorId="7978F62B">
            <v:shape id="_x0000_i1474" type="#_x0000_t75" style="width:47.25pt;height:20.25pt" o:ole="">
              <v:imagedata r:id="rId122" o:title=""/>
            </v:shape>
            <o:OLEObject Type="Embed" ProgID="Equation.DSMT4" ShapeID="_x0000_i1474" DrawAspect="Content" ObjectID="_1775046110" r:id="rId819"/>
          </w:object>
        </w:r>
        <w:r w:rsidR="00B60372" w:rsidRPr="00CF0576">
          <w:rPr>
            <w:rStyle w:val="Hyperlink"/>
          </w:rPr>
          <w:t>.</w:t>
        </w:r>
        <w:r w:rsidR="00B60372">
          <w:rPr>
            <w:noProof/>
            <w:webHidden/>
          </w:rPr>
          <w:tab/>
        </w:r>
        <w:r w:rsidR="00B60372">
          <w:rPr>
            <w:noProof/>
            <w:webHidden/>
          </w:rPr>
          <w:fldChar w:fldCharType="begin"/>
        </w:r>
        <w:r w:rsidR="00B60372">
          <w:rPr>
            <w:noProof/>
            <w:webHidden/>
          </w:rPr>
          <w:instrText xml:space="preserve"> PAGEREF _Toc401061057 \h </w:instrText>
        </w:r>
        <w:r w:rsidR="00B60372">
          <w:rPr>
            <w:noProof/>
            <w:webHidden/>
          </w:rPr>
        </w:r>
        <w:r w:rsidR="00B60372">
          <w:rPr>
            <w:noProof/>
            <w:webHidden/>
          </w:rPr>
          <w:fldChar w:fldCharType="separate"/>
        </w:r>
        <w:r w:rsidR="0031717B">
          <w:rPr>
            <w:noProof/>
            <w:webHidden/>
          </w:rPr>
          <w:t>34</w:t>
        </w:r>
        <w:r w:rsidR="00B60372">
          <w:rPr>
            <w:noProof/>
            <w:webHidden/>
          </w:rPr>
          <w:fldChar w:fldCharType="end"/>
        </w:r>
      </w:hyperlink>
    </w:p>
    <w:p w14:paraId="5E347F18" w14:textId="77777777" w:rsidR="00B60372" w:rsidRDefault="00000000">
      <w:pPr>
        <w:pStyle w:val="TableofFigures"/>
        <w:tabs>
          <w:tab w:val="right" w:leader="dot" w:pos="9017"/>
        </w:tabs>
        <w:rPr>
          <w:rFonts w:eastAsiaTheme="minorEastAsia"/>
          <w:noProof/>
          <w:sz w:val="22"/>
          <w:lang w:val="en-AU" w:eastAsia="en-AU"/>
        </w:rPr>
      </w:pPr>
      <w:hyperlink w:anchor="_Toc401061058" w:history="1">
        <w:r w:rsidR="00B60372" w:rsidRPr="00CF0576">
          <w:rPr>
            <w:rStyle w:val="Hyperlink"/>
          </w:rPr>
          <w:t xml:space="preserve">Figure 5: Scatter plot of diagnosis profile mean cost by CCL value for diseases occurring in </w:t>
        </w:r>
        <w:r w:rsidR="00B60372" w:rsidRPr="00F57A4C">
          <w:rPr>
            <w:noProof/>
            <w:position w:val="-14"/>
          </w:rPr>
          <w:object w:dxaOrig="920" w:dyaOrig="400" w14:anchorId="3088CB2E">
            <v:shape id="_x0000_i1475" type="#_x0000_t75" style="width:45.75pt;height:20.25pt" o:ole="">
              <v:imagedata r:id="rId124" o:title=""/>
            </v:shape>
            <o:OLEObject Type="Embed" ProgID="Equation.DSMT4" ShapeID="_x0000_i1475" DrawAspect="Content" ObjectID="_1775046111" r:id="rId820"/>
          </w:object>
        </w:r>
        <w:r w:rsidR="00B60372" w:rsidRPr="00CF0576">
          <w:rPr>
            <w:rStyle w:val="Hyperlink"/>
          </w:rPr>
          <w:t>.</w:t>
        </w:r>
        <w:r w:rsidR="00B60372">
          <w:rPr>
            <w:noProof/>
            <w:webHidden/>
          </w:rPr>
          <w:tab/>
        </w:r>
        <w:r w:rsidR="00B60372">
          <w:rPr>
            <w:noProof/>
            <w:webHidden/>
          </w:rPr>
          <w:fldChar w:fldCharType="begin"/>
        </w:r>
        <w:r w:rsidR="00B60372">
          <w:rPr>
            <w:noProof/>
            <w:webHidden/>
          </w:rPr>
          <w:instrText xml:space="preserve"> PAGEREF _Toc401061058 \h </w:instrText>
        </w:r>
        <w:r w:rsidR="00B60372">
          <w:rPr>
            <w:noProof/>
            <w:webHidden/>
          </w:rPr>
        </w:r>
        <w:r w:rsidR="00B60372">
          <w:rPr>
            <w:noProof/>
            <w:webHidden/>
          </w:rPr>
          <w:fldChar w:fldCharType="separate"/>
        </w:r>
        <w:r w:rsidR="0031717B">
          <w:rPr>
            <w:noProof/>
            <w:webHidden/>
          </w:rPr>
          <w:t>35</w:t>
        </w:r>
        <w:r w:rsidR="00B60372">
          <w:rPr>
            <w:noProof/>
            <w:webHidden/>
          </w:rPr>
          <w:fldChar w:fldCharType="end"/>
        </w:r>
      </w:hyperlink>
    </w:p>
    <w:p w14:paraId="1EFCACA3" w14:textId="77777777" w:rsidR="00B60372" w:rsidRDefault="00000000">
      <w:pPr>
        <w:pStyle w:val="TableofFigures"/>
        <w:tabs>
          <w:tab w:val="right" w:leader="dot" w:pos="9017"/>
        </w:tabs>
        <w:rPr>
          <w:rFonts w:eastAsiaTheme="minorEastAsia"/>
          <w:noProof/>
          <w:sz w:val="22"/>
          <w:lang w:val="en-AU" w:eastAsia="en-AU"/>
        </w:rPr>
      </w:pPr>
      <w:hyperlink w:anchor="_Toc401061059" w:history="1">
        <w:r w:rsidR="00B60372" w:rsidRPr="00CF0576">
          <w:rPr>
            <w:rStyle w:val="Hyperlink"/>
          </w:rPr>
          <w:t>Figure 6: Distribution of Pearson correlation coefficients across ADRGs resulting from comparison of CCLs and diagnosis profile mean costs of episodes with two diagnoses.</w:t>
        </w:r>
        <w:r w:rsidR="00B60372">
          <w:rPr>
            <w:noProof/>
            <w:webHidden/>
          </w:rPr>
          <w:tab/>
        </w:r>
        <w:r w:rsidR="00B60372">
          <w:rPr>
            <w:noProof/>
            <w:webHidden/>
          </w:rPr>
          <w:fldChar w:fldCharType="begin"/>
        </w:r>
        <w:r w:rsidR="00B60372">
          <w:rPr>
            <w:noProof/>
            <w:webHidden/>
          </w:rPr>
          <w:instrText xml:space="preserve"> PAGEREF _Toc401061059 \h </w:instrText>
        </w:r>
        <w:r w:rsidR="00B60372">
          <w:rPr>
            <w:noProof/>
            <w:webHidden/>
          </w:rPr>
        </w:r>
        <w:r w:rsidR="00B60372">
          <w:rPr>
            <w:noProof/>
            <w:webHidden/>
          </w:rPr>
          <w:fldChar w:fldCharType="separate"/>
        </w:r>
        <w:r w:rsidR="0031717B">
          <w:rPr>
            <w:noProof/>
            <w:webHidden/>
          </w:rPr>
          <w:t>36</w:t>
        </w:r>
        <w:r w:rsidR="00B60372">
          <w:rPr>
            <w:noProof/>
            <w:webHidden/>
          </w:rPr>
          <w:fldChar w:fldCharType="end"/>
        </w:r>
      </w:hyperlink>
    </w:p>
    <w:p w14:paraId="5E77B8CA" w14:textId="77777777" w:rsidR="00B60372" w:rsidRDefault="00000000">
      <w:pPr>
        <w:pStyle w:val="TableofFigures"/>
        <w:tabs>
          <w:tab w:val="right" w:leader="dot" w:pos="9017"/>
        </w:tabs>
        <w:rPr>
          <w:rFonts w:eastAsiaTheme="minorEastAsia"/>
          <w:noProof/>
          <w:sz w:val="22"/>
          <w:lang w:val="en-AU" w:eastAsia="en-AU"/>
        </w:rPr>
      </w:pPr>
      <w:hyperlink w:anchor="_Toc401061060" w:history="1">
        <w:r w:rsidR="00B60372" w:rsidRPr="00CF0576">
          <w:rPr>
            <w:rStyle w:val="Hyperlink"/>
          </w:rPr>
          <w:t xml:space="preserve">Figure 7: Illustration of the change in cost associated with </w:t>
        </w:r>
        <w:r w:rsidR="00B60372" w:rsidRPr="006400E1">
          <w:rPr>
            <w:noProof/>
            <w:position w:val="-6"/>
          </w:rPr>
          <w:object w:dxaOrig="200" w:dyaOrig="220" w14:anchorId="0AE76B6C">
            <v:shape id="_x0000_i1476" type="#_x0000_t75" style="width:9.75pt;height:11.25pt" o:ole="">
              <v:imagedata r:id="rId154" o:title=""/>
            </v:shape>
            <o:OLEObject Type="Embed" ProgID="Equation.DSMT4" ShapeID="_x0000_i1476" DrawAspect="Content" ObjectID="_1775046112" r:id="rId821"/>
          </w:object>
        </w:r>
        <w:r w:rsidR="00B60372" w:rsidRPr="00CF0576">
          <w:rPr>
            <w:rStyle w:val="Hyperlink"/>
          </w:rPr>
          <w:t xml:space="preserve"> in </w:t>
        </w:r>
        <w:r w:rsidR="00B60372" w:rsidRPr="00974730">
          <w:rPr>
            <w:noProof/>
            <w:position w:val="-14"/>
          </w:rPr>
          <w:object w:dxaOrig="940" w:dyaOrig="400" w14:anchorId="6B10BB30">
            <v:shape id="_x0000_i1477" type="#_x0000_t75" style="width:47.25pt;height:20.25pt" o:ole="">
              <v:imagedata r:id="rId156" o:title=""/>
            </v:shape>
            <o:OLEObject Type="Embed" ProgID="Equation.DSMT4" ShapeID="_x0000_i1477" DrawAspect="Content" ObjectID="_1775046113" r:id="rId822"/>
          </w:object>
        </w:r>
        <w:r w:rsidR="00B60372" w:rsidRPr="00CF0576">
          <w:rPr>
            <w:rStyle w:val="Hyperlink"/>
          </w:rPr>
          <w:t>.</w:t>
        </w:r>
        <w:r w:rsidR="00B60372">
          <w:rPr>
            <w:noProof/>
            <w:webHidden/>
          </w:rPr>
          <w:tab/>
        </w:r>
        <w:r w:rsidR="00B60372">
          <w:rPr>
            <w:noProof/>
            <w:webHidden/>
          </w:rPr>
          <w:fldChar w:fldCharType="begin"/>
        </w:r>
        <w:r w:rsidR="00B60372">
          <w:rPr>
            <w:noProof/>
            <w:webHidden/>
          </w:rPr>
          <w:instrText xml:space="preserve"> PAGEREF _Toc401061060 \h </w:instrText>
        </w:r>
        <w:r w:rsidR="00B60372">
          <w:rPr>
            <w:noProof/>
            <w:webHidden/>
          </w:rPr>
        </w:r>
        <w:r w:rsidR="00B60372">
          <w:rPr>
            <w:noProof/>
            <w:webHidden/>
          </w:rPr>
          <w:fldChar w:fldCharType="separate"/>
        </w:r>
        <w:r w:rsidR="0031717B">
          <w:rPr>
            <w:noProof/>
            <w:webHidden/>
          </w:rPr>
          <w:t>38</w:t>
        </w:r>
        <w:r w:rsidR="00B60372">
          <w:rPr>
            <w:noProof/>
            <w:webHidden/>
          </w:rPr>
          <w:fldChar w:fldCharType="end"/>
        </w:r>
      </w:hyperlink>
    </w:p>
    <w:p w14:paraId="31F8F37A" w14:textId="77777777" w:rsidR="00B60372" w:rsidRDefault="00000000">
      <w:pPr>
        <w:pStyle w:val="TableofFigures"/>
        <w:tabs>
          <w:tab w:val="right" w:leader="dot" w:pos="9017"/>
        </w:tabs>
        <w:rPr>
          <w:rFonts w:eastAsiaTheme="minorEastAsia"/>
          <w:noProof/>
          <w:sz w:val="22"/>
          <w:lang w:val="en-AU" w:eastAsia="en-AU"/>
        </w:rPr>
      </w:pPr>
      <w:hyperlink w:anchor="_Toc401061061" w:history="1">
        <w:r w:rsidR="00B60372" w:rsidRPr="00CF0576">
          <w:rPr>
            <w:rStyle w:val="Hyperlink"/>
            <w:lang w:val="en-AU"/>
          </w:rPr>
          <w:t xml:space="preserve">Figure 8: Illustration of </w:t>
        </w:r>
        <w:r w:rsidR="00B60372" w:rsidRPr="00804FF0">
          <w:rPr>
            <w:noProof/>
            <w:position w:val="-12"/>
            <w:lang w:val="en-AU"/>
          </w:rPr>
          <w:object w:dxaOrig="660" w:dyaOrig="360" w14:anchorId="7BEA2009">
            <v:shape id="_x0000_i1478" type="#_x0000_t75" style="width:33pt;height:18pt" o:ole="">
              <v:imagedata r:id="rId229" o:title=""/>
            </v:shape>
            <o:OLEObject Type="Embed" ProgID="Equation.DSMT4" ShapeID="_x0000_i1478" DrawAspect="Content" ObjectID="_1775046114" r:id="rId823"/>
          </w:object>
        </w:r>
        <w:r w:rsidR="00B60372" w:rsidRPr="00CF0576">
          <w:rPr>
            <w:rStyle w:val="Hyperlink"/>
            <w:lang w:val="en-AU"/>
          </w:rPr>
          <w:t xml:space="preserve"> model form with </w:t>
        </w:r>
        <w:r w:rsidR="00B60372" w:rsidRPr="00FD3A53">
          <w:rPr>
            <w:noProof/>
            <w:position w:val="-10"/>
          </w:rPr>
          <w:object w:dxaOrig="1100" w:dyaOrig="320" w14:anchorId="5FDC065C">
            <v:shape id="_x0000_i1479" type="#_x0000_t75" style="width:54.75pt;height:15.75pt" o:ole="">
              <v:imagedata r:id="rId210" o:title=""/>
            </v:shape>
            <o:OLEObject Type="Embed" ProgID="Equation.DSMT4" ShapeID="_x0000_i1479" DrawAspect="Content" ObjectID="_1775046115" r:id="rId824"/>
          </w:object>
        </w:r>
        <w:r w:rsidR="00B60372" w:rsidRPr="00CF0576">
          <w:rPr>
            <w:rStyle w:val="Hyperlink"/>
            <w:lang w:val="en-AU"/>
          </w:rPr>
          <w:t xml:space="preserve">, </w:t>
        </w:r>
        <w:r w:rsidR="00B60372" w:rsidRPr="00FD3A53">
          <w:rPr>
            <w:rFonts w:eastAsiaTheme="minorEastAsia"/>
            <w:noProof/>
            <w:position w:val="-6"/>
            <w:szCs w:val="24"/>
            <w:lang w:val="en-AU"/>
          </w:rPr>
          <w:object w:dxaOrig="700" w:dyaOrig="279" w14:anchorId="16ECD276">
            <v:shape id="_x0000_i1480" type="#_x0000_t75" style="width:35.25pt;height:14.25pt" o:ole="">
              <v:imagedata r:id="rId212" o:title=""/>
            </v:shape>
            <o:OLEObject Type="Embed" ProgID="Equation.DSMT4" ShapeID="_x0000_i1480" DrawAspect="Content" ObjectID="_1775046116" r:id="rId825"/>
          </w:object>
        </w:r>
        <w:r w:rsidR="00B60372" w:rsidRPr="00CF0576">
          <w:rPr>
            <w:rStyle w:val="Hyperlink"/>
            <w:lang w:val="en-AU"/>
          </w:rPr>
          <w:t xml:space="preserve"> and three choices of  </w:t>
        </w:r>
        <w:r w:rsidR="00B60372" w:rsidRPr="00025957">
          <w:rPr>
            <w:noProof/>
            <w:position w:val="-4"/>
          </w:rPr>
          <w:object w:dxaOrig="180" w:dyaOrig="200" w14:anchorId="1652C6F2">
            <v:shape id="_x0000_i1481" type="#_x0000_t75" style="width:9pt;height:9.75pt" o:ole="">
              <v:imagedata r:id="rId202" o:title=""/>
            </v:shape>
            <o:OLEObject Type="Embed" ProgID="Equation.DSMT4" ShapeID="_x0000_i1481" DrawAspect="Content" ObjectID="_1775046117" r:id="rId826"/>
          </w:object>
        </w:r>
        <w:r w:rsidR="00B60372" w:rsidRPr="00CF0576">
          <w:rPr>
            <w:rStyle w:val="Hyperlink"/>
            <w:lang w:val="en-AU"/>
          </w:rPr>
          <w:t xml:space="preserve">: </w:t>
        </w:r>
        <w:r w:rsidR="00B60372" w:rsidRPr="00804FF0">
          <w:rPr>
            <w:noProof/>
            <w:position w:val="-6"/>
            <w:lang w:val="en-AU"/>
          </w:rPr>
          <w:object w:dxaOrig="720" w:dyaOrig="279" w14:anchorId="00A6EFBC">
            <v:shape id="_x0000_i1482" type="#_x0000_t75" style="width:36pt;height:14.25pt" o:ole="">
              <v:imagedata r:id="rId234" o:title=""/>
            </v:shape>
            <o:OLEObject Type="Embed" ProgID="Equation.DSMT4" ShapeID="_x0000_i1482" DrawAspect="Content" ObjectID="_1775046118" r:id="rId827"/>
          </w:object>
        </w:r>
        <w:r w:rsidR="00B60372" w:rsidRPr="00CF0576">
          <w:rPr>
            <w:rStyle w:val="Hyperlink"/>
            <w:lang w:val="en-AU"/>
          </w:rPr>
          <w:t xml:space="preserve">; </w:t>
        </w:r>
        <w:r w:rsidR="00B60372" w:rsidRPr="00804FF0">
          <w:rPr>
            <w:noProof/>
            <w:position w:val="-6"/>
            <w:lang w:val="en-AU"/>
          </w:rPr>
          <w:object w:dxaOrig="840" w:dyaOrig="279" w14:anchorId="1F47AD28">
            <v:shape id="_x0000_i1483" type="#_x0000_t75" style="width:42pt;height:14.25pt" o:ole="">
              <v:imagedata r:id="rId236" o:title=""/>
            </v:shape>
            <o:OLEObject Type="Embed" ProgID="Equation.DSMT4" ShapeID="_x0000_i1483" DrawAspect="Content" ObjectID="_1775046119" r:id="rId828"/>
          </w:object>
        </w:r>
        <w:r w:rsidR="00B60372" w:rsidRPr="00CF0576">
          <w:rPr>
            <w:rStyle w:val="Hyperlink"/>
            <w:lang w:val="en-AU"/>
          </w:rPr>
          <w:t xml:space="preserve">; and </w:t>
        </w:r>
        <w:r w:rsidR="00B60372" w:rsidRPr="00804FF0">
          <w:rPr>
            <w:noProof/>
            <w:position w:val="-6"/>
            <w:lang w:val="en-AU"/>
          </w:rPr>
          <w:object w:dxaOrig="840" w:dyaOrig="279" w14:anchorId="1BCA914E">
            <v:shape id="_x0000_i1484" type="#_x0000_t75" style="width:42pt;height:14.25pt" o:ole="">
              <v:imagedata r:id="rId238" o:title=""/>
            </v:shape>
            <o:OLEObject Type="Embed" ProgID="Equation.DSMT4" ShapeID="_x0000_i1484" DrawAspect="Content" ObjectID="_1775046120" r:id="rId829"/>
          </w:object>
        </w:r>
        <w:r w:rsidR="00B60372" w:rsidRPr="00CF0576">
          <w:rPr>
            <w:rStyle w:val="Hyperlink"/>
            <w:lang w:val="en-AU"/>
          </w:rPr>
          <w:t>.</w:t>
        </w:r>
        <w:r w:rsidR="00B60372">
          <w:rPr>
            <w:noProof/>
            <w:webHidden/>
          </w:rPr>
          <w:tab/>
        </w:r>
        <w:r w:rsidR="00B60372">
          <w:rPr>
            <w:noProof/>
            <w:webHidden/>
          </w:rPr>
          <w:fldChar w:fldCharType="begin"/>
        </w:r>
        <w:r w:rsidR="00B60372">
          <w:rPr>
            <w:noProof/>
            <w:webHidden/>
          </w:rPr>
          <w:instrText xml:space="preserve"> PAGEREF _Toc401061061 \h </w:instrText>
        </w:r>
        <w:r w:rsidR="00B60372">
          <w:rPr>
            <w:noProof/>
            <w:webHidden/>
          </w:rPr>
        </w:r>
        <w:r w:rsidR="00B60372">
          <w:rPr>
            <w:noProof/>
            <w:webHidden/>
          </w:rPr>
          <w:fldChar w:fldCharType="separate"/>
        </w:r>
        <w:r w:rsidR="0031717B">
          <w:rPr>
            <w:noProof/>
            <w:webHidden/>
          </w:rPr>
          <w:t>43</w:t>
        </w:r>
        <w:r w:rsidR="00B60372">
          <w:rPr>
            <w:noProof/>
            <w:webHidden/>
          </w:rPr>
          <w:fldChar w:fldCharType="end"/>
        </w:r>
      </w:hyperlink>
    </w:p>
    <w:p w14:paraId="36A15DD9" w14:textId="77777777" w:rsidR="00B60372" w:rsidRDefault="00000000">
      <w:pPr>
        <w:pStyle w:val="TableofFigures"/>
        <w:tabs>
          <w:tab w:val="right" w:leader="dot" w:pos="9017"/>
        </w:tabs>
        <w:rPr>
          <w:rFonts w:eastAsiaTheme="minorEastAsia"/>
          <w:noProof/>
          <w:sz w:val="22"/>
          <w:lang w:val="en-AU" w:eastAsia="en-AU"/>
        </w:rPr>
      </w:pPr>
      <w:hyperlink w:anchor="_Toc401061062" w:history="1">
        <w:r w:rsidR="00B60372" w:rsidRPr="00CF0576">
          <w:rPr>
            <w:rStyle w:val="Hyperlink"/>
          </w:rPr>
          <w:t xml:space="preserve">Figure 9: The decayed multiplicative model </w:t>
        </w:r>
        <w:r w:rsidR="00B60372" w:rsidRPr="00F77323">
          <w:rPr>
            <w:noProof/>
            <w:position w:val="-12"/>
          </w:rPr>
          <w:object w:dxaOrig="880" w:dyaOrig="360" w14:anchorId="45351E09">
            <v:shape id="_x0000_i1485" type="#_x0000_t75" style="width:44.25pt;height:18pt" o:ole="">
              <v:imagedata r:id="rId257" o:title=""/>
            </v:shape>
            <o:OLEObject Type="Embed" ProgID="Equation.DSMT4" ShapeID="_x0000_i1485" DrawAspect="Content" ObjectID="_1775046121" r:id="rId830"/>
          </w:object>
        </w:r>
        <w:r w:rsidR="00B60372" w:rsidRPr="00CF0576">
          <w:rPr>
            <w:rStyle w:val="Hyperlink"/>
          </w:rPr>
          <w:t xml:space="preserve"> together with the geometric mean cost of each ADRG profile </w:t>
        </w:r>
        <w:r w:rsidR="00B60372" w:rsidRPr="00F77323">
          <w:rPr>
            <w:noProof/>
            <w:position w:val="-12"/>
          </w:rPr>
          <w:object w:dxaOrig="880" w:dyaOrig="360" w14:anchorId="21CE2669">
            <v:shape id="_x0000_i1486" type="#_x0000_t75" style="width:44.25pt;height:18pt" o:ole="">
              <v:imagedata r:id="rId259" o:title=""/>
            </v:shape>
            <o:OLEObject Type="Embed" ProgID="Equation.DSMT4" ShapeID="_x0000_i1486" DrawAspect="Content" ObjectID="_1775046122" r:id="rId831"/>
          </w:object>
        </w:r>
        <w:r w:rsidR="00B60372" w:rsidRPr="00CF0576">
          <w:rPr>
            <w:rStyle w:val="Hyperlink"/>
          </w:rPr>
          <w:t>.</w:t>
        </w:r>
        <w:r w:rsidR="00B60372">
          <w:rPr>
            <w:noProof/>
            <w:webHidden/>
          </w:rPr>
          <w:tab/>
        </w:r>
        <w:r w:rsidR="00B60372">
          <w:rPr>
            <w:noProof/>
            <w:webHidden/>
          </w:rPr>
          <w:fldChar w:fldCharType="begin"/>
        </w:r>
        <w:r w:rsidR="00B60372">
          <w:rPr>
            <w:noProof/>
            <w:webHidden/>
          </w:rPr>
          <w:instrText xml:space="preserve"> PAGEREF _Toc401061062 \h </w:instrText>
        </w:r>
        <w:r w:rsidR="00B60372">
          <w:rPr>
            <w:noProof/>
            <w:webHidden/>
          </w:rPr>
        </w:r>
        <w:r w:rsidR="00B60372">
          <w:rPr>
            <w:noProof/>
            <w:webHidden/>
          </w:rPr>
          <w:fldChar w:fldCharType="separate"/>
        </w:r>
        <w:r w:rsidR="0031717B">
          <w:rPr>
            <w:noProof/>
            <w:webHidden/>
          </w:rPr>
          <w:t>45</w:t>
        </w:r>
        <w:r w:rsidR="00B60372">
          <w:rPr>
            <w:noProof/>
            <w:webHidden/>
          </w:rPr>
          <w:fldChar w:fldCharType="end"/>
        </w:r>
      </w:hyperlink>
    </w:p>
    <w:p w14:paraId="679A0F18" w14:textId="77777777" w:rsidR="00B60372" w:rsidRDefault="00000000">
      <w:pPr>
        <w:pStyle w:val="TableofFigures"/>
        <w:tabs>
          <w:tab w:val="right" w:leader="dot" w:pos="9017"/>
        </w:tabs>
        <w:rPr>
          <w:rFonts w:eastAsiaTheme="minorEastAsia"/>
          <w:noProof/>
          <w:sz w:val="22"/>
          <w:lang w:val="en-AU" w:eastAsia="en-AU"/>
        </w:rPr>
      </w:pPr>
      <w:hyperlink w:anchor="_Toc401061063" w:history="1">
        <w:r w:rsidR="00B60372" w:rsidRPr="00CF0576">
          <w:rPr>
            <w:rStyle w:val="Hyperlink"/>
          </w:rPr>
          <w:t xml:space="preserve">Figure 10: Distribution of </w:t>
        </w:r>
        <w:r w:rsidR="00B60372" w:rsidRPr="00974730">
          <w:rPr>
            <w:noProof/>
            <w:position w:val="-14"/>
          </w:rPr>
          <w:object w:dxaOrig="660" w:dyaOrig="400" w14:anchorId="7CA451EC">
            <v:shape id="_x0000_i1487" type="#_x0000_t75" style="width:33pt;height:20.25pt" o:ole="">
              <v:imagedata r:id="rId290" o:title=""/>
            </v:shape>
            <o:OLEObject Type="Embed" ProgID="Equation.DSMT4" ShapeID="_x0000_i1487" DrawAspect="Content" ObjectID="_1775046123" r:id="rId832"/>
          </w:object>
        </w:r>
        <w:r w:rsidR="00B60372" w:rsidRPr="00CF0576">
          <w:rPr>
            <w:rStyle w:val="Hyperlink"/>
          </w:rPr>
          <w:t xml:space="preserve"> relative change parameter (i.e. </w:t>
        </w:r>
        <w:r w:rsidR="00B60372" w:rsidRPr="00974730">
          <w:rPr>
            <w:noProof/>
            <w:position w:val="-6"/>
          </w:rPr>
          <w:object w:dxaOrig="200" w:dyaOrig="279" w14:anchorId="46E7CB63">
            <v:shape id="_x0000_i1488" type="#_x0000_t75" style="width:9.75pt;height:14.25pt" o:ole="">
              <v:imagedata r:id="rId292" o:title=""/>
            </v:shape>
            <o:OLEObject Type="Embed" ProgID="Equation.DSMT4" ShapeID="_x0000_i1488" DrawAspect="Content" ObjectID="_1775046124" r:id="rId833"/>
          </w:object>
        </w:r>
        <w:r w:rsidR="00B60372" w:rsidRPr="00CF0576">
          <w:rPr>
            <w:rStyle w:val="Hyperlink"/>
          </w:rPr>
          <w:t>).</w:t>
        </w:r>
        <w:r w:rsidR="00B60372">
          <w:rPr>
            <w:noProof/>
            <w:webHidden/>
          </w:rPr>
          <w:tab/>
        </w:r>
        <w:r w:rsidR="00B60372">
          <w:rPr>
            <w:noProof/>
            <w:webHidden/>
          </w:rPr>
          <w:fldChar w:fldCharType="begin"/>
        </w:r>
        <w:r w:rsidR="00B60372">
          <w:rPr>
            <w:noProof/>
            <w:webHidden/>
          </w:rPr>
          <w:instrText xml:space="preserve"> PAGEREF _Toc401061063 \h </w:instrText>
        </w:r>
        <w:r w:rsidR="00B60372">
          <w:rPr>
            <w:noProof/>
            <w:webHidden/>
          </w:rPr>
        </w:r>
        <w:r w:rsidR="00B60372">
          <w:rPr>
            <w:noProof/>
            <w:webHidden/>
          </w:rPr>
          <w:fldChar w:fldCharType="separate"/>
        </w:r>
        <w:r w:rsidR="0031717B">
          <w:rPr>
            <w:noProof/>
            <w:webHidden/>
          </w:rPr>
          <w:t>47</w:t>
        </w:r>
        <w:r w:rsidR="00B60372">
          <w:rPr>
            <w:noProof/>
            <w:webHidden/>
          </w:rPr>
          <w:fldChar w:fldCharType="end"/>
        </w:r>
      </w:hyperlink>
    </w:p>
    <w:p w14:paraId="1C41ED94" w14:textId="77777777" w:rsidR="00B60372" w:rsidRDefault="00000000">
      <w:pPr>
        <w:pStyle w:val="TableofFigures"/>
        <w:tabs>
          <w:tab w:val="right" w:leader="dot" w:pos="9017"/>
        </w:tabs>
        <w:rPr>
          <w:rFonts w:eastAsiaTheme="minorEastAsia"/>
          <w:noProof/>
          <w:sz w:val="22"/>
          <w:lang w:val="en-AU" w:eastAsia="en-AU"/>
        </w:rPr>
      </w:pPr>
      <w:hyperlink w:anchor="_Toc401061064" w:history="1">
        <w:r w:rsidR="00B60372" w:rsidRPr="00CF0576">
          <w:rPr>
            <w:rStyle w:val="Hyperlink"/>
          </w:rPr>
          <w:t xml:space="preserve">Figure 11: Distribution of </w:t>
        </w:r>
        <w:r w:rsidR="00B60372" w:rsidRPr="00974730">
          <w:rPr>
            <w:noProof/>
            <w:position w:val="-14"/>
          </w:rPr>
          <w:object w:dxaOrig="660" w:dyaOrig="400" w14:anchorId="45726A29">
            <v:shape id="_x0000_i1489" type="#_x0000_t75" style="width:33pt;height:20.25pt" o:ole="">
              <v:imagedata r:id="rId295" o:title=""/>
            </v:shape>
            <o:OLEObject Type="Embed" ProgID="Equation.DSMT4" ShapeID="_x0000_i1489" DrawAspect="Content" ObjectID="_1775046125" r:id="rId834"/>
          </w:object>
        </w:r>
        <w:r w:rsidR="00B60372" w:rsidRPr="00CF0576">
          <w:rPr>
            <w:rStyle w:val="Hyperlink"/>
          </w:rPr>
          <w:t xml:space="preserve"> decay parameter (i.e. </w:t>
        </w:r>
        <w:r w:rsidR="00B60372" w:rsidRPr="00025957">
          <w:rPr>
            <w:noProof/>
            <w:position w:val="-4"/>
          </w:rPr>
          <w:object w:dxaOrig="180" w:dyaOrig="200" w14:anchorId="515F6E86">
            <v:shape id="_x0000_i1490" type="#_x0000_t75" style="width:9pt;height:9.75pt" o:ole="">
              <v:imagedata r:id="rId297" o:title=""/>
            </v:shape>
            <o:OLEObject Type="Embed" ProgID="Equation.DSMT4" ShapeID="_x0000_i1490" DrawAspect="Content" ObjectID="_1775046126" r:id="rId835"/>
          </w:object>
        </w:r>
        <w:r w:rsidR="00B60372" w:rsidRPr="00CF0576">
          <w:rPr>
            <w:rStyle w:val="Hyperlink"/>
          </w:rPr>
          <w:t>).</w:t>
        </w:r>
        <w:r w:rsidR="00B60372">
          <w:rPr>
            <w:noProof/>
            <w:webHidden/>
          </w:rPr>
          <w:tab/>
        </w:r>
        <w:r w:rsidR="00B60372">
          <w:rPr>
            <w:noProof/>
            <w:webHidden/>
          </w:rPr>
          <w:fldChar w:fldCharType="begin"/>
        </w:r>
        <w:r w:rsidR="00B60372">
          <w:rPr>
            <w:noProof/>
            <w:webHidden/>
          </w:rPr>
          <w:instrText xml:space="preserve"> PAGEREF _Toc401061064 \h </w:instrText>
        </w:r>
        <w:r w:rsidR="00B60372">
          <w:rPr>
            <w:noProof/>
            <w:webHidden/>
          </w:rPr>
        </w:r>
        <w:r w:rsidR="00B60372">
          <w:rPr>
            <w:noProof/>
            <w:webHidden/>
          </w:rPr>
          <w:fldChar w:fldCharType="separate"/>
        </w:r>
        <w:r w:rsidR="0031717B">
          <w:rPr>
            <w:noProof/>
            <w:webHidden/>
          </w:rPr>
          <w:t>47</w:t>
        </w:r>
        <w:r w:rsidR="00B60372">
          <w:rPr>
            <w:noProof/>
            <w:webHidden/>
          </w:rPr>
          <w:fldChar w:fldCharType="end"/>
        </w:r>
      </w:hyperlink>
    </w:p>
    <w:p w14:paraId="284402C9" w14:textId="77777777" w:rsidR="00B60372" w:rsidRDefault="00000000">
      <w:pPr>
        <w:pStyle w:val="TableofFigures"/>
        <w:tabs>
          <w:tab w:val="right" w:leader="dot" w:pos="9017"/>
        </w:tabs>
        <w:rPr>
          <w:rFonts w:eastAsiaTheme="minorEastAsia"/>
          <w:noProof/>
          <w:sz w:val="22"/>
          <w:lang w:val="en-AU" w:eastAsia="en-AU"/>
        </w:rPr>
      </w:pPr>
      <w:hyperlink w:anchor="_Toc401061065" w:history="1">
        <w:r w:rsidR="00B60372" w:rsidRPr="00CF0576">
          <w:rPr>
            <w:rStyle w:val="Hyperlink"/>
          </w:rPr>
          <w:t xml:space="preserve">Figure 12: Scatter showing joint distribution of </w:t>
        </w:r>
        <w:r w:rsidR="00B60372" w:rsidRPr="00974730">
          <w:rPr>
            <w:noProof/>
            <w:position w:val="-14"/>
          </w:rPr>
          <w:object w:dxaOrig="660" w:dyaOrig="400" w14:anchorId="551FFD65">
            <v:shape id="_x0000_i1491" type="#_x0000_t75" style="width:33pt;height:20.25pt" o:ole="">
              <v:imagedata r:id="rId300" o:title=""/>
            </v:shape>
            <o:OLEObject Type="Embed" ProgID="Equation.DSMT4" ShapeID="_x0000_i1491" DrawAspect="Content" ObjectID="_1775046127" r:id="rId836"/>
          </w:object>
        </w:r>
        <w:r w:rsidR="00B60372" w:rsidRPr="00CF0576">
          <w:rPr>
            <w:rStyle w:val="Hyperlink"/>
          </w:rPr>
          <w:t xml:space="preserve"> relative change and decay parameters (i.e. </w:t>
        </w:r>
        <w:r w:rsidR="00B60372" w:rsidRPr="000B3D52">
          <w:rPr>
            <w:noProof/>
            <w:position w:val="-6"/>
          </w:rPr>
          <w:object w:dxaOrig="200" w:dyaOrig="279" w14:anchorId="4748E90D">
            <v:shape id="_x0000_i1492" type="#_x0000_t75" style="width:9.75pt;height:14.25pt" o:ole="">
              <v:imagedata r:id="rId302" o:title=""/>
            </v:shape>
            <o:OLEObject Type="Embed" ProgID="Equation.DSMT4" ShapeID="_x0000_i1492" DrawAspect="Content" ObjectID="_1775046128" r:id="rId837"/>
          </w:object>
        </w:r>
        <w:r w:rsidR="00B60372" w:rsidRPr="00CF0576">
          <w:rPr>
            <w:rStyle w:val="Hyperlink"/>
          </w:rPr>
          <w:t xml:space="preserve"> and </w:t>
        </w:r>
        <w:r w:rsidR="00B60372" w:rsidRPr="000B3D52">
          <w:rPr>
            <w:rFonts w:eastAsiaTheme="minorEastAsia"/>
            <w:noProof/>
            <w:position w:val="-4"/>
          </w:rPr>
          <w:object w:dxaOrig="180" w:dyaOrig="200" w14:anchorId="53217E00">
            <v:shape id="_x0000_i1493" type="#_x0000_t75" style="width:9pt;height:9.75pt" o:ole="">
              <v:imagedata r:id="rId304" o:title=""/>
            </v:shape>
            <o:OLEObject Type="Embed" ProgID="Equation.DSMT4" ShapeID="_x0000_i1493" DrawAspect="Content" ObjectID="_1775046129" r:id="rId838"/>
          </w:object>
        </w:r>
        <w:r w:rsidR="00B60372" w:rsidRPr="00CF0576">
          <w:rPr>
            <w:rStyle w:val="Hyperlink"/>
          </w:rPr>
          <w:t>).</w:t>
        </w:r>
        <w:r w:rsidR="00B60372">
          <w:rPr>
            <w:noProof/>
            <w:webHidden/>
          </w:rPr>
          <w:tab/>
        </w:r>
        <w:r w:rsidR="00B60372">
          <w:rPr>
            <w:noProof/>
            <w:webHidden/>
          </w:rPr>
          <w:fldChar w:fldCharType="begin"/>
        </w:r>
        <w:r w:rsidR="00B60372">
          <w:rPr>
            <w:noProof/>
            <w:webHidden/>
          </w:rPr>
          <w:instrText xml:space="preserve"> PAGEREF _Toc401061065 \h </w:instrText>
        </w:r>
        <w:r w:rsidR="00B60372">
          <w:rPr>
            <w:noProof/>
            <w:webHidden/>
          </w:rPr>
        </w:r>
        <w:r w:rsidR="00B60372">
          <w:rPr>
            <w:noProof/>
            <w:webHidden/>
          </w:rPr>
          <w:fldChar w:fldCharType="separate"/>
        </w:r>
        <w:r w:rsidR="0031717B">
          <w:rPr>
            <w:noProof/>
            <w:webHidden/>
          </w:rPr>
          <w:t>48</w:t>
        </w:r>
        <w:r w:rsidR="00B60372">
          <w:rPr>
            <w:noProof/>
            <w:webHidden/>
          </w:rPr>
          <w:fldChar w:fldCharType="end"/>
        </w:r>
      </w:hyperlink>
    </w:p>
    <w:p w14:paraId="542B9F74" w14:textId="77777777" w:rsidR="00B60372" w:rsidRDefault="00000000">
      <w:pPr>
        <w:pStyle w:val="TableofFigures"/>
        <w:tabs>
          <w:tab w:val="right" w:leader="dot" w:pos="9017"/>
        </w:tabs>
        <w:rPr>
          <w:rFonts w:eastAsiaTheme="minorEastAsia"/>
          <w:noProof/>
          <w:sz w:val="22"/>
          <w:lang w:val="en-AU" w:eastAsia="en-AU"/>
        </w:rPr>
      </w:pPr>
      <w:hyperlink w:anchor="_Toc401061066" w:history="1">
        <w:r w:rsidR="00B60372" w:rsidRPr="00CF0576">
          <w:rPr>
            <w:rStyle w:val="Hyperlink"/>
          </w:rPr>
          <w:t>Figure 13: Illustration of the DCL array.</w:t>
        </w:r>
        <w:r w:rsidR="00B60372">
          <w:rPr>
            <w:noProof/>
            <w:webHidden/>
          </w:rPr>
          <w:tab/>
        </w:r>
        <w:r w:rsidR="00B60372">
          <w:rPr>
            <w:noProof/>
            <w:webHidden/>
          </w:rPr>
          <w:fldChar w:fldCharType="begin"/>
        </w:r>
        <w:r w:rsidR="00B60372">
          <w:rPr>
            <w:noProof/>
            <w:webHidden/>
          </w:rPr>
          <w:instrText xml:space="preserve"> PAGEREF _Toc401061066 \h </w:instrText>
        </w:r>
        <w:r w:rsidR="00B60372">
          <w:rPr>
            <w:noProof/>
            <w:webHidden/>
          </w:rPr>
        </w:r>
        <w:r w:rsidR="00B60372">
          <w:rPr>
            <w:noProof/>
            <w:webHidden/>
          </w:rPr>
          <w:fldChar w:fldCharType="separate"/>
        </w:r>
        <w:r w:rsidR="0031717B">
          <w:rPr>
            <w:noProof/>
            <w:webHidden/>
          </w:rPr>
          <w:t>50</w:t>
        </w:r>
        <w:r w:rsidR="00B60372">
          <w:rPr>
            <w:noProof/>
            <w:webHidden/>
          </w:rPr>
          <w:fldChar w:fldCharType="end"/>
        </w:r>
      </w:hyperlink>
    </w:p>
    <w:p w14:paraId="2890F517" w14:textId="77777777" w:rsidR="00B60372" w:rsidRDefault="00000000">
      <w:pPr>
        <w:pStyle w:val="TableofFigures"/>
        <w:tabs>
          <w:tab w:val="right" w:leader="dot" w:pos="9017"/>
        </w:tabs>
        <w:rPr>
          <w:rFonts w:eastAsiaTheme="minorEastAsia"/>
          <w:noProof/>
          <w:sz w:val="22"/>
          <w:lang w:val="en-AU" w:eastAsia="en-AU"/>
        </w:rPr>
      </w:pPr>
      <w:hyperlink w:anchor="_Toc401061067" w:history="1">
        <w:r w:rsidR="00B60372" w:rsidRPr="00CF0576">
          <w:rPr>
            <w:rStyle w:val="Hyperlink"/>
          </w:rPr>
          <w:t>Figure 14: Illustration of aggregation hierarchy for DCL calculation.</w:t>
        </w:r>
        <w:r w:rsidR="00B60372">
          <w:rPr>
            <w:noProof/>
            <w:webHidden/>
          </w:rPr>
          <w:tab/>
        </w:r>
        <w:r w:rsidR="00B60372">
          <w:rPr>
            <w:noProof/>
            <w:webHidden/>
          </w:rPr>
          <w:fldChar w:fldCharType="begin"/>
        </w:r>
        <w:r w:rsidR="00B60372">
          <w:rPr>
            <w:noProof/>
            <w:webHidden/>
          </w:rPr>
          <w:instrText xml:space="preserve"> PAGEREF _Toc401061067 \h </w:instrText>
        </w:r>
        <w:r w:rsidR="00B60372">
          <w:rPr>
            <w:noProof/>
            <w:webHidden/>
          </w:rPr>
        </w:r>
        <w:r w:rsidR="00B60372">
          <w:rPr>
            <w:noProof/>
            <w:webHidden/>
          </w:rPr>
          <w:fldChar w:fldCharType="separate"/>
        </w:r>
        <w:r w:rsidR="0031717B">
          <w:rPr>
            <w:noProof/>
            <w:webHidden/>
          </w:rPr>
          <w:t>52</w:t>
        </w:r>
        <w:r w:rsidR="00B60372">
          <w:rPr>
            <w:noProof/>
            <w:webHidden/>
          </w:rPr>
          <w:fldChar w:fldCharType="end"/>
        </w:r>
      </w:hyperlink>
    </w:p>
    <w:p w14:paraId="5C1745ED" w14:textId="77777777" w:rsidR="00B60372" w:rsidRDefault="00000000">
      <w:pPr>
        <w:pStyle w:val="TableofFigures"/>
        <w:tabs>
          <w:tab w:val="right" w:leader="dot" w:pos="9017"/>
        </w:tabs>
        <w:rPr>
          <w:rFonts w:eastAsiaTheme="minorEastAsia"/>
          <w:noProof/>
          <w:sz w:val="22"/>
          <w:lang w:val="en-AU" w:eastAsia="en-AU"/>
        </w:rPr>
      </w:pPr>
      <w:hyperlink w:anchor="_Toc401061068" w:history="1">
        <w:r w:rsidR="00B60372" w:rsidRPr="00CF0576">
          <w:rPr>
            <w:rStyle w:val="Hyperlink"/>
          </w:rPr>
          <w:t>Figure 15: Comparison of CCL and DCL correlations with cost among episodes with exactly two diagnoses.</w:t>
        </w:r>
        <w:r w:rsidR="00B60372">
          <w:rPr>
            <w:noProof/>
            <w:webHidden/>
          </w:rPr>
          <w:tab/>
        </w:r>
        <w:r w:rsidR="00B60372">
          <w:rPr>
            <w:noProof/>
            <w:webHidden/>
          </w:rPr>
          <w:fldChar w:fldCharType="begin"/>
        </w:r>
        <w:r w:rsidR="00B60372">
          <w:rPr>
            <w:noProof/>
            <w:webHidden/>
          </w:rPr>
          <w:instrText xml:space="preserve"> PAGEREF _Toc401061068 \h </w:instrText>
        </w:r>
        <w:r w:rsidR="00B60372">
          <w:rPr>
            <w:noProof/>
            <w:webHidden/>
          </w:rPr>
        </w:r>
        <w:r w:rsidR="00B60372">
          <w:rPr>
            <w:noProof/>
            <w:webHidden/>
          </w:rPr>
          <w:fldChar w:fldCharType="separate"/>
        </w:r>
        <w:r w:rsidR="0031717B">
          <w:rPr>
            <w:noProof/>
            <w:webHidden/>
          </w:rPr>
          <w:t>61</w:t>
        </w:r>
        <w:r w:rsidR="00B60372">
          <w:rPr>
            <w:noProof/>
            <w:webHidden/>
          </w:rPr>
          <w:fldChar w:fldCharType="end"/>
        </w:r>
      </w:hyperlink>
    </w:p>
    <w:p w14:paraId="03E27562" w14:textId="77777777" w:rsidR="00B60372" w:rsidRDefault="00000000">
      <w:pPr>
        <w:pStyle w:val="TableofFigures"/>
        <w:tabs>
          <w:tab w:val="right" w:leader="dot" w:pos="9017"/>
        </w:tabs>
        <w:rPr>
          <w:rFonts w:eastAsiaTheme="minorEastAsia"/>
          <w:noProof/>
          <w:sz w:val="22"/>
          <w:lang w:val="en-AU" w:eastAsia="en-AU"/>
        </w:rPr>
      </w:pPr>
      <w:hyperlink w:anchor="_Toc401061069" w:history="1">
        <w:r w:rsidR="00B60372" w:rsidRPr="00CF0576">
          <w:rPr>
            <w:rStyle w:val="Hyperlink"/>
          </w:rPr>
          <w:t>Figure 16: Extract of AR-DRG V7.0 manual specifying PCCL formulation.</w:t>
        </w:r>
        <w:r w:rsidR="00B60372">
          <w:rPr>
            <w:noProof/>
            <w:webHidden/>
          </w:rPr>
          <w:tab/>
        </w:r>
        <w:r w:rsidR="00B60372">
          <w:rPr>
            <w:noProof/>
            <w:webHidden/>
          </w:rPr>
          <w:fldChar w:fldCharType="begin"/>
        </w:r>
        <w:r w:rsidR="00B60372">
          <w:rPr>
            <w:noProof/>
            <w:webHidden/>
          </w:rPr>
          <w:instrText xml:space="preserve"> PAGEREF _Toc401061069 \h </w:instrText>
        </w:r>
        <w:r w:rsidR="00B60372">
          <w:rPr>
            <w:noProof/>
            <w:webHidden/>
          </w:rPr>
        </w:r>
        <w:r w:rsidR="00B60372">
          <w:rPr>
            <w:noProof/>
            <w:webHidden/>
          </w:rPr>
          <w:fldChar w:fldCharType="separate"/>
        </w:r>
        <w:r w:rsidR="0031717B">
          <w:rPr>
            <w:noProof/>
            <w:webHidden/>
          </w:rPr>
          <w:t>64</w:t>
        </w:r>
        <w:r w:rsidR="00B60372">
          <w:rPr>
            <w:noProof/>
            <w:webHidden/>
          </w:rPr>
          <w:fldChar w:fldCharType="end"/>
        </w:r>
      </w:hyperlink>
    </w:p>
    <w:p w14:paraId="21BDF3BD" w14:textId="77777777" w:rsidR="00B60372" w:rsidRDefault="00000000">
      <w:pPr>
        <w:pStyle w:val="TableofFigures"/>
        <w:tabs>
          <w:tab w:val="right" w:leader="dot" w:pos="9017"/>
        </w:tabs>
        <w:rPr>
          <w:rFonts w:eastAsiaTheme="minorEastAsia"/>
          <w:noProof/>
          <w:sz w:val="22"/>
          <w:lang w:val="en-AU" w:eastAsia="en-AU"/>
        </w:rPr>
      </w:pPr>
      <w:hyperlink w:anchor="_Toc401061070" w:history="1">
        <w:r w:rsidR="00B60372" w:rsidRPr="00CF0576">
          <w:rPr>
            <w:rStyle w:val="Hyperlink"/>
          </w:rPr>
          <w:t>Figure 17: Episode costs by diagnosis count - E62 ADRG.</w:t>
        </w:r>
        <w:r w:rsidR="00B60372">
          <w:rPr>
            <w:noProof/>
            <w:webHidden/>
          </w:rPr>
          <w:tab/>
        </w:r>
        <w:r w:rsidR="00B60372">
          <w:rPr>
            <w:noProof/>
            <w:webHidden/>
          </w:rPr>
          <w:fldChar w:fldCharType="begin"/>
        </w:r>
        <w:r w:rsidR="00B60372">
          <w:rPr>
            <w:noProof/>
            <w:webHidden/>
          </w:rPr>
          <w:instrText xml:space="preserve"> PAGEREF _Toc401061070 \h </w:instrText>
        </w:r>
        <w:r w:rsidR="00B60372">
          <w:rPr>
            <w:noProof/>
            <w:webHidden/>
          </w:rPr>
        </w:r>
        <w:r w:rsidR="00B60372">
          <w:rPr>
            <w:noProof/>
            <w:webHidden/>
          </w:rPr>
          <w:fldChar w:fldCharType="separate"/>
        </w:r>
        <w:r w:rsidR="0031717B">
          <w:rPr>
            <w:noProof/>
            <w:webHidden/>
          </w:rPr>
          <w:t>65</w:t>
        </w:r>
        <w:r w:rsidR="00B60372">
          <w:rPr>
            <w:noProof/>
            <w:webHidden/>
          </w:rPr>
          <w:fldChar w:fldCharType="end"/>
        </w:r>
      </w:hyperlink>
    </w:p>
    <w:p w14:paraId="0F3C69E9" w14:textId="77777777" w:rsidR="00B60372" w:rsidRDefault="00000000">
      <w:pPr>
        <w:pStyle w:val="TableofFigures"/>
        <w:tabs>
          <w:tab w:val="right" w:leader="dot" w:pos="9017"/>
        </w:tabs>
        <w:rPr>
          <w:rFonts w:eastAsiaTheme="minorEastAsia"/>
          <w:noProof/>
          <w:sz w:val="22"/>
          <w:lang w:val="en-AU" w:eastAsia="en-AU"/>
        </w:rPr>
      </w:pPr>
      <w:hyperlink w:anchor="_Toc401061071" w:history="1">
        <w:r w:rsidR="00B60372" w:rsidRPr="00CF0576">
          <w:rPr>
            <w:rStyle w:val="Hyperlink"/>
          </w:rPr>
          <w:t>Figure 18: Episode costs by ECCS - E62 ADRG</w:t>
        </w:r>
        <w:r w:rsidR="00B60372">
          <w:rPr>
            <w:noProof/>
            <w:webHidden/>
          </w:rPr>
          <w:tab/>
        </w:r>
        <w:r w:rsidR="00B60372">
          <w:rPr>
            <w:noProof/>
            <w:webHidden/>
          </w:rPr>
          <w:fldChar w:fldCharType="begin"/>
        </w:r>
        <w:r w:rsidR="00B60372">
          <w:rPr>
            <w:noProof/>
            <w:webHidden/>
          </w:rPr>
          <w:instrText xml:space="preserve"> PAGEREF _Toc401061071 \h </w:instrText>
        </w:r>
        <w:r w:rsidR="00B60372">
          <w:rPr>
            <w:noProof/>
            <w:webHidden/>
          </w:rPr>
        </w:r>
        <w:r w:rsidR="00B60372">
          <w:rPr>
            <w:noProof/>
            <w:webHidden/>
          </w:rPr>
          <w:fldChar w:fldCharType="separate"/>
        </w:r>
        <w:r w:rsidR="0031717B">
          <w:rPr>
            <w:noProof/>
            <w:webHidden/>
          </w:rPr>
          <w:t>66</w:t>
        </w:r>
        <w:r w:rsidR="00B60372">
          <w:rPr>
            <w:noProof/>
            <w:webHidden/>
          </w:rPr>
          <w:fldChar w:fldCharType="end"/>
        </w:r>
      </w:hyperlink>
    </w:p>
    <w:p w14:paraId="1BB7D7BA" w14:textId="77777777" w:rsidR="00B60372" w:rsidRDefault="00000000">
      <w:pPr>
        <w:pStyle w:val="TableofFigures"/>
        <w:tabs>
          <w:tab w:val="right" w:leader="dot" w:pos="9017"/>
        </w:tabs>
        <w:rPr>
          <w:rFonts w:eastAsiaTheme="minorEastAsia"/>
          <w:noProof/>
          <w:sz w:val="22"/>
          <w:lang w:val="en-AU" w:eastAsia="en-AU"/>
        </w:rPr>
      </w:pPr>
      <w:hyperlink w:anchor="_Toc401061072" w:history="1">
        <w:r w:rsidR="00B60372" w:rsidRPr="00CF0576">
          <w:rPr>
            <w:rStyle w:val="Hyperlink"/>
          </w:rPr>
          <w:t>Figure 19: DRG classification process.</w:t>
        </w:r>
        <w:r w:rsidR="00B60372">
          <w:rPr>
            <w:noProof/>
            <w:webHidden/>
          </w:rPr>
          <w:tab/>
        </w:r>
        <w:r w:rsidR="00B60372">
          <w:rPr>
            <w:noProof/>
            <w:webHidden/>
          </w:rPr>
          <w:fldChar w:fldCharType="begin"/>
        </w:r>
        <w:r w:rsidR="00B60372">
          <w:rPr>
            <w:noProof/>
            <w:webHidden/>
          </w:rPr>
          <w:instrText xml:space="preserve"> PAGEREF _Toc401061072 \h </w:instrText>
        </w:r>
        <w:r w:rsidR="00B60372">
          <w:rPr>
            <w:noProof/>
            <w:webHidden/>
          </w:rPr>
        </w:r>
        <w:r w:rsidR="00B60372">
          <w:rPr>
            <w:noProof/>
            <w:webHidden/>
          </w:rPr>
          <w:fldChar w:fldCharType="separate"/>
        </w:r>
        <w:r w:rsidR="0031717B">
          <w:rPr>
            <w:noProof/>
            <w:webHidden/>
          </w:rPr>
          <w:t>69</w:t>
        </w:r>
        <w:r w:rsidR="00B60372">
          <w:rPr>
            <w:noProof/>
            <w:webHidden/>
          </w:rPr>
          <w:fldChar w:fldCharType="end"/>
        </w:r>
      </w:hyperlink>
    </w:p>
    <w:p w14:paraId="76DBCA5E" w14:textId="77777777" w:rsidR="00B60372" w:rsidRDefault="00000000">
      <w:pPr>
        <w:pStyle w:val="TableofFigures"/>
        <w:tabs>
          <w:tab w:val="right" w:leader="dot" w:pos="9017"/>
        </w:tabs>
        <w:rPr>
          <w:rFonts w:eastAsiaTheme="minorEastAsia"/>
          <w:noProof/>
          <w:sz w:val="22"/>
          <w:lang w:val="en-AU" w:eastAsia="en-AU"/>
        </w:rPr>
      </w:pPr>
      <w:hyperlink w:anchor="_Toc401061073" w:history="1">
        <w:r w:rsidR="00B60372" w:rsidRPr="00CF0576">
          <w:rPr>
            <w:rStyle w:val="Hyperlink"/>
          </w:rPr>
          <w:t>Figure 20: Surgical DRG - PDx with a cost at i=1 of more than 3 times greater than the average diagnosis within ADRG F14.</w:t>
        </w:r>
        <w:r w:rsidR="00B60372">
          <w:rPr>
            <w:noProof/>
            <w:webHidden/>
          </w:rPr>
          <w:tab/>
        </w:r>
        <w:r w:rsidR="00B60372">
          <w:rPr>
            <w:noProof/>
            <w:webHidden/>
          </w:rPr>
          <w:fldChar w:fldCharType="begin"/>
        </w:r>
        <w:r w:rsidR="00B60372">
          <w:rPr>
            <w:noProof/>
            <w:webHidden/>
          </w:rPr>
          <w:instrText xml:space="preserve"> PAGEREF _Toc401061073 \h </w:instrText>
        </w:r>
        <w:r w:rsidR="00B60372">
          <w:rPr>
            <w:noProof/>
            <w:webHidden/>
          </w:rPr>
        </w:r>
        <w:r w:rsidR="00B60372">
          <w:rPr>
            <w:noProof/>
            <w:webHidden/>
          </w:rPr>
          <w:fldChar w:fldCharType="separate"/>
        </w:r>
        <w:r w:rsidR="0031717B">
          <w:rPr>
            <w:noProof/>
            <w:webHidden/>
          </w:rPr>
          <w:t>75</w:t>
        </w:r>
        <w:r w:rsidR="00B60372">
          <w:rPr>
            <w:noProof/>
            <w:webHidden/>
          </w:rPr>
          <w:fldChar w:fldCharType="end"/>
        </w:r>
      </w:hyperlink>
    </w:p>
    <w:p w14:paraId="68EF6325" w14:textId="77777777" w:rsidR="00B60372" w:rsidRDefault="00000000">
      <w:pPr>
        <w:pStyle w:val="TableofFigures"/>
        <w:tabs>
          <w:tab w:val="right" w:leader="dot" w:pos="9017"/>
        </w:tabs>
        <w:rPr>
          <w:rFonts w:eastAsiaTheme="minorEastAsia"/>
          <w:noProof/>
          <w:sz w:val="22"/>
          <w:lang w:val="en-AU" w:eastAsia="en-AU"/>
        </w:rPr>
      </w:pPr>
      <w:hyperlink w:anchor="_Toc401061074" w:history="1">
        <w:r w:rsidR="00B60372" w:rsidRPr="00CF0576">
          <w:rPr>
            <w:rStyle w:val="Hyperlink"/>
          </w:rPr>
          <w:t>Figure 21: Surgical DRG - PDx with a cost at i=1 twice the average diagnosis within ADRG I20.</w:t>
        </w:r>
        <w:r w:rsidR="00B60372">
          <w:rPr>
            <w:noProof/>
            <w:webHidden/>
          </w:rPr>
          <w:tab/>
        </w:r>
        <w:r w:rsidR="00B60372">
          <w:rPr>
            <w:noProof/>
            <w:webHidden/>
          </w:rPr>
          <w:fldChar w:fldCharType="begin"/>
        </w:r>
        <w:r w:rsidR="00B60372">
          <w:rPr>
            <w:noProof/>
            <w:webHidden/>
          </w:rPr>
          <w:instrText xml:space="preserve"> PAGEREF _Toc401061074 \h </w:instrText>
        </w:r>
        <w:r w:rsidR="00B60372">
          <w:rPr>
            <w:noProof/>
            <w:webHidden/>
          </w:rPr>
        </w:r>
        <w:r w:rsidR="00B60372">
          <w:rPr>
            <w:noProof/>
            <w:webHidden/>
          </w:rPr>
          <w:fldChar w:fldCharType="separate"/>
        </w:r>
        <w:r w:rsidR="0031717B">
          <w:rPr>
            <w:noProof/>
            <w:webHidden/>
          </w:rPr>
          <w:t>75</w:t>
        </w:r>
        <w:r w:rsidR="00B60372">
          <w:rPr>
            <w:noProof/>
            <w:webHidden/>
          </w:rPr>
          <w:fldChar w:fldCharType="end"/>
        </w:r>
      </w:hyperlink>
    </w:p>
    <w:p w14:paraId="42BB6AF7" w14:textId="77777777" w:rsidR="00B60372" w:rsidRDefault="00000000">
      <w:pPr>
        <w:pStyle w:val="TableofFigures"/>
        <w:tabs>
          <w:tab w:val="right" w:leader="dot" w:pos="9017"/>
        </w:tabs>
        <w:rPr>
          <w:rFonts w:eastAsiaTheme="minorEastAsia"/>
          <w:noProof/>
          <w:sz w:val="22"/>
          <w:lang w:val="en-AU" w:eastAsia="en-AU"/>
        </w:rPr>
      </w:pPr>
      <w:hyperlink w:anchor="_Toc401061075" w:history="1">
        <w:r w:rsidR="00B60372" w:rsidRPr="00CF0576">
          <w:rPr>
            <w:rStyle w:val="Hyperlink"/>
          </w:rPr>
          <w:t>Figure 22: Medical ADRG - where a specific PDx adds additional resources.</w:t>
        </w:r>
        <w:r w:rsidR="00B60372">
          <w:rPr>
            <w:noProof/>
            <w:webHidden/>
          </w:rPr>
          <w:tab/>
        </w:r>
        <w:r w:rsidR="00B60372">
          <w:rPr>
            <w:noProof/>
            <w:webHidden/>
          </w:rPr>
          <w:fldChar w:fldCharType="begin"/>
        </w:r>
        <w:r w:rsidR="00B60372">
          <w:rPr>
            <w:noProof/>
            <w:webHidden/>
          </w:rPr>
          <w:instrText xml:space="preserve"> PAGEREF _Toc401061075 \h </w:instrText>
        </w:r>
        <w:r w:rsidR="00B60372">
          <w:rPr>
            <w:noProof/>
            <w:webHidden/>
          </w:rPr>
        </w:r>
        <w:r w:rsidR="00B60372">
          <w:rPr>
            <w:noProof/>
            <w:webHidden/>
          </w:rPr>
          <w:fldChar w:fldCharType="separate"/>
        </w:r>
        <w:r w:rsidR="0031717B">
          <w:rPr>
            <w:noProof/>
            <w:webHidden/>
          </w:rPr>
          <w:t>76</w:t>
        </w:r>
        <w:r w:rsidR="00B60372">
          <w:rPr>
            <w:noProof/>
            <w:webHidden/>
          </w:rPr>
          <w:fldChar w:fldCharType="end"/>
        </w:r>
      </w:hyperlink>
    </w:p>
    <w:p w14:paraId="2B036E7B" w14:textId="77777777" w:rsidR="00B60372" w:rsidRDefault="00000000">
      <w:pPr>
        <w:pStyle w:val="TableofFigures"/>
        <w:tabs>
          <w:tab w:val="right" w:leader="dot" w:pos="9017"/>
        </w:tabs>
        <w:rPr>
          <w:rFonts w:eastAsiaTheme="minorEastAsia"/>
          <w:noProof/>
          <w:sz w:val="22"/>
          <w:lang w:val="en-AU" w:eastAsia="en-AU"/>
        </w:rPr>
      </w:pPr>
      <w:hyperlink w:anchor="_Toc401061076" w:history="1">
        <w:r w:rsidR="00B60372" w:rsidRPr="00CF0576">
          <w:rPr>
            <w:rStyle w:val="Hyperlink"/>
          </w:rPr>
          <w:t>Figure 23: Other Medical DRG - contains the remainder of PDxs that are not assigned to a specific medical ADRG within the MDC.</w:t>
        </w:r>
        <w:r w:rsidR="00B60372">
          <w:rPr>
            <w:noProof/>
            <w:webHidden/>
          </w:rPr>
          <w:tab/>
        </w:r>
        <w:r w:rsidR="00B60372">
          <w:rPr>
            <w:noProof/>
            <w:webHidden/>
          </w:rPr>
          <w:fldChar w:fldCharType="begin"/>
        </w:r>
        <w:r w:rsidR="00B60372">
          <w:rPr>
            <w:noProof/>
            <w:webHidden/>
          </w:rPr>
          <w:instrText xml:space="preserve"> PAGEREF _Toc401061076 \h </w:instrText>
        </w:r>
        <w:r w:rsidR="00B60372">
          <w:rPr>
            <w:noProof/>
            <w:webHidden/>
          </w:rPr>
        </w:r>
        <w:r w:rsidR="00B60372">
          <w:rPr>
            <w:noProof/>
            <w:webHidden/>
          </w:rPr>
          <w:fldChar w:fldCharType="separate"/>
        </w:r>
        <w:r w:rsidR="0031717B">
          <w:rPr>
            <w:noProof/>
            <w:webHidden/>
          </w:rPr>
          <w:t>76</w:t>
        </w:r>
        <w:r w:rsidR="00B60372">
          <w:rPr>
            <w:noProof/>
            <w:webHidden/>
          </w:rPr>
          <w:fldChar w:fldCharType="end"/>
        </w:r>
      </w:hyperlink>
    </w:p>
    <w:p w14:paraId="3DB23BFA" w14:textId="77777777" w:rsidR="00B60372" w:rsidRDefault="00000000">
      <w:pPr>
        <w:pStyle w:val="TableofFigures"/>
        <w:tabs>
          <w:tab w:val="right" w:leader="dot" w:pos="9017"/>
        </w:tabs>
        <w:rPr>
          <w:rFonts w:eastAsiaTheme="minorEastAsia"/>
          <w:noProof/>
          <w:sz w:val="22"/>
          <w:lang w:val="en-AU" w:eastAsia="en-AU"/>
        </w:rPr>
      </w:pPr>
      <w:hyperlink w:anchor="_Toc401061077" w:history="1">
        <w:r w:rsidR="00B60372" w:rsidRPr="00CF0576">
          <w:rPr>
            <w:rStyle w:val="Hyperlink"/>
          </w:rPr>
          <w:t>Figure 24: Comparative difference of RID statistics across ADRGs – ECCS models v PCCL model.</w:t>
        </w:r>
        <w:r w:rsidR="00B60372">
          <w:rPr>
            <w:noProof/>
            <w:webHidden/>
          </w:rPr>
          <w:tab/>
        </w:r>
        <w:r w:rsidR="00B60372">
          <w:rPr>
            <w:noProof/>
            <w:webHidden/>
          </w:rPr>
          <w:fldChar w:fldCharType="begin"/>
        </w:r>
        <w:r w:rsidR="00B60372">
          <w:rPr>
            <w:noProof/>
            <w:webHidden/>
          </w:rPr>
          <w:instrText xml:space="preserve"> PAGEREF _Toc401061077 \h </w:instrText>
        </w:r>
        <w:r w:rsidR="00B60372">
          <w:rPr>
            <w:noProof/>
            <w:webHidden/>
          </w:rPr>
        </w:r>
        <w:r w:rsidR="00B60372">
          <w:rPr>
            <w:noProof/>
            <w:webHidden/>
          </w:rPr>
          <w:fldChar w:fldCharType="separate"/>
        </w:r>
        <w:r w:rsidR="0031717B">
          <w:rPr>
            <w:noProof/>
            <w:webHidden/>
          </w:rPr>
          <w:t>96</w:t>
        </w:r>
        <w:r w:rsidR="00B60372">
          <w:rPr>
            <w:noProof/>
            <w:webHidden/>
          </w:rPr>
          <w:fldChar w:fldCharType="end"/>
        </w:r>
      </w:hyperlink>
    </w:p>
    <w:p w14:paraId="79B3B0BF" w14:textId="77777777" w:rsidR="00B60372" w:rsidRDefault="00000000">
      <w:pPr>
        <w:pStyle w:val="TableofFigures"/>
        <w:tabs>
          <w:tab w:val="right" w:leader="dot" w:pos="9017"/>
        </w:tabs>
        <w:rPr>
          <w:rFonts w:eastAsiaTheme="minorEastAsia"/>
          <w:noProof/>
          <w:sz w:val="22"/>
          <w:lang w:val="en-AU" w:eastAsia="en-AU"/>
        </w:rPr>
      </w:pPr>
      <w:hyperlink w:anchor="_Toc401061078" w:history="1">
        <w:r w:rsidR="00B60372" w:rsidRPr="00CF0576">
          <w:rPr>
            <w:rStyle w:val="Hyperlink"/>
          </w:rPr>
          <w:t>Figure 25: Comparative difference of R</w:t>
        </w:r>
        <w:r w:rsidR="00B60372" w:rsidRPr="00CF0576">
          <w:rPr>
            <w:rStyle w:val="Hyperlink"/>
            <w:vertAlign w:val="superscript"/>
          </w:rPr>
          <w:t>2</w:t>
        </w:r>
        <w:r w:rsidR="00B60372" w:rsidRPr="00CF0576">
          <w:rPr>
            <w:rStyle w:val="Hyperlink"/>
          </w:rPr>
          <w:t xml:space="preserve"> statistics across ADRGs – ECCS models v PCCL model.</w:t>
        </w:r>
        <w:r w:rsidR="00B60372">
          <w:rPr>
            <w:noProof/>
            <w:webHidden/>
          </w:rPr>
          <w:tab/>
        </w:r>
        <w:r w:rsidR="00B60372">
          <w:rPr>
            <w:noProof/>
            <w:webHidden/>
          </w:rPr>
          <w:fldChar w:fldCharType="begin"/>
        </w:r>
        <w:r w:rsidR="00B60372">
          <w:rPr>
            <w:noProof/>
            <w:webHidden/>
          </w:rPr>
          <w:instrText xml:space="preserve"> PAGEREF _Toc401061078 \h </w:instrText>
        </w:r>
        <w:r w:rsidR="00B60372">
          <w:rPr>
            <w:noProof/>
            <w:webHidden/>
          </w:rPr>
        </w:r>
        <w:r w:rsidR="00B60372">
          <w:rPr>
            <w:noProof/>
            <w:webHidden/>
          </w:rPr>
          <w:fldChar w:fldCharType="separate"/>
        </w:r>
        <w:r w:rsidR="0031717B">
          <w:rPr>
            <w:noProof/>
            <w:webHidden/>
          </w:rPr>
          <w:t>97</w:t>
        </w:r>
        <w:r w:rsidR="00B60372">
          <w:rPr>
            <w:noProof/>
            <w:webHidden/>
          </w:rPr>
          <w:fldChar w:fldCharType="end"/>
        </w:r>
      </w:hyperlink>
    </w:p>
    <w:p w14:paraId="7D9081CC" w14:textId="77777777" w:rsidR="00B60372" w:rsidRDefault="00000000">
      <w:pPr>
        <w:pStyle w:val="TableofFigures"/>
        <w:tabs>
          <w:tab w:val="right" w:leader="dot" w:pos="9017"/>
        </w:tabs>
        <w:rPr>
          <w:rFonts w:eastAsiaTheme="minorEastAsia"/>
          <w:noProof/>
          <w:sz w:val="22"/>
          <w:lang w:val="en-AU" w:eastAsia="en-AU"/>
        </w:rPr>
      </w:pPr>
      <w:hyperlink w:anchor="_Toc401061079" w:history="1">
        <w:r w:rsidR="00B60372" w:rsidRPr="00CF0576">
          <w:rPr>
            <w:rStyle w:val="Hyperlink"/>
          </w:rPr>
          <w:t>Figure 26: Comparative difference of RID statistics across ADRGs – ECCS models v DRG classification.</w:t>
        </w:r>
        <w:r w:rsidR="00B60372">
          <w:rPr>
            <w:noProof/>
            <w:webHidden/>
          </w:rPr>
          <w:tab/>
        </w:r>
        <w:r w:rsidR="00B60372">
          <w:rPr>
            <w:noProof/>
            <w:webHidden/>
          </w:rPr>
          <w:fldChar w:fldCharType="begin"/>
        </w:r>
        <w:r w:rsidR="00B60372">
          <w:rPr>
            <w:noProof/>
            <w:webHidden/>
          </w:rPr>
          <w:instrText xml:space="preserve"> PAGEREF _Toc401061079 \h </w:instrText>
        </w:r>
        <w:r w:rsidR="00B60372">
          <w:rPr>
            <w:noProof/>
            <w:webHidden/>
          </w:rPr>
        </w:r>
        <w:r w:rsidR="00B60372">
          <w:rPr>
            <w:noProof/>
            <w:webHidden/>
          </w:rPr>
          <w:fldChar w:fldCharType="separate"/>
        </w:r>
        <w:r w:rsidR="0031717B">
          <w:rPr>
            <w:noProof/>
            <w:webHidden/>
          </w:rPr>
          <w:t>98</w:t>
        </w:r>
        <w:r w:rsidR="00B60372">
          <w:rPr>
            <w:noProof/>
            <w:webHidden/>
          </w:rPr>
          <w:fldChar w:fldCharType="end"/>
        </w:r>
      </w:hyperlink>
    </w:p>
    <w:p w14:paraId="2BD07D66" w14:textId="77777777" w:rsidR="00B60372" w:rsidRDefault="00000000">
      <w:pPr>
        <w:pStyle w:val="TableofFigures"/>
        <w:tabs>
          <w:tab w:val="right" w:leader="dot" w:pos="9017"/>
        </w:tabs>
        <w:rPr>
          <w:rFonts w:eastAsiaTheme="minorEastAsia"/>
          <w:noProof/>
          <w:sz w:val="22"/>
          <w:lang w:val="en-AU" w:eastAsia="en-AU"/>
        </w:rPr>
      </w:pPr>
      <w:hyperlink w:anchor="_Toc401061080" w:history="1">
        <w:r w:rsidR="00B60372" w:rsidRPr="00CF0576">
          <w:rPr>
            <w:rStyle w:val="Hyperlink"/>
          </w:rPr>
          <w:t>Figure 27: Comparative difference of RID statistics across LOS-split ADRGs – ECCS models v DRG classification.</w:t>
        </w:r>
        <w:r w:rsidR="00B60372">
          <w:rPr>
            <w:noProof/>
            <w:webHidden/>
          </w:rPr>
          <w:tab/>
        </w:r>
        <w:r w:rsidR="00B60372">
          <w:rPr>
            <w:noProof/>
            <w:webHidden/>
          </w:rPr>
          <w:fldChar w:fldCharType="begin"/>
        </w:r>
        <w:r w:rsidR="00B60372">
          <w:rPr>
            <w:noProof/>
            <w:webHidden/>
          </w:rPr>
          <w:instrText xml:space="preserve"> PAGEREF _Toc401061080 \h </w:instrText>
        </w:r>
        <w:r w:rsidR="00B60372">
          <w:rPr>
            <w:noProof/>
            <w:webHidden/>
          </w:rPr>
        </w:r>
        <w:r w:rsidR="00B60372">
          <w:rPr>
            <w:noProof/>
            <w:webHidden/>
          </w:rPr>
          <w:fldChar w:fldCharType="separate"/>
        </w:r>
        <w:r w:rsidR="0031717B">
          <w:rPr>
            <w:noProof/>
            <w:webHidden/>
          </w:rPr>
          <w:t>99</w:t>
        </w:r>
        <w:r w:rsidR="00B60372">
          <w:rPr>
            <w:noProof/>
            <w:webHidden/>
          </w:rPr>
          <w:fldChar w:fldCharType="end"/>
        </w:r>
      </w:hyperlink>
    </w:p>
    <w:p w14:paraId="7867897E" w14:textId="77777777" w:rsidR="00B60372" w:rsidRDefault="00000000">
      <w:pPr>
        <w:pStyle w:val="TableofFigures"/>
        <w:tabs>
          <w:tab w:val="right" w:leader="dot" w:pos="9017"/>
        </w:tabs>
        <w:rPr>
          <w:rFonts w:eastAsiaTheme="minorEastAsia"/>
          <w:noProof/>
          <w:sz w:val="22"/>
          <w:lang w:val="en-AU" w:eastAsia="en-AU"/>
        </w:rPr>
      </w:pPr>
      <w:hyperlink w:anchor="_Toc401061081" w:history="1">
        <w:r w:rsidR="00B60372" w:rsidRPr="00CF0576">
          <w:rPr>
            <w:rStyle w:val="Hyperlink"/>
          </w:rPr>
          <w:t>Figure 28: Comparative difference of R</w:t>
        </w:r>
        <w:r w:rsidR="00B60372" w:rsidRPr="00CF0576">
          <w:rPr>
            <w:rStyle w:val="Hyperlink"/>
            <w:vertAlign w:val="superscript"/>
          </w:rPr>
          <w:t>2</w:t>
        </w:r>
        <w:r w:rsidR="00B60372" w:rsidRPr="00CF0576">
          <w:rPr>
            <w:rStyle w:val="Hyperlink"/>
          </w:rPr>
          <w:t xml:space="preserve"> statistics across ADRGs – ECCS models v DRG classification.</w:t>
        </w:r>
        <w:r w:rsidR="00B60372">
          <w:rPr>
            <w:noProof/>
            <w:webHidden/>
          </w:rPr>
          <w:tab/>
        </w:r>
        <w:r w:rsidR="00B60372">
          <w:rPr>
            <w:noProof/>
            <w:webHidden/>
          </w:rPr>
          <w:fldChar w:fldCharType="begin"/>
        </w:r>
        <w:r w:rsidR="00B60372">
          <w:rPr>
            <w:noProof/>
            <w:webHidden/>
          </w:rPr>
          <w:instrText xml:space="preserve"> PAGEREF _Toc401061081 \h </w:instrText>
        </w:r>
        <w:r w:rsidR="00B60372">
          <w:rPr>
            <w:noProof/>
            <w:webHidden/>
          </w:rPr>
        </w:r>
        <w:r w:rsidR="00B60372">
          <w:rPr>
            <w:noProof/>
            <w:webHidden/>
          </w:rPr>
          <w:fldChar w:fldCharType="separate"/>
        </w:r>
        <w:r w:rsidR="0031717B">
          <w:rPr>
            <w:noProof/>
            <w:webHidden/>
          </w:rPr>
          <w:t>100</w:t>
        </w:r>
        <w:r w:rsidR="00B60372">
          <w:rPr>
            <w:noProof/>
            <w:webHidden/>
          </w:rPr>
          <w:fldChar w:fldCharType="end"/>
        </w:r>
      </w:hyperlink>
    </w:p>
    <w:p w14:paraId="3712A601" w14:textId="77777777" w:rsidR="00B60372" w:rsidRDefault="00000000">
      <w:pPr>
        <w:pStyle w:val="TableofFigures"/>
        <w:tabs>
          <w:tab w:val="right" w:leader="dot" w:pos="9017"/>
        </w:tabs>
        <w:rPr>
          <w:rFonts w:eastAsiaTheme="minorEastAsia"/>
          <w:noProof/>
          <w:sz w:val="22"/>
          <w:lang w:val="en-AU" w:eastAsia="en-AU"/>
        </w:rPr>
      </w:pPr>
      <w:hyperlink w:anchor="_Toc401061082" w:history="1">
        <w:r w:rsidR="00B60372" w:rsidRPr="00CF0576">
          <w:rPr>
            <w:rStyle w:val="Hyperlink"/>
          </w:rPr>
          <w:t>Figure 29: Comparison of ECCS, PCCL and AR-DRG by cost - B02 Cranial Procedures.</w:t>
        </w:r>
        <w:r w:rsidR="00B60372">
          <w:rPr>
            <w:noProof/>
            <w:webHidden/>
          </w:rPr>
          <w:tab/>
        </w:r>
        <w:r w:rsidR="00B60372">
          <w:rPr>
            <w:noProof/>
            <w:webHidden/>
          </w:rPr>
          <w:fldChar w:fldCharType="begin"/>
        </w:r>
        <w:r w:rsidR="00B60372">
          <w:rPr>
            <w:noProof/>
            <w:webHidden/>
          </w:rPr>
          <w:instrText xml:space="preserve"> PAGEREF _Toc401061082 \h </w:instrText>
        </w:r>
        <w:r w:rsidR="00B60372">
          <w:rPr>
            <w:noProof/>
            <w:webHidden/>
          </w:rPr>
        </w:r>
        <w:r w:rsidR="00B60372">
          <w:rPr>
            <w:noProof/>
            <w:webHidden/>
          </w:rPr>
          <w:fldChar w:fldCharType="separate"/>
        </w:r>
        <w:r w:rsidR="0031717B">
          <w:rPr>
            <w:noProof/>
            <w:webHidden/>
          </w:rPr>
          <w:t>101</w:t>
        </w:r>
        <w:r w:rsidR="00B60372">
          <w:rPr>
            <w:noProof/>
            <w:webHidden/>
          </w:rPr>
          <w:fldChar w:fldCharType="end"/>
        </w:r>
      </w:hyperlink>
    </w:p>
    <w:p w14:paraId="61773852" w14:textId="77777777" w:rsidR="00B60372" w:rsidRDefault="00000000">
      <w:pPr>
        <w:pStyle w:val="TableofFigures"/>
        <w:tabs>
          <w:tab w:val="right" w:leader="dot" w:pos="9017"/>
        </w:tabs>
        <w:rPr>
          <w:rFonts w:eastAsiaTheme="minorEastAsia"/>
          <w:noProof/>
          <w:sz w:val="22"/>
          <w:lang w:val="en-AU" w:eastAsia="en-AU"/>
        </w:rPr>
      </w:pPr>
      <w:hyperlink w:anchor="_Toc401061083" w:history="1">
        <w:r w:rsidR="00B60372" w:rsidRPr="00CF0576">
          <w:rPr>
            <w:rStyle w:val="Hyperlink"/>
          </w:rPr>
          <w:t>Figure 30: Comparison of ECCS, PCCL and AR-DRG by cost - G03 Stomach, Oesophageal and Duodenal Procedures.</w:t>
        </w:r>
        <w:r w:rsidR="00B60372">
          <w:rPr>
            <w:noProof/>
            <w:webHidden/>
          </w:rPr>
          <w:tab/>
        </w:r>
        <w:r w:rsidR="00B60372">
          <w:rPr>
            <w:noProof/>
            <w:webHidden/>
          </w:rPr>
          <w:fldChar w:fldCharType="begin"/>
        </w:r>
        <w:r w:rsidR="00B60372">
          <w:rPr>
            <w:noProof/>
            <w:webHidden/>
          </w:rPr>
          <w:instrText xml:space="preserve"> PAGEREF _Toc401061083 \h </w:instrText>
        </w:r>
        <w:r w:rsidR="00B60372">
          <w:rPr>
            <w:noProof/>
            <w:webHidden/>
          </w:rPr>
        </w:r>
        <w:r w:rsidR="00B60372">
          <w:rPr>
            <w:noProof/>
            <w:webHidden/>
          </w:rPr>
          <w:fldChar w:fldCharType="separate"/>
        </w:r>
        <w:r w:rsidR="0031717B">
          <w:rPr>
            <w:noProof/>
            <w:webHidden/>
          </w:rPr>
          <w:t>102</w:t>
        </w:r>
        <w:r w:rsidR="00B60372">
          <w:rPr>
            <w:noProof/>
            <w:webHidden/>
          </w:rPr>
          <w:fldChar w:fldCharType="end"/>
        </w:r>
      </w:hyperlink>
    </w:p>
    <w:p w14:paraId="35B89854" w14:textId="77777777" w:rsidR="00B60372" w:rsidRDefault="00000000">
      <w:pPr>
        <w:pStyle w:val="TableofFigures"/>
        <w:tabs>
          <w:tab w:val="right" w:leader="dot" w:pos="9017"/>
        </w:tabs>
        <w:rPr>
          <w:rFonts w:eastAsiaTheme="minorEastAsia"/>
          <w:noProof/>
          <w:sz w:val="22"/>
          <w:lang w:val="en-AU" w:eastAsia="en-AU"/>
        </w:rPr>
      </w:pPr>
      <w:hyperlink w:anchor="_Toc401061084" w:history="1">
        <w:r w:rsidR="00B60372" w:rsidRPr="00CF0576">
          <w:rPr>
            <w:rStyle w:val="Hyperlink"/>
          </w:rPr>
          <w:t>Figure 31: Comparison of ECCS, PCCL and AR-DRG by cost - H01 Pancreas, Liver and Shunt Procedures.</w:t>
        </w:r>
        <w:r w:rsidR="00B60372">
          <w:rPr>
            <w:noProof/>
            <w:webHidden/>
          </w:rPr>
          <w:tab/>
        </w:r>
        <w:r w:rsidR="00B60372">
          <w:rPr>
            <w:noProof/>
            <w:webHidden/>
          </w:rPr>
          <w:fldChar w:fldCharType="begin"/>
        </w:r>
        <w:r w:rsidR="00B60372">
          <w:rPr>
            <w:noProof/>
            <w:webHidden/>
          </w:rPr>
          <w:instrText xml:space="preserve"> PAGEREF _Toc401061084 \h </w:instrText>
        </w:r>
        <w:r w:rsidR="00B60372">
          <w:rPr>
            <w:noProof/>
            <w:webHidden/>
          </w:rPr>
        </w:r>
        <w:r w:rsidR="00B60372">
          <w:rPr>
            <w:noProof/>
            <w:webHidden/>
          </w:rPr>
          <w:fldChar w:fldCharType="separate"/>
        </w:r>
        <w:r w:rsidR="0031717B">
          <w:rPr>
            <w:noProof/>
            <w:webHidden/>
          </w:rPr>
          <w:t>103</w:t>
        </w:r>
        <w:r w:rsidR="00B60372">
          <w:rPr>
            <w:noProof/>
            <w:webHidden/>
          </w:rPr>
          <w:fldChar w:fldCharType="end"/>
        </w:r>
      </w:hyperlink>
    </w:p>
    <w:p w14:paraId="05B88FA2" w14:textId="77777777" w:rsidR="00B60372" w:rsidRDefault="00000000">
      <w:pPr>
        <w:pStyle w:val="TableofFigures"/>
        <w:tabs>
          <w:tab w:val="right" w:leader="dot" w:pos="9017"/>
        </w:tabs>
        <w:rPr>
          <w:rFonts w:eastAsiaTheme="minorEastAsia"/>
          <w:noProof/>
          <w:sz w:val="22"/>
          <w:lang w:val="en-AU" w:eastAsia="en-AU"/>
        </w:rPr>
      </w:pPr>
      <w:hyperlink w:anchor="_Toc401061085" w:history="1">
        <w:r w:rsidR="00B60372" w:rsidRPr="00CF0576">
          <w:rPr>
            <w:rStyle w:val="Hyperlink"/>
          </w:rPr>
          <w:t>Figure 32: Comparison of ECCS, PCCL and AR-DRG by cost - T60 Septicaemia.</w:t>
        </w:r>
        <w:r w:rsidR="00B60372">
          <w:rPr>
            <w:noProof/>
            <w:webHidden/>
          </w:rPr>
          <w:tab/>
        </w:r>
        <w:r w:rsidR="00B60372">
          <w:rPr>
            <w:noProof/>
            <w:webHidden/>
          </w:rPr>
          <w:fldChar w:fldCharType="begin"/>
        </w:r>
        <w:r w:rsidR="00B60372">
          <w:rPr>
            <w:noProof/>
            <w:webHidden/>
          </w:rPr>
          <w:instrText xml:space="preserve"> PAGEREF _Toc401061085 \h </w:instrText>
        </w:r>
        <w:r w:rsidR="00B60372">
          <w:rPr>
            <w:noProof/>
            <w:webHidden/>
          </w:rPr>
        </w:r>
        <w:r w:rsidR="00B60372">
          <w:rPr>
            <w:noProof/>
            <w:webHidden/>
          </w:rPr>
          <w:fldChar w:fldCharType="separate"/>
        </w:r>
        <w:r w:rsidR="0031717B">
          <w:rPr>
            <w:noProof/>
            <w:webHidden/>
          </w:rPr>
          <w:t>104</w:t>
        </w:r>
        <w:r w:rsidR="00B60372">
          <w:rPr>
            <w:noProof/>
            <w:webHidden/>
          </w:rPr>
          <w:fldChar w:fldCharType="end"/>
        </w:r>
      </w:hyperlink>
    </w:p>
    <w:p w14:paraId="146AE769" w14:textId="77777777" w:rsidR="00B60372" w:rsidRDefault="00000000">
      <w:pPr>
        <w:pStyle w:val="TableofFigures"/>
        <w:tabs>
          <w:tab w:val="right" w:leader="dot" w:pos="9017"/>
        </w:tabs>
        <w:rPr>
          <w:rFonts w:eastAsiaTheme="minorEastAsia"/>
          <w:noProof/>
          <w:sz w:val="22"/>
          <w:lang w:val="en-AU" w:eastAsia="en-AU"/>
        </w:rPr>
      </w:pPr>
      <w:hyperlink w:anchor="_Toc401061086" w:history="1">
        <w:r w:rsidR="00B60372" w:rsidRPr="00CF0576">
          <w:rPr>
            <w:rStyle w:val="Hyperlink"/>
          </w:rPr>
          <w:t>Figure 33: Distribution ADRG-level cost ratios across each model on paediatric episodes.</w:t>
        </w:r>
        <w:r w:rsidR="00B60372">
          <w:rPr>
            <w:noProof/>
            <w:webHidden/>
          </w:rPr>
          <w:tab/>
        </w:r>
        <w:r w:rsidR="00B60372">
          <w:rPr>
            <w:noProof/>
            <w:webHidden/>
          </w:rPr>
          <w:fldChar w:fldCharType="begin"/>
        </w:r>
        <w:r w:rsidR="00B60372">
          <w:rPr>
            <w:noProof/>
            <w:webHidden/>
          </w:rPr>
          <w:instrText xml:space="preserve"> PAGEREF _Toc401061086 \h </w:instrText>
        </w:r>
        <w:r w:rsidR="00B60372">
          <w:rPr>
            <w:noProof/>
            <w:webHidden/>
          </w:rPr>
        </w:r>
        <w:r w:rsidR="00B60372">
          <w:rPr>
            <w:noProof/>
            <w:webHidden/>
          </w:rPr>
          <w:fldChar w:fldCharType="separate"/>
        </w:r>
        <w:r w:rsidR="0031717B">
          <w:rPr>
            <w:noProof/>
            <w:webHidden/>
          </w:rPr>
          <w:t>107</w:t>
        </w:r>
        <w:r w:rsidR="00B60372">
          <w:rPr>
            <w:noProof/>
            <w:webHidden/>
          </w:rPr>
          <w:fldChar w:fldCharType="end"/>
        </w:r>
      </w:hyperlink>
    </w:p>
    <w:p w14:paraId="643C6B67" w14:textId="77777777" w:rsidR="00B60372" w:rsidRDefault="00000000">
      <w:pPr>
        <w:pStyle w:val="TableofFigures"/>
        <w:tabs>
          <w:tab w:val="right" w:leader="dot" w:pos="9017"/>
        </w:tabs>
        <w:rPr>
          <w:rFonts w:eastAsiaTheme="minorEastAsia"/>
          <w:noProof/>
          <w:sz w:val="22"/>
          <w:lang w:val="en-AU" w:eastAsia="en-AU"/>
        </w:rPr>
      </w:pPr>
      <w:hyperlink w:anchor="_Toc401061087" w:history="1">
        <w:r w:rsidR="00B60372" w:rsidRPr="00CF0576">
          <w:rPr>
            <w:rStyle w:val="Hyperlink"/>
          </w:rPr>
          <w:t>Figure 34: Distribution ADRG-level cost ratios across each model on geriatric episodes.</w:t>
        </w:r>
        <w:r w:rsidR="00B60372">
          <w:rPr>
            <w:noProof/>
            <w:webHidden/>
          </w:rPr>
          <w:tab/>
        </w:r>
        <w:r w:rsidR="00B60372">
          <w:rPr>
            <w:noProof/>
            <w:webHidden/>
          </w:rPr>
          <w:fldChar w:fldCharType="begin"/>
        </w:r>
        <w:r w:rsidR="00B60372">
          <w:rPr>
            <w:noProof/>
            <w:webHidden/>
          </w:rPr>
          <w:instrText xml:space="preserve"> PAGEREF _Toc401061087 \h </w:instrText>
        </w:r>
        <w:r w:rsidR="00B60372">
          <w:rPr>
            <w:noProof/>
            <w:webHidden/>
          </w:rPr>
        </w:r>
        <w:r w:rsidR="00B60372">
          <w:rPr>
            <w:noProof/>
            <w:webHidden/>
          </w:rPr>
          <w:fldChar w:fldCharType="separate"/>
        </w:r>
        <w:r w:rsidR="0031717B">
          <w:rPr>
            <w:noProof/>
            <w:webHidden/>
          </w:rPr>
          <w:t>110</w:t>
        </w:r>
        <w:r w:rsidR="00B60372">
          <w:rPr>
            <w:noProof/>
            <w:webHidden/>
          </w:rPr>
          <w:fldChar w:fldCharType="end"/>
        </w:r>
      </w:hyperlink>
    </w:p>
    <w:p w14:paraId="7CF13A76" w14:textId="77777777" w:rsidR="005B5818" w:rsidRDefault="005559F5" w:rsidP="005E10D1">
      <w:pPr>
        <w:pStyle w:val="TableofFigures"/>
        <w:tabs>
          <w:tab w:val="right" w:leader="dot" w:pos="9017"/>
        </w:tabs>
      </w:pPr>
      <w:r w:rsidRPr="00FC780F">
        <w:fldChar w:fldCharType="end"/>
      </w:r>
    </w:p>
    <w:p w14:paraId="4D5CBE39" w14:textId="77777777" w:rsidR="005B5818" w:rsidRDefault="005B5818" w:rsidP="00B60372">
      <w:pPr>
        <w:pStyle w:val="Heading2"/>
      </w:pPr>
      <w:bookmarkStart w:id="209" w:name="_Toc401061053"/>
      <w:r>
        <w:lastRenderedPageBreak/>
        <w:t>List of Tables</w:t>
      </w:r>
      <w:bookmarkEnd w:id="209"/>
    </w:p>
    <w:p w14:paraId="79FA6632" w14:textId="77777777" w:rsidR="00B60372" w:rsidRDefault="005559F5">
      <w:pPr>
        <w:pStyle w:val="TableofFigures"/>
        <w:tabs>
          <w:tab w:val="right" w:leader="dot" w:pos="9017"/>
        </w:tabs>
        <w:rPr>
          <w:rFonts w:eastAsiaTheme="minorEastAsia"/>
          <w:noProof/>
          <w:sz w:val="22"/>
          <w:lang w:val="en-AU" w:eastAsia="en-AU"/>
        </w:rPr>
      </w:pPr>
      <w:r>
        <w:fldChar w:fldCharType="begin"/>
      </w:r>
      <w:r w:rsidR="005B5818">
        <w:instrText xml:space="preserve"> TOC \h \z \c "Table" </w:instrText>
      </w:r>
      <w:r>
        <w:fldChar w:fldCharType="separate"/>
      </w:r>
      <w:hyperlink w:anchor="_Toc401061088" w:history="1">
        <w:r w:rsidR="00B60372" w:rsidRPr="004C465F">
          <w:rPr>
            <w:rStyle w:val="Hyperlink"/>
          </w:rPr>
          <w:t>Table 1: Summary of final data used in the project (private and public establishments).</w:t>
        </w:r>
        <w:r w:rsidR="00B60372">
          <w:rPr>
            <w:noProof/>
            <w:webHidden/>
          </w:rPr>
          <w:tab/>
        </w:r>
        <w:r w:rsidR="00B60372">
          <w:rPr>
            <w:noProof/>
            <w:webHidden/>
          </w:rPr>
          <w:fldChar w:fldCharType="begin"/>
        </w:r>
        <w:r w:rsidR="00B60372">
          <w:rPr>
            <w:noProof/>
            <w:webHidden/>
          </w:rPr>
          <w:instrText xml:space="preserve"> PAGEREF _Toc401061088 \h </w:instrText>
        </w:r>
        <w:r w:rsidR="00B60372">
          <w:rPr>
            <w:noProof/>
            <w:webHidden/>
          </w:rPr>
        </w:r>
        <w:r w:rsidR="00B60372">
          <w:rPr>
            <w:noProof/>
            <w:webHidden/>
          </w:rPr>
          <w:fldChar w:fldCharType="separate"/>
        </w:r>
        <w:r w:rsidR="0031717B">
          <w:rPr>
            <w:noProof/>
            <w:webHidden/>
          </w:rPr>
          <w:t>29</w:t>
        </w:r>
        <w:r w:rsidR="00B60372">
          <w:rPr>
            <w:noProof/>
            <w:webHidden/>
          </w:rPr>
          <w:fldChar w:fldCharType="end"/>
        </w:r>
      </w:hyperlink>
    </w:p>
    <w:p w14:paraId="162F9609" w14:textId="77777777" w:rsidR="00B60372" w:rsidRDefault="00000000">
      <w:pPr>
        <w:pStyle w:val="TableofFigures"/>
        <w:tabs>
          <w:tab w:val="right" w:leader="dot" w:pos="9017"/>
        </w:tabs>
        <w:rPr>
          <w:rFonts w:eastAsiaTheme="minorEastAsia"/>
          <w:noProof/>
          <w:sz w:val="22"/>
          <w:lang w:val="en-AU" w:eastAsia="en-AU"/>
        </w:rPr>
      </w:pPr>
      <w:hyperlink w:anchor="_Toc401061089" w:history="1">
        <w:r w:rsidR="00B60372" w:rsidRPr="004C465F">
          <w:rPr>
            <w:rStyle w:val="Hyperlink"/>
          </w:rPr>
          <w:t xml:space="preserve">Table 2: The decayed multiplicative model </w:t>
        </w:r>
        <w:r w:rsidR="00B60372" w:rsidRPr="00F77323">
          <w:rPr>
            <w:noProof/>
            <w:position w:val="-12"/>
          </w:rPr>
          <w:object w:dxaOrig="880" w:dyaOrig="360" w14:anchorId="46EB9D84">
            <v:shape id="_x0000_i1494" type="#_x0000_t75" style="width:44.25pt;height:18pt" o:ole="">
              <v:imagedata r:id="rId257" o:title=""/>
            </v:shape>
            <o:OLEObject Type="Embed" ProgID="Equation.DSMT4" ShapeID="_x0000_i1494" DrawAspect="Content" ObjectID="_1775046130" r:id="rId839"/>
          </w:object>
        </w:r>
        <w:r w:rsidR="00B60372" w:rsidRPr="004C465F">
          <w:rPr>
            <w:rStyle w:val="Hyperlink"/>
          </w:rPr>
          <w:t>together with the geometric mean cost of each ADRG profile</w:t>
        </w:r>
        <w:r w:rsidR="00B60372" w:rsidRPr="00F77323">
          <w:rPr>
            <w:noProof/>
            <w:position w:val="-12"/>
          </w:rPr>
          <w:object w:dxaOrig="880" w:dyaOrig="360" w14:anchorId="5806B0C9">
            <v:shape id="_x0000_i1495" type="#_x0000_t75" style="width:44.25pt;height:18pt" o:ole="">
              <v:imagedata r:id="rId259" o:title=""/>
            </v:shape>
            <o:OLEObject Type="Embed" ProgID="Equation.DSMT4" ShapeID="_x0000_i1495" DrawAspect="Content" ObjectID="_1775046131" r:id="rId840"/>
          </w:object>
        </w:r>
        <w:r w:rsidR="00B60372" w:rsidRPr="004C465F">
          <w:rPr>
            <w:rStyle w:val="Hyperlink"/>
          </w:rPr>
          <w:t>.</w:t>
        </w:r>
        <w:r w:rsidR="00B60372">
          <w:rPr>
            <w:noProof/>
            <w:webHidden/>
          </w:rPr>
          <w:tab/>
        </w:r>
        <w:r w:rsidR="00B60372">
          <w:rPr>
            <w:noProof/>
            <w:webHidden/>
          </w:rPr>
          <w:fldChar w:fldCharType="begin"/>
        </w:r>
        <w:r w:rsidR="00B60372">
          <w:rPr>
            <w:noProof/>
            <w:webHidden/>
          </w:rPr>
          <w:instrText xml:space="preserve"> PAGEREF _Toc401061089 \h </w:instrText>
        </w:r>
        <w:r w:rsidR="00B60372">
          <w:rPr>
            <w:noProof/>
            <w:webHidden/>
          </w:rPr>
        </w:r>
        <w:r w:rsidR="00B60372">
          <w:rPr>
            <w:noProof/>
            <w:webHidden/>
          </w:rPr>
          <w:fldChar w:fldCharType="separate"/>
        </w:r>
        <w:r w:rsidR="0031717B">
          <w:rPr>
            <w:noProof/>
            <w:webHidden/>
          </w:rPr>
          <w:t>46</w:t>
        </w:r>
        <w:r w:rsidR="00B60372">
          <w:rPr>
            <w:noProof/>
            <w:webHidden/>
          </w:rPr>
          <w:fldChar w:fldCharType="end"/>
        </w:r>
      </w:hyperlink>
    </w:p>
    <w:p w14:paraId="3A9B9323" w14:textId="77777777" w:rsidR="00B60372" w:rsidRDefault="00000000">
      <w:pPr>
        <w:pStyle w:val="TableofFigures"/>
        <w:tabs>
          <w:tab w:val="right" w:leader="dot" w:pos="9017"/>
        </w:tabs>
        <w:rPr>
          <w:rFonts w:eastAsiaTheme="minorEastAsia"/>
          <w:noProof/>
          <w:sz w:val="22"/>
          <w:lang w:val="en-AU" w:eastAsia="en-AU"/>
        </w:rPr>
      </w:pPr>
      <w:hyperlink w:anchor="_Toc401061090" w:history="1">
        <w:r w:rsidR="00B60372" w:rsidRPr="004C465F">
          <w:rPr>
            <w:rStyle w:val="Hyperlink"/>
          </w:rPr>
          <w:t>Table 3: Aggregation hierarchy for a diagnosis-ADRG combination (x;A).</w:t>
        </w:r>
        <w:r w:rsidR="00B60372">
          <w:rPr>
            <w:noProof/>
            <w:webHidden/>
          </w:rPr>
          <w:tab/>
        </w:r>
        <w:r w:rsidR="00B60372">
          <w:rPr>
            <w:noProof/>
            <w:webHidden/>
          </w:rPr>
          <w:fldChar w:fldCharType="begin"/>
        </w:r>
        <w:r w:rsidR="00B60372">
          <w:rPr>
            <w:noProof/>
            <w:webHidden/>
          </w:rPr>
          <w:instrText xml:space="preserve"> PAGEREF _Toc401061090 \h </w:instrText>
        </w:r>
        <w:r w:rsidR="00B60372">
          <w:rPr>
            <w:noProof/>
            <w:webHidden/>
          </w:rPr>
        </w:r>
        <w:r w:rsidR="00B60372">
          <w:rPr>
            <w:noProof/>
            <w:webHidden/>
          </w:rPr>
          <w:fldChar w:fldCharType="separate"/>
        </w:r>
        <w:r w:rsidR="0031717B">
          <w:rPr>
            <w:noProof/>
            <w:webHidden/>
          </w:rPr>
          <w:t>54</w:t>
        </w:r>
        <w:r w:rsidR="00B60372">
          <w:rPr>
            <w:noProof/>
            <w:webHidden/>
          </w:rPr>
          <w:fldChar w:fldCharType="end"/>
        </w:r>
      </w:hyperlink>
    </w:p>
    <w:p w14:paraId="7D688492" w14:textId="77777777" w:rsidR="00B60372" w:rsidRDefault="00000000">
      <w:pPr>
        <w:pStyle w:val="TableofFigures"/>
        <w:tabs>
          <w:tab w:val="right" w:leader="dot" w:pos="9017"/>
        </w:tabs>
        <w:rPr>
          <w:rFonts w:eastAsiaTheme="minorEastAsia"/>
          <w:noProof/>
          <w:sz w:val="22"/>
          <w:lang w:val="en-AU" w:eastAsia="en-AU"/>
        </w:rPr>
      </w:pPr>
      <w:hyperlink w:anchor="_Toc401061091" w:history="1">
        <w:r w:rsidR="00B60372" w:rsidRPr="004C465F">
          <w:rPr>
            <w:rStyle w:val="Hyperlink"/>
          </w:rPr>
          <w:t>Table 4: Notation used in calculation of cumulative relative cost.</w:t>
        </w:r>
        <w:r w:rsidR="00B60372">
          <w:rPr>
            <w:noProof/>
            <w:webHidden/>
          </w:rPr>
          <w:tab/>
        </w:r>
        <w:r w:rsidR="00B60372">
          <w:rPr>
            <w:noProof/>
            <w:webHidden/>
          </w:rPr>
          <w:fldChar w:fldCharType="begin"/>
        </w:r>
        <w:r w:rsidR="00B60372">
          <w:rPr>
            <w:noProof/>
            <w:webHidden/>
          </w:rPr>
          <w:instrText xml:space="preserve"> PAGEREF _Toc401061091 \h </w:instrText>
        </w:r>
        <w:r w:rsidR="00B60372">
          <w:rPr>
            <w:noProof/>
            <w:webHidden/>
          </w:rPr>
        </w:r>
        <w:r w:rsidR="00B60372">
          <w:rPr>
            <w:noProof/>
            <w:webHidden/>
          </w:rPr>
          <w:fldChar w:fldCharType="separate"/>
        </w:r>
        <w:r w:rsidR="0031717B">
          <w:rPr>
            <w:noProof/>
            <w:webHidden/>
          </w:rPr>
          <w:t>55</w:t>
        </w:r>
        <w:r w:rsidR="00B60372">
          <w:rPr>
            <w:noProof/>
            <w:webHidden/>
          </w:rPr>
          <w:fldChar w:fldCharType="end"/>
        </w:r>
      </w:hyperlink>
    </w:p>
    <w:p w14:paraId="2DB2D398" w14:textId="77777777" w:rsidR="00B60372" w:rsidRDefault="00000000">
      <w:pPr>
        <w:pStyle w:val="TableofFigures"/>
        <w:tabs>
          <w:tab w:val="right" w:leader="dot" w:pos="9017"/>
        </w:tabs>
        <w:rPr>
          <w:rFonts w:eastAsiaTheme="minorEastAsia"/>
          <w:noProof/>
          <w:sz w:val="22"/>
          <w:lang w:val="en-AU" w:eastAsia="en-AU"/>
        </w:rPr>
      </w:pPr>
      <w:hyperlink w:anchor="_Toc401061092" w:history="1">
        <w:r w:rsidR="00B60372" w:rsidRPr="004C465F">
          <w:rPr>
            <w:rStyle w:val="Hyperlink"/>
          </w:rPr>
          <w:t xml:space="preserve">Table 5: Definition of the sequence of mutually exclusive </w:t>
        </w:r>
        <w:r w:rsidR="00B60372" w:rsidRPr="00AD575F">
          <w:rPr>
            <w:rFonts w:eastAsiaTheme="minorEastAsia"/>
            <w:noProof/>
            <w:position w:val="-12"/>
            <w:szCs w:val="24"/>
            <w:lang w:val="en-AU"/>
          </w:rPr>
          <w:object w:dxaOrig="279" w:dyaOrig="360" w14:anchorId="13B8F513">
            <v:shape id="_x0000_i1496" type="#_x0000_t75" style="width:14.25pt;height:18pt" o:ole="">
              <v:imagedata r:id="rId533" o:title=""/>
            </v:shape>
            <o:OLEObject Type="Embed" ProgID="Equation.DSMT4" ShapeID="_x0000_i1496" DrawAspect="Content" ObjectID="_1775046132" r:id="rId841"/>
          </w:object>
        </w:r>
        <w:r w:rsidR="00B60372" w:rsidRPr="004C465F">
          <w:rPr>
            <w:rStyle w:val="Hyperlink"/>
          </w:rPr>
          <w:t xml:space="preserve"> episode sets.</w:t>
        </w:r>
        <w:r w:rsidR="00B60372">
          <w:rPr>
            <w:noProof/>
            <w:webHidden/>
          </w:rPr>
          <w:tab/>
        </w:r>
        <w:r w:rsidR="00B60372">
          <w:rPr>
            <w:noProof/>
            <w:webHidden/>
          </w:rPr>
          <w:fldChar w:fldCharType="begin"/>
        </w:r>
        <w:r w:rsidR="00B60372">
          <w:rPr>
            <w:noProof/>
            <w:webHidden/>
          </w:rPr>
          <w:instrText xml:space="preserve"> PAGEREF _Toc401061092 \h </w:instrText>
        </w:r>
        <w:r w:rsidR="00B60372">
          <w:rPr>
            <w:noProof/>
            <w:webHidden/>
          </w:rPr>
        </w:r>
        <w:r w:rsidR="00B60372">
          <w:rPr>
            <w:noProof/>
            <w:webHidden/>
          </w:rPr>
          <w:fldChar w:fldCharType="separate"/>
        </w:r>
        <w:r w:rsidR="0031717B">
          <w:rPr>
            <w:noProof/>
            <w:webHidden/>
          </w:rPr>
          <w:t>57</w:t>
        </w:r>
        <w:r w:rsidR="00B60372">
          <w:rPr>
            <w:noProof/>
            <w:webHidden/>
          </w:rPr>
          <w:fldChar w:fldCharType="end"/>
        </w:r>
      </w:hyperlink>
    </w:p>
    <w:p w14:paraId="406C401E" w14:textId="77777777" w:rsidR="00B60372" w:rsidRDefault="00000000">
      <w:pPr>
        <w:pStyle w:val="TableofFigures"/>
        <w:tabs>
          <w:tab w:val="right" w:leader="dot" w:pos="9017"/>
        </w:tabs>
        <w:rPr>
          <w:rFonts w:eastAsiaTheme="minorEastAsia"/>
          <w:noProof/>
          <w:sz w:val="22"/>
          <w:lang w:val="en-AU" w:eastAsia="en-AU"/>
        </w:rPr>
      </w:pPr>
      <w:hyperlink w:anchor="_Toc401061093" w:history="1">
        <w:r w:rsidR="00B60372" w:rsidRPr="004C465F">
          <w:rPr>
            <w:rStyle w:val="Hyperlink"/>
          </w:rPr>
          <w:t xml:space="preserve">Table 6: Summary of aggregation levels at which the </w:t>
        </w:r>
        <w:r w:rsidR="00B60372" w:rsidRPr="00F3437F">
          <w:rPr>
            <w:noProof/>
            <w:position w:val="-14"/>
          </w:rPr>
          <w:object w:dxaOrig="840" w:dyaOrig="400" w14:anchorId="399E9C84">
            <v:shape id="_x0000_i1497" type="#_x0000_t75" style="width:42pt;height:20.25pt" o:ole="">
              <v:imagedata r:id="rId627" o:title=""/>
            </v:shape>
            <o:OLEObject Type="Embed" ProgID="Equation.DSMT4" ShapeID="_x0000_i1497" DrawAspect="Content" ObjectID="_1775046133" r:id="rId842"/>
          </w:object>
        </w:r>
        <w:r w:rsidR="00B60372" w:rsidRPr="004C465F">
          <w:rPr>
            <w:rStyle w:val="Hyperlink"/>
          </w:rPr>
          <w:t xml:space="preserve"> are calculated.</w:t>
        </w:r>
        <w:r w:rsidR="00B60372">
          <w:rPr>
            <w:noProof/>
            <w:webHidden/>
          </w:rPr>
          <w:tab/>
        </w:r>
        <w:r w:rsidR="00B60372">
          <w:rPr>
            <w:noProof/>
            <w:webHidden/>
          </w:rPr>
          <w:fldChar w:fldCharType="begin"/>
        </w:r>
        <w:r w:rsidR="00B60372">
          <w:rPr>
            <w:noProof/>
            <w:webHidden/>
          </w:rPr>
          <w:instrText xml:space="preserve"> PAGEREF _Toc401061093 \h </w:instrText>
        </w:r>
        <w:r w:rsidR="00B60372">
          <w:rPr>
            <w:noProof/>
            <w:webHidden/>
          </w:rPr>
        </w:r>
        <w:r w:rsidR="00B60372">
          <w:rPr>
            <w:noProof/>
            <w:webHidden/>
          </w:rPr>
          <w:fldChar w:fldCharType="separate"/>
        </w:r>
        <w:r w:rsidR="0031717B">
          <w:rPr>
            <w:noProof/>
            <w:webHidden/>
          </w:rPr>
          <w:t>59</w:t>
        </w:r>
        <w:r w:rsidR="00B60372">
          <w:rPr>
            <w:noProof/>
            <w:webHidden/>
          </w:rPr>
          <w:fldChar w:fldCharType="end"/>
        </w:r>
      </w:hyperlink>
    </w:p>
    <w:p w14:paraId="13E486D5" w14:textId="77777777" w:rsidR="00B60372" w:rsidRDefault="00000000">
      <w:pPr>
        <w:pStyle w:val="TableofFigures"/>
        <w:tabs>
          <w:tab w:val="right" w:leader="dot" w:pos="9017"/>
        </w:tabs>
        <w:rPr>
          <w:rFonts w:eastAsiaTheme="minorEastAsia"/>
          <w:noProof/>
          <w:sz w:val="22"/>
          <w:lang w:val="en-AU" w:eastAsia="en-AU"/>
        </w:rPr>
      </w:pPr>
      <w:hyperlink w:anchor="_Toc401061094" w:history="1">
        <w:r w:rsidR="00B60372" w:rsidRPr="004C465F">
          <w:rPr>
            <w:rStyle w:val="Hyperlink"/>
          </w:rPr>
          <w:t>Table 7: Proportion of DCLs by diagnosis group.</w:t>
        </w:r>
        <w:r w:rsidR="00B60372">
          <w:rPr>
            <w:noProof/>
            <w:webHidden/>
          </w:rPr>
          <w:tab/>
        </w:r>
        <w:r w:rsidR="00B60372">
          <w:rPr>
            <w:noProof/>
            <w:webHidden/>
          </w:rPr>
          <w:fldChar w:fldCharType="begin"/>
        </w:r>
        <w:r w:rsidR="00B60372">
          <w:rPr>
            <w:noProof/>
            <w:webHidden/>
          </w:rPr>
          <w:instrText xml:space="preserve"> PAGEREF _Toc401061094 \h </w:instrText>
        </w:r>
        <w:r w:rsidR="00B60372">
          <w:rPr>
            <w:noProof/>
            <w:webHidden/>
          </w:rPr>
        </w:r>
        <w:r w:rsidR="00B60372">
          <w:rPr>
            <w:noProof/>
            <w:webHidden/>
          </w:rPr>
          <w:fldChar w:fldCharType="separate"/>
        </w:r>
        <w:r w:rsidR="0031717B">
          <w:rPr>
            <w:noProof/>
            <w:webHidden/>
          </w:rPr>
          <w:t>60</w:t>
        </w:r>
        <w:r w:rsidR="00B60372">
          <w:rPr>
            <w:noProof/>
            <w:webHidden/>
          </w:rPr>
          <w:fldChar w:fldCharType="end"/>
        </w:r>
      </w:hyperlink>
    </w:p>
    <w:p w14:paraId="41155B3E" w14:textId="77777777" w:rsidR="00B60372" w:rsidRDefault="00000000">
      <w:pPr>
        <w:pStyle w:val="TableofFigures"/>
        <w:tabs>
          <w:tab w:val="right" w:leader="dot" w:pos="9017"/>
        </w:tabs>
        <w:rPr>
          <w:rFonts w:eastAsiaTheme="minorEastAsia"/>
          <w:noProof/>
          <w:sz w:val="22"/>
          <w:lang w:val="en-AU" w:eastAsia="en-AU"/>
        </w:rPr>
      </w:pPr>
      <w:hyperlink w:anchor="_Toc401061095" w:history="1">
        <w:r w:rsidR="00B60372" w:rsidRPr="004C465F">
          <w:rPr>
            <w:rStyle w:val="Hyperlink"/>
          </w:rPr>
          <w:t>Table 8: Percentage breakdown of episodes by rounded ECCS.</w:t>
        </w:r>
        <w:r w:rsidR="00B60372">
          <w:rPr>
            <w:noProof/>
            <w:webHidden/>
          </w:rPr>
          <w:tab/>
        </w:r>
        <w:r w:rsidR="00B60372">
          <w:rPr>
            <w:noProof/>
            <w:webHidden/>
          </w:rPr>
          <w:fldChar w:fldCharType="begin"/>
        </w:r>
        <w:r w:rsidR="00B60372">
          <w:rPr>
            <w:noProof/>
            <w:webHidden/>
          </w:rPr>
          <w:instrText xml:space="preserve"> PAGEREF _Toc401061095 \h </w:instrText>
        </w:r>
        <w:r w:rsidR="00B60372">
          <w:rPr>
            <w:noProof/>
            <w:webHidden/>
          </w:rPr>
        </w:r>
        <w:r w:rsidR="00B60372">
          <w:rPr>
            <w:noProof/>
            <w:webHidden/>
          </w:rPr>
          <w:fldChar w:fldCharType="separate"/>
        </w:r>
        <w:r w:rsidR="0031717B">
          <w:rPr>
            <w:noProof/>
            <w:webHidden/>
          </w:rPr>
          <w:t>67</w:t>
        </w:r>
        <w:r w:rsidR="00B60372">
          <w:rPr>
            <w:noProof/>
            <w:webHidden/>
          </w:rPr>
          <w:fldChar w:fldCharType="end"/>
        </w:r>
      </w:hyperlink>
    </w:p>
    <w:p w14:paraId="6B5A2666" w14:textId="77777777" w:rsidR="00B60372" w:rsidRDefault="00000000">
      <w:pPr>
        <w:pStyle w:val="TableofFigures"/>
        <w:tabs>
          <w:tab w:val="right" w:leader="dot" w:pos="9017"/>
        </w:tabs>
        <w:rPr>
          <w:rFonts w:eastAsiaTheme="minorEastAsia"/>
          <w:noProof/>
          <w:sz w:val="22"/>
          <w:lang w:val="en-AU" w:eastAsia="en-AU"/>
        </w:rPr>
      </w:pPr>
      <w:hyperlink w:anchor="_Toc401061096" w:history="1">
        <w:r w:rsidR="00B60372" w:rsidRPr="004C465F">
          <w:rPr>
            <w:rStyle w:val="Hyperlink"/>
          </w:rPr>
          <w:t>Table 9: Examples of patient diagnoses within pre-coordinated codes with multiple clinical concepts.</w:t>
        </w:r>
        <w:r w:rsidR="00B60372">
          <w:rPr>
            <w:noProof/>
            <w:webHidden/>
          </w:rPr>
          <w:tab/>
        </w:r>
        <w:r w:rsidR="00B60372">
          <w:rPr>
            <w:noProof/>
            <w:webHidden/>
          </w:rPr>
          <w:fldChar w:fldCharType="begin"/>
        </w:r>
        <w:r w:rsidR="00B60372">
          <w:rPr>
            <w:noProof/>
            <w:webHidden/>
          </w:rPr>
          <w:instrText xml:space="preserve"> PAGEREF _Toc401061096 \h </w:instrText>
        </w:r>
        <w:r w:rsidR="00B60372">
          <w:rPr>
            <w:noProof/>
            <w:webHidden/>
          </w:rPr>
        </w:r>
        <w:r w:rsidR="00B60372">
          <w:rPr>
            <w:noProof/>
            <w:webHidden/>
          </w:rPr>
          <w:fldChar w:fldCharType="separate"/>
        </w:r>
        <w:r w:rsidR="0031717B">
          <w:rPr>
            <w:noProof/>
            <w:webHidden/>
          </w:rPr>
          <w:t>73</w:t>
        </w:r>
        <w:r w:rsidR="00B60372">
          <w:rPr>
            <w:noProof/>
            <w:webHidden/>
          </w:rPr>
          <w:fldChar w:fldCharType="end"/>
        </w:r>
      </w:hyperlink>
    </w:p>
    <w:p w14:paraId="7C7FFED4" w14:textId="77777777" w:rsidR="00B60372" w:rsidRDefault="00000000">
      <w:pPr>
        <w:pStyle w:val="TableofFigures"/>
        <w:tabs>
          <w:tab w:val="right" w:leader="dot" w:pos="9017"/>
        </w:tabs>
        <w:rPr>
          <w:rFonts w:eastAsiaTheme="minorEastAsia"/>
          <w:noProof/>
          <w:sz w:val="22"/>
          <w:lang w:val="en-AU" w:eastAsia="en-AU"/>
        </w:rPr>
      </w:pPr>
      <w:hyperlink w:anchor="_Toc401061097" w:history="1">
        <w:r w:rsidR="00B60372" w:rsidRPr="004C465F">
          <w:rPr>
            <w:rStyle w:val="Hyperlink"/>
          </w:rPr>
          <w:t>Table 10: Characteristics of patients in five scenarios.</w:t>
        </w:r>
        <w:r w:rsidR="00B60372">
          <w:rPr>
            <w:noProof/>
            <w:webHidden/>
          </w:rPr>
          <w:tab/>
        </w:r>
        <w:r w:rsidR="00B60372">
          <w:rPr>
            <w:noProof/>
            <w:webHidden/>
          </w:rPr>
          <w:fldChar w:fldCharType="begin"/>
        </w:r>
        <w:r w:rsidR="00B60372">
          <w:rPr>
            <w:noProof/>
            <w:webHidden/>
          </w:rPr>
          <w:instrText xml:space="preserve"> PAGEREF _Toc401061097 \h </w:instrText>
        </w:r>
        <w:r w:rsidR="00B60372">
          <w:rPr>
            <w:noProof/>
            <w:webHidden/>
          </w:rPr>
        </w:r>
        <w:r w:rsidR="00B60372">
          <w:rPr>
            <w:noProof/>
            <w:webHidden/>
          </w:rPr>
          <w:fldChar w:fldCharType="separate"/>
        </w:r>
        <w:r w:rsidR="0031717B">
          <w:rPr>
            <w:noProof/>
            <w:webHidden/>
          </w:rPr>
          <w:t>89</w:t>
        </w:r>
        <w:r w:rsidR="00B60372">
          <w:rPr>
            <w:noProof/>
            <w:webHidden/>
          </w:rPr>
          <w:fldChar w:fldCharType="end"/>
        </w:r>
      </w:hyperlink>
    </w:p>
    <w:p w14:paraId="555FFAE2" w14:textId="77777777" w:rsidR="00B60372" w:rsidRDefault="00000000">
      <w:pPr>
        <w:pStyle w:val="TableofFigures"/>
        <w:tabs>
          <w:tab w:val="right" w:leader="dot" w:pos="9017"/>
        </w:tabs>
        <w:rPr>
          <w:rFonts w:eastAsiaTheme="minorEastAsia"/>
          <w:noProof/>
          <w:sz w:val="22"/>
          <w:lang w:val="en-AU" w:eastAsia="en-AU"/>
        </w:rPr>
      </w:pPr>
      <w:hyperlink w:anchor="_Toc401061098" w:history="1">
        <w:r w:rsidR="00B60372" w:rsidRPr="004C465F">
          <w:rPr>
            <w:rStyle w:val="Hyperlink"/>
          </w:rPr>
          <w:t>Table 11: Comparative summary of the performance of ADRG splitting models.</w:t>
        </w:r>
        <w:r w:rsidR="00B60372">
          <w:rPr>
            <w:noProof/>
            <w:webHidden/>
          </w:rPr>
          <w:tab/>
        </w:r>
        <w:r w:rsidR="00B60372">
          <w:rPr>
            <w:noProof/>
            <w:webHidden/>
          </w:rPr>
          <w:fldChar w:fldCharType="begin"/>
        </w:r>
        <w:r w:rsidR="00B60372">
          <w:rPr>
            <w:noProof/>
            <w:webHidden/>
          </w:rPr>
          <w:instrText xml:space="preserve"> PAGEREF _Toc401061098 \h </w:instrText>
        </w:r>
        <w:r w:rsidR="00B60372">
          <w:rPr>
            <w:noProof/>
            <w:webHidden/>
          </w:rPr>
        </w:r>
        <w:r w:rsidR="00B60372">
          <w:rPr>
            <w:noProof/>
            <w:webHidden/>
          </w:rPr>
          <w:fldChar w:fldCharType="separate"/>
        </w:r>
        <w:r w:rsidR="0031717B">
          <w:rPr>
            <w:noProof/>
            <w:webHidden/>
          </w:rPr>
          <w:t>94</w:t>
        </w:r>
        <w:r w:rsidR="00B60372">
          <w:rPr>
            <w:noProof/>
            <w:webHidden/>
          </w:rPr>
          <w:fldChar w:fldCharType="end"/>
        </w:r>
      </w:hyperlink>
    </w:p>
    <w:p w14:paraId="5E289148" w14:textId="77777777" w:rsidR="00B60372" w:rsidRDefault="00000000">
      <w:pPr>
        <w:pStyle w:val="TableofFigures"/>
        <w:tabs>
          <w:tab w:val="right" w:leader="dot" w:pos="9017"/>
        </w:tabs>
        <w:rPr>
          <w:rFonts w:eastAsiaTheme="minorEastAsia"/>
          <w:noProof/>
          <w:sz w:val="22"/>
          <w:lang w:val="en-AU" w:eastAsia="en-AU"/>
        </w:rPr>
      </w:pPr>
      <w:hyperlink w:anchor="_Toc401061099" w:history="1">
        <w:r w:rsidR="00B60372" w:rsidRPr="004C465F">
          <w:rPr>
            <w:rStyle w:val="Hyperlink"/>
          </w:rPr>
          <w:t>Table 12: Summary of percentage distribution of episodes by PCCL, DRG and ECCS categories.</w:t>
        </w:r>
        <w:r w:rsidR="00B60372">
          <w:rPr>
            <w:noProof/>
            <w:webHidden/>
          </w:rPr>
          <w:tab/>
        </w:r>
        <w:r w:rsidR="00B60372">
          <w:rPr>
            <w:noProof/>
            <w:webHidden/>
          </w:rPr>
          <w:fldChar w:fldCharType="begin"/>
        </w:r>
        <w:r w:rsidR="00B60372">
          <w:rPr>
            <w:noProof/>
            <w:webHidden/>
          </w:rPr>
          <w:instrText xml:space="preserve"> PAGEREF _Toc401061099 \h </w:instrText>
        </w:r>
        <w:r w:rsidR="00B60372">
          <w:rPr>
            <w:noProof/>
            <w:webHidden/>
          </w:rPr>
        </w:r>
        <w:r w:rsidR="00B60372">
          <w:rPr>
            <w:noProof/>
            <w:webHidden/>
          </w:rPr>
          <w:fldChar w:fldCharType="separate"/>
        </w:r>
        <w:r w:rsidR="0031717B">
          <w:rPr>
            <w:noProof/>
            <w:webHidden/>
          </w:rPr>
          <w:t>95</w:t>
        </w:r>
        <w:r w:rsidR="00B60372">
          <w:rPr>
            <w:noProof/>
            <w:webHidden/>
          </w:rPr>
          <w:fldChar w:fldCharType="end"/>
        </w:r>
      </w:hyperlink>
    </w:p>
    <w:p w14:paraId="555A678C" w14:textId="77777777" w:rsidR="00B60372" w:rsidRDefault="00000000">
      <w:pPr>
        <w:pStyle w:val="TableofFigures"/>
        <w:tabs>
          <w:tab w:val="right" w:leader="dot" w:pos="9017"/>
        </w:tabs>
        <w:rPr>
          <w:rFonts w:eastAsiaTheme="minorEastAsia"/>
          <w:noProof/>
          <w:sz w:val="22"/>
          <w:lang w:val="en-AU" w:eastAsia="en-AU"/>
        </w:rPr>
      </w:pPr>
      <w:hyperlink w:anchor="_Toc401061100" w:history="1">
        <w:r w:rsidR="00B60372" w:rsidRPr="004C465F">
          <w:rPr>
            <w:rStyle w:val="Hyperlink"/>
          </w:rPr>
          <w:t>Table 13: Breakdown of ADRGs within each model by number of model categories.</w:t>
        </w:r>
        <w:r w:rsidR="00B60372">
          <w:rPr>
            <w:noProof/>
            <w:webHidden/>
          </w:rPr>
          <w:tab/>
        </w:r>
        <w:r w:rsidR="00B60372">
          <w:rPr>
            <w:noProof/>
            <w:webHidden/>
          </w:rPr>
          <w:fldChar w:fldCharType="begin"/>
        </w:r>
        <w:r w:rsidR="00B60372">
          <w:rPr>
            <w:noProof/>
            <w:webHidden/>
          </w:rPr>
          <w:instrText xml:space="preserve"> PAGEREF _Toc401061100 \h </w:instrText>
        </w:r>
        <w:r w:rsidR="00B60372">
          <w:rPr>
            <w:noProof/>
            <w:webHidden/>
          </w:rPr>
        </w:r>
        <w:r w:rsidR="00B60372">
          <w:rPr>
            <w:noProof/>
            <w:webHidden/>
          </w:rPr>
          <w:fldChar w:fldCharType="separate"/>
        </w:r>
        <w:r w:rsidR="0031717B">
          <w:rPr>
            <w:noProof/>
            <w:webHidden/>
          </w:rPr>
          <w:t>95</w:t>
        </w:r>
        <w:r w:rsidR="00B60372">
          <w:rPr>
            <w:noProof/>
            <w:webHidden/>
          </w:rPr>
          <w:fldChar w:fldCharType="end"/>
        </w:r>
      </w:hyperlink>
    </w:p>
    <w:p w14:paraId="08435163" w14:textId="77777777" w:rsidR="00B60372" w:rsidRDefault="00000000">
      <w:pPr>
        <w:pStyle w:val="TableofFigures"/>
        <w:tabs>
          <w:tab w:val="right" w:leader="dot" w:pos="9017"/>
        </w:tabs>
        <w:rPr>
          <w:rFonts w:eastAsiaTheme="minorEastAsia"/>
          <w:noProof/>
          <w:sz w:val="22"/>
          <w:lang w:val="en-AU" w:eastAsia="en-AU"/>
        </w:rPr>
      </w:pPr>
      <w:hyperlink w:anchor="_Toc401061101" w:history="1">
        <w:r w:rsidR="00B60372" w:rsidRPr="004C465F">
          <w:rPr>
            <w:rStyle w:val="Hyperlink"/>
          </w:rPr>
          <w:t>Table 14: Comparative summary of the performance of ADRG splitting models using R2 and RID - paediatric episodes.</w:t>
        </w:r>
        <w:r w:rsidR="00B60372">
          <w:rPr>
            <w:noProof/>
            <w:webHidden/>
          </w:rPr>
          <w:tab/>
        </w:r>
        <w:r w:rsidR="00B60372">
          <w:rPr>
            <w:noProof/>
            <w:webHidden/>
          </w:rPr>
          <w:fldChar w:fldCharType="begin"/>
        </w:r>
        <w:r w:rsidR="00B60372">
          <w:rPr>
            <w:noProof/>
            <w:webHidden/>
          </w:rPr>
          <w:instrText xml:space="preserve"> PAGEREF _Toc401061101 \h </w:instrText>
        </w:r>
        <w:r w:rsidR="00B60372">
          <w:rPr>
            <w:noProof/>
            <w:webHidden/>
          </w:rPr>
        </w:r>
        <w:r w:rsidR="00B60372">
          <w:rPr>
            <w:noProof/>
            <w:webHidden/>
          </w:rPr>
          <w:fldChar w:fldCharType="separate"/>
        </w:r>
        <w:r w:rsidR="0031717B">
          <w:rPr>
            <w:noProof/>
            <w:webHidden/>
          </w:rPr>
          <w:t>106</w:t>
        </w:r>
        <w:r w:rsidR="00B60372">
          <w:rPr>
            <w:noProof/>
            <w:webHidden/>
          </w:rPr>
          <w:fldChar w:fldCharType="end"/>
        </w:r>
      </w:hyperlink>
    </w:p>
    <w:p w14:paraId="1995E92E" w14:textId="77777777" w:rsidR="00B60372" w:rsidRDefault="00000000">
      <w:pPr>
        <w:pStyle w:val="TableofFigures"/>
        <w:tabs>
          <w:tab w:val="right" w:leader="dot" w:pos="9017"/>
        </w:tabs>
        <w:rPr>
          <w:rFonts w:eastAsiaTheme="minorEastAsia"/>
          <w:noProof/>
          <w:sz w:val="22"/>
          <w:lang w:val="en-AU" w:eastAsia="en-AU"/>
        </w:rPr>
      </w:pPr>
      <w:hyperlink w:anchor="_Toc401061102" w:history="1">
        <w:r w:rsidR="00B60372" w:rsidRPr="004C465F">
          <w:rPr>
            <w:rStyle w:val="Hyperlink"/>
          </w:rPr>
          <w:t>Table 15: Comparison of cost ratios on paediatric episodes.</w:t>
        </w:r>
        <w:r w:rsidR="00B60372">
          <w:rPr>
            <w:noProof/>
            <w:webHidden/>
          </w:rPr>
          <w:tab/>
        </w:r>
        <w:r w:rsidR="00B60372">
          <w:rPr>
            <w:noProof/>
            <w:webHidden/>
          </w:rPr>
          <w:fldChar w:fldCharType="begin"/>
        </w:r>
        <w:r w:rsidR="00B60372">
          <w:rPr>
            <w:noProof/>
            <w:webHidden/>
          </w:rPr>
          <w:instrText xml:space="preserve"> PAGEREF _Toc401061102 \h </w:instrText>
        </w:r>
        <w:r w:rsidR="00B60372">
          <w:rPr>
            <w:noProof/>
            <w:webHidden/>
          </w:rPr>
        </w:r>
        <w:r w:rsidR="00B60372">
          <w:rPr>
            <w:noProof/>
            <w:webHidden/>
          </w:rPr>
          <w:fldChar w:fldCharType="separate"/>
        </w:r>
        <w:r w:rsidR="0031717B">
          <w:rPr>
            <w:noProof/>
            <w:webHidden/>
          </w:rPr>
          <w:t>107</w:t>
        </w:r>
        <w:r w:rsidR="00B60372">
          <w:rPr>
            <w:noProof/>
            <w:webHidden/>
          </w:rPr>
          <w:fldChar w:fldCharType="end"/>
        </w:r>
      </w:hyperlink>
    </w:p>
    <w:p w14:paraId="271F559D" w14:textId="77777777" w:rsidR="00B60372" w:rsidRDefault="00000000">
      <w:pPr>
        <w:pStyle w:val="TableofFigures"/>
        <w:tabs>
          <w:tab w:val="right" w:leader="dot" w:pos="9017"/>
        </w:tabs>
        <w:rPr>
          <w:rFonts w:eastAsiaTheme="minorEastAsia"/>
          <w:noProof/>
          <w:sz w:val="22"/>
          <w:lang w:val="en-AU" w:eastAsia="en-AU"/>
        </w:rPr>
      </w:pPr>
      <w:hyperlink w:anchor="_Toc401061103" w:history="1">
        <w:r w:rsidR="00B60372" w:rsidRPr="004C465F">
          <w:rPr>
            <w:rStyle w:val="Hyperlink"/>
          </w:rPr>
          <w:t>Table 16: Comparative summary of the performance of ADRG splitting models using R2 and RID - geriatric episodes.</w:t>
        </w:r>
        <w:r w:rsidR="00B60372">
          <w:rPr>
            <w:noProof/>
            <w:webHidden/>
          </w:rPr>
          <w:tab/>
        </w:r>
        <w:r w:rsidR="00B60372">
          <w:rPr>
            <w:noProof/>
            <w:webHidden/>
          </w:rPr>
          <w:fldChar w:fldCharType="begin"/>
        </w:r>
        <w:r w:rsidR="00B60372">
          <w:rPr>
            <w:noProof/>
            <w:webHidden/>
          </w:rPr>
          <w:instrText xml:space="preserve"> PAGEREF _Toc401061103 \h </w:instrText>
        </w:r>
        <w:r w:rsidR="00B60372">
          <w:rPr>
            <w:noProof/>
            <w:webHidden/>
          </w:rPr>
        </w:r>
        <w:r w:rsidR="00B60372">
          <w:rPr>
            <w:noProof/>
            <w:webHidden/>
          </w:rPr>
          <w:fldChar w:fldCharType="separate"/>
        </w:r>
        <w:r w:rsidR="0031717B">
          <w:rPr>
            <w:noProof/>
            <w:webHidden/>
          </w:rPr>
          <w:t>108</w:t>
        </w:r>
        <w:r w:rsidR="00B60372">
          <w:rPr>
            <w:noProof/>
            <w:webHidden/>
          </w:rPr>
          <w:fldChar w:fldCharType="end"/>
        </w:r>
      </w:hyperlink>
    </w:p>
    <w:p w14:paraId="782441F2" w14:textId="77777777" w:rsidR="00B60372" w:rsidRDefault="00000000">
      <w:pPr>
        <w:pStyle w:val="TableofFigures"/>
        <w:tabs>
          <w:tab w:val="right" w:leader="dot" w:pos="9017"/>
        </w:tabs>
        <w:rPr>
          <w:rFonts w:eastAsiaTheme="minorEastAsia"/>
          <w:noProof/>
          <w:sz w:val="22"/>
          <w:lang w:val="en-AU" w:eastAsia="en-AU"/>
        </w:rPr>
      </w:pPr>
      <w:hyperlink w:anchor="_Toc401061104" w:history="1">
        <w:r w:rsidR="00B60372" w:rsidRPr="004C465F">
          <w:rPr>
            <w:rStyle w:val="Hyperlink"/>
          </w:rPr>
          <w:t>Table 17: Comparison of cost ratios on geriatric episodes.</w:t>
        </w:r>
        <w:r w:rsidR="00B60372">
          <w:rPr>
            <w:noProof/>
            <w:webHidden/>
          </w:rPr>
          <w:tab/>
        </w:r>
        <w:r w:rsidR="00B60372">
          <w:rPr>
            <w:noProof/>
            <w:webHidden/>
          </w:rPr>
          <w:fldChar w:fldCharType="begin"/>
        </w:r>
        <w:r w:rsidR="00B60372">
          <w:rPr>
            <w:noProof/>
            <w:webHidden/>
          </w:rPr>
          <w:instrText xml:space="preserve"> PAGEREF _Toc401061104 \h </w:instrText>
        </w:r>
        <w:r w:rsidR="00B60372">
          <w:rPr>
            <w:noProof/>
            <w:webHidden/>
          </w:rPr>
        </w:r>
        <w:r w:rsidR="00B60372">
          <w:rPr>
            <w:noProof/>
            <w:webHidden/>
          </w:rPr>
          <w:fldChar w:fldCharType="separate"/>
        </w:r>
        <w:r w:rsidR="0031717B">
          <w:rPr>
            <w:noProof/>
            <w:webHidden/>
          </w:rPr>
          <w:t>109</w:t>
        </w:r>
        <w:r w:rsidR="00B60372">
          <w:rPr>
            <w:noProof/>
            <w:webHidden/>
          </w:rPr>
          <w:fldChar w:fldCharType="end"/>
        </w:r>
      </w:hyperlink>
    </w:p>
    <w:p w14:paraId="2202DFEB" w14:textId="77777777" w:rsidR="00B60372" w:rsidRDefault="00000000">
      <w:pPr>
        <w:pStyle w:val="TableofFigures"/>
        <w:tabs>
          <w:tab w:val="right" w:leader="dot" w:pos="9017"/>
        </w:tabs>
        <w:rPr>
          <w:rFonts w:eastAsiaTheme="minorEastAsia"/>
          <w:noProof/>
          <w:sz w:val="22"/>
          <w:lang w:val="en-AU" w:eastAsia="en-AU"/>
        </w:rPr>
      </w:pPr>
      <w:hyperlink w:anchor="_Toc401061105" w:history="1">
        <w:r w:rsidR="00B60372" w:rsidRPr="004C465F">
          <w:rPr>
            <w:rStyle w:val="Hyperlink"/>
          </w:rPr>
          <w:t>Table 18: Variation of DCLs - 2009-10 to 2011-12 full sample vs. 50 x 2009-10 to 2011-12 random 95% subsamples.</w:t>
        </w:r>
        <w:r w:rsidR="00B60372">
          <w:rPr>
            <w:noProof/>
            <w:webHidden/>
          </w:rPr>
          <w:tab/>
        </w:r>
        <w:r w:rsidR="00B60372">
          <w:rPr>
            <w:noProof/>
            <w:webHidden/>
          </w:rPr>
          <w:fldChar w:fldCharType="begin"/>
        </w:r>
        <w:r w:rsidR="00B60372">
          <w:rPr>
            <w:noProof/>
            <w:webHidden/>
          </w:rPr>
          <w:instrText xml:space="preserve"> PAGEREF _Toc401061105 \h </w:instrText>
        </w:r>
        <w:r w:rsidR="00B60372">
          <w:rPr>
            <w:noProof/>
            <w:webHidden/>
          </w:rPr>
        </w:r>
        <w:r w:rsidR="00B60372">
          <w:rPr>
            <w:noProof/>
            <w:webHidden/>
          </w:rPr>
          <w:fldChar w:fldCharType="separate"/>
        </w:r>
        <w:r w:rsidR="0031717B">
          <w:rPr>
            <w:noProof/>
            <w:webHidden/>
          </w:rPr>
          <w:t>115</w:t>
        </w:r>
        <w:r w:rsidR="00B60372">
          <w:rPr>
            <w:noProof/>
            <w:webHidden/>
          </w:rPr>
          <w:fldChar w:fldCharType="end"/>
        </w:r>
      </w:hyperlink>
    </w:p>
    <w:p w14:paraId="63550FB6" w14:textId="77777777" w:rsidR="00B60372" w:rsidRDefault="00000000">
      <w:pPr>
        <w:pStyle w:val="TableofFigures"/>
        <w:tabs>
          <w:tab w:val="right" w:leader="dot" w:pos="9017"/>
        </w:tabs>
        <w:rPr>
          <w:rFonts w:eastAsiaTheme="minorEastAsia"/>
          <w:noProof/>
          <w:sz w:val="22"/>
          <w:lang w:val="en-AU" w:eastAsia="en-AU"/>
        </w:rPr>
      </w:pPr>
      <w:hyperlink w:anchor="_Toc401061106" w:history="1">
        <w:r w:rsidR="00B60372" w:rsidRPr="004C465F">
          <w:rPr>
            <w:rStyle w:val="Hyperlink"/>
          </w:rPr>
          <w:t>Table 19: Variation of DCLs - 2008-09 to 2010-11 full sample vs. 50 x 2008-09 to 2010-11 random 95% subsamples.</w:t>
        </w:r>
        <w:r w:rsidR="00B60372">
          <w:rPr>
            <w:noProof/>
            <w:webHidden/>
          </w:rPr>
          <w:tab/>
        </w:r>
        <w:r w:rsidR="00B60372">
          <w:rPr>
            <w:noProof/>
            <w:webHidden/>
          </w:rPr>
          <w:fldChar w:fldCharType="begin"/>
        </w:r>
        <w:r w:rsidR="00B60372">
          <w:rPr>
            <w:noProof/>
            <w:webHidden/>
          </w:rPr>
          <w:instrText xml:space="preserve"> PAGEREF _Toc401061106 \h </w:instrText>
        </w:r>
        <w:r w:rsidR="00B60372">
          <w:rPr>
            <w:noProof/>
            <w:webHidden/>
          </w:rPr>
        </w:r>
        <w:r w:rsidR="00B60372">
          <w:rPr>
            <w:noProof/>
            <w:webHidden/>
          </w:rPr>
          <w:fldChar w:fldCharType="separate"/>
        </w:r>
        <w:r w:rsidR="0031717B">
          <w:rPr>
            <w:noProof/>
            <w:webHidden/>
          </w:rPr>
          <w:t>116</w:t>
        </w:r>
        <w:r w:rsidR="00B60372">
          <w:rPr>
            <w:noProof/>
            <w:webHidden/>
          </w:rPr>
          <w:fldChar w:fldCharType="end"/>
        </w:r>
      </w:hyperlink>
    </w:p>
    <w:p w14:paraId="5148B50C" w14:textId="77777777" w:rsidR="00B60372" w:rsidRDefault="00000000">
      <w:pPr>
        <w:pStyle w:val="TableofFigures"/>
        <w:tabs>
          <w:tab w:val="right" w:leader="dot" w:pos="9017"/>
        </w:tabs>
        <w:rPr>
          <w:rFonts w:eastAsiaTheme="minorEastAsia"/>
          <w:noProof/>
          <w:sz w:val="22"/>
          <w:lang w:val="en-AU" w:eastAsia="en-AU"/>
        </w:rPr>
      </w:pPr>
      <w:hyperlink w:anchor="_Toc401061107" w:history="1">
        <w:r w:rsidR="00B60372" w:rsidRPr="004C465F">
          <w:rPr>
            <w:rStyle w:val="Hyperlink"/>
          </w:rPr>
          <w:t>Table 20: Variation of DCLs - 2009-10 to 2011-12 full sample vs. 2008-09 to 2010-11 full sample.</w:t>
        </w:r>
        <w:r w:rsidR="00B60372">
          <w:rPr>
            <w:noProof/>
            <w:webHidden/>
          </w:rPr>
          <w:tab/>
        </w:r>
        <w:r w:rsidR="00B60372">
          <w:rPr>
            <w:noProof/>
            <w:webHidden/>
          </w:rPr>
          <w:fldChar w:fldCharType="begin"/>
        </w:r>
        <w:r w:rsidR="00B60372">
          <w:rPr>
            <w:noProof/>
            <w:webHidden/>
          </w:rPr>
          <w:instrText xml:space="preserve"> PAGEREF _Toc401061107 \h </w:instrText>
        </w:r>
        <w:r w:rsidR="00B60372">
          <w:rPr>
            <w:noProof/>
            <w:webHidden/>
          </w:rPr>
        </w:r>
        <w:r w:rsidR="00B60372">
          <w:rPr>
            <w:noProof/>
            <w:webHidden/>
          </w:rPr>
          <w:fldChar w:fldCharType="separate"/>
        </w:r>
        <w:r w:rsidR="0031717B">
          <w:rPr>
            <w:noProof/>
            <w:webHidden/>
          </w:rPr>
          <w:t>117</w:t>
        </w:r>
        <w:r w:rsidR="00B60372">
          <w:rPr>
            <w:noProof/>
            <w:webHidden/>
          </w:rPr>
          <w:fldChar w:fldCharType="end"/>
        </w:r>
      </w:hyperlink>
    </w:p>
    <w:p w14:paraId="6D5677D4" w14:textId="77777777" w:rsidR="00B60372" w:rsidRDefault="00000000">
      <w:pPr>
        <w:pStyle w:val="TableofFigures"/>
        <w:tabs>
          <w:tab w:val="right" w:leader="dot" w:pos="9017"/>
        </w:tabs>
        <w:rPr>
          <w:rFonts w:eastAsiaTheme="minorEastAsia"/>
          <w:noProof/>
          <w:sz w:val="22"/>
          <w:lang w:val="en-AU" w:eastAsia="en-AU"/>
        </w:rPr>
      </w:pPr>
      <w:hyperlink w:anchor="_Toc401061108" w:history="1">
        <w:r w:rsidR="00B60372" w:rsidRPr="004C465F">
          <w:rPr>
            <w:rStyle w:val="Hyperlink"/>
          </w:rPr>
          <w:t>Table 21: Illustration of the method changing DCLs based on halving the difference between original and revised calculation.</w:t>
        </w:r>
        <w:r w:rsidR="00B60372">
          <w:rPr>
            <w:noProof/>
            <w:webHidden/>
          </w:rPr>
          <w:tab/>
        </w:r>
        <w:r w:rsidR="00B60372">
          <w:rPr>
            <w:noProof/>
            <w:webHidden/>
          </w:rPr>
          <w:fldChar w:fldCharType="begin"/>
        </w:r>
        <w:r w:rsidR="00B60372">
          <w:rPr>
            <w:noProof/>
            <w:webHidden/>
          </w:rPr>
          <w:instrText xml:space="preserve"> PAGEREF _Toc401061108 \h </w:instrText>
        </w:r>
        <w:r w:rsidR="00B60372">
          <w:rPr>
            <w:noProof/>
            <w:webHidden/>
          </w:rPr>
        </w:r>
        <w:r w:rsidR="00B60372">
          <w:rPr>
            <w:noProof/>
            <w:webHidden/>
          </w:rPr>
          <w:fldChar w:fldCharType="separate"/>
        </w:r>
        <w:r w:rsidR="0031717B">
          <w:rPr>
            <w:noProof/>
            <w:webHidden/>
          </w:rPr>
          <w:t>118</w:t>
        </w:r>
        <w:r w:rsidR="00B60372">
          <w:rPr>
            <w:noProof/>
            <w:webHidden/>
          </w:rPr>
          <w:fldChar w:fldCharType="end"/>
        </w:r>
      </w:hyperlink>
    </w:p>
    <w:p w14:paraId="2940047E" w14:textId="77777777" w:rsidR="00B60372" w:rsidRDefault="00000000">
      <w:pPr>
        <w:pStyle w:val="TableofFigures"/>
        <w:tabs>
          <w:tab w:val="right" w:leader="dot" w:pos="9017"/>
        </w:tabs>
        <w:rPr>
          <w:rFonts w:eastAsiaTheme="minorEastAsia"/>
          <w:noProof/>
          <w:sz w:val="22"/>
          <w:lang w:val="en-AU" w:eastAsia="en-AU"/>
        </w:rPr>
      </w:pPr>
      <w:hyperlink w:anchor="_Toc401061109" w:history="1">
        <w:r w:rsidR="00B60372" w:rsidRPr="004C465F">
          <w:rPr>
            <w:rStyle w:val="Hyperlink"/>
          </w:rPr>
          <w:t>Table 22: Illustration of resulting changes to DCLs if a half-difference method is used to update the DCL matrix.</w:t>
        </w:r>
        <w:r w:rsidR="00B60372">
          <w:rPr>
            <w:noProof/>
            <w:webHidden/>
          </w:rPr>
          <w:tab/>
        </w:r>
        <w:r w:rsidR="00B60372">
          <w:rPr>
            <w:noProof/>
            <w:webHidden/>
          </w:rPr>
          <w:fldChar w:fldCharType="begin"/>
        </w:r>
        <w:r w:rsidR="00B60372">
          <w:rPr>
            <w:noProof/>
            <w:webHidden/>
          </w:rPr>
          <w:instrText xml:space="preserve"> PAGEREF _Toc401061109 \h </w:instrText>
        </w:r>
        <w:r w:rsidR="00B60372">
          <w:rPr>
            <w:noProof/>
            <w:webHidden/>
          </w:rPr>
        </w:r>
        <w:r w:rsidR="00B60372">
          <w:rPr>
            <w:noProof/>
            <w:webHidden/>
          </w:rPr>
          <w:fldChar w:fldCharType="separate"/>
        </w:r>
        <w:r w:rsidR="0031717B">
          <w:rPr>
            <w:noProof/>
            <w:webHidden/>
          </w:rPr>
          <w:t>119</w:t>
        </w:r>
        <w:r w:rsidR="00B60372">
          <w:rPr>
            <w:noProof/>
            <w:webHidden/>
          </w:rPr>
          <w:fldChar w:fldCharType="end"/>
        </w:r>
      </w:hyperlink>
    </w:p>
    <w:p w14:paraId="17F90EA6" w14:textId="77777777" w:rsidR="00D60573" w:rsidRPr="00843F4C" w:rsidRDefault="005559F5" w:rsidP="005E10D1">
      <w:pPr>
        <w:pStyle w:val="TableofFigures"/>
        <w:tabs>
          <w:tab w:val="right" w:leader="dot" w:pos="9017"/>
        </w:tabs>
      </w:pPr>
      <w:r>
        <w:fldChar w:fldCharType="end"/>
      </w:r>
    </w:p>
    <w:sectPr w:rsidR="00D60573" w:rsidRPr="00843F4C" w:rsidSect="00F44AB0">
      <w:headerReference w:type="default" r:id="rId843"/>
      <w:footerReference w:type="even" r:id="rId844"/>
      <w:footerReference w:type="default" r:id="rId845"/>
      <w:footerReference w:type="first" r:id="rId846"/>
      <w:pgSz w:w="11907" w:h="16839" w:code="9"/>
      <w:pgMar w:top="1871"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DE865B" w14:textId="77777777" w:rsidR="004C41DF" w:rsidRDefault="004C41DF" w:rsidP="009C4005">
      <w:pPr>
        <w:spacing w:after="0" w:line="240" w:lineRule="auto"/>
      </w:pPr>
      <w:r>
        <w:separator/>
      </w:r>
    </w:p>
  </w:endnote>
  <w:endnote w:type="continuationSeparator" w:id="0">
    <w:p w14:paraId="01AA2AE6" w14:textId="77777777" w:rsidR="004C41DF" w:rsidRDefault="004C41DF" w:rsidP="009C40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9999999">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1BB8D" w14:textId="77777777" w:rsidR="00E25984" w:rsidRDefault="00E25984">
    <w:pPr>
      <w:pStyle w:val="Footer"/>
    </w:pPr>
    <w:r w:rsidRPr="0008181E">
      <w:rPr>
        <w:noProof/>
        <w:lang w:val="en-AU" w:eastAsia="en-AU"/>
      </w:rPr>
      <w:drawing>
        <wp:inline distT="0" distB="0" distL="0" distR="0" wp14:anchorId="564C24D2" wp14:editId="422D7CC2">
          <wp:extent cx="5732145" cy="730885"/>
          <wp:effectExtent l="0" t="0" r="1905" b="0"/>
          <wp:docPr id="14345" name="Picture 4" descr="The University of Sydney: National Centre for Classification in Health; University of Western Sydney; KPMG.&#10;NCCH&#10;PO Box 170, Lidcombe, New South Wales, 1825, Australia&#10;T: +61 2 9351 9772&#10;F: +61 2 9351 9603&#10;E: enquiries@accd.net.au&#10;W: accd.net.au" title="List of Consortium Partners and NCCH contac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V3_3.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2145" cy="73088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A38A6" w14:textId="77777777" w:rsidR="00E25984" w:rsidRPr="00B475F4" w:rsidRDefault="00E25984" w:rsidP="00B475F4">
    <w:pPr>
      <w:pStyle w:val="Footer"/>
      <w:tabs>
        <w:tab w:val="clear" w:pos="4513"/>
      </w:tabs>
      <w:rPr>
        <w:sz w:val="20"/>
        <w:szCs w:val="20"/>
      </w:rPr>
    </w:pPr>
    <w:r w:rsidRPr="006A3149">
      <w:rPr>
        <w:sz w:val="20"/>
        <w:szCs w:val="20"/>
      </w:rPr>
      <w:fldChar w:fldCharType="begin"/>
    </w:r>
    <w:r w:rsidRPr="006A3149">
      <w:rPr>
        <w:sz w:val="20"/>
        <w:szCs w:val="20"/>
      </w:rPr>
      <w:instrText xml:space="preserve"> PAGE   \* MERGEFORMAT </w:instrText>
    </w:r>
    <w:r w:rsidRPr="006A3149">
      <w:rPr>
        <w:sz w:val="20"/>
        <w:szCs w:val="20"/>
      </w:rPr>
      <w:fldChar w:fldCharType="separate"/>
    </w:r>
    <w:r w:rsidR="00D84E49">
      <w:rPr>
        <w:noProof/>
        <w:sz w:val="20"/>
        <w:szCs w:val="20"/>
      </w:rPr>
      <w:t>ii</w:t>
    </w:r>
    <w:r w:rsidRPr="006A3149">
      <w:rPr>
        <w:sz w:val="20"/>
        <w:szCs w:val="20"/>
      </w:rPr>
      <w:fldChar w:fldCharType="end"/>
    </w:r>
    <w:r>
      <w:rPr>
        <w:sz w:val="20"/>
        <w:szCs w:val="20"/>
      </w:rPr>
      <w:tab/>
    </w:r>
    <w:r w:rsidRPr="006A3149">
      <w:rPr>
        <w:sz w:val="20"/>
        <w:szCs w:val="20"/>
      </w:rPr>
      <w:t xml:space="preserve">Review of the AR-DRG Classification </w:t>
    </w:r>
    <w:r>
      <w:rPr>
        <w:sz w:val="20"/>
        <w:szCs w:val="20"/>
      </w:rPr>
      <w:t>Case Complexity</w:t>
    </w:r>
    <w:r w:rsidRPr="006A3149">
      <w:rPr>
        <w:sz w:val="20"/>
        <w:szCs w:val="20"/>
      </w:rPr>
      <w:t xml:space="preserve"> Proc</w:t>
    </w:r>
    <w:r>
      <w:rPr>
        <w:sz w:val="20"/>
        <w:szCs w:val="20"/>
      </w:rPr>
      <w:t>ess – Final Report 1 August 2014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88DF9" w14:textId="77777777" w:rsidR="00E25984" w:rsidRPr="006A3149" w:rsidRDefault="00E25984">
    <w:pPr>
      <w:pStyle w:val="Footer"/>
      <w:rPr>
        <w:sz w:val="20"/>
        <w:szCs w:val="20"/>
      </w:rPr>
    </w:pPr>
    <w:r w:rsidRPr="006A3149">
      <w:rPr>
        <w:sz w:val="20"/>
        <w:szCs w:val="20"/>
      </w:rPr>
      <w:t xml:space="preserve">Review of the AR-DRG Classification </w:t>
    </w:r>
    <w:r>
      <w:rPr>
        <w:sz w:val="20"/>
        <w:szCs w:val="20"/>
      </w:rPr>
      <w:t>Case Complexity</w:t>
    </w:r>
    <w:r w:rsidRPr="006A3149">
      <w:rPr>
        <w:sz w:val="20"/>
        <w:szCs w:val="20"/>
      </w:rPr>
      <w:t xml:space="preserve"> Process – </w:t>
    </w:r>
    <w:r>
      <w:rPr>
        <w:sz w:val="20"/>
        <w:szCs w:val="20"/>
      </w:rPr>
      <w:t>Final</w:t>
    </w:r>
    <w:r w:rsidRPr="006A3149">
      <w:rPr>
        <w:sz w:val="20"/>
        <w:szCs w:val="20"/>
      </w:rPr>
      <w:t xml:space="preserve"> Report </w:t>
    </w:r>
    <w:r>
      <w:rPr>
        <w:sz w:val="20"/>
        <w:szCs w:val="20"/>
      </w:rPr>
      <w:t>1 August</w:t>
    </w:r>
    <w:r w:rsidRPr="006A3149">
      <w:rPr>
        <w:sz w:val="20"/>
        <w:szCs w:val="20"/>
      </w:rPr>
      <w:t xml:space="preserve"> 2014</w:t>
    </w:r>
    <w:r w:rsidRPr="006A3149">
      <w:rPr>
        <w:sz w:val="20"/>
        <w:szCs w:val="20"/>
      </w:rPr>
      <w:tab/>
    </w:r>
    <w:r w:rsidRPr="006A3149">
      <w:rPr>
        <w:sz w:val="20"/>
        <w:szCs w:val="20"/>
      </w:rPr>
      <w:fldChar w:fldCharType="begin"/>
    </w:r>
    <w:r w:rsidRPr="006A3149">
      <w:rPr>
        <w:sz w:val="20"/>
        <w:szCs w:val="20"/>
      </w:rPr>
      <w:instrText xml:space="preserve"> PAGE   \* MERGEFORMAT </w:instrText>
    </w:r>
    <w:r w:rsidRPr="006A3149">
      <w:rPr>
        <w:sz w:val="20"/>
        <w:szCs w:val="20"/>
      </w:rPr>
      <w:fldChar w:fldCharType="separate"/>
    </w:r>
    <w:r w:rsidR="00D84E49">
      <w:rPr>
        <w:noProof/>
        <w:sz w:val="20"/>
        <w:szCs w:val="20"/>
      </w:rPr>
      <w:t>i</w:t>
    </w:r>
    <w:r w:rsidRPr="006A3149">
      <w:rPr>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2637E" w14:textId="77777777" w:rsidR="00E25984" w:rsidRPr="00C34AC9" w:rsidRDefault="00E25984" w:rsidP="00991A42">
    <w:pPr>
      <w:pStyle w:val="Footer"/>
      <w:tabs>
        <w:tab w:val="clear" w:pos="4513"/>
      </w:tabs>
    </w:pPr>
    <w:r w:rsidRPr="006A3149">
      <w:rPr>
        <w:sz w:val="20"/>
        <w:szCs w:val="20"/>
      </w:rPr>
      <w:fldChar w:fldCharType="begin"/>
    </w:r>
    <w:r w:rsidRPr="006A3149">
      <w:rPr>
        <w:sz w:val="20"/>
        <w:szCs w:val="20"/>
      </w:rPr>
      <w:instrText xml:space="preserve"> PAGE   \* MERGEFORMAT </w:instrText>
    </w:r>
    <w:r w:rsidRPr="006A3149">
      <w:rPr>
        <w:sz w:val="20"/>
        <w:szCs w:val="20"/>
      </w:rPr>
      <w:fldChar w:fldCharType="separate"/>
    </w:r>
    <w:r w:rsidR="00D84E49">
      <w:rPr>
        <w:noProof/>
        <w:sz w:val="20"/>
        <w:szCs w:val="20"/>
      </w:rPr>
      <w:t>2</w:t>
    </w:r>
    <w:r w:rsidRPr="006A3149">
      <w:rPr>
        <w:sz w:val="20"/>
        <w:szCs w:val="20"/>
      </w:rPr>
      <w:fldChar w:fldCharType="end"/>
    </w:r>
    <w:r>
      <w:rPr>
        <w:sz w:val="20"/>
        <w:szCs w:val="20"/>
      </w:rPr>
      <w:tab/>
    </w:r>
    <w:r w:rsidRPr="006A3149">
      <w:rPr>
        <w:sz w:val="20"/>
        <w:szCs w:val="20"/>
      </w:rPr>
      <w:t xml:space="preserve">Review of the AR-DRG Classification </w:t>
    </w:r>
    <w:r>
      <w:rPr>
        <w:sz w:val="20"/>
        <w:szCs w:val="20"/>
      </w:rPr>
      <w:t>Case Complexity</w:t>
    </w:r>
    <w:r w:rsidRPr="006A3149">
      <w:rPr>
        <w:sz w:val="20"/>
        <w:szCs w:val="20"/>
      </w:rPr>
      <w:t xml:space="preserve"> Proc</w:t>
    </w:r>
    <w:r>
      <w:rPr>
        <w:sz w:val="20"/>
        <w:szCs w:val="20"/>
      </w:rPr>
      <w:t>ess – Final Report 1 August 2014</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4F551" w14:textId="77777777" w:rsidR="00E25984" w:rsidRPr="006A3149" w:rsidRDefault="00E25984">
    <w:pPr>
      <w:pStyle w:val="Footer"/>
      <w:rPr>
        <w:sz w:val="20"/>
        <w:szCs w:val="20"/>
      </w:rPr>
    </w:pPr>
    <w:r w:rsidRPr="006A3149">
      <w:rPr>
        <w:sz w:val="20"/>
        <w:szCs w:val="20"/>
      </w:rPr>
      <w:t xml:space="preserve">Review of the AR-DRG Classification </w:t>
    </w:r>
    <w:r>
      <w:rPr>
        <w:sz w:val="20"/>
        <w:szCs w:val="20"/>
      </w:rPr>
      <w:t>Case Complexity</w:t>
    </w:r>
    <w:r w:rsidRPr="006A3149">
      <w:rPr>
        <w:sz w:val="20"/>
        <w:szCs w:val="20"/>
      </w:rPr>
      <w:t xml:space="preserve"> Process – </w:t>
    </w:r>
    <w:r>
      <w:rPr>
        <w:sz w:val="20"/>
        <w:szCs w:val="20"/>
      </w:rPr>
      <w:t>Final</w:t>
    </w:r>
    <w:r w:rsidRPr="006A3149">
      <w:rPr>
        <w:sz w:val="20"/>
        <w:szCs w:val="20"/>
      </w:rPr>
      <w:t xml:space="preserve"> Report </w:t>
    </w:r>
    <w:r>
      <w:rPr>
        <w:sz w:val="20"/>
        <w:szCs w:val="20"/>
      </w:rPr>
      <w:t>1 August</w:t>
    </w:r>
    <w:r w:rsidRPr="006A3149">
      <w:rPr>
        <w:sz w:val="20"/>
        <w:szCs w:val="20"/>
      </w:rPr>
      <w:t xml:space="preserve"> 2014</w:t>
    </w:r>
    <w:r w:rsidRPr="006A3149">
      <w:rPr>
        <w:sz w:val="20"/>
        <w:szCs w:val="20"/>
      </w:rPr>
      <w:tab/>
    </w:r>
    <w:r w:rsidRPr="006A3149">
      <w:rPr>
        <w:sz w:val="20"/>
        <w:szCs w:val="20"/>
      </w:rPr>
      <w:fldChar w:fldCharType="begin"/>
    </w:r>
    <w:r w:rsidRPr="006A3149">
      <w:rPr>
        <w:sz w:val="20"/>
        <w:szCs w:val="20"/>
      </w:rPr>
      <w:instrText xml:space="preserve"> PAGE   \* MERGEFORMAT </w:instrText>
    </w:r>
    <w:r w:rsidRPr="006A3149">
      <w:rPr>
        <w:sz w:val="20"/>
        <w:szCs w:val="20"/>
      </w:rPr>
      <w:fldChar w:fldCharType="separate"/>
    </w:r>
    <w:r w:rsidR="00D84E49">
      <w:rPr>
        <w:noProof/>
        <w:sz w:val="20"/>
        <w:szCs w:val="20"/>
      </w:rPr>
      <w:t>1</w:t>
    </w:r>
    <w:r w:rsidRPr="006A3149">
      <w:rPr>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F57D6" w14:textId="77777777" w:rsidR="00E25984" w:rsidRDefault="00E25984">
    <w:pPr>
      <w:pStyle w:val="Footer"/>
    </w:pPr>
    <w:r w:rsidRPr="0008181E">
      <w:rPr>
        <w:noProof/>
        <w:lang w:val="en-AU" w:eastAsia="en-AU"/>
      </w:rPr>
      <w:drawing>
        <wp:inline distT="0" distB="0" distL="0" distR="0" wp14:anchorId="302BBBE4" wp14:editId="18D3EE20">
          <wp:extent cx="5732145" cy="730885"/>
          <wp:effectExtent l="0" t="0" r="1905" b="0"/>
          <wp:docPr id="28" name="Picture 4" title="Australian Consortium for Classification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V3_3.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2145" cy="73088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6520A3" w14:textId="77777777" w:rsidR="004C41DF" w:rsidRDefault="004C41DF" w:rsidP="009C4005">
      <w:pPr>
        <w:spacing w:after="0" w:line="240" w:lineRule="auto"/>
      </w:pPr>
      <w:r>
        <w:separator/>
      </w:r>
    </w:p>
  </w:footnote>
  <w:footnote w:type="continuationSeparator" w:id="0">
    <w:p w14:paraId="4DB11B30" w14:textId="77777777" w:rsidR="004C41DF" w:rsidRDefault="004C41DF" w:rsidP="009C4005">
      <w:pPr>
        <w:spacing w:after="0" w:line="240" w:lineRule="auto"/>
      </w:pPr>
      <w:r>
        <w:continuationSeparator/>
      </w:r>
    </w:p>
  </w:footnote>
  <w:footnote w:id="1">
    <w:p w14:paraId="1563025E" w14:textId="77777777" w:rsidR="00E25984" w:rsidRPr="006C5F66" w:rsidRDefault="00E25984">
      <w:pPr>
        <w:pStyle w:val="FootnoteText"/>
        <w:rPr>
          <w:lang w:val="en-AU"/>
        </w:rPr>
      </w:pPr>
      <w:r>
        <w:rPr>
          <w:rStyle w:val="FootnoteReference"/>
        </w:rPr>
        <w:footnoteRef/>
      </w:r>
      <w:r>
        <w:t xml:space="preserve"> </w:t>
      </w:r>
      <w:r w:rsidRPr="00FB5F3A">
        <w:t>Throughout this report, unless otherwise specified, the term Diagnosis Related Groups (DRG) refers to AR-DRGs.</w:t>
      </w:r>
    </w:p>
  </w:footnote>
  <w:footnote w:id="2">
    <w:p w14:paraId="125E813B" w14:textId="77777777" w:rsidR="00E25984" w:rsidRPr="007D1377" w:rsidRDefault="00E25984">
      <w:pPr>
        <w:pStyle w:val="FootnoteText"/>
        <w:rPr>
          <w:lang w:val="en-AU"/>
        </w:rPr>
      </w:pPr>
      <w:r>
        <w:rPr>
          <w:rStyle w:val="FootnoteReference"/>
        </w:rPr>
        <w:footnoteRef/>
      </w:r>
      <w:r>
        <w:t xml:space="preserve"> </w:t>
      </w:r>
      <w:r>
        <w:rPr>
          <w:lang w:val="en-AU"/>
        </w:rPr>
        <w:t>Case complexity is a generic term which has been used throughout this report to replace terms such as ‘severity’ which can be confused with ‘severity of illness’, a different concept.</w:t>
      </w:r>
    </w:p>
  </w:footnote>
  <w:footnote w:id="3">
    <w:p w14:paraId="4E9066EF" w14:textId="77777777" w:rsidR="00E25984" w:rsidRPr="00CD792B" w:rsidRDefault="00E25984">
      <w:pPr>
        <w:pStyle w:val="FootnoteText"/>
        <w:rPr>
          <w:lang w:val="en-AU"/>
        </w:rPr>
      </w:pPr>
      <w:r>
        <w:rPr>
          <w:rStyle w:val="FootnoteReference"/>
        </w:rPr>
        <w:footnoteRef/>
      </w:r>
      <w:r>
        <w:t xml:space="preserve"> </w:t>
      </w:r>
      <w:r w:rsidRPr="00CD792B">
        <w:t>Adapted from the Contract for AR-DRG Classification System Development and Refinement Services between IHPA and NCCH (June, 2013)</w:t>
      </w:r>
    </w:p>
  </w:footnote>
  <w:footnote w:id="4">
    <w:p w14:paraId="14C9C900" w14:textId="77777777" w:rsidR="00E25984" w:rsidRPr="0047597D" w:rsidRDefault="00E25984">
      <w:pPr>
        <w:pStyle w:val="FootnoteText"/>
        <w:rPr>
          <w:lang w:val="en-AU"/>
        </w:rPr>
      </w:pPr>
      <w:r>
        <w:rPr>
          <w:rStyle w:val="FootnoteReference"/>
        </w:rPr>
        <w:footnoteRef/>
      </w:r>
      <w:r>
        <w:t xml:space="preserve"> </w:t>
      </w:r>
      <w:r w:rsidRPr="0047597D">
        <w:t>RFT IHPA 010/1213 AR-DRG Classification System Development Services</w:t>
      </w:r>
    </w:p>
  </w:footnote>
  <w:footnote w:id="5">
    <w:p w14:paraId="1C30C73D" w14:textId="77777777" w:rsidR="00E25984" w:rsidRPr="00CD792B" w:rsidRDefault="00E25984">
      <w:pPr>
        <w:pStyle w:val="FootnoteText"/>
        <w:rPr>
          <w:lang w:val="en-AU"/>
        </w:rPr>
      </w:pPr>
      <w:r>
        <w:rPr>
          <w:rStyle w:val="FootnoteReference"/>
        </w:rPr>
        <w:footnoteRef/>
      </w:r>
      <w:r>
        <w:t xml:space="preserve"> </w:t>
      </w:r>
      <w:r w:rsidRPr="00CD792B">
        <w:t>Adapted from the Contract for AR-DRG Classification System Development and Refinement Services between IHPA and NCCH (June, 2013)</w:t>
      </w:r>
    </w:p>
  </w:footnote>
  <w:footnote w:id="6">
    <w:p w14:paraId="16583885" w14:textId="77777777" w:rsidR="00E25984" w:rsidRPr="0029502B" w:rsidRDefault="00E25984" w:rsidP="005B5818">
      <w:pPr>
        <w:pStyle w:val="FootnoteText"/>
        <w:rPr>
          <w:lang w:val="en-AU"/>
        </w:rPr>
      </w:pPr>
      <w:r>
        <w:rPr>
          <w:rStyle w:val="FootnoteReference"/>
        </w:rPr>
        <w:footnoteRef/>
      </w:r>
      <w:r>
        <w:t xml:space="preserve"> </w:t>
      </w:r>
      <w:r>
        <w:rPr>
          <w:lang w:val="en-AU"/>
        </w:rPr>
        <w:t>Some countries make use of billing data that is, not what the patient costs the hospital to treat but how much the hospital charges for treating the patient. Where charges are based upon highly detailed itemised accounts, billing data might be a good proxy for actual cost, however the implicit assumption is that there is no cross subsidisation of different types of care within the billing process.</w:t>
      </w:r>
    </w:p>
  </w:footnote>
  <w:footnote w:id="7">
    <w:p w14:paraId="517CF31F" w14:textId="77777777" w:rsidR="00E25984" w:rsidRPr="0029502B" w:rsidRDefault="00E25984" w:rsidP="005B5818">
      <w:pPr>
        <w:pStyle w:val="FootnoteText"/>
        <w:rPr>
          <w:lang w:val="en-AU"/>
        </w:rPr>
      </w:pPr>
      <w:r>
        <w:rPr>
          <w:rStyle w:val="FootnoteReference"/>
        </w:rPr>
        <w:footnoteRef/>
      </w:r>
      <w:r>
        <w:t xml:space="preserve"> </w:t>
      </w:r>
      <w:r w:rsidRPr="006D590A">
        <w:rPr>
          <w:lang w:val="en-AU"/>
        </w:rPr>
        <w:t>The Australian Department of Health</w:t>
      </w:r>
      <w:r>
        <w:rPr>
          <w:lang w:val="en-AU"/>
        </w:rPr>
        <w:t xml:space="preserve"> and Ageing</w:t>
      </w:r>
      <w:r w:rsidRPr="006D590A">
        <w:rPr>
          <w:lang w:val="en-AU"/>
        </w:rPr>
        <w:t xml:space="preserve"> received the data prior to the establishment of IHPA</w:t>
      </w:r>
      <w:r>
        <w:rPr>
          <w:lang w:val="en-AU"/>
        </w:rPr>
        <w:t>.</w:t>
      </w:r>
    </w:p>
  </w:footnote>
  <w:footnote w:id="8">
    <w:p w14:paraId="4187DDEE" w14:textId="77777777" w:rsidR="00E25984" w:rsidRPr="001C50E0" w:rsidRDefault="00E25984" w:rsidP="005B5818">
      <w:pPr>
        <w:pStyle w:val="FootnoteText"/>
        <w:rPr>
          <w:lang w:val="en-AU"/>
        </w:rPr>
      </w:pPr>
      <w:r>
        <w:rPr>
          <w:rStyle w:val="FootnoteReference"/>
        </w:rPr>
        <w:footnoteRef/>
      </w:r>
      <w:r>
        <w:t xml:space="preserve"> Section 1</w:t>
      </w:r>
      <w:r w:rsidRPr="001C50E0">
        <w:t>.</w:t>
      </w:r>
      <w:r>
        <w:t>5</w:t>
      </w:r>
      <w:r w:rsidRPr="001C50E0">
        <w:t xml:space="preserve"> is a brief summary of the work undertaken in the development of AR-DRG V4.0 which is further described in </w:t>
      </w:r>
      <w:r w:rsidRPr="001C50E0">
        <w:rPr>
          <w:i/>
        </w:rPr>
        <w:t>Volume 3, AR-DRG Classification Version 4.0</w:t>
      </w:r>
      <w:r w:rsidRPr="001C50E0">
        <w:t xml:space="preserve"> </w:t>
      </w:r>
      <w:r>
        <w:t>(</w:t>
      </w:r>
      <w:r w:rsidRPr="001C50E0">
        <w:t>Commonwealth Department of Health and Age</w:t>
      </w:r>
      <w:r>
        <w:t>d Care</w:t>
      </w:r>
      <w:r w:rsidRPr="001C50E0">
        <w:t>, 2000</w:t>
      </w:r>
      <w:r>
        <w:t>)</w:t>
      </w:r>
      <w:r w:rsidRPr="001C50E0">
        <w:t>.</w:t>
      </w:r>
    </w:p>
  </w:footnote>
  <w:footnote w:id="9">
    <w:p w14:paraId="1459BBFF" w14:textId="01DF8C24" w:rsidR="00E25984" w:rsidRPr="001C50E0" w:rsidRDefault="00E25984" w:rsidP="005B5818">
      <w:pPr>
        <w:pStyle w:val="FootnoteText"/>
        <w:rPr>
          <w:lang w:val="en-AU"/>
        </w:rPr>
      </w:pPr>
      <w:r>
        <w:rPr>
          <w:rStyle w:val="FootnoteReference"/>
        </w:rPr>
        <w:footnoteRef/>
      </w:r>
      <w:r>
        <w:t xml:space="preserve"> </w:t>
      </w:r>
      <w:r>
        <w:rPr>
          <w:lang w:val="en-AU"/>
        </w:rPr>
        <w:t xml:space="preserve">Section </w:t>
      </w:r>
      <w:r w:rsidRPr="001C50E0">
        <w:rPr>
          <w:lang w:val="en-AU"/>
        </w:rPr>
        <w:t>1.</w:t>
      </w:r>
      <w:r w:rsidR="00A77E60">
        <w:rPr>
          <w:lang w:val="en-AU"/>
        </w:rPr>
        <w:t>6</w:t>
      </w:r>
      <w:r w:rsidRPr="001C50E0">
        <w:rPr>
          <w:lang w:val="en-AU"/>
        </w:rPr>
        <w:t xml:space="preserve"> is a summary of the discussion paper: </w:t>
      </w:r>
      <w:r w:rsidRPr="001C50E0">
        <w:rPr>
          <w:i/>
          <w:lang w:val="en-AU"/>
        </w:rPr>
        <w:t>What approaches to DRG development have been taken internationally to account for complications and comorbidities?</w:t>
      </w:r>
      <w:r>
        <w:rPr>
          <w:lang w:val="en-AU"/>
        </w:rPr>
        <w:t xml:space="preserve"> </w:t>
      </w:r>
      <w:r w:rsidRPr="001C50E0">
        <w:rPr>
          <w:lang w:val="en-AU"/>
        </w:rPr>
        <w:t xml:space="preserve">Prepared by Associate Professor Terri Jackson with assistance by ACCD staff for purposes of the AR-DRG Classification System Development and Refinement project (see </w:t>
      </w:r>
      <w:r w:rsidRPr="006A2373">
        <w:rPr>
          <w:lang w:val="en-AU"/>
        </w:rPr>
        <w:t>Appendix 1).</w:t>
      </w:r>
    </w:p>
    <w:p w14:paraId="518DD285" w14:textId="77777777" w:rsidR="00E25984" w:rsidRPr="001C50E0" w:rsidRDefault="00E25984" w:rsidP="005B5818">
      <w:pPr>
        <w:pStyle w:val="FootnoteText"/>
        <w:rPr>
          <w:lang w:val="en-AU"/>
        </w:rPr>
      </w:pPr>
    </w:p>
  </w:footnote>
  <w:footnote w:id="10">
    <w:p w14:paraId="48D20A96" w14:textId="77777777" w:rsidR="00E25984" w:rsidRPr="00AA308A" w:rsidRDefault="00E25984" w:rsidP="00DF058B">
      <w:pPr>
        <w:pStyle w:val="FootnoteText"/>
        <w:rPr>
          <w:lang w:val="en-AU"/>
        </w:rPr>
      </w:pPr>
      <w:r>
        <w:rPr>
          <w:rStyle w:val="FootnoteReference"/>
        </w:rPr>
        <w:footnoteRef/>
      </w:r>
      <w:r>
        <w:t xml:space="preserve"> </w:t>
      </w:r>
      <w:r w:rsidRPr="00AA308A">
        <w:t>Throughout this report the modified equal sign “:=” is used to indicate that a definition is being made; that is, the modified equal sign “:=” can be read as “is, by definition, equal to”.</w:t>
      </w:r>
    </w:p>
  </w:footnote>
  <w:footnote w:id="11">
    <w:p w14:paraId="3CED0744" w14:textId="77777777" w:rsidR="00E25984" w:rsidRPr="00854FAF" w:rsidRDefault="00E25984" w:rsidP="005B5818">
      <w:pPr>
        <w:pStyle w:val="FootnoteText"/>
        <w:rPr>
          <w:lang w:val="en-AU"/>
        </w:rPr>
      </w:pPr>
      <w:r w:rsidRPr="00854FAF">
        <w:rPr>
          <w:rStyle w:val="FootnoteReference"/>
        </w:rPr>
        <w:footnoteRef/>
      </w:r>
      <w:r w:rsidRPr="00854FAF">
        <w:t xml:space="preserve"> </w:t>
      </w:r>
      <w:r>
        <w:rPr>
          <w:lang w:val="en-AU"/>
        </w:rPr>
        <w:t xml:space="preserve">Although </w:t>
      </w:r>
      <w:bookmarkStart w:id="68" w:name="MTBlankEqn"/>
      <w:r w:rsidRPr="0084513A">
        <w:rPr>
          <w:position w:val="-14"/>
        </w:rPr>
        <w:object w:dxaOrig="700" w:dyaOrig="400" w14:anchorId="0B5EFD3E">
          <v:shape id="_x0000_i1499" type="#_x0000_t75" style="width:30.75pt;height:17.25pt" o:ole="">
            <v:imagedata r:id="rId1" o:title=""/>
          </v:shape>
          <o:OLEObject Type="Embed" ProgID="Equation.DSMT4" ShapeID="_x0000_i1499" DrawAspect="Content" ObjectID="_1775046134" r:id="rId2"/>
        </w:object>
      </w:r>
      <w:bookmarkEnd w:id="68"/>
      <w:r>
        <w:rPr>
          <w:lang w:val="en-AU"/>
        </w:rPr>
        <w:t xml:space="preserve"> has not been defined, there are episodes that could be considered elements of such a set; namely, episodes which have had all diagnoses removed as unconditional exclusions.</w:t>
      </w:r>
    </w:p>
  </w:footnote>
  <w:footnote w:id="12">
    <w:p w14:paraId="6C3C8F52" w14:textId="77777777" w:rsidR="00E25984" w:rsidRPr="0029633A" w:rsidRDefault="00E25984" w:rsidP="005B5818">
      <w:pPr>
        <w:pStyle w:val="FootnoteText"/>
        <w:rPr>
          <w:lang w:val="en-AU"/>
        </w:rPr>
      </w:pPr>
      <w:r w:rsidRPr="0029633A">
        <w:rPr>
          <w:rStyle w:val="FootnoteReference"/>
        </w:rPr>
        <w:footnoteRef/>
      </w:r>
      <w:r w:rsidRPr="0029633A">
        <w:t xml:space="preserve"> </w:t>
      </w:r>
      <w:r>
        <w:rPr>
          <w:lang w:val="en-AU"/>
        </w:rPr>
        <w:t xml:space="preserve">Note </w:t>
      </w:r>
      <w:r w:rsidRPr="0029633A">
        <w:rPr>
          <w:lang w:val="en-AU"/>
        </w:rPr>
        <w:t xml:space="preserve">that </w:t>
      </w:r>
      <w:r>
        <w:rPr>
          <w:lang w:val="en-AU"/>
        </w:rPr>
        <w:t>diagnoses with sex-specific CDC assignment are split throughout this process.</w:t>
      </w:r>
    </w:p>
  </w:footnote>
  <w:footnote w:id="13">
    <w:p w14:paraId="6A5331E6" w14:textId="77777777" w:rsidR="00E25984" w:rsidRPr="00F15402" w:rsidRDefault="00E25984">
      <w:pPr>
        <w:pStyle w:val="FootnoteText"/>
        <w:rPr>
          <w:lang w:val="en-AU"/>
        </w:rPr>
      </w:pPr>
      <w:r>
        <w:rPr>
          <w:rStyle w:val="FootnoteReference"/>
        </w:rPr>
        <w:footnoteRef/>
      </w:r>
      <w:r>
        <w:t xml:space="preserve"> </w:t>
      </w:r>
      <w:r>
        <w:rPr>
          <w:lang w:val="en-AU"/>
        </w:rPr>
        <w:t>Note that this sample includes ADRG profiles with eleven or more diagnoses. These have been excluded from the previous example (i.e. episode cost by diagnoses count figure).</w:t>
      </w:r>
    </w:p>
  </w:footnote>
  <w:footnote w:id="14">
    <w:p w14:paraId="14AE412A" w14:textId="77777777" w:rsidR="00E25984" w:rsidRPr="00F833A3" w:rsidRDefault="00E25984">
      <w:pPr>
        <w:pStyle w:val="FootnoteText"/>
        <w:rPr>
          <w:lang w:val="en-AU"/>
        </w:rPr>
      </w:pPr>
      <w:r>
        <w:rPr>
          <w:rStyle w:val="FootnoteReference"/>
        </w:rPr>
        <w:footnoteRef/>
      </w:r>
      <w:r>
        <w:t xml:space="preserve"> </w:t>
      </w:r>
      <w:r>
        <w:rPr>
          <w:noProof/>
          <w:lang w:val="en-AU" w:eastAsia="en-AU"/>
        </w:rPr>
        <w:drawing>
          <wp:inline distT="0" distB="0" distL="0" distR="0" wp14:anchorId="5625F2FD" wp14:editId="08E7A7FC">
            <wp:extent cx="352113" cy="212662"/>
            <wp:effectExtent l="0" t="0" r="0" b="0"/>
            <wp:docPr id="2" name="Picture 2" title="(x dagger, y aste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agger asterisk pair.png"/>
                    <pic:cNvPicPr/>
                  </pic:nvPicPr>
                  <pic:blipFill>
                    <a:blip r:embed="rId3">
                      <a:extLst>
                        <a:ext uri="{28A0092B-C50C-407E-A947-70E740481C1C}">
                          <a14:useLocalDpi xmlns:a14="http://schemas.microsoft.com/office/drawing/2010/main" val="0"/>
                        </a:ext>
                      </a:extLst>
                    </a:blip>
                    <a:stretch>
                      <a:fillRect/>
                    </a:stretch>
                  </pic:blipFill>
                  <pic:spPr>
                    <a:xfrm>
                      <a:off x="0" y="0"/>
                      <a:ext cx="363470" cy="219521"/>
                    </a:xfrm>
                    <a:prstGeom prst="rect">
                      <a:avLst/>
                    </a:prstGeom>
                  </pic:spPr>
                </pic:pic>
              </a:graphicData>
            </a:graphic>
          </wp:inline>
        </w:drawing>
      </w:r>
    </w:p>
  </w:footnote>
  <w:footnote w:id="15">
    <w:p w14:paraId="7C069E5A" w14:textId="77777777" w:rsidR="00E25984" w:rsidRPr="002506C3" w:rsidRDefault="00E25984">
      <w:pPr>
        <w:pStyle w:val="FootnoteText"/>
        <w:rPr>
          <w:lang w:val="en-AU"/>
        </w:rPr>
      </w:pPr>
      <w:r>
        <w:rPr>
          <w:rStyle w:val="FootnoteReference"/>
        </w:rPr>
        <w:footnoteRef/>
      </w:r>
      <w:r>
        <w:t xml:space="preserve"> </w:t>
      </w:r>
      <w:r w:rsidRPr="002C3992">
        <w:t>DCL scope guiding principle 2 identifies codes from groups 1 - 3 above that are capable of providing information critical to the clinical description of an acute admitted episode of care.</w:t>
      </w:r>
    </w:p>
  </w:footnote>
  <w:footnote w:id="16">
    <w:p w14:paraId="24F5E872" w14:textId="064F2BEB" w:rsidR="00E25984" w:rsidRPr="00702716" w:rsidRDefault="00E25984" w:rsidP="005B5818">
      <w:pPr>
        <w:pStyle w:val="FootnoteText"/>
        <w:rPr>
          <w:lang w:val="en-AU"/>
        </w:rPr>
      </w:pPr>
      <w:r>
        <w:rPr>
          <w:rStyle w:val="FootnoteReference"/>
        </w:rPr>
        <w:footnoteRef/>
      </w:r>
      <w:r>
        <w:t xml:space="preserve"> This background </w:t>
      </w:r>
      <w:r w:rsidRPr="002F7E33">
        <w:rPr>
          <w:lang w:val="en-AU"/>
        </w:rPr>
        <w:t>is</w:t>
      </w:r>
      <w:r w:rsidRPr="00702716">
        <w:rPr>
          <w:lang w:val="en-AU"/>
        </w:rPr>
        <w:t xml:space="preserve"> a summary of the discussion paper: </w:t>
      </w:r>
      <w:r w:rsidRPr="00702716">
        <w:rPr>
          <w:i/>
          <w:lang w:val="en-AU"/>
        </w:rPr>
        <w:t>What approaches to DRG development have been taken internationally to account for complications and comorbidities?</w:t>
      </w:r>
      <w:r>
        <w:rPr>
          <w:lang w:val="en-AU"/>
        </w:rPr>
        <w:t xml:space="preserve"> </w:t>
      </w:r>
      <w:r w:rsidRPr="00702716">
        <w:rPr>
          <w:lang w:val="en-AU"/>
        </w:rPr>
        <w:t>Prepared by Associate Professor Terri Jackson with assistance by ACCD staff for purposes of the AR-DRG Classification System Development and Refinement project (see Appendix 1</w:t>
      </w:r>
      <w:r>
        <w:rPr>
          <w:lang w:val="en-AU"/>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62924" w14:textId="77777777" w:rsidR="00E25984" w:rsidRDefault="00E25984">
    <w:pPr>
      <w:pStyle w:val="Header"/>
    </w:pPr>
    <w:r w:rsidRPr="0008181E">
      <w:rPr>
        <w:noProof/>
        <w:lang w:val="en-AU" w:eastAsia="en-AU"/>
      </w:rPr>
      <w:drawing>
        <wp:inline distT="0" distB="0" distL="0" distR="0" wp14:anchorId="3664C910" wp14:editId="53824E52">
          <wp:extent cx="5732145" cy="465455"/>
          <wp:effectExtent l="0" t="0" r="1905" b="0"/>
          <wp:docPr id="14343" name="Picture 3" title="Australian Consortium for Classification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2145" cy="46545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83A4C" w14:textId="77777777" w:rsidR="00E25984" w:rsidRDefault="00E25984">
    <w:pPr>
      <w:pStyle w:val="Header"/>
    </w:pPr>
    <w:r>
      <w:rPr>
        <w:noProof/>
        <w:lang w:val="en-AU" w:eastAsia="en-AU"/>
      </w:rPr>
      <mc:AlternateContent>
        <mc:Choice Requires="wps">
          <w:drawing>
            <wp:anchor distT="0" distB="0" distL="114300" distR="114300" simplePos="0" relativeHeight="251671552" behindDoc="1" locked="0" layoutInCell="1" allowOverlap="1" wp14:anchorId="490372A9" wp14:editId="24529330">
              <wp:simplePos x="0" y="0"/>
              <wp:positionH relativeFrom="page">
                <wp:align>center</wp:align>
              </wp:positionH>
              <wp:positionV relativeFrom="page">
                <wp:align>center</wp:align>
              </wp:positionV>
              <wp:extent cx="4964430" cy="1724025"/>
              <wp:effectExtent l="0" t="1517015" r="0" b="1521460"/>
              <wp:wrapNone/>
              <wp:docPr id="29" name="Text Box 29 KISDraf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964430" cy="1724025"/>
                      </a:xfrm>
                      <a:prstGeom prst="rect">
                        <a:avLst/>
                      </a:prstGeom>
                      <a:extLst>
                        <a:ext uri="{AF507438-7753-43E0-B8FC-AC1667EBCBE1}">
                          <a14:hiddenEffects xmlns:a14="http://schemas.microsoft.com/office/drawing/2010/main">
                            <a:effectLst/>
                          </a14:hiddenEffects>
                        </a:ext>
                      </a:extLst>
                    </wps:spPr>
                    <wps:txbx>
                      <w:txbxContent>
                        <w:p w14:paraId="3A241A61" w14:textId="77777777" w:rsidR="00E25984" w:rsidRDefault="00E25984" w:rsidP="004D0341">
                          <w:pPr>
                            <w:pStyle w:val="NormalWeb"/>
                            <w:spacing w:before="0" w:beforeAutospacing="0" w:after="0" w:afterAutospacing="0"/>
                            <w:jc w:val="center"/>
                          </w:pPr>
                          <w:r>
                            <w:rPr>
                              <w:rFonts w:ascii="Arial Black" w:hAnsi="Arial Black"/>
                              <w:color w:val="DDDDDD"/>
                              <w:sz w:val="192"/>
                              <w:szCs w:val="192"/>
                              <w14:textOutline w14:w="9525" w14:cap="flat" w14:cmpd="sng" w14:algn="ctr">
                                <w14:solidFill>
                                  <w14:srgbClr w14:val="DDDDDD"/>
                                </w14:solidFill>
                                <w14:prstDash w14:val="solid"/>
                                <w14:round/>
                              </w14:textOutline>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90372A9" id="_x0000_t202" coordsize="21600,21600" o:spt="202" path="m,l,21600r21600,l21600,xe">
              <v:stroke joinstyle="miter"/>
              <v:path gradientshapeok="t" o:connecttype="rect"/>
            </v:shapetype>
            <v:shape id="Text Box 29 KISDraft" o:spid="_x0000_s1026" type="#_x0000_t202" style="position:absolute;margin-left:0;margin-top:0;width:390.9pt;height:135.75pt;rotation:-45;z-index:-2516449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" filled="f" stroked="f">
              <o:lock v:ext="edit" shapetype="t"/>
              <v:textbox style="mso-fit-shape-to-text:t">
                <w:txbxContent>
                  <w:p w14:paraId="3A241A61" w14:textId="77777777" w:rsidR="00E25984" w:rsidRDefault="00E25984" w:rsidP="004D0341">
                    <w:pPr>
                      <w:pStyle w:val="NormalWeb"/>
                      <w:spacing w:before="0" w:beforeAutospacing="0" w:after="0" w:afterAutospacing="0"/>
                      <w:jc w:val="center"/>
                    </w:pPr>
                    <w:r>
                      <w:rPr>
                        <w:rFonts w:ascii="Arial Black" w:hAnsi="Arial Black"/>
                        <w:color w:val="DDDDDD"/>
                        <w:sz w:val="192"/>
                        <w:szCs w:val="192"/>
                        <w14:textOutline w14:w="9525" w14:cap="flat" w14:cmpd="sng" w14:algn="ctr">
                          <w14:solidFill>
                            <w14:srgbClr w14:val="DDDDDD"/>
                          </w14:solidFill>
                          <w14:prstDash w14:val="solid"/>
                          <w14:round/>
                        </w14:textOutline>
                      </w:rPr>
                      <w:t>DRAFT</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3EE08" w14:textId="77777777" w:rsidR="00E25984" w:rsidRDefault="00E25984">
    <w:pPr>
      <w:pStyle w:val="Header"/>
    </w:pPr>
    <w:r w:rsidRPr="0008181E">
      <w:rPr>
        <w:noProof/>
        <w:lang w:val="en-AU" w:eastAsia="en-AU"/>
      </w:rPr>
      <w:drawing>
        <wp:inline distT="0" distB="0" distL="0" distR="0" wp14:anchorId="0EE57175" wp14:editId="133E40E4">
          <wp:extent cx="5732145" cy="465455"/>
          <wp:effectExtent l="0" t="0" r="1905" b="0"/>
          <wp:docPr id="14344" name="Picture 3" title="Australian Consortium for Classification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2145" cy="465455"/>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38572" w14:textId="77777777" w:rsidR="00E25984" w:rsidRDefault="00E25984">
    <w:pPr>
      <w:pStyle w:val="Header"/>
    </w:pPr>
    <w:r w:rsidRPr="0008181E">
      <w:rPr>
        <w:noProof/>
        <w:lang w:val="en-AU" w:eastAsia="en-AU"/>
      </w:rPr>
      <w:drawing>
        <wp:inline distT="0" distB="0" distL="0" distR="0" wp14:anchorId="6617EA9A" wp14:editId="3E9004C4">
          <wp:extent cx="5732145" cy="465455"/>
          <wp:effectExtent l="0" t="0" r="1905" b="0"/>
          <wp:docPr id="6" name="Picture 3" title="Australian Consortium for Classification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2145" cy="465455"/>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F15B3" w14:textId="77777777" w:rsidR="00E25984" w:rsidRDefault="00E25984" w:rsidP="005D205C">
    <w:pPr>
      <w:pStyle w:val="Header"/>
      <w:tabs>
        <w:tab w:val="clear" w:pos="4513"/>
        <w:tab w:val="clear" w:pos="9026"/>
        <w:tab w:val="left" w:pos="975"/>
      </w:tabs>
    </w:pPr>
    <w:r w:rsidRPr="0008181E">
      <w:rPr>
        <w:noProof/>
        <w:lang w:val="en-AU" w:eastAsia="en-AU"/>
      </w:rPr>
      <w:drawing>
        <wp:inline distT="0" distB="0" distL="0" distR="0" wp14:anchorId="36139F7B" wp14:editId="29DA0814">
          <wp:extent cx="5732145" cy="465455"/>
          <wp:effectExtent l="0" t="0" r="1905" b="0"/>
          <wp:docPr id="7" name="Picture 3" title="Australian Consortium for Classification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2145" cy="465455"/>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BC372" w14:textId="77777777" w:rsidR="00E25984" w:rsidRDefault="00E25984" w:rsidP="005D205C">
    <w:pPr>
      <w:pStyle w:val="Header"/>
      <w:tabs>
        <w:tab w:val="clear" w:pos="4513"/>
        <w:tab w:val="clear" w:pos="9026"/>
        <w:tab w:val="left" w:pos="975"/>
      </w:tabs>
    </w:pPr>
    <w:r w:rsidRPr="0008181E">
      <w:rPr>
        <w:noProof/>
        <w:lang w:val="en-AU" w:eastAsia="en-AU"/>
      </w:rPr>
      <w:drawing>
        <wp:inline distT="0" distB="0" distL="0" distR="0" wp14:anchorId="2C74AB4D" wp14:editId="12DC801E">
          <wp:extent cx="5732145" cy="465455"/>
          <wp:effectExtent l="0" t="0" r="1905" b="0"/>
          <wp:docPr id="27" name="Picture 3" title="Australian Consortium for Classification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2145" cy="4654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BC1064A4"/>
    <w:lvl w:ilvl="0">
      <w:start w:val="1"/>
      <w:numFmt w:val="bullet"/>
      <w:lvlText w:val="-"/>
      <w:lvlJc w:val="left"/>
      <w:pPr>
        <w:tabs>
          <w:tab w:val="num" w:pos="623"/>
        </w:tabs>
        <w:ind w:left="623" w:hanging="340"/>
      </w:pPr>
      <w:rPr>
        <w:rFonts w:ascii="9999999" w:hAnsi="9999999" w:cs="Courier New" w:hint="default"/>
      </w:rPr>
    </w:lvl>
  </w:abstractNum>
  <w:abstractNum w:abstractNumId="1" w15:restartNumberingAfterBreak="0">
    <w:nsid w:val="FFFFFF89"/>
    <w:multiLevelType w:val="singleLevel"/>
    <w:tmpl w:val="7C5E84DE"/>
    <w:lvl w:ilvl="0">
      <w:start w:val="1"/>
      <w:numFmt w:val="bullet"/>
      <w:pStyle w:val="ListBullet"/>
      <w:lvlText w:val=""/>
      <w:lvlJc w:val="left"/>
      <w:pPr>
        <w:tabs>
          <w:tab w:val="num" w:pos="340"/>
        </w:tabs>
        <w:ind w:left="340" w:hanging="340"/>
      </w:pPr>
      <w:rPr>
        <w:rFonts w:ascii="Symbol" w:hAnsi="Symbol" w:hint="default"/>
        <w:color w:val="auto"/>
        <w:sz w:val="22"/>
      </w:rPr>
    </w:lvl>
  </w:abstractNum>
  <w:abstractNum w:abstractNumId="2" w15:restartNumberingAfterBreak="0">
    <w:nsid w:val="006003D7"/>
    <w:multiLevelType w:val="singleLevel"/>
    <w:tmpl w:val="B1742606"/>
    <w:lvl w:ilvl="0">
      <w:start w:val="1"/>
      <w:numFmt w:val="bullet"/>
      <w:lvlText w:val=""/>
      <w:lvlJc w:val="left"/>
      <w:pPr>
        <w:tabs>
          <w:tab w:val="num" w:pos="340"/>
        </w:tabs>
        <w:ind w:left="340" w:hanging="340"/>
      </w:pPr>
      <w:rPr>
        <w:rFonts w:ascii="Symbol" w:hAnsi="Symbol" w:hint="default"/>
        <w:color w:val="auto"/>
        <w:sz w:val="22"/>
      </w:rPr>
    </w:lvl>
  </w:abstractNum>
  <w:abstractNum w:abstractNumId="3" w15:restartNumberingAfterBreak="0">
    <w:nsid w:val="02966E26"/>
    <w:multiLevelType w:val="singleLevel"/>
    <w:tmpl w:val="616AB136"/>
    <w:lvl w:ilvl="0">
      <w:start w:val="1"/>
      <w:numFmt w:val="bullet"/>
      <w:lvlText w:val=""/>
      <w:lvlJc w:val="left"/>
      <w:pPr>
        <w:tabs>
          <w:tab w:val="num" w:pos="340"/>
        </w:tabs>
        <w:ind w:left="340" w:hanging="340"/>
      </w:pPr>
      <w:rPr>
        <w:rFonts w:ascii="Symbol" w:hAnsi="Symbol" w:hint="default"/>
        <w:color w:val="auto"/>
        <w:sz w:val="22"/>
      </w:rPr>
    </w:lvl>
  </w:abstractNum>
  <w:abstractNum w:abstractNumId="4" w15:restartNumberingAfterBreak="0">
    <w:nsid w:val="02A40C0E"/>
    <w:multiLevelType w:val="hybridMultilevel"/>
    <w:tmpl w:val="4BF0B006"/>
    <w:lvl w:ilvl="0" w:tplc="06820318">
      <w:start w:val="14"/>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2F10E3A"/>
    <w:multiLevelType w:val="hybridMultilevel"/>
    <w:tmpl w:val="F4CE2E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3522079"/>
    <w:multiLevelType w:val="multilevel"/>
    <w:tmpl w:val="EF820C88"/>
    <w:lvl w:ilvl="0">
      <w:start w:val="1"/>
      <w:numFmt w:val="decimal"/>
      <w:lvlText w:val="%1."/>
      <w:lvlJc w:val="left"/>
      <w:pPr>
        <w:tabs>
          <w:tab w:val="num" w:pos="340"/>
        </w:tabs>
        <w:ind w:left="340" w:hanging="340"/>
      </w:pPr>
      <w:rPr>
        <w:rFonts w:hint="default"/>
        <w:color w:val="auto"/>
        <w:sz w:val="22"/>
      </w:rPr>
    </w:lvl>
    <w:lvl w:ilvl="1">
      <w:start w:val="1"/>
      <w:numFmt w:val="bullet"/>
      <w:lvlText w:val=""/>
      <w:lvlJc w:val="left"/>
      <w:pPr>
        <w:tabs>
          <w:tab w:val="num" w:pos="680"/>
        </w:tabs>
        <w:ind w:left="680" w:hanging="340"/>
      </w:pPr>
      <w:rPr>
        <w:rFonts w:ascii="Symbol" w:hAnsi="Symbol" w:hint="default"/>
        <w:sz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7" w15:restartNumberingAfterBreak="0">
    <w:nsid w:val="053E3939"/>
    <w:multiLevelType w:val="hybridMultilevel"/>
    <w:tmpl w:val="F898A8EA"/>
    <w:lvl w:ilvl="0" w:tplc="D3AC014C">
      <w:start w:val="1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65A686C"/>
    <w:multiLevelType w:val="singleLevel"/>
    <w:tmpl w:val="83A82684"/>
    <w:lvl w:ilvl="0">
      <w:start w:val="1"/>
      <w:numFmt w:val="bullet"/>
      <w:lvlText w:val=""/>
      <w:lvlJc w:val="left"/>
      <w:pPr>
        <w:tabs>
          <w:tab w:val="num" w:pos="340"/>
        </w:tabs>
        <w:ind w:left="340" w:hanging="340"/>
      </w:pPr>
      <w:rPr>
        <w:rFonts w:ascii="Symbol" w:hAnsi="Symbol" w:hint="default"/>
        <w:color w:val="auto"/>
        <w:sz w:val="22"/>
      </w:rPr>
    </w:lvl>
  </w:abstractNum>
  <w:abstractNum w:abstractNumId="9" w15:restartNumberingAfterBreak="0">
    <w:nsid w:val="06CF6E0A"/>
    <w:multiLevelType w:val="singleLevel"/>
    <w:tmpl w:val="1A1627F4"/>
    <w:lvl w:ilvl="0">
      <w:start w:val="1"/>
      <w:numFmt w:val="bullet"/>
      <w:lvlText w:val=""/>
      <w:lvlJc w:val="left"/>
      <w:pPr>
        <w:tabs>
          <w:tab w:val="num" w:pos="340"/>
        </w:tabs>
        <w:ind w:left="340" w:hanging="340"/>
      </w:pPr>
      <w:rPr>
        <w:rFonts w:ascii="Symbol" w:hAnsi="Symbol" w:hint="default"/>
        <w:color w:val="auto"/>
        <w:sz w:val="22"/>
      </w:rPr>
    </w:lvl>
  </w:abstractNum>
  <w:abstractNum w:abstractNumId="10" w15:restartNumberingAfterBreak="0">
    <w:nsid w:val="083C03B2"/>
    <w:multiLevelType w:val="hybridMultilevel"/>
    <w:tmpl w:val="E7483B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9F10691"/>
    <w:multiLevelType w:val="hybridMultilevel"/>
    <w:tmpl w:val="1D1E61C4"/>
    <w:lvl w:ilvl="0" w:tplc="DABA9BEC">
      <w:start w:val="1"/>
      <w:numFmt w:val="bullet"/>
      <w:lvlText w:val=""/>
      <w:lvlJc w:val="left"/>
      <w:pPr>
        <w:tabs>
          <w:tab w:val="num" w:pos="567"/>
        </w:tabs>
        <w:ind w:left="567" w:hanging="567"/>
      </w:pPr>
      <w:rPr>
        <w:rFonts w:ascii="Wingdings" w:hAnsi="Wingdings" w:hint="default"/>
        <w:color w:val="5F5F5F"/>
        <w:sz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F7B1882"/>
    <w:multiLevelType w:val="singleLevel"/>
    <w:tmpl w:val="6AD042C0"/>
    <w:lvl w:ilvl="0">
      <w:start w:val="1"/>
      <w:numFmt w:val="bullet"/>
      <w:lvlText w:val=""/>
      <w:lvlJc w:val="left"/>
      <w:pPr>
        <w:tabs>
          <w:tab w:val="num" w:pos="340"/>
        </w:tabs>
        <w:ind w:left="340" w:hanging="340"/>
      </w:pPr>
      <w:rPr>
        <w:rFonts w:ascii="Symbol" w:hAnsi="Symbol" w:hint="default"/>
        <w:color w:val="auto"/>
        <w:sz w:val="22"/>
      </w:rPr>
    </w:lvl>
  </w:abstractNum>
  <w:abstractNum w:abstractNumId="13" w15:restartNumberingAfterBreak="0">
    <w:nsid w:val="106D53EA"/>
    <w:multiLevelType w:val="hybridMultilevel"/>
    <w:tmpl w:val="8394388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10CB772B"/>
    <w:multiLevelType w:val="hybridMultilevel"/>
    <w:tmpl w:val="A4224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D820DA28">
      <w:start w:val="1"/>
      <w:numFmt w:val="lowerLetter"/>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0D148A6"/>
    <w:multiLevelType w:val="multilevel"/>
    <w:tmpl w:val="76F61CFA"/>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11E4110B"/>
    <w:multiLevelType w:val="singleLevel"/>
    <w:tmpl w:val="399C9D0A"/>
    <w:lvl w:ilvl="0">
      <w:start w:val="1"/>
      <w:numFmt w:val="bullet"/>
      <w:lvlText w:val=""/>
      <w:lvlJc w:val="left"/>
      <w:pPr>
        <w:tabs>
          <w:tab w:val="num" w:pos="340"/>
        </w:tabs>
        <w:ind w:left="340" w:hanging="340"/>
      </w:pPr>
      <w:rPr>
        <w:rFonts w:ascii="Symbol" w:hAnsi="Symbol" w:hint="default"/>
        <w:color w:val="auto"/>
        <w:sz w:val="22"/>
      </w:rPr>
    </w:lvl>
  </w:abstractNum>
  <w:abstractNum w:abstractNumId="17" w15:restartNumberingAfterBreak="0">
    <w:nsid w:val="123E7902"/>
    <w:multiLevelType w:val="singleLevel"/>
    <w:tmpl w:val="596ACA44"/>
    <w:lvl w:ilvl="0">
      <w:start w:val="1"/>
      <w:numFmt w:val="bullet"/>
      <w:lvlText w:val=""/>
      <w:lvlJc w:val="left"/>
      <w:pPr>
        <w:tabs>
          <w:tab w:val="num" w:pos="340"/>
        </w:tabs>
        <w:ind w:left="340" w:hanging="340"/>
      </w:pPr>
      <w:rPr>
        <w:rFonts w:ascii="Symbol" w:hAnsi="Symbol" w:hint="default"/>
        <w:color w:val="auto"/>
        <w:sz w:val="22"/>
      </w:rPr>
    </w:lvl>
  </w:abstractNum>
  <w:abstractNum w:abstractNumId="18" w15:restartNumberingAfterBreak="0">
    <w:nsid w:val="14B92A67"/>
    <w:multiLevelType w:val="singleLevel"/>
    <w:tmpl w:val="6EB6A02C"/>
    <w:lvl w:ilvl="0">
      <w:start w:val="1"/>
      <w:numFmt w:val="bullet"/>
      <w:lvlText w:val=""/>
      <w:lvlJc w:val="left"/>
      <w:pPr>
        <w:tabs>
          <w:tab w:val="num" w:pos="340"/>
        </w:tabs>
        <w:ind w:left="340" w:hanging="340"/>
      </w:pPr>
      <w:rPr>
        <w:rFonts w:ascii="Symbol" w:hAnsi="Symbol" w:hint="default"/>
        <w:color w:val="auto"/>
        <w:sz w:val="22"/>
      </w:rPr>
    </w:lvl>
  </w:abstractNum>
  <w:abstractNum w:abstractNumId="19" w15:restartNumberingAfterBreak="0">
    <w:nsid w:val="168A5AD8"/>
    <w:multiLevelType w:val="hybridMultilevel"/>
    <w:tmpl w:val="950A12DA"/>
    <w:lvl w:ilvl="0" w:tplc="0B4CD5A8">
      <w:start w:val="10"/>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6932C8D"/>
    <w:multiLevelType w:val="hybridMultilevel"/>
    <w:tmpl w:val="B5C26B4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16A03C82"/>
    <w:multiLevelType w:val="hybridMultilevel"/>
    <w:tmpl w:val="1F7C55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16D6503E"/>
    <w:multiLevelType w:val="singleLevel"/>
    <w:tmpl w:val="7F0A2C98"/>
    <w:lvl w:ilvl="0">
      <w:start w:val="1"/>
      <w:numFmt w:val="bullet"/>
      <w:lvlText w:val=""/>
      <w:lvlJc w:val="left"/>
      <w:pPr>
        <w:tabs>
          <w:tab w:val="num" w:pos="340"/>
        </w:tabs>
        <w:ind w:left="340" w:hanging="340"/>
      </w:pPr>
      <w:rPr>
        <w:rFonts w:ascii="Symbol" w:hAnsi="Symbol" w:hint="default"/>
        <w:color w:val="auto"/>
        <w:sz w:val="22"/>
      </w:rPr>
    </w:lvl>
  </w:abstractNum>
  <w:abstractNum w:abstractNumId="23" w15:restartNumberingAfterBreak="0">
    <w:nsid w:val="179140F7"/>
    <w:multiLevelType w:val="hybridMultilevel"/>
    <w:tmpl w:val="04020F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185A6065"/>
    <w:multiLevelType w:val="hybridMultilevel"/>
    <w:tmpl w:val="B1F69A6E"/>
    <w:lvl w:ilvl="0" w:tplc="2DA8EE80">
      <w:start w:val="6"/>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1B1E7400"/>
    <w:multiLevelType w:val="hybridMultilevel"/>
    <w:tmpl w:val="DE7CC7E6"/>
    <w:lvl w:ilvl="0" w:tplc="B66AA9F0">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1DC37CF4"/>
    <w:multiLevelType w:val="hybridMultilevel"/>
    <w:tmpl w:val="EA86D2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1E722FB4"/>
    <w:multiLevelType w:val="hybridMultilevel"/>
    <w:tmpl w:val="87541F8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1F0E1393"/>
    <w:multiLevelType w:val="hybridMultilevel"/>
    <w:tmpl w:val="5F7A56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FB104DF"/>
    <w:multiLevelType w:val="hybridMultilevel"/>
    <w:tmpl w:val="157CAB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213F223B"/>
    <w:multiLevelType w:val="hybridMultilevel"/>
    <w:tmpl w:val="BF92F660"/>
    <w:lvl w:ilvl="0" w:tplc="0C090011">
      <w:start w:val="1"/>
      <w:numFmt w:val="decimal"/>
      <w:lvlText w:val="%1)"/>
      <w:lvlJc w:val="left"/>
      <w:pPr>
        <w:ind w:left="927" w:hanging="360"/>
      </w:pPr>
    </w:lvl>
    <w:lvl w:ilvl="1" w:tplc="0C090019">
      <w:start w:val="1"/>
      <w:numFmt w:val="decimal"/>
      <w:lvlText w:val="%2."/>
      <w:lvlJc w:val="left"/>
      <w:pPr>
        <w:tabs>
          <w:tab w:val="num" w:pos="1647"/>
        </w:tabs>
        <w:ind w:left="1647" w:hanging="360"/>
      </w:pPr>
    </w:lvl>
    <w:lvl w:ilvl="2" w:tplc="0C09001B">
      <w:start w:val="1"/>
      <w:numFmt w:val="decimal"/>
      <w:lvlText w:val="%3."/>
      <w:lvlJc w:val="left"/>
      <w:pPr>
        <w:tabs>
          <w:tab w:val="num" w:pos="2367"/>
        </w:tabs>
        <w:ind w:left="2367" w:hanging="360"/>
      </w:pPr>
    </w:lvl>
    <w:lvl w:ilvl="3" w:tplc="0C09000F">
      <w:start w:val="1"/>
      <w:numFmt w:val="decimal"/>
      <w:lvlText w:val="%4."/>
      <w:lvlJc w:val="left"/>
      <w:pPr>
        <w:tabs>
          <w:tab w:val="num" w:pos="3087"/>
        </w:tabs>
        <w:ind w:left="3087" w:hanging="360"/>
      </w:pPr>
    </w:lvl>
    <w:lvl w:ilvl="4" w:tplc="0C090019">
      <w:start w:val="1"/>
      <w:numFmt w:val="decimal"/>
      <w:lvlText w:val="%5."/>
      <w:lvlJc w:val="left"/>
      <w:pPr>
        <w:tabs>
          <w:tab w:val="num" w:pos="3807"/>
        </w:tabs>
        <w:ind w:left="3807" w:hanging="360"/>
      </w:pPr>
    </w:lvl>
    <w:lvl w:ilvl="5" w:tplc="0C09001B">
      <w:start w:val="1"/>
      <w:numFmt w:val="decimal"/>
      <w:lvlText w:val="%6."/>
      <w:lvlJc w:val="left"/>
      <w:pPr>
        <w:tabs>
          <w:tab w:val="num" w:pos="4527"/>
        </w:tabs>
        <w:ind w:left="4527" w:hanging="360"/>
      </w:pPr>
    </w:lvl>
    <w:lvl w:ilvl="6" w:tplc="0C09000F">
      <w:start w:val="1"/>
      <w:numFmt w:val="decimal"/>
      <w:lvlText w:val="%7."/>
      <w:lvlJc w:val="left"/>
      <w:pPr>
        <w:tabs>
          <w:tab w:val="num" w:pos="5247"/>
        </w:tabs>
        <w:ind w:left="5247" w:hanging="360"/>
      </w:pPr>
    </w:lvl>
    <w:lvl w:ilvl="7" w:tplc="0C090019">
      <w:start w:val="1"/>
      <w:numFmt w:val="decimal"/>
      <w:lvlText w:val="%8."/>
      <w:lvlJc w:val="left"/>
      <w:pPr>
        <w:tabs>
          <w:tab w:val="num" w:pos="5967"/>
        </w:tabs>
        <w:ind w:left="5967" w:hanging="360"/>
      </w:pPr>
    </w:lvl>
    <w:lvl w:ilvl="8" w:tplc="0C09001B">
      <w:start w:val="1"/>
      <w:numFmt w:val="decimal"/>
      <w:lvlText w:val="%9."/>
      <w:lvlJc w:val="left"/>
      <w:pPr>
        <w:tabs>
          <w:tab w:val="num" w:pos="6687"/>
        </w:tabs>
        <w:ind w:left="6687" w:hanging="360"/>
      </w:pPr>
    </w:lvl>
  </w:abstractNum>
  <w:abstractNum w:abstractNumId="31" w15:restartNumberingAfterBreak="0">
    <w:nsid w:val="23441F1F"/>
    <w:multiLevelType w:val="hybridMultilevel"/>
    <w:tmpl w:val="5C56BF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24422EB3"/>
    <w:multiLevelType w:val="singleLevel"/>
    <w:tmpl w:val="5232E088"/>
    <w:lvl w:ilvl="0">
      <w:start w:val="1"/>
      <w:numFmt w:val="bullet"/>
      <w:lvlText w:val=""/>
      <w:lvlJc w:val="left"/>
      <w:pPr>
        <w:tabs>
          <w:tab w:val="num" w:pos="340"/>
        </w:tabs>
        <w:ind w:left="340" w:hanging="340"/>
      </w:pPr>
      <w:rPr>
        <w:rFonts w:ascii="Symbol" w:hAnsi="Symbol" w:hint="default"/>
        <w:color w:val="auto"/>
        <w:sz w:val="22"/>
      </w:rPr>
    </w:lvl>
  </w:abstractNum>
  <w:abstractNum w:abstractNumId="33" w15:restartNumberingAfterBreak="0">
    <w:nsid w:val="25A73DE3"/>
    <w:multiLevelType w:val="hybridMultilevel"/>
    <w:tmpl w:val="F5E63E12"/>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26780A25"/>
    <w:multiLevelType w:val="hybridMultilevel"/>
    <w:tmpl w:val="E0BAD6A0"/>
    <w:lvl w:ilvl="0" w:tplc="F5C08708">
      <w:start w:val="1"/>
      <w:numFmt w:val="bullet"/>
      <w:lvlText w:val=""/>
      <w:lvlJc w:val="left"/>
      <w:pPr>
        <w:ind w:left="720" w:hanging="360"/>
      </w:pPr>
      <w:rPr>
        <w:rFonts w:ascii="Symbol" w:hAnsi="Symbol" w:hint="default"/>
      </w:rPr>
    </w:lvl>
    <w:lvl w:ilvl="1" w:tplc="D2583174" w:tentative="1">
      <w:start w:val="1"/>
      <w:numFmt w:val="bullet"/>
      <w:lvlText w:val="o"/>
      <w:lvlJc w:val="left"/>
      <w:pPr>
        <w:ind w:left="1440" w:hanging="360"/>
      </w:pPr>
      <w:rPr>
        <w:rFonts w:ascii="Courier New" w:hAnsi="Courier New" w:cs="Courier New" w:hint="default"/>
      </w:rPr>
    </w:lvl>
    <w:lvl w:ilvl="2" w:tplc="7CF05F5E" w:tentative="1">
      <w:start w:val="1"/>
      <w:numFmt w:val="bullet"/>
      <w:lvlText w:val=""/>
      <w:lvlJc w:val="left"/>
      <w:pPr>
        <w:ind w:left="2160" w:hanging="360"/>
      </w:pPr>
      <w:rPr>
        <w:rFonts w:ascii="Wingdings" w:hAnsi="Wingdings" w:hint="default"/>
      </w:rPr>
    </w:lvl>
    <w:lvl w:ilvl="3" w:tplc="FA6478BE" w:tentative="1">
      <w:start w:val="1"/>
      <w:numFmt w:val="bullet"/>
      <w:lvlText w:val=""/>
      <w:lvlJc w:val="left"/>
      <w:pPr>
        <w:ind w:left="2880" w:hanging="360"/>
      </w:pPr>
      <w:rPr>
        <w:rFonts w:ascii="Symbol" w:hAnsi="Symbol" w:hint="default"/>
      </w:rPr>
    </w:lvl>
    <w:lvl w:ilvl="4" w:tplc="7154336E" w:tentative="1">
      <w:start w:val="1"/>
      <w:numFmt w:val="bullet"/>
      <w:lvlText w:val="o"/>
      <w:lvlJc w:val="left"/>
      <w:pPr>
        <w:ind w:left="3600" w:hanging="360"/>
      </w:pPr>
      <w:rPr>
        <w:rFonts w:ascii="Courier New" w:hAnsi="Courier New" w:cs="Courier New" w:hint="default"/>
      </w:rPr>
    </w:lvl>
    <w:lvl w:ilvl="5" w:tplc="73CE1F00" w:tentative="1">
      <w:start w:val="1"/>
      <w:numFmt w:val="bullet"/>
      <w:lvlText w:val=""/>
      <w:lvlJc w:val="left"/>
      <w:pPr>
        <w:ind w:left="4320" w:hanging="360"/>
      </w:pPr>
      <w:rPr>
        <w:rFonts w:ascii="Wingdings" w:hAnsi="Wingdings" w:hint="default"/>
      </w:rPr>
    </w:lvl>
    <w:lvl w:ilvl="6" w:tplc="CD221FF6" w:tentative="1">
      <w:start w:val="1"/>
      <w:numFmt w:val="bullet"/>
      <w:lvlText w:val=""/>
      <w:lvlJc w:val="left"/>
      <w:pPr>
        <w:ind w:left="5040" w:hanging="360"/>
      </w:pPr>
      <w:rPr>
        <w:rFonts w:ascii="Symbol" w:hAnsi="Symbol" w:hint="default"/>
      </w:rPr>
    </w:lvl>
    <w:lvl w:ilvl="7" w:tplc="6EB829AE" w:tentative="1">
      <w:start w:val="1"/>
      <w:numFmt w:val="bullet"/>
      <w:lvlText w:val="o"/>
      <w:lvlJc w:val="left"/>
      <w:pPr>
        <w:ind w:left="5760" w:hanging="360"/>
      </w:pPr>
      <w:rPr>
        <w:rFonts w:ascii="Courier New" w:hAnsi="Courier New" w:cs="Courier New" w:hint="default"/>
      </w:rPr>
    </w:lvl>
    <w:lvl w:ilvl="8" w:tplc="78E6A676" w:tentative="1">
      <w:start w:val="1"/>
      <w:numFmt w:val="bullet"/>
      <w:lvlText w:val=""/>
      <w:lvlJc w:val="left"/>
      <w:pPr>
        <w:ind w:left="6480" w:hanging="360"/>
      </w:pPr>
      <w:rPr>
        <w:rFonts w:ascii="Wingdings" w:hAnsi="Wingdings" w:hint="default"/>
      </w:rPr>
    </w:lvl>
  </w:abstractNum>
  <w:abstractNum w:abstractNumId="35" w15:restartNumberingAfterBreak="0">
    <w:nsid w:val="27FF24F7"/>
    <w:multiLevelType w:val="hybridMultilevel"/>
    <w:tmpl w:val="B50E5D7E"/>
    <w:lvl w:ilvl="0" w:tplc="04090001">
      <w:start w:val="1"/>
      <w:numFmt w:val="lowerLetter"/>
      <w:lvlText w:val="%1."/>
      <w:lvlJc w:val="left"/>
      <w:pPr>
        <w:ind w:left="720" w:hanging="360"/>
      </w:pPr>
      <w:rPr>
        <w:rFonts w:hint="default"/>
      </w:rPr>
    </w:lvl>
    <w:lvl w:ilvl="1" w:tplc="04090003">
      <w:start w:val="1"/>
      <w:numFmt w:val="decimal"/>
      <w:lvlText w:val="%2."/>
      <w:lvlJc w:val="left"/>
      <w:pPr>
        <w:ind w:left="1800" w:hanging="720"/>
      </w:pPr>
      <w:rPr>
        <w:rFonts w:hint="default"/>
      </w:r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6" w15:restartNumberingAfterBreak="0">
    <w:nsid w:val="28A63291"/>
    <w:multiLevelType w:val="hybridMultilevel"/>
    <w:tmpl w:val="4942F84A"/>
    <w:lvl w:ilvl="0" w:tplc="0C090019">
      <w:start w:val="1"/>
      <w:numFmt w:val="bullet"/>
      <w:lvlText w:val=""/>
      <w:lvlJc w:val="left"/>
      <w:pPr>
        <w:ind w:left="360" w:hanging="360"/>
      </w:pPr>
      <w:rPr>
        <w:rFonts w:ascii="Symbol" w:hAnsi="Symbol" w:hint="default"/>
      </w:rPr>
    </w:lvl>
    <w:lvl w:ilvl="1" w:tplc="28C21566" w:tentative="1">
      <w:start w:val="1"/>
      <w:numFmt w:val="bullet"/>
      <w:lvlText w:val="o"/>
      <w:lvlJc w:val="left"/>
      <w:pPr>
        <w:ind w:left="1080" w:hanging="360"/>
      </w:pPr>
      <w:rPr>
        <w:rFonts w:ascii="Courier New" w:hAnsi="Courier New" w:cs="Courier New" w:hint="default"/>
      </w:rPr>
    </w:lvl>
    <w:lvl w:ilvl="2" w:tplc="0C09001B" w:tentative="1">
      <w:start w:val="1"/>
      <w:numFmt w:val="bullet"/>
      <w:lvlText w:val=""/>
      <w:lvlJc w:val="left"/>
      <w:pPr>
        <w:ind w:left="1800" w:hanging="360"/>
      </w:pPr>
      <w:rPr>
        <w:rFonts w:ascii="Wingdings" w:hAnsi="Wingdings" w:hint="default"/>
      </w:rPr>
    </w:lvl>
    <w:lvl w:ilvl="3" w:tplc="0C09000F" w:tentative="1">
      <w:start w:val="1"/>
      <w:numFmt w:val="bullet"/>
      <w:lvlText w:val=""/>
      <w:lvlJc w:val="left"/>
      <w:pPr>
        <w:ind w:left="2520" w:hanging="360"/>
      </w:pPr>
      <w:rPr>
        <w:rFonts w:ascii="Symbol" w:hAnsi="Symbol" w:hint="default"/>
      </w:rPr>
    </w:lvl>
    <w:lvl w:ilvl="4" w:tplc="0C090019" w:tentative="1">
      <w:start w:val="1"/>
      <w:numFmt w:val="bullet"/>
      <w:lvlText w:val="o"/>
      <w:lvlJc w:val="left"/>
      <w:pPr>
        <w:ind w:left="3240" w:hanging="360"/>
      </w:pPr>
      <w:rPr>
        <w:rFonts w:ascii="Courier New" w:hAnsi="Courier New" w:cs="Courier New" w:hint="default"/>
      </w:rPr>
    </w:lvl>
    <w:lvl w:ilvl="5" w:tplc="0C09001B" w:tentative="1">
      <w:start w:val="1"/>
      <w:numFmt w:val="bullet"/>
      <w:lvlText w:val=""/>
      <w:lvlJc w:val="left"/>
      <w:pPr>
        <w:ind w:left="3960" w:hanging="360"/>
      </w:pPr>
      <w:rPr>
        <w:rFonts w:ascii="Wingdings" w:hAnsi="Wingdings" w:hint="default"/>
      </w:rPr>
    </w:lvl>
    <w:lvl w:ilvl="6" w:tplc="0C09000F" w:tentative="1">
      <w:start w:val="1"/>
      <w:numFmt w:val="bullet"/>
      <w:lvlText w:val=""/>
      <w:lvlJc w:val="left"/>
      <w:pPr>
        <w:ind w:left="4680" w:hanging="360"/>
      </w:pPr>
      <w:rPr>
        <w:rFonts w:ascii="Symbol" w:hAnsi="Symbol" w:hint="default"/>
      </w:rPr>
    </w:lvl>
    <w:lvl w:ilvl="7" w:tplc="0C090019" w:tentative="1">
      <w:start w:val="1"/>
      <w:numFmt w:val="bullet"/>
      <w:lvlText w:val="o"/>
      <w:lvlJc w:val="left"/>
      <w:pPr>
        <w:ind w:left="5400" w:hanging="360"/>
      </w:pPr>
      <w:rPr>
        <w:rFonts w:ascii="Courier New" w:hAnsi="Courier New" w:cs="Courier New" w:hint="default"/>
      </w:rPr>
    </w:lvl>
    <w:lvl w:ilvl="8" w:tplc="0C09001B" w:tentative="1">
      <w:start w:val="1"/>
      <w:numFmt w:val="bullet"/>
      <w:lvlText w:val=""/>
      <w:lvlJc w:val="left"/>
      <w:pPr>
        <w:ind w:left="6120" w:hanging="360"/>
      </w:pPr>
      <w:rPr>
        <w:rFonts w:ascii="Wingdings" w:hAnsi="Wingdings" w:hint="default"/>
      </w:rPr>
    </w:lvl>
  </w:abstractNum>
  <w:abstractNum w:abstractNumId="37" w15:restartNumberingAfterBreak="0">
    <w:nsid w:val="2923551A"/>
    <w:multiLevelType w:val="singleLevel"/>
    <w:tmpl w:val="ACC806BA"/>
    <w:lvl w:ilvl="0">
      <w:start w:val="1"/>
      <w:numFmt w:val="bullet"/>
      <w:lvlText w:val=""/>
      <w:lvlJc w:val="left"/>
      <w:pPr>
        <w:tabs>
          <w:tab w:val="num" w:pos="340"/>
        </w:tabs>
        <w:ind w:left="340" w:hanging="340"/>
      </w:pPr>
      <w:rPr>
        <w:rFonts w:ascii="Symbol" w:hAnsi="Symbol" w:hint="default"/>
        <w:color w:val="auto"/>
        <w:sz w:val="22"/>
      </w:rPr>
    </w:lvl>
  </w:abstractNum>
  <w:abstractNum w:abstractNumId="38" w15:restartNumberingAfterBreak="0">
    <w:nsid w:val="29B25CC0"/>
    <w:multiLevelType w:val="singleLevel"/>
    <w:tmpl w:val="77C2D9F6"/>
    <w:lvl w:ilvl="0">
      <w:start w:val="1"/>
      <w:numFmt w:val="bullet"/>
      <w:lvlText w:val=""/>
      <w:lvlJc w:val="left"/>
      <w:pPr>
        <w:tabs>
          <w:tab w:val="num" w:pos="340"/>
        </w:tabs>
        <w:ind w:left="340" w:hanging="340"/>
      </w:pPr>
      <w:rPr>
        <w:rFonts w:ascii="Symbol" w:hAnsi="Symbol" w:hint="default"/>
        <w:color w:val="auto"/>
        <w:sz w:val="22"/>
      </w:rPr>
    </w:lvl>
  </w:abstractNum>
  <w:abstractNum w:abstractNumId="39" w15:restartNumberingAfterBreak="0">
    <w:nsid w:val="2CD17F6B"/>
    <w:multiLevelType w:val="hybridMultilevel"/>
    <w:tmpl w:val="EFC879EE"/>
    <w:lvl w:ilvl="0" w:tplc="B1E2B438">
      <w:start w:val="1"/>
      <w:numFmt w:val="bullet"/>
      <w:lvlText w:val=""/>
      <w:lvlJc w:val="left"/>
      <w:pPr>
        <w:ind w:left="360" w:hanging="360"/>
      </w:pPr>
      <w:rPr>
        <w:rFonts w:ascii="Symbol" w:hAnsi="Symbol" w:hint="default"/>
      </w:rPr>
    </w:lvl>
    <w:lvl w:ilvl="1" w:tplc="3F6A466A">
      <w:start w:val="1"/>
      <w:numFmt w:val="bullet"/>
      <w:lvlText w:val="o"/>
      <w:lvlJc w:val="left"/>
      <w:pPr>
        <w:ind w:left="1080" w:hanging="360"/>
      </w:pPr>
      <w:rPr>
        <w:rFonts w:ascii="Courier New" w:hAnsi="Courier New" w:cs="Courier New" w:hint="default"/>
      </w:rPr>
    </w:lvl>
    <w:lvl w:ilvl="2" w:tplc="A7701A7E" w:tentative="1">
      <w:start w:val="1"/>
      <w:numFmt w:val="bullet"/>
      <w:lvlText w:val=""/>
      <w:lvlJc w:val="left"/>
      <w:pPr>
        <w:ind w:left="1800" w:hanging="360"/>
      </w:pPr>
      <w:rPr>
        <w:rFonts w:ascii="Wingdings" w:hAnsi="Wingdings" w:hint="default"/>
      </w:rPr>
    </w:lvl>
    <w:lvl w:ilvl="3" w:tplc="DBF85382" w:tentative="1">
      <w:start w:val="1"/>
      <w:numFmt w:val="bullet"/>
      <w:lvlText w:val=""/>
      <w:lvlJc w:val="left"/>
      <w:pPr>
        <w:ind w:left="2520" w:hanging="360"/>
      </w:pPr>
      <w:rPr>
        <w:rFonts w:ascii="Symbol" w:hAnsi="Symbol" w:hint="default"/>
      </w:rPr>
    </w:lvl>
    <w:lvl w:ilvl="4" w:tplc="22EE6CD0" w:tentative="1">
      <w:start w:val="1"/>
      <w:numFmt w:val="bullet"/>
      <w:lvlText w:val="o"/>
      <w:lvlJc w:val="left"/>
      <w:pPr>
        <w:ind w:left="3240" w:hanging="360"/>
      </w:pPr>
      <w:rPr>
        <w:rFonts w:ascii="Courier New" w:hAnsi="Courier New" w:cs="Courier New" w:hint="default"/>
      </w:rPr>
    </w:lvl>
    <w:lvl w:ilvl="5" w:tplc="E6C808CC" w:tentative="1">
      <w:start w:val="1"/>
      <w:numFmt w:val="bullet"/>
      <w:lvlText w:val=""/>
      <w:lvlJc w:val="left"/>
      <w:pPr>
        <w:ind w:left="3960" w:hanging="360"/>
      </w:pPr>
      <w:rPr>
        <w:rFonts w:ascii="Wingdings" w:hAnsi="Wingdings" w:hint="default"/>
      </w:rPr>
    </w:lvl>
    <w:lvl w:ilvl="6" w:tplc="B4FA4BDA" w:tentative="1">
      <w:start w:val="1"/>
      <w:numFmt w:val="bullet"/>
      <w:lvlText w:val=""/>
      <w:lvlJc w:val="left"/>
      <w:pPr>
        <w:ind w:left="4680" w:hanging="360"/>
      </w:pPr>
      <w:rPr>
        <w:rFonts w:ascii="Symbol" w:hAnsi="Symbol" w:hint="default"/>
      </w:rPr>
    </w:lvl>
    <w:lvl w:ilvl="7" w:tplc="67A47D92" w:tentative="1">
      <w:start w:val="1"/>
      <w:numFmt w:val="bullet"/>
      <w:lvlText w:val="o"/>
      <w:lvlJc w:val="left"/>
      <w:pPr>
        <w:ind w:left="5400" w:hanging="360"/>
      </w:pPr>
      <w:rPr>
        <w:rFonts w:ascii="Courier New" w:hAnsi="Courier New" w:cs="Courier New" w:hint="default"/>
      </w:rPr>
    </w:lvl>
    <w:lvl w:ilvl="8" w:tplc="EE2235C6" w:tentative="1">
      <w:start w:val="1"/>
      <w:numFmt w:val="bullet"/>
      <w:lvlText w:val=""/>
      <w:lvlJc w:val="left"/>
      <w:pPr>
        <w:ind w:left="6120" w:hanging="360"/>
      </w:pPr>
      <w:rPr>
        <w:rFonts w:ascii="Wingdings" w:hAnsi="Wingdings" w:hint="default"/>
      </w:rPr>
    </w:lvl>
  </w:abstractNum>
  <w:abstractNum w:abstractNumId="40" w15:restartNumberingAfterBreak="0">
    <w:nsid w:val="2D6C35DF"/>
    <w:multiLevelType w:val="hybridMultilevel"/>
    <w:tmpl w:val="B8900B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2DD324D2"/>
    <w:multiLevelType w:val="hybridMultilevel"/>
    <w:tmpl w:val="B3F0B3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31542DF8"/>
    <w:multiLevelType w:val="multilevel"/>
    <w:tmpl w:val="5C800FE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15:restartNumberingAfterBreak="0">
    <w:nsid w:val="31973795"/>
    <w:multiLevelType w:val="hybridMultilevel"/>
    <w:tmpl w:val="C09CB864"/>
    <w:lvl w:ilvl="0" w:tplc="2F9A741C">
      <w:start w:val="1"/>
      <w:numFmt w:val="lowerLetter"/>
      <w:lvlText w:val="%1."/>
      <w:lvlJc w:val="left"/>
      <w:pPr>
        <w:ind w:left="360" w:hanging="360"/>
      </w:pPr>
      <w:rPr>
        <w:rFonts w:hint="default"/>
      </w:rPr>
    </w:lvl>
    <w:lvl w:ilvl="1" w:tplc="C8D29890" w:tentative="1">
      <w:start w:val="1"/>
      <w:numFmt w:val="lowerLetter"/>
      <w:lvlText w:val="%2."/>
      <w:lvlJc w:val="left"/>
      <w:pPr>
        <w:ind w:left="1080" w:hanging="360"/>
      </w:pPr>
    </w:lvl>
    <w:lvl w:ilvl="2" w:tplc="51DAA62C" w:tentative="1">
      <w:start w:val="1"/>
      <w:numFmt w:val="lowerRoman"/>
      <w:lvlText w:val="%3."/>
      <w:lvlJc w:val="right"/>
      <w:pPr>
        <w:ind w:left="1800" w:hanging="180"/>
      </w:pPr>
    </w:lvl>
    <w:lvl w:ilvl="3" w:tplc="5C94EFD4" w:tentative="1">
      <w:start w:val="1"/>
      <w:numFmt w:val="decimal"/>
      <w:lvlText w:val="%4."/>
      <w:lvlJc w:val="left"/>
      <w:pPr>
        <w:ind w:left="2520" w:hanging="360"/>
      </w:pPr>
    </w:lvl>
    <w:lvl w:ilvl="4" w:tplc="4ECE9E6A" w:tentative="1">
      <w:start w:val="1"/>
      <w:numFmt w:val="lowerLetter"/>
      <w:lvlText w:val="%5."/>
      <w:lvlJc w:val="left"/>
      <w:pPr>
        <w:ind w:left="3240" w:hanging="360"/>
      </w:pPr>
    </w:lvl>
    <w:lvl w:ilvl="5" w:tplc="F0929140" w:tentative="1">
      <w:start w:val="1"/>
      <w:numFmt w:val="lowerRoman"/>
      <w:lvlText w:val="%6."/>
      <w:lvlJc w:val="right"/>
      <w:pPr>
        <w:ind w:left="3960" w:hanging="180"/>
      </w:pPr>
    </w:lvl>
    <w:lvl w:ilvl="6" w:tplc="C54C9500" w:tentative="1">
      <w:start w:val="1"/>
      <w:numFmt w:val="decimal"/>
      <w:lvlText w:val="%7."/>
      <w:lvlJc w:val="left"/>
      <w:pPr>
        <w:ind w:left="4680" w:hanging="360"/>
      </w:pPr>
    </w:lvl>
    <w:lvl w:ilvl="7" w:tplc="CA12A966" w:tentative="1">
      <w:start w:val="1"/>
      <w:numFmt w:val="lowerLetter"/>
      <w:lvlText w:val="%8."/>
      <w:lvlJc w:val="left"/>
      <w:pPr>
        <w:ind w:left="5400" w:hanging="360"/>
      </w:pPr>
    </w:lvl>
    <w:lvl w:ilvl="8" w:tplc="42D442AC" w:tentative="1">
      <w:start w:val="1"/>
      <w:numFmt w:val="lowerRoman"/>
      <w:lvlText w:val="%9."/>
      <w:lvlJc w:val="right"/>
      <w:pPr>
        <w:ind w:left="6120" w:hanging="180"/>
      </w:pPr>
    </w:lvl>
  </w:abstractNum>
  <w:abstractNum w:abstractNumId="44" w15:restartNumberingAfterBreak="0">
    <w:nsid w:val="31E7250A"/>
    <w:multiLevelType w:val="hybridMultilevel"/>
    <w:tmpl w:val="D55CDFD2"/>
    <w:lvl w:ilvl="0" w:tplc="0C090019">
      <w:start w:val="1"/>
      <w:numFmt w:val="bullet"/>
      <w:lvlText w:val=""/>
      <w:lvlJc w:val="left"/>
      <w:pPr>
        <w:ind w:left="360" w:hanging="360"/>
      </w:pPr>
      <w:rPr>
        <w:rFonts w:ascii="Symbol" w:hAnsi="Symbol" w:hint="default"/>
      </w:rPr>
    </w:lvl>
    <w:lvl w:ilvl="1" w:tplc="0C090019" w:tentative="1">
      <w:start w:val="1"/>
      <w:numFmt w:val="bullet"/>
      <w:lvlText w:val="o"/>
      <w:lvlJc w:val="left"/>
      <w:pPr>
        <w:ind w:left="1080" w:hanging="360"/>
      </w:pPr>
      <w:rPr>
        <w:rFonts w:ascii="Courier New" w:hAnsi="Courier New" w:cs="Courier New" w:hint="default"/>
      </w:rPr>
    </w:lvl>
    <w:lvl w:ilvl="2" w:tplc="0C09001B" w:tentative="1">
      <w:start w:val="1"/>
      <w:numFmt w:val="bullet"/>
      <w:lvlText w:val=""/>
      <w:lvlJc w:val="left"/>
      <w:pPr>
        <w:ind w:left="1800" w:hanging="360"/>
      </w:pPr>
      <w:rPr>
        <w:rFonts w:ascii="Wingdings" w:hAnsi="Wingdings" w:hint="default"/>
      </w:rPr>
    </w:lvl>
    <w:lvl w:ilvl="3" w:tplc="0C09000F" w:tentative="1">
      <w:start w:val="1"/>
      <w:numFmt w:val="bullet"/>
      <w:lvlText w:val=""/>
      <w:lvlJc w:val="left"/>
      <w:pPr>
        <w:ind w:left="2520" w:hanging="360"/>
      </w:pPr>
      <w:rPr>
        <w:rFonts w:ascii="Symbol" w:hAnsi="Symbol" w:hint="default"/>
      </w:rPr>
    </w:lvl>
    <w:lvl w:ilvl="4" w:tplc="0C090019" w:tentative="1">
      <w:start w:val="1"/>
      <w:numFmt w:val="bullet"/>
      <w:lvlText w:val="o"/>
      <w:lvlJc w:val="left"/>
      <w:pPr>
        <w:ind w:left="3240" w:hanging="360"/>
      </w:pPr>
      <w:rPr>
        <w:rFonts w:ascii="Courier New" w:hAnsi="Courier New" w:cs="Courier New" w:hint="default"/>
      </w:rPr>
    </w:lvl>
    <w:lvl w:ilvl="5" w:tplc="0C09001B" w:tentative="1">
      <w:start w:val="1"/>
      <w:numFmt w:val="bullet"/>
      <w:lvlText w:val=""/>
      <w:lvlJc w:val="left"/>
      <w:pPr>
        <w:ind w:left="3960" w:hanging="360"/>
      </w:pPr>
      <w:rPr>
        <w:rFonts w:ascii="Wingdings" w:hAnsi="Wingdings" w:hint="default"/>
      </w:rPr>
    </w:lvl>
    <w:lvl w:ilvl="6" w:tplc="0C09000F" w:tentative="1">
      <w:start w:val="1"/>
      <w:numFmt w:val="bullet"/>
      <w:lvlText w:val=""/>
      <w:lvlJc w:val="left"/>
      <w:pPr>
        <w:ind w:left="4680" w:hanging="360"/>
      </w:pPr>
      <w:rPr>
        <w:rFonts w:ascii="Symbol" w:hAnsi="Symbol" w:hint="default"/>
      </w:rPr>
    </w:lvl>
    <w:lvl w:ilvl="7" w:tplc="0C090019" w:tentative="1">
      <w:start w:val="1"/>
      <w:numFmt w:val="bullet"/>
      <w:lvlText w:val="o"/>
      <w:lvlJc w:val="left"/>
      <w:pPr>
        <w:ind w:left="5400" w:hanging="360"/>
      </w:pPr>
      <w:rPr>
        <w:rFonts w:ascii="Courier New" w:hAnsi="Courier New" w:cs="Courier New" w:hint="default"/>
      </w:rPr>
    </w:lvl>
    <w:lvl w:ilvl="8" w:tplc="0C09001B" w:tentative="1">
      <w:start w:val="1"/>
      <w:numFmt w:val="bullet"/>
      <w:lvlText w:val=""/>
      <w:lvlJc w:val="left"/>
      <w:pPr>
        <w:ind w:left="6120" w:hanging="360"/>
      </w:pPr>
      <w:rPr>
        <w:rFonts w:ascii="Wingdings" w:hAnsi="Wingdings" w:hint="default"/>
      </w:rPr>
    </w:lvl>
  </w:abstractNum>
  <w:abstractNum w:abstractNumId="45" w15:restartNumberingAfterBreak="0">
    <w:nsid w:val="32313101"/>
    <w:multiLevelType w:val="multilevel"/>
    <w:tmpl w:val="4B2EBC68"/>
    <w:lvl w:ilvl="0">
      <w:start w:val="1"/>
      <w:numFmt w:val="decimal"/>
      <w:lvlText w:val="%1."/>
      <w:lvlJc w:val="left"/>
      <w:pPr>
        <w:tabs>
          <w:tab w:val="num" w:pos="340"/>
        </w:tabs>
        <w:ind w:left="340" w:hanging="340"/>
      </w:pPr>
      <w:rPr>
        <w:rFonts w:hint="default"/>
      </w:rPr>
    </w:lvl>
    <w:lvl w:ilvl="1">
      <w:start w:val="1"/>
      <w:numFmt w:val="bullet"/>
      <w:lvlText w:val=""/>
      <w:lvlJc w:val="left"/>
      <w:pPr>
        <w:tabs>
          <w:tab w:val="num" w:pos="680"/>
        </w:tabs>
        <w:ind w:left="680" w:hanging="340"/>
      </w:pPr>
      <w:rPr>
        <w:rFonts w:ascii="Symbol" w:hAnsi="Symbol" w:hint="default"/>
        <w:sz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46" w15:restartNumberingAfterBreak="0">
    <w:nsid w:val="3430512B"/>
    <w:multiLevelType w:val="hybridMultilevel"/>
    <w:tmpl w:val="2CDA2B58"/>
    <w:lvl w:ilvl="0" w:tplc="04090001">
      <w:start w:val="1"/>
      <w:numFmt w:val="decimal"/>
      <w:lvlText w:val="%1."/>
      <w:lvlJc w:val="left"/>
      <w:pPr>
        <w:ind w:left="360" w:hanging="360"/>
      </w:p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47" w15:restartNumberingAfterBreak="0">
    <w:nsid w:val="35216E24"/>
    <w:multiLevelType w:val="hybridMultilevel"/>
    <w:tmpl w:val="4F945BD6"/>
    <w:lvl w:ilvl="0" w:tplc="0C09000F">
      <w:start w:val="1"/>
      <w:numFmt w:val="bullet"/>
      <w:lvlText w:val=""/>
      <w:lvlJc w:val="left"/>
      <w:pPr>
        <w:ind w:left="1080" w:hanging="360"/>
      </w:pPr>
      <w:rPr>
        <w:rFonts w:ascii="Symbol" w:hAnsi="Symbol" w:hint="default"/>
      </w:rPr>
    </w:lvl>
    <w:lvl w:ilvl="1" w:tplc="0C090019" w:tentative="1">
      <w:start w:val="1"/>
      <w:numFmt w:val="bullet"/>
      <w:lvlText w:val="o"/>
      <w:lvlJc w:val="left"/>
      <w:pPr>
        <w:ind w:left="1800" w:hanging="360"/>
      </w:pPr>
      <w:rPr>
        <w:rFonts w:ascii="Courier New" w:hAnsi="Courier New" w:cs="Courier New" w:hint="default"/>
      </w:rPr>
    </w:lvl>
    <w:lvl w:ilvl="2" w:tplc="0C09001B" w:tentative="1">
      <w:start w:val="1"/>
      <w:numFmt w:val="bullet"/>
      <w:lvlText w:val=""/>
      <w:lvlJc w:val="left"/>
      <w:pPr>
        <w:ind w:left="2520" w:hanging="360"/>
      </w:pPr>
      <w:rPr>
        <w:rFonts w:ascii="Wingdings" w:hAnsi="Wingdings" w:hint="default"/>
      </w:rPr>
    </w:lvl>
    <w:lvl w:ilvl="3" w:tplc="0C09000F" w:tentative="1">
      <w:start w:val="1"/>
      <w:numFmt w:val="bullet"/>
      <w:lvlText w:val=""/>
      <w:lvlJc w:val="left"/>
      <w:pPr>
        <w:ind w:left="3240" w:hanging="360"/>
      </w:pPr>
      <w:rPr>
        <w:rFonts w:ascii="Symbol" w:hAnsi="Symbol" w:hint="default"/>
      </w:rPr>
    </w:lvl>
    <w:lvl w:ilvl="4" w:tplc="0C090019" w:tentative="1">
      <w:start w:val="1"/>
      <w:numFmt w:val="bullet"/>
      <w:lvlText w:val="o"/>
      <w:lvlJc w:val="left"/>
      <w:pPr>
        <w:ind w:left="3960" w:hanging="360"/>
      </w:pPr>
      <w:rPr>
        <w:rFonts w:ascii="Courier New" w:hAnsi="Courier New" w:cs="Courier New" w:hint="default"/>
      </w:rPr>
    </w:lvl>
    <w:lvl w:ilvl="5" w:tplc="0C09001B" w:tentative="1">
      <w:start w:val="1"/>
      <w:numFmt w:val="bullet"/>
      <w:lvlText w:val=""/>
      <w:lvlJc w:val="left"/>
      <w:pPr>
        <w:ind w:left="4680" w:hanging="360"/>
      </w:pPr>
      <w:rPr>
        <w:rFonts w:ascii="Wingdings" w:hAnsi="Wingdings" w:hint="default"/>
      </w:rPr>
    </w:lvl>
    <w:lvl w:ilvl="6" w:tplc="0C09000F" w:tentative="1">
      <w:start w:val="1"/>
      <w:numFmt w:val="bullet"/>
      <w:lvlText w:val=""/>
      <w:lvlJc w:val="left"/>
      <w:pPr>
        <w:ind w:left="5400" w:hanging="360"/>
      </w:pPr>
      <w:rPr>
        <w:rFonts w:ascii="Symbol" w:hAnsi="Symbol" w:hint="default"/>
      </w:rPr>
    </w:lvl>
    <w:lvl w:ilvl="7" w:tplc="0C090019" w:tentative="1">
      <w:start w:val="1"/>
      <w:numFmt w:val="bullet"/>
      <w:lvlText w:val="o"/>
      <w:lvlJc w:val="left"/>
      <w:pPr>
        <w:ind w:left="6120" w:hanging="360"/>
      </w:pPr>
      <w:rPr>
        <w:rFonts w:ascii="Courier New" w:hAnsi="Courier New" w:cs="Courier New" w:hint="default"/>
      </w:rPr>
    </w:lvl>
    <w:lvl w:ilvl="8" w:tplc="0C09001B" w:tentative="1">
      <w:start w:val="1"/>
      <w:numFmt w:val="bullet"/>
      <w:lvlText w:val=""/>
      <w:lvlJc w:val="left"/>
      <w:pPr>
        <w:ind w:left="6840" w:hanging="360"/>
      </w:pPr>
      <w:rPr>
        <w:rFonts w:ascii="Wingdings" w:hAnsi="Wingdings" w:hint="default"/>
      </w:rPr>
    </w:lvl>
  </w:abstractNum>
  <w:abstractNum w:abstractNumId="48" w15:restartNumberingAfterBreak="0">
    <w:nsid w:val="3565310E"/>
    <w:multiLevelType w:val="hybridMultilevel"/>
    <w:tmpl w:val="BCC42B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370B71E0"/>
    <w:multiLevelType w:val="singleLevel"/>
    <w:tmpl w:val="25885A44"/>
    <w:lvl w:ilvl="0">
      <w:start w:val="1"/>
      <w:numFmt w:val="bullet"/>
      <w:lvlText w:val=""/>
      <w:lvlJc w:val="left"/>
      <w:pPr>
        <w:tabs>
          <w:tab w:val="num" w:pos="340"/>
        </w:tabs>
        <w:ind w:left="340" w:hanging="340"/>
      </w:pPr>
      <w:rPr>
        <w:rFonts w:ascii="Symbol" w:hAnsi="Symbol" w:hint="default"/>
        <w:color w:val="auto"/>
        <w:sz w:val="22"/>
      </w:rPr>
    </w:lvl>
  </w:abstractNum>
  <w:abstractNum w:abstractNumId="50" w15:restartNumberingAfterBreak="0">
    <w:nsid w:val="389D2C27"/>
    <w:multiLevelType w:val="hybridMultilevel"/>
    <w:tmpl w:val="FAE23424"/>
    <w:lvl w:ilvl="0" w:tplc="D728BBD4">
      <w:start w:val="12"/>
      <w:numFmt w:val="decimal"/>
      <w:lvlText w:val="%1."/>
      <w:lvlJc w:val="left"/>
      <w:pPr>
        <w:ind w:left="360" w:hanging="360"/>
      </w:pPr>
      <w:rPr>
        <w:rFonts w:hint="default"/>
      </w:rPr>
    </w:lvl>
    <w:lvl w:ilvl="1" w:tplc="3F9EED4E" w:tentative="1">
      <w:start w:val="1"/>
      <w:numFmt w:val="lowerLetter"/>
      <w:lvlText w:val="%2."/>
      <w:lvlJc w:val="left"/>
      <w:pPr>
        <w:ind w:left="1440" w:hanging="360"/>
      </w:pPr>
    </w:lvl>
    <w:lvl w:ilvl="2" w:tplc="6E74C59A" w:tentative="1">
      <w:start w:val="1"/>
      <w:numFmt w:val="lowerRoman"/>
      <w:lvlText w:val="%3."/>
      <w:lvlJc w:val="right"/>
      <w:pPr>
        <w:ind w:left="2160" w:hanging="180"/>
      </w:pPr>
    </w:lvl>
    <w:lvl w:ilvl="3" w:tplc="5F5474C4" w:tentative="1">
      <w:start w:val="1"/>
      <w:numFmt w:val="decimal"/>
      <w:lvlText w:val="%4."/>
      <w:lvlJc w:val="left"/>
      <w:pPr>
        <w:ind w:left="2880" w:hanging="360"/>
      </w:pPr>
    </w:lvl>
    <w:lvl w:ilvl="4" w:tplc="0DA6FE06" w:tentative="1">
      <w:start w:val="1"/>
      <w:numFmt w:val="lowerLetter"/>
      <w:lvlText w:val="%5."/>
      <w:lvlJc w:val="left"/>
      <w:pPr>
        <w:ind w:left="3600" w:hanging="360"/>
      </w:pPr>
    </w:lvl>
    <w:lvl w:ilvl="5" w:tplc="C95C538A" w:tentative="1">
      <w:start w:val="1"/>
      <w:numFmt w:val="lowerRoman"/>
      <w:lvlText w:val="%6."/>
      <w:lvlJc w:val="right"/>
      <w:pPr>
        <w:ind w:left="4320" w:hanging="180"/>
      </w:pPr>
    </w:lvl>
    <w:lvl w:ilvl="6" w:tplc="2C1463CC" w:tentative="1">
      <w:start w:val="1"/>
      <w:numFmt w:val="decimal"/>
      <w:lvlText w:val="%7."/>
      <w:lvlJc w:val="left"/>
      <w:pPr>
        <w:ind w:left="5040" w:hanging="360"/>
      </w:pPr>
    </w:lvl>
    <w:lvl w:ilvl="7" w:tplc="E7068732" w:tentative="1">
      <w:start w:val="1"/>
      <w:numFmt w:val="lowerLetter"/>
      <w:lvlText w:val="%8."/>
      <w:lvlJc w:val="left"/>
      <w:pPr>
        <w:ind w:left="5760" w:hanging="360"/>
      </w:pPr>
    </w:lvl>
    <w:lvl w:ilvl="8" w:tplc="073E208A" w:tentative="1">
      <w:start w:val="1"/>
      <w:numFmt w:val="lowerRoman"/>
      <w:lvlText w:val="%9."/>
      <w:lvlJc w:val="right"/>
      <w:pPr>
        <w:ind w:left="6480" w:hanging="180"/>
      </w:pPr>
    </w:lvl>
  </w:abstractNum>
  <w:abstractNum w:abstractNumId="51" w15:restartNumberingAfterBreak="0">
    <w:nsid w:val="397C0829"/>
    <w:multiLevelType w:val="singleLevel"/>
    <w:tmpl w:val="4D58B6AC"/>
    <w:lvl w:ilvl="0">
      <w:start w:val="1"/>
      <w:numFmt w:val="bullet"/>
      <w:lvlText w:val=""/>
      <w:lvlJc w:val="left"/>
      <w:pPr>
        <w:tabs>
          <w:tab w:val="num" w:pos="340"/>
        </w:tabs>
        <w:ind w:left="340" w:hanging="340"/>
      </w:pPr>
      <w:rPr>
        <w:rFonts w:ascii="Symbol" w:hAnsi="Symbol" w:hint="default"/>
        <w:color w:val="auto"/>
        <w:sz w:val="22"/>
      </w:rPr>
    </w:lvl>
  </w:abstractNum>
  <w:abstractNum w:abstractNumId="52" w15:restartNumberingAfterBreak="0">
    <w:nsid w:val="3ADA799A"/>
    <w:multiLevelType w:val="hybridMultilevel"/>
    <w:tmpl w:val="DD0E1D54"/>
    <w:lvl w:ilvl="0" w:tplc="11F41C98">
      <w:start w:val="1"/>
      <w:numFmt w:val="bullet"/>
      <w:lvlText w:val=""/>
      <w:lvlJc w:val="left"/>
      <w:pPr>
        <w:ind w:left="360" w:hanging="360"/>
      </w:pPr>
      <w:rPr>
        <w:rFonts w:ascii="Symbol" w:hAnsi="Symbol" w:hint="default"/>
      </w:rPr>
    </w:lvl>
    <w:lvl w:ilvl="1" w:tplc="6884196C" w:tentative="1">
      <w:start w:val="1"/>
      <w:numFmt w:val="bullet"/>
      <w:lvlText w:val="o"/>
      <w:lvlJc w:val="left"/>
      <w:pPr>
        <w:ind w:left="1080" w:hanging="360"/>
      </w:pPr>
      <w:rPr>
        <w:rFonts w:ascii="Courier New" w:hAnsi="Courier New" w:cs="Courier New" w:hint="default"/>
      </w:rPr>
    </w:lvl>
    <w:lvl w:ilvl="2" w:tplc="99E42A3E" w:tentative="1">
      <w:start w:val="1"/>
      <w:numFmt w:val="bullet"/>
      <w:lvlText w:val=""/>
      <w:lvlJc w:val="left"/>
      <w:pPr>
        <w:ind w:left="1800" w:hanging="360"/>
      </w:pPr>
      <w:rPr>
        <w:rFonts w:ascii="Wingdings" w:hAnsi="Wingdings" w:hint="default"/>
      </w:rPr>
    </w:lvl>
    <w:lvl w:ilvl="3" w:tplc="1A26A6F2" w:tentative="1">
      <w:start w:val="1"/>
      <w:numFmt w:val="bullet"/>
      <w:lvlText w:val=""/>
      <w:lvlJc w:val="left"/>
      <w:pPr>
        <w:ind w:left="2520" w:hanging="360"/>
      </w:pPr>
      <w:rPr>
        <w:rFonts w:ascii="Symbol" w:hAnsi="Symbol" w:hint="default"/>
      </w:rPr>
    </w:lvl>
    <w:lvl w:ilvl="4" w:tplc="2C121A20" w:tentative="1">
      <w:start w:val="1"/>
      <w:numFmt w:val="bullet"/>
      <w:lvlText w:val="o"/>
      <w:lvlJc w:val="left"/>
      <w:pPr>
        <w:ind w:left="3240" w:hanging="360"/>
      </w:pPr>
      <w:rPr>
        <w:rFonts w:ascii="Courier New" w:hAnsi="Courier New" w:cs="Courier New" w:hint="default"/>
      </w:rPr>
    </w:lvl>
    <w:lvl w:ilvl="5" w:tplc="C72801D4" w:tentative="1">
      <w:start w:val="1"/>
      <w:numFmt w:val="bullet"/>
      <w:lvlText w:val=""/>
      <w:lvlJc w:val="left"/>
      <w:pPr>
        <w:ind w:left="3960" w:hanging="360"/>
      </w:pPr>
      <w:rPr>
        <w:rFonts w:ascii="Wingdings" w:hAnsi="Wingdings" w:hint="default"/>
      </w:rPr>
    </w:lvl>
    <w:lvl w:ilvl="6" w:tplc="5A6C4EE0" w:tentative="1">
      <w:start w:val="1"/>
      <w:numFmt w:val="bullet"/>
      <w:lvlText w:val=""/>
      <w:lvlJc w:val="left"/>
      <w:pPr>
        <w:ind w:left="4680" w:hanging="360"/>
      </w:pPr>
      <w:rPr>
        <w:rFonts w:ascii="Symbol" w:hAnsi="Symbol" w:hint="default"/>
      </w:rPr>
    </w:lvl>
    <w:lvl w:ilvl="7" w:tplc="79229962" w:tentative="1">
      <w:start w:val="1"/>
      <w:numFmt w:val="bullet"/>
      <w:lvlText w:val="o"/>
      <w:lvlJc w:val="left"/>
      <w:pPr>
        <w:ind w:left="5400" w:hanging="360"/>
      </w:pPr>
      <w:rPr>
        <w:rFonts w:ascii="Courier New" w:hAnsi="Courier New" w:cs="Courier New" w:hint="default"/>
      </w:rPr>
    </w:lvl>
    <w:lvl w:ilvl="8" w:tplc="E36E99F8" w:tentative="1">
      <w:start w:val="1"/>
      <w:numFmt w:val="bullet"/>
      <w:lvlText w:val=""/>
      <w:lvlJc w:val="left"/>
      <w:pPr>
        <w:ind w:left="6120" w:hanging="360"/>
      </w:pPr>
      <w:rPr>
        <w:rFonts w:ascii="Wingdings" w:hAnsi="Wingdings" w:hint="default"/>
      </w:rPr>
    </w:lvl>
  </w:abstractNum>
  <w:abstractNum w:abstractNumId="53" w15:restartNumberingAfterBreak="0">
    <w:nsid w:val="3AF75655"/>
    <w:multiLevelType w:val="multilevel"/>
    <w:tmpl w:val="3DB4B200"/>
    <w:lvl w:ilvl="0">
      <w:start w:val="1"/>
      <w:numFmt w:val="decimal"/>
      <w:lvlText w:val="%1."/>
      <w:lvlJc w:val="left"/>
      <w:pPr>
        <w:ind w:left="360" w:hanging="360"/>
      </w:pPr>
    </w:lvl>
    <w:lvl w:ilvl="1">
      <w:start w:val="7"/>
      <w:numFmt w:val="decimal"/>
      <w:isLgl/>
      <w:lvlText w:val="%1.%2"/>
      <w:lvlJc w:val="left"/>
      <w:pPr>
        <w:ind w:left="720" w:hanging="720"/>
      </w:pPr>
      <w:rPr>
        <w:rFonts w:hint="default"/>
        <w:b/>
        <w:i w:val="0"/>
      </w:rPr>
    </w:lvl>
    <w:lvl w:ilvl="2">
      <w:start w:val="2"/>
      <w:numFmt w:val="decimal"/>
      <w:isLgl/>
      <w:lvlText w:val="%1.%2.%3"/>
      <w:lvlJc w:val="left"/>
      <w:pPr>
        <w:ind w:left="720" w:hanging="720"/>
      </w:pPr>
      <w:rPr>
        <w:rFonts w:hint="default"/>
        <w:b/>
        <w:i w:val="0"/>
      </w:rPr>
    </w:lvl>
    <w:lvl w:ilvl="3">
      <w:start w:val="1"/>
      <w:numFmt w:val="decimal"/>
      <w:isLgl/>
      <w:lvlText w:val="%1.%2.%3.%4"/>
      <w:lvlJc w:val="left"/>
      <w:pPr>
        <w:ind w:left="720" w:hanging="720"/>
      </w:pPr>
      <w:rPr>
        <w:rFonts w:hint="default"/>
        <w:b/>
        <w:i w:val="0"/>
      </w:rPr>
    </w:lvl>
    <w:lvl w:ilvl="4">
      <w:start w:val="1"/>
      <w:numFmt w:val="decimal"/>
      <w:isLgl/>
      <w:lvlText w:val="%1.%2.%3.%4.%5"/>
      <w:lvlJc w:val="left"/>
      <w:pPr>
        <w:ind w:left="1080" w:hanging="1080"/>
      </w:pPr>
      <w:rPr>
        <w:rFonts w:hint="default"/>
        <w:b/>
        <w:i w:val="0"/>
      </w:rPr>
    </w:lvl>
    <w:lvl w:ilvl="5">
      <w:start w:val="1"/>
      <w:numFmt w:val="decimal"/>
      <w:isLgl/>
      <w:lvlText w:val="%1.%2.%3.%4.%5.%6"/>
      <w:lvlJc w:val="left"/>
      <w:pPr>
        <w:ind w:left="1080" w:hanging="1080"/>
      </w:pPr>
      <w:rPr>
        <w:rFonts w:hint="default"/>
        <w:b/>
        <w:i w:val="0"/>
      </w:rPr>
    </w:lvl>
    <w:lvl w:ilvl="6">
      <w:start w:val="1"/>
      <w:numFmt w:val="decimal"/>
      <w:isLgl/>
      <w:lvlText w:val="%1.%2.%3.%4.%5.%6.%7"/>
      <w:lvlJc w:val="left"/>
      <w:pPr>
        <w:ind w:left="1440" w:hanging="1440"/>
      </w:pPr>
      <w:rPr>
        <w:rFonts w:hint="default"/>
        <w:b/>
        <w:i w:val="0"/>
      </w:rPr>
    </w:lvl>
    <w:lvl w:ilvl="7">
      <w:start w:val="1"/>
      <w:numFmt w:val="decimal"/>
      <w:isLgl/>
      <w:lvlText w:val="%1.%2.%3.%4.%5.%6.%7.%8"/>
      <w:lvlJc w:val="left"/>
      <w:pPr>
        <w:ind w:left="1440" w:hanging="1440"/>
      </w:pPr>
      <w:rPr>
        <w:rFonts w:hint="default"/>
        <w:b/>
        <w:i w:val="0"/>
      </w:rPr>
    </w:lvl>
    <w:lvl w:ilvl="8">
      <w:start w:val="1"/>
      <w:numFmt w:val="decimal"/>
      <w:isLgl/>
      <w:lvlText w:val="%1.%2.%3.%4.%5.%6.%7.%8.%9"/>
      <w:lvlJc w:val="left"/>
      <w:pPr>
        <w:ind w:left="1800" w:hanging="1800"/>
      </w:pPr>
      <w:rPr>
        <w:rFonts w:hint="default"/>
        <w:b/>
        <w:i w:val="0"/>
      </w:rPr>
    </w:lvl>
  </w:abstractNum>
  <w:abstractNum w:abstractNumId="54" w15:restartNumberingAfterBreak="0">
    <w:nsid w:val="3DB74F3E"/>
    <w:multiLevelType w:val="hybridMultilevel"/>
    <w:tmpl w:val="C09CB864"/>
    <w:lvl w:ilvl="0" w:tplc="7834E424">
      <w:start w:val="1"/>
      <w:numFmt w:val="lowerLetter"/>
      <w:lvlText w:val="%1."/>
      <w:lvlJc w:val="left"/>
      <w:pPr>
        <w:ind w:left="360" w:hanging="360"/>
      </w:pPr>
      <w:rPr>
        <w:rFonts w:hint="default"/>
      </w:rPr>
    </w:lvl>
    <w:lvl w:ilvl="1" w:tplc="B5EE0516" w:tentative="1">
      <w:start w:val="1"/>
      <w:numFmt w:val="lowerLetter"/>
      <w:lvlText w:val="%2."/>
      <w:lvlJc w:val="left"/>
      <w:pPr>
        <w:ind w:left="1080" w:hanging="360"/>
      </w:pPr>
    </w:lvl>
    <w:lvl w:ilvl="2" w:tplc="7A462DF8" w:tentative="1">
      <w:start w:val="1"/>
      <w:numFmt w:val="lowerRoman"/>
      <w:lvlText w:val="%3."/>
      <w:lvlJc w:val="right"/>
      <w:pPr>
        <w:ind w:left="1800" w:hanging="180"/>
      </w:pPr>
    </w:lvl>
    <w:lvl w:ilvl="3" w:tplc="EFC885EE" w:tentative="1">
      <w:start w:val="1"/>
      <w:numFmt w:val="decimal"/>
      <w:lvlText w:val="%4."/>
      <w:lvlJc w:val="left"/>
      <w:pPr>
        <w:ind w:left="2520" w:hanging="360"/>
      </w:pPr>
    </w:lvl>
    <w:lvl w:ilvl="4" w:tplc="99EA15C6" w:tentative="1">
      <w:start w:val="1"/>
      <w:numFmt w:val="lowerLetter"/>
      <w:lvlText w:val="%5."/>
      <w:lvlJc w:val="left"/>
      <w:pPr>
        <w:ind w:left="3240" w:hanging="360"/>
      </w:pPr>
    </w:lvl>
    <w:lvl w:ilvl="5" w:tplc="9214A53C" w:tentative="1">
      <w:start w:val="1"/>
      <w:numFmt w:val="lowerRoman"/>
      <w:lvlText w:val="%6."/>
      <w:lvlJc w:val="right"/>
      <w:pPr>
        <w:ind w:left="3960" w:hanging="180"/>
      </w:pPr>
    </w:lvl>
    <w:lvl w:ilvl="6" w:tplc="6298FEA6" w:tentative="1">
      <w:start w:val="1"/>
      <w:numFmt w:val="decimal"/>
      <w:lvlText w:val="%7."/>
      <w:lvlJc w:val="left"/>
      <w:pPr>
        <w:ind w:left="4680" w:hanging="360"/>
      </w:pPr>
    </w:lvl>
    <w:lvl w:ilvl="7" w:tplc="D7683048" w:tentative="1">
      <w:start w:val="1"/>
      <w:numFmt w:val="lowerLetter"/>
      <w:lvlText w:val="%8."/>
      <w:lvlJc w:val="left"/>
      <w:pPr>
        <w:ind w:left="5400" w:hanging="360"/>
      </w:pPr>
    </w:lvl>
    <w:lvl w:ilvl="8" w:tplc="C7D612BA" w:tentative="1">
      <w:start w:val="1"/>
      <w:numFmt w:val="lowerRoman"/>
      <w:lvlText w:val="%9."/>
      <w:lvlJc w:val="right"/>
      <w:pPr>
        <w:ind w:left="6120" w:hanging="180"/>
      </w:pPr>
    </w:lvl>
  </w:abstractNum>
  <w:abstractNum w:abstractNumId="55" w15:restartNumberingAfterBreak="0">
    <w:nsid w:val="3E8E20D0"/>
    <w:multiLevelType w:val="hybridMultilevel"/>
    <w:tmpl w:val="10026F72"/>
    <w:lvl w:ilvl="0" w:tplc="0C090019">
      <w:start w:val="1"/>
      <w:numFmt w:val="decimal"/>
      <w:lvlText w:val="Property %1"/>
      <w:lvlJc w:val="left"/>
      <w:pPr>
        <w:ind w:left="360" w:hanging="360"/>
      </w:pPr>
      <w:rPr>
        <w:rFonts w:ascii="Calibri" w:hAnsi="Calibri" w:hint="default"/>
        <w:b/>
        <w:i w:val="0"/>
        <w:sz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40FF4863"/>
    <w:multiLevelType w:val="singleLevel"/>
    <w:tmpl w:val="DBA85530"/>
    <w:lvl w:ilvl="0">
      <w:start w:val="1"/>
      <w:numFmt w:val="bullet"/>
      <w:lvlText w:val=""/>
      <w:lvlJc w:val="left"/>
      <w:pPr>
        <w:tabs>
          <w:tab w:val="num" w:pos="340"/>
        </w:tabs>
        <w:ind w:left="340" w:hanging="340"/>
      </w:pPr>
      <w:rPr>
        <w:rFonts w:ascii="Symbol" w:hAnsi="Symbol" w:hint="default"/>
        <w:color w:val="auto"/>
        <w:sz w:val="22"/>
      </w:rPr>
    </w:lvl>
  </w:abstractNum>
  <w:abstractNum w:abstractNumId="57" w15:restartNumberingAfterBreak="0">
    <w:nsid w:val="419D53CF"/>
    <w:multiLevelType w:val="singleLevel"/>
    <w:tmpl w:val="375AD8FA"/>
    <w:lvl w:ilvl="0">
      <w:start w:val="1"/>
      <w:numFmt w:val="bullet"/>
      <w:lvlText w:val=""/>
      <w:lvlJc w:val="left"/>
      <w:pPr>
        <w:tabs>
          <w:tab w:val="num" w:pos="340"/>
        </w:tabs>
        <w:ind w:left="340" w:hanging="340"/>
      </w:pPr>
      <w:rPr>
        <w:rFonts w:ascii="Symbol" w:hAnsi="Symbol" w:hint="default"/>
        <w:color w:val="auto"/>
        <w:sz w:val="22"/>
      </w:rPr>
    </w:lvl>
  </w:abstractNum>
  <w:abstractNum w:abstractNumId="58" w15:restartNumberingAfterBreak="0">
    <w:nsid w:val="420B542F"/>
    <w:multiLevelType w:val="hybridMultilevel"/>
    <w:tmpl w:val="C42C83C0"/>
    <w:lvl w:ilvl="0" w:tplc="2B6AE5D8">
      <w:start w:val="1"/>
      <w:numFmt w:val="bullet"/>
      <w:lvlText w:val=""/>
      <w:lvlJc w:val="left"/>
      <w:pPr>
        <w:ind w:left="360" w:hanging="360"/>
      </w:pPr>
      <w:rPr>
        <w:rFonts w:ascii="Symbol" w:hAnsi="Symbol" w:hint="default"/>
      </w:rPr>
    </w:lvl>
    <w:lvl w:ilvl="1" w:tplc="0C090019" w:tentative="1">
      <w:start w:val="1"/>
      <w:numFmt w:val="bullet"/>
      <w:lvlText w:val="o"/>
      <w:lvlJc w:val="left"/>
      <w:pPr>
        <w:ind w:left="1080" w:hanging="360"/>
      </w:pPr>
      <w:rPr>
        <w:rFonts w:ascii="Courier New" w:hAnsi="Courier New" w:cs="Courier New" w:hint="default"/>
      </w:rPr>
    </w:lvl>
    <w:lvl w:ilvl="2" w:tplc="0C09001B" w:tentative="1">
      <w:start w:val="1"/>
      <w:numFmt w:val="bullet"/>
      <w:lvlText w:val=""/>
      <w:lvlJc w:val="left"/>
      <w:pPr>
        <w:ind w:left="1800" w:hanging="360"/>
      </w:pPr>
      <w:rPr>
        <w:rFonts w:ascii="Wingdings" w:hAnsi="Wingdings" w:hint="default"/>
      </w:rPr>
    </w:lvl>
    <w:lvl w:ilvl="3" w:tplc="0C09000F" w:tentative="1">
      <w:start w:val="1"/>
      <w:numFmt w:val="bullet"/>
      <w:lvlText w:val=""/>
      <w:lvlJc w:val="left"/>
      <w:pPr>
        <w:ind w:left="2520" w:hanging="360"/>
      </w:pPr>
      <w:rPr>
        <w:rFonts w:ascii="Symbol" w:hAnsi="Symbol" w:hint="default"/>
      </w:rPr>
    </w:lvl>
    <w:lvl w:ilvl="4" w:tplc="0C090019" w:tentative="1">
      <w:start w:val="1"/>
      <w:numFmt w:val="bullet"/>
      <w:lvlText w:val="o"/>
      <w:lvlJc w:val="left"/>
      <w:pPr>
        <w:ind w:left="3240" w:hanging="360"/>
      </w:pPr>
      <w:rPr>
        <w:rFonts w:ascii="Courier New" w:hAnsi="Courier New" w:cs="Courier New" w:hint="default"/>
      </w:rPr>
    </w:lvl>
    <w:lvl w:ilvl="5" w:tplc="0C09001B" w:tentative="1">
      <w:start w:val="1"/>
      <w:numFmt w:val="bullet"/>
      <w:lvlText w:val=""/>
      <w:lvlJc w:val="left"/>
      <w:pPr>
        <w:ind w:left="3960" w:hanging="360"/>
      </w:pPr>
      <w:rPr>
        <w:rFonts w:ascii="Wingdings" w:hAnsi="Wingdings" w:hint="default"/>
      </w:rPr>
    </w:lvl>
    <w:lvl w:ilvl="6" w:tplc="0C09000F" w:tentative="1">
      <w:start w:val="1"/>
      <w:numFmt w:val="bullet"/>
      <w:lvlText w:val=""/>
      <w:lvlJc w:val="left"/>
      <w:pPr>
        <w:ind w:left="4680" w:hanging="360"/>
      </w:pPr>
      <w:rPr>
        <w:rFonts w:ascii="Symbol" w:hAnsi="Symbol" w:hint="default"/>
      </w:rPr>
    </w:lvl>
    <w:lvl w:ilvl="7" w:tplc="0C090019" w:tentative="1">
      <w:start w:val="1"/>
      <w:numFmt w:val="bullet"/>
      <w:lvlText w:val="o"/>
      <w:lvlJc w:val="left"/>
      <w:pPr>
        <w:ind w:left="5400" w:hanging="360"/>
      </w:pPr>
      <w:rPr>
        <w:rFonts w:ascii="Courier New" w:hAnsi="Courier New" w:cs="Courier New" w:hint="default"/>
      </w:rPr>
    </w:lvl>
    <w:lvl w:ilvl="8" w:tplc="0C09001B" w:tentative="1">
      <w:start w:val="1"/>
      <w:numFmt w:val="bullet"/>
      <w:lvlText w:val=""/>
      <w:lvlJc w:val="left"/>
      <w:pPr>
        <w:ind w:left="6120" w:hanging="360"/>
      </w:pPr>
      <w:rPr>
        <w:rFonts w:ascii="Wingdings" w:hAnsi="Wingdings" w:hint="default"/>
      </w:rPr>
    </w:lvl>
  </w:abstractNum>
  <w:abstractNum w:abstractNumId="59" w15:restartNumberingAfterBreak="0">
    <w:nsid w:val="42661315"/>
    <w:multiLevelType w:val="hybridMultilevel"/>
    <w:tmpl w:val="83943886"/>
    <w:lvl w:ilvl="0" w:tplc="04090001">
      <w:start w:val="1"/>
      <w:numFmt w:val="decimal"/>
      <w:lvlText w:val="%1."/>
      <w:lvlJc w:val="left"/>
      <w:pPr>
        <w:ind w:left="360" w:hanging="360"/>
      </w:pPr>
      <w:rPr>
        <w:rFonts w:hint="default"/>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60" w15:restartNumberingAfterBreak="0">
    <w:nsid w:val="42CF3C09"/>
    <w:multiLevelType w:val="multilevel"/>
    <w:tmpl w:val="3F040484"/>
    <w:lvl w:ilvl="0">
      <w:start w:val="1"/>
      <w:numFmt w:val="decimal"/>
      <w:lvlText w:val="%1"/>
      <w:lvlJc w:val="left"/>
      <w:pPr>
        <w:tabs>
          <w:tab w:val="num" w:pos="340"/>
        </w:tabs>
        <w:ind w:left="340" w:hanging="340"/>
      </w:pPr>
      <w:rPr>
        <w:rFonts w:ascii="9999999" w:hAnsi="9999999" w:hint="default"/>
      </w:rPr>
    </w:lvl>
    <w:lvl w:ilvl="1">
      <w:start w:val="1"/>
      <w:numFmt w:val="bullet"/>
      <w:lvlText w:val=""/>
      <w:lvlJc w:val="left"/>
      <w:pPr>
        <w:tabs>
          <w:tab w:val="num" w:pos="680"/>
        </w:tabs>
        <w:ind w:left="680" w:hanging="340"/>
      </w:pPr>
      <w:rPr>
        <w:rFonts w:ascii="Symbol" w:hAnsi="Symbol" w:hint="default"/>
        <w:sz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61" w15:restartNumberingAfterBreak="0">
    <w:nsid w:val="4467721F"/>
    <w:multiLevelType w:val="singleLevel"/>
    <w:tmpl w:val="AEAC8E74"/>
    <w:lvl w:ilvl="0">
      <w:start w:val="1"/>
      <w:numFmt w:val="bullet"/>
      <w:lvlText w:val=""/>
      <w:lvlJc w:val="left"/>
      <w:pPr>
        <w:tabs>
          <w:tab w:val="num" w:pos="340"/>
        </w:tabs>
        <w:ind w:left="340" w:hanging="340"/>
      </w:pPr>
      <w:rPr>
        <w:rFonts w:ascii="Symbol" w:hAnsi="Symbol" w:hint="default"/>
        <w:color w:val="auto"/>
        <w:sz w:val="22"/>
      </w:rPr>
    </w:lvl>
  </w:abstractNum>
  <w:abstractNum w:abstractNumId="62" w15:restartNumberingAfterBreak="0">
    <w:nsid w:val="454355B9"/>
    <w:multiLevelType w:val="singleLevel"/>
    <w:tmpl w:val="7A823318"/>
    <w:lvl w:ilvl="0">
      <w:start w:val="1"/>
      <w:numFmt w:val="bullet"/>
      <w:lvlText w:val=""/>
      <w:lvlJc w:val="left"/>
      <w:pPr>
        <w:tabs>
          <w:tab w:val="num" w:pos="340"/>
        </w:tabs>
        <w:ind w:left="340" w:hanging="340"/>
      </w:pPr>
      <w:rPr>
        <w:rFonts w:ascii="Symbol" w:hAnsi="Symbol" w:hint="default"/>
        <w:color w:val="auto"/>
        <w:sz w:val="22"/>
      </w:rPr>
    </w:lvl>
  </w:abstractNum>
  <w:abstractNum w:abstractNumId="63" w15:restartNumberingAfterBreak="0">
    <w:nsid w:val="47BB1F2E"/>
    <w:multiLevelType w:val="multilevel"/>
    <w:tmpl w:val="39D4C9FE"/>
    <w:lvl w:ilvl="0">
      <w:start w:val="1"/>
      <w:numFmt w:val="decimal"/>
      <w:lvlText w:val="%1"/>
      <w:lvlJc w:val="left"/>
      <w:pPr>
        <w:tabs>
          <w:tab w:val="num" w:pos="340"/>
        </w:tabs>
        <w:ind w:left="340" w:hanging="340"/>
      </w:pPr>
      <w:rPr>
        <w:rFonts w:ascii="9999999" w:hAnsi="9999999" w:hint="default"/>
      </w:rPr>
    </w:lvl>
    <w:lvl w:ilvl="1">
      <w:start w:val="1"/>
      <w:numFmt w:val="bullet"/>
      <w:lvlText w:val=""/>
      <w:lvlJc w:val="left"/>
      <w:pPr>
        <w:tabs>
          <w:tab w:val="num" w:pos="680"/>
        </w:tabs>
        <w:ind w:left="680" w:hanging="340"/>
      </w:pPr>
      <w:rPr>
        <w:rFonts w:ascii="Symbol" w:hAnsi="Symbol" w:hint="default"/>
        <w:sz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64" w15:restartNumberingAfterBreak="0">
    <w:nsid w:val="4AD75AA6"/>
    <w:multiLevelType w:val="hybridMultilevel"/>
    <w:tmpl w:val="5F7A5690"/>
    <w:lvl w:ilvl="0" w:tplc="3D985B6C">
      <w:start w:val="1"/>
      <w:numFmt w:val="decimal"/>
      <w:lvlText w:val="%1."/>
      <w:lvlJc w:val="left"/>
      <w:pPr>
        <w:ind w:left="720" w:hanging="360"/>
      </w:pPr>
    </w:lvl>
    <w:lvl w:ilvl="1" w:tplc="D1369580" w:tentative="1">
      <w:start w:val="1"/>
      <w:numFmt w:val="lowerLetter"/>
      <w:lvlText w:val="%2."/>
      <w:lvlJc w:val="left"/>
      <w:pPr>
        <w:ind w:left="1440" w:hanging="360"/>
      </w:pPr>
    </w:lvl>
    <w:lvl w:ilvl="2" w:tplc="C3FE751E" w:tentative="1">
      <w:start w:val="1"/>
      <w:numFmt w:val="lowerRoman"/>
      <w:lvlText w:val="%3."/>
      <w:lvlJc w:val="right"/>
      <w:pPr>
        <w:ind w:left="2160" w:hanging="180"/>
      </w:pPr>
    </w:lvl>
    <w:lvl w:ilvl="3" w:tplc="59B4CA02" w:tentative="1">
      <w:start w:val="1"/>
      <w:numFmt w:val="decimal"/>
      <w:lvlText w:val="%4."/>
      <w:lvlJc w:val="left"/>
      <w:pPr>
        <w:ind w:left="2880" w:hanging="360"/>
      </w:pPr>
    </w:lvl>
    <w:lvl w:ilvl="4" w:tplc="6186A692" w:tentative="1">
      <w:start w:val="1"/>
      <w:numFmt w:val="lowerLetter"/>
      <w:lvlText w:val="%5."/>
      <w:lvlJc w:val="left"/>
      <w:pPr>
        <w:ind w:left="3600" w:hanging="360"/>
      </w:pPr>
    </w:lvl>
    <w:lvl w:ilvl="5" w:tplc="D324A15C" w:tentative="1">
      <w:start w:val="1"/>
      <w:numFmt w:val="lowerRoman"/>
      <w:lvlText w:val="%6."/>
      <w:lvlJc w:val="right"/>
      <w:pPr>
        <w:ind w:left="4320" w:hanging="180"/>
      </w:pPr>
    </w:lvl>
    <w:lvl w:ilvl="6" w:tplc="E2C089DC" w:tentative="1">
      <w:start w:val="1"/>
      <w:numFmt w:val="decimal"/>
      <w:lvlText w:val="%7."/>
      <w:lvlJc w:val="left"/>
      <w:pPr>
        <w:ind w:left="5040" w:hanging="360"/>
      </w:pPr>
    </w:lvl>
    <w:lvl w:ilvl="7" w:tplc="3E2A239E" w:tentative="1">
      <w:start w:val="1"/>
      <w:numFmt w:val="lowerLetter"/>
      <w:lvlText w:val="%8."/>
      <w:lvlJc w:val="left"/>
      <w:pPr>
        <w:ind w:left="5760" w:hanging="360"/>
      </w:pPr>
    </w:lvl>
    <w:lvl w:ilvl="8" w:tplc="C8D8B130" w:tentative="1">
      <w:start w:val="1"/>
      <w:numFmt w:val="lowerRoman"/>
      <w:lvlText w:val="%9."/>
      <w:lvlJc w:val="right"/>
      <w:pPr>
        <w:ind w:left="6480" w:hanging="180"/>
      </w:pPr>
    </w:lvl>
  </w:abstractNum>
  <w:abstractNum w:abstractNumId="65" w15:restartNumberingAfterBreak="0">
    <w:nsid w:val="4B194EC2"/>
    <w:multiLevelType w:val="singleLevel"/>
    <w:tmpl w:val="E020CF3A"/>
    <w:lvl w:ilvl="0">
      <w:start w:val="1"/>
      <w:numFmt w:val="bullet"/>
      <w:lvlText w:val=""/>
      <w:lvlJc w:val="left"/>
      <w:pPr>
        <w:tabs>
          <w:tab w:val="num" w:pos="340"/>
        </w:tabs>
        <w:ind w:left="340" w:hanging="340"/>
      </w:pPr>
      <w:rPr>
        <w:rFonts w:ascii="Symbol" w:hAnsi="Symbol" w:hint="default"/>
        <w:color w:val="auto"/>
        <w:sz w:val="22"/>
      </w:rPr>
    </w:lvl>
  </w:abstractNum>
  <w:abstractNum w:abstractNumId="66" w15:restartNumberingAfterBreak="0">
    <w:nsid w:val="4B5B1500"/>
    <w:multiLevelType w:val="multilevel"/>
    <w:tmpl w:val="6B1479EE"/>
    <w:lvl w:ilvl="0">
      <w:start w:val="1"/>
      <w:numFmt w:val="decimal"/>
      <w:pStyle w:val="Heading2"/>
      <w:lvlText w:val="%1"/>
      <w:lvlJc w:val="left"/>
      <w:pPr>
        <w:ind w:left="432" w:hanging="432"/>
      </w:pPr>
      <w:rPr>
        <w:rFonts w:hint="default"/>
      </w:rPr>
    </w:lvl>
    <w:lvl w:ilvl="1">
      <w:start w:val="1"/>
      <w:numFmt w:val="decimal"/>
      <w:pStyle w:val="Heading3"/>
      <w:lvlText w:val="%1.%2"/>
      <w:lvlJc w:val="left"/>
      <w:pPr>
        <w:ind w:left="576" w:hanging="576"/>
      </w:pPr>
      <w:rPr>
        <w:rFonts w:hint="default"/>
      </w:rPr>
    </w:lvl>
    <w:lvl w:ilvl="2">
      <w:start w:val="1"/>
      <w:numFmt w:val="decimal"/>
      <w:pStyle w:val="Heading4"/>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7" w15:restartNumberingAfterBreak="0">
    <w:nsid w:val="4BFA700B"/>
    <w:multiLevelType w:val="hybridMultilevel"/>
    <w:tmpl w:val="48F09702"/>
    <w:lvl w:ilvl="0" w:tplc="1888819A">
      <w:start w:val="1"/>
      <w:numFmt w:val="decimal"/>
      <w:lvlText w:val="%1."/>
      <w:lvlJc w:val="left"/>
      <w:pPr>
        <w:ind w:left="360" w:hanging="360"/>
      </w:pPr>
    </w:lvl>
    <w:lvl w:ilvl="1" w:tplc="6CCC4468" w:tentative="1">
      <w:start w:val="1"/>
      <w:numFmt w:val="lowerLetter"/>
      <w:lvlText w:val="%2."/>
      <w:lvlJc w:val="left"/>
      <w:pPr>
        <w:ind w:left="1080" w:hanging="360"/>
      </w:pPr>
    </w:lvl>
    <w:lvl w:ilvl="2" w:tplc="A4E686D2" w:tentative="1">
      <w:start w:val="1"/>
      <w:numFmt w:val="lowerRoman"/>
      <w:lvlText w:val="%3."/>
      <w:lvlJc w:val="right"/>
      <w:pPr>
        <w:ind w:left="1800" w:hanging="180"/>
      </w:pPr>
    </w:lvl>
    <w:lvl w:ilvl="3" w:tplc="AC42DF4E" w:tentative="1">
      <w:start w:val="1"/>
      <w:numFmt w:val="decimal"/>
      <w:lvlText w:val="%4."/>
      <w:lvlJc w:val="left"/>
      <w:pPr>
        <w:ind w:left="2520" w:hanging="360"/>
      </w:pPr>
    </w:lvl>
    <w:lvl w:ilvl="4" w:tplc="655C0C48" w:tentative="1">
      <w:start w:val="1"/>
      <w:numFmt w:val="lowerLetter"/>
      <w:lvlText w:val="%5."/>
      <w:lvlJc w:val="left"/>
      <w:pPr>
        <w:ind w:left="3240" w:hanging="360"/>
      </w:pPr>
    </w:lvl>
    <w:lvl w:ilvl="5" w:tplc="60F61562" w:tentative="1">
      <w:start w:val="1"/>
      <w:numFmt w:val="lowerRoman"/>
      <w:lvlText w:val="%6."/>
      <w:lvlJc w:val="right"/>
      <w:pPr>
        <w:ind w:left="3960" w:hanging="180"/>
      </w:pPr>
    </w:lvl>
    <w:lvl w:ilvl="6" w:tplc="942E3FC6" w:tentative="1">
      <w:start w:val="1"/>
      <w:numFmt w:val="decimal"/>
      <w:lvlText w:val="%7."/>
      <w:lvlJc w:val="left"/>
      <w:pPr>
        <w:ind w:left="4680" w:hanging="360"/>
      </w:pPr>
    </w:lvl>
    <w:lvl w:ilvl="7" w:tplc="22381618" w:tentative="1">
      <w:start w:val="1"/>
      <w:numFmt w:val="lowerLetter"/>
      <w:lvlText w:val="%8."/>
      <w:lvlJc w:val="left"/>
      <w:pPr>
        <w:ind w:left="5400" w:hanging="360"/>
      </w:pPr>
    </w:lvl>
    <w:lvl w:ilvl="8" w:tplc="1E0AE29C" w:tentative="1">
      <w:start w:val="1"/>
      <w:numFmt w:val="lowerRoman"/>
      <w:lvlText w:val="%9."/>
      <w:lvlJc w:val="right"/>
      <w:pPr>
        <w:ind w:left="6120" w:hanging="180"/>
      </w:pPr>
    </w:lvl>
  </w:abstractNum>
  <w:abstractNum w:abstractNumId="68" w15:restartNumberingAfterBreak="0">
    <w:nsid w:val="4C760665"/>
    <w:multiLevelType w:val="multilevel"/>
    <w:tmpl w:val="A680166E"/>
    <w:lvl w:ilvl="0">
      <w:start w:val="1"/>
      <w:numFmt w:val="decimal"/>
      <w:lvlText w:val="%1"/>
      <w:lvlJc w:val="left"/>
      <w:pPr>
        <w:ind w:left="432" w:hanging="432"/>
      </w:pPr>
      <w:rPr>
        <w:sz w:val="32"/>
        <w:szCs w:val="32"/>
      </w:rPr>
    </w:lvl>
    <w:lvl w:ilvl="1">
      <w:start w:val="1"/>
      <w:numFmt w:val="decimal"/>
      <w:lvlText w:val="%1.%2"/>
      <w:lvlJc w:val="left"/>
      <w:pPr>
        <w:ind w:left="2987"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9" w15:restartNumberingAfterBreak="0">
    <w:nsid w:val="4D284C1E"/>
    <w:multiLevelType w:val="hybridMultilevel"/>
    <w:tmpl w:val="4D62285E"/>
    <w:lvl w:ilvl="0" w:tplc="7E68CC22">
      <w:start w:val="1"/>
      <w:numFmt w:val="decimal"/>
      <w:lvlText w:val="%1."/>
      <w:lvlJc w:val="left"/>
      <w:pPr>
        <w:ind w:left="360" w:hanging="360"/>
      </w:pPr>
      <w:rPr>
        <w:rFonts w:hint="default"/>
      </w:rPr>
    </w:lvl>
    <w:lvl w:ilvl="1" w:tplc="CC80EAEE">
      <w:start w:val="1"/>
      <w:numFmt w:val="lowerLetter"/>
      <w:lvlText w:val="%2."/>
      <w:lvlJc w:val="left"/>
      <w:pPr>
        <w:ind w:left="1353" w:hanging="360"/>
      </w:pPr>
    </w:lvl>
    <w:lvl w:ilvl="2" w:tplc="5DAAB606" w:tentative="1">
      <w:start w:val="1"/>
      <w:numFmt w:val="lowerRoman"/>
      <w:lvlText w:val="%3."/>
      <w:lvlJc w:val="right"/>
      <w:pPr>
        <w:ind w:left="1800" w:hanging="180"/>
      </w:pPr>
    </w:lvl>
    <w:lvl w:ilvl="3" w:tplc="8EF27AB8" w:tentative="1">
      <w:start w:val="1"/>
      <w:numFmt w:val="decimal"/>
      <w:lvlText w:val="%4."/>
      <w:lvlJc w:val="left"/>
      <w:pPr>
        <w:ind w:left="2520" w:hanging="360"/>
      </w:pPr>
    </w:lvl>
    <w:lvl w:ilvl="4" w:tplc="52A87734" w:tentative="1">
      <w:start w:val="1"/>
      <w:numFmt w:val="lowerLetter"/>
      <w:lvlText w:val="%5."/>
      <w:lvlJc w:val="left"/>
      <w:pPr>
        <w:ind w:left="3240" w:hanging="360"/>
      </w:pPr>
    </w:lvl>
    <w:lvl w:ilvl="5" w:tplc="7572256A" w:tentative="1">
      <w:start w:val="1"/>
      <w:numFmt w:val="lowerRoman"/>
      <w:lvlText w:val="%6."/>
      <w:lvlJc w:val="right"/>
      <w:pPr>
        <w:ind w:left="3960" w:hanging="180"/>
      </w:pPr>
    </w:lvl>
    <w:lvl w:ilvl="6" w:tplc="9E34A446" w:tentative="1">
      <w:start w:val="1"/>
      <w:numFmt w:val="decimal"/>
      <w:lvlText w:val="%7."/>
      <w:lvlJc w:val="left"/>
      <w:pPr>
        <w:ind w:left="4680" w:hanging="360"/>
      </w:pPr>
    </w:lvl>
    <w:lvl w:ilvl="7" w:tplc="8B78F3FE" w:tentative="1">
      <w:start w:val="1"/>
      <w:numFmt w:val="lowerLetter"/>
      <w:lvlText w:val="%8."/>
      <w:lvlJc w:val="left"/>
      <w:pPr>
        <w:ind w:left="5400" w:hanging="360"/>
      </w:pPr>
    </w:lvl>
    <w:lvl w:ilvl="8" w:tplc="D7AED4E6" w:tentative="1">
      <w:start w:val="1"/>
      <w:numFmt w:val="lowerRoman"/>
      <w:lvlText w:val="%9."/>
      <w:lvlJc w:val="right"/>
      <w:pPr>
        <w:ind w:left="6120" w:hanging="180"/>
      </w:pPr>
    </w:lvl>
  </w:abstractNum>
  <w:abstractNum w:abstractNumId="70" w15:restartNumberingAfterBreak="0">
    <w:nsid w:val="4DE0596C"/>
    <w:multiLevelType w:val="singleLevel"/>
    <w:tmpl w:val="EE8AEC36"/>
    <w:lvl w:ilvl="0">
      <w:start w:val="1"/>
      <w:numFmt w:val="bullet"/>
      <w:lvlText w:val=""/>
      <w:lvlJc w:val="left"/>
      <w:pPr>
        <w:tabs>
          <w:tab w:val="num" w:pos="340"/>
        </w:tabs>
        <w:ind w:left="340" w:hanging="340"/>
      </w:pPr>
      <w:rPr>
        <w:rFonts w:ascii="Symbol" w:hAnsi="Symbol" w:hint="default"/>
        <w:color w:val="auto"/>
        <w:sz w:val="22"/>
      </w:rPr>
    </w:lvl>
  </w:abstractNum>
  <w:abstractNum w:abstractNumId="71" w15:restartNumberingAfterBreak="0">
    <w:nsid w:val="4E1A78B2"/>
    <w:multiLevelType w:val="hybridMultilevel"/>
    <w:tmpl w:val="44283844"/>
    <w:lvl w:ilvl="0" w:tplc="3CC497D8">
      <w:start w:val="1"/>
      <w:numFmt w:val="decimal"/>
      <w:lvlText w:val="%1."/>
      <w:lvlJc w:val="left"/>
      <w:pPr>
        <w:ind w:left="360" w:hanging="360"/>
      </w:pPr>
    </w:lvl>
    <w:lvl w:ilvl="1" w:tplc="B0A8A78C" w:tentative="1">
      <w:start w:val="1"/>
      <w:numFmt w:val="lowerLetter"/>
      <w:lvlText w:val="%2."/>
      <w:lvlJc w:val="left"/>
      <w:pPr>
        <w:ind w:left="1080" w:hanging="360"/>
      </w:pPr>
    </w:lvl>
    <w:lvl w:ilvl="2" w:tplc="116CD7D2" w:tentative="1">
      <w:start w:val="1"/>
      <w:numFmt w:val="lowerRoman"/>
      <w:lvlText w:val="%3."/>
      <w:lvlJc w:val="right"/>
      <w:pPr>
        <w:ind w:left="1800" w:hanging="180"/>
      </w:pPr>
    </w:lvl>
    <w:lvl w:ilvl="3" w:tplc="1B0023C2" w:tentative="1">
      <w:start w:val="1"/>
      <w:numFmt w:val="decimal"/>
      <w:lvlText w:val="%4."/>
      <w:lvlJc w:val="left"/>
      <w:pPr>
        <w:ind w:left="2520" w:hanging="360"/>
      </w:pPr>
    </w:lvl>
    <w:lvl w:ilvl="4" w:tplc="46A6A792" w:tentative="1">
      <w:start w:val="1"/>
      <w:numFmt w:val="lowerLetter"/>
      <w:lvlText w:val="%5."/>
      <w:lvlJc w:val="left"/>
      <w:pPr>
        <w:ind w:left="3240" w:hanging="360"/>
      </w:pPr>
    </w:lvl>
    <w:lvl w:ilvl="5" w:tplc="27345CAA" w:tentative="1">
      <w:start w:val="1"/>
      <w:numFmt w:val="lowerRoman"/>
      <w:lvlText w:val="%6."/>
      <w:lvlJc w:val="right"/>
      <w:pPr>
        <w:ind w:left="3960" w:hanging="180"/>
      </w:pPr>
    </w:lvl>
    <w:lvl w:ilvl="6" w:tplc="4F10AF94" w:tentative="1">
      <w:start w:val="1"/>
      <w:numFmt w:val="decimal"/>
      <w:lvlText w:val="%7."/>
      <w:lvlJc w:val="left"/>
      <w:pPr>
        <w:ind w:left="4680" w:hanging="360"/>
      </w:pPr>
    </w:lvl>
    <w:lvl w:ilvl="7" w:tplc="74AE96EE" w:tentative="1">
      <w:start w:val="1"/>
      <w:numFmt w:val="lowerLetter"/>
      <w:lvlText w:val="%8."/>
      <w:lvlJc w:val="left"/>
      <w:pPr>
        <w:ind w:left="5400" w:hanging="360"/>
      </w:pPr>
    </w:lvl>
    <w:lvl w:ilvl="8" w:tplc="C7E40192" w:tentative="1">
      <w:start w:val="1"/>
      <w:numFmt w:val="lowerRoman"/>
      <w:lvlText w:val="%9."/>
      <w:lvlJc w:val="right"/>
      <w:pPr>
        <w:ind w:left="6120" w:hanging="180"/>
      </w:pPr>
    </w:lvl>
  </w:abstractNum>
  <w:abstractNum w:abstractNumId="72" w15:restartNumberingAfterBreak="0">
    <w:nsid w:val="4F553F20"/>
    <w:multiLevelType w:val="singleLevel"/>
    <w:tmpl w:val="7ABAB718"/>
    <w:lvl w:ilvl="0">
      <w:start w:val="1"/>
      <w:numFmt w:val="bullet"/>
      <w:lvlText w:val=""/>
      <w:lvlJc w:val="left"/>
      <w:pPr>
        <w:tabs>
          <w:tab w:val="num" w:pos="340"/>
        </w:tabs>
        <w:ind w:left="340" w:hanging="340"/>
      </w:pPr>
      <w:rPr>
        <w:rFonts w:ascii="Symbol" w:hAnsi="Symbol" w:hint="default"/>
        <w:color w:val="auto"/>
        <w:sz w:val="22"/>
      </w:rPr>
    </w:lvl>
  </w:abstractNum>
  <w:abstractNum w:abstractNumId="73" w15:restartNumberingAfterBreak="0">
    <w:nsid w:val="50550E3F"/>
    <w:multiLevelType w:val="hybridMultilevel"/>
    <w:tmpl w:val="69CC1AFC"/>
    <w:lvl w:ilvl="0" w:tplc="FF700EB4">
      <w:start w:val="1"/>
      <w:numFmt w:val="bullet"/>
      <w:lvlText w:val=""/>
      <w:lvlJc w:val="left"/>
      <w:pPr>
        <w:ind w:left="720" w:hanging="360"/>
      </w:pPr>
      <w:rPr>
        <w:rFonts w:ascii="Symbol" w:hAnsi="Symbol" w:hint="default"/>
      </w:rPr>
    </w:lvl>
    <w:lvl w:ilvl="1" w:tplc="7C94AB2E" w:tentative="1">
      <w:start w:val="1"/>
      <w:numFmt w:val="bullet"/>
      <w:lvlText w:val="o"/>
      <w:lvlJc w:val="left"/>
      <w:pPr>
        <w:ind w:left="1440" w:hanging="360"/>
      </w:pPr>
      <w:rPr>
        <w:rFonts w:ascii="Courier New" w:hAnsi="Courier New" w:cs="Courier New" w:hint="default"/>
      </w:rPr>
    </w:lvl>
    <w:lvl w:ilvl="2" w:tplc="9C6EBEF2">
      <w:start w:val="1"/>
      <w:numFmt w:val="bullet"/>
      <w:lvlText w:val=""/>
      <w:lvlJc w:val="left"/>
      <w:pPr>
        <w:ind w:left="2160" w:hanging="360"/>
      </w:pPr>
      <w:rPr>
        <w:rFonts w:ascii="Wingdings" w:hAnsi="Wingdings" w:hint="default"/>
      </w:rPr>
    </w:lvl>
    <w:lvl w:ilvl="3" w:tplc="C8783CA8" w:tentative="1">
      <w:start w:val="1"/>
      <w:numFmt w:val="bullet"/>
      <w:lvlText w:val=""/>
      <w:lvlJc w:val="left"/>
      <w:pPr>
        <w:ind w:left="2880" w:hanging="360"/>
      </w:pPr>
      <w:rPr>
        <w:rFonts w:ascii="Symbol" w:hAnsi="Symbol" w:hint="default"/>
      </w:rPr>
    </w:lvl>
    <w:lvl w:ilvl="4" w:tplc="7C507DFC" w:tentative="1">
      <w:start w:val="1"/>
      <w:numFmt w:val="bullet"/>
      <w:lvlText w:val="o"/>
      <w:lvlJc w:val="left"/>
      <w:pPr>
        <w:ind w:left="3600" w:hanging="360"/>
      </w:pPr>
      <w:rPr>
        <w:rFonts w:ascii="Courier New" w:hAnsi="Courier New" w:cs="Courier New" w:hint="default"/>
      </w:rPr>
    </w:lvl>
    <w:lvl w:ilvl="5" w:tplc="C996245C" w:tentative="1">
      <w:start w:val="1"/>
      <w:numFmt w:val="bullet"/>
      <w:lvlText w:val=""/>
      <w:lvlJc w:val="left"/>
      <w:pPr>
        <w:ind w:left="4320" w:hanging="360"/>
      </w:pPr>
      <w:rPr>
        <w:rFonts w:ascii="Wingdings" w:hAnsi="Wingdings" w:hint="default"/>
      </w:rPr>
    </w:lvl>
    <w:lvl w:ilvl="6" w:tplc="32BCA918" w:tentative="1">
      <w:start w:val="1"/>
      <w:numFmt w:val="bullet"/>
      <w:lvlText w:val=""/>
      <w:lvlJc w:val="left"/>
      <w:pPr>
        <w:ind w:left="5040" w:hanging="360"/>
      </w:pPr>
      <w:rPr>
        <w:rFonts w:ascii="Symbol" w:hAnsi="Symbol" w:hint="default"/>
      </w:rPr>
    </w:lvl>
    <w:lvl w:ilvl="7" w:tplc="9C9C934C" w:tentative="1">
      <w:start w:val="1"/>
      <w:numFmt w:val="bullet"/>
      <w:lvlText w:val="o"/>
      <w:lvlJc w:val="left"/>
      <w:pPr>
        <w:ind w:left="5760" w:hanging="360"/>
      </w:pPr>
      <w:rPr>
        <w:rFonts w:ascii="Courier New" w:hAnsi="Courier New" w:cs="Courier New" w:hint="default"/>
      </w:rPr>
    </w:lvl>
    <w:lvl w:ilvl="8" w:tplc="75CA5DF0" w:tentative="1">
      <w:start w:val="1"/>
      <w:numFmt w:val="bullet"/>
      <w:lvlText w:val=""/>
      <w:lvlJc w:val="left"/>
      <w:pPr>
        <w:ind w:left="6480" w:hanging="360"/>
      </w:pPr>
      <w:rPr>
        <w:rFonts w:ascii="Wingdings" w:hAnsi="Wingdings" w:hint="default"/>
      </w:rPr>
    </w:lvl>
  </w:abstractNum>
  <w:abstractNum w:abstractNumId="74" w15:restartNumberingAfterBreak="0">
    <w:nsid w:val="50A636A9"/>
    <w:multiLevelType w:val="singleLevel"/>
    <w:tmpl w:val="D2826B9C"/>
    <w:lvl w:ilvl="0">
      <w:start w:val="1"/>
      <w:numFmt w:val="bullet"/>
      <w:lvlText w:val=""/>
      <w:lvlJc w:val="left"/>
      <w:pPr>
        <w:tabs>
          <w:tab w:val="num" w:pos="340"/>
        </w:tabs>
        <w:ind w:left="340" w:hanging="340"/>
      </w:pPr>
      <w:rPr>
        <w:rFonts w:ascii="Symbol" w:hAnsi="Symbol" w:hint="default"/>
        <w:color w:val="auto"/>
        <w:sz w:val="22"/>
      </w:rPr>
    </w:lvl>
  </w:abstractNum>
  <w:abstractNum w:abstractNumId="75" w15:restartNumberingAfterBreak="0">
    <w:nsid w:val="51493143"/>
    <w:multiLevelType w:val="singleLevel"/>
    <w:tmpl w:val="6C822520"/>
    <w:lvl w:ilvl="0">
      <w:start w:val="1"/>
      <w:numFmt w:val="bullet"/>
      <w:lvlText w:val=""/>
      <w:lvlJc w:val="left"/>
      <w:pPr>
        <w:tabs>
          <w:tab w:val="num" w:pos="340"/>
        </w:tabs>
        <w:ind w:left="340" w:hanging="340"/>
      </w:pPr>
      <w:rPr>
        <w:rFonts w:ascii="Symbol" w:hAnsi="Symbol" w:hint="default"/>
        <w:color w:val="auto"/>
        <w:sz w:val="22"/>
      </w:rPr>
    </w:lvl>
  </w:abstractNum>
  <w:abstractNum w:abstractNumId="76" w15:restartNumberingAfterBreak="0">
    <w:nsid w:val="523D261B"/>
    <w:multiLevelType w:val="multilevel"/>
    <w:tmpl w:val="6EA075EE"/>
    <w:lvl w:ilvl="0">
      <w:start w:val="1"/>
      <w:numFmt w:val="decimal"/>
      <w:lvlText w:val="%1"/>
      <w:lvlJc w:val="left"/>
      <w:pPr>
        <w:tabs>
          <w:tab w:val="num" w:pos="340"/>
        </w:tabs>
        <w:ind w:left="340" w:hanging="340"/>
      </w:pPr>
      <w:rPr>
        <w:rFonts w:ascii="9999999" w:hAnsi="9999999" w:hint="default"/>
        <w:color w:val="auto"/>
        <w:sz w:val="22"/>
      </w:rPr>
    </w:lvl>
    <w:lvl w:ilvl="1">
      <w:start w:val="1"/>
      <w:numFmt w:val="bullet"/>
      <w:lvlText w:val=""/>
      <w:lvlJc w:val="left"/>
      <w:pPr>
        <w:tabs>
          <w:tab w:val="num" w:pos="680"/>
        </w:tabs>
        <w:ind w:left="680" w:hanging="340"/>
      </w:pPr>
      <w:rPr>
        <w:rFonts w:ascii="Symbol" w:hAnsi="Symbol" w:hint="default"/>
        <w:sz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77" w15:restartNumberingAfterBreak="0">
    <w:nsid w:val="525B3655"/>
    <w:multiLevelType w:val="singleLevel"/>
    <w:tmpl w:val="90DE048A"/>
    <w:lvl w:ilvl="0">
      <w:start w:val="1"/>
      <w:numFmt w:val="bullet"/>
      <w:lvlText w:val=""/>
      <w:lvlJc w:val="left"/>
      <w:pPr>
        <w:tabs>
          <w:tab w:val="num" w:pos="340"/>
        </w:tabs>
        <w:ind w:left="340" w:hanging="340"/>
      </w:pPr>
      <w:rPr>
        <w:rFonts w:ascii="Symbol" w:hAnsi="Symbol" w:hint="default"/>
        <w:color w:val="auto"/>
        <w:sz w:val="22"/>
      </w:rPr>
    </w:lvl>
  </w:abstractNum>
  <w:abstractNum w:abstractNumId="78" w15:restartNumberingAfterBreak="0">
    <w:nsid w:val="53B74F79"/>
    <w:multiLevelType w:val="singleLevel"/>
    <w:tmpl w:val="A19C89F2"/>
    <w:lvl w:ilvl="0">
      <w:start w:val="1"/>
      <w:numFmt w:val="bullet"/>
      <w:lvlText w:val=""/>
      <w:lvlJc w:val="left"/>
      <w:pPr>
        <w:tabs>
          <w:tab w:val="num" w:pos="340"/>
        </w:tabs>
        <w:ind w:left="340" w:hanging="340"/>
      </w:pPr>
      <w:rPr>
        <w:rFonts w:ascii="Symbol" w:hAnsi="Symbol" w:hint="default"/>
        <w:color w:val="auto"/>
        <w:sz w:val="22"/>
      </w:rPr>
    </w:lvl>
  </w:abstractNum>
  <w:abstractNum w:abstractNumId="79" w15:restartNumberingAfterBreak="0">
    <w:nsid w:val="54697584"/>
    <w:multiLevelType w:val="singleLevel"/>
    <w:tmpl w:val="F554475A"/>
    <w:lvl w:ilvl="0">
      <w:start w:val="1"/>
      <w:numFmt w:val="bullet"/>
      <w:lvlText w:val=""/>
      <w:lvlJc w:val="left"/>
      <w:pPr>
        <w:tabs>
          <w:tab w:val="num" w:pos="340"/>
        </w:tabs>
        <w:ind w:left="340" w:hanging="340"/>
      </w:pPr>
      <w:rPr>
        <w:rFonts w:ascii="Symbol" w:hAnsi="Symbol" w:hint="default"/>
        <w:color w:val="auto"/>
        <w:sz w:val="22"/>
      </w:rPr>
    </w:lvl>
  </w:abstractNum>
  <w:abstractNum w:abstractNumId="80" w15:restartNumberingAfterBreak="0">
    <w:nsid w:val="56135ADA"/>
    <w:multiLevelType w:val="hybridMultilevel"/>
    <w:tmpl w:val="547CAAA0"/>
    <w:lvl w:ilvl="0" w:tplc="0D9A0A0A">
      <w:start w:val="1"/>
      <w:numFmt w:val="decimal"/>
      <w:lvlText w:val="%1."/>
      <w:lvlJc w:val="left"/>
      <w:pPr>
        <w:ind w:left="360" w:hanging="360"/>
      </w:pPr>
    </w:lvl>
    <w:lvl w:ilvl="1" w:tplc="85E892FC" w:tentative="1">
      <w:start w:val="1"/>
      <w:numFmt w:val="lowerLetter"/>
      <w:lvlText w:val="%2."/>
      <w:lvlJc w:val="left"/>
      <w:pPr>
        <w:ind w:left="1080" w:hanging="360"/>
      </w:pPr>
    </w:lvl>
    <w:lvl w:ilvl="2" w:tplc="33326EC0" w:tentative="1">
      <w:start w:val="1"/>
      <w:numFmt w:val="lowerRoman"/>
      <w:lvlText w:val="%3."/>
      <w:lvlJc w:val="right"/>
      <w:pPr>
        <w:ind w:left="1800" w:hanging="180"/>
      </w:pPr>
    </w:lvl>
    <w:lvl w:ilvl="3" w:tplc="422E6ADC" w:tentative="1">
      <w:start w:val="1"/>
      <w:numFmt w:val="decimal"/>
      <w:lvlText w:val="%4."/>
      <w:lvlJc w:val="left"/>
      <w:pPr>
        <w:ind w:left="2520" w:hanging="360"/>
      </w:pPr>
    </w:lvl>
    <w:lvl w:ilvl="4" w:tplc="E90AD4EC" w:tentative="1">
      <w:start w:val="1"/>
      <w:numFmt w:val="lowerLetter"/>
      <w:lvlText w:val="%5."/>
      <w:lvlJc w:val="left"/>
      <w:pPr>
        <w:ind w:left="3240" w:hanging="360"/>
      </w:pPr>
    </w:lvl>
    <w:lvl w:ilvl="5" w:tplc="E8687C26" w:tentative="1">
      <w:start w:val="1"/>
      <w:numFmt w:val="lowerRoman"/>
      <w:lvlText w:val="%6."/>
      <w:lvlJc w:val="right"/>
      <w:pPr>
        <w:ind w:left="3960" w:hanging="180"/>
      </w:pPr>
    </w:lvl>
    <w:lvl w:ilvl="6" w:tplc="4692E4AC" w:tentative="1">
      <w:start w:val="1"/>
      <w:numFmt w:val="decimal"/>
      <w:lvlText w:val="%7."/>
      <w:lvlJc w:val="left"/>
      <w:pPr>
        <w:ind w:left="4680" w:hanging="360"/>
      </w:pPr>
    </w:lvl>
    <w:lvl w:ilvl="7" w:tplc="2D36B4CA" w:tentative="1">
      <w:start w:val="1"/>
      <w:numFmt w:val="lowerLetter"/>
      <w:lvlText w:val="%8."/>
      <w:lvlJc w:val="left"/>
      <w:pPr>
        <w:ind w:left="5400" w:hanging="360"/>
      </w:pPr>
    </w:lvl>
    <w:lvl w:ilvl="8" w:tplc="3768096E" w:tentative="1">
      <w:start w:val="1"/>
      <w:numFmt w:val="lowerRoman"/>
      <w:lvlText w:val="%9."/>
      <w:lvlJc w:val="right"/>
      <w:pPr>
        <w:ind w:left="6120" w:hanging="180"/>
      </w:pPr>
    </w:lvl>
  </w:abstractNum>
  <w:abstractNum w:abstractNumId="81" w15:restartNumberingAfterBreak="0">
    <w:nsid w:val="580F767D"/>
    <w:multiLevelType w:val="multilevel"/>
    <w:tmpl w:val="B4B891A8"/>
    <w:lvl w:ilvl="0">
      <w:start w:val="1"/>
      <w:numFmt w:val="decimal"/>
      <w:pStyle w:val="IHPARequiremnt"/>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2" w15:restartNumberingAfterBreak="0">
    <w:nsid w:val="58EC14EC"/>
    <w:multiLevelType w:val="hybridMultilevel"/>
    <w:tmpl w:val="965A6340"/>
    <w:lvl w:ilvl="0" w:tplc="28F47C08">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5EBE56F9"/>
    <w:multiLevelType w:val="singleLevel"/>
    <w:tmpl w:val="1458D980"/>
    <w:lvl w:ilvl="0">
      <w:start w:val="1"/>
      <w:numFmt w:val="bullet"/>
      <w:lvlText w:val=""/>
      <w:lvlJc w:val="left"/>
      <w:pPr>
        <w:tabs>
          <w:tab w:val="num" w:pos="340"/>
        </w:tabs>
        <w:ind w:left="340" w:hanging="340"/>
      </w:pPr>
      <w:rPr>
        <w:rFonts w:ascii="Symbol" w:hAnsi="Symbol" w:hint="default"/>
        <w:color w:val="auto"/>
        <w:sz w:val="22"/>
      </w:rPr>
    </w:lvl>
  </w:abstractNum>
  <w:abstractNum w:abstractNumId="84" w15:restartNumberingAfterBreak="0">
    <w:nsid w:val="61DC707E"/>
    <w:multiLevelType w:val="hybridMultilevel"/>
    <w:tmpl w:val="D84A365E"/>
    <w:lvl w:ilvl="0" w:tplc="018CC128">
      <w:start w:val="1"/>
      <w:numFmt w:val="lowerLetter"/>
      <w:lvlText w:val="%1."/>
      <w:lvlJc w:val="left"/>
      <w:pPr>
        <w:ind w:left="720" w:hanging="360"/>
      </w:pPr>
    </w:lvl>
    <w:lvl w:ilvl="1" w:tplc="C368E48E">
      <w:start w:val="1"/>
      <w:numFmt w:val="bullet"/>
      <w:lvlText w:val=""/>
      <w:lvlJc w:val="left"/>
      <w:pPr>
        <w:ind w:left="1440" w:hanging="360"/>
      </w:pPr>
      <w:rPr>
        <w:rFonts w:ascii="Symbol" w:hAnsi="Symbol" w:hint="default"/>
      </w:rPr>
    </w:lvl>
    <w:lvl w:ilvl="2" w:tplc="BBF8B916">
      <w:start w:val="1"/>
      <w:numFmt w:val="bullet"/>
      <w:lvlText w:val=""/>
      <w:lvlJc w:val="left"/>
      <w:pPr>
        <w:ind w:left="2160" w:hanging="180"/>
      </w:pPr>
      <w:rPr>
        <w:rFonts w:ascii="Symbol" w:hAnsi="Symbol" w:hint="default"/>
      </w:rPr>
    </w:lvl>
    <w:lvl w:ilvl="3" w:tplc="F3C0BE30" w:tentative="1">
      <w:start w:val="1"/>
      <w:numFmt w:val="decimal"/>
      <w:lvlText w:val="%4."/>
      <w:lvlJc w:val="left"/>
      <w:pPr>
        <w:ind w:left="2880" w:hanging="360"/>
      </w:pPr>
    </w:lvl>
    <w:lvl w:ilvl="4" w:tplc="D4009B8A" w:tentative="1">
      <w:start w:val="1"/>
      <w:numFmt w:val="lowerLetter"/>
      <w:lvlText w:val="%5."/>
      <w:lvlJc w:val="left"/>
      <w:pPr>
        <w:ind w:left="3600" w:hanging="360"/>
      </w:pPr>
    </w:lvl>
    <w:lvl w:ilvl="5" w:tplc="6C2EAAAC" w:tentative="1">
      <w:start w:val="1"/>
      <w:numFmt w:val="lowerRoman"/>
      <w:lvlText w:val="%6."/>
      <w:lvlJc w:val="right"/>
      <w:pPr>
        <w:ind w:left="4320" w:hanging="180"/>
      </w:pPr>
    </w:lvl>
    <w:lvl w:ilvl="6" w:tplc="2D8EF5F8" w:tentative="1">
      <w:start w:val="1"/>
      <w:numFmt w:val="decimal"/>
      <w:lvlText w:val="%7."/>
      <w:lvlJc w:val="left"/>
      <w:pPr>
        <w:ind w:left="5040" w:hanging="360"/>
      </w:pPr>
    </w:lvl>
    <w:lvl w:ilvl="7" w:tplc="B73C2ECA" w:tentative="1">
      <w:start w:val="1"/>
      <w:numFmt w:val="lowerLetter"/>
      <w:lvlText w:val="%8."/>
      <w:lvlJc w:val="left"/>
      <w:pPr>
        <w:ind w:left="5760" w:hanging="360"/>
      </w:pPr>
    </w:lvl>
    <w:lvl w:ilvl="8" w:tplc="4C501944" w:tentative="1">
      <w:start w:val="1"/>
      <w:numFmt w:val="lowerRoman"/>
      <w:lvlText w:val="%9."/>
      <w:lvlJc w:val="right"/>
      <w:pPr>
        <w:ind w:left="6480" w:hanging="180"/>
      </w:pPr>
    </w:lvl>
  </w:abstractNum>
  <w:abstractNum w:abstractNumId="85" w15:restartNumberingAfterBreak="0">
    <w:nsid w:val="63FA4244"/>
    <w:multiLevelType w:val="hybridMultilevel"/>
    <w:tmpl w:val="D572FB2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6" w15:restartNumberingAfterBreak="0">
    <w:nsid w:val="65C468F7"/>
    <w:multiLevelType w:val="hybridMultilevel"/>
    <w:tmpl w:val="3AEA8B58"/>
    <w:lvl w:ilvl="0" w:tplc="04090019">
      <w:start w:val="1"/>
      <w:numFmt w:val="bullet"/>
      <w:pStyle w:val="ListBullet2"/>
      <w:lvlText w:val="-"/>
      <w:lvlJc w:val="left"/>
      <w:pPr>
        <w:tabs>
          <w:tab w:val="num" w:pos="963"/>
        </w:tabs>
        <w:ind w:left="963" w:hanging="340"/>
      </w:pPr>
      <w:rPr>
        <w:rFonts w:ascii="9999999" w:hAnsi="9999999" w:cs="Courier New" w:hint="default"/>
      </w:rPr>
    </w:lvl>
    <w:lvl w:ilvl="1" w:tplc="04090001" w:tentative="1">
      <w:start w:val="1"/>
      <w:numFmt w:val="bullet"/>
      <w:lvlText w:val="o"/>
      <w:lvlJc w:val="left"/>
      <w:pPr>
        <w:ind w:left="1723" w:hanging="360"/>
      </w:pPr>
      <w:rPr>
        <w:rFonts w:ascii="Courier New" w:hAnsi="Courier New" w:cs="Courier New" w:hint="default"/>
      </w:rPr>
    </w:lvl>
    <w:lvl w:ilvl="2" w:tplc="04090001" w:tentative="1">
      <w:start w:val="1"/>
      <w:numFmt w:val="bullet"/>
      <w:lvlText w:val=""/>
      <w:lvlJc w:val="left"/>
      <w:pPr>
        <w:ind w:left="2443" w:hanging="360"/>
      </w:pPr>
      <w:rPr>
        <w:rFonts w:ascii="Wingdings" w:hAnsi="Wingdings" w:hint="default"/>
      </w:rPr>
    </w:lvl>
    <w:lvl w:ilvl="3" w:tplc="0409000F" w:tentative="1">
      <w:start w:val="1"/>
      <w:numFmt w:val="bullet"/>
      <w:lvlText w:val=""/>
      <w:lvlJc w:val="left"/>
      <w:pPr>
        <w:ind w:left="3163" w:hanging="360"/>
      </w:pPr>
      <w:rPr>
        <w:rFonts w:ascii="Symbol" w:hAnsi="Symbol" w:hint="default"/>
      </w:rPr>
    </w:lvl>
    <w:lvl w:ilvl="4" w:tplc="04090019" w:tentative="1">
      <w:start w:val="1"/>
      <w:numFmt w:val="bullet"/>
      <w:lvlText w:val="o"/>
      <w:lvlJc w:val="left"/>
      <w:pPr>
        <w:ind w:left="3883" w:hanging="360"/>
      </w:pPr>
      <w:rPr>
        <w:rFonts w:ascii="Courier New" w:hAnsi="Courier New" w:cs="Courier New" w:hint="default"/>
      </w:rPr>
    </w:lvl>
    <w:lvl w:ilvl="5" w:tplc="0409001B" w:tentative="1">
      <w:start w:val="1"/>
      <w:numFmt w:val="bullet"/>
      <w:lvlText w:val=""/>
      <w:lvlJc w:val="left"/>
      <w:pPr>
        <w:ind w:left="4603" w:hanging="360"/>
      </w:pPr>
      <w:rPr>
        <w:rFonts w:ascii="Wingdings" w:hAnsi="Wingdings" w:hint="default"/>
      </w:rPr>
    </w:lvl>
    <w:lvl w:ilvl="6" w:tplc="0409000F" w:tentative="1">
      <w:start w:val="1"/>
      <w:numFmt w:val="bullet"/>
      <w:lvlText w:val=""/>
      <w:lvlJc w:val="left"/>
      <w:pPr>
        <w:ind w:left="5323" w:hanging="360"/>
      </w:pPr>
      <w:rPr>
        <w:rFonts w:ascii="Symbol" w:hAnsi="Symbol" w:hint="default"/>
      </w:rPr>
    </w:lvl>
    <w:lvl w:ilvl="7" w:tplc="04090019" w:tentative="1">
      <w:start w:val="1"/>
      <w:numFmt w:val="bullet"/>
      <w:lvlText w:val="o"/>
      <w:lvlJc w:val="left"/>
      <w:pPr>
        <w:ind w:left="6043" w:hanging="360"/>
      </w:pPr>
      <w:rPr>
        <w:rFonts w:ascii="Courier New" w:hAnsi="Courier New" w:cs="Courier New" w:hint="default"/>
      </w:rPr>
    </w:lvl>
    <w:lvl w:ilvl="8" w:tplc="0409001B" w:tentative="1">
      <w:start w:val="1"/>
      <w:numFmt w:val="bullet"/>
      <w:lvlText w:val=""/>
      <w:lvlJc w:val="left"/>
      <w:pPr>
        <w:ind w:left="6763" w:hanging="360"/>
      </w:pPr>
      <w:rPr>
        <w:rFonts w:ascii="Wingdings" w:hAnsi="Wingdings" w:hint="default"/>
      </w:rPr>
    </w:lvl>
  </w:abstractNum>
  <w:abstractNum w:abstractNumId="87" w15:restartNumberingAfterBreak="0">
    <w:nsid w:val="68316B24"/>
    <w:multiLevelType w:val="singleLevel"/>
    <w:tmpl w:val="2DDCD868"/>
    <w:lvl w:ilvl="0">
      <w:start w:val="1"/>
      <w:numFmt w:val="bullet"/>
      <w:lvlText w:val=""/>
      <w:lvlJc w:val="left"/>
      <w:pPr>
        <w:tabs>
          <w:tab w:val="num" w:pos="340"/>
        </w:tabs>
        <w:ind w:left="340" w:hanging="340"/>
      </w:pPr>
      <w:rPr>
        <w:rFonts w:ascii="Symbol" w:hAnsi="Symbol" w:hint="default"/>
        <w:color w:val="auto"/>
        <w:sz w:val="22"/>
      </w:rPr>
    </w:lvl>
  </w:abstractNum>
  <w:abstractNum w:abstractNumId="88" w15:restartNumberingAfterBreak="0">
    <w:nsid w:val="6B212189"/>
    <w:multiLevelType w:val="singleLevel"/>
    <w:tmpl w:val="90A6B358"/>
    <w:lvl w:ilvl="0">
      <w:start w:val="1"/>
      <w:numFmt w:val="bullet"/>
      <w:lvlText w:val=""/>
      <w:lvlJc w:val="left"/>
      <w:pPr>
        <w:tabs>
          <w:tab w:val="num" w:pos="340"/>
        </w:tabs>
        <w:ind w:left="340" w:hanging="340"/>
      </w:pPr>
      <w:rPr>
        <w:rFonts w:ascii="Symbol" w:hAnsi="Symbol" w:hint="default"/>
        <w:color w:val="auto"/>
        <w:sz w:val="22"/>
      </w:rPr>
    </w:lvl>
  </w:abstractNum>
  <w:abstractNum w:abstractNumId="89" w15:restartNumberingAfterBreak="0">
    <w:nsid w:val="6B444E87"/>
    <w:multiLevelType w:val="singleLevel"/>
    <w:tmpl w:val="468A70B2"/>
    <w:lvl w:ilvl="0">
      <w:start w:val="1"/>
      <w:numFmt w:val="bullet"/>
      <w:lvlText w:val=""/>
      <w:lvlJc w:val="left"/>
      <w:pPr>
        <w:tabs>
          <w:tab w:val="num" w:pos="340"/>
        </w:tabs>
        <w:ind w:left="340" w:hanging="340"/>
      </w:pPr>
      <w:rPr>
        <w:rFonts w:ascii="Symbol" w:hAnsi="Symbol" w:hint="default"/>
        <w:color w:val="auto"/>
        <w:sz w:val="22"/>
      </w:rPr>
    </w:lvl>
  </w:abstractNum>
  <w:abstractNum w:abstractNumId="90" w15:restartNumberingAfterBreak="0">
    <w:nsid w:val="6BA1425A"/>
    <w:multiLevelType w:val="singleLevel"/>
    <w:tmpl w:val="D58CFD38"/>
    <w:lvl w:ilvl="0">
      <w:start w:val="1"/>
      <w:numFmt w:val="bullet"/>
      <w:lvlText w:val=""/>
      <w:lvlJc w:val="left"/>
      <w:pPr>
        <w:tabs>
          <w:tab w:val="num" w:pos="340"/>
        </w:tabs>
        <w:ind w:left="340" w:hanging="340"/>
      </w:pPr>
      <w:rPr>
        <w:rFonts w:ascii="Symbol" w:hAnsi="Symbol" w:hint="default"/>
        <w:color w:val="auto"/>
        <w:sz w:val="22"/>
      </w:rPr>
    </w:lvl>
  </w:abstractNum>
  <w:abstractNum w:abstractNumId="91" w15:restartNumberingAfterBreak="0">
    <w:nsid w:val="6D952C8E"/>
    <w:multiLevelType w:val="hybridMultilevel"/>
    <w:tmpl w:val="0664AD22"/>
    <w:lvl w:ilvl="0" w:tplc="91D4FD3A">
      <w:start w:val="13"/>
      <w:numFmt w:val="decimal"/>
      <w:lvlText w:val="%1."/>
      <w:lvlJc w:val="left"/>
      <w:pPr>
        <w:ind w:left="360" w:hanging="360"/>
      </w:pPr>
      <w:rPr>
        <w:rFonts w:hint="default"/>
      </w:rPr>
    </w:lvl>
    <w:lvl w:ilvl="1" w:tplc="21FE4F36" w:tentative="1">
      <w:start w:val="1"/>
      <w:numFmt w:val="lowerLetter"/>
      <w:lvlText w:val="%2."/>
      <w:lvlJc w:val="left"/>
      <w:pPr>
        <w:ind w:left="1440" w:hanging="360"/>
      </w:pPr>
    </w:lvl>
    <w:lvl w:ilvl="2" w:tplc="26EA57E8" w:tentative="1">
      <w:start w:val="1"/>
      <w:numFmt w:val="lowerRoman"/>
      <w:lvlText w:val="%3."/>
      <w:lvlJc w:val="right"/>
      <w:pPr>
        <w:ind w:left="2160" w:hanging="180"/>
      </w:pPr>
    </w:lvl>
    <w:lvl w:ilvl="3" w:tplc="AFC6E8CE" w:tentative="1">
      <w:start w:val="1"/>
      <w:numFmt w:val="decimal"/>
      <w:lvlText w:val="%4."/>
      <w:lvlJc w:val="left"/>
      <w:pPr>
        <w:ind w:left="2880" w:hanging="360"/>
      </w:pPr>
    </w:lvl>
    <w:lvl w:ilvl="4" w:tplc="A7723C7E" w:tentative="1">
      <w:start w:val="1"/>
      <w:numFmt w:val="lowerLetter"/>
      <w:lvlText w:val="%5."/>
      <w:lvlJc w:val="left"/>
      <w:pPr>
        <w:ind w:left="3600" w:hanging="360"/>
      </w:pPr>
    </w:lvl>
    <w:lvl w:ilvl="5" w:tplc="FE7C72E4" w:tentative="1">
      <w:start w:val="1"/>
      <w:numFmt w:val="lowerRoman"/>
      <w:lvlText w:val="%6."/>
      <w:lvlJc w:val="right"/>
      <w:pPr>
        <w:ind w:left="4320" w:hanging="180"/>
      </w:pPr>
    </w:lvl>
    <w:lvl w:ilvl="6" w:tplc="2E967578" w:tentative="1">
      <w:start w:val="1"/>
      <w:numFmt w:val="decimal"/>
      <w:lvlText w:val="%7."/>
      <w:lvlJc w:val="left"/>
      <w:pPr>
        <w:ind w:left="5040" w:hanging="360"/>
      </w:pPr>
    </w:lvl>
    <w:lvl w:ilvl="7" w:tplc="EAD8DDE2" w:tentative="1">
      <w:start w:val="1"/>
      <w:numFmt w:val="lowerLetter"/>
      <w:lvlText w:val="%8."/>
      <w:lvlJc w:val="left"/>
      <w:pPr>
        <w:ind w:left="5760" w:hanging="360"/>
      </w:pPr>
    </w:lvl>
    <w:lvl w:ilvl="8" w:tplc="BF6AD35A" w:tentative="1">
      <w:start w:val="1"/>
      <w:numFmt w:val="lowerRoman"/>
      <w:lvlText w:val="%9."/>
      <w:lvlJc w:val="right"/>
      <w:pPr>
        <w:ind w:left="6480" w:hanging="180"/>
      </w:pPr>
    </w:lvl>
  </w:abstractNum>
  <w:abstractNum w:abstractNumId="92" w15:restartNumberingAfterBreak="0">
    <w:nsid w:val="6EBE4CC1"/>
    <w:multiLevelType w:val="hybridMultilevel"/>
    <w:tmpl w:val="78F25AD8"/>
    <w:lvl w:ilvl="0" w:tplc="CD9694AC">
      <w:start w:val="1"/>
      <w:numFmt w:val="decimal"/>
      <w:lvlText w:val="%1."/>
      <w:lvlJc w:val="left"/>
      <w:pPr>
        <w:ind w:left="720" w:hanging="360"/>
      </w:pPr>
    </w:lvl>
    <w:lvl w:ilvl="1" w:tplc="F208C6BE" w:tentative="1">
      <w:start w:val="1"/>
      <w:numFmt w:val="lowerLetter"/>
      <w:lvlText w:val="%2."/>
      <w:lvlJc w:val="left"/>
      <w:pPr>
        <w:ind w:left="1440" w:hanging="360"/>
      </w:pPr>
    </w:lvl>
    <w:lvl w:ilvl="2" w:tplc="019E76CE" w:tentative="1">
      <w:start w:val="1"/>
      <w:numFmt w:val="lowerRoman"/>
      <w:lvlText w:val="%3."/>
      <w:lvlJc w:val="right"/>
      <w:pPr>
        <w:ind w:left="2160" w:hanging="180"/>
      </w:pPr>
    </w:lvl>
    <w:lvl w:ilvl="3" w:tplc="25D6DB50" w:tentative="1">
      <w:start w:val="1"/>
      <w:numFmt w:val="decimal"/>
      <w:lvlText w:val="%4."/>
      <w:lvlJc w:val="left"/>
      <w:pPr>
        <w:ind w:left="2880" w:hanging="360"/>
      </w:pPr>
    </w:lvl>
    <w:lvl w:ilvl="4" w:tplc="36FA8F7C" w:tentative="1">
      <w:start w:val="1"/>
      <w:numFmt w:val="lowerLetter"/>
      <w:lvlText w:val="%5."/>
      <w:lvlJc w:val="left"/>
      <w:pPr>
        <w:ind w:left="3600" w:hanging="360"/>
      </w:pPr>
    </w:lvl>
    <w:lvl w:ilvl="5" w:tplc="ED406A2C" w:tentative="1">
      <w:start w:val="1"/>
      <w:numFmt w:val="lowerRoman"/>
      <w:lvlText w:val="%6."/>
      <w:lvlJc w:val="right"/>
      <w:pPr>
        <w:ind w:left="4320" w:hanging="180"/>
      </w:pPr>
    </w:lvl>
    <w:lvl w:ilvl="6" w:tplc="895E52E2" w:tentative="1">
      <w:start w:val="1"/>
      <w:numFmt w:val="decimal"/>
      <w:lvlText w:val="%7."/>
      <w:lvlJc w:val="left"/>
      <w:pPr>
        <w:ind w:left="5040" w:hanging="360"/>
      </w:pPr>
    </w:lvl>
    <w:lvl w:ilvl="7" w:tplc="22625BE4" w:tentative="1">
      <w:start w:val="1"/>
      <w:numFmt w:val="lowerLetter"/>
      <w:lvlText w:val="%8."/>
      <w:lvlJc w:val="left"/>
      <w:pPr>
        <w:ind w:left="5760" w:hanging="360"/>
      </w:pPr>
    </w:lvl>
    <w:lvl w:ilvl="8" w:tplc="A6FA4FF4" w:tentative="1">
      <w:start w:val="1"/>
      <w:numFmt w:val="lowerRoman"/>
      <w:lvlText w:val="%9."/>
      <w:lvlJc w:val="right"/>
      <w:pPr>
        <w:ind w:left="6480" w:hanging="180"/>
      </w:pPr>
    </w:lvl>
  </w:abstractNum>
  <w:abstractNum w:abstractNumId="93" w15:restartNumberingAfterBreak="0">
    <w:nsid w:val="6F084D8A"/>
    <w:multiLevelType w:val="hybridMultilevel"/>
    <w:tmpl w:val="F550A086"/>
    <w:lvl w:ilvl="0" w:tplc="131C99FC">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94" w15:restartNumberingAfterBreak="0">
    <w:nsid w:val="6FD74A5F"/>
    <w:multiLevelType w:val="hybridMultilevel"/>
    <w:tmpl w:val="B802CCCC"/>
    <w:lvl w:ilvl="0" w:tplc="C7441112">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95" w15:restartNumberingAfterBreak="0">
    <w:nsid w:val="70814A18"/>
    <w:multiLevelType w:val="hybridMultilevel"/>
    <w:tmpl w:val="A0AC50CE"/>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708D29F9"/>
    <w:multiLevelType w:val="hybridMultilevel"/>
    <w:tmpl w:val="D6A8A266"/>
    <w:lvl w:ilvl="0" w:tplc="04090001">
      <w:start w:val="1"/>
      <w:numFmt w:val="decimal"/>
      <w:lvlText w:val="%1."/>
      <w:lvlJc w:val="left"/>
      <w:pPr>
        <w:ind w:left="360" w:hanging="360"/>
      </w:p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97" w15:restartNumberingAfterBreak="0">
    <w:nsid w:val="70E01805"/>
    <w:multiLevelType w:val="hybridMultilevel"/>
    <w:tmpl w:val="87880B1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8" w15:restartNumberingAfterBreak="0">
    <w:nsid w:val="722D0659"/>
    <w:multiLevelType w:val="multilevel"/>
    <w:tmpl w:val="5C800FE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9" w15:restartNumberingAfterBreak="0">
    <w:nsid w:val="73206536"/>
    <w:multiLevelType w:val="hybridMultilevel"/>
    <w:tmpl w:val="46BE4524"/>
    <w:lvl w:ilvl="0" w:tplc="EF3693E2">
      <w:start w:val="1"/>
      <w:numFmt w:val="bullet"/>
      <w:lvlText w:val=""/>
      <w:lvlJc w:val="left"/>
      <w:pPr>
        <w:ind w:left="360" w:hanging="360"/>
      </w:pPr>
      <w:rPr>
        <w:rFonts w:ascii="Symbol" w:hAnsi="Symbol" w:hint="default"/>
      </w:rPr>
    </w:lvl>
    <w:lvl w:ilvl="1" w:tplc="EFFE6CE8" w:tentative="1">
      <w:start w:val="1"/>
      <w:numFmt w:val="bullet"/>
      <w:lvlText w:val="o"/>
      <w:lvlJc w:val="left"/>
      <w:pPr>
        <w:ind w:left="1080" w:hanging="360"/>
      </w:pPr>
      <w:rPr>
        <w:rFonts w:ascii="Courier New" w:hAnsi="Courier New" w:cs="Courier New" w:hint="default"/>
      </w:rPr>
    </w:lvl>
    <w:lvl w:ilvl="2" w:tplc="9C6432F4" w:tentative="1">
      <w:start w:val="1"/>
      <w:numFmt w:val="bullet"/>
      <w:lvlText w:val=""/>
      <w:lvlJc w:val="left"/>
      <w:pPr>
        <w:ind w:left="1800" w:hanging="360"/>
      </w:pPr>
      <w:rPr>
        <w:rFonts w:ascii="Wingdings" w:hAnsi="Wingdings" w:hint="default"/>
      </w:rPr>
    </w:lvl>
    <w:lvl w:ilvl="3" w:tplc="0EB493C6" w:tentative="1">
      <w:start w:val="1"/>
      <w:numFmt w:val="bullet"/>
      <w:lvlText w:val=""/>
      <w:lvlJc w:val="left"/>
      <w:pPr>
        <w:ind w:left="2520" w:hanging="360"/>
      </w:pPr>
      <w:rPr>
        <w:rFonts w:ascii="Symbol" w:hAnsi="Symbol" w:hint="default"/>
      </w:rPr>
    </w:lvl>
    <w:lvl w:ilvl="4" w:tplc="B52E2ED0" w:tentative="1">
      <w:start w:val="1"/>
      <w:numFmt w:val="bullet"/>
      <w:lvlText w:val="o"/>
      <w:lvlJc w:val="left"/>
      <w:pPr>
        <w:ind w:left="3240" w:hanging="360"/>
      </w:pPr>
      <w:rPr>
        <w:rFonts w:ascii="Courier New" w:hAnsi="Courier New" w:cs="Courier New" w:hint="default"/>
      </w:rPr>
    </w:lvl>
    <w:lvl w:ilvl="5" w:tplc="2E1C321E" w:tentative="1">
      <w:start w:val="1"/>
      <w:numFmt w:val="bullet"/>
      <w:lvlText w:val=""/>
      <w:lvlJc w:val="left"/>
      <w:pPr>
        <w:ind w:left="3960" w:hanging="360"/>
      </w:pPr>
      <w:rPr>
        <w:rFonts w:ascii="Wingdings" w:hAnsi="Wingdings" w:hint="default"/>
      </w:rPr>
    </w:lvl>
    <w:lvl w:ilvl="6" w:tplc="0F7A0DC0" w:tentative="1">
      <w:start w:val="1"/>
      <w:numFmt w:val="bullet"/>
      <w:lvlText w:val=""/>
      <w:lvlJc w:val="left"/>
      <w:pPr>
        <w:ind w:left="4680" w:hanging="360"/>
      </w:pPr>
      <w:rPr>
        <w:rFonts w:ascii="Symbol" w:hAnsi="Symbol" w:hint="default"/>
      </w:rPr>
    </w:lvl>
    <w:lvl w:ilvl="7" w:tplc="C23E6BFA" w:tentative="1">
      <w:start w:val="1"/>
      <w:numFmt w:val="bullet"/>
      <w:lvlText w:val="o"/>
      <w:lvlJc w:val="left"/>
      <w:pPr>
        <w:ind w:left="5400" w:hanging="360"/>
      </w:pPr>
      <w:rPr>
        <w:rFonts w:ascii="Courier New" w:hAnsi="Courier New" w:cs="Courier New" w:hint="default"/>
      </w:rPr>
    </w:lvl>
    <w:lvl w:ilvl="8" w:tplc="AEFA1B2C" w:tentative="1">
      <w:start w:val="1"/>
      <w:numFmt w:val="bullet"/>
      <w:lvlText w:val=""/>
      <w:lvlJc w:val="left"/>
      <w:pPr>
        <w:ind w:left="6120" w:hanging="360"/>
      </w:pPr>
      <w:rPr>
        <w:rFonts w:ascii="Wingdings" w:hAnsi="Wingdings" w:hint="default"/>
      </w:rPr>
    </w:lvl>
  </w:abstractNum>
  <w:abstractNum w:abstractNumId="100" w15:restartNumberingAfterBreak="0">
    <w:nsid w:val="73C1138F"/>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1" w15:restartNumberingAfterBreak="0">
    <w:nsid w:val="747E5054"/>
    <w:multiLevelType w:val="hybridMultilevel"/>
    <w:tmpl w:val="CA26C1AC"/>
    <w:lvl w:ilvl="0" w:tplc="A9DA9974">
      <w:start w:val="1"/>
      <w:numFmt w:val="decimal"/>
      <w:lvlText w:val="%1."/>
      <w:lvlJc w:val="left"/>
      <w:pPr>
        <w:ind w:left="360" w:hanging="360"/>
      </w:pPr>
    </w:lvl>
    <w:lvl w:ilvl="1" w:tplc="6D00338E" w:tentative="1">
      <w:start w:val="1"/>
      <w:numFmt w:val="lowerLetter"/>
      <w:lvlText w:val="%2."/>
      <w:lvlJc w:val="left"/>
      <w:pPr>
        <w:ind w:left="1080" w:hanging="360"/>
      </w:pPr>
    </w:lvl>
    <w:lvl w:ilvl="2" w:tplc="1846A130" w:tentative="1">
      <w:start w:val="1"/>
      <w:numFmt w:val="lowerRoman"/>
      <w:lvlText w:val="%3."/>
      <w:lvlJc w:val="right"/>
      <w:pPr>
        <w:ind w:left="1800" w:hanging="180"/>
      </w:pPr>
    </w:lvl>
    <w:lvl w:ilvl="3" w:tplc="24A4E9F2" w:tentative="1">
      <w:start w:val="1"/>
      <w:numFmt w:val="decimal"/>
      <w:lvlText w:val="%4."/>
      <w:lvlJc w:val="left"/>
      <w:pPr>
        <w:ind w:left="2520" w:hanging="360"/>
      </w:pPr>
    </w:lvl>
    <w:lvl w:ilvl="4" w:tplc="A8BCE362" w:tentative="1">
      <w:start w:val="1"/>
      <w:numFmt w:val="lowerLetter"/>
      <w:lvlText w:val="%5."/>
      <w:lvlJc w:val="left"/>
      <w:pPr>
        <w:ind w:left="3240" w:hanging="360"/>
      </w:pPr>
    </w:lvl>
    <w:lvl w:ilvl="5" w:tplc="ACF26C7A" w:tentative="1">
      <w:start w:val="1"/>
      <w:numFmt w:val="lowerRoman"/>
      <w:lvlText w:val="%6."/>
      <w:lvlJc w:val="right"/>
      <w:pPr>
        <w:ind w:left="3960" w:hanging="180"/>
      </w:pPr>
    </w:lvl>
    <w:lvl w:ilvl="6" w:tplc="23F4C84C" w:tentative="1">
      <w:start w:val="1"/>
      <w:numFmt w:val="decimal"/>
      <w:lvlText w:val="%7."/>
      <w:lvlJc w:val="left"/>
      <w:pPr>
        <w:ind w:left="4680" w:hanging="360"/>
      </w:pPr>
    </w:lvl>
    <w:lvl w:ilvl="7" w:tplc="804EA262" w:tentative="1">
      <w:start w:val="1"/>
      <w:numFmt w:val="lowerLetter"/>
      <w:lvlText w:val="%8."/>
      <w:lvlJc w:val="left"/>
      <w:pPr>
        <w:ind w:left="5400" w:hanging="360"/>
      </w:pPr>
    </w:lvl>
    <w:lvl w:ilvl="8" w:tplc="09B851E4" w:tentative="1">
      <w:start w:val="1"/>
      <w:numFmt w:val="lowerRoman"/>
      <w:lvlText w:val="%9."/>
      <w:lvlJc w:val="right"/>
      <w:pPr>
        <w:ind w:left="6120" w:hanging="180"/>
      </w:pPr>
    </w:lvl>
  </w:abstractNum>
  <w:abstractNum w:abstractNumId="102" w15:restartNumberingAfterBreak="0">
    <w:nsid w:val="75E05ED7"/>
    <w:multiLevelType w:val="hybridMultilevel"/>
    <w:tmpl w:val="5F46758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03" w15:restartNumberingAfterBreak="0">
    <w:nsid w:val="76AC7D13"/>
    <w:multiLevelType w:val="singleLevel"/>
    <w:tmpl w:val="60668CB8"/>
    <w:lvl w:ilvl="0">
      <w:start w:val="1"/>
      <w:numFmt w:val="bullet"/>
      <w:lvlText w:val=""/>
      <w:lvlJc w:val="left"/>
      <w:pPr>
        <w:tabs>
          <w:tab w:val="num" w:pos="340"/>
        </w:tabs>
        <w:ind w:left="340" w:hanging="340"/>
      </w:pPr>
      <w:rPr>
        <w:rFonts w:ascii="Symbol" w:hAnsi="Symbol" w:hint="default"/>
        <w:color w:val="auto"/>
        <w:sz w:val="22"/>
      </w:rPr>
    </w:lvl>
  </w:abstractNum>
  <w:abstractNum w:abstractNumId="104" w15:restartNumberingAfterBreak="0">
    <w:nsid w:val="7B151BB1"/>
    <w:multiLevelType w:val="hybridMultilevel"/>
    <w:tmpl w:val="F438B24A"/>
    <w:lvl w:ilvl="0" w:tplc="F01AD33C">
      <w:start w:val="1"/>
      <w:numFmt w:val="decimal"/>
      <w:lvlText w:val="%1."/>
      <w:lvlJc w:val="left"/>
      <w:pPr>
        <w:ind w:left="360" w:hanging="360"/>
      </w:pPr>
    </w:lvl>
    <w:lvl w:ilvl="1" w:tplc="2766F190" w:tentative="1">
      <w:start w:val="1"/>
      <w:numFmt w:val="lowerLetter"/>
      <w:lvlText w:val="%2."/>
      <w:lvlJc w:val="left"/>
      <w:pPr>
        <w:ind w:left="1080" w:hanging="360"/>
      </w:pPr>
    </w:lvl>
    <w:lvl w:ilvl="2" w:tplc="A8C28EC6" w:tentative="1">
      <w:start w:val="1"/>
      <w:numFmt w:val="lowerRoman"/>
      <w:lvlText w:val="%3."/>
      <w:lvlJc w:val="right"/>
      <w:pPr>
        <w:ind w:left="1800" w:hanging="180"/>
      </w:pPr>
    </w:lvl>
    <w:lvl w:ilvl="3" w:tplc="BD202A0E" w:tentative="1">
      <w:start w:val="1"/>
      <w:numFmt w:val="decimal"/>
      <w:lvlText w:val="%4."/>
      <w:lvlJc w:val="left"/>
      <w:pPr>
        <w:ind w:left="2520" w:hanging="360"/>
      </w:pPr>
    </w:lvl>
    <w:lvl w:ilvl="4" w:tplc="D7D49C86" w:tentative="1">
      <w:start w:val="1"/>
      <w:numFmt w:val="lowerLetter"/>
      <w:lvlText w:val="%5."/>
      <w:lvlJc w:val="left"/>
      <w:pPr>
        <w:ind w:left="3240" w:hanging="360"/>
      </w:pPr>
    </w:lvl>
    <w:lvl w:ilvl="5" w:tplc="31701A0E" w:tentative="1">
      <w:start w:val="1"/>
      <w:numFmt w:val="lowerRoman"/>
      <w:lvlText w:val="%6."/>
      <w:lvlJc w:val="right"/>
      <w:pPr>
        <w:ind w:left="3960" w:hanging="180"/>
      </w:pPr>
    </w:lvl>
    <w:lvl w:ilvl="6" w:tplc="DA740F2A" w:tentative="1">
      <w:start w:val="1"/>
      <w:numFmt w:val="decimal"/>
      <w:lvlText w:val="%7."/>
      <w:lvlJc w:val="left"/>
      <w:pPr>
        <w:ind w:left="4680" w:hanging="360"/>
      </w:pPr>
    </w:lvl>
    <w:lvl w:ilvl="7" w:tplc="0336720A" w:tentative="1">
      <w:start w:val="1"/>
      <w:numFmt w:val="lowerLetter"/>
      <w:lvlText w:val="%8."/>
      <w:lvlJc w:val="left"/>
      <w:pPr>
        <w:ind w:left="5400" w:hanging="360"/>
      </w:pPr>
    </w:lvl>
    <w:lvl w:ilvl="8" w:tplc="55226646" w:tentative="1">
      <w:start w:val="1"/>
      <w:numFmt w:val="lowerRoman"/>
      <w:lvlText w:val="%9."/>
      <w:lvlJc w:val="right"/>
      <w:pPr>
        <w:ind w:left="6120" w:hanging="180"/>
      </w:pPr>
    </w:lvl>
  </w:abstractNum>
  <w:abstractNum w:abstractNumId="105" w15:restartNumberingAfterBreak="0">
    <w:nsid w:val="7D087C56"/>
    <w:multiLevelType w:val="singleLevel"/>
    <w:tmpl w:val="C49C29EE"/>
    <w:lvl w:ilvl="0">
      <w:start w:val="1"/>
      <w:numFmt w:val="bullet"/>
      <w:lvlText w:val=""/>
      <w:lvlJc w:val="left"/>
      <w:pPr>
        <w:tabs>
          <w:tab w:val="num" w:pos="340"/>
        </w:tabs>
        <w:ind w:left="340" w:hanging="340"/>
      </w:pPr>
      <w:rPr>
        <w:rFonts w:ascii="Symbol" w:hAnsi="Symbol" w:hint="default"/>
        <w:color w:val="auto"/>
        <w:sz w:val="22"/>
      </w:rPr>
    </w:lvl>
  </w:abstractNum>
  <w:num w:numId="1" w16cid:durableId="1460297386">
    <w:abstractNumId w:val="68"/>
  </w:num>
  <w:num w:numId="2" w16cid:durableId="475995877">
    <w:abstractNumId w:val="55"/>
  </w:num>
  <w:num w:numId="3" w16cid:durableId="684793910">
    <w:abstractNumId w:val="92"/>
  </w:num>
  <w:num w:numId="4" w16cid:durableId="1448428345">
    <w:abstractNumId w:val="102"/>
  </w:num>
  <w:num w:numId="5" w16cid:durableId="1380980591">
    <w:abstractNumId w:val="65"/>
  </w:num>
  <w:num w:numId="6" w16cid:durableId="969626554">
    <w:abstractNumId w:val="21"/>
  </w:num>
  <w:num w:numId="7" w16cid:durableId="1895459742">
    <w:abstractNumId w:val="47"/>
  </w:num>
  <w:num w:numId="8" w16cid:durableId="1310744161">
    <w:abstractNumId w:val="84"/>
  </w:num>
  <w:num w:numId="9" w16cid:durableId="566040870">
    <w:abstractNumId w:val="14"/>
  </w:num>
  <w:num w:numId="10" w16cid:durableId="726293995">
    <w:abstractNumId w:val="15"/>
  </w:num>
  <w:num w:numId="11" w16cid:durableId="240257000">
    <w:abstractNumId w:val="40"/>
  </w:num>
  <w:num w:numId="12" w16cid:durableId="1842617484">
    <w:abstractNumId w:val="41"/>
  </w:num>
  <w:num w:numId="13" w16cid:durableId="351496456">
    <w:abstractNumId w:val="10"/>
  </w:num>
  <w:num w:numId="14" w16cid:durableId="20278078">
    <w:abstractNumId w:val="95"/>
  </w:num>
  <w:num w:numId="15" w16cid:durableId="1636256524">
    <w:abstractNumId w:val="36"/>
  </w:num>
  <w:num w:numId="16" w16cid:durableId="1733506995">
    <w:abstractNumId w:val="53"/>
  </w:num>
  <w:num w:numId="17" w16cid:durableId="1830557336">
    <w:abstractNumId w:val="69"/>
  </w:num>
  <w:num w:numId="18" w16cid:durableId="1339121205">
    <w:abstractNumId w:val="52"/>
  </w:num>
  <w:num w:numId="19" w16cid:durableId="1870951308">
    <w:abstractNumId w:val="46"/>
  </w:num>
  <w:num w:numId="20" w16cid:durableId="1522666917">
    <w:abstractNumId w:val="25"/>
  </w:num>
  <w:num w:numId="21" w16cid:durableId="1501577232">
    <w:abstractNumId w:val="67"/>
  </w:num>
  <w:num w:numId="22" w16cid:durableId="233199589">
    <w:abstractNumId w:val="20"/>
  </w:num>
  <w:num w:numId="23" w16cid:durableId="1082525153">
    <w:abstractNumId w:val="29"/>
  </w:num>
  <w:num w:numId="24" w16cid:durableId="389963843">
    <w:abstractNumId w:val="48"/>
  </w:num>
  <w:num w:numId="25" w16cid:durableId="982974805">
    <w:abstractNumId w:val="31"/>
  </w:num>
  <w:num w:numId="26" w16cid:durableId="52235904">
    <w:abstractNumId w:val="58"/>
  </w:num>
  <w:num w:numId="27" w16cid:durableId="1001587152">
    <w:abstractNumId w:val="85"/>
  </w:num>
  <w:num w:numId="28" w16cid:durableId="1239948379">
    <w:abstractNumId w:val="71"/>
  </w:num>
  <w:num w:numId="29" w16cid:durableId="140736821">
    <w:abstractNumId w:val="33"/>
  </w:num>
  <w:num w:numId="30" w16cid:durableId="486676625">
    <w:abstractNumId w:val="13"/>
  </w:num>
  <w:num w:numId="31" w16cid:durableId="745029323">
    <w:abstractNumId w:val="24"/>
  </w:num>
  <w:num w:numId="32" w16cid:durableId="160314313">
    <w:abstractNumId w:val="7"/>
  </w:num>
  <w:num w:numId="33" w16cid:durableId="1199782945">
    <w:abstractNumId w:val="19"/>
  </w:num>
  <w:num w:numId="34" w16cid:durableId="814637797">
    <w:abstractNumId w:val="50"/>
  </w:num>
  <w:num w:numId="35" w16cid:durableId="1519998978">
    <w:abstractNumId w:val="91"/>
  </w:num>
  <w:num w:numId="36" w16cid:durableId="129442559">
    <w:abstractNumId w:val="4"/>
  </w:num>
  <w:num w:numId="37" w16cid:durableId="1235777196">
    <w:abstractNumId w:val="59"/>
  </w:num>
  <w:num w:numId="38" w16cid:durableId="1993869601">
    <w:abstractNumId w:val="5"/>
  </w:num>
  <w:num w:numId="39" w16cid:durableId="2083718048">
    <w:abstractNumId w:val="27"/>
  </w:num>
  <w:num w:numId="40" w16cid:durableId="1982297687">
    <w:abstractNumId w:val="101"/>
  </w:num>
  <w:num w:numId="41" w16cid:durableId="1722360356">
    <w:abstractNumId w:val="26"/>
  </w:num>
  <w:num w:numId="42" w16cid:durableId="2015448844">
    <w:abstractNumId w:val="96"/>
  </w:num>
  <w:num w:numId="43" w16cid:durableId="623390594">
    <w:abstractNumId w:val="82"/>
  </w:num>
  <w:num w:numId="44" w16cid:durableId="1709380853">
    <w:abstractNumId w:val="80"/>
  </w:num>
  <w:num w:numId="45" w16cid:durableId="275871534">
    <w:abstractNumId w:val="99"/>
  </w:num>
  <w:num w:numId="46" w16cid:durableId="97989747">
    <w:abstractNumId w:val="35"/>
  </w:num>
  <w:num w:numId="47" w16cid:durableId="340738158">
    <w:abstractNumId w:val="43"/>
  </w:num>
  <w:num w:numId="48" w16cid:durableId="528179907">
    <w:abstractNumId w:val="54"/>
  </w:num>
  <w:num w:numId="49" w16cid:durableId="1521777934">
    <w:abstractNumId w:val="23"/>
  </w:num>
  <w:num w:numId="50" w16cid:durableId="1383753685">
    <w:abstractNumId w:val="39"/>
  </w:num>
  <w:num w:numId="51" w16cid:durableId="1816406591">
    <w:abstractNumId w:val="104"/>
  </w:num>
  <w:num w:numId="52" w16cid:durableId="130174134">
    <w:abstractNumId w:val="64"/>
  </w:num>
  <w:num w:numId="53" w16cid:durableId="1230069426">
    <w:abstractNumId w:val="28"/>
  </w:num>
  <w:num w:numId="54" w16cid:durableId="42337896">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85653483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252129432">
    <w:abstractNumId w:val="98"/>
    <w:lvlOverride w:ilvl="0">
      <w:startOverride w:val="2"/>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519515778">
    <w:abstractNumId w:val="42"/>
  </w:num>
  <w:num w:numId="58" w16cid:durableId="813334011">
    <w:abstractNumId w:val="93"/>
  </w:num>
  <w:num w:numId="59" w16cid:durableId="1574776318">
    <w:abstractNumId w:val="34"/>
  </w:num>
  <w:num w:numId="60" w16cid:durableId="66539973">
    <w:abstractNumId w:val="11"/>
  </w:num>
  <w:num w:numId="61" w16cid:durableId="1433819657">
    <w:abstractNumId w:val="94"/>
  </w:num>
  <w:num w:numId="62" w16cid:durableId="1473668972">
    <w:abstractNumId w:val="44"/>
  </w:num>
  <w:num w:numId="63" w16cid:durableId="1622952098">
    <w:abstractNumId w:val="73"/>
  </w:num>
  <w:num w:numId="64" w16cid:durableId="1647587290">
    <w:abstractNumId w:val="30"/>
  </w:num>
  <w:num w:numId="65" w16cid:durableId="2079785937">
    <w:abstractNumId w:val="81"/>
  </w:num>
  <w:num w:numId="66" w16cid:durableId="1859201122">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221603685">
    <w:abstractNumId w:val="75"/>
  </w:num>
  <w:num w:numId="68" w16cid:durableId="77407506">
    <w:abstractNumId w:val="105"/>
  </w:num>
  <w:num w:numId="69" w16cid:durableId="169835529">
    <w:abstractNumId w:val="72"/>
  </w:num>
  <w:num w:numId="70" w16cid:durableId="1956280891">
    <w:abstractNumId w:val="61"/>
  </w:num>
  <w:num w:numId="71" w16cid:durableId="1045445005">
    <w:abstractNumId w:val="89"/>
  </w:num>
  <w:num w:numId="72" w16cid:durableId="453714986">
    <w:abstractNumId w:val="49"/>
  </w:num>
  <w:num w:numId="73" w16cid:durableId="649871683">
    <w:abstractNumId w:val="90"/>
  </w:num>
  <w:num w:numId="74" w16cid:durableId="824127988">
    <w:abstractNumId w:val="9"/>
  </w:num>
  <w:num w:numId="75" w16cid:durableId="530847332">
    <w:abstractNumId w:val="16"/>
  </w:num>
  <w:num w:numId="76" w16cid:durableId="1343120576">
    <w:abstractNumId w:val="51"/>
  </w:num>
  <w:num w:numId="77" w16cid:durableId="1138842964">
    <w:abstractNumId w:val="62"/>
  </w:num>
  <w:num w:numId="78" w16cid:durableId="954285998">
    <w:abstractNumId w:val="38"/>
  </w:num>
  <w:num w:numId="79" w16cid:durableId="959384244">
    <w:abstractNumId w:val="77"/>
  </w:num>
  <w:num w:numId="80" w16cid:durableId="317880150">
    <w:abstractNumId w:val="0"/>
  </w:num>
  <w:num w:numId="81" w16cid:durableId="1403068175">
    <w:abstractNumId w:val="74"/>
  </w:num>
  <w:num w:numId="82" w16cid:durableId="1576351600">
    <w:abstractNumId w:val="22"/>
  </w:num>
  <w:num w:numId="83" w16cid:durableId="1161845927">
    <w:abstractNumId w:val="17"/>
  </w:num>
  <w:num w:numId="84" w16cid:durableId="195435612">
    <w:abstractNumId w:val="70"/>
  </w:num>
  <w:num w:numId="85" w16cid:durableId="195778925">
    <w:abstractNumId w:val="88"/>
  </w:num>
  <w:num w:numId="86" w16cid:durableId="718671202">
    <w:abstractNumId w:val="79"/>
  </w:num>
  <w:num w:numId="87" w16cid:durableId="2070765590">
    <w:abstractNumId w:val="1"/>
  </w:num>
  <w:num w:numId="88" w16cid:durableId="1047947728">
    <w:abstractNumId w:val="12"/>
  </w:num>
  <w:num w:numId="89" w16cid:durableId="1913736143">
    <w:abstractNumId w:val="2"/>
  </w:num>
  <w:num w:numId="90" w16cid:durableId="64302967">
    <w:abstractNumId w:val="18"/>
  </w:num>
  <w:num w:numId="91" w16cid:durableId="1647785580">
    <w:abstractNumId w:val="78"/>
  </w:num>
  <w:num w:numId="92" w16cid:durableId="1147169482">
    <w:abstractNumId w:val="76"/>
  </w:num>
  <w:num w:numId="93" w16cid:durableId="1015771154">
    <w:abstractNumId w:val="6"/>
  </w:num>
  <w:num w:numId="94" w16cid:durableId="459611814">
    <w:abstractNumId w:val="103"/>
  </w:num>
  <w:num w:numId="95" w16cid:durableId="193736036">
    <w:abstractNumId w:val="63"/>
  </w:num>
  <w:num w:numId="96" w16cid:durableId="19553766">
    <w:abstractNumId w:val="45"/>
  </w:num>
  <w:num w:numId="97" w16cid:durableId="829910906">
    <w:abstractNumId w:val="83"/>
  </w:num>
  <w:num w:numId="98" w16cid:durableId="1650551933">
    <w:abstractNumId w:val="83"/>
    <w:lvlOverride w:ilvl="0">
      <w:startOverride w:val="1"/>
    </w:lvlOverride>
  </w:num>
  <w:num w:numId="99" w16cid:durableId="1527401142">
    <w:abstractNumId w:val="60"/>
  </w:num>
  <w:num w:numId="100" w16cid:durableId="1671983612">
    <w:abstractNumId w:val="37"/>
  </w:num>
  <w:num w:numId="101" w16cid:durableId="288511598">
    <w:abstractNumId w:val="3"/>
  </w:num>
  <w:num w:numId="102" w16cid:durableId="1500847351">
    <w:abstractNumId w:val="87"/>
  </w:num>
  <w:num w:numId="103" w16cid:durableId="1605991769">
    <w:abstractNumId w:val="86"/>
  </w:num>
  <w:num w:numId="104" w16cid:durableId="1598100755">
    <w:abstractNumId w:val="100"/>
  </w:num>
  <w:num w:numId="105" w16cid:durableId="1672828676">
    <w:abstractNumId w:val="57"/>
  </w:num>
  <w:num w:numId="106" w16cid:durableId="1022244576">
    <w:abstractNumId w:val="56"/>
  </w:num>
  <w:num w:numId="107" w16cid:durableId="519009686">
    <w:abstractNumId w:val="32"/>
  </w:num>
  <w:num w:numId="108" w16cid:durableId="1159157903">
    <w:abstractNumId w:val="8"/>
  </w:num>
  <w:num w:numId="109" w16cid:durableId="1926496534">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2080132878">
    <w:abstractNumId w:val="66"/>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raftWatermark" w:val="1"/>
  </w:docVars>
  <w:rsids>
    <w:rsidRoot w:val="000C6EF6"/>
    <w:rsid w:val="000020C4"/>
    <w:rsid w:val="0000251F"/>
    <w:rsid w:val="00002D31"/>
    <w:rsid w:val="00003385"/>
    <w:rsid w:val="00003A41"/>
    <w:rsid w:val="000047E1"/>
    <w:rsid w:val="00004D97"/>
    <w:rsid w:val="00004DB5"/>
    <w:rsid w:val="000056F6"/>
    <w:rsid w:val="000059BD"/>
    <w:rsid w:val="00005E9E"/>
    <w:rsid w:val="0000607A"/>
    <w:rsid w:val="00006488"/>
    <w:rsid w:val="00006BAE"/>
    <w:rsid w:val="00006D9C"/>
    <w:rsid w:val="00006E5C"/>
    <w:rsid w:val="000073CD"/>
    <w:rsid w:val="000105B1"/>
    <w:rsid w:val="00010A15"/>
    <w:rsid w:val="0001157E"/>
    <w:rsid w:val="000115B5"/>
    <w:rsid w:val="0001188D"/>
    <w:rsid w:val="00012631"/>
    <w:rsid w:val="00012743"/>
    <w:rsid w:val="000128D1"/>
    <w:rsid w:val="00013506"/>
    <w:rsid w:val="00014AB7"/>
    <w:rsid w:val="00015B79"/>
    <w:rsid w:val="00017678"/>
    <w:rsid w:val="00020791"/>
    <w:rsid w:val="0002151F"/>
    <w:rsid w:val="00021DBB"/>
    <w:rsid w:val="00021EE7"/>
    <w:rsid w:val="00022B1E"/>
    <w:rsid w:val="000252AE"/>
    <w:rsid w:val="00025338"/>
    <w:rsid w:val="0002564D"/>
    <w:rsid w:val="00026177"/>
    <w:rsid w:val="00026B61"/>
    <w:rsid w:val="00030EBE"/>
    <w:rsid w:val="00031A4B"/>
    <w:rsid w:val="00031AF3"/>
    <w:rsid w:val="000326F5"/>
    <w:rsid w:val="0003302F"/>
    <w:rsid w:val="0003762C"/>
    <w:rsid w:val="00042D87"/>
    <w:rsid w:val="00042E2E"/>
    <w:rsid w:val="000437D7"/>
    <w:rsid w:val="00044430"/>
    <w:rsid w:val="00045248"/>
    <w:rsid w:val="00045F89"/>
    <w:rsid w:val="00046B45"/>
    <w:rsid w:val="00047785"/>
    <w:rsid w:val="000477A3"/>
    <w:rsid w:val="00047B26"/>
    <w:rsid w:val="0005057D"/>
    <w:rsid w:val="000518DC"/>
    <w:rsid w:val="00051D6A"/>
    <w:rsid w:val="00052B06"/>
    <w:rsid w:val="00052F16"/>
    <w:rsid w:val="000530C8"/>
    <w:rsid w:val="00053329"/>
    <w:rsid w:val="00054D9E"/>
    <w:rsid w:val="00055616"/>
    <w:rsid w:val="00055902"/>
    <w:rsid w:val="000565FD"/>
    <w:rsid w:val="000569FD"/>
    <w:rsid w:val="00057D29"/>
    <w:rsid w:val="000606B0"/>
    <w:rsid w:val="00061D9C"/>
    <w:rsid w:val="0006261B"/>
    <w:rsid w:val="000626EC"/>
    <w:rsid w:val="00063490"/>
    <w:rsid w:val="00065538"/>
    <w:rsid w:val="0006720A"/>
    <w:rsid w:val="00067819"/>
    <w:rsid w:val="000679C9"/>
    <w:rsid w:val="00067A98"/>
    <w:rsid w:val="00067D6F"/>
    <w:rsid w:val="00071583"/>
    <w:rsid w:val="00073474"/>
    <w:rsid w:val="000737B7"/>
    <w:rsid w:val="00073A85"/>
    <w:rsid w:val="000763B4"/>
    <w:rsid w:val="00077AD8"/>
    <w:rsid w:val="00080306"/>
    <w:rsid w:val="0008097C"/>
    <w:rsid w:val="0008181E"/>
    <w:rsid w:val="00082F11"/>
    <w:rsid w:val="00084868"/>
    <w:rsid w:val="00085987"/>
    <w:rsid w:val="00086E20"/>
    <w:rsid w:val="00086EE0"/>
    <w:rsid w:val="00087722"/>
    <w:rsid w:val="00087D75"/>
    <w:rsid w:val="00087EDE"/>
    <w:rsid w:val="00091100"/>
    <w:rsid w:val="0009121F"/>
    <w:rsid w:val="000925D2"/>
    <w:rsid w:val="00093DF9"/>
    <w:rsid w:val="0009435F"/>
    <w:rsid w:val="00094458"/>
    <w:rsid w:val="000944A7"/>
    <w:rsid w:val="00094FBC"/>
    <w:rsid w:val="000962B3"/>
    <w:rsid w:val="0009689A"/>
    <w:rsid w:val="0009721E"/>
    <w:rsid w:val="000974AB"/>
    <w:rsid w:val="0009763E"/>
    <w:rsid w:val="000A12DC"/>
    <w:rsid w:val="000A261E"/>
    <w:rsid w:val="000A2684"/>
    <w:rsid w:val="000A26DB"/>
    <w:rsid w:val="000A28A3"/>
    <w:rsid w:val="000A55B5"/>
    <w:rsid w:val="000A572A"/>
    <w:rsid w:val="000A60ED"/>
    <w:rsid w:val="000B02E6"/>
    <w:rsid w:val="000B0C19"/>
    <w:rsid w:val="000B1A0F"/>
    <w:rsid w:val="000B1E4E"/>
    <w:rsid w:val="000B34AA"/>
    <w:rsid w:val="000B3D52"/>
    <w:rsid w:val="000B41A9"/>
    <w:rsid w:val="000B448D"/>
    <w:rsid w:val="000B707C"/>
    <w:rsid w:val="000B71BB"/>
    <w:rsid w:val="000B7254"/>
    <w:rsid w:val="000B78D8"/>
    <w:rsid w:val="000C163F"/>
    <w:rsid w:val="000C1A4F"/>
    <w:rsid w:val="000C2622"/>
    <w:rsid w:val="000C44A9"/>
    <w:rsid w:val="000C4899"/>
    <w:rsid w:val="000C6A1D"/>
    <w:rsid w:val="000C6D10"/>
    <w:rsid w:val="000C6EF6"/>
    <w:rsid w:val="000D10DF"/>
    <w:rsid w:val="000D12CB"/>
    <w:rsid w:val="000D1EAB"/>
    <w:rsid w:val="000D2B40"/>
    <w:rsid w:val="000D2CE4"/>
    <w:rsid w:val="000D3175"/>
    <w:rsid w:val="000D39B6"/>
    <w:rsid w:val="000D437F"/>
    <w:rsid w:val="000D47FF"/>
    <w:rsid w:val="000D49E6"/>
    <w:rsid w:val="000E06C1"/>
    <w:rsid w:val="000E1597"/>
    <w:rsid w:val="000E1E05"/>
    <w:rsid w:val="000E238B"/>
    <w:rsid w:val="000E28F7"/>
    <w:rsid w:val="000E2F47"/>
    <w:rsid w:val="000E3608"/>
    <w:rsid w:val="000E4080"/>
    <w:rsid w:val="000E4FA5"/>
    <w:rsid w:val="000E5B4A"/>
    <w:rsid w:val="000E6DC3"/>
    <w:rsid w:val="000E73A8"/>
    <w:rsid w:val="000E76B6"/>
    <w:rsid w:val="000F0839"/>
    <w:rsid w:val="000F083C"/>
    <w:rsid w:val="000F08B8"/>
    <w:rsid w:val="000F0EC2"/>
    <w:rsid w:val="000F0F20"/>
    <w:rsid w:val="000F1302"/>
    <w:rsid w:val="000F164D"/>
    <w:rsid w:val="000F1942"/>
    <w:rsid w:val="000F3BB4"/>
    <w:rsid w:val="000F3C23"/>
    <w:rsid w:val="000F5338"/>
    <w:rsid w:val="000F5B6B"/>
    <w:rsid w:val="000F671F"/>
    <w:rsid w:val="000F78C2"/>
    <w:rsid w:val="001007F1"/>
    <w:rsid w:val="00102F36"/>
    <w:rsid w:val="0010518B"/>
    <w:rsid w:val="00106C26"/>
    <w:rsid w:val="00107B86"/>
    <w:rsid w:val="00113921"/>
    <w:rsid w:val="00113A6A"/>
    <w:rsid w:val="00115418"/>
    <w:rsid w:val="001154EE"/>
    <w:rsid w:val="00115504"/>
    <w:rsid w:val="00116820"/>
    <w:rsid w:val="00117A7B"/>
    <w:rsid w:val="00123212"/>
    <w:rsid w:val="0012379A"/>
    <w:rsid w:val="00123924"/>
    <w:rsid w:val="00124967"/>
    <w:rsid w:val="001267F8"/>
    <w:rsid w:val="00126AF8"/>
    <w:rsid w:val="001277AA"/>
    <w:rsid w:val="00130EB6"/>
    <w:rsid w:val="001326A2"/>
    <w:rsid w:val="0013387F"/>
    <w:rsid w:val="00133AAE"/>
    <w:rsid w:val="0013433F"/>
    <w:rsid w:val="0013442B"/>
    <w:rsid w:val="001357D8"/>
    <w:rsid w:val="00136002"/>
    <w:rsid w:val="0014174E"/>
    <w:rsid w:val="00141953"/>
    <w:rsid w:val="00142918"/>
    <w:rsid w:val="00144654"/>
    <w:rsid w:val="00144F26"/>
    <w:rsid w:val="00144F40"/>
    <w:rsid w:val="00151541"/>
    <w:rsid w:val="00151E18"/>
    <w:rsid w:val="00153C08"/>
    <w:rsid w:val="00153FDF"/>
    <w:rsid w:val="00154081"/>
    <w:rsid w:val="00154DEE"/>
    <w:rsid w:val="00157BD3"/>
    <w:rsid w:val="001601C6"/>
    <w:rsid w:val="00160200"/>
    <w:rsid w:val="00160388"/>
    <w:rsid w:val="00160DDD"/>
    <w:rsid w:val="00161266"/>
    <w:rsid w:val="0016206D"/>
    <w:rsid w:val="001621F7"/>
    <w:rsid w:val="001627E5"/>
    <w:rsid w:val="00163396"/>
    <w:rsid w:val="00163E9F"/>
    <w:rsid w:val="00164007"/>
    <w:rsid w:val="001645CE"/>
    <w:rsid w:val="0016500B"/>
    <w:rsid w:val="0016530D"/>
    <w:rsid w:val="0016548A"/>
    <w:rsid w:val="001654A0"/>
    <w:rsid w:val="0016559E"/>
    <w:rsid w:val="00166527"/>
    <w:rsid w:val="00170B34"/>
    <w:rsid w:val="001726C1"/>
    <w:rsid w:val="00172AEC"/>
    <w:rsid w:val="00175B96"/>
    <w:rsid w:val="00176984"/>
    <w:rsid w:val="00176B9F"/>
    <w:rsid w:val="00182399"/>
    <w:rsid w:val="001831E0"/>
    <w:rsid w:val="00183B16"/>
    <w:rsid w:val="00184289"/>
    <w:rsid w:val="00186034"/>
    <w:rsid w:val="00186806"/>
    <w:rsid w:val="00187275"/>
    <w:rsid w:val="00187317"/>
    <w:rsid w:val="00187441"/>
    <w:rsid w:val="001907B0"/>
    <w:rsid w:val="00192A4D"/>
    <w:rsid w:val="00192A52"/>
    <w:rsid w:val="00192CAA"/>
    <w:rsid w:val="001932D3"/>
    <w:rsid w:val="00193640"/>
    <w:rsid w:val="00194260"/>
    <w:rsid w:val="001956F2"/>
    <w:rsid w:val="0019647F"/>
    <w:rsid w:val="00196EE3"/>
    <w:rsid w:val="001973D8"/>
    <w:rsid w:val="00197864"/>
    <w:rsid w:val="001A058B"/>
    <w:rsid w:val="001A0693"/>
    <w:rsid w:val="001A339B"/>
    <w:rsid w:val="001A4D07"/>
    <w:rsid w:val="001A5500"/>
    <w:rsid w:val="001A65C0"/>
    <w:rsid w:val="001A6BB9"/>
    <w:rsid w:val="001A6CD4"/>
    <w:rsid w:val="001A6F1E"/>
    <w:rsid w:val="001A7582"/>
    <w:rsid w:val="001B0245"/>
    <w:rsid w:val="001B0C85"/>
    <w:rsid w:val="001B1826"/>
    <w:rsid w:val="001B36F4"/>
    <w:rsid w:val="001B4554"/>
    <w:rsid w:val="001B5ABC"/>
    <w:rsid w:val="001B7DDF"/>
    <w:rsid w:val="001C03D6"/>
    <w:rsid w:val="001C1757"/>
    <w:rsid w:val="001C1979"/>
    <w:rsid w:val="001C35D5"/>
    <w:rsid w:val="001C4279"/>
    <w:rsid w:val="001C5E38"/>
    <w:rsid w:val="001C6D4D"/>
    <w:rsid w:val="001C7078"/>
    <w:rsid w:val="001D08C7"/>
    <w:rsid w:val="001D1AF0"/>
    <w:rsid w:val="001D4E85"/>
    <w:rsid w:val="001D6B18"/>
    <w:rsid w:val="001E3CC4"/>
    <w:rsid w:val="001E3EF0"/>
    <w:rsid w:val="001E4BFF"/>
    <w:rsid w:val="001F08ED"/>
    <w:rsid w:val="001F2243"/>
    <w:rsid w:val="001F457C"/>
    <w:rsid w:val="001F61EE"/>
    <w:rsid w:val="001F6EC1"/>
    <w:rsid w:val="001F7283"/>
    <w:rsid w:val="001F788E"/>
    <w:rsid w:val="002016B0"/>
    <w:rsid w:val="00201813"/>
    <w:rsid w:val="00202AD5"/>
    <w:rsid w:val="0020399F"/>
    <w:rsid w:val="0020411B"/>
    <w:rsid w:val="002054BE"/>
    <w:rsid w:val="00210FC3"/>
    <w:rsid w:val="00211D7F"/>
    <w:rsid w:val="002128E5"/>
    <w:rsid w:val="00212E62"/>
    <w:rsid w:val="00213715"/>
    <w:rsid w:val="00214509"/>
    <w:rsid w:val="00214933"/>
    <w:rsid w:val="00216076"/>
    <w:rsid w:val="002165CD"/>
    <w:rsid w:val="00216C38"/>
    <w:rsid w:val="002170C2"/>
    <w:rsid w:val="00217139"/>
    <w:rsid w:val="002201AB"/>
    <w:rsid w:val="00220522"/>
    <w:rsid w:val="00221445"/>
    <w:rsid w:val="00221842"/>
    <w:rsid w:val="002227C3"/>
    <w:rsid w:val="0022292F"/>
    <w:rsid w:val="002231E0"/>
    <w:rsid w:val="00225030"/>
    <w:rsid w:val="00225E37"/>
    <w:rsid w:val="002271A4"/>
    <w:rsid w:val="0022745C"/>
    <w:rsid w:val="00230EAC"/>
    <w:rsid w:val="00232032"/>
    <w:rsid w:val="00232758"/>
    <w:rsid w:val="00235CC9"/>
    <w:rsid w:val="00236FAB"/>
    <w:rsid w:val="0023712B"/>
    <w:rsid w:val="00240C3F"/>
    <w:rsid w:val="00241643"/>
    <w:rsid w:val="0024312C"/>
    <w:rsid w:val="00243626"/>
    <w:rsid w:val="00243B53"/>
    <w:rsid w:val="00246C52"/>
    <w:rsid w:val="002506C3"/>
    <w:rsid w:val="00251296"/>
    <w:rsid w:val="002513F0"/>
    <w:rsid w:val="00252391"/>
    <w:rsid w:val="0025240D"/>
    <w:rsid w:val="00252A60"/>
    <w:rsid w:val="002537B4"/>
    <w:rsid w:val="002553C0"/>
    <w:rsid w:val="00257AD9"/>
    <w:rsid w:val="00260F1F"/>
    <w:rsid w:val="0026197D"/>
    <w:rsid w:val="002623E4"/>
    <w:rsid w:val="002625A2"/>
    <w:rsid w:val="002635D1"/>
    <w:rsid w:val="00266274"/>
    <w:rsid w:val="00272B99"/>
    <w:rsid w:val="00276999"/>
    <w:rsid w:val="00276D63"/>
    <w:rsid w:val="00277680"/>
    <w:rsid w:val="00277AB2"/>
    <w:rsid w:val="002805FF"/>
    <w:rsid w:val="0028209C"/>
    <w:rsid w:val="002820F2"/>
    <w:rsid w:val="002830BF"/>
    <w:rsid w:val="00283147"/>
    <w:rsid w:val="00283B24"/>
    <w:rsid w:val="00283F1D"/>
    <w:rsid w:val="00285CBC"/>
    <w:rsid w:val="00286005"/>
    <w:rsid w:val="00287D27"/>
    <w:rsid w:val="00290133"/>
    <w:rsid w:val="002948BD"/>
    <w:rsid w:val="00294CCA"/>
    <w:rsid w:val="0029502B"/>
    <w:rsid w:val="00296388"/>
    <w:rsid w:val="00296CC2"/>
    <w:rsid w:val="0029763B"/>
    <w:rsid w:val="002A2B07"/>
    <w:rsid w:val="002A303C"/>
    <w:rsid w:val="002A3B0F"/>
    <w:rsid w:val="002A67A3"/>
    <w:rsid w:val="002A7A97"/>
    <w:rsid w:val="002A7FE9"/>
    <w:rsid w:val="002B13A8"/>
    <w:rsid w:val="002B1766"/>
    <w:rsid w:val="002B5F52"/>
    <w:rsid w:val="002B600B"/>
    <w:rsid w:val="002B6C20"/>
    <w:rsid w:val="002B6EE7"/>
    <w:rsid w:val="002B7033"/>
    <w:rsid w:val="002B75AD"/>
    <w:rsid w:val="002C20B7"/>
    <w:rsid w:val="002C2518"/>
    <w:rsid w:val="002C28CF"/>
    <w:rsid w:val="002C29FB"/>
    <w:rsid w:val="002C3992"/>
    <w:rsid w:val="002C3A7F"/>
    <w:rsid w:val="002C4CD5"/>
    <w:rsid w:val="002C51F2"/>
    <w:rsid w:val="002C551E"/>
    <w:rsid w:val="002C6E7F"/>
    <w:rsid w:val="002C75B5"/>
    <w:rsid w:val="002D047C"/>
    <w:rsid w:val="002D07BD"/>
    <w:rsid w:val="002D37C7"/>
    <w:rsid w:val="002D3F12"/>
    <w:rsid w:val="002D5258"/>
    <w:rsid w:val="002D5CBC"/>
    <w:rsid w:val="002D6086"/>
    <w:rsid w:val="002D6232"/>
    <w:rsid w:val="002E1513"/>
    <w:rsid w:val="002E276F"/>
    <w:rsid w:val="002E3700"/>
    <w:rsid w:val="002E3E9D"/>
    <w:rsid w:val="002E4219"/>
    <w:rsid w:val="002E51C9"/>
    <w:rsid w:val="002E583B"/>
    <w:rsid w:val="002F03E9"/>
    <w:rsid w:val="002F1D3F"/>
    <w:rsid w:val="002F27DA"/>
    <w:rsid w:val="002F3B83"/>
    <w:rsid w:val="002F4933"/>
    <w:rsid w:val="002F5291"/>
    <w:rsid w:val="002F7E33"/>
    <w:rsid w:val="00301270"/>
    <w:rsid w:val="00303A15"/>
    <w:rsid w:val="00304094"/>
    <w:rsid w:val="00306C67"/>
    <w:rsid w:val="00306E3F"/>
    <w:rsid w:val="00313156"/>
    <w:rsid w:val="00314508"/>
    <w:rsid w:val="003146B6"/>
    <w:rsid w:val="003149D6"/>
    <w:rsid w:val="00315A65"/>
    <w:rsid w:val="00316CA6"/>
    <w:rsid w:val="0031717B"/>
    <w:rsid w:val="003201FA"/>
    <w:rsid w:val="00320473"/>
    <w:rsid w:val="003207D8"/>
    <w:rsid w:val="003214EC"/>
    <w:rsid w:val="00321510"/>
    <w:rsid w:val="003218E5"/>
    <w:rsid w:val="00321B43"/>
    <w:rsid w:val="003222A9"/>
    <w:rsid w:val="003224F6"/>
    <w:rsid w:val="00322B08"/>
    <w:rsid w:val="0032339D"/>
    <w:rsid w:val="00324F23"/>
    <w:rsid w:val="003260E1"/>
    <w:rsid w:val="003266D5"/>
    <w:rsid w:val="003268AB"/>
    <w:rsid w:val="00326D88"/>
    <w:rsid w:val="00331548"/>
    <w:rsid w:val="0033432F"/>
    <w:rsid w:val="003346A7"/>
    <w:rsid w:val="003349D9"/>
    <w:rsid w:val="00336596"/>
    <w:rsid w:val="003371B3"/>
    <w:rsid w:val="00337B19"/>
    <w:rsid w:val="00337F78"/>
    <w:rsid w:val="0034025B"/>
    <w:rsid w:val="0034040A"/>
    <w:rsid w:val="0034057F"/>
    <w:rsid w:val="00341E72"/>
    <w:rsid w:val="003433A4"/>
    <w:rsid w:val="003448A2"/>
    <w:rsid w:val="00344FB2"/>
    <w:rsid w:val="0034526B"/>
    <w:rsid w:val="00345851"/>
    <w:rsid w:val="00345C5B"/>
    <w:rsid w:val="00350161"/>
    <w:rsid w:val="003518B8"/>
    <w:rsid w:val="00352779"/>
    <w:rsid w:val="00352C20"/>
    <w:rsid w:val="003532B5"/>
    <w:rsid w:val="00353776"/>
    <w:rsid w:val="0035541D"/>
    <w:rsid w:val="003554DE"/>
    <w:rsid w:val="003563E7"/>
    <w:rsid w:val="00356D86"/>
    <w:rsid w:val="0035709C"/>
    <w:rsid w:val="003577FE"/>
    <w:rsid w:val="00357B09"/>
    <w:rsid w:val="00361A57"/>
    <w:rsid w:val="0036213A"/>
    <w:rsid w:val="00362E4B"/>
    <w:rsid w:val="00363111"/>
    <w:rsid w:val="0036502D"/>
    <w:rsid w:val="00365566"/>
    <w:rsid w:val="0037321A"/>
    <w:rsid w:val="003732BF"/>
    <w:rsid w:val="0037330B"/>
    <w:rsid w:val="00375605"/>
    <w:rsid w:val="003757ED"/>
    <w:rsid w:val="00376372"/>
    <w:rsid w:val="00376B9F"/>
    <w:rsid w:val="003773BF"/>
    <w:rsid w:val="003807D3"/>
    <w:rsid w:val="003809F9"/>
    <w:rsid w:val="00381868"/>
    <w:rsid w:val="00381D65"/>
    <w:rsid w:val="003820F9"/>
    <w:rsid w:val="00382555"/>
    <w:rsid w:val="0038351B"/>
    <w:rsid w:val="00384BB0"/>
    <w:rsid w:val="003853F7"/>
    <w:rsid w:val="00386605"/>
    <w:rsid w:val="00387B40"/>
    <w:rsid w:val="0039045A"/>
    <w:rsid w:val="0039117B"/>
    <w:rsid w:val="003924F9"/>
    <w:rsid w:val="00393893"/>
    <w:rsid w:val="00393C5F"/>
    <w:rsid w:val="00394E1A"/>
    <w:rsid w:val="00394EA1"/>
    <w:rsid w:val="00396067"/>
    <w:rsid w:val="003962D2"/>
    <w:rsid w:val="003963D9"/>
    <w:rsid w:val="00396677"/>
    <w:rsid w:val="003966C6"/>
    <w:rsid w:val="00396C40"/>
    <w:rsid w:val="00396E95"/>
    <w:rsid w:val="00397EE0"/>
    <w:rsid w:val="003A00C3"/>
    <w:rsid w:val="003A25AE"/>
    <w:rsid w:val="003A2F2D"/>
    <w:rsid w:val="003A33EC"/>
    <w:rsid w:val="003A4D90"/>
    <w:rsid w:val="003A50E9"/>
    <w:rsid w:val="003A5FDA"/>
    <w:rsid w:val="003A609B"/>
    <w:rsid w:val="003A6BC7"/>
    <w:rsid w:val="003B0A50"/>
    <w:rsid w:val="003B2780"/>
    <w:rsid w:val="003B2F85"/>
    <w:rsid w:val="003B3225"/>
    <w:rsid w:val="003B33F2"/>
    <w:rsid w:val="003B3E3F"/>
    <w:rsid w:val="003B3E7D"/>
    <w:rsid w:val="003B5474"/>
    <w:rsid w:val="003B57C1"/>
    <w:rsid w:val="003B58E8"/>
    <w:rsid w:val="003B635A"/>
    <w:rsid w:val="003B6604"/>
    <w:rsid w:val="003B6777"/>
    <w:rsid w:val="003C1807"/>
    <w:rsid w:val="003C2715"/>
    <w:rsid w:val="003C4FF6"/>
    <w:rsid w:val="003C5982"/>
    <w:rsid w:val="003C5E40"/>
    <w:rsid w:val="003C5E80"/>
    <w:rsid w:val="003D01CD"/>
    <w:rsid w:val="003D0CD8"/>
    <w:rsid w:val="003D1288"/>
    <w:rsid w:val="003D28FF"/>
    <w:rsid w:val="003D2AE3"/>
    <w:rsid w:val="003D3370"/>
    <w:rsid w:val="003D4CCB"/>
    <w:rsid w:val="003D56AE"/>
    <w:rsid w:val="003D5B37"/>
    <w:rsid w:val="003D6142"/>
    <w:rsid w:val="003D74C3"/>
    <w:rsid w:val="003E0397"/>
    <w:rsid w:val="003E50BE"/>
    <w:rsid w:val="003E5973"/>
    <w:rsid w:val="003E5B1C"/>
    <w:rsid w:val="003F0C8A"/>
    <w:rsid w:val="003F0EBE"/>
    <w:rsid w:val="003F2FED"/>
    <w:rsid w:val="003F41CE"/>
    <w:rsid w:val="003F47B1"/>
    <w:rsid w:val="003F507A"/>
    <w:rsid w:val="003F551B"/>
    <w:rsid w:val="0040216C"/>
    <w:rsid w:val="00402984"/>
    <w:rsid w:val="00402C24"/>
    <w:rsid w:val="004033C9"/>
    <w:rsid w:val="00403457"/>
    <w:rsid w:val="00403EAB"/>
    <w:rsid w:val="004041A9"/>
    <w:rsid w:val="00404BCC"/>
    <w:rsid w:val="004070A8"/>
    <w:rsid w:val="0040714A"/>
    <w:rsid w:val="004077E7"/>
    <w:rsid w:val="00407E36"/>
    <w:rsid w:val="0041164B"/>
    <w:rsid w:val="00411ECA"/>
    <w:rsid w:val="0041236D"/>
    <w:rsid w:val="00412DFD"/>
    <w:rsid w:val="00413376"/>
    <w:rsid w:val="004143E2"/>
    <w:rsid w:val="00415057"/>
    <w:rsid w:val="00415071"/>
    <w:rsid w:val="0041530E"/>
    <w:rsid w:val="00415E8E"/>
    <w:rsid w:val="00416B6B"/>
    <w:rsid w:val="00416B71"/>
    <w:rsid w:val="00416E80"/>
    <w:rsid w:val="0041778C"/>
    <w:rsid w:val="00417C31"/>
    <w:rsid w:val="00423449"/>
    <w:rsid w:val="00423B27"/>
    <w:rsid w:val="00423D8E"/>
    <w:rsid w:val="00423E05"/>
    <w:rsid w:val="00424555"/>
    <w:rsid w:val="004255E6"/>
    <w:rsid w:val="00425BF9"/>
    <w:rsid w:val="00425DFD"/>
    <w:rsid w:val="004262B5"/>
    <w:rsid w:val="0042737F"/>
    <w:rsid w:val="004274EE"/>
    <w:rsid w:val="00430167"/>
    <w:rsid w:val="00430BAE"/>
    <w:rsid w:val="00430D64"/>
    <w:rsid w:val="00431151"/>
    <w:rsid w:val="00437520"/>
    <w:rsid w:val="004379B2"/>
    <w:rsid w:val="0044078C"/>
    <w:rsid w:val="00440FC1"/>
    <w:rsid w:val="004411CF"/>
    <w:rsid w:val="0044131D"/>
    <w:rsid w:val="0044141B"/>
    <w:rsid w:val="00443DEA"/>
    <w:rsid w:val="00444F48"/>
    <w:rsid w:val="00444FB9"/>
    <w:rsid w:val="0044649C"/>
    <w:rsid w:val="00446951"/>
    <w:rsid w:val="00446CD5"/>
    <w:rsid w:val="00446CDF"/>
    <w:rsid w:val="00450E3E"/>
    <w:rsid w:val="00452D57"/>
    <w:rsid w:val="004530F6"/>
    <w:rsid w:val="004538CC"/>
    <w:rsid w:val="004538F8"/>
    <w:rsid w:val="00453AF4"/>
    <w:rsid w:val="00454C70"/>
    <w:rsid w:val="00454DF2"/>
    <w:rsid w:val="00455824"/>
    <w:rsid w:val="00455C37"/>
    <w:rsid w:val="00460307"/>
    <w:rsid w:val="00460679"/>
    <w:rsid w:val="00460B1A"/>
    <w:rsid w:val="0046109D"/>
    <w:rsid w:val="00461A7A"/>
    <w:rsid w:val="00462D03"/>
    <w:rsid w:val="0046359F"/>
    <w:rsid w:val="00463EB9"/>
    <w:rsid w:val="00463EF5"/>
    <w:rsid w:val="00464715"/>
    <w:rsid w:val="00465AC8"/>
    <w:rsid w:val="004665F5"/>
    <w:rsid w:val="004668FD"/>
    <w:rsid w:val="0047181D"/>
    <w:rsid w:val="00471B70"/>
    <w:rsid w:val="00472DC2"/>
    <w:rsid w:val="00474A55"/>
    <w:rsid w:val="00474BBE"/>
    <w:rsid w:val="0047513D"/>
    <w:rsid w:val="0047597D"/>
    <w:rsid w:val="004760BF"/>
    <w:rsid w:val="00476448"/>
    <w:rsid w:val="00476633"/>
    <w:rsid w:val="00480458"/>
    <w:rsid w:val="004805BD"/>
    <w:rsid w:val="004812E2"/>
    <w:rsid w:val="004822F9"/>
    <w:rsid w:val="00484776"/>
    <w:rsid w:val="004848CB"/>
    <w:rsid w:val="00486383"/>
    <w:rsid w:val="004866E3"/>
    <w:rsid w:val="00486BA8"/>
    <w:rsid w:val="004873DF"/>
    <w:rsid w:val="00487798"/>
    <w:rsid w:val="0049045B"/>
    <w:rsid w:val="004916C8"/>
    <w:rsid w:val="00493776"/>
    <w:rsid w:val="004953B1"/>
    <w:rsid w:val="00495EC9"/>
    <w:rsid w:val="0049637C"/>
    <w:rsid w:val="00496560"/>
    <w:rsid w:val="004965DF"/>
    <w:rsid w:val="004A1825"/>
    <w:rsid w:val="004A2CA0"/>
    <w:rsid w:val="004A347E"/>
    <w:rsid w:val="004A527C"/>
    <w:rsid w:val="004A57EB"/>
    <w:rsid w:val="004B0317"/>
    <w:rsid w:val="004B0C10"/>
    <w:rsid w:val="004B0E59"/>
    <w:rsid w:val="004B2B70"/>
    <w:rsid w:val="004B2D1B"/>
    <w:rsid w:val="004B3C05"/>
    <w:rsid w:val="004B4DFA"/>
    <w:rsid w:val="004B767D"/>
    <w:rsid w:val="004C022D"/>
    <w:rsid w:val="004C0EAF"/>
    <w:rsid w:val="004C1569"/>
    <w:rsid w:val="004C1631"/>
    <w:rsid w:val="004C1E1A"/>
    <w:rsid w:val="004C22B9"/>
    <w:rsid w:val="004C2BDC"/>
    <w:rsid w:val="004C41DF"/>
    <w:rsid w:val="004C5CB5"/>
    <w:rsid w:val="004C70DD"/>
    <w:rsid w:val="004C7817"/>
    <w:rsid w:val="004D0341"/>
    <w:rsid w:val="004D146A"/>
    <w:rsid w:val="004D24CA"/>
    <w:rsid w:val="004D31CC"/>
    <w:rsid w:val="004D3727"/>
    <w:rsid w:val="004D3A5D"/>
    <w:rsid w:val="004D4D69"/>
    <w:rsid w:val="004D71EC"/>
    <w:rsid w:val="004E08CA"/>
    <w:rsid w:val="004E125F"/>
    <w:rsid w:val="004E19E9"/>
    <w:rsid w:val="004E2CFE"/>
    <w:rsid w:val="004E3007"/>
    <w:rsid w:val="004E3B55"/>
    <w:rsid w:val="004E69EA"/>
    <w:rsid w:val="004E6C22"/>
    <w:rsid w:val="004E6E64"/>
    <w:rsid w:val="004E759F"/>
    <w:rsid w:val="004F018C"/>
    <w:rsid w:val="004F0C97"/>
    <w:rsid w:val="004F26A8"/>
    <w:rsid w:val="004F2F61"/>
    <w:rsid w:val="004F3CFA"/>
    <w:rsid w:val="004F4587"/>
    <w:rsid w:val="004F45A7"/>
    <w:rsid w:val="004F5661"/>
    <w:rsid w:val="004F597D"/>
    <w:rsid w:val="004F69F6"/>
    <w:rsid w:val="004F6CF4"/>
    <w:rsid w:val="004F7D45"/>
    <w:rsid w:val="00502129"/>
    <w:rsid w:val="00502C28"/>
    <w:rsid w:val="00502D77"/>
    <w:rsid w:val="005032E8"/>
    <w:rsid w:val="005035A8"/>
    <w:rsid w:val="00504C24"/>
    <w:rsid w:val="00505441"/>
    <w:rsid w:val="005054F5"/>
    <w:rsid w:val="005063CD"/>
    <w:rsid w:val="005074F1"/>
    <w:rsid w:val="00507F0C"/>
    <w:rsid w:val="005112FD"/>
    <w:rsid w:val="00511AFA"/>
    <w:rsid w:val="00511E87"/>
    <w:rsid w:val="005120AC"/>
    <w:rsid w:val="005128E1"/>
    <w:rsid w:val="00512BAD"/>
    <w:rsid w:val="00513354"/>
    <w:rsid w:val="00513916"/>
    <w:rsid w:val="00514934"/>
    <w:rsid w:val="0051679F"/>
    <w:rsid w:val="00521402"/>
    <w:rsid w:val="00522958"/>
    <w:rsid w:val="00523815"/>
    <w:rsid w:val="00523DFF"/>
    <w:rsid w:val="00524687"/>
    <w:rsid w:val="0052527F"/>
    <w:rsid w:val="00527035"/>
    <w:rsid w:val="0052719C"/>
    <w:rsid w:val="00532AC1"/>
    <w:rsid w:val="00533480"/>
    <w:rsid w:val="00533928"/>
    <w:rsid w:val="00533E51"/>
    <w:rsid w:val="0053437C"/>
    <w:rsid w:val="00534A82"/>
    <w:rsid w:val="00534EBA"/>
    <w:rsid w:val="00535A6D"/>
    <w:rsid w:val="005361EB"/>
    <w:rsid w:val="00541C75"/>
    <w:rsid w:val="00542324"/>
    <w:rsid w:val="00542365"/>
    <w:rsid w:val="00542D88"/>
    <w:rsid w:val="005448A6"/>
    <w:rsid w:val="005456A1"/>
    <w:rsid w:val="00545F14"/>
    <w:rsid w:val="00547188"/>
    <w:rsid w:val="0054748C"/>
    <w:rsid w:val="00547F80"/>
    <w:rsid w:val="00550D37"/>
    <w:rsid w:val="00551D6B"/>
    <w:rsid w:val="005542AE"/>
    <w:rsid w:val="00554AE2"/>
    <w:rsid w:val="00554B56"/>
    <w:rsid w:val="005559F5"/>
    <w:rsid w:val="00555AAA"/>
    <w:rsid w:val="00556C7F"/>
    <w:rsid w:val="00556F35"/>
    <w:rsid w:val="0056171F"/>
    <w:rsid w:val="00562AD6"/>
    <w:rsid w:val="00563A12"/>
    <w:rsid w:val="005649A0"/>
    <w:rsid w:val="00565DBC"/>
    <w:rsid w:val="00566FF7"/>
    <w:rsid w:val="005707C1"/>
    <w:rsid w:val="00571A86"/>
    <w:rsid w:val="005720FC"/>
    <w:rsid w:val="00572853"/>
    <w:rsid w:val="00572AA2"/>
    <w:rsid w:val="005732EC"/>
    <w:rsid w:val="005734EE"/>
    <w:rsid w:val="00573EF5"/>
    <w:rsid w:val="005762BC"/>
    <w:rsid w:val="0057675E"/>
    <w:rsid w:val="00576815"/>
    <w:rsid w:val="00577967"/>
    <w:rsid w:val="00577B31"/>
    <w:rsid w:val="00580A50"/>
    <w:rsid w:val="00582866"/>
    <w:rsid w:val="00582FD5"/>
    <w:rsid w:val="0058411D"/>
    <w:rsid w:val="00585952"/>
    <w:rsid w:val="00585E40"/>
    <w:rsid w:val="00587A93"/>
    <w:rsid w:val="005918AA"/>
    <w:rsid w:val="005927D5"/>
    <w:rsid w:val="005927F2"/>
    <w:rsid w:val="005963D1"/>
    <w:rsid w:val="00596ADB"/>
    <w:rsid w:val="00596C06"/>
    <w:rsid w:val="005973DA"/>
    <w:rsid w:val="005976B6"/>
    <w:rsid w:val="005A0E6E"/>
    <w:rsid w:val="005A0ED9"/>
    <w:rsid w:val="005A158F"/>
    <w:rsid w:val="005A20D0"/>
    <w:rsid w:val="005A2880"/>
    <w:rsid w:val="005A2AC1"/>
    <w:rsid w:val="005A2B1B"/>
    <w:rsid w:val="005A3553"/>
    <w:rsid w:val="005A49E4"/>
    <w:rsid w:val="005A4B28"/>
    <w:rsid w:val="005A4C18"/>
    <w:rsid w:val="005A7180"/>
    <w:rsid w:val="005A7C49"/>
    <w:rsid w:val="005B0A0E"/>
    <w:rsid w:val="005B0B00"/>
    <w:rsid w:val="005B1A4B"/>
    <w:rsid w:val="005B2402"/>
    <w:rsid w:val="005B2E53"/>
    <w:rsid w:val="005B3959"/>
    <w:rsid w:val="005B44DD"/>
    <w:rsid w:val="005B4FED"/>
    <w:rsid w:val="005B5818"/>
    <w:rsid w:val="005B62C5"/>
    <w:rsid w:val="005B6C51"/>
    <w:rsid w:val="005C0519"/>
    <w:rsid w:val="005C3D58"/>
    <w:rsid w:val="005C55F1"/>
    <w:rsid w:val="005C625C"/>
    <w:rsid w:val="005C644E"/>
    <w:rsid w:val="005C66BB"/>
    <w:rsid w:val="005C7F74"/>
    <w:rsid w:val="005D008D"/>
    <w:rsid w:val="005D0334"/>
    <w:rsid w:val="005D1EC6"/>
    <w:rsid w:val="005D205C"/>
    <w:rsid w:val="005D37AD"/>
    <w:rsid w:val="005D3A8F"/>
    <w:rsid w:val="005D423E"/>
    <w:rsid w:val="005D4C17"/>
    <w:rsid w:val="005D5A2D"/>
    <w:rsid w:val="005D62E3"/>
    <w:rsid w:val="005D7650"/>
    <w:rsid w:val="005E06AE"/>
    <w:rsid w:val="005E10D1"/>
    <w:rsid w:val="005E123F"/>
    <w:rsid w:val="005E3028"/>
    <w:rsid w:val="005E3532"/>
    <w:rsid w:val="005E3E79"/>
    <w:rsid w:val="005E4EA3"/>
    <w:rsid w:val="005E74B2"/>
    <w:rsid w:val="005E74BF"/>
    <w:rsid w:val="005F1463"/>
    <w:rsid w:val="005F1514"/>
    <w:rsid w:val="005F2507"/>
    <w:rsid w:val="005F476F"/>
    <w:rsid w:val="005F58E0"/>
    <w:rsid w:val="005F64C0"/>
    <w:rsid w:val="005F6A48"/>
    <w:rsid w:val="005F7704"/>
    <w:rsid w:val="005F7940"/>
    <w:rsid w:val="005F7BF1"/>
    <w:rsid w:val="005F7D17"/>
    <w:rsid w:val="00600595"/>
    <w:rsid w:val="0060145A"/>
    <w:rsid w:val="00602522"/>
    <w:rsid w:val="00602621"/>
    <w:rsid w:val="00603FC1"/>
    <w:rsid w:val="0060427C"/>
    <w:rsid w:val="006056B9"/>
    <w:rsid w:val="00605ACF"/>
    <w:rsid w:val="00606E94"/>
    <w:rsid w:val="00607437"/>
    <w:rsid w:val="006075E0"/>
    <w:rsid w:val="0060779D"/>
    <w:rsid w:val="00607993"/>
    <w:rsid w:val="00607AF4"/>
    <w:rsid w:val="006107FC"/>
    <w:rsid w:val="00611A95"/>
    <w:rsid w:val="00611CC0"/>
    <w:rsid w:val="00613412"/>
    <w:rsid w:val="00614CDF"/>
    <w:rsid w:val="00614D37"/>
    <w:rsid w:val="0061601B"/>
    <w:rsid w:val="00620DDB"/>
    <w:rsid w:val="0062133B"/>
    <w:rsid w:val="00621D53"/>
    <w:rsid w:val="00621EBB"/>
    <w:rsid w:val="006231A8"/>
    <w:rsid w:val="00631279"/>
    <w:rsid w:val="006326CE"/>
    <w:rsid w:val="00632C83"/>
    <w:rsid w:val="00632FF4"/>
    <w:rsid w:val="0063397F"/>
    <w:rsid w:val="00633E85"/>
    <w:rsid w:val="006344B4"/>
    <w:rsid w:val="006361A1"/>
    <w:rsid w:val="00636AE8"/>
    <w:rsid w:val="00637049"/>
    <w:rsid w:val="006375B4"/>
    <w:rsid w:val="00637F45"/>
    <w:rsid w:val="006400E1"/>
    <w:rsid w:val="00640D57"/>
    <w:rsid w:val="0064139F"/>
    <w:rsid w:val="0064162C"/>
    <w:rsid w:val="0064181F"/>
    <w:rsid w:val="00642009"/>
    <w:rsid w:val="0064272A"/>
    <w:rsid w:val="0064303A"/>
    <w:rsid w:val="0064531F"/>
    <w:rsid w:val="00645429"/>
    <w:rsid w:val="00646A3A"/>
    <w:rsid w:val="00646AE2"/>
    <w:rsid w:val="00647843"/>
    <w:rsid w:val="00650263"/>
    <w:rsid w:val="006508FA"/>
    <w:rsid w:val="006509C2"/>
    <w:rsid w:val="0065210B"/>
    <w:rsid w:val="006527CF"/>
    <w:rsid w:val="00652B7C"/>
    <w:rsid w:val="00652C3D"/>
    <w:rsid w:val="00652E42"/>
    <w:rsid w:val="00653A89"/>
    <w:rsid w:val="00654435"/>
    <w:rsid w:val="0065530A"/>
    <w:rsid w:val="00660EBE"/>
    <w:rsid w:val="00661E8D"/>
    <w:rsid w:val="00663589"/>
    <w:rsid w:val="0066389F"/>
    <w:rsid w:val="00664415"/>
    <w:rsid w:val="00664BF4"/>
    <w:rsid w:val="0066644C"/>
    <w:rsid w:val="00670273"/>
    <w:rsid w:val="006709FA"/>
    <w:rsid w:val="00670A8A"/>
    <w:rsid w:val="00671CB8"/>
    <w:rsid w:val="0067382E"/>
    <w:rsid w:val="00673D0D"/>
    <w:rsid w:val="00673F95"/>
    <w:rsid w:val="00674C66"/>
    <w:rsid w:val="00677ADB"/>
    <w:rsid w:val="00681269"/>
    <w:rsid w:val="00681F84"/>
    <w:rsid w:val="0068201D"/>
    <w:rsid w:val="006826ED"/>
    <w:rsid w:val="0068337D"/>
    <w:rsid w:val="00683509"/>
    <w:rsid w:val="006835A7"/>
    <w:rsid w:val="006843F8"/>
    <w:rsid w:val="0068646C"/>
    <w:rsid w:val="006864C6"/>
    <w:rsid w:val="0068659F"/>
    <w:rsid w:val="00690148"/>
    <w:rsid w:val="0069147B"/>
    <w:rsid w:val="006924B6"/>
    <w:rsid w:val="00692996"/>
    <w:rsid w:val="006931BA"/>
    <w:rsid w:val="00693F49"/>
    <w:rsid w:val="00695CF1"/>
    <w:rsid w:val="00697B77"/>
    <w:rsid w:val="00697BAB"/>
    <w:rsid w:val="006A1165"/>
    <w:rsid w:val="006A210F"/>
    <w:rsid w:val="006A2373"/>
    <w:rsid w:val="006A2705"/>
    <w:rsid w:val="006A2FD7"/>
    <w:rsid w:val="006A3149"/>
    <w:rsid w:val="006A5BE6"/>
    <w:rsid w:val="006B0620"/>
    <w:rsid w:val="006B063E"/>
    <w:rsid w:val="006B2747"/>
    <w:rsid w:val="006B2CFB"/>
    <w:rsid w:val="006B3AED"/>
    <w:rsid w:val="006B44EE"/>
    <w:rsid w:val="006B4829"/>
    <w:rsid w:val="006B484B"/>
    <w:rsid w:val="006B5E79"/>
    <w:rsid w:val="006B5FC5"/>
    <w:rsid w:val="006B6488"/>
    <w:rsid w:val="006B6EDB"/>
    <w:rsid w:val="006B6EEF"/>
    <w:rsid w:val="006B6F7A"/>
    <w:rsid w:val="006B7442"/>
    <w:rsid w:val="006C07C0"/>
    <w:rsid w:val="006C123C"/>
    <w:rsid w:val="006C37D0"/>
    <w:rsid w:val="006C3990"/>
    <w:rsid w:val="006C4901"/>
    <w:rsid w:val="006C4B92"/>
    <w:rsid w:val="006C5F66"/>
    <w:rsid w:val="006C66B4"/>
    <w:rsid w:val="006D11C2"/>
    <w:rsid w:val="006D13B1"/>
    <w:rsid w:val="006D1E28"/>
    <w:rsid w:val="006D33EA"/>
    <w:rsid w:val="006D40E8"/>
    <w:rsid w:val="006D58A1"/>
    <w:rsid w:val="006D590A"/>
    <w:rsid w:val="006D61C9"/>
    <w:rsid w:val="006D6781"/>
    <w:rsid w:val="006D7355"/>
    <w:rsid w:val="006D74B7"/>
    <w:rsid w:val="006D774D"/>
    <w:rsid w:val="006D7D4B"/>
    <w:rsid w:val="006E0E5D"/>
    <w:rsid w:val="006E2109"/>
    <w:rsid w:val="006E2C86"/>
    <w:rsid w:val="006E44AD"/>
    <w:rsid w:val="006E45AF"/>
    <w:rsid w:val="006E4A21"/>
    <w:rsid w:val="006E5DD8"/>
    <w:rsid w:val="006F4ACB"/>
    <w:rsid w:val="006F6B1F"/>
    <w:rsid w:val="00700E0D"/>
    <w:rsid w:val="00701570"/>
    <w:rsid w:val="007017CC"/>
    <w:rsid w:val="007045E9"/>
    <w:rsid w:val="00704A8C"/>
    <w:rsid w:val="0070541D"/>
    <w:rsid w:val="007058B8"/>
    <w:rsid w:val="00706E5D"/>
    <w:rsid w:val="0070704A"/>
    <w:rsid w:val="007070D4"/>
    <w:rsid w:val="007100DD"/>
    <w:rsid w:val="007101BF"/>
    <w:rsid w:val="007123D0"/>
    <w:rsid w:val="00712726"/>
    <w:rsid w:val="0071425F"/>
    <w:rsid w:val="007149CC"/>
    <w:rsid w:val="00714C54"/>
    <w:rsid w:val="00715134"/>
    <w:rsid w:val="00715204"/>
    <w:rsid w:val="00715651"/>
    <w:rsid w:val="00715789"/>
    <w:rsid w:val="007157A8"/>
    <w:rsid w:val="00715B62"/>
    <w:rsid w:val="00715F76"/>
    <w:rsid w:val="00716651"/>
    <w:rsid w:val="007170D4"/>
    <w:rsid w:val="00717BDE"/>
    <w:rsid w:val="00717F87"/>
    <w:rsid w:val="00721499"/>
    <w:rsid w:val="00722067"/>
    <w:rsid w:val="00722628"/>
    <w:rsid w:val="007229F1"/>
    <w:rsid w:val="00722F9C"/>
    <w:rsid w:val="00723631"/>
    <w:rsid w:val="00723D0B"/>
    <w:rsid w:val="00723EDD"/>
    <w:rsid w:val="00723F9E"/>
    <w:rsid w:val="0072496C"/>
    <w:rsid w:val="00726659"/>
    <w:rsid w:val="00727AF4"/>
    <w:rsid w:val="0073157E"/>
    <w:rsid w:val="0073241C"/>
    <w:rsid w:val="007333E9"/>
    <w:rsid w:val="007335EE"/>
    <w:rsid w:val="00734EB6"/>
    <w:rsid w:val="00735583"/>
    <w:rsid w:val="00736EBC"/>
    <w:rsid w:val="0074176D"/>
    <w:rsid w:val="007420EB"/>
    <w:rsid w:val="00744DEC"/>
    <w:rsid w:val="00745B6B"/>
    <w:rsid w:val="00745EB7"/>
    <w:rsid w:val="00746118"/>
    <w:rsid w:val="007470D0"/>
    <w:rsid w:val="007507B9"/>
    <w:rsid w:val="00751852"/>
    <w:rsid w:val="007530B6"/>
    <w:rsid w:val="00754A13"/>
    <w:rsid w:val="00754E27"/>
    <w:rsid w:val="007560F5"/>
    <w:rsid w:val="00756F13"/>
    <w:rsid w:val="007628D9"/>
    <w:rsid w:val="0076353C"/>
    <w:rsid w:val="007640F8"/>
    <w:rsid w:val="00765024"/>
    <w:rsid w:val="00765E9A"/>
    <w:rsid w:val="0076609C"/>
    <w:rsid w:val="00766B41"/>
    <w:rsid w:val="007700D8"/>
    <w:rsid w:val="00771100"/>
    <w:rsid w:val="00771263"/>
    <w:rsid w:val="00771860"/>
    <w:rsid w:val="00773875"/>
    <w:rsid w:val="00773E3B"/>
    <w:rsid w:val="0077422B"/>
    <w:rsid w:val="00774419"/>
    <w:rsid w:val="00774729"/>
    <w:rsid w:val="00774CA1"/>
    <w:rsid w:val="00774FE5"/>
    <w:rsid w:val="00775612"/>
    <w:rsid w:val="00776921"/>
    <w:rsid w:val="007772FA"/>
    <w:rsid w:val="00777ADD"/>
    <w:rsid w:val="0078012E"/>
    <w:rsid w:val="00780E93"/>
    <w:rsid w:val="007813C4"/>
    <w:rsid w:val="007813F3"/>
    <w:rsid w:val="00781C68"/>
    <w:rsid w:val="00782167"/>
    <w:rsid w:val="007827B9"/>
    <w:rsid w:val="0078477D"/>
    <w:rsid w:val="007859A6"/>
    <w:rsid w:val="007861FE"/>
    <w:rsid w:val="007870A7"/>
    <w:rsid w:val="00787F75"/>
    <w:rsid w:val="0079179E"/>
    <w:rsid w:val="00794A03"/>
    <w:rsid w:val="00794F03"/>
    <w:rsid w:val="007951DF"/>
    <w:rsid w:val="00796E60"/>
    <w:rsid w:val="0079703D"/>
    <w:rsid w:val="007A11F4"/>
    <w:rsid w:val="007A28A7"/>
    <w:rsid w:val="007A32E8"/>
    <w:rsid w:val="007A3D55"/>
    <w:rsid w:val="007A4C09"/>
    <w:rsid w:val="007A5D88"/>
    <w:rsid w:val="007A6B4E"/>
    <w:rsid w:val="007B4826"/>
    <w:rsid w:val="007B5408"/>
    <w:rsid w:val="007C01F3"/>
    <w:rsid w:val="007C0616"/>
    <w:rsid w:val="007C1EE8"/>
    <w:rsid w:val="007C267D"/>
    <w:rsid w:val="007C39B6"/>
    <w:rsid w:val="007C3B34"/>
    <w:rsid w:val="007C5867"/>
    <w:rsid w:val="007C5F59"/>
    <w:rsid w:val="007C64D1"/>
    <w:rsid w:val="007C66F6"/>
    <w:rsid w:val="007C756B"/>
    <w:rsid w:val="007C7A57"/>
    <w:rsid w:val="007D0B56"/>
    <w:rsid w:val="007D1377"/>
    <w:rsid w:val="007D1BA9"/>
    <w:rsid w:val="007D3444"/>
    <w:rsid w:val="007D398C"/>
    <w:rsid w:val="007D4DB7"/>
    <w:rsid w:val="007D6F5F"/>
    <w:rsid w:val="007D7278"/>
    <w:rsid w:val="007D7C46"/>
    <w:rsid w:val="007D7CE5"/>
    <w:rsid w:val="007E1079"/>
    <w:rsid w:val="007E1A0D"/>
    <w:rsid w:val="007E3F8A"/>
    <w:rsid w:val="007E3FC6"/>
    <w:rsid w:val="007E5389"/>
    <w:rsid w:val="007E58B8"/>
    <w:rsid w:val="007E5A46"/>
    <w:rsid w:val="007E6DEC"/>
    <w:rsid w:val="007F0ACF"/>
    <w:rsid w:val="007F105A"/>
    <w:rsid w:val="007F11C9"/>
    <w:rsid w:val="007F1B47"/>
    <w:rsid w:val="007F1C84"/>
    <w:rsid w:val="007F22BB"/>
    <w:rsid w:val="007F2332"/>
    <w:rsid w:val="007F3507"/>
    <w:rsid w:val="007F41DC"/>
    <w:rsid w:val="007F4F84"/>
    <w:rsid w:val="007F6DFC"/>
    <w:rsid w:val="007F71AA"/>
    <w:rsid w:val="00800993"/>
    <w:rsid w:val="00800BBA"/>
    <w:rsid w:val="00802D57"/>
    <w:rsid w:val="00802F25"/>
    <w:rsid w:val="00804FF0"/>
    <w:rsid w:val="00805263"/>
    <w:rsid w:val="00805660"/>
    <w:rsid w:val="0080712A"/>
    <w:rsid w:val="008074DA"/>
    <w:rsid w:val="008130C0"/>
    <w:rsid w:val="00813B09"/>
    <w:rsid w:val="00813B27"/>
    <w:rsid w:val="0081467A"/>
    <w:rsid w:val="00815364"/>
    <w:rsid w:val="008169DD"/>
    <w:rsid w:val="00823211"/>
    <w:rsid w:val="00823672"/>
    <w:rsid w:val="00823805"/>
    <w:rsid w:val="0082454B"/>
    <w:rsid w:val="00824E9A"/>
    <w:rsid w:val="00826301"/>
    <w:rsid w:val="00827F66"/>
    <w:rsid w:val="008310F7"/>
    <w:rsid w:val="00832067"/>
    <w:rsid w:val="00832251"/>
    <w:rsid w:val="00833181"/>
    <w:rsid w:val="0083402F"/>
    <w:rsid w:val="0083408C"/>
    <w:rsid w:val="00834538"/>
    <w:rsid w:val="00834912"/>
    <w:rsid w:val="0083499B"/>
    <w:rsid w:val="00834D7F"/>
    <w:rsid w:val="0083573C"/>
    <w:rsid w:val="0083600C"/>
    <w:rsid w:val="0083732C"/>
    <w:rsid w:val="00840308"/>
    <w:rsid w:val="008413C0"/>
    <w:rsid w:val="00842804"/>
    <w:rsid w:val="00843030"/>
    <w:rsid w:val="00843F4C"/>
    <w:rsid w:val="0084513A"/>
    <w:rsid w:val="00845674"/>
    <w:rsid w:val="00845D54"/>
    <w:rsid w:val="00846256"/>
    <w:rsid w:val="0084752D"/>
    <w:rsid w:val="00850495"/>
    <w:rsid w:val="0085238A"/>
    <w:rsid w:val="008535B7"/>
    <w:rsid w:val="0085475A"/>
    <w:rsid w:val="00854A26"/>
    <w:rsid w:val="00855872"/>
    <w:rsid w:val="00860CA9"/>
    <w:rsid w:val="00864A3F"/>
    <w:rsid w:val="00864B18"/>
    <w:rsid w:val="008651F2"/>
    <w:rsid w:val="00865BCE"/>
    <w:rsid w:val="0086670D"/>
    <w:rsid w:val="0086677D"/>
    <w:rsid w:val="00867750"/>
    <w:rsid w:val="008678AF"/>
    <w:rsid w:val="008711E4"/>
    <w:rsid w:val="00872FFE"/>
    <w:rsid w:val="00873FB0"/>
    <w:rsid w:val="008746F7"/>
    <w:rsid w:val="0087474F"/>
    <w:rsid w:val="00876E30"/>
    <w:rsid w:val="0087765C"/>
    <w:rsid w:val="008802F0"/>
    <w:rsid w:val="00886A4B"/>
    <w:rsid w:val="008878C7"/>
    <w:rsid w:val="00887D48"/>
    <w:rsid w:val="00890819"/>
    <w:rsid w:val="00890B81"/>
    <w:rsid w:val="008924B5"/>
    <w:rsid w:val="00892FC0"/>
    <w:rsid w:val="00893EB2"/>
    <w:rsid w:val="00897834"/>
    <w:rsid w:val="008A0C3B"/>
    <w:rsid w:val="008A146F"/>
    <w:rsid w:val="008A1560"/>
    <w:rsid w:val="008A3E82"/>
    <w:rsid w:val="008A5DDB"/>
    <w:rsid w:val="008A6205"/>
    <w:rsid w:val="008A62DE"/>
    <w:rsid w:val="008A6517"/>
    <w:rsid w:val="008A7AD4"/>
    <w:rsid w:val="008B1F96"/>
    <w:rsid w:val="008B3667"/>
    <w:rsid w:val="008B4DFB"/>
    <w:rsid w:val="008B4F51"/>
    <w:rsid w:val="008C1BB4"/>
    <w:rsid w:val="008C222E"/>
    <w:rsid w:val="008C26D0"/>
    <w:rsid w:val="008C31B8"/>
    <w:rsid w:val="008C45DD"/>
    <w:rsid w:val="008C4AB5"/>
    <w:rsid w:val="008C4F7F"/>
    <w:rsid w:val="008D0425"/>
    <w:rsid w:val="008D07A8"/>
    <w:rsid w:val="008D09FF"/>
    <w:rsid w:val="008D191F"/>
    <w:rsid w:val="008D2D92"/>
    <w:rsid w:val="008D35EB"/>
    <w:rsid w:val="008D3871"/>
    <w:rsid w:val="008D421A"/>
    <w:rsid w:val="008D4FC9"/>
    <w:rsid w:val="008D6E3A"/>
    <w:rsid w:val="008D7E42"/>
    <w:rsid w:val="008E0591"/>
    <w:rsid w:val="008E0F90"/>
    <w:rsid w:val="008E3F40"/>
    <w:rsid w:val="008E5E6B"/>
    <w:rsid w:val="008E67CD"/>
    <w:rsid w:val="008E6F59"/>
    <w:rsid w:val="008F1843"/>
    <w:rsid w:val="008F2674"/>
    <w:rsid w:val="008F3D3E"/>
    <w:rsid w:val="008F446D"/>
    <w:rsid w:val="008F49D5"/>
    <w:rsid w:val="008F4DB1"/>
    <w:rsid w:val="008F61A5"/>
    <w:rsid w:val="009001D4"/>
    <w:rsid w:val="00900595"/>
    <w:rsid w:val="00901A92"/>
    <w:rsid w:val="00901B0C"/>
    <w:rsid w:val="009061FB"/>
    <w:rsid w:val="00910103"/>
    <w:rsid w:val="0091192E"/>
    <w:rsid w:val="00912511"/>
    <w:rsid w:val="00912535"/>
    <w:rsid w:val="00912B05"/>
    <w:rsid w:val="0091340F"/>
    <w:rsid w:val="009137A7"/>
    <w:rsid w:val="00913BB2"/>
    <w:rsid w:val="00913DD5"/>
    <w:rsid w:val="009146FF"/>
    <w:rsid w:val="00914D42"/>
    <w:rsid w:val="00916412"/>
    <w:rsid w:val="00916837"/>
    <w:rsid w:val="009171DE"/>
    <w:rsid w:val="00917568"/>
    <w:rsid w:val="00917A35"/>
    <w:rsid w:val="00917E97"/>
    <w:rsid w:val="00921899"/>
    <w:rsid w:val="009225C3"/>
    <w:rsid w:val="00922658"/>
    <w:rsid w:val="00922D12"/>
    <w:rsid w:val="00922D7B"/>
    <w:rsid w:val="00923C03"/>
    <w:rsid w:val="00923D9A"/>
    <w:rsid w:val="00926CA6"/>
    <w:rsid w:val="00927427"/>
    <w:rsid w:val="00927B85"/>
    <w:rsid w:val="00927D06"/>
    <w:rsid w:val="00930093"/>
    <w:rsid w:val="009306E1"/>
    <w:rsid w:val="00931718"/>
    <w:rsid w:val="00931FDF"/>
    <w:rsid w:val="009322D1"/>
    <w:rsid w:val="0093251A"/>
    <w:rsid w:val="009335FD"/>
    <w:rsid w:val="009338A8"/>
    <w:rsid w:val="00934E2C"/>
    <w:rsid w:val="00935409"/>
    <w:rsid w:val="00935633"/>
    <w:rsid w:val="0093566A"/>
    <w:rsid w:val="00936A89"/>
    <w:rsid w:val="00937DCC"/>
    <w:rsid w:val="0094010C"/>
    <w:rsid w:val="00941A1A"/>
    <w:rsid w:val="00942463"/>
    <w:rsid w:val="0094282D"/>
    <w:rsid w:val="0094296E"/>
    <w:rsid w:val="00943C73"/>
    <w:rsid w:val="00944D36"/>
    <w:rsid w:val="009464D4"/>
    <w:rsid w:val="009469B8"/>
    <w:rsid w:val="00947ADC"/>
    <w:rsid w:val="00947DC6"/>
    <w:rsid w:val="00951153"/>
    <w:rsid w:val="009545C2"/>
    <w:rsid w:val="00954604"/>
    <w:rsid w:val="009546CD"/>
    <w:rsid w:val="00954FA7"/>
    <w:rsid w:val="0095532E"/>
    <w:rsid w:val="00956B08"/>
    <w:rsid w:val="00956B5F"/>
    <w:rsid w:val="009577FC"/>
    <w:rsid w:val="00957DF9"/>
    <w:rsid w:val="00960A66"/>
    <w:rsid w:val="00960E7E"/>
    <w:rsid w:val="00961E25"/>
    <w:rsid w:val="009622D4"/>
    <w:rsid w:val="009622E6"/>
    <w:rsid w:val="00962DB6"/>
    <w:rsid w:val="00962F6D"/>
    <w:rsid w:val="00963B41"/>
    <w:rsid w:val="009651ED"/>
    <w:rsid w:val="00965FB8"/>
    <w:rsid w:val="009664E4"/>
    <w:rsid w:val="0096659A"/>
    <w:rsid w:val="00970396"/>
    <w:rsid w:val="00973A98"/>
    <w:rsid w:val="00974730"/>
    <w:rsid w:val="0097477C"/>
    <w:rsid w:val="00974A43"/>
    <w:rsid w:val="00974BDE"/>
    <w:rsid w:val="00975121"/>
    <w:rsid w:val="00975E08"/>
    <w:rsid w:val="009771F2"/>
    <w:rsid w:val="009777A7"/>
    <w:rsid w:val="00977D0A"/>
    <w:rsid w:val="0098030A"/>
    <w:rsid w:val="00980332"/>
    <w:rsid w:val="00981835"/>
    <w:rsid w:val="00981B6D"/>
    <w:rsid w:val="00984718"/>
    <w:rsid w:val="00985651"/>
    <w:rsid w:val="00985EC2"/>
    <w:rsid w:val="00986228"/>
    <w:rsid w:val="00987009"/>
    <w:rsid w:val="00987AB9"/>
    <w:rsid w:val="00987EFA"/>
    <w:rsid w:val="00990000"/>
    <w:rsid w:val="00990CF7"/>
    <w:rsid w:val="00991039"/>
    <w:rsid w:val="00991296"/>
    <w:rsid w:val="00991A42"/>
    <w:rsid w:val="00991B46"/>
    <w:rsid w:val="00993DB1"/>
    <w:rsid w:val="00994A92"/>
    <w:rsid w:val="00994F7F"/>
    <w:rsid w:val="00995641"/>
    <w:rsid w:val="009A2347"/>
    <w:rsid w:val="009A297C"/>
    <w:rsid w:val="009A3B2D"/>
    <w:rsid w:val="009A61DF"/>
    <w:rsid w:val="009A6B17"/>
    <w:rsid w:val="009B0D0E"/>
    <w:rsid w:val="009B3C81"/>
    <w:rsid w:val="009B6CD5"/>
    <w:rsid w:val="009C0B5D"/>
    <w:rsid w:val="009C1271"/>
    <w:rsid w:val="009C130A"/>
    <w:rsid w:val="009C21A6"/>
    <w:rsid w:val="009C223E"/>
    <w:rsid w:val="009C3953"/>
    <w:rsid w:val="009C4005"/>
    <w:rsid w:val="009C5023"/>
    <w:rsid w:val="009C78E7"/>
    <w:rsid w:val="009D1812"/>
    <w:rsid w:val="009D3357"/>
    <w:rsid w:val="009D3B03"/>
    <w:rsid w:val="009D47C2"/>
    <w:rsid w:val="009D5941"/>
    <w:rsid w:val="009D7B87"/>
    <w:rsid w:val="009E0BFC"/>
    <w:rsid w:val="009E110D"/>
    <w:rsid w:val="009E321D"/>
    <w:rsid w:val="009E3A81"/>
    <w:rsid w:val="009E3E89"/>
    <w:rsid w:val="009E59D5"/>
    <w:rsid w:val="009E6B1A"/>
    <w:rsid w:val="009F00D9"/>
    <w:rsid w:val="009F00E5"/>
    <w:rsid w:val="009F11B8"/>
    <w:rsid w:val="009F14A0"/>
    <w:rsid w:val="009F1ACB"/>
    <w:rsid w:val="009F2323"/>
    <w:rsid w:val="009F23FC"/>
    <w:rsid w:val="009F3285"/>
    <w:rsid w:val="009F39A1"/>
    <w:rsid w:val="009F4790"/>
    <w:rsid w:val="009F5642"/>
    <w:rsid w:val="009F5D8B"/>
    <w:rsid w:val="009F6604"/>
    <w:rsid w:val="009F69D0"/>
    <w:rsid w:val="009F7F64"/>
    <w:rsid w:val="00A0010F"/>
    <w:rsid w:val="00A011EC"/>
    <w:rsid w:val="00A021DB"/>
    <w:rsid w:val="00A0376A"/>
    <w:rsid w:val="00A04BE5"/>
    <w:rsid w:val="00A06796"/>
    <w:rsid w:val="00A072A0"/>
    <w:rsid w:val="00A07333"/>
    <w:rsid w:val="00A10734"/>
    <w:rsid w:val="00A11272"/>
    <w:rsid w:val="00A1132E"/>
    <w:rsid w:val="00A11955"/>
    <w:rsid w:val="00A119F4"/>
    <w:rsid w:val="00A11E11"/>
    <w:rsid w:val="00A12AF8"/>
    <w:rsid w:val="00A12F0B"/>
    <w:rsid w:val="00A15BE7"/>
    <w:rsid w:val="00A16A1B"/>
    <w:rsid w:val="00A205B7"/>
    <w:rsid w:val="00A21101"/>
    <w:rsid w:val="00A22CD0"/>
    <w:rsid w:val="00A23AB7"/>
    <w:rsid w:val="00A24F84"/>
    <w:rsid w:val="00A263CB"/>
    <w:rsid w:val="00A26A11"/>
    <w:rsid w:val="00A30B7A"/>
    <w:rsid w:val="00A31A94"/>
    <w:rsid w:val="00A3452F"/>
    <w:rsid w:val="00A34543"/>
    <w:rsid w:val="00A34981"/>
    <w:rsid w:val="00A35C29"/>
    <w:rsid w:val="00A36570"/>
    <w:rsid w:val="00A36C93"/>
    <w:rsid w:val="00A37344"/>
    <w:rsid w:val="00A37FAE"/>
    <w:rsid w:val="00A435A7"/>
    <w:rsid w:val="00A45519"/>
    <w:rsid w:val="00A45963"/>
    <w:rsid w:val="00A45EB7"/>
    <w:rsid w:val="00A505C7"/>
    <w:rsid w:val="00A507A6"/>
    <w:rsid w:val="00A50A6B"/>
    <w:rsid w:val="00A52429"/>
    <w:rsid w:val="00A52F73"/>
    <w:rsid w:val="00A5304E"/>
    <w:rsid w:val="00A540AF"/>
    <w:rsid w:val="00A5431E"/>
    <w:rsid w:val="00A5589F"/>
    <w:rsid w:val="00A572C2"/>
    <w:rsid w:val="00A57779"/>
    <w:rsid w:val="00A61593"/>
    <w:rsid w:val="00A62D35"/>
    <w:rsid w:val="00A62DD1"/>
    <w:rsid w:val="00A63743"/>
    <w:rsid w:val="00A64FE1"/>
    <w:rsid w:val="00A67616"/>
    <w:rsid w:val="00A67862"/>
    <w:rsid w:val="00A67C52"/>
    <w:rsid w:val="00A67F73"/>
    <w:rsid w:val="00A70879"/>
    <w:rsid w:val="00A708C6"/>
    <w:rsid w:val="00A70EF8"/>
    <w:rsid w:val="00A7305E"/>
    <w:rsid w:val="00A74A94"/>
    <w:rsid w:val="00A74E28"/>
    <w:rsid w:val="00A75CEC"/>
    <w:rsid w:val="00A77E60"/>
    <w:rsid w:val="00A8053D"/>
    <w:rsid w:val="00A80E15"/>
    <w:rsid w:val="00A810D9"/>
    <w:rsid w:val="00A81555"/>
    <w:rsid w:val="00A81DAE"/>
    <w:rsid w:val="00A82061"/>
    <w:rsid w:val="00A821E0"/>
    <w:rsid w:val="00A82D3F"/>
    <w:rsid w:val="00A83ED3"/>
    <w:rsid w:val="00A84142"/>
    <w:rsid w:val="00A84241"/>
    <w:rsid w:val="00A8662B"/>
    <w:rsid w:val="00A90B95"/>
    <w:rsid w:val="00A9140D"/>
    <w:rsid w:val="00A9321C"/>
    <w:rsid w:val="00A9360B"/>
    <w:rsid w:val="00A95F32"/>
    <w:rsid w:val="00A95F82"/>
    <w:rsid w:val="00A9609E"/>
    <w:rsid w:val="00A971C4"/>
    <w:rsid w:val="00A978FB"/>
    <w:rsid w:val="00A97BFF"/>
    <w:rsid w:val="00AA1B3D"/>
    <w:rsid w:val="00AA22BD"/>
    <w:rsid w:val="00AA2E6E"/>
    <w:rsid w:val="00AA308A"/>
    <w:rsid w:val="00AA3675"/>
    <w:rsid w:val="00AA66D6"/>
    <w:rsid w:val="00AA6A4A"/>
    <w:rsid w:val="00AA6CB8"/>
    <w:rsid w:val="00AA735B"/>
    <w:rsid w:val="00AA758C"/>
    <w:rsid w:val="00AA7EE5"/>
    <w:rsid w:val="00AB13A1"/>
    <w:rsid w:val="00AB140B"/>
    <w:rsid w:val="00AB24CA"/>
    <w:rsid w:val="00AB2755"/>
    <w:rsid w:val="00AB2B7C"/>
    <w:rsid w:val="00AB5225"/>
    <w:rsid w:val="00AB6BB1"/>
    <w:rsid w:val="00AB7A8E"/>
    <w:rsid w:val="00AC076F"/>
    <w:rsid w:val="00AC0D56"/>
    <w:rsid w:val="00AC22C3"/>
    <w:rsid w:val="00AC3BD4"/>
    <w:rsid w:val="00AC64F6"/>
    <w:rsid w:val="00AC67E7"/>
    <w:rsid w:val="00AC6978"/>
    <w:rsid w:val="00AC7C10"/>
    <w:rsid w:val="00AD1263"/>
    <w:rsid w:val="00AD1888"/>
    <w:rsid w:val="00AD2751"/>
    <w:rsid w:val="00AD575F"/>
    <w:rsid w:val="00AD5D28"/>
    <w:rsid w:val="00AD6514"/>
    <w:rsid w:val="00AD72BE"/>
    <w:rsid w:val="00AE010D"/>
    <w:rsid w:val="00AE4D4E"/>
    <w:rsid w:val="00AE62AC"/>
    <w:rsid w:val="00AE6422"/>
    <w:rsid w:val="00AE76E2"/>
    <w:rsid w:val="00AF03BB"/>
    <w:rsid w:val="00AF0F76"/>
    <w:rsid w:val="00AF10F7"/>
    <w:rsid w:val="00AF1905"/>
    <w:rsid w:val="00AF2C59"/>
    <w:rsid w:val="00AF2D73"/>
    <w:rsid w:val="00AF33E0"/>
    <w:rsid w:val="00AF3BA2"/>
    <w:rsid w:val="00AF46FF"/>
    <w:rsid w:val="00AF5DCC"/>
    <w:rsid w:val="00AF6855"/>
    <w:rsid w:val="00B00CB6"/>
    <w:rsid w:val="00B01661"/>
    <w:rsid w:val="00B01BC8"/>
    <w:rsid w:val="00B0207D"/>
    <w:rsid w:val="00B02C49"/>
    <w:rsid w:val="00B03C18"/>
    <w:rsid w:val="00B04A4D"/>
    <w:rsid w:val="00B04E65"/>
    <w:rsid w:val="00B055ED"/>
    <w:rsid w:val="00B06562"/>
    <w:rsid w:val="00B105D5"/>
    <w:rsid w:val="00B11892"/>
    <w:rsid w:val="00B11DEE"/>
    <w:rsid w:val="00B148F0"/>
    <w:rsid w:val="00B1649B"/>
    <w:rsid w:val="00B16BFB"/>
    <w:rsid w:val="00B17305"/>
    <w:rsid w:val="00B20367"/>
    <w:rsid w:val="00B20E9A"/>
    <w:rsid w:val="00B2212D"/>
    <w:rsid w:val="00B22B86"/>
    <w:rsid w:val="00B250F8"/>
    <w:rsid w:val="00B25D33"/>
    <w:rsid w:val="00B25D65"/>
    <w:rsid w:val="00B27BD2"/>
    <w:rsid w:val="00B30133"/>
    <w:rsid w:val="00B30558"/>
    <w:rsid w:val="00B3076D"/>
    <w:rsid w:val="00B30CFC"/>
    <w:rsid w:val="00B30D03"/>
    <w:rsid w:val="00B31E9D"/>
    <w:rsid w:val="00B326E5"/>
    <w:rsid w:val="00B32C8E"/>
    <w:rsid w:val="00B330AC"/>
    <w:rsid w:val="00B33926"/>
    <w:rsid w:val="00B33DDE"/>
    <w:rsid w:val="00B3434D"/>
    <w:rsid w:val="00B379B1"/>
    <w:rsid w:val="00B37C06"/>
    <w:rsid w:val="00B41DA7"/>
    <w:rsid w:val="00B42134"/>
    <w:rsid w:val="00B44849"/>
    <w:rsid w:val="00B4509A"/>
    <w:rsid w:val="00B47257"/>
    <w:rsid w:val="00B475F4"/>
    <w:rsid w:val="00B478C8"/>
    <w:rsid w:val="00B47BD1"/>
    <w:rsid w:val="00B50027"/>
    <w:rsid w:val="00B505AD"/>
    <w:rsid w:val="00B50C36"/>
    <w:rsid w:val="00B53A07"/>
    <w:rsid w:val="00B53CA7"/>
    <w:rsid w:val="00B5534A"/>
    <w:rsid w:val="00B554B1"/>
    <w:rsid w:val="00B56DDC"/>
    <w:rsid w:val="00B57CB6"/>
    <w:rsid w:val="00B57EE4"/>
    <w:rsid w:val="00B60372"/>
    <w:rsid w:val="00B60B08"/>
    <w:rsid w:val="00B61897"/>
    <w:rsid w:val="00B61A58"/>
    <w:rsid w:val="00B6278E"/>
    <w:rsid w:val="00B62F70"/>
    <w:rsid w:val="00B64BEA"/>
    <w:rsid w:val="00B7079C"/>
    <w:rsid w:val="00B70A27"/>
    <w:rsid w:val="00B70DE3"/>
    <w:rsid w:val="00B70F0C"/>
    <w:rsid w:val="00B71F83"/>
    <w:rsid w:val="00B72527"/>
    <w:rsid w:val="00B72842"/>
    <w:rsid w:val="00B72C43"/>
    <w:rsid w:val="00B73462"/>
    <w:rsid w:val="00B737FE"/>
    <w:rsid w:val="00B754FB"/>
    <w:rsid w:val="00B8036F"/>
    <w:rsid w:val="00B81ACC"/>
    <w:rsid w:val="00B829D4"/>
    <w:rsid w:val="00B838FA"/>
    <w:rsid w:val="00B841E2"/>
    <w:rsid w:val="00B84234"/>
    <w:rsid w:val="00B8612D"/>
    <w:rsid w:val="00B8619B"/>
    <w:rsid w:val="00B901A0"/>
    <w:rsid w:val="00B915F6"/>
    <w:rsid w:val="00B93652"/>
    <w:rsid w:val="00B93ACC"/>
    <w:rsid w:val="00B96882"/>
    <w:rsid w:val="00B97CFC"/>
    <w:rsid w:val="00B97E11"/>
    <w:rsid w:val="00BA02D0"/>
    <w:rsid w:val="00BA0B6E"/>
    <w:rsid w:val="00BA1BC4"/>
    <w:rsid w:val="00BA38C2"/>
    <w:rsid w:val="00BA38C3"/>
    <w:rsid w:val="00BA4D9C"/>
    <w:rsid w:val="00BA67E0"/>
    <w:rsid w:val="00BA7E37"/>
    <w:rsid w:val="00BB3244"/>
    <w:rsid w:val="00BB35FA"/>
    <w:rsid w:val="00BB36BD"/>
    <w:rsid w:val="00BB6824"/>
    <w:rsid w:val="00BC1C17"/>
    <w:rsid w:val="00BC323B"/>
    <w:rsid w:val="00BC3F8B"/>
    <w:rsid w:val="00BC4185"/>
    <w:rsid w:val="00BC57FB"/>
    <w:rsid w:val="00BC5922"/>
    <w:rsid w:val="00BC60E7"/>
    <w:rsid w:val="00BD00D0"/>
    <w:rsid w:val="00BD1D7F"/>
    <w:rsid w:val="00BD2806"/>
    <w:rsid w:val="00BD28BA"/>
    <w:rsid w:val="00BD30C9"/>
    <w:rsid w:val="00BD4BC2"/>
    <w:rsid w:val="00BD5EFB"/>
    <w:rsid w:val="00BD6071"/>
    <w:rsid w:val="00BD6394"/>
    <w:rsid w:val="00BD69E3"/>
    <w:rsid w:val="00BD6F87"/>
    <w:rsid w:val="00BD6FC8"/>
    <w:rsid w:val="00BE0C40"/>
    <w:rsid w:val="00BE0F6A"/>
    <w:rsid w:val="00BE253F"/>
    <w:rsid w:val="00BE2A60"/>
    <w:rsid w:val="00BE30A5"/>
    <w:rsid w:val="00BE3BEA"/>
    <w:rsid w:val="00BE4018"/>
    <w:rsid w:val="00BE51E2"/>
    <w:rsid w:val="00BE5B00"/>
    <w:rsid w:val="00BE708F"/>
    <w:rsid w:val="00BE775A"/>
    <w:rsid w:val="00BE789F"/>
    <w:rsid w:val="00BE7BDA"/>
    <w:rsid w:val="00BE7C3B"/>
    <w:rsid w:val="00BF00D0"/>
    <w:rsid w:val="00BF0320"/>
    <w:rsid w:val="00BF2437"/>
    <w:rsid w:val="00BF2F3C"/>
    <w:rsid w:val="00BF368A"/>
    <w:rsid w:val="00BF7473"/>
    <w:rsid w:val="00BF7BB3"/>
    <w:rsid w:val="00C00E80"/>
    <w:rsid w:val="00C02CE3"/>
    <w:rsid w:val="00C03145"/>
    <w:rsid w:val="00C03859"/>
    <w:rsid w:val="00C03AB5"/>
    <w:rsid w:val="00C03B21"/>
    <w:rsid w:val="00C0517C"/>
    <w:rsid w:val="00C0542F"/>
    <w:rsid w:val="00C05B0A"/>
    <w:rsid w:val="00C066C6"/>
    <w:rsid w:val="00C067F1"/>
    <w:rsid w:val="00C06FB6"/>
    <w:rsid w:val="00C0754F"/>
    <w:rsid w:val="00C109D4"/>
    <w:rsid w:val="00C12464"/>
    <w:rsid w:val="00C131F0"/>
    <w:rsid w:val="00C14CBB"/>
    <w:rsid w:val="00C14D62"/>
    <w:rsid w:val="00C1607A"/>
    <w:rsid w:val="00C174D8"/>
    <w:rsid w:val="00C201AD"/>
    <w:rsid w:val="00C220D3"/>
    <w:rsid w:val="00C23539"/>
    <w:rsid w:val="00C237B4"/>
    <w:rsid w:val="00C253E4"/>
    <w:rsid w:val="00C27283"/>
    <w:rsid w:val="00C27348"/>
    <w:rsid w:val="00C30B27"/>
    <w:rsid w:val="00C31102"/>
    <w:rsid w:val="00C32376"/>
    <w:rsid w:val="00C329A2"/>
    <w:rsid w:val="00C34AC9"/>
    <w:rsid w:val="00C35928"/>
    <w:rsid w:val="00C36342"/>
    <w:rsid w:val="00C36C4F"/>
    <w:rsid w:val="00C373EE"/>
    <w:rsid w:val="00C4059B"/>
    <w:rsid w:val="00C413A4"/>
    <w:rsid w:val="00C4165A"/>
    <w:rsid w:val="00C418BC"/>
    <w:rsid w:val="00C420A0"/>
    <w:rsid w:val="00C4259E"/>
    <w:rsid w:val="00C43B0E"/>
    <w:rsid w:val="00C45D3F"/>
    <w:rsid w:val="00C463A1"/>
    <w:rsid w:val="00C47FD7"/>
    <w:rsid w:val="00C5105A"/>
    <w:rsid w:val="00C5220B"/>
    <w:rsid w:val="00C52F33"/>
    <w:rsid w:val="00C538DD"/>
    <w:rsid w:val="00C53C19"/>
    <w:rsid w:val="00C5418B"/>
    <w:rsid w:val="00C5425C"/>
    <w:rsid w:val="00C542C2"/>
    <w:rsid w:val="00C54B5A"/>
    <w:rsid w:val="00C54FD8"/>
    <w:rsid w:val="00C55F6D"/>
    <w:rsid w:val="00C57488"/>
    <w:rsid w:val="00C60D87"/>
    <w:rsid w:val="00C6143C"/>
    <w:rsid w:val="00C63EC0"/>
    <w:rsid w:val="00C66FB7"/>
    <w:rsid w:val="00C67B55"/>
    <w:rsid w:val="00C725EB"/>
    <w:rsid w:val="00C72C1D"/>
    <w:rsid w:val="00C7381C"/>
    <w:rsid w:val="00C74E06"/>
    <w:rsid w:val="00C768B8"/>
    <w:rsid w:val="00C8071A"/>
    <w:rsid w:val="00C81C49"/>
    <w:rsid w:val="00C83231"/>
    <w:rsid w:val="00C837C6"/>
    <w:rsid w:val="00C83D03"/>
    <w:rsid w:val="00C841B8"/>
    <w:rsid w:val="00C84E9D"/>
    <w:rsid w:val="00C855E0"/>
    <w:rsid w:val="00C868A0"/>
    <w:rsid w:val="00C8735F"/>
    <w:rsid w:val="00C90DEA"/>
    <w:rsid w:val="00C910F3"/>
    <w:rsid w:val="00C91254"/>
    <w:rsid w:val="00C9339A"/>
    <w:rsid w:val="00C938E8"/>
    <w:rsid w:val="00C946A7"/>
    <w:rsid w:val="00C959FF"/>
    <w:rsid w:val="00C95ADD"/>
    <w:rsid w:val="00C95DC2"/>
    <w:rsid w:val="00C97199"/>
    <w:rsid w:val="00C97961"/>
    <w:rsid w:val="00C97AAE"/>
    <w:rsid w:val="00CA0B9B"/>
    <w:rsid w:val="00CA1603"/>
    <w:rsid w:val="00CA193F"/>
    <w:rsid w:val="00CA341F"/>
    <w:rsid w:val="00CA451D"/>
    <w:rsid w:val="00CA562E"/>
    <w:rsid w:val="00CA6A38"/>
    <w:rsid w:val="00CB084B"/>
    <w:rsid w:val="00CB1891"/>
    <w:rsid w:val="00CB1B50"/>
    <w:rsid w:val="00CB2383"/>
    <w:rsid w:val="00CB497F"/>
    <w:rsid w:val="00CB4DDE"/>
    <w:rsid w:val="00CB59A8"/>
    <w:rsid w:val="00CB7EA7"/>
    <w:rsid w:val="00CC072D"/>
    <w:rsid w:val="00CC0CF9"/>
    <w:rsid w:val="00CC0F16"/>
    <w:rsid w:val="00CC0F4B"/>
    <w:rsid w:val="00CC10E6"/>
    <w:rsid w:val="00CC227A"/>
    <w:rsid w:val="00CC46A5"/>
    <w:rsid w:val="00CC4EC7"/>
    <w:rsid w:val="00CC56F8"/>
    <w:rsid w:val="00CC5777"/>
    <w:rsid w:val="00CC67B3"/>
    <w:rsid w:val="00CC6B18"/>
    <w:rsid w:val="00CC6E85"/>
    <w:rsid w:val="00CC6FFA"/>
    <w:rsid w:val="00CC7182"/>
    <w:rsid w:val="00CC7F03"/>
    <w:rsid w:val="00CD02F5"/>
    <w:rsid w:val="00CD201B"/>
    <w:rsid w:val="00CD3867"/>
    <w:rsid w:val="00CD3A79"/>
    <w:rsid w:val="00CD3EAA"/>
    <w:rsid w:val="00CD4027"/>
    <w:rsid w:val="00CD4663"/>
    <w:rsid w:val="00CD53AF"/>
    <w:rsid w:val="00CD59DD"/>
    <w:rsid w:val="00CD65E4"/>
    <w:rsid w:val="00CD67BF"/>
    <w:rsid w:val="00CD7442"/>
    <w:rsid w:val="00CD792B"/>
    <w:rsid w:val="00CE04B7"/>
    <w:rsid w:val="00CE0A05"/>
    <w:rsid w:val="00CE0CB6"/>
    <w:rsid w:val="00CE11B4"/>
    <w:rsid w:val="00CE20B6"/>
    <w:rsid w:val="00CE27B6"/>
    <w:rsid w:val="00CE4D01"/>
    <w:rsid w:val="00CE6761"/>
    <w:rsid w:val="00CF060E"/>
    <w:rsid w:val="00CF2DB3"/>
    <w:rsid w:val="00CF362E"/>
    <w:rsid w:val="00CF3C22"/>
    <w:rsid w:val="00CF492E"/>
    <w:rsid w:val="00D023AA"/>
    <w:rsid w:val="00D033CF"/>
    <w:rsid w:val="00D039FA"/>
    <w:rsid w:val="00D03B71"/>
    <w:rsid w:val="00D05450"/>
    <w:rsid w:val="00D05978"/>
    <w:rsid w:val="00D0602F"/>
    <w:rsid w:val="00D10231"/>
    <w:rsid w:val="00D10841"/>
    <w:rsid w:val="00D10C9B"/>
    <w:rsid w:val="00D12796"/>
    <w:rsid w:val="00D12B77"/>
    <w:rsid w:val="00D14BC7"/>
    <w:rsid w:val="00D1609E"/>
    <w:rsid w:val="00D1708E"/>
    <w:rsid w:val="00D20BB7"/>
    <w:rsid w:val="00D212F1"/>
    <w:rsid w:val="00D213F2"/>
    <w:rsid w:val="00D221C7"/>
    <w:rsid w:val="00D22475"/>
    <w:rsid w:val="00D2399E"/>
    <w:rsid w:val="00D25C4A"/>
    <w:rsid w:val="00D26C56"/>
    <w:rsid w:val="00D26E4E"/>
    <w:rsid w:val="00D27D27"/>
    <w:rsid w:val="00D30FB2"/>
    <w:rsid w:val="00D31346"/>
    <w:rsid w:val="00D32B5E"/>
    <w:rsid w:val="00D33603"/>
    <w:rsid w:val="00D33729"/>
    <w:rsid w:val="00D33F58"/>
    <w:rsid w:val="00D342D5"/>
    <w:rsid w:val="00D34A14"/>
    <w:rsid w:val="00D34D7D"/>
    <w:rsid w:val="00D36435"/>
    <w:rsid w:val="00D40223"/>
    <w:rsid w:val="00D40383"/>
    <w:rsid w:val="00D414E3"/>
    <w:rsid w:val="00D4193B"/>
    <w:rsid w:val="00D43A85"/>
    <w:rsid w:val="00D4413D"/>
    <w:rsid w:val="00D44BA2"/>
    <w:rsid w:val="00D5066A"/>
    <w:rsid w:val="00D50678"/>
    <w:rsid w:val="00D511FC"/>
    <w:rsid w:val="00D51B04"/>
    <w:rsid w:val="00D5280A"/>
    <w:rsid w:val="00D52F3B"/>
    <w:rsid w:val="00D537F3"/>
    <w:rsid w:val="00D54900"/>
    <w:rsid w:val="00D555CC"/>
    <w:rsid w:val="00D566AD"/>
    <w:rsid w:val="00D56DD5"/>
    <w:rsid w:val="00D572A8"/>
    <w:rsid w:val="00D57532"/>
    <w:rsid w:val="00D57864"/>
    <w:rsid w:val="00D600B2"/>
    <w:rsid w:val="00D60573"/>
    <w:rsid w:val="00D61027"/>
    <w:rsid w:val="00D61246"/>
    <w:rsid w:val="00D618C5"/>
    <w:rsid w:val="00D62475"/>
    <w:rsid w:val="00D639FB"/>
    <w:rsid w:val="00D648DF"/>
    <w:rsid w:val="00D6613F"/>
    <w:rsid w:val="00D71325"/>
    <w:rsid w:val="00D72304"/>
    <w:rsid w:val="00D72D58"/>
    <w:rsid w:val="00D76082"/>
    <w:rsid w:val="00D762F2"/>
    <w:rsid w:val="00D76470"/>
    <w:rsid w:val="00D77197"/>
    <w:rsid w:val="00D8080F"/>
    <w:rsid w:val="00D809BA"/>
    <w:rsid w:val="00D80FF6"/>
    <w:rsid w:val="00D81873"/>
    <w:rsid w:val="00D83724"/>
    <w:rsid w:val="00D83922"/>
    <w:rsid w:val="00D84E49"/>
    <w:rsid w:val="00D90CFA"/>
    <w:rsid w:val="00D90DDA"/>
    <w:rsid w:val="00D90E21"/>
    <w:rsid w:val="00D91A18"/>
    <w:rsid w:val="00D92D61"/>
    <w:rsid w:val="00D932B3"/>
    <w:rsid w:val="00D9358E"/>
    <w:rsid w:val="00D935F0"/>
    <w:rsid w:val="00D938C3"/>
    <w:rsid w:val="00D95EC6"/>
    <w:rsid w:val="00D97B25"/>
    <w:rsid w:val="00D97E4B"/>
    <w:rsid w:val="00D97F10"/>
    <w:rsid w:val="00DA11A6"/>
    <w:rsid w:val="00DA1DD8"/>
    <w:rsid w:val="00DA3066"/>
    <w:rsid w:val="00DA36BC"/>
    <w:rsid w:val="00DA4860"/>
    <w:rsid w:val="00DA4F1C"/>
    <w:rsid w:val="00DA5326"/>
    <w:rsid w:val="00DA6EC9"/>
    <w:rsid w:val="00DA765A"/>
    <w:rsid w:val="00DB09BC"/>
    <w:rsid w:val="00DB18A7"/>
    <w:rsid w:val="00DB285B"/>
    <w:rsid w:val="00DB2B52"/>
    <w:rsid w:val="00DB4E02"/>
    <w:rsid w:val="00DB4F0D"/>
    <w:rsid w:val="00DB5470"/>
    <w:rsid w:val="00DC0783"/>
    <w:rsid w:val="00DC15BA"/>
    <w:rsid w:val="00DC21E8"/>
    <w:rsid w:val="00DC4B03"/>
    <w:rsid w:val="00DC4D8F"/>
    <w:rsid w:val="00DC5967"/>
    <w:rsid w:val="00DC787C"/>
    <w:rsid w:val="00DC78E6"/>
    <w:rsid w:val="00DD049D"/>
    <w:rsid w:val="00DD051E"/>
    <w:rsid w:val="00DD0C4A"/>
    <w:rsid w:val="00DD0CDE"/>
    <w:rsid w:val="00DD1381"/>
    <w:rsid w:val="00DD174E"/>
    <w:rsid w:val="00DD2AB4"/>
    <w:rsid w:val="00DD5B89"/>
    <w:rsid w:val="00DD6AF5"/>
    <w:rsid w:val="00DD7DE6"/>
    <w:rsid w:val="00DE021E"/>
    <w:rsid w:val="00DE24FD"/>
    <w:rsid w:val="00DE2CAB"/>
    <w:rsid w:val="00DE3445"/>
    <w:rsid w:val="00DE3913"/>
    <w:rsid w:val="00DE4FF9"/>
    <w:rsid w:val="00DE7320"/>
    <w:rsid w:val="00DE7D03"/>
    <w:rsid w:val="00DF02E8"/>
    <w:rsid w:val="00DF058B"/>
    <w:rsid w:val="00DF0737"/>
    <w:rsid w:val="00DF0B25"/>
    <w:rsid w:val="00DF1D7B"/>
    <w:rsid w:val="00DF3EF1"/>
    <w:rsid w:val="00DF456D"/>
    <w:rsid w:val="00DF6064"/>
    <w:rsid w:val="00DF6AB4"/>
    <w:rsid w:val="00DF77CB"/>
    <w:rsid w:val="00E04684"/>
    <w:rsid w:val="00E052AE"/>
    <w:rsid w:val="00E0587C"/>
    <w:rsid w:val="00E06265"/>
    <w:rsid w:val="00E0694A"/>
    <w:rsid w:val="00E06AD7"/>
    <w:rsid w:val="00E06B9B"/>
    <w:rsid w:val="00E104FA"/>
    <w:rsid w:val="00E10D0F"/>
    <w:rsid w:val="00E111A5"/>
    <w:rsid w:val="00E115AD"/>
    <w:rsid w:val="00E1212F"/>
    <w:rsid w:val="00E1266C"/>
    <w:rsid w:val="00E13051"/>
    <w:rsid w:val="00E13341"/>
    <w:rsid w:val="00E14A49"/>
    <w:rsid w:val="00E14BB2"/>
    <w:rsid w:val="00E14BEC"/>
    <w:rsid w:val="00E15172"/>
    <w:rsid w:val="00E158EB"/>
    <w:rsid w:val="00E161DC"/>
    <w:rsid w:val="00E204DD"/>
    <w:rsid w:val="00E20976"/>
    <w:rsid w:val="00E2195A"/>
    <w:rsid w:val="00E226C3"/>
    <w:rsid w:val="00E22893"/>
    <w:rsid w:val="00E23B52"/>
    <w:rsid w:val="00E252E8"/>
    <w:rsid w:val="00E2544D"/>
    <w:rsid w:val="00E25984"/>
    <w:rsid w:val="00E300FD"/>
    <w:rsid w:val="00E31268"/>
    <w:rsid w:val="00E3220F"/>
    <w:rsid w:val="00E32703"/>
    <w:rsid w:val="00E3508A"/>
    <w:rsid w:val="00E36032"/>
    <w:rsid w:val="00E41C8A"/>
    <w:rsid w:val="00E44279"/>
    <w:rsid w:val="00E442A1"/>
    <w:rsid w:val="00E4568E"/>
    <w:rsid w:val="00E45D81"/>
    <w:rsid w:val="00E46641"/>
    <w:rsid w:val="00E50F56"/>
    <w:rsid w:val="00E51E42"/>
    <w:rsid w:val="00E539F2"/>
    <w:rsid w:val="00E551EC"/>
    <w:rsid w:val="00E559BA"/>
    <w:rsid w:val="00E55A87"/>
    <w:rsid w:val="00E566B4"/>
    <w:rsid w:val="00E56727"/>
    <w:rsid w:val="00E56CD4"/>
    <w:rsid w:val="00E60244"/>
    <w:rsid w:val="00E60B63"/>
    <w:rsid w:val="00E61CD1"/>
    <w:rsid w:val="00E61D23"/>
    <w:rsid w:val="00E61FCA"/>
    <w:rsid w:val="00E6363D"/>
    <w:rsid w:val="00E6471A"/>
    <w:rsid w:val="00E64C25"/>
    <w:rsid w:val="00E64E39"/>
    <w:rsid w:val="00E65065"/>
    <w:rsid w:val="00E65244"/>
    <w:rsid w:val="00E66B4C"/>
    <w:rsid w:val="00E674CC"/>
    <w:rsid w:val="00E67E09"/>
    <w:rsid w:val="00E7146F"/>
    <w:rsid w:val="00E718D2"/>
    <w:rsid w:val="00E7317E"/>
    <w:rsid w:val="00E73B03"/>
    <w:rsid w:val="00E741E3"/>
    <w:rsid w:val="00E77B95"/>
    <w:rsid w:val="00E77FA3"/>
    <w:rsid w:val="00E80AC3"/>
    <w:rsid w:val="00E820C0"/>
    <w:rsid w:val="00E835E7"/>
    <w:rsid w:val="00E91FFC"/>
    <w:rsid w:val="00E92713"/>
    <w:rsid w:val="00E92B11"/>
    <w:rsid w:val="00E935A3"/>
    <w:rsid w:val="00E93A65"/>
    <w:rsid w:val="00E96DB1"/>
    <w:rsid w:val="00EA02BE"/>
    <w:rsid w:val="00EA10F4"/>
    <w:rsid w:val="00EA10FE"/>
    <w:rsid w:val="00EA1749"/>
    <w:rsid w:val="00EA1C80"/>
    <w:rsid w:val="00EA20B4"/>
    <w:rsid w:val="00EA2E8C"/>
    <w:rsid w:val="00EA4451"/>
    <w:rsid w:val="00EA4498"/>
    <w:rsid w:val="00EA582E"/>
    <w:rsid w:val="00EA5CF8"/>
    <w:rsid w:val="00EA6852"/>
    <w:rsid w:val="00EA6EEF"/>
    <w:rsid w:val="00EA7130"/>
    <w:rsid w:val="00EB0537"/>
    <w:rsid w:val="00EB05F0"/>
    <w:rsid w:val="00EB0BDC"/>
    <w:rsid w:val="00EB110D"/>
    <w:rsid w:val="00EB1A37"/>
    <w:rsid w:val="00EB1D5C"/>
    <w:rsid w:val="00EB2621"/>
    <w:rsid w:val="00EB2B5E"/>
    <w:rsid w:val="00EB3374"/>
    <w:rsid w:val="00EB3A1E"/>
    <w:rsid w:val="00EB5576"/>
    <w:rsid w:val="00EC0725"/>
    <w:rsid w:val="00EC09DC"/>
    <w:rsid w:val="00EC26A8"/>
    <w:rsid w:val="00EC349E"/>
    <w:rsid w:val="00EC34D8"/>
    <w:rsid w:val="00EC3597"/>
    <w:rsid w:val="00EC37CF"/>
    <w:rsid w:val="00EC3D43"/>
    <w:rsid w:val="00EC41C9"/>
    <w:rsid w:val="00EC4675"/>
    <w:rsid w:val="00EC56E9"/>
    <w:rsid w:val="00EC647C"/>
    <w:rsid w:val="00ED0165"/>
    <w:rsid w:val="00ED086B"/>
    <w:rsid w:val="00ED0CBB"/>
    <w:rsid w:val="00ED248F"/>
    <w:rsid w:val="00ED298E"/>
    <w:rsid w:val="00ED2C53"/>
    <w:rsid w:val="00ED2F8F"/>
    <w:rsid w:val="00ED3332"/>
    <w:rsid w:val="00ED3C5E"/>
    <w:rsid w:val="00ED6CBB"/>
    <w:rsid w:val="00EE16E1"/>
    <w:rsid w:val="00EE18FF"/>
    <w:rsid w:val="00EE2144"/>
    <w:rsid w:val="00EE3073"/>
    <w:rsid w:val="00EE66C3"/>
    <w:rsid w:val="00EE6D94"/>
    <w:rsid w:val="00EE7662"/>
    <w:rsid w:val="00EF00F2"/>
    <w:rsid w:val="00EF1107"/>
    <w:rsid w:val="00EF2470"/>
    <w:rsid w:val="00EF42ED"/>
    <w:rsid w:val="00EF5385"/>
    <w:rsid w:val="00EF5EE6"/>
    <w:rsid w:val="00EF664F"/>
    <w:rsid w:val="00EF7682"/>
    <w:rsid w:val="00EF789F"/>
    <w:rsid w:val="00EF7D63"/>
    <w:rsid w:val="00F01288"/>
    <w:rsid w:val="00F01F33"/>
    <w:rsid w:val="00F030EE"/>
    <w:rsid w:val="00F03548"/>
    <w:rsid w:val="00F0461F"/>
    <w:rsid w:val="00F04B94"/>
    <w:rsid w:val="00F04DBC"/>
    <w:rsid w:val="00F05AC1"/>
    <w:rsid w:val="00F05BB2"/>
    <w:rsid w:val="00F06B45"/>
    <w:rsid w:val="00F111DB"/>
    <w:rsid w:val="00F11EA5"/>
    <w:rsid w:val="00F12E2E"/>
    <w:rsid w:val="00F13F4A"/>
    <w:rsid w:val="00F14DA2"/>
    <w:rsid w:val="00F15402"/>
    <w:rsid w:val="00F1562A"/>
    <w:rsid w:val="00F17176"/>
    <w:rsid w:val="00F17220"/>
    <w:rsid w:val="00F217C6"/>
    <w:rsid w:val="00F21D97"/>
    <w:rsid w:val="00F222EE"/>
    <w:rsid w:val="00F23B8D"/>
    <w:rsid w:val="00F24809"/>
    <w:rsid w:val="00F249C1"/>
    <w:rsid w:val="00F24FFB"/>
    <w:rsid w:val="00F25084"/>
    <w:rsid w:val="00F26116"/>
    <w:rsid w:val="00F26882"/>
    <w:rsid w:val="00F3157E"/>
    <w:rsid w:val="00F32281"/>
    <w:rsid w:val="00F34332"/>
    <w:rsid w:val="00F3437F"/>
    <w:rsid w:val="00F3525D"/>
    <w:rsid w:val="00F35786"/>
    <w:rsid w:val="00F36846"/>
    <w:rsid w:val="00F36B6B"/>
    <w:rsid w:val="00F37E74"/>
    <w:rsid w:val="00F40F89"/>
    <w:rsid w:val="00F410C1"/>
    <w:rsid w:val="00F419E1"/>
    <w:rsid w:val="00F41DE1"/>
    <w:rsid w:val="00F44528"/>
    <w:rsid w:val="00F44AB0"/>
    <w:rsid w:val="00F46D15"/>
    <w:rsid w:val="00F5030E"/>
    <w:rsid w:val="00F52923"/>
    <w:rsid w:val="00F535BE"/>
    <w:rsid w:val="00F553EF"/>
    <w:rsid w:val="00F575D7"/>
    <w:rsid w:val="00F57A4C"/>
    <w:rsid w:val="00F60448"/>
    <w:rsid w:val="00F60BFC"/>
    <w:rsid w:val="00F61707"/>
    <w:rsid w:val="00F61EFA"/>
    <w:rsid w:val="00F62234"/>
    <w:rsid w:val="00F6301D"/>
    <w:rsid w:val="00F63ED8"/>
    <w:rsid w:val="00F63F67"/>
    <w:rsid w:val="00F6465B"/>
    <w:rsid w:val="00F65A1D"/>
    <w:rsid w:val="00F65CAD"/>
    <w:rsid w:val="00F66A91"/>
    <w:rsid w:val="00F66C0A"/>
    <w:rsid w:val="00F66C9B"/>
    <w:rsid w:val="00F66EBA"/>
    <w:rsid w:val="00F67B1E"/>
    <w:rsid w:val="00F67C49"/>
    <w:rsid w:val="00F71558"/>
    <w:rsid w:val="00F71C5A"/>
    <w:rsid w:val="00F72DC0"/>
    <w:rsid w:val="00F74D3E"/>
    <w:rsid w:val="00F76DD7"/>
    <w:rsid w:val="00F77323"/>
    <w:rsid w:val="00F77E2A"/>
    <w:rsid w:val="00F81B2D"/>
    <w:rsid w:val="00F82CE2"/>
    <w:rsid w:val="00F833A3"/>
    <w:rsid w:val="00F83661"/>
    <w:rsid w:val="00F8398B"/>
    <w:rsid w:val="00F843E5"/>
    <w:rsid w:val="00F85278"/>
    <w:rsid w:val="00F855C7"/>
    <w:rsid w:val="00F85BFD"/>
    <w:rsid w:val="00F86827"/>
    <w:rsid w:val="00F875BC"/>
    <w:rsid w:val="00F876A6"/>
    <w:rsid w:val="00F90E79"/>
    <w:rsid w:val="00F91EAD"/>
    <w:rsid w:val="00F92028"/>
    <w:rsid w:val="00F931D1"/>
    <w:rsid w:val="00F96016"/>
    <w:rsid w:val="00F965B0"/>
    <w:rsid w:val="00F968BD"/>
    <w:rsid w:val="00F96ACB"/>
    <w:rsid w:val="00FA25B2"/>
    <w:rsid w:val="00FA395D"/>
    <w:rsid w:val="00FA3D38"/>
    <w:rsid w:val="00FA5F6F"/>
    <w:rsid w:val="00FA662D"/>
    <w:rsid w:val="00FA6C35"/>
    <w:rsid w:val="00FA7F1B"/>
    <w:rsid w:val="00FB06F9"/>
    <w:rsid w:val="00FB0A48"/>
    <w:rsid w:val="00FB0BF8"/>
    <w:rsid w:val="00FB4450"/>
    <w:rsid w:val="00FB4732"/>
    <w:rsid w:val="00FB5029"/>
    <w:rsid w:val="00FB53B7"/>
    <w:rsid w:val="00FB5DFB"/>
    <w:rsid w:val="00FB5F3A"/>
    <w:rsid w:val="00FB6004"/>
    <w:rsid w:val="00FB653B"/>
    <w:rsid w:val="00FB7B51"/>
    <w:rsid w:val="00FC079D"/>
    <w:rsid w:val="00FC1892"/>
    <w:rsid w:val="00FC1DDB"/>
    <w:rsid w:val="00FC2624"/>
    <w:rsid w:val="00FC3430"/>
    <w:rsid w:val="00FC4FA4"/>
    <w:rsid w:val="00FC5FA8"/>
    <w:rsid w:val="00FC7528"/>
    <w:rsid w:val="00FC780F"/>
    <w:rsid w:val="00FC7E4E"/>
    <w:rsid w:val="00FD259B"/>
    <w:rsid w:val="00FD3329"/>
    <w:rsid w:val="00FD355D"/>
    <w:rsid w:val="00FD3A53"/>
    <w:rsid w:val="00FD58F2"/>
    <w:rsid w:val="00FD59EC"/>
    <w:rsid w:val="00FD6176"/>
    <w:rsid w:val="00FD7648"/>
    <w:rsid w:val="00FD7937"/>
    <w:rsid w:val="00FE035B"/>
    <w:rsid w:val="00FE1A01"/>
    <w:rsid w:val="00FE1FF4"/>
    <w:rsid w:val="00FE22C0"/>
    <w:rsid w:val="00FE2676"/>
    <w:rsid w:val="00FE2FDA"/>
    <w:rsid w:val="00FE35E3"/>
    <w:rsid w:val="00FE3C50"/>
    <w:rsid w:val="00FE417B"/>
    <w:rsid w:val="00FE4387"/>
    <w:rsid w:val="00FE515A"/>
    <w:rsid w:val="00FE60DC"/>
    <w:rsid w:val="00FE6113"/>
    <w:rsid w:val="00FE67F6"/>
    <w:rsid w:val="00FE6E9D"/>
    <w:rsid w:val="00FF0391"/>
    <w:rsid w:val="00FF0BAC"/>
    <w:rsid w:val="00FF11C4"/>
    <w:rsid w:val="00FF12BA"/>
    <w:rsid w:val="00FF498B"/>
    <w:rsid w:val="00FF5B4D"/>
    <w:rsid w:val="00FF5C7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778C4"/>
  <w15:docId w15:val="{2802D5CB-FDF6-4C66-A8F8-14989DB12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5B4A"/>
    <w:pPr>
      <w:spacing w:before="120" w:after="120" w:line="360" w:lineRule="auto"/>
    </w:pPr>
    <w:rPr>
      <w:sz w:val="24"/>
      <w:lang w:val="en-US"/>
    </w:rPr>
  </w:style>
  <w:style w:type="paragraph" w:styleId="Heading1">
    <w:name w:val="heading 1"/>
    <w:basedOn w:val="Normal"/>
    <w:next w:val="Normal"/>
    <w:link w:val="Heading1Char"/>
    <w:autoRedefine/>
    <w:uiPriority w:val="9"/>
    <w:qFormat/>
    <w:rsid w:val="00DC5967"/>
    <w:pPr>
      <w:keepNext/>
      <w:keepLines/>
      <w:spacing w:before="3000" w:after="1320"/>
      <w:outlineLvl w:val="0"/>
    </w:pPr>
    <w:rPr>
      <w:rFonts w:eastAsiaTheme="majorEastAsia" w:cstheme="majorBidi"/>
      <w:b/>
      <w:bCs/>
      <w:color w:val="1F497D" w:themeColor="text2"/>
      <w:sz w:val="44"/>
      <w:szCs w:val="28"/>
    </w:rPr>
  </w:style>
  <w:style w:type="paragraph" w:styleId="Heading2">
    <w:name w:val="heading 2"/>
    <w:basedOn w:val="Heading1"/>
    <w:next w:val="Normal"/>
    <w:link w:val="Heading2Char"/>
    <w:autoRedefine/>
    <w:uiPriority w:val="9"/>
    <w:unhideWhenUsed/>
    <w:qFormat/>
    <w:rsid w:val="00B60372"/>
    <w:pPr>
      <w:pageBreakBefore/>
      <w:numPr>
        <w:numId w:val="110"/>
      </w:numPr>
      <w:spacing w:before="320" w:after="120"/>
      <w:outlineLvl w:val="1"/>
    </w:pPr>
    <w:rPr>
      <w:rFonts w:eastAsiaTheme="minorEastAsia"/>
      <w:bCs w:val="0"/>
      <w:sz w:val="36"/>
      <w:szCs w:val="26"/>
      <w:lang w:val="en-AU"/>
    </w:rPr>
  </w:style>
  <w:style w:type="paragraph" w:styleId="Heading3">
    <w:name w:val="heading 3"/>
    <w:basedOn w:val="Heading2"/>
    <w:next w:val="Normal"/>
    <w:link w:val="Heading3Char"/>
    <w:uiPriority w:val="9"/>
    <w:unhideWhenUsed/>
    <w:qFormat/>
    <w:rsid w:val="00981B6D"/>
    <w:pPr>
      <w:pageBreakBefore w:val="0"/>
      <w:numPr>
        <w:ilvl w:val="1"/>
      </w:numPr>
      <w:spacing w:before="240"/>
      <w:outlineLvl w:val="2"/>
    </w:pPr>
    <w:rPr>
      <w:bCs/>
      <w:sz w:val="28"/>
    </w:rPr>
  </w:style>
  <w:style w:type="paragraph" w:styleId="Heading4">
    <w:name w:val="heading 4"/>
    <w:basedOn w:val="Heading3"/>
    <w:next w:val="Normal"/>
    <w:link w:val="Heading4Char"/>
    <w:uiPriority w:val="9"/>
    <w:unhideWhenUsed/>
    <w:qFormat/>
    <w:rsid w:val="0083600C"/>
    <w:pPr>
      <w:numPr>
        <w:ilvl w:val="2"/>
      </w:numPr>
      <w:spacing w:after="240"/>
      <w:outlineLvl w:val="3"/>
    </w:pPr>
    <w:rPr>
      <w:b w:val="0"/>
      <w:bCs w:val="0"/>
      <w:iCs/>
    </w:rPr>
  </w:style>
  <w:style w:type="paragraph" w:styleId="Heading5">
    <w:name w:val="heading 5"/>
    <w:basedOn w:val="Normal"/>
    <w:next w:val="Normal"/>
    <w:link w:val="Heading5Char"/>
    <w:uiPriority w:val="9"/>
    <w:unhideWhenUsed/>
    <w:qFormat/>
    <w:rsid w:val="00C83D03"/>
    <w:pPr>
      <w:keepNext/>
      <w:keepLines/>
      <w:spacing w:before="320"/>
      <w:outlineLvl w:val="4"/>
    </w:pPr>
    <w:rPr>
      <w:rFonts w:eastAsiaTheme="majorEastAsia" w:cstheme="majorBidi"/>
      <w:b/>
      <w:color w:val="243F60" w:themeColor="accent1" w:themeShade="7F"/>
    </w:rPr>
  </w:style>
  <w:style w:type="paragraph" w:styleId="Heading6">
    <w:name w:val="heading 6"/>
    <w:basedOn w:val="Normal"/>
    <w:next w:val="Normal"/>
    <w:link w:val="Heading6Char"/>
    <w:uiPriority w:val="9"/>
    <w:unhideWhenUsed/>
    <w:rsid w:val="00061D9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61D9C"/>
    <w:pPr>
      <w:keepNext/>
      <w:keepLines/>
      <w:numPr>
        <w:ilvl w:val="6"/>
        <w:numId w:val="110"/>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61D9C"/>
    <w:pPr>
      <w:keepNext/>
      <w:keepLines/>
      <w:numPr>
        <w:ilvl w:val="7"/>
        <w:numId w:val="110"/>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61D9C"/>
    <w:pPr>
      <w:keepNext/>
      <w:keepLines/>
      <w:numPr>
        <w:ilvl w:val="8"/>
        <w:numId w:val="1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5967"/>
    <w:rPr>
      <w:rFonts w:eastAsiaTheme="majorEastAsia" w:cstheme="majorBidi"/>
      <w:b/>
      <w:bCs/>
      <w:color w:val="1F497D" w:themeColor="text2"/>
      <w:sz w:val="44"/>
      <w:szCs w:val="28"/>
      <w:lang w:val="en-US"/>
    </w:rPr>
  </w:style>
  <w:style w:type="character" w:customStyle="1" w:styleId="Heading2Char">
    <w:name w:val="Heading 2 Char"/>
    <w:basedOn w:val="DefaultParagraphFont"/>
    <w:link w:val="Heading2"/>
    <w:uiPriority w:val="9"/>
    <w:rsid w:val="00B60372"/>
    <w:rPr>
      <w:rFonts w:eastAsiaTheme="minorEastAsia" w:cstheme="majorBidi"/>
      <w:b/>
      <w:color w:val="1F497D" w:themeColor="text2"/>
      <w:sz w:val="36"/>
      <w:szCs w:val="26"/>
    </w:rPr>
  </w:style>
  <w:style w:type="character" w:customStyle="1" w:styleId="Heading3Char">
    <w:name w:val="Heading 3 Char"/>
    <w:basedOn w:val="DefaultParagraphFont"/>
    <w:link w:val="Heading3"/>
    <w:uiPriority w:val="9"/>
    <w:rsid w:val="00981B6D"/>
    <w:rPr>
      <w:rFonts w:eastAsiaTheme="minorEastAsia" w:cstheme="majorBidi"/>
      <w:b/>
      <w:bCs/>
      <w:color w:val="1F497D" w:themeColor="text2"/>
      <w:sz w:val="28"/>
      <w:szCs w:val="26"/>
    </w:rPr>
  </w:style>
  <w:style w:type="character" w:customStyle="1" w:styleId="Heading4Char">
    <w:name w:val="Heading 4 Char"/>
    <w:basedOn w:val="DefaultParagraphFont"/>
    <w:link w:val="Heading4"/>
    <w:uiPriority w:val="9"/>
    <w:rsid w:val="0083600C"/>
    <w:rPr>
      <w:rFonts w:eastAsiaTheme="minorEastAsia" w:cstheme="majorBidi"/>
      <w:iCs/>
      <w:color w:val="1F497D" w:themeColor="text2"/>
      <w:sz w:val="28"/>
      <w:szCs w:val="26"/>
    </w:rPr>
  </w:style>
  <w:style w:type="character" w:customStyle="1" w:styleId="Heading5Char">
    <w:name w:val="Heading 5 Char"/>
    <w:basedOn w:val="DefaultParagraphFont"/>
    <w:link w:val="Heading5"/>
    <w:uiPriority w:val="9"/>
    <w:rsid w:val="00C83D03"/>
    <w:rPr>
      <w:rFonts w:eastAsiaTheme="majorEastAsia" w:cstheme="majorBidi"/>
      <w:b/>
      <w:color w:val="243F60" w:themeColor="accent1" w:themeShade="7F"/>
      <w:sz w:val="24"/>
      <w:lang w:val="en-US"/>
    </w:rPr>
  </w:style>
  <w:style w:type="character" w:customStyle="1" w:styleId="Heading6Char">
    <w:name w:val="Heading 6 Char"/>
    <w:basedOn w:val="DefaultParagraphFont"/>
    <w:link w:val="Heading6"/>
    <w:uiPriority w:val="9"/>
    <w:rsid w:val="00061D9C"/>
    <w:rPr>
      <w:rFonts w:asciiTheme="majorHAnsi" w:eastAsiaTheme="majorEastAsia" w:hAnsiTheme="majorHAnsi" w:cstheme="majorBidi"/>
      <w:i/>
      <w:iCs/>
      <w:color w:val="243F60" w:themeColor="accent1" w:themeShade="7F"/>
      <w:lang w:val="en-US"/>
    </w:rPr>
  </w:style>
  <w:style w:type="character" w:customStyle="1" w:styleId="Heading7Char">
    <w:name w:val="Heading 7 Char"/>
    <w:basedOn w:val="DefaultParagraphFont"/>
    <w:link w:val="Heading7"/>
    <w:uiPriority w:val="9"/>
    <w:semiHidden/>
    <w:rsid w:val="00061D9C"/>
    <w:rPr>
      <w:rFonts w:asciiTheme="majorHAnsi" w:eastAsiaTheme="majorEastAsia" w:hAnsiTheme="majorHAnsi" w:cstheme="majorBidi"/>
      <w:i/>
      <w:iCs/>
      <w:color w:val="404040" w:themeColor="text1" w:themeTint="BF"/>
      <w:lang w:val="en-US"/>
    </w:rPr>
  </w:style>
  <w:style w:type="character" w:customStyle="1" w:styleId="Heading8Char">
    <w:name w:val="Heading 8 Char"/>
    <w:basedOn w:val="DefaultParagraphFont"/>
    <w:link w:val="Heading8"/>
    <w:uiPriority w:val="9"/>
    <w:semiHidden/>
    <w:rsid w:val="00061D9C"/>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061D9C"/>
    <w:rPr>
      <w:rFonts w:asciiTheme="majorHAnsi" w:eastAsiaTheme="majorEastAsia" w:hAnsiTheme="majorHAnsi" w:cstheme="majorBidi"/>
      <w:i/>
      <w:iCs/>
      <w:color w:val="404040" w:themeColor="text1" w:themeTint="BF"/>
      <w:sz w:val="20"/>
      <w:szCs w:val="20"/>
      <w:lang w:val="en-US"/>
    </w:rPr>
  </w:style>
  <w:style w:type="paragraph" w:styleId="Caption">
    <w:name w:val="caption"/>
    <w:basedOn w:val="Normal"/>
    <w:next w:val="Normal"/>
    <w:autoRedefine/>
    <w:uiPriority w:val="35"/>
    <w:unhideWhenUsed/>
    <w:qFormat/>
    <w:rsid w:val="00144F26"/>
    <w:pPr>
      <w:keepNext/>
      <w:spacing w:before="0" w:after="60" w:line="240" w:lineRule="auto"/>
    </w:pPr>
    <w:rPr>
      <w:b/>
      <w:bCs/>
      <w:i/>
      <w:sz w:val="22"/>
      <w:szCs w:val="18"/>
    </w:rPr>
  </w:style>
  <w:style w:type="paragraph" w:styleId="ListParagraph">
    <w:name w:val="List Paragraph"/>
    <w:basedOn w:val="Normal"/>
    <w:uiPriority w:val="34"/>
    <w:qFormat/>
    <w:rsid w:val="00C05B0A"/>
    <w:pPr>
      <w:ind w:left="720"/>
    </w:pPr>
  </w:style>
  <w:style w:type="paragraph" w:styleId="BalloonText">
    <w:name w:val="Balloon Text"/>
    <w:basedOn w:val="Normal"/>
    <w:link w:val="BalloonTextChar"/>
    <w:uiPriority w:val="99"/>
    <w:semiHidden/>
    <w:unhideWhenUsed/>
    <w:rsid w:val="00192C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2CAA"/>
    <w:rPr>
      <w:rFonts w:ascii="Tahoma" w:hAnsi="Tahoma" w:cs="Tahoma"/>
      <w:sz w:val="16"/>
      <w:szCs w:val="16"/>
    </w:rPr>
  </w:style>
  <w:style w:type="paragraph" w:styleId="FootnoteText">
    <w:name w:val="footnote text"/>
    <w:basedOn w:val="Normal"/>
    <w:link w:val="FootnoteTextChar"/>
    <w:uiPriority w:val="99"/>
    <w:semiHidden/>
    <w:unhideWhenUsed/>
    <w:rsid w:val="009C400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C4005"/>
    <w:rPr>
      <w:sz w:val="20"/>
      <w:szCs w:val="20"/>
    </w:rPr>
  </w:style>
  <w:style w:type="character" w:styleId="FootnoteReference">
    <w:name w:val="footnote reference"/>
    <w:basedOn w:val="DefaultParagraphFont"/>
    <w:uiPriority w:val="99"/>
    <w:semiHidden/>
    <w:unhideWhenUsed/>
    <w:rsid w:val="009C4005"/>
    <w:rPr>
      <w:vertAlign w:val="superscript"/>
    </w:rPr>
  </w:style>
  <w:style w:type="character" w:styleId="PlaceholderText">
    <w:name w:val="Placeholder Text"/>
    <w:basedOn w:val="DefaultParagraphFont"/>
    <w:uiPriority w:val="99"/>
    <w:semiHidden/>
    <w:rsid w:val="00D95EC6"/>
    <w:rPr>
      <w:color w:val="808080"/>
    </w:rPr>
  </w:style>
  <w:style w:type="table" w:styleId="TableGrid">
    <w:name w:val="Table Grid"/>
    <w:basedOn w:val="TableNormal"/>
    <w:uiPriority w:val="59"/>
    <w:rsid w:val="00053329"/>
    <w:pPr>
      <w:keepNext/>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E3B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3B55"/>
  </w:style>
  <w:style w:type="paragraph" w:styleId="Footer">
    <w:name w:val="footer"/>
    <w:basedOn w:val="Normal"/>
    <w:link w:val="FooterChar"/>
    <w:uiPriority w:val="99"/>
    <w:unhideWhenUsed/>
    <w:rsid w:val="004E3B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3B55"/>
  </w:style>
  <w:style w:type="character" w:styleId="CommentReference">
    <w:name w:val="annotation reference"/>
    <w:basedOn w:val="DefaultParagraphFont"/>
    <w:uiPriority w:val="99"/>
    <w:semiHidden/>
    <w:unhideWhenUsed/>
    <w:rsid w:val="006843F8"/>
    <w:rPr>
      <w:sz w:val="16"/>
      <w:szCs w:val="16"/>
    </w:rPr>
  </w:style>
  <w:style w:type="paragraph" w:styleId="CommentText">
    <w:name w:val="annotation text"/>
    <w:basedOn w:val="Normal"/>
    <w:link w:val="CommentTextChar"/>
    <w:semiHidden/>
    <w:unhideWhenUsed/>
    <w:rsid w:val="007C66F6"/>
    <w:pPr>
      <w:spacing w:line="240" w:lineRule="auto"/>
    </w:pPr>
    <w:rPr>
      <w:sz w:val="20"/>
      <w:szCs w:val="20"/>
    </w:rPr>
  </w:style>
  <w:style w:type="character" w:customStyle="1" w:styleId="CommentTextChar">
    <w:name w:val="Comment Text Char"/>
    <w:basedOn w:val="DefaultParagraphFont"/>
    <w:link w:val="CommentText"/>
    <w:semiHidden/>
    <w:rsid w:val="007C66F6"/>
    <w:rPr>
      <w:sz w:val="20"/>
      <w:szCs w:val="20"/>
      <w:lang w:val="en-US"/>
    </w:rPr>
  </w:style>
  <w:style w:type="paragraph" w:styleId="CommentSubject">
    <w:name w:val="annotation subject"/>
    <w:basedOn w:val="Normal"/>
    <w:next w:val="CommentText"/>
    <w:link w:val="CommentSubjectChar"/>
    <w:uiPriority w:val="99"/>
    <w:semiHidden/>
    <w:unhideWhenUsed/>
    <w:rsid w:val="000E5B4A"/>
    <w:rPr>
      <w:b/>
      <w:bCs/>
    </w:rPr>
  </w:style>
  <w:style w:type="character" w:customStyle="1" w:styleId="CommentSubjectChar">
    <w:name w:val="Comment Subject Char"/>
    <w:basedOn w:val="DefaultParagraphFont"/>
    <w:link w:val="CommentSubject"/>
    <w:uiPriority w:val="99"/>
    <w:semiHidden/>
    <w:rsid w:val="000E5B4A"/>
    <w:rPr>
      <w:b/>
      <w:bCs/>
      <w:sz w:val="20"/>
      <w:szCs w:val="20"/>
    </w:rPr>
  </w:style>
  <w:style w:type="character" w:styleId="Hyperlink">
    <w:name w:val="Hyperlink"/>
    <w:basedOn w:val="DefaultParagraphFont"/>
    <w:uiPriority w:val="99"/>
    <w:unhideWhenUsed/>
    <w:rsid w:val="00FC780F"/>
    <w:rPr>
      <w:noProof/>
      <w:color w:val="0000FF"/>
      <w:u w:val="single"/>
    </w:rPr>
  </w:style>
  <w:style w:type="character" w:styleId="FollowedHyperlink">
    <w:name w:val="FollowedHyperlink"/>
    <w:basedOn w:val="DefaultParagraphFont"/>
    <w:uiPriority w:val="99"/>
    <w:semiHidden/>
    <w:unhideWhenUsed/>
    <w:rsid w:val="00047B26"/>
    <w:rPr>
      <w:color w:val="800080"/>
      <w:u w:val="single"/>
    </w:rPr>
  </w:style>
  <w:style w:type="paragraph" w:styleId="TOCHeading">
    <w:name w:val="TOC Heading"/>
    <w:basedOn w:val="Heading1"/>
    <w:next w:val="Normal"/>
    <w:uiPriority w:val="39"/>
    <w:semiHidden/>
    <w:unhideWhenUsed/>
    <w:qFormat/>
    <w:rsid w:val="00A36C93"/>
    <w:pPr>
      <w:spacing w:before="480" w:after="0"/>
      <w:outlineLvl w:val="9"/>
    </w:pPr>
    <w:rPr>
      <w:rFonts w:asciiTheme="majorHAnsi" w:hAnsiTheme="majorHAnsi"/>
      <w:color w:val="365F91" w:themeColor="accent1" w:themeShade="BF"/>
      <w:lang w:eastAsia="ja-JP"/>
    </w:rPr>
  </w:style>
  <w:style w:type="paragraph" w:styleId="TOC1">
    <w:name w:val="toc 1"/>
    <w:basedOn w:val="Normal"/>
    <w:next w:val="Normal"/>
    <w:autoRedefine/>
    <w:uiPriority w:val="39"/>
    <w:unhideWhenUsed/>
    <w:qFormat/>
    <w:rsid w:val="00890819"/>
    <w:pPr>
      <w:tabs>
        <w:tab w:val="left" w:pos="426"/>
        <w:tab w:val="right" w:leader="dot" w:pos="9017"/>
      </w:tabs>
      <w:spacing w:after="100"/>
      <w:ind w:left="425" w:hanging="425"/>
    </w:pPr>
  </w:style>
  <w:style w:type="paragraph" w:styleId="TOC2">
    <w:name w:val="toc 2"/>
    <w:basedOn w:val="Normal"/>
    <w:next w:val="Normal"/>
    <w:autoRedefine/>
    <w:uiPriority w:val="39"/>
    <w:unhideWhenUsed/>
    <w:qFormat/>
    <w:rsid w:val="0013433F"/>
    <w:pPr>
      <w:tabs>
        <w:tab w:val="left" w:pos="993"/>
        <w:tab w:val="right" w:leader="dot" w:pos="9017"/>
      </w:tabs>
      <w:spacing w:after="100"/>
      <w:ind w:left="993" w:hanging="567"/>
    </w:pPr>
    <w:rPr>
      <w:noProof/>
    </w:rPr>
  </w:style>
  <w:style w:type="paragraph" w:styleId="TOC3">
    <w:name w:val="toc 3"/>
    <w:basedOn w:val="Normal"/>
    <w:next w:val="Normal"/>
    <w:autoRedefine/>
    <w:uiPriority w:val="39"/>
    <w:unhideWhenUsed/>
    <w:qFormat/>
    <w:rsid w:val="0013433F"/>
    <w:pPr>
      <w:tabs>
        <w:tab w:val="left" w:pos="1560"/>
        <w:tab w:val="right" w:leader="dot" w:pos="9017"/>
      </w:tabs>
      <w:spacing w:after="100"/>
      <w:ind w:left="1560" w:hanging="567"/>
    </w:pPr>
    <w:rPr>
      <w:noProof/>
    </w:rPr>
  </w:style>
  <w:style w:type="paragraph" w:customStyle="1" w:styleId="Default">
    <w:name w:val="Default"/>
    <w:rsid w:val="007C1EE8"/>
    <w:pPr>
      <w:autoSpaceDE w:val="0"/>
      <w:autoSpaceDN w:val="0"/>
      <w:adjustRightInd w:val="0"/>
      <w:spacing w:after="0" w:line="240" w:lineRule="auto"/>
    </w:pPr>
    <w:rPr>
      <w:rFonts w:ascii="Arial" w:eastAsiaTheme="minorEastAsia" w:hAnsi="Arial" w:cs="Arial"/>
      <w:color w:val="000000"/>
      <w:sz w:val="24"/>
      <w:szCs w:val="24"/>
      <w:lang w:eastAsia="en-GB"/>
    </w:rPr>
  </w:style>
  <w:style w:type="paragraph" w:styleId="TableofFigures">
    <w:name w:val="table of figures"/>
    <w:basedOn w:val="Normal"/>
    <w:next w:val="Normal"/>
    <w:uiPriority w:val="99"/>
    <w:unhideWhenUsed/>
    <w:rsid w:val="007C1EE8"/>
    <w:pPr>
      <w:spacing w:after="0"/>
    </w:pPr>
  </w:style>
  <w:style w:type="table" w:customStyle="1" w:styleId="MediumShading1-Accent11">
    <w:name w:val="Medium Shading 1 - Accent 11"/>
    <w:basedOn w:val="TableNormal"/>
    <w:uiPriority w:val="63"/>
    <w:rsid w:val="005D008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leGrid1">
    <w:name w:val="Table Grid1"/>
    <w:basedOn w:val="TableNormal"/>
    <w:next w:val="TableGrid"/>
    <w:uiPriority w:val="59"/>
    <w:rsid w:val="005B58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60EBE"/>
    <w:pPr>
      <w:spacing w:after="0" w:line="240" w:lineRule="auto"/>
    </w:pPr>
    <w:rPr>
      <w:lang w:val="en-US"/>
    </w:rPr>
  </w:style>
  <w:style w:type="paragraph" w:styleId="Quote">
    <w:name w:val="Quote"/>
    <w:basedOn w:val="Normal"/>
    <w:next w:val="Normal"/>
    <w:link w:val="QuoteChar"/>
    <w:uiPriority w:val="29"/>
    <w:qFormat/>
    <w:rsid w:val="007827B9"/>
    <w:pPr>
      <w:spacing w:before="200" w:after="160"/>
      <w:ind w:left="862" w:right="862"/>
    </w:pPr>
    <w:rPr>
      <w:b/>
      <w:i/>
      <w:iCs/>
      <w:color w:val="404040" w:themeColor="text1" w:themeTint="BF"/>
    </w:rPr>
  </w:style>
  <w:style w:type="character" w:customStyle="1" w:styleId="QuoteChar">
    <w:name w:val="Quote Char"/>
    <w:basedOn w:val="DefaultParagraphFont"/>
    <w:link w:val="Quote"/>
    <w:uiPriority w:val="29"/>
    <w:rsid w:val="007827B9"/>
    <w:rPr>
      <w:b/>
      <w:i/>
      <w:iCs/>
      <w:color w:val="404040" w:themeColor="text1" w:themeTint="BF"/>
      <w:sz w:val="24"/>
      <w:lang w:val="en-US"/>
    </w:rPr>
  </w:style>
  <w:style w:type="paragraph" w:customStyle="1" w:styleId="IHPARequiremnt">
    <w:name w:val="IHPA Requiremnt"/>
    <w:basedOn w:val="Normal"/>
    <w:link w:val="IHPARequiremntChar"/>
    <w:qFormat/>
    <w:rsid w:val="00CD792B"/>
    <w:pPr>
      <w:numPr>
        <w:numId w:val="65"/>
      </w:numPr>
      <w:pBdr>
        <w:top w:val="single" w:sz="4" w:space="1" w:color="auto"/>
        <w:left w:val="single" w:sz="4" w:space="23" w:color="auto"/>
        <w:bottom w:val="single" w:sz="4" w:space="2" w:color="auto"/>
        <w:right w:val="single" w:sz="4" w:space="4" w:color="auto"/>
      </w:pBdr>
      <w:shd w:val="clear" w:color="auto" w:fill="DBE5F1" w:themeFill="accent1" w:themeFillTint="33"/>
      <w:contextualSpacing/>
    </w:pPr>
    <w:rPr>
      <w:rFonts w:ascii="Calibri" w:eastAsia="Calibri" w:hAnsi="Calibri" w:cs="Times New Roman"/>
      <w:i/>
      <w:szCs w:val="24"/>
      <w:lang w:val="en-AU"/>
    </w:rPr>
  </w:style>
  <w:style w:type="character" w:customStyle="1" w:styleId="IHPARequiremntChar">
    <w:name w:val="IHPA Requiremnt Char"/>
    <w:basedOn w:val="DefaultParagraphFont"/>
    <w:link w:val="IHPARequiremnt"/>
    <w:rsid w:val="00CD792B"/>
    <w:rPr>
      <w:rFonts w:ascii="Calibri" w:eastAsia="Calibri" w:hAnsi="Calibri" w:cs="Times New Roman"/>
      <w:i/>
      <w:sz w:val="24"/>
      <w:szCs w:val="24"/>
      <w:shd w:val="clear" w:color="auto" w:fill="DBE5F1" w:themeFill="accent1" w:themeFillTint="33"/>
    </w:rPr>
  </w:style>
  <w:style w:type="paragraph" w:customStyle="1" w:styleId="Recommendation">
    <w:name w:val="Recommendation"/>
    <w:basedOn w:val="Normal"/>
    <w:link w:val="RecommendationChar"/>
    <w:qFormat/>
    <w:rsid w:val="0047597D"/>
    <w:pPr>
      <w:pBdr>
        <w:top w:val="single" w:sz="4" w:space="1" w:color="auto"/>
        <w:left w:val="single" w:sz="4" w:space="4" w:color="auto"/>
        <w:bottom w:val="single" w:sz="4" w:space="1" w:color="auto"/>
        <w:right w:val="single" w:sz="4" w:space="4" w:color="auto"/>
      </w:pBdr>
      <w:shd w:val="clear" w:color="auto" w:fill="B6DDE8" w:themeFill="accent5" w:themeFillTint="66"/>
    </w:pPr>
    <w:rPr>
      <w:i/>
      <w:szCs w:val="24"/>
      <w:lang w:val="en-AU"/>
    </w:rPr>
  </w:style>
  <w:style w:type="character" w:customStyle="1" w:styleId="RecommendationChar">
    <w:name w:val="Recommendation Char"/>
    <w:basedOn w:val="DefaultParagraphFont"/>
    <w:link w:val="Recommendation"/>
    <w:rsid w:val="0047597D"/>
    <w:rPr>
      <w:i/>
      <w:sz w:val="24"/>
      <w:szCs w:val="24"/>
      <w:shd w:val="clear" w:color="auto" w:fill="B6DDE8" w:themeFill="accent5" w:themeFillTint="66"/>
    </w:rPr>
  </w:style>
  <w:style w:type="paragraph" w:customStyle="1" w:styleId="SectionIntroduction">
    <w:name w:val="Section Introduction"/>
    <w:basedOn w:val="Normal"/>
    <w:link w:val="SectionIntroductionChar"/>
    <w:qFormat/>
    <w:rsid w:val="0047597D"/>
    <w:rPr>
      <w:i/>
      <w:szCs w:val="24"/>
    </w:rPr>
  </w:style>
  <w:style w:type="character" w:customStyle="1" w:styleId="SectionIntroductionChar">
    <w:name w:val="Section Introduction Char"/>
    <w:basedOn w:val="DefaultParagraphFont"/>
    <w:link w:val="SectionIntroduction"/>
    <w:rsid w:val="0047597D"/>
    <w:rPr>
      <w:i/>
      <w:sz w:val="24"/>
      <w:szCs w:val="24"/>
      <w:lang w:val="en-US"/>
    </w:rPr>
  </w:style>
  <w:style w:type="table" w:customStyle="1" w:styleId="Style1">
    <w:name w:val="Style1"/>
    <w:basedOn w:val="TableNormal"/>
    <w:uiPriority w:val="99"/>
    <w:rsid w:val="00CD79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jc w:val="left"/>
      </w:pPr>
      <w:rPr>
        <w:b/>
        <w:color w:val="auto"/>
      </w:rPr>
      <w:tblPr/>
      <w:tcPr>
        <w:shd w:val="clear" w:color="auto" w:fill="DBE5F1" w:themeFill="accent1" w:themeFillTint="33"/>
        <w:vAlign w:val="center"/>
      </w:tcPr>
    </w:tblStylePr>
    <w:tblStylePr w:type="lastRow">
      <w:pPr>
        <w:keepNext w:val="0"/>
        <w:wordWrap/>
      </w:pPr>
      <w:rPr>
        <w:rFonts w:asciiTheme="minorHAnsi" w:hAnsiTheme="minorHAnsi"/>
        <w:b w:val="0"/>
        <w:sz w:val="22"/>
      </w:rPr>
    </w:tblStylePr>
    <w:tblStylePr w:type="firstCol">
      <w:rPr>
        <w:b/>
      </w:rPr>
    </w:tblStylePr>
    <w:tblStylePr w:type="lastCol">
      <w:rPr>
        <w:b/>
      </w:rPr>
    </w:tblStylePr>
  </w:style>
  <w:style w:type="paragraph" w:customStyle="1" w:styleId="Table">
    <w:name w:val="Table"/>
    <w:basedOn w:val="Normal"/>
    <w:link w:val="TableChar"/>
    <w:qFormat/>
    <w:rsid w:val="00CD792B"/>
    <w:pPr>
      <w:spacing w:line="240" w:lineRule="auto"/>
    </w:pPr>
    <w:rPr>
      <w:lang w:val="en-AU" w:eastAsia="en-AU"/>
    </w:rPr>
  </w:style>
  <w:style w:type="character" w:customStyle="1" w:styleId="TableChar">
    <w:name w:val="Table Char"/>
    <w:basedOn w:val="DefaultParagraphFont"/>
    <w:link w:val="Table"/>
    <w:rsid w:val="00CD792B"/>
    <w:rPr>
      <w:sz w:val="24"/>
      <w:lang w:eastAsia="en-AU"/>
    </w:rPr>
  </w:style>
  <w:style w:type="paragraph" w:styleId="ListBullet2">
    <w:name w:val="List Bullet 2"/>
    <w:basedOn w:val="Normal"/>
    <w:uiPriority w:val="99"/>
    <w:unhideWhenUsed/>
    <w:rsid w:val="00B31E9D"/>
    <w:pPr>
      <w:numPr>
        <w:numId w:val="103"/>
      </w:numPr>
      <w:contextualSpacing/>
    </w:pPr>
  </w:style>
  <w:style w:type="paragraph" w:styleId="ListBullet">
    <w:name w:val="List Bullet"/>
    <w:basedOn w:val="Normal"/>
    <w:uiPriority w:val="99"/>
    <w:unhideWhenUsed/>
    <w:rsid w:val="002C3992"/>
    <w:pPr>
      <w:numPr>
        <w:numId w:val="87"/>
      </w:numPr>
      <w:contextualSpacing/>
    </w:pPr>
  </w:style>
  <w:style w:type="paragraph" w:customStyle="1" w:styleId="TableNumber">
    <w:name w:val="Table Number"/>
    <w:basedOn w:val="Table"/>
    <w:link w:val="TableNumberChar"/>
    <w:qFormat/>
    <w:rsid w:val="00CD792B"/>
    <w:pPr>
      <w:keepNext/>
      <w:jc w:val="right"/>
    </w:pPr>
  </w:style>
  <w:style w:type="character" w:customStyle="1" w:styleId="TableNumberChar">
    <w:name w:val="Table Number Char"/>
    <w:basedOn w:val="TableChar"/>
    <w:link w:val="TableNumber"/>
    <w:rsid w:val="00CD792B"/>
    <w:rPr>
      <w:sz w:val="24"/>
      <w:lang w:eastAsia="en-AU"/>
    </w:rPr>
  </w:style>
  <w:style w:type="table" w:customStyle="1" w:styleId="Style2">
    <w:name w:val="Style2"/>
    <w:basedOn w:val="TableNormal"/>
    <w:uiPriority w:val="99"/>
    <w:rsid w:val="005A2B1B"/>
    <w:pPr>
      <w:spacing w:after="0" w:line="240" w:lineRule="auto"/>
    </w:pPr>
    <w:tblPr/>
  </w:style>
  <w:style w:type="paragraph" w:styleId="NormalWeb">
    <w:name w:val="Normal (Web)"/>
    <w:basedOn w:val="Normal"/>
    <w:uiPriority w:val="99"/>
    <w:semiHidden/>
    <w:unhideWhenUsed/>
    <w:rsid w:val="00186806"/>
    <w:pPr>
      <w:spacing w:before="100" w:beforeAutospacing="1" w:after="100" w:afterAutospacing="1" w:line="240" w:lineRule="auto"/>
    </w:pPr>
    <w:rPr>
      <w:rFonts w:ascii="Times New Roman" w:eastAsiaTheme="minorEastAsia" w:hAnsi="Times New Roman" w:cs="Times New Roman"/>
      <w:szCs w:val="24"/>
      <w:lang w:val="en-AU" w:eastAsia="en-AU"/>
    </w:rPr>
  </w:style>
  <w:style w:type="paragraph" w:customStyle="1" w:styleId="KeyFinding">
    <w:name w:val="Key Finding"/>
    <w:basedOn w:val="Normal"/>
    <w:link w:val="KeyFindingChar"/>
    <w:qFormat/>
    <w:rsid w:val="00CD792B"/>
    <w:pPr>
      <w:pBdr>
        <w:top w:val="single" w:sz="4" w:space="1" w:color="auto"/>
        <w:left w:val="single" w:sz="4" w:space="4" w:color="auto"/>
        <w:bottom w:val="single" w:sz="4" w:space="1" w:color="auto"/>
        <w:right w:val="single" w:sz="4" w:space="4" w:color="auto"/>
      </w:pBdr>
      <w:shd w:val="clear" w:color="auto" w:fill="DBE5F1" w:themeFill="accent1" w:themeFillTint="33"/>
    </w:pPr>
    <w:rPr>
      <w:i/>
      <w:szCs w:val="24"/>
      <w:lang w:val="en-AU"/>
    </w:rPr>
  </w:style>
  <w:style w:type="character" w:customStyle="1" w:styleId="KeyFindingChar">
    <w:name w:val="Key Finding Char"/>
    <w:basedOn w:val="DefaultParagraphFont"/>
    <w:link w:val="KeyFinding"/>
    <w:rsid w:val="00CD792B"/>
    <w:rPr>
      <w:i/>
      <w:sz w:val="24"/>
      <w:szCs w:val="24"/>
      <w:shd w:val="clear" w:color="auto" w:fill="DBE5F1" w:themeFill="accent1" w:themeFillTint="33"/>
    </w:rPr>
  </w:style>
  <w:style w:type="character" w:customStyle="1" w:styleId="MTConvertedEquation">
    <w:name w:val="MTConvertedEquation"/>
    <w:basedOn w:val="DefaultParagraphFont"/>
    <w:rsid w:val="0084513A"/>
  </w:style>
  <w:style w:type="paragraph" w:customStyle="1" w:styleId="MTDisplayEquation">
    <w:name w:val="MTDisplayEquation"/>
    <w:basedOn w:val="Normal"/>
    <w:next w:val="Normal"/>
    <w:link w:val="MTDisplayEquationChar"/>
    <w:rsid w:val="00F968BD"/>
    <w:pPr>
      <w:tabs>
        <w:tab w:val="center" w:pos="4520"/>
        <w:tab w:val="right" w:pos="9020"/>
      </w:tabs>
    </w:pPr>
  </w:style>
  <w:style w:type="character" w:customStyle="1" w:styleId="MTDisplayEquationChar">
    <w:name w:val="MTDisplayEquation Char"/>
    <w:basedOn w:val="DefaultParagraphFont"/>
    <w:link w:val="MTDisplayEquation"/>
    <w:rsid w:val="00F968BD"/>
    <w:rPr>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141190">
      <w:bodyDiv w:val="1"/>
      <w:marLeft w:val="0"/>
      <w:marRight w:val="0"/>
      <w:marTop w:val="0"/>
      <w:marBottom w:val="0"/>
      <w:divBdr>
        <w:top w:val="none" w:sz="0" w:space="0" w:color="auto"/>
        <w:left w:val="none" w:sz="0" w:space="0" w:color="auto"/>
        <w:bottom w:val="none" w:sz="0" w:space="0" w:color="auto"/>
        <w:right w:val="none" w:sz="0" w:space="0" w:color="auto"/>
      </w:divBdr>
    </w:div>
    <w:div w:id="101608637">
      <w:bodyDiv w:val="1"/>
      <w:marLeft w:val="0"/>
      <w:marRight w:val="0"/>
      <w:marTop w:val="0"/>
      <w:marBottom w:val="0"/>
      <w:divBdr>
        <w:top w:val="single" w:sz="2" w:space="4" w:color="000000"/>
        <w:left w:val="single" w:sz="2" w:space="4" w:color="000000"/>
        <w:bottom w:val="single" w:sz="2" w:space="4" w:color="000000"/>
        <w:right w:val="single" w:sz="2" w:space="4" w:color="000000"/>
      </w:divBdr>
    </w:div>
    <w:div w:id="106437006">
      <w:bodyDiv w:val="1"/>
      <w:marLeft w:val="0"/>
      <w:marRight w:val="0"/>
      <w:marTop w:val="0"/>
      <w:marBottom w:val="0"/>
      <w:divBdr>
        <w:top w:val="none" w:sz="0" w:space="0" w:color="auto"/>
        <w:left w:val="none" w:sz="0" w:space="0" w:color="auto"/>
        <w:bottom w:val="none" w:sz="0" w:space="0" w:color="auto"/>
        <w:right w:val="none" w:sz="0" w:space="0" w:color="auto"/>
      </w:divBdr>
    </w:div>
    <w:div w:id="186019375">
      <w:bodyDiv w:val="1"/>
      <w:marLeft w:val="0"/>
      <w:marRight w:val="0"/>
      <w:marTop w:val="0"/>
      <w:marBottom w:val="0"/>
      <w:divBdr>
        <w:top w:val="none" w:sz="0" w:space="0" w:color="auto"/>
        <w:left w:val="none" w:sz="0" w:space="0" w:color="auto"/>
        <w:bottom w:val="none" w:sz="0" w:space="0" w:color="auto"/>
        <w:right w:val="none" w:sz="0" w:space="0" w:color="auto"/>
      </w:divBdr>
    </w:div>
    <w:div w:id="203636892">
      <w:bodyDiv w:val="1"/>
      <w:marLeft w:val="0"/>
      <w:marRight w:val="0"/>
      <w:marTop w:val="0"/>
      <w:marBottom w:val="0"/>
      <w:divBdr>
        <w:top w:val="none" w:sz="0" w:space="0" w:color="auto"/>
        <w:left w:val="none" w:sz="0" w:space="0" w:color="auto"/>
        <w:bottom w:val="none" w:sz="0" w:space="0" w:color="auto"/>
        <w:right w:val="none" w:sz="0" w:space="0" w:color="auto"/>
      </w:divBdr>
    </w:div>
    <w:div w:id="229657167">
      <w:bodyDiv w:val="1"/>
      <w:marLeft w:val="0"/>
      <w:marRight w:val="0"/>
      <w:marTop w:val="0"/>
      <w:marBottom w:val="0"/>
      <w:divBdr>
        <w:top w:val="none" w:sz="0" w:space="0" w:color="auto"/>
        <w:left w:val="none" w:sz="0" w:space="0" w:color="auto"/>
        <w:bottom w:val="none" w:sz="0" w:space="0" w:color="auto"/>
        <w:right w:val="none" w:sz="0" w:space="0" w:color="auto"/>
      </w:divBdr>
    </w:div>
    <w:div w:id="238828004">
      <w:bodyDiv w:val="1"/>
      <w:marLeft w:val="0"/>
      <w:marRight w:val="0"/>
      <w:marTop w:val="0"/>
      <w:marBottom w:val="0"/>
      <w:divBdr>
        <w:top w:val="none" w:sz="0" w:space="0" w:color="auto"/>
        <w:left w:val="none" w:sz="0" w:space="0" w:color="auto"/>
        <w:bottom w:val="none" w:sz="0" w:space="0" w:color="auto"/>
        <w:right w:val="none" w:sz="0" w:space="0" w:color="auto"/>
      </w:divBdr>
    </w:div>
    <w:div w:id="271936602">
      <w:bodyDiv w:val="1"/>
      <w:marLeft w:val="0"/>
      <w:marRight w:val="0"/>
      <w:marTop w:val="0"/>
      <w:marBottom w:val="0"/>
      <w:divBdr>
        <w:top w:val="none" w:sz="0" w:space="0" w:color="auto"/>
        <w:left w:val="none" w:sz="0" w:space="0" w:color="auto"/>
        <w:bottom w:val="none" w:sz="0" w:space="0" w:color="auto"/>
        <w:right w:val="none" w:sz="0" w:space="0" w:color="auto"/>
      </w:divBdr>
    </w:div>
    <w:div w:id="316688936">
      <w:bodyDiv w:val="1"/>
      <w:marLeft w:val="0"/>
      <w:marRight w:val="0"/>
      <w:marTop w:val="0"/>
      <w:marBottom w:val="0"/>
      <w:divBdr>
        <w:top w:val="none" w:sz="0" w:space="0" w:color="auto"/>
        <w:left w:val="none" w:sz="0" w:space="0" w:color="auto"/>
        <w:bottom w:val="none" w:sz="0" w:space="0" w:color="auto"/>
        <w:right w:val="none" w:sz="0" w:space="0" w:color="auto"/>
      </w:divBdr>
    </w:div>
    <w:div w:id="358051081">
      <w:bodyDiv w:val="1"/>
      <w:marLeft w:val="0"/>
      <w:marRight w:val="0"/>
      <w:marTop w:val="0"/>
      <w:marBottom w:val="0"/>
      <w:divBdr>
        <w:top w:val="none" w:sz="0" w:space="0" w:color="auto"/>
        <w:left w:val="none" w:sz="0" w:space="0" w:color="auto"/>
        <w:bottom w:val="none" w:sz="0" w:space="0" w:color="auto"/>
        <w:right w:val="none" w:sz="0" w:space="0" w:color="auto"/>
      </w:divBdr>
    </w:div>
    <w:div w:id="380055746">
      <w:bodyDiv w:val="1"/>
      <w:marLeft w:val="120"/>
      <w:marRight w:val="120"/>
      <w:marTop w:val="0"/>
      <w:marBottom w:val="0"/>
      <w:divBdr>
        <w:top w:val="none" w:sz="0" w:space="0" w:color="auto"/>
        <w:left w:val="none" w:sz="0" w:space="0" w:color="auto"/>
        <w:bottom w:val="none" w:sz="0" w:space="0" w:color="auto"/>
        <w:right w:val="none" w:sz="0" w:space="0" w:color="auto"/>
      </w:divBdr>
    </w:div>
    <w:div w:id="538516080">
      <w:bodyDiv w:val="1"/>
      <w:marLeft w:val="0"/>
      <w:marRight w:val="0"/>
      <w:marTop w:val="0"/>
      <w:marBottom w:val="0"/>
      <w:divBdr>
        <w:top w:val="none" w:sz="0" w:space="0" w:color="auto"/>
        <w:left w:val="none" w:sz="0" w:space="0" w:color="auto"/>
        <w:bottom w:val="none" w:sz="0" w:space="0" w:color="auto"/>
        <w:right w:val="none" w:sz="0" w:space="0" w:color="auto"/>
      </w:divBdr>
    </w:div>
    <w:div w:id="572202328">
      <w:bodyDiv w:val="1"/>
      <w:marLeft w:val="0"/>
      <w:marRight w:val="0"/>
      <w:marTop w:val="0"/>
      <w:marBottom w:val="0"/>
      <w:divBdr>
        <w:top w:val="none" w:sz="0" w:space="0" w:color="auto"/>
        <w:left w:val="none" w:sz="0" w:space="0" w:color="auto"/>
        <w:bottom w:val="none" w:sz="0" w:space="0" w:color="auto"/>
        <w:right w:val="none" w:sz="0" w:space="0" w:color="auto"/>
      </w:divBdr>
    </w:div>
    <w:div w:id="681787706">
      <w:bodyDiv w:val="1"/>
      <w:marLeft w:val="0"/>
      <w:marRight w:val="0"/>
      <w:marTop w:val="0"/>
      <w:marBottom w:val="0"/>
      <w:divBdr>
        <w:top w:val="none" w:sz="0" w:space="0" w:color="auto"/>
        <w:left w:val="none" w:sz="0" w:space="0" w:color="auto"/>
        <w:bottom w:val="none" w:sz="0" w:space="0" w:color="auto"/>
        <w:right w:val="none" w:sz="0" w:space="0" w:color="auto"/>
      </w:divBdr>
    </w:div>
    <w:div w:id="721365177">
      <w:bodyDiv w:val="1"/>
      <w:marLeft w:val="0"/>
      <w:marRight w:val="0"/>
      <w:marTop w:val="0"/>
      <w:marBottom w:val="0"/>
      <w:divBdr>
        <w:top w:val="none" w:sz="0" w:space="0" w:color="auto"/>
        <w:left w:val="none" w:sz="0" w:space="0" w:color="auto"/>
        <w:bottom w:val="none" w:sz="0" w:space="0" w:color="auto"/>
        <w:right w:val="none" w:sz="0" w:space="0" w:color="auto"/>
      </w:divBdr>
    </w:div>
    <w:div w:id="817575868">
      <w:bodyDiv w:val="1"/>
      <w:marLeft w:val="0"/>
      <w:marRight w:val="0"/>
      <w:marTop w:val="0"/>
      <w:marBottom w:val="0"/>
      <w:divBdr>
        <w:top w:val="none" w:sz="0" w:space="0" w:color="auto"/>
        <w:left w:val="none" w:sz="0" w:space="0" w:color="auto"/>
        <w:bottom w:val="none" w:sz="0" w:space="0" w:color="auto"/>
        <w:right w:val="none" w:sz="0" w:space="0" w:color="auto"/>
      </w:divBdr>
    </w:div>
    <w:div w:id="891113389">
      <w:bodyDiv w:val="1"/>
      <w:marLeft w:val="0"/>
      <w:marRight w:val="0"/>
      <w:marTop w:val="0"/>
      <w:marBottom w:val="0"/>
      <w:divBdr>
        <w:top w:val="none" w:sz="0" w:space="0" w:color="auto"/>
        <w:left w:val="none" w:sz="0" w:space="0" w:color="auto"/>
        <w:bottom w:val="none" w:sz="0" w:space="0" w:color="auto"/>
        <w:right w:val="none" w:sz="0" w:space="0" w:color="auto"/>
      </w:divBdr>
    </w:div>
    <w:div w:id="936135955">
      <w:bodyDiv w:val="1"/>
      <w:marLeft w:val="0"/>
      <w:marRight w:val="0"/>
      <w:marTop w:val="0"/>
      <w:marBottom w:val="0"/>
      <w:divBdr>
        <w:top w:val="none" w:sz="0" w:space="0" w:color="auto"/>
        <w:left w:val="none" w:sz="0" w:space="0" w:color="auto"/>
        <w:bottom w:val="none" w:sz="0" w:space="0" w:color="auto"/>
        <w:right w:val="none" w:sz="0" w:space="0" w:color="auto"/>
      </w:divBdr>
    </w:div>
    <w:div w:id="938757392">
      <w:bodyDiv w:val="1"/>
      <w:marLeft w:val="0"/>
      <w:marRight w:val="0"/>
      <w:marTop w:val="0"/>
      <w:marBottom w:val="0"/>
      <w:divBdr>
        <w:top w:val="none" w:sz="0" w:space="0" w:color="auto"/>
        <w:left w:val="none" w:sz="0" w:space="0" w:color="auto"/>
        <w:bottom w:val="none" w:sz="0" w:space="0" w:color="auto"/>
        <w:right w:val="none" w:sz="0" w:space="0" w:color="auto"/>
      </w:divBdr>
    </w:div>
    <w:div w:id="947585763">
      <w:bodyDiv w:val="1"/>
      <w:marLeft w:val="0"/>
      <w:marRight w:val="0"/>
      <w:marTop w:val="0"/>
      <w:marBottom w:val="0"/>
      <w:divBdr>
        <w:top w:val="none" w:sz="0" w:space="0" w:color="auto"/>
        <w:left w:val="none" w:sz="0" w:space="0" w:color="auto"/>
        <w:bottom w:val="none" w:sz="0" w:space="0" w:color="auto"/>
        <w:right w:val="none" w:sz="0" w:space="0" w:color="auto"/>
      </w:divBdr>
    </w:div>
    <w:div w:id="1045719469">
      <w:bodyDiv w:val="1"/>
      <w:marLeft w:val="0"/>
      <w:marRight w:val="0"/>
      <w:marTop w:val="0"/>
      <w:marBottom w:val="0"/>
      <w:divBdr>
        <w:top w:val="none" w:sz="0" w:space="0" w:color="auto"/>
        <w:left w:val="none" w:sz="0" w:space="0" w:color="auto"/>
        <w:bottom w:val="none" w:sz="0" w:space="0" w:color="auto"/>
        <w:right w:val="none" w:sz="0" w:space="0" w:color="auto"/>
      </w:divBdr>
    </w:div>
    <w:div w:id="1101948433">
      <w:bodyDiv w:val="1"/>
      <w:marLeft w:val="0"/>
      <w:marRight w:val="0"/>
      <w:marTop w:val="0"/>
      <w:marBottom w:val="0"/>
      <w:divBdr>
        <w:top w:val="none" w:sz="0" w:space="0" w:color="auto"/>
        <w:left w:val="none" w:sz="0" w:space="0" w:color="auto"/>
        <w:bottom w:val="none" w:sz="0" w:space="0" w:color="auto"/>
        <w:right w:val="none" w:sz="0" w:space="0" w:color="auto"/>
      </w:divBdr>
    </w:div>
    <w:div w:id="1151092537">
      <w:bodyDiv w:val="1"/>
      <w:marLeft w:val="0"/>
      <w:marRight w:val="0"/>
      <w:marTop w:val="0"/>
      <w:marBottom w:val="0"/>
      <w:divBdr>
        <w:top w:val="none" w:sz="0" w:space="0" w:color="auto"/>
        <w:left w:val="none" w:sz="0" w:space="0" w:color="auto"/>
        <w:bottom w:val="none" w:sz="0" w:space="0" w:color="auto"/>
        <w:right w:val="none" w:sz="0" w:space="0" w:color="auto"/>
      </w:divBdr>
    </w:div>
    <w:div w:id="1169907529">
      <w:bodyDiv w:val="1"/>
      <w:marLeft w:val="0"/>
      <w:marRight w:val="0"/>
      <w:marTop w:val="0"/>
      <w:marBottom w:val="0"/>
      <w:divBdr>
        <w:top w:val="none" w:sz="0" w:space="0" w:color="auto"/>
        <w:left w:val="none" w:sz="0" w:space="0" w:color="auto"/>
        <w:bottom w:val="none" w:sz="0" w:space="0" w:color="auto"/>
        <w:right w:val="none" w:sz="0" w:space="0" w:color="auto"/>
      </w:divBdr>
    </w:div>
    <w:div w:id="1235892053">
      <w:bodyDiv w:val="1"/>
      <w:marLeft w:val="0"/>
      <w:marRight w:val="0"/>
      <w:marTop w:val="0"/>
      <w:marBottom w:val="0"/>
      <w:divBdr>
        <w:top w:val="none" w:sz="0" w:space="0" w:color="auto"/>
        <w:left w:val="none" w:sz="0" w:space="0" w:color="auto"/>
        <w:bottom w:val="none" w:sz="0" w:space="0" w:color="auto"/>
        <w:right w:val="none" w:sz="0" w:space="0" w:color="auto"/>
      </w:divBdr>
    </w:div>
    <w:div w:id="1254313671">
      <w:bodyDiv w:val="1"/>
      <w:marLeft w:val="0"/>
      <w:marRight w:val="0"/>
      <w:marTop w:val="0"/>
      <w:marBottom w:val="0"/>
      <w:divBdr>
        <w:top w:val="none" w:sz="0" w:space="0" w:color="auto"/>
        <w:left w:val="none" w:sz="0" w:space="0" w:color="auto"/>
        <w:bottom w:val="none" w:sz="0" w:space="0" w:color="auto"/>
        <w:right w:val="none" w:sz="0" w:space="0" w:color="auto"/>
      </w:divBdr>
    </w:div>
    <w:div w:id="1262369692">
      <w:bodyDiv w:val="1"/>
      <w:marLeft w:val="0"/>
      <w:marRight w:val="0"/>
      <w:marTop w:val="0"/>
      <w:marBottom w:val="0"/>
      <w:divBdr>
        <w:top w:val="none" w:sz="0" w:space="0" w:color="auto"/>
        <w:left w:val="none" w:sz="0" w:space="0" w:color="auto"/>
        <w:bottom w:val="none" w:sz="0" w:space="0" w:color="auto"/>
        <w:right w:val="none" w:sz="0" w:space="0" w:color="auto"/>
      </w:divBdr>
    </w:div>
    <w:div w:id="1280332118">
      <w:bodyDiv w:val="1"/>
      <w:marLeft w:val="0"/>
      <w:marRight w:val="0"/>
      <w:marTop w:val="0"/>
      <w:marBottom w:val="0"/>
      <w:divBdr>
        <w:top w:val="none" w:sz="0" w:space="0" w:color="auto"/>
        <w:left w:val="none" w:sz="0" w:space="0" w:color="auto"/>
        <w:bottom w:val="none" w:sz="0" w:space="0" w:color="auto"/>
        <w:right w:val="none" w:sz="0" w:space="0" w:color="auto"/>
      </w:divBdr>
    </w:div>
    <w:div w:id="1294673867">
      <w:bodyDiv w:val="1"/>
      <w:marLeft w:val="0"/>
      <w:marRight w:val="0"/>
      <w:marTop w:val="0"/>
      <w:marBottom w:val="0"/>
      <w:divBdr>
        <w:top w:val="single" w:sz="2" w:space="4" w:color="000000"/>
        <w:left w:val="single" w:sz="2" w:space="4" w:color="000000"/>
        <w:bottom w:val="single" w:sz="2" w:space="4" w:color="000000"/>
        <w:right w:val="single" w:sz="2" w:space="4" w:color="000000"/>
      </w:divBdr>
    </w:div>
    <w:div w:id="1391342577">
      <w:bodyDiv w:val="1"/>
      <w:marLeft w:val="0"/>
      <w:marRight w:val="0"/>
      <w:marTop w:val="0"/>
      <w:marBottom w:val="0"/>
      <w:divBdr>
        <w:top w:val="none" w:sz="0" w:space="0" w:color="auto"/>
        <w:left w:val="none" w:sz="0" w:space="0" w:color="auto"/>
        <w:bottom w:val="none" w:sz="0" w:space="0" w:color="auto"/>
        <w:right w:val="none" w:sz="0" w:space="0" w:color="auto"/>
      </w:divBdr>
    </w:div>
    <w:div w:id="1406032510">
      <w:bodyDiv w:val="1"/>
      <w:marLeft w:val="0"/>
      <w:marRight w:val="0"/>
      <w:marTop w:val="0"/>
      <w:marBottom w:val="0"/>
      <w:divBdr>
        <w:top w:val="none" w:sz="0" w:space="0" w:color="auto"/>
        <w:left w:val="none" w:sz="0" w:space="0" w:color="auto"/>
        <w:bottom w:val="none" w:sz="0" w:space="0" w:color="auto"/>
        <w:right w:val="none" w:sz="0" w:space="0" w:color="auto"/>
      </w:divBdr>
    </w:div>
    <w:div w:id="1437553527">
      <w:bodyDiv w:val="1"/>
      <w:marLeft w:val="0"/>
      <w:marRight w:val="0"/>
      <w:marTop w:val="0"/>
      <w:marBottom w:val="0"/>
      <w:divBdr>
        <w:top w:val="none" w:sz="0" w:space="0" w:color="auto"/>
        <w:left w:val="none" w:sz="0" w:space="0" w:color="auto"/>
        <w:bottom w:val="none" w:sz="0" w:space="0" w:color="auto"/>
        <w:right w:val="none" w:sz="0" w:space="0" w:color="auto"/>
      </w:divBdr>
    </w:div>
    <w:div w:id="1475830221">
      <w:bodyDiv w:val="1"/>
      <w:marLeft w:val="0"/>
      <w:marRight w:val="0"/>
      <w:marTop w:val="0"/>
      <w:marBottom w:val="0"/>
      <w:divBdr>
        <w:top w:val="none" w:sz="0" w:space="0" w:color="auto"/>
        <w:left w:val="none" w:sz="0" w:space="0" w:color="auto"/>
        <w:bottom w:val="none" w:sz="0" w:space="0" w:color="auto"/>
        <w:right w:val="none" w:sz="0" w:space="0" w:color="auto"/>
      </w:divBdr>
    </w:div>
    <w:div w:id="1514223931">
      <w:bodyDiv w:val="1"/>
      <w:marLeft w:val="0"/>
      <w:marRight w:val="0"/>
      <w:marTop w:val="0"/>
      <w:marBottom w:val="0"/>
      <w:divBdr>
        <w:top w:val="none" w:sz="0" w:space="0" w:color="auto"/>
        <w:left w:val="none" w:sz="0" w:space="0" w:color="auto"/>
        <w:bottom w:val="none" w:sz="0" w:space="0" w:color="auto"/>
        <w:right w:val="none" w:sz="0" w:space="0" w:color="auto"/>
      </w:divBdr>
    </w:div>
    <w:div w:id="1620723203">
      <w:bodyDiv w:val="1"/>
      <w:marLeft w:val="0"/>
      <w:marRight w:val="0"/>
      <w:marTop w:val="0"/>
      <w:marBottom w:val="0"/>
      <w:divBdr>
        <w:top w:val="none" w:sz="0" w:space="0" w:color="auto"/>
        <w:left w:val="none" w:sz="0" w:space="0" w:color="auto"/>
        <w:bottom w:val="none" w:sz="0" w:space="0" w:color="auto"/>
        <w:right w:val="none" w:sz="0" w:space="0" w:color="auto"/>
      </w:divBdr>
    </w:div>
    <w:div w:id="1640720409">
      <w:bodyDiv w:val="1"/>
      <w:marLeft w:val="0"/>
      <w:marRight w:val="0"/>
      <w:marTop w:val="0"/>
      <w:marBottom w:val="0"/>
      <w:divBdr>
        <w:top w:val="none" w:sz="0" w:space="0" w:color="auto"/>
        <w:left w:val="none" w:sz="0" w:space="0" w:color="auto"/>
        <w:bottom w:val="none" w:sz="0" w:space="0" w:color="auto"/>
        <w:right w:val="none" w:sz="0" w:space="0" w:color="auto"/>
      </w:divBdr>
    </w:div>
    <w:div w:id="1704819386">
      <w:bodyDiv w:val="1"/>
      <w:marLeft w:val="0"/>
      <w:marRight w:val="0"/>
      <w:marTop w:val="0"/>
      <w:marBottom w:val="0"/>
      <w:divBdr>
        <w:top w:val="none" w:sz="0" w:space="0" w:color="auto"/>
        <w:left w:val="none" w:sz="0" w:space="0" w:color="auto"/>
        <w:bottom w:val="none" w:sz="0" w:space="0" w:color="auto"/>
        <w:right w:val="none" w:sz="0" w:space="0" w:color="auto"/>
      </w:divBdr>
    </w:div>
    <w:div w:id="1719625045">
      <w:bodyDiv w:val="1"/>
      <w:marLeft w:val="0"/>
      <w:marRight w:val="0"/>
      <w:marTop w:val="0"/>
      <w:marBottom w:val="0"/>
      <w:divBdr>
        <w:top w:val="none" w:sz="0" w:space="0" w:color="auto"/>
        <w:left w:val="none" w:sz="0" w:space="0" w:color="auto"/>
        <w:bottom w:val="none" w:sz="0" w:space="0" w:color="auto"/>
        <w:right w:val="none" w:sz="0" w:space="0" w:color="auto"/>
      </w:divBdr>
    </w:div>
    <w:div w:id="1797866410">
      <w:bodyDiv w:val="1"/>
      <w:marLeft w:val="0"/>
      <w:marRight w:val="0"/>
      <w:marTop w:val="0"/>
      <w:marBottom w:val="0"/>
      <w:divBdr>
        <w:top w:val="none" w:sz="0" w:space="0" w:color="auto"/>
        <w:left w:val="none" w:sz="0" w:space="0" w:color="auto"/>
        <w:bottom w:val="none" w:sz="0" w:space="0" w:color="auto"/>
        <w:right w:val="none" w:sz="0" w:space="0" w:color="auto"/>
      </w:divBdr>
    </w:div>
    <w:div w:id="1807502727">
      <w:bodyDiv w:val="1"/>
      <w:marLeft w:val="0"/>
      <w:marRight w:val="0"/>
      <w:marTop w:val="0"/>
      <w:marBottom w:val="0"/>
      <w:divBdr>
        <w:top w:val="none" w:sz="0" w:space="0" w:color="auto"/>
        <w:left w:val="none" w:sz="0" w:space="0" w:color="auto"/>
        <w:bottom w:val="none" w:sz="0" w:space="0" w:color="auto"/>
        <w:right w:val="none" w:sz="0" w:space="0" w:color="auto"/>
      </w:divBdr>
    </w:div>
    <w:div w:id="1822841962">
      <w:bodyDiv w:val="1"/>
      <w:marLeft w:val="0"/>
      <w:marRight w:val="0"/>
      <w:marTop w:val="0"/>
      <w:marBottom w:val="0"/>
      <w:divBdr>
        <w:top w:val="none" w:sz="0" w:space="0" w:color="auto"/>
        <w:left w:val="none" w:sz="0" w:space="0" w:color="auto"/>
        <w:bottom w:val="none" w:sz="0" w:space="0" w:color="auto"/>
        <w:right w:val="none" w:sz="0" w:space="0" w:color="auto"/>
      </w:divBdr>
    </w:div>
    <w:div w:id="1830711156">
      <w:bodyDiv w:val="1"/>
      <w:marLeft w:val="0"/>
      <w:marRight w:val="0"/>
      <w:marTop w:val="0"/>
      <w:marBottom w:val="0"/>
      <w:divBdr>
        <w:top w:val="single" w:sz="2" w:space="4" w:color="000000"/>
        <w:left w:val="single" w:sz="2" w:space="4" w:color="000000"/>
        <w:bottom w:val="single" w:sz="2" w:space="4" w:color="000000"/>
        <w:right w:val="single" w:sz="2" w:space="4" w:color="000000"/>
      </w:divBdr>
    </w:div>
    <w:div w:id="1905026145">
      <w:bodyDiv w:val="1"/>
      <w:marLeft w:val="0"/>
      <w:marRight w:val="0"/>
      <w:marTop w:val="0"/>
      <w:marBottom w:val="0"/>
      <w:divBdr>
        <w:top w:val="single" w:sz="2" w:space="4" w:color="000000"/>
        <w:left w:val="single" w:sz="2" w:space="4" w:color="000000"/>
        <w:bottom w:val="single" w:sz="2" w:space="4" w:color="000000"/>
        <w:right w:val="single" w:sz="2" w:space="4" w:color="000000"/>
      </w:divBdr>
    </w:div>
    <w:div w:id="1929775349">
      <w:bodyDiv w:val="1"/>
      <w:marLeft w:val="0"/>
      <w:marRight w:val="0"/>
      <w:marTop w:val="0"/>
      <w:marBottom w:val="0"/>
      <w:divBdr>
        <w:top w:val="none" w:sz="0" w:space="0" w:color="auto"/>
        <w:left w:val="none" w:sz="0" w:space="0" w:color="auto"/>
        <w:bottom w:val="none" w:sz="0" w:space="0" w:color="auto"/>
        <w:right w:val="none" w:sz="0" w:space="0" w:color="auto"/>
      </w:divBdr>
    </w:div>
    <w:div w:id="1988893981">
      <w:bodyDiv w:val="1"/>
      <w:marLeft w:val="0"/>
      <w:marRight w:val="0"/>
      <w:marTop w:val="0"/>
      <w:marBottom w:val="0"/>
      <w:divBdr>
        <w:top w:val="none" w:sz="0" w:space="0" w:color="auto"/>
        <w:left w:val="none" w:sz="0" w:space="0" w:color="auto"/>
        <w:bottom w:val="none" w:sz="0" w:space="0" w:color="auto"/>
        <w:right w:val="none" w:sz="0" w:space="0" w:color="auto"/>
      </w:divBdr>
    </w:div>
    <w:div w:id="1989895263">
      <w:bodyDiv w:val="1"/>
      <w:marLeft w:val="0"/>
      <w:marRight w:val="0"/>
      <w:marTop w:val="0"/>
      <w:marBottom w:val="0"/>
      <w:divBdr>
        <w:top w:val="single" w:sz="2" w:space="4" w:color="000000"/>
        <w:left w:val="single" w:sz="2" w:space="4" w:color="000000"/>
        <w:bottom w:val="single" w:sz="2" w:space="4" w:color="000000"/>
        <w:right w:val="single" w:sz="2" w:space="4" w:color="000000"/>
      </w:divBdr>
    </w:div>
    <w:div w:id="2045323499">
      <w:bodyDiv w:val="1"/>
      <w:marLeft w:val="0"/>
      <w:marRight w:val="0"/>
      <w:marTop w:val="0"/>
      <w:marBottom w:val="0"/>
      <w:divBdr>
        <w:top w:val="none" w:sz="0" w:space="0" w:color="auto"/>
        <w:left w:val="none" w:sz="0" w:space="0" w:color="auto"/>
        <w:bottom w:val="none" w:sz="0" w:space="0" w:color="auto"/>
        <w:right w:val="none" w:sz="0" w:space="0" w:color="auto"/>
      </w:divBdr>
    </w:div>
    <w:div w:id="2055543244">
      <w:bodyDiv w:val="1"/>
      <w:marLeft w:val="0"/>
      <w:marRight w:val="0"/>
      <w:marTop w:val="0"/>
      <w:marBottom w:val="0"/>
      <w:divBdr>
        <w:top w:val="none" w:sz="0" w:space="0" w:color="auto"/>
        <w:left w:val="none" w:sz="0" w:space="0" w:color="auto"/>
        <w:bottom w:val="none" w:sz="0" w:space="0" w:color="auto"/>
        <w:right w:val="none" w:sz="0" w:space="0" w:color="auto"/>
      </w:divBdr>
    </w:div>
    <w:div w:id="2095390527">
      <w:bodyDiv w:val="1"/>
      <w:marLeft w:val="0"/>
      <w:marRight w:val="0"/>
      <w:marTop w:val="0"/>
      <w:marBottom w:val="0"/>
      <w:divBdr>
        <w:top w:val="none" w:sz="0" w:space="0" w:color="auto"/>
        <w:left w:val="none" w:sz="0" w:space="0" w:color="auto"/>
        <w:bottom w:val="none" w:sz="0" w:space="0" w:color="auto"/>
        <w:right w:val="none" w:sz="0" w:space="0" w:color="auto"/>
      </w:divBdr>
    </w:div>
    <w:div w:id="2098821411">
      <w:bodyDiv w:val="1"/>
      <w:marLeft w:val="0"/>
      <w:marRight w:val="0"/>
      <w:marTop w:val="0"/>
      <w:marBottom w:val="0"/>
      <w:divBdr>
        <w:top w:val="none" w:sz="0" w:space="0" w:color="auto"/>
        <w:left w:val="none" w:sz="0" w:space="0" w:color="auto"/>
        <w:bottom w:val="none" w:sz="0" w:space="0" w:color="auto"/>
        <w:right w:val="none" w:sz="0" w:space="0" w:color="auto"/>
      </w:divBdr>
    </w:div>
    <w:div w:id="2107530545">
      <w:bodyDiv w:val="1"/>
      <w:marLeft w:val="0"/>
      <w:marRight w:val="0"/>
      <w:marTop w:val="0"/>
      <w:marBottom w:val="0"/>
      <w:divBdr>
        <w:top w:val="single" w:sz="2" w:space="4" w:color="000000"/>
        <w:left w:val="single" w:sz="2" w:space="4" w:color="000000"/>
        <w:bottom w:val="single" w:sz="2" w:space="4" w:color="000000"/>
        <w:right w:val="single" w:sz="2" w:space="4" w:color="000000"/>
      </w:divBdr>
    </w:div>
    <w:div w:id="2138796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671" Type="http://schemas.openxmlformats.org/officeDocument/2006/relationships/oleObject" Target="embeddings/oleObject385.bin"/><Relationship Id="rId769" Type="http://schemas.openxmlformats.org/officeDocument/2006/relationships/oleObject" Target="embeddings/oleObject438.bin"/><Relationship Id="rId21" Type="http://schemas.openxmlformats.org/officeDocument/2006/relationships/image" Target="media/image7.wmf"/><Relationship Id="rId324" Type="http://schemas.openxmlformats.org/officeDocument/2006/relationships/oleObject" Target="embeddings/oleObject182.bin"/><Relationship Id="rId531" Type="http://schemas.openxmlformats.org/officeDocument/2006/relationships/oleObject" Target="embeddings/oleObject305.bin"/><Relationship Id="rId629" Type="http://schemas.openxmlformats.org/officeDocument/2006/relationships/image" Target="media/image263.wmf"/><Relationship Id="rId170" Type="http://schemas.openxmlformats.org/officeDocument/2006/relationships/oleObject" Target="embeddings/oleObject82.bin"/><Relationship Id="rId836" Type="http://schemas.openxmlformats.org/officeDocument/2006/relationships/oleObject" Target="embeddings/oleObject468.bin"/><Relationship Id="rId268" Type="http://schemas.openxmlformats.org/officeDocument/2006/relationships/image" Target="media/image108.wmf"/><Relationship Id="rId475" Type="http://schemas.openxmlformats.org/officeDocument/2006/relationships/image" Target="media/image191.wmf"/><Relationship Id="rId682" Type="http://schemas.openxmlformats.org/officeDocument/2006/relationships/image" Target="media/image282.wmf"/><Relationship Id="rId32" Type="http://schemas.openxmlformats.org/officeDocument/2006/relationships/oleObject" Target="embeddings/oleObject8.bin"/><Relationship Id="rId128" Type="http://schemas.openxmlformats.org/officeDocument/2006/relationships/oleObject" Target="embeddings/oleObject56.bin"/><Relationship Id="rId335" Type="http://schemas.openxmlformats.org/officeDocument/2006/relationships/oleObject" Target="embeddings/oleObject190.bin"/><Relationship Id="rId542" Type="http://schemas.openxmlformats.org/officeDocument/2006/relationships/image" Target="media/image220.wmf"/><Relationship Id="rId181" Type="http://schemas.openxmlformats.org/officeDocument/2006/relationships/oleObject" Target="embeddings/oleObject92.bin"/><Relationship Id="rId402" Type="http://schemas.openxmlformats.org/officeDocument/2006/relationships/oleObject" Target="embeddings/oleObject235.bin"/><Relationship Id="rId847" Type="http://schemas.openxmlformats.org/officeDocument/2006/relationships/fontTable" Target="fontTable.xml"/><Relationship Id="rId279" Type="http://schemas.openxmlformats.org/officeDocument/2006/relationships/image" Target="media/image113.wmf"/><Relationship Id="rId486" Type="http://schemas.openxmlformats.org/officeDocument/2006/relationships/oleObject" Target="embeddings/oleObject280.bin"/><Relationship Id="rId693" Type="http://schemas.openxmlformats.org/officeDocument/2006/relationships/image" Target="media/image287.wmf"/><Relationship Id="rId707" Type="http://schemas.openxmlformats.org/officeDocument/2006/relationships/image" Target="media/image294.emf"/><Relationship Id="rId43" Type="http://schemas.openxmlformats.org/officeDocument/2006/relationships/image" Target="media/image18.wmf"/><Relationship Id="rId139" Type="http://schemas.openxmlformats.org/officeDocument/2006/relationships/oleObject" Target="embeddings/oleObject61.bin"/><Relationship Id="rId346" Type="http://schemas.openxmlformats.org/officeDocument/2006/relationships/image" Target="media/image138.wmf"/><Relationship Id="rId553" Type="http://schemas.openxmlformats.org/officeDocument/2006/relationships/oleObject" Target="embeddings/oleObject318.bin"/><Relationship Id="rId760" Type="http://schemas.openxmlformats.org/officeDocument/2006/relationships/oleObject" Target="embeddings/oleObject433.bin"/><Relationship Id="rId192" Type="http://schemas.openxmlformats.org/officeDocument/2006/relationships/oleObject" Target="embeddings/oleObject102.bin"/><Relationship Id="rId206" Type="http://schemas.openxmlformats.org/officeDocument/2006/relationships/image" Target="media/image85.wmf"/><Relationship Id="rId413" Type="http://schemas.openxmlformats.org/officeDocument/2006/relationships/image" Target="media/image163.wmf"/><Relationship Id="rId497" Type="http://schemas.openxmlformats.org/officeDocument/2006/relationships/image" Target="media/image202.wmf"/><Relationship Id="rId620" Type="http://schemas.openxmlformats.org/officeDocument/2006/relationships/oleObject" Target="embeddings/oleObject352.bin"/><Relationship Id="rId718" Type="http://schemas.openxmlformats.org/officeDocument/2006/relationships/oleObject" Target="embeddings/oleObject410.bin"/><Relationship Id="rId357" Type="http://schemas.openxmlformats.org/officeDocument/2006/relationships/oleObject" Target="embeddings/oleObject204.bin"/><Relationship Id="rId54" Type="http://schemas.openxmlformats.org/officeDocument/2006/relationships/image" Target="media/image24.wmf"/><Relationship Id="rId217" Type="http://schemas.openxmlformats.org/officeDocument/2006/relationships/oleObject" Target="embeddings/oleObject115.bin"/><Relationship Id="rId564" Type="http://schemas.openxmlformats.org/officeDocument/2006/relationships/image" Target="media/image231.wmf"/><Relationship Id="rId771" Type="http://schemas.openxmlformats.org/officeDocument/2006/relationships/oleObject" Target="embeddings/oleObject439.bin"/><Relationship Id="rId424" Type="http://schemas.openxmlformats.org/officeDocument/2006/relationships/oleObject" Target="embeddings/oleObject246.bin"/><Relationship Id="rId631" Type="http://schemas.openxmlformats.org/officeDocument/2006/relationships/image" Target="media/image264.wmf"/><Relationship Id="rId729" Type="http://schemas.openxmlformats.org/officeDocument/2006/relationships/oleObject" Target="embeddings/oleObject417.bin"/><Relationship Id="rId270" Type="http://schemas.openxmlformats.org/officeDocument/2006/relationships/oleObject" Target="embeddings/oleObject150.bin"/><Relationship Id="rId65" Type="http://schemas.openxmlformats.org/officeDocument/2006/relationships/oleObject" Target="embeddings/oleObject24.bin"/><Relationship Id="rId130" Type="http://schemas.openxmlformats.org/officeDocument/2006/relationships/image" Target="media/image62.wmf"/><Relationship Id="rId368" Type="http://schemas.openxmlformats.org/officeDocument/2006/relationships/oleObject" Target="embeddings/oleObject211.bin"/><Relationship Id="rId575" Type="http://schemas.openxmlformats.org/officeDocument/2006/relationships/oleObject" Target="embeddings/oleObject329.bin"/><Relationship Id="rId740" Type="http://schemas.openxmlformats.org/officeDocument/2006/relationships/image" Target="media/image308.wmf"/><Relationship Id="rId782" Type="http://schemas.openxmlformats.org/officeDocument/2006/relationships/oleObject" Target="embeddings/oleObject444.bin"/><Relationship Id="rId838" Type="http://schemas.openxmlformats.org/officeDocument/2006/relationships/oleObject" Target="embeddings/oleObject470.bin"/><Relationship Id="rId172" Type="http://schemas.openxmlformats.org/officeDocument/2006/relationships/oleObject" Target="embeddings/oleObject84.bin"/><Relationship Id="rId228" Type="http://schemas.openxmlformats.org/officeDocument/2006/relationships/oleObject" Target="embeddings/oleObject123.bin"/><Relationship Id="rId435" Type="http://schemas.openxmlformats.org/officeDocument/2006/relationships/image" Target="media/image174.wmf"/><Relationship Id="rId477" Type="http://schemas.openxmlformats.org/officeDocument/2006/relationships/image" Target="media/image192.wmf"/><Relationship Id="rId600" Type="http://schemas.openxmlformats.org/officeDocument/2006/relationships/image" Target="media/image249.wmf"/><Relationship Id="rId642" Type="http://schemas.openxmlformats.org/officeDocument/2006/relationships/image" Target="media/image269.wmf"/><Relationship Id="rId684" Type="http://schemas.openxmlformats.org/officeDocument/2006/relationships/image" Target="media/image283.wmf"/><Relationship Id="rId281" Type="http://schemas.openxmlformats.org/officeDocument/2006/relationships/image" Target="media/image114.wmf"/><Relationship Id="rId337" Type="http://schemas.openxmlformats.org/officeDocument/2006/relationships/oleObject" Target="embeddings/oleObject192.bin"/><Relationship Id="rId502" Type="http://schemas.openxmlformats.org/officeDocument/2006/relationships/oleObject" Target="embeddings/oleObject288.bin"/><Relationship Id="rId34" Type="http://schemas.openxmlformats.org/officeDocument/2006/relationships/oleObject" Target="embeddings/oleObject9.bin"/><Relationship Id="rId76" Type="http://schemas.openxmlformats.org/officeDocument/2006/relationships/image" Target="media/image35.wmf"/><Relationship Id="rId141" Type="http://schemas.openxmlformats.org/officeDocument/2006/relationships/oleObject" Target="embeddings/oleObject62.bin"/><Relationship Id="rId379" Type="http://schemas.openxmlformats.org/officeDocument/2006/relationships/oleObject" Target="embeddings/oleObject220.bin"/><Relationship Id="rId544" Type="http://schemas.openxmlformats.org/officeDocument/2006/relationships/image" Target="media/image221.wmf"/><Relationship Id="rId586" Type="http://schemas.openxmlformats.org/officeDocument/2006/relationships/image" Target="media/image242.wmf"/><Relationship Id="rId751" Type="http://schemas.openxmlformats.org/officeDocument/2006/relationships/oleObject" Target="embeddings/oleObject428.bin"/><Relationship Id="rId793" Type="http://schemas.openxmlformats.org/officeDocument/2006/relationships/image" Target="media/image336.emf"/><Relationship Id="rId807" Type="http://schemas.openxmlformats.org/officeDocument/2006/relationships/hyperlink" Target="http://www.safetyandquality.gov.au/national-priorities/jwp-acsqhc-ihpa/" TargetMode="External"/><Relationship Id="rId7" Type="http://schemas.openxmlformats.org/officeDocument/2006/relationships/endnotes" Target="endnotes.xml"/><Relationship Id="rId183" Type="http://schemas.openxmlformats.org/officeDocument/2006/relationships/oleObject" Target="embeddings/oleObject93.bin"/><Relationship Id="rId239" Type="http://schemas.openxmlformats.org/officeDocument/2006/relationships/oleObject" Target="embeddings/oleObject130.bin"/><Relationship Id="rId390" Type="http://schemas.openxmlformats.org/officeDocument/2006/relationships/image" Target="media/image154.emf"/><Relationship Id="rId404" Type="http://schemas.openxmlformats.org/officeDocument/2006/relationships/oleObject" Target="embeddings/oleObject236.bin"/><Relationship Id="rId446" Type="http://schemas.openxmlformats.org/officeDocument/2006/relationships/oleObject" Target="embeddings/oleObject259.bin"/><Relationship Id="rId611" Type="http://schemas.openxmlformats.org/officeDocument/2006/relationships/image" Target="media/image254.wmf"/><Relationship Id="rId653" Type="http://schemas.openxmlformats.org/officeDocument/2006/relationships/oleObject" Target="embeddings/oleObject373.bin"/><Relationship Id="rId250" Type="http://schemas.openxmlformats.org/officeDocument/2006/relationships/image" Target="media/image102.wmf"/><Relationship Id="rId292" Type="http://schemas.openxmlformats.org/officeDocument/2006/relationships/image" Target="media/image116.wmf"/><Relationship Id="rId306" Type="http://schemas.openxmlformats.org/officeDocument/2006/relationships/image" Target="media/image124.emf"/><Relationship Id="rId488" Type="http://schemas.openxmlformats.org/officeDocument/2006/relationships/oleObject" Target="embeddings/oleObject281.bin"/><Relationship Id="rId695" Type="http://schemas.openxmlformats.org/officeDocument/2006/relationships/image" Target="media/image288.wmf"/><Relationship Id="rId709" Type="http://schemas.openxmlformats.org/officeDocument/2006/relationships/oleObject" Target="embeddings/oleObject404.bin"/><Relationship Id="rId45" Type="http://schemas.openxmlformats.org/officeDocument/2006/relationships/image" Target="media/image19.wmf"/><Relationship Id="rId87" Type="http://schemas.openxmlformats.org/officeDocument/2006/relationships/oleObject" Target="embeddings/oleObject35.bin"/><Relationship Id="rId110" Type="http://schemas.openxmlformats.org/officeDocument/2006/relationships/image" Target="media/image52.wmf"/><Relationship Id="rId348" Type="http://schemas.openxmlformats.org/officeDocument/2006/relationships/image" Target="media/image140.wmf"/><Relationship Id="rId513" Type="http://schemas.openxmlformats.org/officeDocument/2006/relationships/oleObject" Target="embeddings/oleObject294.bin"/><Relationship Id="rId555" Type="http://schemas.openxmlformats.org/officeDocument/2006/relationships/oleObject" Target="embeddings/oleObject319.bin"/><Relationship Id="rId597" Type="http://schemas.openxmlformats.org/officeDocument/2006/relationships/oleObject" Target="embeddings/oleObject340.bin"/><Relationship Id="rId720" Type="http://schemas.openxmlformats.org/officeDocument/2006/relationships/oleObject" Target="embeddings/oleObject411.bin"/><Relationship Id="rId762" Type="http://schemas.openxmlformats.org/officeDocument/2006/relationships/oleObject" Target="embeddings/oleObject434.bin"/><Relationship Id="rId818" Type="http://schemas.openxmlformats.org/officeDocument/2006/relationships/oleObject" Target="embeddings/oleObject450.bin"/><Relationship Id="rId152" Type="http://schemas.openxmlformats.org/officeDocument/2006/relationships/oleObject" Target="embeddings/oleObject69.bin"/><Relationship Id="rId194" Type="http://schemas.openxmlformats.org/officeDocument/2006/relationships/oleObject" Target="embeddings/oleObject103.bin"/><Relationship Id="rId208" Type="http://schemas.openxmlformats.org/officeDocument/2006/relationships/image" Target="media/image86.wmf"/><Relationship Id="rId415" Type="http://schemas.openxmlformats.org/officeDocument/2006/relationships/image" Target="media/image164.wmf"/><Relationship Id="rId457" Type="http://schemas.openxmlformats.org/officeDocument/2006/relationships/image" Target="media/image182.wmf"/><Relationship Id="rId622" Type="http://schemas.openxmlformats.org/officeDocument/2006/relationships/oleObject" Target="embeddings/oleObject353.bin"/><Relationship Id="rId261" Type="http://schemas.openxmlformats.org/officeDocument/2006/relationships/oleObject" Target="embeddings/oleObject143.bin"/><Relationship Id="rId499" Type="http://schemas.openxmlformats.org/officeDocument/2006/relationships/image" Target="media/image203.wmf"/><Relationship Id="rId664" Type="http://schemas.openxmlformats.org/officeDocument/2006/relationships/oleObject" Target="embeddings/oleObject381.bin"/><Relationship Id="rId14" Type="http://schemas.openxmlformats.org/officeDocument/2006/relationships/footer" Target="footer2.xml"/><Relationship Id="rId56" Type="http://schemas.openxmlformats.org/officeDocument/2006/relationships/image" Target="media/image25.wmf"/><Relationship Id="rId317" Type="http://schemas.openxmlformats.org/officeDocument/2006/relationships/image" Target="media/image128.wmf"/><Relationship Id="rId359" Type="http://schemas.openxmlformats.org/officeDocument/2006/relationships/image" Target="media/image144.wmf"/><Relationship Id="rId524" Type="http://schemas.openxmlformats.org/officeDocument/2006/relationships/image" Target="media/image214.wmf"/><Relationship Id="rId566" Type="http://schemas.openxmlformats.org/officeDocument/2006/relationships/image" Target="media/image232.wmf"/><Relationship Id="rId731" Type="http://schemas.openxmlformats.org/officeDocument/2006/relationships/oleObject" Target="embeddings/oleObject418.bin"/><Relationship Id="rId773" Type="http://schemas.openxmlformats.org/officeDocument/2006/relationships/oleObject" Target="embeddings/oleObject440.bin"/><Relationship Id="rId98" Type="http://schemas.openxmlformats.org/officeDocument/2006/relationships/image" Target="media/image46.wmf"/><Relationship Id="rId121" Type="http://schemas.openxmlformats.org/officeDocument/2006/relationships/oleObject" Target="embeddings/oleObject52.bin"/><Relationship Id="rId163" Type="http://schemas.openxmlformats.org/officeDocument/2006/relationships/oleObject" Target="embeddings/oleObject76.bin"/><Relationship Id="rId219" Type="http://schemas.openxmlformats.org/officeDocument/2006/relationships/oleObject" Target="embeddings/oleObject116.bin"/><Relationship Id="rId370" Type="http://schemas.openxmlformats.org/officeDocument/2006/relationships/oleObject" Target="embeddings/oleObject213.bin"/><Relationship Id="rId426" Type="http://schemas.openxmlformats.org/officeDocument/2006/relationships/oleObject" Target="embeddings/oleObject247.bin"/><Relationship Id="rId633" Type="http://schemas.openxmlformats.org/officeDocument/2006/relationships/image" Target="media/image265.wmf"/><Relationship Id="rId829" Type="http://schemas.openxmlformats.org/officeDocument/2006/relationships/oleObject" Target="embeddings/oleObject461.bin"/><Relationship Id="rId230" Type="http://schemas.openxmlformats.org/officeDocument/2006/relationships/oleObject" Target="embeddings/oleObject124.bin"/><Relationship Id="rId468" Type="http://schemas.openxmlformats.org/officeDocument/2006/relationships/oleObject" Target="embeddings/oleObject271.bin"/><Relationship Id="rId675" Type="http://schemas.openxmlformats.org/officeDocument/2006/relationships/oleObject" Target="embeddings/oleObject387.bin"/><Relationship Id="rId840" Type="http://schemas.openxmlformats.org/officeDocument/2006/relationships/oleObject" Target="embeddings/oleObject472.bin"/><Relationship Id="rId25" Type="http://schemas.openxmlformats.org/officeDocument/2006/relationships/image" Target="media/image9.wmf"/><Relationship Id="rId67" Type="http://schemas.openxmlformats.org/officeDocument/2006/relationships/oleObject" Target="embeddings/oleObject25.bin"/><Relationship Id="rId272" Type="http://schemas.openxmlformats.org/officeDocument/2006/relationships/oleObject" Target="embeddings/oleObject151.bin"/><Relationship Id="rId328" Type="http://schemas.openxmlformats.org/officeDocument/2006/relationships/oleObject" Target="embeddings/oleObject185.bin"/><Relationship Id="rId535" Type="http://schemas.openxmlformats.org/officeDocument/2006/relationships/oleObject" Target="embeddings/oleObject308.bin"/><Relationship Id="rId577" Type="http://schemas.openxmlformats.org/officeDocument/2006/relationships/oleObject" Target="embeddings/oleObject330.bin"/><Relationship Id="rId700" Type="http://schemas.openxmlformats.org/officeDocument/2006/relationships/oleObject" Target="embeddings/oleObject400.bin"/><Relationship Id="rId742" Type="http://schemas.openxmlformats.org/officeDocument/2006/relationships/image" Target="media/image309.wmf"/><Relationship Id="rId132" Type="http://schemas.openxmlformats.org/officeDocument/2006/relationships/image" Target="media/image63.wmf"/><Relationship Id="rId174" Type="http://schemas.openxmlformats.org/officeDocument/2006/relationships/oleObject" Target="embeddings/oleObject86.bin"/><Relationship Id="rId381" Type="http://schemas.openxmlformats.org/officeDocument/2006/relationships/image" Target="media/image150.wmf"/><Relationship Id="rId602" Type="http://schemas.openxmlformats.org/officeDocument/2006/relationships/image" Target="media/image250.wmf"/><Relationship Id="rId784" Type="http://schemas.openxmlformats.org/officeDocument/2006/relationships/oleObject" Target="embeddings/oleObject445.bin"/><Relationship Id="rId241" Type="http://schemas.openxmlformats.org/officeDocument/2006/relationships/image" Target="media/image99.wmf"/><Relationship Id="rId437" Type="http://schemas.openxmlformats.org/officeDocument/2006/relationships/oleObject" Target="embeddings/oleObject253.bin"/><Relationship Id="rId479" Type="http://schemas.openxmlformats.org/officeDocument/2006/relationships/image" Target="media/image193.wmf"/><Relationship Id="rId644" Type="http://schemas.openxmlformats.org/officeDocument/2006/relationships/image" Target="media/image270.wmf"/><Relationship Id="rId686" Type="http://schemas.openxmlformats.org/officeDocument/2006/relationships/image" Target="media/image284.wmf"/><Relationship Id="rId36" Type="http://schemas.openxmlformats.org/officeDocument/2006/relationships/oleObject" Target="embeddings/oleObject10.bin"/><Relationship Id="rId283" Type="http://schemas.openxmlformats.org/officeDocument/2006/relationships/oleObject" Target="embeddings/oleObject157.bin"/><Relationship Id="rId339" Type="http://schemas.openxmlformats.org/officeDocument/2006/relationships/oleObject" Target="embeddings/oleObject193.bin"/><Relationship Id="rId490" Type="http://schemas.openxmlformats.org/officeDocument/2006/relationships/oleObject" Target="embeddings/oleObject282.bin"/><Relationship Id="rId504" Type="http://schemas.openxmlformats.org/officeDocument/2006/relationships/oleObject" Target="embeddings/oleObject289.bin"/><Relationship Id="rId546" Type="http://schemas.openxmlformats.org/officeDocument/2006/relationships/image" Target="media/image222.wmf"/><Relationship Id="rId711" Type="http://schemas.openxmlformats.org/officeDocument/2006/relationships/oleObject" Target="embeddings/oleObject405.bin"/><Relationship Id="rId753" Type="http://schemas.openxmlformats.org/officeDocument/2006/relationships/image" Target="media/image314.wmf"/><Relationship Id="rId78" Type="http://schemas.openxmlformats.org/officeDocument/2006/relationships/image" Target="media/image36.wmf"/><Relationship Id="rId101" Type="http://schemas.openxmlformats.org/officeDocument/2006/relationships/oleObject" Target="embeddings/oleObject42.bin"/><Relationship Id="rId143" Type="http://schemas.openxmlformats.org/officeDocument/2006/relationships/oleObject" Target="embeddings/oleObject63.bin"/><Relationship Id="rId185" Type="http://schemas.openxmlformats.org/officeDocument/2006/relationships/oleObject" Target="embeddings/oleObject95.bin"/><Relationship Id="rId350" Type="http://schemas.openxmlformats.org/officeDocument/2006/relationships/image" Target="media/image141.wmf"/><Relationship Id="rId406" Type="http://schemas.openxmlformats.org/officeDocument/2006/relationships/oleObject" Target="embeddings/oleObject237.bin"/><Relationship Id="rId588" Type="http://schemas.openxmlformats.org/officeDocument/2006/relationships/image" Target="media/image243.wmf"/><Relationship Id="rId795" Type="http://schemas.openxmlformats.org/officeDocument/2006/relationships/image" Target="media/image339.emf"/><Relationship Id="rId809" Type="http://schemas.openxmlformats.org/officeDocument/2006/relationships/hyperlink" Target="https://www.ihacpa.gov.au/sites/default/files/2024-04/appendix_2_-_chapter_18_codes.pdf" TargetMode="External"/><Relationship Id="rId9" Type="http://schemas.openxmlformats.org/officeDocument/2006/relationships/header" Target="header2.xml"/><Relationship Id="rId210" Type="http://schemas.openxmlformats.org/officeDocument/2006/relationships/image" Target="media/image87.wmf"/><Relationship Id="rId392" Type="http://schemas.openxmlformats.org/officeDocument/2006/relationships/oleObject" Target="embeddings/oleObject228.bin"/><Relationship Id="rId448" Type="http://schemas.openxmlformats.org/officeDocument/2006/relationships/oleObject" Target="embeddings/oleObject260.bin"/><Relationship Id="rId613" Type="http://schemas.openxmlformats.org/officeDocument/2006/relationships/image" Target="media/image255.wmf"/><Relationship Id="rId655" Type="http://schemas.openxmlformats.org/officeDocument/2006/relationships/oleObject" Target="embeddings/oleObject374.bin"/><Relationship Id="rId697" Type="http://schemas.openxmlformats.org/officeDocument/2006/relationships/image" Target="media/image289.wmf"/><Relationship Id="rId820" Type="http://schemas.openxmlformats.org/officeDocument/2006/relationships/oleObject" Target="embeddings/oleObject452.bin"/><Relationship Id="rId252" Type="http://schemas.openxmlformats.org/officeDocument/2006/relationships/oleObject" Target="embeddings/oleObject138.bin"/><Relationship Id="rId294" Type="http://schemas.openxmlformats.org/officeDocument/2006/relationships/image" Target="media/image117.emf"/><Relationship Id="rId308" Type="http://schemas.openxmlformats.org/officeDocument/2006/relationships/oleObject" Target="embeddings/oleObject171.bin"/><Relationship Id="rId515" Type="http://schemas.openxmlformats.org/officeDocument/2006/relationships/image" Target="media/image210.wmf"/><Relationship Id="rId722" Type="http://schemas.openxmlformats.org/officeDocument/2006/relationships/image" Target="media/image300.wmf"/><Relationship Id="rId47" Type="http://schemas.openxmlformats.org/officeDocument/2006/relationships/image" Target="media/image20.wmf"/><Relationship Id="rId89" Type="http://schemas.openxmlformats.org/officeDocument/2006/relationships/oleObject" Target="embeddings/oleObject36.bin"/><Relationship Id="rId112" Type="http://schemas.openxmlformats.org/officeDocument/2006/relationships/image" Target="media/image53.wmf"/><Relationship Id="rId154" Type="http://schemas.openxmlformats.org/officeDocument/2006/relationships/image" Target="media/image72.wmf"/><Relationship Id="rId361" Type="http://schemas.openxmlformats.org/officeDocument/2006/relationships/image" Target="media/image145.wmf"/><Relationship Id="rId557" Type="http://schemas.openxmlformats.org/officeDocument/2006/relationships/oleObject" Target="embeddings/oleObject320.bin"/><Relationship Id="rId599" Type="http://schemas.openxmlformats.org/officeDocument/2006/relationships/oleObject" Target="embeddings/oleObject341.bin"/><Relationship Id="rId764" Type="http://schemas.openxmlformats.org/officeDocument/2006/relationships/oleObject" Target="embeddings/oleObject435.bin"/><Relationship Id="rId196" Type="http://schemas.openxmlformats.org/officeDocument/2006/relationships/image" Target="media/image80.wmf"/><Relationship Id="rId417" Type="http://schemas.openxmlformats.org/officeDocument/2006/relationships/image" Target="media/image165.wmf"/><Relationship Id="rId459" Type="http://schemas.openxmlformats.org/officeDocument/2006/relationships/image" Target="media/image183.wmf"/><Relationship Id="rId624" Type="http://schemas.openxmlformats.org/officeDocument/2006/relationships/oleObject" Target="embeddings/oleObject354.bin"/><Relationship Id="rId666" Type="http://schemas.openxmlformats.org/officeDocument/2006/relationships/image" Target="media/image274.wmf"/><Relationship Id="rId831" Type="http://schemas.openxmlformats.org/officeDocument/2006/relationships/oleObject" Target="embeddings/oleObject463.bin"/><Relationship Id="rId16" Type="http://schemas.openxmlformats.org/officeDocument/2006/relationships/image" Target="media/image4.png"/><Relationship Id="rId221" Type="http://schemas.openxmlformats.org/officeDocument/2006/relationships/oleObject" Target="embeddings/oleObject117.bin"/><Relationship Id="rId263" Type="http://schemas.openxmlformats.org/officeDocument/2006/relationships/image" Target="media/image107.emf"/><Relationship Id="rId319" Type="http://schemas.openxmlformats.org/officeDocument/2006/relationships/oleObject" Target="embeddings/oleObject179.bin"/><Relationship Id="rId470" Type="http://schemas.openxmlformats.org/officeDocument/2006/relationships/oleObject" Target="embeddings/oleObject272.bin"/><Relationship Id="rId526" Type="http://schemas.openxmlformats.org/officeDocument/2006/relationships/image" Target="media/image215.wmf"/><Relationship Id="rId58" Type="http://schemas.openxmlformats.org/officeDocument/2006/relationships/image" Target="media/image26.wmf"/><Relationship Id="rId123" Type="http://schemas.openxmlformats.org/officeDocument/2006/relationships/oleObject" Target="embeddings/oleObject53.bin"/><Relationship Id="rId330" Type="http://schemas.openxmlformats.org/officeDocument/2006/relationships/oleObject" Target="embeddings/oleObject186.bin"/><Relationship Id="rId568" Type="http://schemas.openxmlformats.org/officeDocument/2006/relationships/image" Target="media/image233.wmf"/><Relationship Id="rId733" Type="http://schemas.openxmlformats.org/officeDocument/2006/relationships/oleObject" Target="embeddings/oleObject419.bin"/><Relationship Id="rId775" Type="http://schemas.openxmlformats.org/officeDocument/2006/relationships/oleObject" Target="embeddings/oleObject441.bin"/><Relationship Id="rId165" Type="http://schemas.openxmlformats.org/officeDocument/2006/relationships/image" Target="media/image76.wmf"/><Relationship Id="rId372" Type="http://schemas.openxmlformats.org/officeDocument/2006/relationships/oleObject" Target="embeddings/oleObject214.bin"/><Relationship Id="rId428" Type="http://schemas.openxmlformats.org/officeDocument/2006/relationships/oleObject" Target="embeddings/oleObject248.bin"/><Relationship Id="rId635" Type="http://schemas.openxmlformats.org/officeDocument/2006/relationships/image" Target="media/image266.wmf"/><Relationship Id="rId677" Type="http://schemas.openxmlformats.org/officeDocument/2006/relationships/oleObject" Target="embeddings/oleObject388.bin"/><Relationship Id="rId800" Type="http://schemas.openxmlformats.org/officeDocument/2006/relationships/image" Target="media/image344.emf"/><Relationship Id="rId842" Type="http://schemas.openxmlformats.org/officeDocument/2006/relationships/oleObject" Target="embeddings/oleObject474.bin"/><Relationship Id="rId232" Type="http://schemas.openxmlformats.org/officeDocument/2006/relationships/oleObject" Target="embeddings/oleObject126.bin"/><Relationship Id="rId274" Type="http://schemas.openxmlformats.org/officeDocument/2006/relationships/oleObject" Target="embeddings/oleObject152.bin"/><Relationship Id="rId481" Type="http://schemas.openxmlformats.org/officeDocument/2006/relationships/image" Target="media/image194.wmf"/><Relationship Id="rId702" Type="http://schemas.openxmlformats.org/officeDocument/2006/relationships/oleObject" Target="embeddings/oleObject401.bin"/><Relationship Id="rId27" Type="http://schemas.openxmlformats.org/officeDocument/2006/relationships/image" Target="media/image10.wmf"/><Relationship Id="rId69" Type="http://schemas.openxmlformats.org/officeDocument/2006/relationships/oleObject" Target="embeddings/oleObject26.bin"/><Relationship Id="rId134" Type="http://schemas.openxmlformats.org/officeDocument/2006/relationships/image" Target="media/image64.emf"/><Relationship Id="rId537" Type="http://schemas.openxmlformats.org/officeDocument/2006/relationships/oleObject" Target="embeddings/oleObject310.bin"/><Relationship Id="rId579" Type="http://schemas.openxmlformats.org/officeDocument/2006/relationships/oleObject" Target="embeddings/oleObject331.bin"/><Relationship Id="rId744" Type="http://schemas.openxmlformats.org/officeDocument/2006/relationships/image" Target="media/image310.wmf"/><Relationship Id="rId786" Type="http://schemas.openxmlformats.org/officeDocument/2006/relationships/oleObject" Target="embeddings/oleObject446.bin"/><Relationship Id="rId80" Type="http://schemas.openxmlformats.org/officeDocument/2006/relationships/image" Target="media/image37.wmf"/><Relationship Id="rId176" Type="http://schemas.openxmlformats.org/officeDocument/2006/relationships/oleObject" Target="embeddings/oleObject88.bin"/><Relationship Id="rId341" Type="http://schemas.openxmlformats.org/officeDocument/2006/relationships/oleObject" Target="embeddings/oleObject194.bin"/><Relationship Id="rId383" Type="http://schemas.openxmlformats.org/officeDocument/2006/relationships/image" Target="media/image151.wmf"/><Relationship Id="rId439" Type="http://schemas.openxmlformats.org/officeDocument/2006/relationships/oleObject" Target="embeddings/oleObject254.bin"/><Relationship Id="rId590" Type="http://schemas.openxmlformats.org/officeDocument/2006/relationships/image" Target="media/image244.wmf"/><Relationship Id="rId604" Type="http://schemas.openxmlformats.org/officeDocument/2006/relationships/oleObject" Target="embeddings/oleObject344.bin"/><Relationship Id="rId646" Type="http://schemas.openxmlformats.org/officeDocument/2006/relationships/oleObject" Target="embeddings/oleObject366.bin"/><Relationship Id="rId811" Type="http://schemas.openxmlformats.org/officeDocument/2006/relationships/hyperlink" Target="https://www.ihacpa.gov.au/sites/default/files/2024-04/appendix_4_-_unacceptable_pdx_codes.pdf" TargetMode="External"/><Relationship Id="rId201" Type="http://schemas.openxmlformats.org/officeDocument/2006/relationships/oleObject" Target="embeddings/oleObject107.bin"/><Relationship Id="rId243" Type="http://schemas.openxmlformats.org/officeDocument/2006/relationships/image" Target="media/image100.wmf"/><Relationship Id="rId285" Type="http://schemas.openxmlformats.org/officeDocument/2006/relationships/oleObject" Target="embeddings/oleObject159.bin"/><Relationship Id="rId450" Type="http://schemas.openxmlformats.org/officeDocument/2006/relationships/oleObject" Target="embeddings/oleObject262.bin"/><Relationship Id="rId506" Type="http://schemas.openxmlformats.org/officeDocument/2006/relationships/oleObject" Target="embeddings/oleObject290.bin"/><Relationship Id="rId688" Type="http://schemas.openxmlformats.org/officeDocument/2006/relationships/oleObject" Target="embeddings/oleObject394.bin"/><Relationship Id="rId38" Type="http://schemas.openxmlformats.org/officeDocument/2006/relationships/oleObject" Target="embeddings/oleObject11.bin"/><Relationship Id="rId103" Type="http://schemas.openxmlformats.org/officeDocument/2006/relationships/oleObject" Target="embeddings/oleObject43.bin"/><Relationship Id="rId310" Type="http://schemas.openxmlformats.org/officeDocument/2006/relationships/oleObject" Target="embeddings/oleObject172.bin"/><Relationship Id="rId492" Type="http://schemas.openxmlformats.org/officeDocument/2006/relationships/oleObject" Target="embeddings/oleObject283.bin"/><Relationship Id="rId548" Type="http://schemas.openxmlformats.org/officeDocument/2006/relationships/image" Target="media/image223.wmf"/><Relationship Id="rId713" Type="http://schemas.openxmlformats.org/officeDocument/2006/relationships/oleObject" Target="embeddings/oleObject406.bin"/><Relationship Id="rId755" Type="http://schemas.openxmlformats.org/officeDocument/2006/relationships/image" Target="media/image315.wmf"/><Relationship Id="rId797" Type="http://schemas.openxmlformats.org/officeDocument/2006/relationships/image" Target="media/image341.emf"/><Relationship Id="rId91" Type="http://schemas.openxmlformats.org/officeDocument/2006/relationships/oleObject" Target="embeddings/oleObject37.bin"/><Relationship Id="rId145" Type="http://schemas.openxmlformats.org/officeDocument/2006/relationships/oleObject" Target="embeddings/oleObject64.bin"/><Relationship Id="rId187" Type="http://schemas.openxmlformats.org/officeDocument/2006/relationships/oleObject" Target="embeddings/oleObject97.bin"/><Relationship Id="rId352" Type="http://schemas.openxmlformats.org/officeDocument/2006/relationships/image" Target="media/image142.wmf"/><Relationship Id="rId394" Type="http://schemas.openxmlformats.org/officeDocument/2006/relationships/oleObject" Target="embeddings/oleObject230.bin"/><Relationship Id="rId408" Type="http://schemas.openxmlformats.org/officeDocument/2006/relationships/oleObject" Target="embeddings/oleObject238.bin"/><Relationship Id="rId615" Type="http://schemas.openxmlformats.org/officeDocument/2006/relationships/image" Target="media/image256.wmf"/><Relationship Id="rId822" Type="http://schemas.openxmlformats.org/officeDocument/2006/relationships/oleObject" Target="embeddings/oleObject454.bin"/><Relationship Id="rId212" Type="http://schemas.openxmlformats.org/officeDocument/2006/relationships/image" Target="media/image88.wmf"/><Relationship Id="rId254" Type="http://schemas.openxmlformats.org/officeDocument/2006/relationships/oleObject" Target="embeddings/oleObject139.bin"/><Relationship Id="rId657" Type="http://schemas.openxmlformats.org/officeDocument/2006/relationships/oleObject" Target="embeddings/oleObject376.bin"/><Relationship Id="rId699" Type="http://schemas.openxmlformats.org/officeDocument/2006/relationships/image" Target="media/image290.wmf"/><Relationship Id="rId49" Type="http://schemas.openxmlformats.org/officeDocument/2006/relationships/image" Target="media/image21.wmf"/><Relationship Id="rId114" Type="http://schemas.openxmlformats.org/officeDocument/2006/relationships/image" Target="media/image54.wmf"/><Relationship Id="rId296" Type="http://schemas.openxmlformats.org/officeDocument/2006/relationships/oleObject" Target="embeddings/oleObject166.bin"/><Relationship Id="rId461" Type="http://schemas.openxmlformats.org/officeDocument/2006/relationships/image" Target="media/image184.wmf"/><Relationship Id="rId517" Type="http://schemas.openxmlformats.org/officeDocument/2006/relationships/image" Target="media/image211.wmf"/><Relationship Id="rId559" Type="http://schemas.openxmlformats.org/officeDocument/2006/relationships/oleObject" Target="embeddings/oleObject321.bin"/><Relationship Id="rId724" Type="http://schemas.openxmlformats.org/officeDocument/2006/relationships/oleObject" Target="embeddings/oleObject414.bin"/><Relationship Id="rId766" Type="http://schemas.openxmlformats.org/officeDocument/2006/relationships/oleObject" Target="embeddings/oleObject436.bin"/><Relationship Id="rId60" Type="http://schemas.openxmlformats.org/officeDocument/2006/relationships/image" Target="media/image27.wmf"/><Relationship Id="rId156" Type="http://schemas.openxmlformats.org/officeDocument/2006/relationships/image" Target="media/image73.wmf"/><Relationship Id="rId198" Type="http://schemas.openxmlformats.org/officeDocument/2006/relationships/image" Target="media/image81.wmf"/><Relationship Id="rId321" Type="http://schemas.openxmlformats.org/officeDocument/2006/relationships/oleObject" Target="embeddings/oleObject180.bin"/><Relationship Id="rId363" Type="http://schemas.openxmlformats.org/officeDocument/2006/relationships/image" Target="media/image146.wmf"/><Relationship Id="rId419" Type="http://schemas.openxmlformats.org/officeDocument/2006/relationships/image" Target="media/image166.wmf"/><Relationship Id="rId570" Type="http://schemas.openxmlformats.org/officeDocument/2006/relationships/image" Target="media/image234.wmf"/><Relationship Id="rId626" Type="http://schemas.openxmlformats.org/officeDocument/2006/relationships/oleObject" Target="embeddings/oleObject355.bin"/><Relationship Id="rId223" Type="http://schemas.openxmlformats.org/officeDocument/2006/relationships/oleObject" Target="embeddings/oleObject118.bin"/><Relationship Id="rId430" Type="http://schemas.openxmlformats.org/officeDocument/2006/relationships/oleObject" Target="embeddings/oleObject249.bin"/><Relationship Id="rId668" Type="http://schemas.openxmlformats.org/officeDocument/2006/relationships/image" Target="media/image275.wmf"/><Relationship Id="rId833" Type="http://schemas.openxmlformats.org/officeDocument/2006/relationships/oleObject" Target="embeddings/oleObject465.bin"/><Relationship Id="rId18" Type="http://schemas.openxmlformats.org/officeDocument/2006/relationships/oleObject" Target="embeddings/oleObject1.bin"/><Relationship Id="rId265" Type="http://schemas.openxmlformats.org/officeDocument/2006/relationships/oleObject" Target="embeddings/oleObject146.bin"/><Relationship Id="rId472" Type="http://schemas.openxmlformats.org/officeDocument/2006/relationships/oleObject" Target="embeddings/oleObject273.bin"/><Relationship Id="rId528" Type="http://schemas.openxmlformats.org/officeDocument/2006/relationships/oleObject" Target="embeddings/oleObject303.bin"/><Relationship Id="rId735" Type="http://schemas.openxmlformats.org/officeDocument/2006/relationships/oleObject" Target="embeddings/oleObject420.bin"/><Relationship Id="rId125" Type="http://schemas.openxmlformats.org/officeDocument/2006/relationships/oleObject" Target="embeddings/oleObject54.bin"/><Relationship Id="rId167" Type="http://schemas.openxmlformats.org/officeDocument/2006/relationships/oleObject" Target="embeddings/oleObject79.bin"/><Relationship Id="rId332" Type="http://schemas.openxmlformats.org/officeDocument/2006/relationships/oleObject" Target="embeddings/oleObject188.bin"/><Relationship Id="rId374" Type="http://schemas.openxmlformats.org/officeDocument/2006/relationships/oleObject" Target="embeddings/oleObject215.bin"/><Relationship Id="rId581" Type="http://schemas.openxmlformats.org/officeDocument/2006/relationships/oleObject" Target="embeddings/oleObject332.bin"/><Relationship Id="rId777" Type="http://schemas.openxmlformats.org/officeDocument/2006/relationships/oleObject" Target="embeddings/oleObject442.bin"/><Relationship Id="rId71" Type="http://schemas.openxmlformats.org/officeDocument/2006/relationships/oleObject" Target="embeddings/oleObject27.bin"/><Relationship Id="rId234" Type="http://schemas.openxmlformats.org/officeDocument/2006/relationships/image" Target="media/image95.wmf"/><Relationship Id="rId637" Type="http://schemas.openxmlformats.org/officeDocument/2006/relationships/image" Target="media/image267.wmf"/><Relationship Id="rId679" Type="http://schemas.openxmlformats.org/officeDocument/2006/relationships/oleObject" Target="embeddings/oleObject389.bin"/><Relationship Id="rId802" Type="http://schemas.openxmlformats.org/officeDocument/2006/relationships/image" Target="media/image346.emf"/><Relationship Id="rId844" Type="http://schemas.openxmlformats.org/officeDocument/2006/relationships/footer" Target="footer4.xml"/><Relationship Id="rId2" Type="http://schemas.openxmlformats.org/officeDocument/2006/relationships/numbering" Target="numbering.xml"/><Relationship Id="rId29" Type="http://schemas.openxmlformats.org/officeDocument/2006/relationships/image" Target="media/image11.wmf"/><Relationship Id="rId276" Type="http://schemas.openxmlformats.org/officeDocument/2006/relationships/oleObject" Target="embeddings/oleObject153.bin"/><Relationship Id="rId441" Type="http://schemas.openxmlformats.org/officeDocument/2006/relationships/oleObject" Target="embeddings/oleObject255.bin"/><Relationship Id="rId483" Type="http://schemas.openxmlformats.org/officeDocument/2006/relationships/image" Target="media/image195.wmf"/><Relationship Id="rId539" Type="http://schemas.openxmlformats.org/officeDocument/2006/relationships/oleObject" Target="embeddings/oleObject311.bin"/><Relationship Id="rId690" Type="http://schemas.openxmlformats.org/officeDocument/2006/relationships/oleObject" Target="embeddings/oleObject395.bin"/><Relationship Id="rId704" Type="http://schemas.openxmlformats.org/officeDocument/2006/relationships/oleObject" Target="embeddings/oleObject402.bin"/><Relationship Id="rId746" Type="http://schemas.openxmlformats.org/officeDocument/2006/relationships/image" Target="media/image311.wmf"/><Relationship Id="rId40" Type="http://schemas.openxmlformats.org/officeDocument/2006/relationships/oleObject" Target="embeddings/oleObject12.bin"/><Relationship Id="rId136" Type="http://schemas.openxmlformats.org/officeDocument/2006/relationships/image" Target="media/image65.wmf"/><Relationship Id="rId178" Type="http://schemas.openxmlformats.org/officeDocument/2006/relationships/oleObject" Target="embeddings/oleObject90.bin"/><Relationship Id="rId301" Type="http://schemas.openxmlformats.org/officeDocument/2006/relationships/oleObject" Target="embeddings/oleObject168.bin"/><Relationship Id="rId343" Type="http://schemas.openxmlformats.org/officeDocument/2006/relationships/oleObject" Target="embeddings/oleObject195.bin"/><Relationship Id="rId550" Type="http://schemas.openxmlformats.org/officeDocument/2006/relationships/image" Target="media/image224.wmf"/><Relationship Id="rId788" Type="http://schemas.openxmlformats.org/officeDocument/2006/relationships/oleObject" Target="embeddings/oleObject447.bin"/><Relationship Id="rId82" Type="http://schemas.openxmlformats.org/officeDocument/2006/relationships/image" Target="media/image38.wmf"/><Relationship Id="rId203" Type="http://schemas.openxmlformats.org/officeDocument/2006/relationships/oleObject" Target="embeddings/oleObject108.bin"/><Relationship Id="rId385" Type="http://schemas.openxmlformats.org/officeDocument/2006/relationships/image" Target="media/image152.wmf"/><Relationship Id="rId592" Type="http://schemas.openxmlformats.org/officeDocument/2006/relationships/image" Target="media/image245.wmf"/><Relationship Id="rId606" Type="http://schemas.openxmlformats.org/officeDocument/2006/relationships/oleObject" Target="embeddings/oleObject345.bin"/><Relationship Id="rId648" Type="http://schemas.openxmlformats.org/officeDocument/2006/relationships/oleObject" Target="embeddings/oleObject368.bin"/><Relationship Id="rId813" Type="http://schemas.openxmlformats.org/officeDocument/2006/relationships/hyperlink" Target="https://www.ihacpa.gov.au/sites/default/files/2024-04/appendix_6_-_full-time_dagger_codes.pdf" TargetMode="External"/><Relationship Id="rId245" Type="http://schemas.openxmlformats.org/officeDocument/2006/relationships/oleObject" Target="embeddings/oleObject133.bin"/><Relationship Id="rId287" Type="http://schemas.openxmlformats.org/officeDocument/2006/relationships/oleObject" Target="embeddings/oleObject161.bin"/><Relationship Id="rId410" Type="http://schemas.openxmlformats.org/officeDocument/2006/relationships/oleObject" Target="embeddings/oleObject239.bin"/><Relationship Id="rId452" Type="http://schemas.openxmlformats.org/officeDocument/2006/relationships/oleObject" Target="embeddings/oleObject263.bin"/><Relationship Id="rId494" Type="http://schemas.openxmlformats.org/officeDocument/2006/relationships/oleObject" Target="embeddings/oleObject284.bin"/><Relationship Id="rId508" Type="http://schemas.openxmlformats.org/officeDocument/2006/relationships/oleObject" Target="embeddings/oleObject291.bin"/><Relationship Id="rId715" Type="http://schemas.openxmlformats.org/officeDocument/2006/relationships/oleObject" Target="embeddings/oleObject408.bin"/><Relationship Id="rId105" Type="http://schemas.openxmlformats.org/officeDocument/2006/relationships/oleObject" Target="embeddings/oleObject44.bin"/><Relationship Id="rId147" Type="http://schemas.openxmlformats.org/officeDocument/2006/relationships/oleObject" Target="embeddings/oleObject65.bin"/><Relationship Id="rId312" Type="http://schemas.openxmlformats.org/officeDocument/2006/relationships/oleObject" Target="embeddings/oleObject174.bin"/><Relationship Id="rId354" Type="http://schemas.openxmlformats.org/officeDocument/2006/relationships/oleObject" Target="embeddings/oleObject202.bin"/><Relationship Id="rId757" Type="http://schemas.openxmlformats.org/officeDocument/2006/relationships/image" Target="media/image316.wmf"/><Relationship Id="rId799" Type="http://schemas.openxmlformats.org/officeDocument/2006/relationships/image" Target="media/image343.emf"/><Relationship Id="rId51" Type="http://schemas.openxmlformats.org/officeDocument/2006/relationships/image" Target="media/image22.emf"/><Relationship Id="rId93" Type="http://schemas.openxmlformats.org/officeDocument/2006/relationships/oleObject" Target="embeddings/oleObject38.bin"/><Relationship Id="rId189" Type="http://schemas.openxmlformats.org/officeDocument/2006/relationships/oleObject" Target="embeddings/oleObject99.bin"/><Relationship Id="rId396" Type="http://schemas.openxmlformats.org/officeDocument/2006/relationships/oleObject" Target="embeddings/oleObject231.bin"/><Relationship Id="rId561" Type="http://schemas.openxmlformats.org/officeDocument/2006/relationships/oleObject" Target="embeddings/oleObject322.bin"/><Relationship Id="rId617" Type="http://schemas.openxmlformats.org/officeDocument/2006/relationships/image" Target="media/image257.wmf"/><Relationship Id="rId659" Type="http://schemas.openxmlformats.org/officeDocument/2006/relationships/image" Target="media/image272.wmf"/><Relationship Id="rId824" Type="http://schemas.openxmlformats.org/officeDocument/2006/relationships/oleObject" Target="embeddings/oleObject456.bin"/><Relationship Id="rId214" Type="http://schemas.openxmlformats.org/officeDocument/2006/relationships/image" Target="media/image89.wmf"/><Relationship Id="rId256" Type="http://schemas.openxmlformats.org/officeDocument/2006/relationships/oleObject" Target="embeddings/oleObject140.bin"/><Relationship Id="rId298" Type="http://schemas.openxmlformats.org/officeDocument/2006/relationships/oleObject" Target="embeddings/oleObject167.bin"/><Relationship Id="rId421" Type="http://schemas.openxmlformats.org/officeDocument/2006/relationships/image" Target="media/image167.wmf"/><Relationship Id="rId463" Type="http://schemas.openxmlformats.org/officeDocument/2006/relationships/image" Target="media/image185.wmf"/><Relationship Id="rId519" Type="http://schemas.openxmlformats.org/officeDocument/2006/relationships/image" Target="media/image212.wmf"/><Relationship Id="rId670" Type="http://schemas.openxmlformats.org/officeDocument/2006/relationships/image" Target="media/image276.wmf"/><Relationship Id="rId116" Type="http://schemas.openxmlformats.org/officeDocument/2006/relationships/image" Target="media/image55.wmf"/><Relationship Id="rId158" Type="http://schemas.openxmlformats.org/officeDocument/2006/relationships/image" Target="media/image74.emf"/><Relationship Id="rId323" Type="http://schemas.openxmlformats.org/officeDocument/2006/relationships/image" Target="media/image130.wmf"/><Relationship Id="rId530" Type="http://schemas.openxmlformats.org/officeDocument/2006/relationships/oleObject" Target="embeddings/oleObject304.bin"/><Relationship Id="rId726" Type="http://schemas.openxmlformats.org/officeDocument/2006/relationships/image" Target="media/image301.wmf"/><Relationship Id="rId768" Type="http://schemas.openxmlformats.org/officeDocument/2006/relationships/oleObject" Target="embeddings/oleObject437.bin"/><Relationship Id="rId20" Type="http://schemas.openxmlformats.org/officeDocument/2006/relationships/oleObject" Target="embeddings/oleObject2.bin"/><Relationship Id="rId62" Type="http://schemas.openxmlformats.org/officeDocument/2006/relationships/image" Target="media/image28.wmf"/><Relationship Id="rId365" Type="http://schemas.openxmlformats.org/officeDocument/2006/relationships/oleObject" Target="embeddings/oleObject209.bin"/><Relationship Id="rId572" Type="http://schemas.openxmlformats.org/officeDocument/2006/relationships/image" Target="media/image235.wmf"/><Relationship Id="rId628" Type="http://schemas.openxmlformats.org/officeDocument/2006/relationships/oleObject" Target="embeddings/oleObject356.bin"/><Relationship Id="rId835" Type="http://schemas.openxmlformats.org/officeDocument/2006/relationships/oleObject" Target="embeddings/oleObject467.bin"/><Relationship Id="rId225" Type="http://schemas.openxmlformats.org/officeDocument/2006/relationships/oleObject" Target="embeddings/oleObject120.bin"/><Relationship Id="rId267" Type="http://schemas.openxmlformats.org/officeDocument/2006/relationships/oleObject" Target="embeddings/oleObject148.bin"/><Relationship Id="rId432" Type="http://schemas.openxmlformats.org/officeDocument/2006/relationships/oleObject" Target="embeddings/oleObject250.bin"/><Relationship Id="rId474" Type="http://schemas.openxmlformats.org/officeDocument/2006/relationships/oleObject" Target="embeddings/oleObject274.bin"/><Relationship Id="rId127" Type="http://schemas.openxmlformats.org/officeDocument/2006/relationships/image" Target="media/image60.emf"/><Relationship Id="rId681" Type="http://schemas.openxmlformats.org/officeDocument/2006/relationships/oleObject" Target="embeddings/oleObject390.bin"/><Relationship Id="rId737" Type="http://schemas.openxmlformats.org/officeDocument/2006/relationships/oleObject" Target="embeddings/oleObject421.bin"/><Relationship Id="rId779" Type="http://schemas.openxmlformats.org/officeDocument/2006/relationships/image" Target="media/image326.emf"/><Relationship Id="rId31" Type="http://schemas.openxmlformats.org/officeDocument/2006/relationships/image" Target="media/image12.wmf"/><Relationship Id="rId73" Type="http://schemas.openxmlformats.org/officeDocument/2006/relationships/oleObject" Target="embeddings/oleObject28.bin"/><Relationship Id="rId169" Type="http://schemas.openxmlformats.org/officeDocument/2006/relationships/oleObject" Target="embeddings/oleObject81.bin"/><Relationship Id="rId334" Type="http://schemas.openxmlformats.org/officeDocument/2006/relationships/image" Target="media/image133.wmf"/><Relationship Id="rId376" Type="http://schemas.openxmlformats.org/officeDocument/2006/relationships/oleObject" Target="embeddings/oleObject217.bin"/><Relationship Id="rId541" Type="http://schemas.openxmlformats.org/officeDocument/2006/relationships/oleObject" Target="embeddings/oleObject312.bin"/><Relationship Id="rId583" Type="http://schemas.openxmlformats.org/officeDocument/2006/relationships/oleObject" Target="embeddings/oleObject333.bin"/><Relationship Id="rId639" Type="http://schemas.openxmlformats.org/officeDocument/2006/relationships/image" Target="media/image268.wmf"/><Relationship Id="rId790" Type="http://schemas.openxmlformats.org/officeDocument/2006/relationships/image" Target="media/image333.emf"/><Relationship Id="rId804" Type="http://schemas.openxmlformats.org/officeDocument/2006/relationships/image" Target="media/image348.emf"/><Relationship Id="rId4" Type="http://schemas.openxmlformats.org/officeDocument/2006/relationships/settings" Target="settings.xml"/><Relationship Id="rId180" Type="http://schemas.openxmlformats.org/officeDocument/2006/relationships/image" Target="media/image77.wmf"/><Relationship Id="rId236" Type="http://schemas.openxmlformats.org/officeDocument/2006/relationships/image" Target="media/image96.wmf"/><Relationship Id="rId278" Type="http://schemas.openxmlformats.org/officeDocument/2006/relationships/oleObject" Target="embeddings/oleObject154.bin"/><Relationship Id="rId401" Type="http://schemas.openxmlformats.org/officeDocument/2006/relationships/image" Target="media/image157.wmf"/><Relationship Id="rId443" Type="http://schemas.openxmlformats.org/officeDocument/2006/relationships/oleObject" Target="embeddings/oleObject257.bin"/><Relationship Id="rId650" Type="http://schemas.openxmlformats.org/officeDocument/2006/relationships/oleObject" Target="embeddings/oleObject370.bin"/><Relationship Id="rId846" Type="http://schemas.openxmlformats.org/officeDocument/2006/relationships/footer" Target="footer6.xml"/><Relationship Id="rId303" Type="http://schemas.openxmlformats.org/officeDocument/2006/relationships/oleObject" Target="embeddings/oleObject169.bin"/><Relationship Id="rId485" Type="http://schemas.openxmlformats.org/officeDocument/2006/relationships/image" Target="media/image196.wmf"/><Relationship Id="rId692" Type="http://schemas.openxmlformats.org/officeDocument/2006/relationships/oleObject" Target="embeddings/oleObject396.bin"/><Relationship Id="rId706" Type="http://schemas.openxmlformats.org/officeDocument/2006/relationships/oleObject" Target="embeddings/oleObject403.bin"/><Relationship Id="rId748" Type="http://schemas.openxmlformats.org/officeDocument/2006/relationships/image" Target="media/image312.wmf"/><Relationship Id="rId42" Type="http://schemas.openxmlformats.org/officeDocument/2006/relationships/oleObject" Target="embeddings/oleObject13.bin"/><Relationship Id="rId84" Type="http://schemas.openxmlformats.org/officeDocument/2006/relationships/image" Target="media/image39.wmf"/><Relationship Id="rId138" Type="http://schemas.openxmlformats.org/officeDocument/2006/relationships/image" Target="media/image66.wmf"/><Relationship Id="rId345" Type="http://schemas.openxmlformats.org/officeDocument/2006/relationships/oleObject" Target="embeddings/oleObject196.bin"/><Relationship Id="rId387" Type="http://schemas.openxmlformats.org/officeDocument/2006/relationships/image" Target="media/image153.wmf"/><Relationship Id="rId510" Type="http://schemas.openxmlformats.org/officeDocument/2006/relationships/oleObject" Target="embeddings/oleObject292.bin"/><Relationship Id="rId552" Type="http://schemas.openxmlformats.org/officeDocument/2006/relationships/image" Target="media/image225.wmf"/><Relationship Id="rId594" Type="http://schemas.openxmlformats.org/officeDocument/2006/relationships/image" Target="media/image246.wmf"/><Relationship Id="rId608" Type="http://schemas.openxmlformats.org/officeDocument/2006/relationships/oleObject" Target="embeddings/oleObject346.bin"/><Relationship Id="rId815" Type="http://schemas.openxmlformats.org/officeDocument/2006/relationships/hyperlink" Target="https://www.ihacpa.gov.au/sites/default/files/2024-04/appendix_8_-_in-scope_diagnosis_codes.pdf" TargetMode="External"/><Relationship Id="rId191" Type="http://schemas.openxmlformats.org/officeDocument/2006/relationships/oleObject" Target="embeddings/oleObject101.bin"/><Relationship Id="rId205" Type="http://schemas.openxmlformats.org/officeDocument/2006/relationships/oleObject" Target="embeddings/oleObject109.bin"/><Relationship Id="rId247" Type="http://schemas.openxmlformats.org/officeDocument/2006/relationships/image" Target="media/image101.wmf"/><Relationship Id="rId412" Type="http://schemas.openxmlformats.org/officeDocument/2006/relationships/oleObject" Target="embeddings/oleObject240.bin"/><Relationship Id="rId107" Type="http://schemas.openxmlformats.org/officeDocument/2006/relationships/oleObject" Target="embeddings/oleObject45.bin"/><Relationship Id="rId289" Type="http://schemas.openxmlformats.org/officeDocument/2006/relationships/oleObject" Target="embeddings/oleObject163.bin"/><Relationship Id="rId454" Type="http://schemas.openxmlformats.org/officeDocument/2006/relationships/oleObject" Target="embeddings/oleObject264.bin"/><Relationship Id="rId496" Type="http://schemas.openxmlformats.org/officeDocument/2006/relationships/oleObject" Target="embeddings/oleObject285.bin"/><Relationship Id="rId661" Type="http://schemas.openxmlformats.org/officeDocument/2006/relationships/image" Target="media/image273.wmf"/><Relationship Id="rId717" Type="http://schemas.openxmlformats.org/officeDocument/2006/relationships/oleObject" Target="embeddings/oleObject409.bin"/><Relationship Id="rId759" Type="http://schemas.openxmlformats.org/officeDocument/2006/relationships/image" Target="media/image317.wmf"/><Relationship Id="rId11" Type="http://schemas.openxmlformats.org/officeDocument/2006/relationships/footer" Target="footer1.xml"/><Relationship Id="rId53" Type="http://schemas.openxmlformats.org/officeDocument/2006/relationships/oleObject" Target="embeddings/oleObject18.bin"/><Relationship Id="rId149" Type="http://schemas.openxmlformats.org/officeDocument/2006/relationships/image" Target="media/image71.wmf"/><Relationship Id="rId314" Type="http://schemas.openxmlformats.org/officeDocument/2006/relationships/oleObject" Target="embeddings/oleObject176.bin"/><Relationship Id="rId356" Type="http://schemas.openxmlformats.org/officeDocument/2006/relationships/oleObject" Target="embeddings/oleObject203.bin"/><Relationship Id="rId398" Type="http://schemas.openxmlformats.org/officeDocument/2006/relationships/image" Target="media/image156.wmf"/><Relationship Id="rId521" Type="http://schemas.openxmlformats.org/officeDocument/2006/relationships/oleObject" Target="embeddings/oleObject299.bin"/><Relationship Id="rId563" Type="http://schemas.openxmlformats.org/officeDocument/2006/relationships/oleObject" Target="embeddings/oleObject323.bin"/><Relationship Id="rId619" Type="http://schemas.openxmlformats.org/officeDocument/2006/relationships/image" Target="media/image258.wmf"/><Relationship Id="rId770" Type="http://schemas.openxmlformats.org/officeDocument/2006/relationships/image" Target="media/image322.wmf"/><Relationship Id="rId95" Type="http://schemas.openxmlformats.org/officeDocument/2006/relationships/oleObject" Target="embeddings/oleObject39.bin"/><Relationship Id="rId160" Type="http://schemas.openxmlformats.org/officeDocument/2006/relationships/image" Target="media/image75.wmf"/><Relationship Id="rId216" Type="http://schemas.openxmlformats.org/officeDocument/2006/relationships/image" Target="media/image90.wmf"/><Relationship Id="rId423" Type="http://schemas.openxmlformats.org/officeDocument/2006/relationships/image" Target="media/image168.wmf"/><Relationship Id="rId826" Type="http://schemas.openxmlformats.org/officeDocument/2006/relationships/oleObject" Target="embeddings/oleObject458.bin"/><Relationship Id="rId258" Type="http://schemas.openxmlformats.org/officeDocument/2006/relationships/oleObject" Target="embeddings/oleObject141.bin"/><Relationship Id="rId465" Type="http://schemas.openxmlformats.org/officeDocument/2006/relationships/image" Target="media/image186.wmf"/><Relationship Id="rId630" Type="http://schemas.openxmlformats.org/officeDocument/2006/relationships/oleObject" Target="embeddings/oleObject357.bin"/><Relationship Id="rId672" Type="http://schemas.openxmlformats.org/officeDocument/2006/relationships/image" Target="media/image277.wmf"/><Relationship Id="rId728" Type="http://schemas.openxmlformats.org/officeDocument/2006/relationships/image" Target="media/image302.wmf"/><Relationship Id="rId22" Type="http://schemas.openxmlformats.org/officeDocument/2006/relationships/oleObject" Target="embeddings/oleObject3.bin"/><Relationship Id="rId64" Type="http://schemas.openxmlformats.org/officeDocument/2006/relationships/image" Target="media/image29.wmf"/><Relationship Id="rId118" Type="http://schemas.openxmlformats.org/officeDocument/2006/relationships/oleObject" Target="embeddings/oleObject51.bin"/><Relationship Id="rId325" Type="http://schemas.openxmlformats.org/officeDocument/2006/relationships/oleObject" Target="embeddings/oleObject183.bin"/><Relationship Id="rId367" Type="http://schemas.openxmlformats.org/officeDocument/2006/relationships/image" Target="media/image147.wmf"/><Relationship Id="rId532" Type="http://schemas.openxmlformats.org/officeDocument/2006/relationships/oleObject" Target="embeddings/oleObject306.bin"/><Relationship Id="rId574" Type="http://schemas.openxmlformats.org/officeDocument/2006/relationships/image" Target="media/image236.wmf"/><Relationship Id="rId171" Type="http://schemas.openxmlformats.org/officeDocument/2006/relationships/oleObject" Target="embeddings/oleObject83.bin"/><Relationship Id="rId227" Type="http://schemas.openxmlformats.org/officeDocument/2006/relationships/oleObject" Target="embeddings/oleObject122.bin"/><Relationship Id="rId781" Type="http://schemas.openxmlformats.org/officeDocument/2006/relationships/image" Target="media/image328.wmf"/><Relationship Id="rId837" Type="http://schemas.openxmlformats.org/officeDocument/2006/relationships/oleObject" Target="embeddings/oleObject469.bin"/><Relationship Id="rId269" Type="http://schemas.openxmlformats.org/officeDocument/2006/relationships/oleObject" Target="embeddings/oleObject149.bin"/><Relationship Id="rId434" Type="http://schemas.openxmlformats.org/officeDocument/2006/relationships/oleObject" Target="embeddings/oleObject251.bin"/><Relationship Id="rId476" Type="http://schemas.openxmlformats.org/officeDocument/2006/relationships/oleObject" Target="embeddings/oleObject275.bin"/><Relationship Id="rId641" Type="http://schemas.openxmlformats.org/officeDocument/2006/relationships/oleObject" Target="embeddings/oleObject363.bin"/><Relationship Id="rId683" Type="http://schemas.openxmlformats.org/officeDocument/2006/relationships/oleObject" Target="embeddings/oleObject391.bin"/><Relationship Id="rId739" Type="http://schemas.openxmlformats.org/officeDocument/2006/relationships/oleObject" Target="embeddings/oleObject422.bin"/><Relationship Id="rId33" Type="http://schemas.openxmlformats.org/officeDocument/2006/relationships/image" Target="media/image13.wmf"/><Relationship Id="rId129" Type="http://schemas.openxmlformats.org/officeDocument/2006/relationships/image" Target="media/image61.emf"/><Relationship Id="rId280" Type="http://schemas.openxmlformats.org/officeDocument/2006/relationships/oleObject" Target="embeddings/oleObject155.bin"/><Relationship Id="rId336" Type="http://schemas.openxmlformats.org/officeDocument/2006/relationships/oleObject" Target="embeddings/oleObject191.bin"/><Relationship Id="rId501" Type="http://schemas.openxmlformats.org/officeDocument/2006/relationships/image" Target="media/image204.wmf"/><Relationship Id="rId543" Type="http://schemas.openxmlformats.org/officeDocument/2006/relationships/oleObject" Target="embeddings/oleObject313.bin"/><Relationship Id="rId75" Type="http://schemas.openxmlformats.org/officeDocument/2006/relationships/oleObject" Target="embeddings/oleObject29.bin"/><Relationship Id="rId140" Type="http://schemas.openxmlformats.org/officeDocument/2006/relationships/image" Target="media/image67.wmf"/><Relationship Id="rId182" Type="http://schemas.openxmlformats.org/officeDocument/2006/relationships/image" Target="media/image78.wmf"/><Relationship Id="rId378" Type="http://schemas.openxmlformats.org/officeDocument/2006/relationships/oleObject" Target="embeddings/oleObject219.bin"/><Relationship Id="rId403" Type="http://schemas.openxmlformats.org/officeDocument/2006/relationships/image" Target="media/image158.wmf"/><Relationship Id="rId585" Type="http://schemas.openxmlformats.org/officeDocument/2006/relationships/oleObject" Target="embeddings/oleObject334.bin"/><Relationship Id="rId750" Type="http://schemas.openxmlformats.org/officeDocument/2006/relationships/image" Target="media/image313.wmf"/><Relationship Id="rId792" Type="http://schemas.openxmlformats.org/officeDocument/2006/relationships/image" Target="media/image335.emf"/><Relationship Id="rId806" Type="http://schemas.openxmlformats.org/officeDocument/2006/relationships/hyperlink" Target="http://www.ncbi.nlm.nih.gov/nlmcatalog/9007288" TargetMode="External"/><Relationship Id="rId848" Type="http://schemas.openxmlformats.org/officeDocument/2006/relationships/theme" Target="theme/theme1.xml"/><Relationship Id="rId6" Type="http://schemas.openxmlformats.org/officeDocument/2006/relationships/footnotes" Target="footnotes.xml"/><Relationship Id="rId238" Type="http://schemas.openxmlformats.org/officeDocument/2006/relationships/image" Target="media/image97.wmf"/><Relationship Id="rId445" Type="http://schemas.openxmlformats.org/officeDocument/2006/relationships/image" Target="media/image177.wmf"/><Relationship Id="rId487" Type="http://schemas.openxmlformats.org/officeDocument/2006/relationships/image" Target="media/image197.wmf"/><Relationship Id="rId610" Type="http://schemas.openxmlformats.org/officeDocument/2006/relationships/oleObject" Target="embeddings/oleObject347.bin"/><Relationship Id="rId652" Type="http://schemas.openxmlformats.org/officeDocument/2006/relationships/oleObject" Target="embeddings/oleObject372.bin"/><Relationship Id="rId694" Type="http://schemas.openxmlformats.org/officeDocument/2006/relationships/oleObject" Target="embeddings/oleObject397.bin"/><Relationship Id="rId708" Type="http://schemas.openxmlformats.org/officeDocument/2006/relationships/image" Target="media/image295.wmf"/><Relationship Id="rId291" Type="http://schemas.openxmlformats.org/officeDocument/2006/relationships/oleObject" Target="embeddings/oleObject164.bin"/><Relationship Id="rId305" Type="http://schemas.openxmlformats.org/officeDocument/2006/relationships/oleObject" Target="embeddings/oleObject170.bin"/><Relationship Id="rId347" Type="http://schemas.openxmlformats.org/officeDocument/2006/relationships/oleObject" Target="embeddings/oleObject197.bin"/><Relationship Id="rId512" Type="http://schemas.openxmlformats.org/officeDocument/2006/relationships/oleObject" Target="embeddings/oleObject293.bin"/><Relationship Id="rId44" Type="http://schemas.openxmlformats.org/officeDocument/2006/relationships/oleObject" Target="embeddings/oleObject14.bin"/><Relationship Id="rId86" Type="http://schemas.openxmlformats.org/officeDocument/2006/relationships/image" Target="media/image40.wmf"/><Relationship Id="rId151" Type="http://schemas.openxmlformats.org/officeDocument/2006/relationships/oleObject" Target="embeddings/oleObject68.bin"/><Relationship Id="rId389" Type="http://schemas.openxmlformats.org/officeDocument/2006/relationships/oleObject" Target="embeddings/oleObject226.bin"/><Relationship Id="rId554" Type="http://schemas.openxmlformats.org/officeDocument/2006/relationships/image" Target="media/image226.wmf"/><Relationship Id="rId596" Type="http://schemas.openxmlformats.org/officeDocument/2006/relationships/image" Target="media/image247.wmf"/><Relationship Id="rId761" Type="http://schemas.openxmlformats.org/officeDocument/2006/relationships/image" Target="media/image318.wmf"/><Relationship Id="rId817" Type="http://schemas.openxmlformats.org/officeDocument/2006/relationships/oleObject" Target="embeddings/oleObject449.bin"/><Relationship Id="rId193" Type="http://schemas.openxmlformats.org/officeDocument/2006/relationships/image" Target="media/image79.wmf"/><Relationship Id="rId207" Type="http://schemas.openxmlformats.org/officeDocument/2006/relationships/oleObject" Target="embeddings/oleObject110.bin"/><Relationship Id="rId249" Type="http://schemas.openxmlformats.org/officeDocument/2006/relationships/oleObject" Target="embeddings/oleObject136.bin"/><Relationship Id="rId414" Type="http://schemas.openxmlformats.org/officeDocument/2006/relationships/oleObject" Target="embeddings/oleObject241.bin"/><Relationship Id="rId456" Type="http://schemas.openxmlformats.org/officeDocument/2006/relationships/oleObject" Target="embeddings/oleObject265.bin"/><Relationship Id="rId498" Type="http://schemas.openxmlformats.org/officeDocument/2006/relationships/oleObject" Target="embeddings/oleObject286.bin"/><Relationship Id="rId621" Type="http://schemas.openxmlformats.org/officeDocument/2006/relationships/image" Target="media/image259.wmf"/><Relationship Id="rId663" Type="http://schemas.openxmlformats.org/officeDocument/2006/relationships/oleObject" Target="embeddings/oleObject380.bin"/><Relationship Id="rId13" Type="http://schemas.openxmlformats.org/officeDocument/2006/relationships/header" Target="header5.xml"/><Relationship Id="rId109" Type="http://schemas.openxmlformats.org/officeDocument/2006/relationships/oleObject" Target="embeddings/oleObject46.bin"/><Relationship Id="rId260" Type="http://schemas.openxmlformats.org/officeDocument/2006/relationships/oleObject" Target="embeddings/oleObject142.bin"/><Relationship Id="rId316" Type="http://schemas.openxmlformats.org/officeDocument/2006/relationships/oleObject" Target="embeddings/oleObject177.bin"/><Relationship Id="rId523" Type="http://schemas.openxmlformats.org/officeDocument/2006/relationships/oleObject" Target="embeddings/oleObject300.bin"/><Relationship Id="rId719" Type="http://schemas.openxmlformats.org/officeDocument/2006/relationships/image" Target="media/image299.wmf"/><Relationship Id="rId55" Type="http://schemas.openxmlformats.org/officeDocument/2006/relationships/oleObject" Target="embeddings/oleObject19.bin"/><Relationship Id="rId97" Type="http://schemas.openxmlformats.org/officeDocument/2006/relationships/oleObject" Target="embeddings/oleObject40.bin"/><Relationship Id="rId120" Type="http://schemas.openxmlformats.org/officeDocument/2006/relationships/image" Target="media/image57.wmf"/><Relationship Id="rId358" Type="http://schemas.openxmlformats.org/officeDocument/2006/relationships/oleObject" Target="embeddings/oleObject205.bin"/><Relationship Id="rId565" Type="http://schemas.openxmlformats.org/officeDocument/2006/relationships/oleObject" Target="embeddings/oleObject324.bin"/><Relationship Id="rId730" Type="http://schemas.openxmlformats.org/officeDocument/2006/relationships/image" Target="media/image303.wmf"/><Relationship Id="rId772" Type="http://schemas.openxmlformats.org/officeDocument/2006/relationships/image" Target="media/image323.wmf"/><Relationship Id="rId828" Type="http://schemas.openxmlformats.org/officeDocument/2006/relationships/oleObject" Target="embeddings/oleObject460.bin"/><Relationship Id="rId162" Type="http://schemas.openxmlformats.org/officeDocument/2006/relationships/oleObject" Target="embeddings/oleObject75.bin"/><Relationship Id="rId218" Type="http://schemas.openxmlformats.org/officeDocument/2006/relationships/image" Target="media/image91.wmf"/><Relationship Id="rId425" Type="http://schemas.openxmlformats.org/officeDocument/2006/relationships/image" Target="media/image169.wmf"/><Relationship Id="rId467" Type="http://schemas.openxmlformats.org/officeDocument/2006/relationships/image" Target="media/image187.wmf"/><Relationship Id="rId632" Type="http://schemas.openxmlformats.org/officeDocument/2006/relationships/oleObject" Target="embeddings/oleObject358.bin"/><Relationship Id="rId271" Type="http://schemas.openxmlformats.org/officeDocument/2006/relationships/image" Target="media/image109.wmf"/><Relationship Id="rId674" Type="http://schemas.openxmlformats.org/officeDocument/2006/relationships/image" Target="media/image278.wmf"/><Relationship Id="rId24" Type="http://schemas.openxmlformats.org/officeDocument/2006/relationships/oleObject" Target="embeddings/oleObject4.bin"/><Relationship Id="rId66" Type="http://schemas.openxmlformats.org/officeDocument/2006/relationships/image" Target="media/image30.wmf"/><Relationship Id="rId131" Type="http://schemas.openxmlformats.org/officeDocument/2006/relationships/oleObject" Target="embeddings/oleObject57.bin"/><Relationship Id="rId327" Type="http://schemas.openxmlformats.org/officeDocument/2006/relationships/oleObject" Target="embeddings/oleObject184.bin"/><Relationship Id="rId369" Type="http://schemas.openxmlformats.org/officeDocument/2006/relationships/oleObject" Target="embeddings/oleObject212.bin"/><Relationship Id="rId534" Type="http://schemas.openxmlformats.org/officeDocument/2006/relationships/oleObject" Target="embeddings/oleObject307.bin"/><Relationship Id="rId576" Type="http://schemas.openxmlformats.org/officeDocument/2006/relationships/image" Target="media/image237.wmf"/><Relationship Id="rId741" Type="http://schemas.openxmlformats.org/officeDocument/2006/relationships/oleObject" Target="embeddings/oleObject423.bin"/><Relationship Id="rId783" Type="http://schemas.openxmlformats.org/officeDocument/2006/relationships/image" Target="media/image329.wmf"/><Relationship Id="rId839" Type="http://schemas.openxmlformats.org/officeDocument/2006/relationships/oleObject" Target="embeddings/oleObject471.bin"/><Relationship Id="rId173" Type="http://schemas.openxmlformats.org/officeDocument/2006/relationships/oleObject" Target="embeddings/oleObject85.bin"/><Relationship Id="rId229" Type="http://schemas.openxmlformats.org/officeDocument/2006/relationships/image" Target="media/image94.wmf"/><Relationship Id="rId380" Type="http://schemas.openxmlformats.org/officeDocument/2006/relationships/oleObject" Target="embeddings/oleObject221.bin"/><Relationship Id="rId436" Type="http://schemas.openxmlformats.org/officeDocument/2006/relationships/oleObject" Target="embeddings/oleObject252.bin"/><Relationship Id="rId601" Type="http://schemas.openxmlformats.org/officeDocument/2006/relationships/oleObject" Target="embeddings/oleObject342.bin"/><Relationship Id="rId643" Type="http://schemas.openxmlformats.org/officeDocument/2006/relationships/oleObject" Target="embeddings/oleObject364.bin"/><Relationship Id="rId240" Type="http://schemas.openxmlformats.org/officeDocument/2006/relationships/image" Target="media/image98.emf"/><Relationship Id="rId478" Type="http://schemas.openxmlformats.org/officeDocument/2006/relationships/oleObject" Target="embeddings/oleObject276.bin"/><Relationship Id="rId685" Type="http://schemas.openxmlformats.org/officeDocument/2006/relationships/oleObject" Target="embeddings/oleObject392.bin"/><Relationship Id="rId35" Type="http://schemas.openxmlformats.org/officeDocument/2006/relationships/image" Target="media/image14.wmf"/><Relationship Id="rId77" Type="http://schemas.openxmlformats.org/officeDocument/2006/relationships/oleObject" Target="embeddings/oleObject30.bin"/><Relationship Id="rId100" Type="http://schemas.openxmlformats.org/officeDocument/2006/relationships/image" Target="media/image47.wmf"/><Relationship Id="rId282" Type="http://schemas.openxmlformats.org/officeDocument/2006/relationships/oleObject" Target="embeddings/oleObject156.bin"/><Relationship Id="rId338" Type="http://schemas.openxmlformats.org/officeDocument/2006/relationships/image" Target="media/image134.wmf"/><Relationship Id="rId503" Type="http://schemas.openxmlformats.org/officeDocument/2006/relationships/image" Target="media/image205.wmf"/><Relationship Id="rId545" Type="http://schemas.openxmlformats.org/officeDocument/2006/relationships/oleObject" Target="embeddings/oleObject314.bin"/><Relationship Id="rId587" Type="http://schemas.openxmlformats.org/officeDocument/2006/relationships/oleObject" Target="embeddings/oleObject335.bin"/><Relationship Id="rId710" Type="http://schemas.openxmlformats.org/officeDocument/2006/relationships/image" Target="media/image296.wmf"/><Relationship Id="rId752" Type="http://schemas.openxmlformats.org/officeDocument/2006/relationships/oleObject" Target="embeddings/oleObject429.bin"/><Relationship Id="rId808" Type="http://schemas.openxmlformats.org/officeDocument/2006/relationships/hyperlink" Target="https://www.ihacpa.gov.au/sites/default/files/2024-04/appendix_1_-_overview_of_use_of_additional_diagnosis_codes_in_drg_development.pdf" TargetMode="External"/><Relationship Id="rId8" Type="http://schemas.openxmlformats.org/officeDocument/2006/relationships/header" Target="header1.xml"/><Relationship Id="rId142" Type="http://schemas.openxmlformats.org/officeDocument/2006/relationships/image" Target="media/image68.wmf"/><Relationship Id="rId184" Type="http://schemas.openxmlformats.org/officeDocument/2006/relationships/oleObject" Target="embeddings/oleObject94.bin"/><Relationship Id="rId391" Type="http://schemas.openxmlformats.org/officeDocument/2006/relationships/oleObject" Target="embeddings/oleObject227.bin"/><Relationship Id="rId405" Type="http://schemas.openxmlformats.org/officeDocument/2006/relationships/image" Target="media/image159.wmf"/><Relationship Id="rId447" Type="http://schemas.openxmlformats.org/officeDocument/2006/relationships/image" Target="media/image178.wmf"/><Relationship Id="rId612" Type="http://schemas.openxmlformats.org/officeDocument/2006/relationships/oleObject" Target="embeddings/oleObject348.bin"/><Relationship Id="rId794" Type="http://schemas.openxmlformats.org/officeDocument/2006/relationships/image" Target="media/image338.emf"/><Relationship Id="rId251" Type="http://schemas.openxmlformats.org/officeDocument/2006/relationships/oleObject" Target="embeddings/oleObject137.bin"/><Relationship Id="rId489" Type="http://schemas.openxmlformats.org/officeDocument/2006/relationships/image" Target="media/image198.wmf"/><Relationship Id="rId654" Type="http://schemas.openxmlformats.org/officeDocument/2006/relationships/image" Target="media/image271.wmf"/><Relationship Id="rId696" Type="http://schemas.openxmlformats.org/officeDocument/2006/relationships/oleObject" Target="embeddings/oleObject398.bin"/><Relationship Id="rId46" Type="http://schemas.openxmlformats.org/officeDocument/2006/relationships/oleObject" Target="embeddings/oleObject15.bin"/><Relationship Id="rId293" Type="http://schemas.openxmlformats.org/officeDocument/2006/relationships/oleObject" Target="embeddings/oleObject165.bin"/><Relationship Id="rId307" Type="http://schemas.openxmlformats.org/officeDocument/2006/relationships/image" Target="media/image125.wmf"/><Relationship Id="rId349" Type="http://schemas.openxmlformats.org/officeDocument/2006/relationships/oleObject" Target="embeddings/oleObject199.bin"/><Relationship Id="rId514" Type="http://schemas.openxmlformats.org/officeDocument/2006/relationships/oleObject" Target="embeddings/oleObject295.bin"/><Relationship Id="rId556" Type="http://schemas.openxmlformats.org/officeDocument/2006/relationships/image" Target="media/image227.wmf"/><Relationship Id="rId721" Type="http://schemas.openxmlformats.org/officeDocument/2006/relationships/oleObject" Target="embeddings/oleObject412.bin"/><Relationship Id="rId763" Type="http://schemas.openxmlformats.org/officeDocument/2006/relationships/image" Target="media/image319.wmf"/><Relationship Id="rId88" Type="http://schemas.openxmlformats.org/officeDocument/2006/relationships/image" Target="media/image41.wmf"/><Relationship Id="rId111" Type="http://schemas.openxmlformats.org/officeDocument/2006/relationships/oleObject" Target="embeddings/oleObject47.bin"/><Relationship Id="rId153" Type="http://schemas.openxmlformats.org/officeDocument/2006/relationships/oleObject" Target="embeddings/oleObject70.bin"/><Relationship Id="rId195" Type="http://schemas.openxmlformats.org/officeDocument/2006/relationships/oleObject" Target="embeddings/oleObject104.bin"/><Relationship Id="rId209" Type="http://schemas.openxmlformats.org/officeDocument/2006/relationships/oleObject" Target="embeddings/oleObject111.bin"/><Relationship Id="rId360" Type="http://schemas.openxmlformats.org/officeDocument/2006/relationships/oleObject" Target="embeddings/oleObject206.bin"/><Relationship Id="rId416" Type="http://schemas.openxmlformats.org/officeDocument/2006/relationships/oleObject" Target="embeddings/oleObject242.bin"/><Relationship Id="rId598" Type="http://schemas.openxmlformats.org/officeDocument/2006/relationships/image" Target="media/image248.wmf"/><Relationship Id="rId819" Type="http://schemas.openxmlformats.org/officeDocument/2006/relationships/oleObject" Target="embeddings/oleObject451.bin"/><Relationship Id="rId220" Type="http://schemas.openxmlformats.org/officeDocument/2006/relationships/image" Target="media/image92.wmf"/><Relationship Id="rId458" Type="http://schemas.openxmlformats.org/officeDocument/2006/relationships/oleObject" Target="embeddings/oleObject266.bin"/><Relationship Id="rId623" Type="http://schemas.openxmlformats.org/officeDocument/2006/relationships/image" Target="media/image260.wmf"/><Relationship Id="rId665" Type="http://schemas.openxmlformats.org/officeDocument/2006/relationships/oleObject" Target="embeddings/oleObject382.bin"/><Relationship Id="rId830" Type="http://schemas.openxmlformats.org/officeDocument/2006/relationships/oleObject" Target="embeddings/oleObject462.bin"/><Relationship Id="rId15" Type="http://schemas.openxmlformats.org/officeDocument/2006/relationships/footer" Target="footer3.xml"/><Relationship Id="rId57" Type="http://schemas.openxmlformats.org/officeDocument/2006/relationships/oleObject" Target="embeddings/oleObject20.bin"/><Relationship Id="rId262" Type="http://schemas.openxmlformats.org/officeDocument/2006/relationships/oleObject" Target="embeddings/oleObject144.bin"/><Relationship Id="rId318" Type="http://schemas.openxmlformats.org/officeDocument/2006/relationships/oleObject" Target="embeddings/oleObject178.bin"/><Relationship Id="rId525" Type="http://schemas.openxmlformats.org/officeDocument/2006/relationships/oleObject" Target="embeddings/oleObject301.bin"/><Relationship Id="rId567" Type="http://schemas.openxmlformats.org/officeDocument/2006/relationships/oleObject" Target="embeddings/oleObject325.bin"/><Relationship Id="rId732" Type="http://schemas.openxmlformats.org/officeDocument/2006/relationships/image" Target="media/image304.wmf"/><Relationship Id="rId99" Type="http://schemas.openxmlformats.org/officeDocument/2006/relationships/oleObject" Target="embeddings/oleObject41.bin"/><Relationship Id="rId122" Type="http://schemas.openxmlformats.org/officeDocument/2006/relationships/image" Target="media/image58.wmf"/><Relationship Id="rId164" Type="http://schemas.openxmlformats.org/officeDocument/2006/relationships/oleObject" Target="embeddings/oleObject77.bin"/><Relationship Id="rId371" Type="http://schemas.openxmlformats.org/officeDocument/2006/relationships/image" Target="media/image148.png"/><Relationship Id="rId774" Type="http://schemas.openxmlformats.org/officeDocument/2006/relationships/image" Target="media/image324.wmf"/><Relationship Id="rId427" Type="http://schemas.openxmlformats.org/officeDocument/2006/relationships/image" Target="media/image170.wmf"/><Relationship Id="rId469" Type="http://schemas.openxmlformats.org/officeDocument/2006/relationships/image" Target="media/image188.wmf"/><Relationship Id="rId634" Type="http://schemas.openxmlformats.org/officeDocument/2006/relationships/oleObject" Target="embeddings/oleObject359.bin"/><Relationship Id="rId676" Type="http://schemas.openxmlformats.org/officeDocument/2006/relationships/image" Target="media/image279.wmf"/><Relationship Id="rId841" Type="http://schemas.openxmlformats.org/officeDocument/2006/relationships/oleObject" Target="embeddings/oleObject473.bin"/><Relationship Id="rId26" Type="http://schemas.openxmlformats.org/officeDocument/2006/relationships/oleObject" Target="embeddings/oleObject5.bin"/><Relationship Id="rId231" Type="http://schemas.openxmlformats.org/officeDocument/2006/relationships/oleObject" Target="embeddings/oleObject125.bin"/><Relationship Id="rId273" Type="http://schemas.openxmlformats.org/officeDocument/2006/relationships/image" Target="media/image110.wmf"/><Relationship Id="rId329" Type="http://schemas.openxmlformats.org/officeDocument/2006/relationships/image" Target="media/image132.wmf"/><Relationship Id="rId480" Type="http://schemas.openxmlformats.org/officeDocument/2006/relationships/oleObject" Target="embeddings/oleObject277.bin"/><Relationship Id="rId536" Type="http://schemas.openxmlformats.org/officeDocument/2006/relationships/oleObject" Target="embeddings/oleObject309.bin"/><Relationship Id="rId701" Type="http://schemas.openxmlformats.org/officeDocument/2006/relationships/image" Target="media/image291.wmf"/><Relationship Id="rId68" Type="http://schemas.openxmlformats.org/officeDocument/2006/relationships/image" Target="media/image31.wmf"/><Relationship Id="rId133" Type="http://schemas.openxmlformats.org/officeDocument/2006/relationships/oleObject" Target="embeddings/oleObject58.bin"/><Relationship Id="rId175" Type="http://schemas.openxmlformats.org/officeDocument/2006/relationships/oleObject" Target="embeddings/oleObject87.bin"/><Relationship Id="rId340" Type="http://schemas.openxmlformats.org/officeDocument/2006/relationships/image" Target="media/image135.wmf"/><Relationship Id="rId578" Type="http://schemas.openxmlformats.org/officeDocument/2006/relationships/image" Target="media/image238.wmf"/><Relationship Id="rId743" Type="http://schemas.openxmlformats.org/officeDocument/2006/relationships/oleObject" Target="embeddings/oleObject424.bin"/><Relationship Id="rId785" Type="http://schemas.openxmlformats.org/officeDocument/2006/relationships/image" Target="media/image330.wmf"/><Relationship Id="rId200" Type="http://schemas.openxmlformats.org/officeDocument/2006/relationships/image" Target="media/image82.wmf"/><Relationship Id="rId382" Type="http://schemas.openxmlformats.org/officeDocument/2006/relationships/oleObject" Target="embeddings/oleObject222.bin"/><Relationship Id="rId438" Type="http://schemas.openxmlformats.org/officeDocument/2006/relationships/image" Target="media/image175.wmf"/><Relationship Id="rId603" Type="http://schemas.openxmlformats.org/officeDocument/2006/relationships/oleObject" Target="embeddings/oleObject343.bin"/><Relationship Id="rId645" Type="http://schemas.openxmlformats.org/officeDocument/2006/relationships/oleObject" Target="embeddings/oleObject365.bin"/><Relationship Id="rId687" Type="http://schemas.openxmlformats.org/officeDocument/2006/relationships/oleObject" Target="embeddings/oleObject393.bin"/><Relationship Id="rId810" Type="http://schemas.openxmlformats.org/officeDocument/2006/relationships/hyperlink" Target="https://www.ihacpa.gov.au/sites/default/files/2024-04/appendix_3_-_chapter_21_codes.pdf" TargetMode="External"/><Relationship Id="rId242" Type="http://schemas.openxmlformats.org/officeDocument/2006/relationships/oleObject" Target="embeddings/oleObject131.bin"/><Relationship Id="rId284" Type="http://schemas.openxmlformats.org/officeDocument/2006/relationships/oleObject" Target="embeddings/oleObject158.bin"/><Relationship Id="rId491" Type="http://schemas.openxmlformats.org/officeDocument/2006/relationships/image" Target="media/image199.wmf"/><Relationship Id="rId505" Type="http://schemas.openxmlformats.org/officeDocument/2006/relationships/image" Target="media/image206.wmf"/><Relationship Id="rId712" Type="http://schemas.openxmlformats.org/officeDocument/2006/relationships/image" Target="media/image297.wmf"/><Relationship Id="rId37" Type="http://schemas.openxmlformats.org/officeDocument/2006/relationships/image" Target="media/image15.wmf"/><Relationship Id="rId79" Type="http://schemas.openxmlformats.org/officeDocument/2006/relationships/oleObject" Target="embeddings/oleObject31.bin"/><Relationship Id="rId102" Type="http://schemas.openxmlformats.org/officeDocument/2006/relationships/image" Target="media/image48.wmf"/><Relationship Id="rId144" Type="http://schemas.openxmlformats.org/officeDocument/2006/relationships/image" Target="media/image69.wmf"/><Relationship Id="rId547" Type="http://schemas.openxmlformats.org/officeDocument/2006/relationships/oleObject" Target="embeddings/oleObject315.bin"/><Relationship Id="rId589" Type="http://schemas.openxmlformats.org/officeDocument/2006/relationships/oleObject" Target="embeddings/oleObject336.bin"/><Relationship Id="rId754" Type="http://schemas.openxmlformats.org/officeDocument/2006/relationships/oleObject" Target="embeddings/oleObject430.bin"/><Relationship Id="rId796" Type="http://schemas.openxmlformats.org/officeDocument/2006/relationships/image" Target="media/image340.emf"/><Relationship Id="rId90" Type="http://schemas.openxmlformats.org/officeDocument/2006/relationships/image" Target="media/image42.wmf"/><Relationship Id="rId186" Type="http://schemas.openxmlformats.org/officeDocument/2006/relationships/oleObject" Target="embeddings/oleObject96.bin"/><Relationship Id="rId351" Type="http://schemas.openxmlformats.org/officeDocument/2006/relationships/oleObject" Target="embeddings/oleObject200.bin"/><Relationship Id="rId393" Type="http://schemas.openxmlformats.org/officeDocument/2006/relationships/oleObject" Target="embeddings/oleObject229.bin"/><Relationship Id="rId407" Type="http://schemas.openxmlformats.org/officeDocument/2006/relationships/image" Target="media/image160.wmf"/><Relationship Id="rId449" Type="http://schemas.openxmlformats.org/officeDocument/2006/relationships/oleObject" Target="embeddings/oleObject261.bin"/><Relationship Id="rId614" Type="http://schemas.openxmlformats.org/officeDocument/2006/relationships/oleObject" Target="embeddings/oleObject349.bin"/><Relationship Id="rId656" Type="http://schemas.openxmlformats.org/officeDocument/2006/relationships/oleObject" Target="embeddings/oleObject375.bin"/><Relationship Id="rId821" Type="http://schemas.openxmlformats.org/officeDocument/2006/relationships/oleObject" Target="embeddings/oleObject453.bin"/><Relationship Id="rId211" Type="http://schemas.openxmlformats.org/officeDocument/2006/relationships/oleObject" Target="embeddings/oleObject112.bin"/><Relationship Id="rId253" Type="http://schemas.openxmlformats.org/officeDocument/2006/relationships/image" Target="media/image103.wmf"/><Relationship Id="rId295" Type="http://schemas.openxmlformats.org/officeDocument/2006/relationships/image" Target="media/image118.wmf"/><Relationship Id="rId309" Type="http://schemas.openxmlformats.org/officeDocument/2006/relationships/image" Target="media/image126.wmf"/><Relationship Id="rId460" Type="http://schemas.openxmlformats.org/officeDocument/2006/relationships/oleObject" Target="embeddings/oleObject267.bin"/><Relationship Id="rId516" Type="http://schemas.openxmlformats.org/officeDocument/2006/relationships/oleObject" Target="embeddings/oleObject296.bin"/><Relationship Id="rId698" Type="http://schemas.openxmlformats.org/officeDocument/2006/relationships/oleObject" Target="embeddings/oleObject399.bin"/><Relationship Id="rId48" Type="http://schemas.openxmlformats.org/officeDocument/2006/relationships/oleObject" Target="embeddings/oleObject16.bin"/><Relationship Id="rId113" Type="http://schemas.openxmlformats.org/officeDocument/2006/relationships/oleObject" Target="embeddings/oleObject48.bin"/><Relationship Id="rId320" Type="http://schemas.openxmlformats.org/officeDocument/2006/relationships/image" Target="media/image129.wmf"/><Relationship Id="rId558" Type="http://schemas.openxmlformats.org/officeDocument/2006/relationships/image" Target="media/image228.wmf"/><Relationship Id="rId723" Type="http://schemas.openxmlformats.org/officeDocument/2006/relationships/oleObject" Target="embeddings/oleObject413.bin"/><Relationship Id="rId765" Type="http://schemas.openxmlformats.org/officeDocument/2006/relationships/image" Target="media/image320.wmf"/><Relationship Id="rId155" Type="http://schemas.openxmlformats.org/officeDocument/2006/relationships/oleObject" Target="embeddings/oleObject71.bin"/><Relationship Id="rId197" Type="http://schemas.openxmlformats.org/officeDocument/2006/relationships/oleObject" Target="embeddings/oleObject105.bin"/><Relationship Id="rId362" Type="http://schemas.openxmlformats.org/officeDocument/2006/relationships/oleObject" Target="embeddings/oleObject207.bin"/><Relationship Id="rId418" Type="http://schemas.openxmlformats.org/officeDocument/2006/relationships/oleObject" Target="embeddings/oleObject243.bin"/><Relationship Id="rId625" Type="http://schemas.openxmlformats.org/officeDocument/2006/relationships/image" Target="media/image261.wmf"/><Relationship Id="rId832" Type="http://schemas.openxmlformats.org/officeDocument/2006/relationships/oleObject" Target="embeddings/oleObject464.bin"/><Relationship Id="rId222" Type="http://schemas.openxmlformats.org/officeDocument/2006/relationships/image" Target="media/image93.wmf"/><Relationship Id="rId264" Type="http://schemas.openxmlformats.org/officeDocument/2006/relationships/oleObject" Target="embeddings/oleObject145.bin"/><Relationship Id="rId471" Type="http://schemas.openxmlformats.org/officeDocument/2006/relationships/image" Target="media/image189.wmf"/><Relationship Id="rId667" Type="http://schemas.openxmlformats.org/officeDocument/2006/relationships/oleObject" Target="embeddings/oleObject383.bin"/><Relationship Id="rId17" Type="http://schemas.openxmlformats.org/officeDocument/2006/relationships/image" Target="media/image5.wmf"/><Relationship Id="rId59" Type="http://schemas.openxmlformats.org/officeDocument/2006/relationships/oleObject" Target="embeddings/oleObject21.bin"/><Relationship Id="rId124" Type="http://schemas.openxmlformats.org/officeDocument/2006/relationships/image" Target="media/image59.wmf"/><Relationship Id="rId527" Type="http://schemas.openxmlformats.org/officeDocument/2006/relationships/oleObject" Target="embeddings/oleObject302.bin"/><Relationship Id="rId569" Type="http://schemas.openxmlformats.org/officeDocument/2006/relationships/oleObject" Target="embeddings/oleObject326.bin"/><Relationship Id="rId734" Type="http://schemas.openxmlformats.org/officeDocument/2006/relationships/image" Target="media/image305.wmf"/><Relationship Id="rId776" Type="http://schemas.openxmlformats.org/officeDocument/2006/relationships/image" Target="media/image325.wmf"/><Relationship Id="rId70" Type="http://schemas.openxmlformats.org/officeDocument/2006/relationships/image" Target="media/image32.wmf"/><Relationship Id="rId166" Type="http://schemas.openxmlformats.org/officeDocument/2006/relationships/oleObject" Target="embeddings/oleObject78.bin"/><Relationship Id="rId331" Type="http://schemas.openxmlformats.org/officeDocument/2006/relationships/oleObject" Target="embeddings/oleObject187.bin"/><Relationship Id="rId373" Type="http://schemas.openxmlformats.org/officeDocument/2006/relationships/image" Target="media/image149.wmf"/><Relationship Id="rId429" Type="http://schemas.openxmlformats.org/officeDocument/2006/relationships/image" Target="media/image171.wmf"/><Relationship Id="rId580" Type="http://schemas.openxmlformats.org/officeDocument/2006/relationships/image" Target="media/image239.wmf"/><Relationship Id="rId636" Type="http://schemas.openxmlformats.org/officeDocument/2006/relationships/oleObject" Target="embeddings/oleObject360.bin"/><Relationship Id="rId801" Type="http://schemas.openxmlformats.org/officeDocument/2006/relationships/image" Target="media/image345.emf"/><Relationship Id="rId1" Type="http://schemas.openxmlformats.org/officeDocument/2006/relationships/customXml" Target="../customXml/item1.xml"/><Relationship Id="rId233" Type="http://schemas.openxmlformats.org/officeDocument/2006/relationships/oleObject" Target="embeddings/oleObject127.bin"/><Relationship Id="rId440" Type="http://schemas.openxmlformats.org/officeDocument/2006/relationships/image" Target="media/image176.wmf"/><Relationship Id="rId678" Type="http://schemas.openxmlformats.org/officeDocument/2006/relationships/image" Target="media/image280.wmf"/><Relationship Id="rId843" Type="http://schemas.openxmlformats.org/officeDocument/2006/relationships/header" Target="header6.xml"/><Relationship Id="rId28" Type="http://schemas.openxmlformats.org/officeDocument/2006/relationships/oleObject" Target="embeddings/oleObject6.bin"/><Relationship Id="rId275" Type="http://schemas.openxmlformats.org/officeDocument/2006/relationships/image" Target="media/image111.wmf"/><Relationship Id="rId300" Type="http://schemas.openxmlformats.org/officeDocument/2006/relationships/image" Target="media/image121.wmf"/><Relationship Id="rId482" Type="http://schemas.openxmlformats.org/officeDocument/2006/relationships/oleObject" Target="embeddings/oleObject278.bin"/><Relationship Id="rId538" Type="http://schemas.openxmlformats.org/officeDocument/2006/relationships/image" Target="media/image218.wmf"/><Relationship Id="rId703" Type="http://schemas.openxmlformats.org/officeDocument/2006/relationships/image" Target="media/image292.wmf"/><Relationship Id="rId745" Type="http://schemas.openxmlformats.org/officeDocument/2006/relationships/oleObject" Target="embeddings/oleObject425.bin"/><Relationship Id="rId81" Type="http://schemas.openxmlformats.org/officeDocument/2006/relationships/oleObject" Target="embeddings/oleObject32.bin"/><Relationship Id="rId135" Type="http://schemas.openxmlformats.org/officeDocument/2006/relationships/oleObject" Target="embeddings/oleObject59.bin"/><Relationship Id="rId177" Type="http://schemas.openxmlformats.org/officeDocument/2006/relationships/oleObject" Target="embeddings/oleObject89.bin"/><Relationship Id="rId342" Type="http://schemas.openxmlformats.org/officeDocument/2006/relationships/image" Target="media/image136.wmf"/><Relationship Id="rId384" Type="http://schemas.openxmlformats.org/officeDocument/2006/relationships/oleObject" Target="embeddings/oleObject223.bin"/><Relationship Id="rId591" Type="http://schemas.openxmlformats.org/officeDocument/2006/relationships/oleObject" Target="embeddings/oleObject337.bin"/><Relationship Id="rId605" Type="http://schemas.openxmlformats.org/officeDocument/2006/relationships/image" Target="media/image251.wmf"/><Relationship Id="rId787" Type="http://schemas.openxmlformats.org/officeDocument/2006/relationships/image" Target="media/image331.wmf"/><Relationship Id="rId812" Type="http://schemas.openxmlformats.org/officeDocument/2006/relationships/hyperlink" Target="https://www.ihacpa.gov.au/sites/default/files/2024-04/appendix_5_-_sequelae_codes.pdf" TargetMode="External"/><Relationship Id="rId202" Type="http://schemas.openxmlformats.org/officeDocument/2006/relationships/image" Target="media/image83.wmf"/><Relationship Id="rId244" Type="http://schemas.openxmlformats.org/officeDocument/2006/relationships/oleObject" Target="embeddings/oleObject132.bin"/><Relationship Id="rId647" Type="http://schemas.openxmlformats.org/officeDocument/2006/relationships/oleObject" Target="embeddings/oleObject367.bin"/><Relationship Id="rId689" Type="http://schemas.openxmlformats.org/officeDocument/2006/relationships/image" Target="media/image285.wmf"/><Relationship Id="rId39" Type="http://schemas.openxmlformats.org/officeDocument/2006/relationships/image" Target="media/image16.wmf"/><Relationship Id="rId286" Type="http://schemas.openxmlformats.org/officeDocument/2006/relationships/oleObject" Target="embeddings/oleObject160.bin"/><Relationship Id="rId451" Type="http://schemas.openxmlformats.org/officeDocument/2006/relationships/image" Target="media/image179.wmf"/><Relationship Id="rId493" Type="http://schemas.openxmlformats.org/officeDocument/2006/relationships/image" Target="media/image200.wmf"/><Relationship Id="rId507" Type="http://schemas.openxmlformats.org/officeDocument/2006/relationships/image" Target="media/image207.wmf"/><Relationship Id="rId549" Type="http://schemas.openxmlformats.org/officeDocument/2006/relationships/oleObject" Target="embeddings/oleObject316.bin"/><Relationship Id="rId714" Type="http://schemas.openxmlformats.org/officeDocument/2006/relationships/oleObject" Target="embeddings/oleObject407.bin"/><Relationship Id="rId756" Type="http://schemas.openxmlformats.org/officeDocument/2006/relationships/oleObject" Target="embeddings/oleObject431.bin"/><Relationship Id="rId50" Type="http://schemas.openxmlformats.org/officeDocument/2006/relationships/oleObject" Target="embeddings/oleObject17.bin"/><Relationship Id="rId104" Type="http://schemas.openxmlformats.org/officeDocument/2006/relationships/image" Target="media/image49.wmf"/><Relationship Id="rId146" Type="http://schemas.openxmlformats.org/officeDocument/2006/relationships/image" Target="media/image70.wmf"/><Relationship Id="rId188" Type="http://schemas.openxmlformats.org/officeDocument/2006/relationships/oleObject" Target="embeddings/oleObject98.bin"/><Relationship Id="rId311" Type="http://schemas.openxmlformats.org/officeDocument/2006/relationships/oleObject" Target="embeddings/oleObject173.bin"/><Relationship Id="rId353" Type="http://schemas.openxmlformats.org/officeDocument/2006/relationships/oleObject" Target="embeddings/oleObject201.bin"/><Relationship Id="rId395" Type="http://schemas.openxmlformats.org/officeDocument/2006/relationships/image" Target="media/image155.wmf"/><Relationship Id="rId409" Type="http://schemas.openxmlformats.org/officeDocument/2006/relationships/image" Target="media/image161.wmf"/><Relationship Id="rId560" Type="http://schemas.openxmlformats.org/officeDocument/2006/relationships/image" Target="media/image229.wmf"/><Relationship Id="rId798" Type="http://schemas.openxmlformats.org/officeDocument/2006/relationships/image" Target="media/image342.emf"/><Relationship Id="rId92" Type="http://schemas.openxmlformats.org/officeDocument/2006/relationships/image" Target="media/image43.wmf"/><Relationship Id="rId213" Type="http://schemas.openxmlformats.org/officeDocument/2006/relationships/oleObject" Target="embeddings/oleObject113.bin"/><Relationship Id="rId420" Type="http://schemas.openxmlformats.org/officeDocument/2006/relationships/oleObject" Target="embeddings/oleObject244.bin"/><Relationship Id="rId616" Type="http://schemas.openxmlformats.org/officeDocument/2006/relationships/oleObject" Target="embeddings/oleObject350.bin"/><Relationship Id="rId658" Type="http://schemas.openxmlformats.org/officeDocument/2006/relationships/oleObject" Target="embeddings/oleObject377.bin"/><Relationship Id="rId823" Type="http://schemas.openxmlformats.org/officeDocument/2006/relationships/oleObject" Target="embeddings/oleObject455.bin"/><Relationship Id="rId255" Type="http://schemas.openxmlformats.org/officeDocument/2006/relationships/image" Target="media/image104.wmf"/><Relationship Id="rId297" Type="http://schemas.openxmlformats.org/officeDocument/2006/relationships/image" Target="media/image119.wmf"/><Relationship Id="rId462" Type="http://schemas.openxmlformats.org/officeDocument/2006/relationships/oleObject" Target="embeddings/oleObject268.bin"/><Relationship Id="rId518" Type="http://schemas.openxmlformats.org/officeDocument/2006/relationships/oleObject" Target="embeddings/oleObject297.bin"/><Relationship Id="rId725" Type="http://schemas.openxmlformats.org/officeDocument/2006/relationships/oleObject" Target="embeddings/oleObject415.bin"/><Relationship Id="rId115" Type="http://schemas.openxmlformats.org/officeDocument/2006/relationships/oleObject" Target="embeddings/oleObject49.bin"/><Relationship Id="rId157" Type="http://schemas.openxmlformats.org/officeDocument/2006/relationships/oleObject" Target="embeddings/oleObject72.bin"/><Relationship Id="rId322" Type="http://schemas.openxmlformats.org/officeDocument/2006/relationships/oleObject" Target="embeddings/oleObject181.bin"/><Relationship Id="rId364" Type="http://schemas.openxmlformats.org/officeDocument/2006/relationships/oleObject" Target="embeddings/oleObject208.bin"/><Relationship Id="rId767" Type="http://schemas.openxmlformats.org/officeDocument/2006/relationships/image" Target="media/image321.wmf"/><Relationship Id="rId61" Type="http://schemas.openxmlformats.org/officeDocument/2006/relationships/oleObject" Target="embeddings/oleObject22.bin"/><Relationship Id="rId199" Type="http://schemas.openxmlformats.org/officeDocument/2006/relationships/oleObject" Target="embeddings/oleObject106.bin"/><Relationship Id="rId571" Type="http://schemas.openxmlformats.org/officeDocument/2006/relationships/oleObject" Target="embeddings/oleObject327.bin"/><Relationship Id="rId627" Type="http://schemas.openxmlformats.org/officeDocument/2006/relationships/image" Target="media/image262.wmf"/><Relationship Id="rId669" Type="http://schemas.openxmlformats.org/officeDocument/2006/relationships/oleObject" Target="embeddings/oleObject384.bin"/><Relationship Id="rId834" Type="http://schemas.openxmlformats.org/officeDocument/2006/relationships/oleObject" Target="embeddings/oleObject466.bin"/><Relationship Id="rId19" Type="http://schemas.openxmlformats.org/officeDocument/2006/relationships/image" Target="media/image6.wmf"/><Relationship Id="rId224" Type="http://schemas.openxmlformats.org/officeDocument/2006/relationships/oleObject" Target="embeddings/oleObject119.bin"/><Relationship Id="rId266" Type="http://schemas.openxmlformats.org/officeDocument/2006/relationships/oleObject" Target="embeddings/oleObject147.bin"/><Relationship Id="rId431" Type="http://schemas.openxmlformats.org/officeDocument/2006/relationships/image" Target="media/image172.wmf"/><Relationship Id="rId473" Type="http://schemas.openxmlformats.org/officeDocument/2006/relationships/image" Target="media/image190.wmf"/><Relationship Id="rId529" Type="http://schemas.openxmlformats.org/officeDocument/2006/relationships/image" Target="media/image216.wmf"/><Relationship Id="rId680" Type="http://schemas.openxmlformats.org/officeDocument/2006/relationships/image" Target="media/image281.wmf"/><Relationship Id="rId736" Type="http://schemas.openxmlformats.org/officeDocument/2006/relationships/image" Target="media/image306.wmf"/><Relationship Id="rId30" Type="http://schemas.openxmlformats.org/officeDocument/2006/relationships/oleObject" Target="embeddings/oleObject7.bin"/><Relationship Id="rId126" Type="http://schemas.openxmlformats.org/officeDocument/2006/relationships/oleObject" Target="embeddings/oleObject55.bin"/><Relationship Id="rId168" Type="http://schemas.openxmlformats.org/officeDocument/2006/relationships/oleObject" Target="embeddings/oleObject80.bin"/><Relationship Id="rId333" Type="http://schemas.openxmlformats.org/officeDocument/2006/relationships/oleObject" Target="embeddings/oleObject189.bin"/><Relationship Id="rId540" Type="http://schemas.openxmlformats.org/officeDocument/2006/relationships/image" Target="media/image219.wmf"/><Relationship Id="rId778" Type="http://schemas.openxmlformats.org/officeDocument/2006/relationships/oleObject" Target="embeddings/oleObject443.bin"/><Relationship Id="rId72" Type="http://schemas.openxmlformats.org/officeDocument/2006/relationships/image" Target="media/image33.wmf"/><Relationship Id="rId375" Type="http://schemas.openxmlformats.org/officeDocument/2006/relationships/oleObject" Target="embeddings/oleObject216.bin"/><Relationship Id="rId582" Type="http://schemas.openxmlformats.org/officeDocument/2006/relationships/image" Target="media/image240.wmf"/><Relationship Id="rId638" Type="http://schemas.openxmlformats.org/officeDocument/2006/relationships/oleObject" Target="embeddings/oleObject361.bin"/><Relationship Id="rId803" Type="http://schemas.openxmlformats.org/officeDocument/2006/relationships/image" Target="media/image347.emf"/><Relationship Id="rId845" Type="http://schemas.openxmlformats.org/officeDocument/2006/relationships/footer" Target="footer5.xml"/><Relationship Id="rId3" Type="http://schemas.openxmlformats.org/officeDocument/2006/relationships/styles" Target="styles.xml"/><Relationship Id="rId235" Type="http://schemas.openxmlformats.org/officeDocument/2006/relationships/oleObject" Target="embeddings/oleObject128.bin"/><Relationship Id="rId277" Type="http://schemas.openxmlformats.org/officeDocument/2006/relationships/image" Target="media/image112.wmf"/><Relationship Id="rId400" Type="http://schemas.openxmlformats.org/officeDocument/2006/relationships/oleObject" Target="embeddings/oleObject234.bin"/><Relationship Id="rId442" Type="http://schemas.openxmlformats.org/officeDocument/2006/relationships/oleObject" Target="embeddings/oleObject256.bin"/><Relationship Id="rId484" Type="http://schemas.openxmlformats.org/officeDocument/2006/relationships/oleObject" Target="embeddings/oleObject279.bin"/><Relationship Id="rId705" Type="http://schemas.openxmlformats.org/officeDocument/2006/relationships/image" Target="media/image293.wmf"/><Relationship Id="rId137" Type="http://schemas.openxmlformats.org/officeDocument/2006/relationships/oleObject" Target="embeddings/oleObject60.bin"/><Relationship Id="rId302" Type="http://schemas.openxmlformats.org/officeDocument/2006/relationships/image" Target="media/image122.wmf"/><Relationship Id="rId344" Type="http://schemas.openxmlformats.org/officeDocument/2006/relationships/image" Target="media/image137.wmf"/><Relationship Id="rId691" Type="http://schemas.openxmlformats.org/officeDocument/2006/relationships/image" Target="media/image286.wmf"/><Relationship Id="rId747" Type="http://schemas.openxmlformats.org/officeDocument/2006/relationships/oleObject" Target="embeddings/oleObject426.bin"/><Relationship Id="rId789" Type="http://schemas.openxmlformats.org/officeDocument/2006/relationships/image" Target="media/image332.emf"/><Relationship Id="rId41" Type="http://schemas.openxmlformats.org/officeDocument/2006/relationships/image" Target="media/image17.wmf"/><Relationship Id="rId83" Type="http://schemas.openxmlformats.org/officeDocument/2006/relationships/oleObject" Target="embeddings/oleObject33.bin"/><Relationship Id="rId179" Type="http://schemas.openxmlformats.org/officeDocument/2006/relationships/oleObject" Target="embeddings/oleObject91.bin"/><Relationship Id="rId386" Type="http://schemas.openxmlformats.org/officeDocument/2006/relationships/oleObject" Target="embeddings/oleObject224.bin"/><Relationship Id="rId551" Type="http://schemas.openxmlformats.org/officeDocument/2006/relationships/oleObject" Target="embeddings/oleObject317.bin"/><Relationship Id="rId593" Type="http://schemas.openxmlformats.org/officeDocument/2006/relationships/oleObject" Target="embeddings/oleObject338.bin"/><Relationship Id="rId607" Type="http://schemas.openxmlformats.org/officeDocument/2006/relationships/image" Target="media/image252.wmf"/><Relationship Id="rId649" Type="http://schemas.openxmlformats.org/officeDocument/2006/relationships/oleObject" Target="embeddings/oleObject369.bin"/><Relationship Id="rId814" Type="http://schemas.openxmlformats.org/officeDocument/2006/relationships/hyperlink" Target="https://www.ihacpa.gov.au/sites/default/files/2024-04/appendix_7_-_conditional_exclusions.pdf" TargetMode="External"/><Relationship Id="rId190" Type="http://schemas.openxmlformats.org/officeDocument/2006/relationships/oleObject" Target="embeddings/oleObject100.bin"/><Relationship Id="rId204" Type="http://schemas.openxmlformats.org/officeDocument/2006/relationships/image" Target="media/image84.wmf"/><Relationship Id="rId246" Type="http://schemas.openxmlformats.org/officeDocument/2006/relationships/oleObject" Target="embeddings/oleObject134.bin"/><Relationship Id="rId288" Type="http://schemas.openxmlformats.org/officeDocument/2006/relationships/oleObject" Target="embeddings/oleObject162.bin"/><Relationship Id="rId411" Type="http://schemas.openxmlformats.org/officeDocument/2006/relationships/image" Target="media/image162.wmf"/><Relationship Id="rId453" Type="http://schemas.openxmlformats.org/officeDocument/2006/relationships/image" Target="media/image180.wmf"/><Relationship Id="rId509" Type="http://schemas.openxmlformats.org/officeDocument/2006/relationships/image" Target="media/image208.wmf"/><Relationship Id="rId660" Type="http://schemas.openxmlformats.org/officeDocument/2006/relationships/oleObject" Target="embeddings/oleObject378.bin"/><Relationship Id="rId106" Type="http://schemas.openxmlformats.org/officeDocument/2006/relationships/image" Target="media/image50.wmf"/><Relationship Id="rId313" Type="http://schemas.openxmlformats.org/officeDocument/2006/relationships/oleObject" Target="embeddings/oleObject175.bin"/><Relationship Id="rId495" Type="http://schemas.openxmlformats.org/officeDocument/2006/relationships/image" Target="media/image201.wmf"/><Relationship Id="rId716" Type="http://schemas.openxmlformats.org/officeDocument/2006/relationships/image" Target="media/image298.wmf"/><Relationship Id="rId758" Type="http://schemas.openxmlformats.org/officeDocument/2006/relationships/oleObject" Target="embeddings/oleObject432.bin"/><Relationship Id="rId10" Type="http://schemas.openxmlformats.org/officeDocument/2006/relationships/header" Target="header3.xml"/><Relationship Id="rId52" Type="http://schemas.openxmlformats.org/officeDocument/2006/relationships/image" Target="media/image23.wmf"/><Relationship Id="rId94" Type="http://schemas.openxmlformats.org/officeDocument/2006/relationships/image" Target="media/image44.wmf"/><Relationship Id="rId148" Type="http://schemas.openxmlformats.org/officeDocument/2006/relationships/oleObject" Target="embeddings/oleObject66.bin"/><Relationship Id="rId355" Type="http://schemas.openxmlformats.org/officeDocument/2006/relationships/image" Target="media/image143.wmf"/><Relationship Id="rId397" Type="http://schemas.openxmlformats.org/officeDocument/2006/relationships/oleObject" Target="embeddings/oleObject232.bin"/><Relationship Id="rId520" Type="http://schemas.openxmlformats.org/officeDocument/2006/relationships/oleObject" Target="embeddings/oleObject298.bin"/><Relationship Id="rId562" Type="http://schemas.openxmlformats.org/officeDocument/2006/relationships/image" Target="media/image230.wmf"/><Relationship Id="rId618" Type="http://schemas.openxmlformats.org/officeDocument/2006/relationships/oleObject" Target="embeddings/oleObject351.bin"/><Relationship Id="rId825" Type="http://schemas.openxmlformats.org/officeDocument/2006/relationships/oleObject" Target="embeddings/oleObject457.bin"/><Relationship Id="rId215" Type="http://schemas.openxmlformats.org/officeDocument/2006/relationships/oleObject" Target="embeddings/oleObject114.bin"/><Relationship Id="rId257" Type="http://schemas.openxmlformats.org/officeDocument/2006/relationships/image" Target="media/image105.wmf"/><Relationship Id="rId422" Type="http://schemas.openxmlformats.org/officeDocument/2006/relationships/oleObject" Target="embeddings/oleObject245.bin"/><Relationship Id="rId464" Type="http://schemas.openxmlformats.org/officeDocument/2006/relationships/oleObject" Target="embeddings/oleObject269.bin"/><Relationship Id="rId299" Type="http://schemas.openxmlformats.org/officeDocument/2006/relationships/image" Target="media/image120.emf"/><Relationship Id="rId727" Type="http://schemas.openxmlformats.org/officeDocument/2006/relationships/oleObject" Target="embeddings/oleObject416.bin"/><Relationship Id="rId63" Type="http://schemas.openxmlformats.org/officeDocument/2006/relationships/oleObject" Target="embeddings/oleObject23.bin"/><Relationship Id="rId159" Type="http://schemas.openxmlformats.org/officeDocument/2006/relationships/oleObject" Target="embeddings/oleObject73.bin"/><Relationship Id="rId366" Type="http://schemas.openxmlformats.org/officeDocument/2006/relationships/oleObject" Target="embeddings/oleObject210.bin"/><Relationship Id="rId573" Type="http://schemas.openxmlformats.org/officeDocument/2006/relationships/oleObject" Target="embeddings/oleObject328.bin"/><Relationship Id="rId780" Type="http://schemas.openxmlformats.org/officeDocument/2006/relationships/image" Target="media/image327.emf"/><Relationship Id="rId226" Type="http://schemas.openxmlformats.org/officeDocument/2006/relationships/oleObject" Target="embeddings/oleObject121.bin"/><Relationship Id="rId433" Type="http://schemas.openxmlformats.org/officeDocument/2006/relationships/image" Target="media/image173.wmf"/><Relationship Id="rId640" Type="http://schemas.openxmlformats.org/officeDocument/2006/relationships/oleObject" Target="embeddings/oleObject362.bin"/><Relationship Id="rId738" Type="http://schemas.openxmlformats.org/officeDocument/2006/relationships/image" Target="media/image307.wmf"/><Relationship Id="rId74" Type="http://schemas.openxmlformats.org/officeDocument/2006/relationships/image" Target="media/image34.wmf"/><Relationship Id="rId377" Type="http://schemas.openxmlformats.org/officeDocument/2006/relationships/oleObject" Target="embeddings/oleObject218.bin"/><Relationship Id="rId500" Type="http://schemas.openxmlformats.org/officeDocument/2006/relationships/oleObject" Target="embeddings/oleObject287.bin"/><Relationship Id="rId584" Type="http://schemas.openxmlformats.org/officeDocument/2006/relationships/image" Target="media/image241.wmf"/><Relationship Id="rId805" Type="http://schemas.openxmlformats.org/officeDocument/2006/relationships/hyperlink" Target="http://www.cms.gov/Medicare/Medicare-Fee-for-Service-Payment/HospitalAcq%20Cond/Hospital-Acquired_Conditions.html" TargetMode="External"/><Relationship Id="rId5" Type="http://schemas.openxmlformats.org/officeDocument/2006/relationships/webSettings" Target="webSettings.xml"/><Relationship Id="rId237" Type="http://schemas.openxmlformats.org/officeDocument/2006/relationships/oleObject" Target="embeddings/oleObject129.bin"/><Relationship Id="rId791" Type="http://schemas.openxmlformats.org/officeDocument/2006/relationships/image" Target="media/image334.emf"/><Relationship Id="rId444" Type="http://schemas.openxmlformats.org/officeDocument/2006/relationships/oleObject" Target="embeddings/oleObject258.bin"/><Relationship Id="rId651" Type="http://schemas.openxmlformats.org/officeDocument/2006/relationships/oleObject" Target="embeddings/oleObject371.bin"/><Relationship Id="rId749" Type="http://schemas.openxmlformats.org/officeDocument/2006/relationships/oleObject" Target="embeddings/oleObject427.bin"/><Relationship Id="rId290" Type="http://schemas.openxmlformats.org/officeDocument/2006/relationships/image" Target="media/image115.wmf"/><Relationship Id="rId304" Type="http://schemas.openxmlformats.org/officeDocument/2006/relationships/image" Target="media/image123.wmf"/><Relationship Id="rId388" Type="http://schemas.openxmlformats.org/officeDocument/2006/relationships/oleObject" Target="embeddings/oleObject225.bin"/><Relationship Id="rId511" Type="http://schemas.openxmlformats.org/officeDocument/2006/relationships/image" Target="media/image209.wmf"/><Relationship Id="rId609" Type="http://schemas.openxmlformats.org/officeDocument/2006/relationships/image" Target="media/image253.wmf"/><Relationship Id="rId85" Type="http://schemas.openxmlformats.org/officeDocument/2006/relationships/oleObject" Target="embeddings/oleObject34.bin"/><Relationship Id="rId150" Type="http://schemas.openxmlformats.org/officeDocument/2006/relationships/oleObject" Target="embeddings/oleObject67.bin"/><Relationship Id="rId595" Type="http://schemas.openxmlformats.org/officeDocument/2006/relationships/oleObject" Target="embeddings/oleObject339.bin"/><Relationship Id="rId816" Type="http://schemas.openxmlformats.org/officeDocument/2006/relationships/oleObject" Target="embeddings/oleObject448.bin"/><Relationship Id="rId248" Type="http://schemas.openxmlformats.org/officeDocument/2006/relationships/oleObject" Target="embeddings/oleObject135.bin"/><Relationship Id="rId455" Type="http://schemas.openxmlformats.org/officeDocument/2006/relationships/image" Target="media/image181.wmf"/><Relationship Id="rId662" Type="http://schemas.openxmlformats.org/officeDocument/2006/relationships/oleObject" Target="embeddings/oleObject379.bin"/><Relationship Id="rId12" Type="http://schemas.openxmlformats.org/officeDocument/2006/relationships/header" Target="header4.xml"/><Relationship Id="rId108" Type="http://schemas.openxmlformats.org/officeDocument/2006/relationships/image" Target="media/image51.wmf"/><Relationship Id="rId315" Type="http://schemas.openxmlformats.org/officeDocument/2006/relationships/image" Target="media/image127.wmf"/><Relationship Id="rId522" Type="http://schemas.openxmlformats.org/officeDocument/2006/relationships/image" Target="media/image213.wmf"/><Relationship Id="rId96" Type="http://schemas.openxmlformats.org/officeDocument/2006/relationships/image" Target="media/image45.wmf"/><Relationship Id="rId161" Type="http://schemas.openxmlformats.org/officeDocument/2006/relationships/oleObject" Target="embeddings/oleObject74.bin"/><Relationship Id="rId399" Type="http://schemas.openxmlformats.org/officeDocument/2006/relationships/oleObject" Target="embeddings/oleObject233.bin"/><Relationship Id="rId827" Type="http://schemas.openxmlformats.org/officeDocument/2006/relationships/oleObject" Target="embeddings/oleObject459.bin"/><Relationship Id="rId259" Type="http://schemas.openxmlformats.org/officeDocument/2006/relationships/image" Target="media/image106.wmf"/><Relationship Id="rId466" Type="http://schemas.openxmlformats.org/officeDocument/2006/relationships/oleObject" Target="embeddings/oleObject270.bin"/><Relationship Id="rId673" Type="http://schemas.openxmlformats.org/officeDocument/2006/relationships/oleObject" Target="embeddings/oleObject386.bin"/><Relationship Id="rId23" Type="http://schemas.openxmlformats.org/officeDocument/2006/relationships/image" Target="media/image8.wmf"/><Relationship Id="rId119" Type="http://schemas.openxmlformats.org/officeDocument/2006/relationships/image" Target="media/image56.emf"/><Relationship Id="rId326" Type="http://schemas.openxmlformats.org/officeDocument/2006/relationships/image" Target="media/image131.wmf"/><Relationship Id="rId533" Type="http://schemas.openxmlformats.org/officeDocument/2006/relationships/image" Target="media/image217.wmf"/></Relationships>
</file>

<file path=word/_rels/footer1.xml.rels><?xml version="1.0" encoding="UTF-8" standalone="yes"?>
<Relationships xmlns="http://schemas.openxmlformats.org/package/2006/relationships"><Relationship Id="rId1" Type="http://schemas.openxmlformats.org/officeDocument/2006/relationships/image" Target="media/image3.tiff"/></Relationships>
</file>

<file path=word/_rels/footer6.xml.rels><?xml version="1.0" encoding="UTF-8" standalone="yes"?>
<Relationships xmlns="http://schemas.openxmlformats.org/package/2006/relationships"><Relationship Id="rId1" Type="http://schemas.openxmlformats.org/officeDocument/2006/relationships/image" Target="media/image3.tiff"/></Relationships>
</file>

<file path=word/_rels/footnotes.xml.rels><?xml version="1.0" encoding="UTF-8" standalone="yes"?>
<Relationships xmlns="http://schemas.openxmlformats.org/package/2006/relationships"><Relationship Id="rId3" Type="http://schemas.openxmlformats.org/officeDocument/2006/relationships/image" Target="media/image337.png"/><Relationship Id="rId2" Type="http://schemas.openxmlformats.org/officeDocument/2006/relationships/oleObject" Target="embeddings/oleObject198.bin"/><Relationship Id="rId1" Type="http://schemas.openxmlformats.org/officeDocument/2006/relationships/image" Target="media/image139.wm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3.xml.rels><?xml version="1.0" encoding="UTF-8" standalone="yes"?>
<Relationships xmlns="http://schemas.openxmlformats.org/package/2006/relationships"><Relationship Id="rId1" Type="http://schemas.openxmlformats.org/officeDocument/2006/relationships/image" Target="media/image2.tiff"/></Relationships>
</file>

<file path=word/_rels/header4.xml.rels><?xml version="1.0" encoding="UTF-8" standalone="yes"?>
<Relationships xmlns="http://schemas.openxmlformats.org/package/2006/relationships"><Relationship Id="rId1" Type="http://schemas.openxmlformats.org/officeDocument/2006/relationships/image" Target="media/image1.tiff"/></Relationships>
</file>

<file path=word/_rels/header5.xml.rels><?xml version="1.0" encoding="UTF-8" standalone="yes"?>
<Relationships xmlns="http://schemas.openxmlformats.org/package/2006/relationships"><Relationship Id="rId1" Type="http://schemas.openxmlformats.org/officeDocument/2006/relationships/image" Target="media/image1.tiff"/></Relationships>
</file>

<file path=word/_rels/header6.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A33174-E940-4113-9E25-5B1C87031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141</Pages>
  <Words>29928</Words>
  <Characters>170591</Characters>
  <Application>Microsoft Office Word</Application>
  <DocSecurity>0</DocSecurity>
  <Lines>1421</Lines>
  <Paragraphs>400</Paragraphs>
  <ScaleCrop>false</ScaleCrop>
  <HeadingPairs>
    <vt:vector size="2" baseType="variant">
      <vt:variant>
        <vt:lpstr>Title</vt:lpstr>
      </vt:variant>
      <vt:variant>
        <vt:i4>1</vt:i4>
      </vt:variant>
    </vt:vector>
  </HeadingPairs>
  <TitlesOfParts>
    <vt:vector size="1" baseType="lpstr">
      <vt:lpstr>Review of the AR-DRG Classification Case Complexity Process : Final Report 1st August 2014</vt:lpstr>
    </vt:vector>
  </TitlesOfParts>
  <Company>University of Sydney</Company>
  <LinksUpToDate>false</LinksUpToDate>
  <CharactersWithSpaces>200119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the AR-DRG Classification Case Complexity Process : Final Report 1st August 2014</dc:title>
  <dc:creator>T Yeend</dc:creator>
  <cp:lastModifiedBy>UZUN, Yusuf</cp:lastModifiedBy>
  <cp:revision>5</cp:revision>
  <cp:lastPrinted>2014-10-15T04:54:00Z</cp:lastPrinted>
  <dcterms:created xsi:type="dcterms:W3CDTF">2015-03-04T02:38:00Z</dcterms:created>
  <dcterms:modified xsi:type="dcterms:W3CDTF">2024-04-19T05:04:00Z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y fmtid="{D5CDD505-2E9C-101B-9397-08002B2CF9AE}" pid="8" name="MTWinEqns">
    <vt:bool>true</vt:bool>
  </property>
</Properties>
</file>