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5B54E" w14:textId="77777777" w:rsidR="000746F1" w:rsidRDefault="000746F1" w:rsidP="00216FDD">
      <w:pPr>
        <w:pStyle w:val="Title"/>
        <w:spacing w:after="720" w:line="254" w:lineRule="auto"/>
        <w:rPr>
          <w:b/>
          <w:bCs/>
          <w:color w:val="FFFFFF"/>
        </w:rPr>
      </w:pPr>
    </w:p>
    <w:p w14:paraId="46F7D56A" w14:textId="77777777" w:rsidR="000746F1" w:rsidRDefault="000746F1" w:rsidP="00216FDD">
      <w:pPr>
        <w:pStyle w:val="Title"/>
        <w:spacing w:after="720" w:line="254" w:lineRule="auto"/>
        <w:rPr>
          <w:b/>
          <w:bCs/>
          <w:color w:val="FFFFFF"/>
        </w:rPr>
      </w:pPr>
    </w:p>
    <w:p w14:paraId="5C3D27FD" w14:textId="77777777" w:rsidR="00152E61" w:rsidRDefault="00440729" w:rsidP="00216FDD">
      <w:pPr>
        <w:pStyle w:val="Title"/>
        <w:spacing w:after="720" w:line="254" w:lineRule="auto"/>
        <w:rPr>
          <w:b/>
          <w:bCs/>
          <w:color w:val="FFFFFF"/>
          <w:spacing w:val="233"/>
          <w:sz w:val="96"/>
          <w:szCs w:val="96"/>
        </w:rPr>
      </w:pPr>
      <w:r w:rsidRPr="000746F1">
        <w:rPr>
          <w:b/>
          <w:bCs/>
          <w:color w:val="FFFFFF"/>
          <w:sz w:val="96"/>
          <w:szCs w:val="96"/>
        </w:rPr>
        <w:t>National Hospital Cost</w:t>
      </w:r>
      <w:r w:rsidRPr="000746F1">
        <w:rPr>
          <w:b/>
          <w:bCs/>
          <w:color w:val="FFFFFF"/>
          <w:spacing w:val="1"/>
          <w:sz w:val="96"/>
          <w:szCs w:val="96"/>
        </w:rPr>
        <w:t xml:space="preserve"> </w:t>
      </w:r>
      <w:r w:rsidRPr="000746F1">
        <w:rPr>
          <w:b/>
          <w:bCs/>
          <w:color w:val="FFFFFF"/>
          <w:sz w:val="96"/>
          <w:szCs w:val="96"/>
        </w:rPr>
        <w:t>Data</w:t>
      </w:r>
      <w:r w:rsidR="004E217C" w:rsidRPr="000746F1">
        <w:rPr>
          <w:b/>
          <w:bCs/>
          <w:color w:val="FFFFFF"/>
          <w:spacing w:val="233"/>
          <w:sz w:val="96"/>
          <w:szCs w:val="96"/>
        </w:rPr>
        <w:t xml:space="preserve"> </w:t>
      </w:r>
    </w:p>
    <w:p w14:paraId="43A64889" w14:textId="3C852DDC" w:rsidR="00440729" w:rsidRPr="000746F1" w:rsidRDefault="00440729" w:rsidP="00216FDD">
      <w:pPr>
        <w:pStyle w:val="Title"/>
        <w:spacing w:after="720" w:line="254" w:lineRule="auto"/>
        <w:rPr>
          <w:b/>
          <w:bCs/>
          <w:color w:val="FFFFFF"/>
          <w:spacing w:val="1"/>
          <w:sz w:val="96"/>
          <w:szCs w:val="96"/>
        </w:rPr>
      </w:pPr>
      <w:r w:rsidRPr="000746F1">
        <w:rPr>
          <w:b/>
          <w:bCs/>
          <w:color w:val="FFFFFF"/>
          <w:sz w:val="96"/>
          <w:szCs w:val="96"/>
        </w:rPr>
        <w:t>Collection</w:t>
      </w:r>
      <w:r w:rsidR="00E87B16" w:rsidRPr="000746F1">
        <w:rPr>
          <w:b/>
          <w:bCs/>
          <w:color w:val="FFFFFF"/>
          <w:sz w:val="96"/>
          <w:szCs w:val="96"/>
        </w:rPr>
        <w:t xml:space="preserve"> </w:t>
      </w:r>
      <w:r w:rsidRPr="000746F1">
        <w:rPr>
          <w:b/>
          <w:bCs/>
          <w:color w:val="FFFFFF"/>
          <w:spacing w:val="1"/>
          <w:sz w:val="96"/>
          <w:szCs w:val="96"/>
        </w:rPr>
        <w:t xml:space="preserve"> </w:t>
      </w:r>
    </w:p>
    <w:p w14:paraId="125B4A74" w14:textId="225E84F2" w:rsidR="000746F1" w:rsidRDefault="5FC2A712" w:rsidP="00216FDD">
      <w:pPr>
        <w:pStyle w:val="Coversubtitle"/>
        <w:rPr>
          <w:b/>
          <w:bCs/>
        </w:rPr>
      </w:pPr>
      <w:r w:rsidRPr="00216FDD">
        <w:rPr>
          <w:b/>
          <w:bCs/>
        </w:rPr>
        <w:t>Private Hospital Report</w:t>
      </w:r>
      <w:r w:rsidR="00F04BCD">
        <w:rPr>
          <w:b/>
          <w:bCs/>
        </w:rPr>
        <w:t xml:space="preserve"> </w:t>
      </w:r>
      <w:r w:rsidR="00E87B16">
        <w:rPr>
          <w:b/>
          <w:bCs/>
        </w:rPr>
        <w:t>202</w:t>
      </w:r>
      <w:r w:rsidR="00B04641">
        <w:rPr>
          <w:b/>
          <w:bCs/>
        </w:rPr>
        <w:t>1</w:t>
      </w:r>
      <w:r w:rsidR="00E87B16">
        <w:rPr>
          <w:b/>
          <w:bCs/>
        </w:rPr>
        <w:t>-2</w:t>
      </w:r>
      <w:r w:rsidR="00B04641">
        <w:rPr>
          <w:b/>
          <w:bCs/>
        </w:rPr>
        <w:t>2</w:t>
      </w:r>
      <w:r w:rsidR="00E87B16">
        <w:rPr>
          <w:b/>
          <w:bCs/>
        </w:rPr>
        <w:t xml:space="preserve"> </w:t>
      </w:r>
    </w:p>
    <w:p w14:paraId="66A52CA9" w14:textId="586CCAED" w:rsidR="000746F1" w:rsidRPr="000746F1" w:rsidRDefault="000746F1" w:rsidP="000746F1">
      <w:pPr>
        <w:spacing w:line="259" w:lineRule="auto"/>
        <w:sectPr w:rsidR="000746F1" w:rsidRPr="000746F1" w:rsidSect="00522146">
          <w:headerReference w:type="default" r:id="rId11"/>
          <w:footerReference w:type="default" r:id="rId12"/>
          <w:type w:val="continuous"/>
          <w:pgSz w:w="11906" w:h="16838" w:code="9"/>
          <w:pgMar w:top="1440" w:right="1080" w:bottom="1440" w:left="1080" w:header="708" w:footer="1134" w:gutter="0"/>
          <w:cols w:space="720"/>
          <w:docGrid w:linePitch="360"/>
        </w:sectPr>
      </w:pPr>
      <w:r>
        <w:rPr>
          <w:b/>
          <w:bCs/>
        </w:rPr>
        <w:br w:type="page"/>
      </w:r>
    </w:p>
    <w:p w14:paraId="4ED4506F" w14:textId="7ED4958E" w:rsidR="00990DC9" w:rsidRPr="007372C2" w:rsidRDefault="00990DC9" w:rsidP="00990DC9">
      <w:pPr>
        <w:pStyle w:val="Copyrightheading"/>
      </w:pPr>
      <w:bookmarkStart w:id="0" w:name="_Toc105099720"/>
      <w:r>
        <w:lastRenderedPageBreak/>
        <w:t>National Hospital Cost Data Collection Private Hospital Report</w:t>
      </w:r>
      <w:r w:rsidR="00F04BCD">
        <w:t xml:space="preserve"> </w:t>
      </w:r>
      <w:r>
        <w:t>202</w:t>
      </w:r>
      <w:r w:rsidR="0023599D">
        <w:t>1</w:t>
      </w:r>
      <w:r>
        <w:t>-2</w:t>
      </w:r>
      <w:r w:rsidR="0023599D">
        <w:t>2</w:t>
      </w:r>
      <w:r>
        <w:t xml:space="preserve"> </w:t>
      </w:r>
      <w:r w:rsidRPr="007372C2">
        <w:rPr>
          <w:rFonts w:hint="cs"/>
        </w:rPr>
        <w:t>—</w:t>
      </w:r>
      <w:r w:rsidRPr="007372C2">
        <w:t xml:space="preserve"> </w:t>
      </w:r>
      <w:r w:rsidR="00000D2C">
        <w:t>March</w:t>
      </w:r>
      <w:r>
        <w:t xml:space="preserve"> 202</w:t>
      </w:r>
      <w:r w:rsidR="00B56EFA">
        <w:t>4</w:t>
      </w:r>
    </w:p>
    <w:p w14:paraId="421E9AED" w14:textId="3C7A5349" w:rsidR="00990DC9" w:rsidRPr="007372C2" w:rsidRDefault="00990DC9" w:rsidP="00990DC9">
      <w:pPr>
        <w:pStyle w:val="Copyrightcopy"/>
      </w:pPr>
      <w:r w:rsidRPr="007372C2">
        <w:rPr>
          <w:rFonts w:hint="cs"/>
        </w:rPr>
        <w:t>©</w:t>
      </w:r>
      <w:r w:rsidRPr="007372C2">
        <w:t xml:space="preserve"> Independent Health and </w:t>
      </w:r>
      <w:r>
        <w:t>Aged Care Pricing Authority 202</w:t>
      </w:r>
      <w:r w:rsidR="00B56EFA">
        <w:t>4</w:t>
      </w:r>
    </w:p>
    <w:p w14:paraId="2B2A3F74" w14:textId="77777777" w:rsidR="00990DC9" w:rsidRPr="007372C2" w:rsidRDefault="00990DC9" w:rsidP="00990DC9">
      <w:pPr>
        <w:pStyle w:val="Copyrightcopy"/>
      </w:pPr>
      <w:r w:rsidRPr="007372C2">
        <w:t xml:space="preserve">This publication is available for your use under a Creative Commons BY Attribution 3.0 Australia licence, </w:t>
      </w:r>
      <w:proofErr w:type="gramStart"/>
      <w:r w:rsidRPr="007372C2">
        <w:t>with the exception of</w:t>
      </w:r>
      <w:proofErr w:type="gramEnd"/>
      <w:r w:rsidRPr="007372C2">
        <w:t xml:space="preserve"> the Independent Health and Aged Care Pricing Authority logo, photographs, images, signatures and where otherwise stated. The full licence terms are available from the Creative Commons website.</w:t>
      </w:r>
    </w:p>
    <w:p w14:paraId="0ED11850" w14:textId="77777777" w:rsidR="00990DC9" w:rsidRPr="007372C2" w:rsidRDefault="00990DC9" w:rsidP="00990DC9">
      <w:pPr>
        <w:pStyle w:val="Copyrightcopy"/>
      </w:pPr>
      <w:r w:rsidRPr="007372C2">
        <w:rPr>
          <w:noProof/>
          <w:lang w:val="en-US"/>
        </w:rPr>
        <w:drawing>
          <wp:inline distT="0" distB="0" distL="0" distR="0" wp14:anchorId="45C2B4B4" wp14:editId="599B3116">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3">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7372C2">
        <w:t xml:space="preserve"> </w:t>
      </w:r>
    </w:p>
    <w:p w14:paraId="069E805F" w14:textId="77777777" w:rsidR="00990DC9" w:rsidRPr="007372C2" w:rsidRDefault="00990DC9" w:rsidP="00990DC9">
      <w:pPr>
        <w:pStyle w:val="Copyrightcopy"/>
      </w:pPr>
      <w:r w:rsidRPr="007372C2">
        <w:t>Use of Independent Health and Aged Care Pricing Authority material under a Creative Commons BY Attribution 3.0 Australia licence requires you to attribute the work (but not in any way that suggests that the Independent Health and Aged Care Pricing Authority endorses you or your use of the</w:t>
      </w:r>
      <w:r w:rsidRPr="007372C2">
        <w:rPr>
          <w:rFonts w:hint="cs"/>
        </w:rPr>
        <w:t> </w:t>
      </w:r>
      <w:r w:rsidRPr="007372C2">
        <w:t>work).</w:t>
      </w:r>
    </w:p>
    <w:p w14:paraId="09AF5EAF" w14:textId="77777777" w:rsidR="00990DC9" w:rsidRPr="007372C2" w:rsidRDefault="00990DC9" w:rsidP="00990DC9">
      <w:pPr>
        <w:pStyle w:val="Copyrightcopy"/>
      </w:pPr>
      <w:r w:rsidRPr="007372C2">
        <w:t>Independent Health and Aged Care Pricing Authority material used 'as supplied'.</w:t>
      </w:r>
    </w:p>
    <w:p w14:paraId="27D00C75" w14:textId="77777777" w:rsidR="00990DC9" w:rsidRPr="007372C2" w:rsidRDefault="00990DC9" w:rsidP="00990DC9">
      <w:pPr>
        <w:pStyle w:val="Copyrightcopy"/>
      </w:pPr>
      <w:r w:rsidRPr="007372C2">
        <w:t xml:space="preserve">Provided you have not modified or transformed Independent Health and Aged Care Pricing Authority material in any way including, for example, by changing Independent Health and Aged Care Pricing Authority text </w:t>
      </w:r>
      <w:r w:rsidRPr="007372C2">
        <w:rPr>
          <w:rFonts w:hint="cs"/>
        </w:rPr>
        <w:t>–</w:t>
      </w:r>
      <w:r w:rsidRPr="007372C2">
        <w:t xml:space="preserve"> then the Independent Health and Aged Care Pricing Authority prefers the following attribution:</w:t>
      </w:r>
    </w:p>
    <w:p w14:paraId="737AB6C6" w14:textId="77777777" w:rsidR="00990DC9" w:rsidRDefault="00990DC9" w:rsidP="00990DC9">
      <w:pPr>
        <w:pStyle w:val="Copyrightcopy"/>
        <w:sectPr w:rsidR="00990DC9" w:rsidSect="00522146">
          <w:headerReference w:type="default" r:id="rId14"/>
          <w:footerReference w:type="default" r:id="rId15"/>
          <w:pgSz w:w="11906" w:h="16838" w:code="9"/>
          <w:pgMar w:top="7371" w:right="1077" w:bottom="1440" w:left="1077" w:header="709" w:footer="709" w:gutter="0"/>
          <w:cols w:space="720"/>
          <w:docGrid w:linePitch="360"/>
        </w:sectPr>
      </w:pPr>
      <w:r w:rsidRPr="007372C2">
        <w:t>Source: The Independent Health and Aged Care Pricing</w:t>
      </w:r>
      <w:r w:rsidRPr="007372C2">
        <w:rPr>
          <w:rFonts w:hint="cs"/>
        </w:rPr>
        <w:t> </w:t>
      </w:r>
      <w:r w:rsidRPr="007372C2">
        <w:t>Authority</w:t>
      </w:r>
    </w:p>
    <w:bookmarkEnd w:id="0" w:displacedByCustomXml="next"/>
    <w:sdt>
      <w:sdtPr>
        <w:rPr>
          <w:b w:val="0"/>
          <w:sz w:val="22"/>
          <w:highlight w:val="yellow"/>
        </w:rPr>
        <w:id w:val="-1796903514"/>
        <w:docPartObj>
          <w:docPartGallery w:val="Table of Contents"/>
          <w:docPartUnique/>
        </w:docPartObj>
      </w:sdtPr>
      <w:sdtEndPr>
        <w:rPr>
          <w:bCs/>
          <w:noProof/>
        </w:rPr>
      </w:sdtEndPr>
      <w:sdtContent>
        <w:p w14:paraId="6FA8AAAA" w14:textId="77777777" w:rsidR="002764A0" w:rsidRPr="00214638" w:rsidRDefault="00DB7638">
          <w:pPr>
            <w:pStyle w:val="TOC1"/>
            <w:rPr>
              <w:rStyle w:val="Heading1Char"/>
              <w:b/>
              <w:bCs w:val="0"/>
            </w:rPr>
          </w:pPr>
          <w:r w:rsidRPr="00214638">
            <w:rPr>
              <w:rStyle w:val="Heading1Char"/>
              <w:b/>
              <w:bCs w:val="0"/>
            </w:rPr>
            <w:t>Contents</w:t>
          </w:r>
        </w:p>
        <w:p w14:paraId="543B935A" w14:textId="065B22B5" w:rsidR="00110CD5" w:rsidRPr="00110CD5" w:rsidRDefault="00932F96" w:rsidP="00110CD5">
          <w:pPr>
            <w:pStyle w:val="TableofFigures"/>
            <w:tabs>
              <w:tab w:val="right" w:leader="dot" w:pos="9736"/>
            </w:tabs>
            <w:spacing w:line="360" w:lineRule="auto"/>
            <w:rPr>
              <w:rStyle w:val="Hyperlink"/>
              <w:noProof/>
            </w:rPr>
          </w:pPr>
          <w:r w:rsidRPr="00110CD5">
            <w:rPr>
              <w:rStyle w:val="Hyperlink"/>
              <w:noProof/>
            </w:rPr>
            <w:fldChar w:fldCharType="begin"/>
          </w:r>
          <w:r w:rsidRPr="00110CD5">
            <w:rPr>
              <w:rStyle w:val="Hyperlink"/>
              <w:noProof/>
            </w:rPr>
            <w:instrText xml:space="preserve"> TOC \o "1-1" \h \z \u </w:instrText>
          </w:r>
          <w:r w:rsidRPr="00110CD5">
            <w:rPr>
              <w:rStyle w:val="Hyperlink"/>
              <w:noProof/>
            </w:rPr>
            <w:fldChar w:fldCharType="separate"/>
          </w:r>
          <w:hyperlink w:anchor="_Toc152080387" w:history="1">
            <w:r w:rsidR="00110CD5" w:rsidRPr="00A70F9A">
              <w:rPr>
                <w:rStyle w:val="Hyperlink"/>
                <w:noProof/>
              </w:rPr>
              <w:t>Tables and Figures</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_Toc152080387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4</w:t>
            </w:r>
            <w:r w:rsidR="00110CD5" w:rsidRPr="00110CD5">
              <w:rPr>
                <w:rStyle w:val="Hyperlink"/>
                <w:noProof/>
                <w:webHidden/>
              </w:rPr>
              <w:fldChar w:fldCharType="end"/>
            </w:r>
          </w:hyperlink>
        </w:p>
        <w:p w14:paraId="0C90B8BE" w14:textId="0575C2E3" w:rsidR="00110CD5" w:rsidRPr="00110CD5" w:rsidRDefault="00000000" w:rsidP="00110CD5">
          <w:pPr>
            <w:pStyle w:val="TableofFigures"/>
            <w:tabs>
              <w:tab w:val="right" w:leader="dot" w:pos="9736"/>
            </w:tabs>
            <w:spacing w:line="360" w:lineRule="auto"/>
            <w:rPr>
              <w:rStyle w:val="Hyperlink"/>
              <w:noProof/>
            </w:rPr>
          </w:pPr>
          <w:hyperlink w:anchor="_Toc152080388" w:history="1">
            <w:r w:rsidR="00110CD5" w:rsidRPr="00A70F9A">
              <w:rPr>
                <w:rStyle w:val="Hyperlink"/>
                <w:noProof/>
              </w:rPr>
              <w:t>1. Executive summary</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_Toc152080388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6</w:t>
            </w:r>
            <w:r w:rsidR="00110CD5" w:rsidRPr="00110CD5">
              <w:rPr>
                <w:rStyle w:val="Hyperlink"/>
                <w:noProof/>
                <w:webHidden/>
              </w:rPr>
              <w:fldChar w:fldCharType="end"/>
            </w:r>
          </w:hyperlink>
        </w:p>
        <w:p w14:paraId="270C0AB8" w14:textId="5FE65489" w:rsidR="00110CD5" w:rsidRPr="00110CD5" w:rsidRDefault="00000000" w:rsidP="00110CD5">
          <w:pPr>
            <w:pStyle w:val="TableofFigures"/>
            <w:tabs>
              <w:tab w:val="right" w:leader="dot" w:pos="9736"/>
            </w:tabs>
            <w:spacing w:line="360" w:lineRule="auto"/>
            <w:rPr>
              <w:rStyle w:val="Hyperlink"/>
              <w:noProof/>
            </w:rPr>
          </w:pPr>
          <w:hyperlink w:anchor="_Toc152080389" w:history="1">
            <w:r w:rsidR="00110CD5" w:rsidRPr="00A70F9A">
              <w:rPr>
                <w:rStyle w:val="Hyperlink"/>
                <w:noProof/>
              </w:rPr>
              <w:t>2. Introduction</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_Toc152080389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10</w:t>
            </w:r>
            <w:r w:rsidR="00110CD5" w:rsidRPr="00110CD5">
              <w:rPr>
                <w:rStyle w:val="Hyperlink"/>
                <w:noProof/>
                <w:webHidden/>
              </w:rPr>
              <w:fldChar w:fldCharType="end"/>
            </w:r>
          </w:hyperlink>
        </w:p>
        <w:p w14:paraId="14040971" w14:textId="6F94972F" w:rsidR="00110CD5" w:rsidRPr="00110CD5" w:rsidRDefault="00000000" w:rsidP="00110CD5">
          <w:pPr>
            <w:pStyle w:val="TableofFigures"/>
            <w:tabs>
              <w:tab w:val="right" w:leader="dot" w:pos="9736"/>
            </w:tabs>
            <w:spacing w:line="360" w:lineRule="auto"/>
            <w:rPr>
              <w:rStyle w:val="Hyperlink"/>
              <w:noProof/>
            </w:rPr>
          </w:pPr>
          <w:hyperlink w:anchor="_Toc152080390" w:history="1">
            <w:r w:rsidR="00110CD5" w:rsidRPr="00A70F9A">
              <w:rPr>
                <w:rStyle w:val="Hyperlink"/>
                <w:noProof/>
              </w:rPr>
              <w:t>3. Scope and methodology</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_Toc152080390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12</w:t>
            </w:r>
            <w:r w:rsidR="00110CD5" w:rsidRPr="00110CD5">
              <w:rPr>
                <w:rStyle w:val="Hyperlink"/>
                <w:noProof/>
                <w:webHidden/>
              </w:rPr>
              <w:fldChar w:fldCharType="end"/>
            </w:r>
          </w:hyperlink>
        </w:p>
        <w:p w14:paraId="79EAEA4C" w14:textId="62860AC8" w:rsidR="00110CD5" w:rsidRPr="00110CD5" w:rsidRDefault="00000000" w:rsidP="00110CD5">
          <w:pPr>
            <w:pStyle w:val="TableofFigures"/>
            <w:tabs>
              <w:tab w:val="right" w:leader="dot" w:pos="9736"/>
            </w:tabs>
            <w:spacing w:line="360" w:lineRule="auto"/>
            <w:rPr>
              <w:rStyle w:val="Hyperlink"/>
              <w:noProof/>
            </w:rPr>
          </w:pPr>
          <w:hyperlink w:anchor="_Toc152080391" w:history="1">
            <w:r w:rsidR="00110CD5" w:rsidRPr="00A70F9A">
              <w:rPr>
                <w:rStyle w:val="Hyperlink"/>
                <w:noProof/>
              </w:rPr>
              <w:t>4. Results</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_Toc152080391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16</w:t>
            </w:r>
            <w:r w:rsidR="00110CD5" w:rsidRPr="00110CD5">
              <w:rPr>
                <w:rStyle w:val="Hyperlink"/>
                <w:noProof/>
                <w:webHidden/>
              </w:rPr>
              <w:fldChar w:fldCharType="end"/>
            </w:r>
          </w:hyperlink>
        </w:p>
        <w:p w14:paraId="442B52EE" w14:textId="1C8B1186" w:rsidR="00110CD5" w:rsidRPr="00110CD5" w:rsidRDefault="00000000" w:rsidP="00110CD5">
          <w:pPr>
            <w:pStyle w:val="TableofFigures"/>
            <w:tabs>
              <w:tab w:val="right" w:leader="dot" w:pos="9736"/>
            </w:tabs>
            <w:spacing w:line="360" w:lineRule="auto"/>
            <w:rPr>
              <w:rStyle w:val="Hyperlink"/>
              <w:noProof/>
            </w:rPr>
          </w:pPr>
          <w:hyperlink w:anchor="_Toc152080392" w:history="1">
            <w:r w:rsidR="00110CD5" w:rsidRPr="00A70F9A">
              <w:rPr>
                <w:rStyle w:val="Hyperlink"/>
                <w:noProof/>
              </w:rPr>
              <w:t>5. COVID-19</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_Toc152080392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36</w:t>
            </w:r>
            <w:r w:rsidR="00110CD5" w:rsidRPr="00110CD5">
              <w:rPr>
                <w:rStyle w:val="Hyperlink"/>
                <w:noProof/>
                <w:webHidden/>
              </w:rPr>
              <w:fldChar w:fldCharType="end"/>
            </w:r>
          </w:hyperlink>
        </w:p>
        <w:p w14:paraId="4D194EE6" w14:textId="1BE97D59" w:rsidR="00110CD5" w:rsidRPr="00110CD5" w:rsidRDefault="00000000" w:rsidP="00110CD5">
          <w:pPr>
            <w:pStyle w:val="TableofFigures"/>
            <w:tabs>
              <w:tab w:val="right" w:leader="dot" w:pos="9736"/>
            </w:tabs>
            <w:spacing w:line="360" w:lineRule="auto"/>
            <w:rPr>
              <w:rStyle w:val="Hyperlink"/>
              <w:noProof/>
            </w:rPr>
          </w:pPr>
          <w:hyperlink w:anchor="_Toc152080393" w:history="1">
            <w:r w:rsidR="00110CD5" w:rsidRPr="00A70F9A">
              <w:rPr>
                <w:rStyle w:val="Hyperlink"/>
                <w:noProof/>
              </w:rPr>
              <w:t>Appendix A: Methodology</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_Toc152080393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39</w:t>
            </w:r>
            <w:r w:rsidR="00110CD5" w:rsidRPr="00110CD5">
              <w:rPr>
                <w:rStyle w:val="Hyperlink"/>
                <w:noProof/>
                <w:webHidden/>
              </w:rPr>
              <w:fldChar w:fldCharType="end"/>
            </w:r>
          </w:hyperlink>
        </w:p>
        <w:p w14:paraId="5EF4B09C" w14:textId="5F11E6B0" w:rsidR="00110CD5" w:rsidRPr="00110CD5" w:rsidRDefault="00000000" w:rsidP="00110CD5">
          <w:pPr>
            <w:pStyle w:val="TableofFigures"/>
            <w:tabs>
              <w:tab w:val="right" w:leader="dot" w:pos="9736"/>
            </w:tabs>
            <w:spacing w:line="360" w:lineRule="auto"/>
            <w:rPr>
              <w:rStyle w:val="Hyperlink"/>
              <w:noProof/>
            </w:rPr>
          </w:pPr>
          <w:hyperlink w:anchor="_Toc152080394" w:history="1">
            <w:r w:rsidR="00110CD5" w:rsidRPr="00A70F9A">
              <w:rPr>
                <w:rStyle w:val="Hyperlink"/>
                <w:noProof/>
              </w:rPr>
              <w:t>Appendix B: Private sector costing approaches</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_Toc152080394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41</w:t>
            </w:r>
            <w:r w:rsidR="00110CD5" w:rsidRPr="00110CD5">
              <w:rPr>
                <w:rStyle w:val="Hyperlink"/>
                <w:noProof/>
                <w:webHidden/>
              </w:rPr>
              <w:fldChar w:fldCharType="end"/>
            </w:r>
          </w:hyperlink>
        </w:p>
        <w:p w14:paraId="6C282F74" w14:textId="45761885" w:rsidR="00110CD5" w:rsidRPr="00110CD5" w:rsidRDefault="00000000" w:rsidP="00110CD5">
          <w:pPr>
            <w:pStyle w:val="TableofFigures"/>
            <w:tabs>
              <w:tab w:val="right" w:leader="dot" w:pos="9736"/>
            </w:tabs>
            <w:spacing w:line="360" w:lineRule="auto"/>
            <w:rPr>
              <w:rStyle w:val="Hyperlink"/>
              <w:noProof/>
            </w:rPr>
          </w:pPr>
          <w:hyperlink w:anchor="_Toc152080395" w:history="1">
            <w:r w:rsidR="00110CD5" w:rsidRPr="00A70F9A">
              <w:rPr>
                <w:rStyle w:val="Hyperlink"/>
                <w:noProof/>
              </w:rPr>
              <w:t>Appendix C: Standard error range for the NHCDC Private Sector 2021-22</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_Toc152080395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43</w:t>
            </w:r>
            <w:r w:rsidR="00110CD5" w:rsidRPr="00110CD5">
              <w:rPr>
                <w:rStyle w:val="Hyperlink"/>
                <w:noProof/>
                <w:webHidden/>
              </w:rPr>
              <w:fldChar w:fldCharType="end"/>
            </w:r>
          </w:hyperlink>
        </w:p>
        <w:p w14:paraId="5CB16CBA" w14:textId="73C07FD9" w:rsidR="00110CD5" w:rsidRPr="00110CD5" w:rsidRDefault="00000000" w:rsidP="00110CD5">
          <w:pPr>
            <w:pStyle w:val="TableofFigures"/>
            <w:tabs>
              <w:tab w:val="right" w:leader="dot" w:pos="9736"/>
            </w:tabs>
            <w:spacing w:line="360" w:lineRule="auto"/>
            <w:rPr>
              <w:rStyle w:val="Hyperlink"/>
              <w:noProof/>
            </w:rPr>
          </w:pPr>
          <w:hyperlink w:anchor="_Toc152080396" w:history="1">
            <w:r w:rsidR="00110CD5" w:rsidRPr="00A70F9A">
              <w:rPr>
                <w:rStyle w:val="Hyperlink"/>
                <w:noProof/>
              </w:rPr>
              <w:t>Appendix</w:t>
            </w:r>
            <w:r w:rsidR="00110CD5" w:rsidRPr="00110CD5">
              <w:rPr>
                <w:rStyle w:val="Hyperlink"/>
                <w:noProof/>
              </w:rPr>
              <w:t xml:space="preserve"> </w:t>
            </w:r>
            <w:r w:rsidR="00110CD5" w:rsidRPr="00A70F9A">
              <w:rPr>
                <w:rStyle w:val="Hyperlink"/>
                <w:noProof/>
              </w:rPr>
              <w:t>D:</w:t>
            </w:r>
            <w:r w:rsidR="00110CD5" w:rsidRPr="00110CD5">
              <w:rPr>
                <w:rStyle w:val="Hyperlink"/>
                <w:noProof/>
              </w:rPr>
              <w:t xml:space="preserve"> </w:t>
            </w:r>
            <w:r w:rsidR="00110CD5" w:rsidRPr="00A70F9A">
              <w:rPr>
                <w:rStyle w:val="Hyperlink"/>
                <w:noProof/>
              </w:rPr>
              <w:t>Cost</w:t>
            </w:r>
            <w:r w:rsidR="00110CD5" w:rsidRPr="00110CD5">
              <w:rPr>
                <w:rStyle w:val="Hyperlink"/>
                <w:noProof/>
              </w:rPr>
              <w:t xml:space="preserve"> </w:t>
            </w:r>
            <w:r w:rsidR="00110CD5" w:rsidRPr="00A70F9A">
              <w:rPr>
                <w:rStyle w:val="Hyperlink"/>
                <w:noProof/>
              </w:rPr>
              <w:t>weight</w:t>
            </w:r>
            <w:r w:rsidR="00110CD5" w:rsidRPr="00110CD5">
              <w:rPr>
                <w:rStyle w:val="Hyperlink"/>
                <w:noProof/>
              </w:rPr>
              <w:t xml:space="preserve"> </w:t>
            </w:r>
            <w:r w:rsidR="00110CD5" w:rsidRPr="00A70F9A">
              <w:rPr>
                <w:rStyle w:val="Hyperlink"/>
                <w:noProof/>
              </w:rPr>
              <w:t>tables by AR</w:t>
            </w:r>
            <w:r w:rsidR="00110CD5" w:rsidRPr="00A70F9A">
              <w:rPr>
                <w:rStyle w:val="Hyperlink"/>
                <w:noProof/>
              </w:rPr>
              <w:noBreakHyphen/>
              <w:t>DRG Version 11.0</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_Toc152080396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44</w:t>
            </w:r>
            <w:r w:rsidR="00110CD5" w:rsidRPr="00110CD5">
              <w:rPr>
                <w:rStyle w:val="Hyperlink"/>
                <w:noProof/>
                <w:webHidden/>
              </w:rPr>
              <w:fldChar w:fldCharType="end"/>
            </w:r>
          </w:hyperlink>
        </w:p>
        <w:p w14:paraId="1DA4F184" w14:textId="7D2813D8" w:rsidR="00110CD5" w:rsidRPr="00110CD5" w:rsidRDefault="00000000" w:rsidP="00110CD5">
          <w:pPr>
            <w:pStyle w:val="TableofFigures"/>
            <w:tabs>
              <w:tab w:val="right" w:leader="dot" w:pos="9736"/>
            </w:tabs>
            <w:spacing w:line="360" w:lineRule="auto"/>
            <w:rPr>
              <w:rStyle w:val="Hyperlink"/>
              <w:noProof/>
            </w:rPr>
          </w:pPr>
          <w:hyperlink w:anchor="_Toc152080397" w:history="1">
            <w:r w:rsidR="00110CD5" w:rsidRPr="00A70F9A">
              <w:rPr>
                <w:rStyle w:val="Hyperlink"/>
                <w:noProof/>
              </w:rPr>
              <w:t>Appendix E: Cost weight</w:t>
            </w:r>
            <w:r w:rsidR="00110CD5" w:rsidRPr="00110CD5">
              <w:rPr>
                <w:rStyle w:val="Hyperlink"/>
                <w:noProof/>
              </w:rPr>
              <w:t xml:space="preserve"> </w:t>
            </w:r>
            <w:r w:rsidR="00110CD5" w:rsidRPr="00A70F9A">
              <w:rPr>
                <w:rStyle w:val="Hyperlink"/>
                <w:noProof/>
              </w:rPr>
              <w:t>tables</w:t>
            </w:r>
            <w:r w:rsidR="00110CD5" w:rsidRPr="00110CD5">
              <w:rPr>
                <w:rStyle w:val="Hyperlink"/>
                <w:noProof/>
              </w:rPr>
              <w:t xml:space="preserve"> </w:t>
            </w:r>
            <w:r w:rsidR="00110CD5" w:rsidRPr="00A70F9A">
              <w:rPr>
                <w:rStyle w:val="Hyperlink"/>
                <w:noProof/>
              </w:rPr>
              <w:t>by</w:t>
            </w:r>
            <w:r w:rsidR="00110CD5" w:rsidRPr="00110CD5">
              <w:rPr>
                <w:rStyle w:val="Hyperlink"/>
                <w:noProof/>
              </w:rPr>
              <w:t xml:space="preserve"> </w:t>
            </w:r>
            <w:r w:rsidR="00110CD5" w:rsidRPr="00A70F9A">
              <w:rPr>
                <w:rStyle w:val="Hyperlink"/>
                <w:noProof/>
              </w:rPr>
              <w:t>AR</w:t>
            </w:r>
            <w:r w:rsidR="00110CD5" w:rsidRPr="00A70F9A">
              <w:rPr>
                <w:rStyle w:val="Hyperlink"/>
                <w:noProof/>
              </w:rPr>
              <w:noBreakHyphen/>
              <w:t>DRG</w:t>
            </w:r>
            <w:r w:rsidR="00110CD5" w:rsidRPr="00110CD5">
              <w:rPr>
                <w:rStyle w:val="Hyperlink"/>
                <w:noProof/>
              </w:rPr>
              <w:t xml:space="preserve"> </w:t>
            </w:r>
            <w:r w:rsidR="00110CD5" w:rsidRPr="00A70F9A">
              <w:rPr>
                <w:rStyle w:val="Hyperlink"/>
                <w:noProof/>
              </w:rPr>
              <w:t>Version</w:t>
            </w:r>
            <w:r w:rsidR="00110CD5" w:rsidRPr="00110CD5">
              <w:rPr>
                <w:rStyle w:val="Hyperlink"/>
                <w:noProof/>
              </w:rPr>
              <w:t xml:space="preserve"> 10</w:t>
            </w:r>
            <w:r w:rsidR="00110CD5" w:rsidRPr="00A70F9A">
              <w:rPr>
                <w:rStyle w:val="Hyperlink"/>
                <w:noProof/>
              </w:rPr>
              <w:t>.0</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_Toc152080397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45</w:t>
            </w:r>
            <w:r w:rsidR="00110CD5" w:rsidRPr="00110CD5">
              <w:rPr>
                <w:rStyle w:val="Hyperlink"/>
                <w:noProof/>
                <w:webHidden/>
              </w:rPr>
              <w:fldChar w:fldCharType="end"/>
            </w:r>
          </w:hyperlink>
        </w:p>
        <w:p w14:paraId="5BD2158A" w14:textId="3C955A82" w:rsidR="00110CD5" w:rsidRPr="00110CD5" w:rsidRDefault="00000000" w:rsidP="00110CD5">
          <w:pPr>
            <w:pStyle w:val="TableofFigures"/>
            <w:tabs>
              <w:tab w:val="right" w:leader="dot" w:pos="9736"/>
            </w:tabs>
            <w:spacing w:line="360" w:lineRule="auto"/>
            <w:rPr>
              <w:rStyle w:val="Hyperlink"/>
              <w:noProof/>
            </w:rPr>
          </w:pPr>
          <w:hyperlink w:anchor="_Toc152080398" w:history="1">
            <w:r w:rsidR="00110CD5" w:rsidRPr="00A70F9A">
              <w:rPr>
                <w:rStyle w:val="Hyperlink"/>
                <w:noProof/>
              </w:rPr>
              <w:t>Appendix F: Cost weight</w:t>
            </w:r>
            <w:r w:rsidR="00110CD5" w:rsidRPr="00110CD5">
              <w:rPr>
                <w:rStyle w:val="Hyperlink"/>
                <w:noProof/>
              </w:rPr>
              <w:t xml:space="preserve"> </w:t>
            </w:r>
            <w:r w:rsidR="00110CD5" w:rsidRPr="00A70F9A">
              <w:rPr>
                <w:rStyle w:val="Hyperlink"/>
                <w:noProof/>
              </w:rPr>
              <w:t>tables</w:t>
            </w:r>
            <w:r w:rsidR="00110CD5" w:rsidRPr="00110CD5">
              <w:rPr>
                <w:rStyle w:val="Hyperlink"/>
                <w:noProof/>
              </w:rPr>
              <w:t xml:space="preserve"> </w:t>
            </w:r>
            <w:r w:rsidR="00110CD5" w:rsidRPr="00A70F9A">
              <w:rPr>
                <w:rStyle w:val="Hyperlink"/>
                <w:noProof/>
              </w:rPr>
              <w:t>by</w:t>
            </w:r>
            <w:r w:rsidR="00110CD5" w:rsidRPr="00110CD5">
              <w:rPr>
                <w:rStyle w:val="Hyperlink"/>
                <w:noProof/>
              </w:rPr>
              <w:t xml:space="preserve"> </w:t>
            </w:r>
            <w:r w:rsidR="00110CD5" w:rsidRPr="00A70F9A">
              <w:rPr>
                <w:rStyle w:val="Hyperlink"/>
                <w:noProof/>
              </w:rPr>
              <w:t>AR</w:t>
            </w:r>
            <w:r w:rsidR="00110CD5" w:rsidRPr="00A70F9A">
              <w:rPr>
                <w:rStyle w:val="Hyperlink"/>
                <w:noProof/>
              </w:rPr>
              <w:noBreakHyphen/>
              <w:t>DRG</w:t>
            </w:r>
            <w:r w:rsidR="00110CD5" w:rsidRPr="00110CD5">
              <w:rPr>
                <w:rStyle w:val="Hyperlink"/>
                <w:noProof/>
              </w:rPr>
              <w:t xml:space="preserve"> </w:t>
            </w:r>
            <w:r w:rsidR="00110CD5" w:rsidRPr="00A70F9A">
              <w:rPr>
                <w:rStyle w:val="Hyperlink"/>
                <w:noProof/>
              </w:rPr>
              <w:t>Version</w:t>
            </w:r>
            <w:r w:rsidR="00110CD5" w:rsidRPr="00110CD5">
              <w:rPr>
                <w:rStyle w:val="Hyperlink"/>
                <w:noProof/>
              </w:rPr>
              <w:t xml:space="preserve"> 9</w:t>
            </w:r>
            <w:r w:rsidR="00110CD5" w:rsidRPr="00A70F9A">
              <w:rPr>
                <w:rStyle w:val="Hyperlink"/>
                <w:noProof/>
              </w:rPr>
              <w:t>.0</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_Toc152080398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46</w:t>
            </w:r>
            <w:r w:rsidR="00110CD5" w:rsidRPr="00110CD5">
              <w:rPr>
                <w:rStyle w:val="Hyperlink"/>
                <w:noProof/>
                <w:webHidden/>
              </w:rPr>
              <w:fldChar w:fldCharType="end"/>
            </w:r>
          </w:hyperlink>
        </w:p>
        <w:p w14:paraId="25913F01" w14:textId="3B0E20C6" w:rsidR="00110CD5" w:rsidRPr="00110CD5" w:rsidRDefault="00000000" w:rsidP="00110CD5">
          <w:pPr>
            <w:pStyle w:val="TableofFigures"/>
            <w:tabs>
              <w:tab w:val="right" w:leader="dot" w:pos="9736"/>
            </w:tabs>
            <w:spacing w:line="360" w:lineRule="auto"/>
            <w:rPr>
              <w:rStyle w:val="Hyperlink"/>
              <w:noProof/>
            </w:rPr>
          </w:pPr>
          <w:hyperlink w:anchor="_Toc152080399" w:history="1">
            <w:r w:rsidR="00110CD5" w:rsidRPr="00A70F9A">
              <w:rPr>
                <w:rStyle w:val="Hyperlink"/>
                <w:noProof/>
              </w:rPr>
              <w:t>Appendix G: Cost weight</w:t>
            </w:r>
            <w:r w:rsidR="00110CD5" w:rsidRPr="00110CD5">
              <w:rPr>
                <w:rStyle w:val="Hyperlink"/>
                <w:noProof/>
              </w:rPr>
              <w:t xml:space="preserve"> </w:t>
            </w:r>
            <w:r w:rsidR="00110CD5" w:rsidRPr="00A70F9A">
              <w:rPr>
                <w:rStyle w:val="Hyperlink"/>
                <w:noProof/>
              </w:rPr>
              <w:t>tables</w:t>
            </w:r>
            <w:r w:rsidR="00110CD5" w:rsidRPr="00110CD5">
              <w:rPr>
                <w:rStyle w:val="Hyperlink"/>
                <w:noProof/>
              </w:rPr>
              <w:t xml:space="preserve"> </w:t>
            </w:r>
            <w:r w:rsidR="00110CD5" w:rsidRPr="00A70F9A">
              <w:rPr>
                <w:rStyle w:val="Hyperlink"/>
                <w:noProof/>
              </w:rPr>
              <w:t>by</w:t>
            </w:r>
            <w:r w:rsidR="00110CD5" w:rsidRPr="00110CD5">
              <w:rPr>
                <w:rStyle w:val="Hyperlink"/>
                <w:noProof/>
              </w:rPr>
              <w:t xml:space="preserve"> </w:t>
            </w:r>
            <w:r w:rsidR="00110CD5" w:rsidRPr="00A70F9A">
              <w:rPr>
                <w:rStyle w:val="Hyperlink"/>
                <w:noProof/>
              </w:rPr>
              <w:t>AR</w:t>
            </w:r>
            <w:r w:rsidR="00110CD5" w:rsidRPr="00A70F9A">
              <w:rPr>
                <w:rStyle w:val="Hyperlink"/>
                <w:noProof/>
              </w:rPr>
              <w:noBreakHyphen/>
              <w:t>DRG</w:t>
            </w:r>
            <w:r w:rsidR="00110CD5" w:rsidRPr="00110CD5">
              <w:rPr>
                <w:rStyle w:val="Hyperlink"/>
                <w:noProof/>
              </w:rPr>
              <w:t xml:space="preserve"> </w:t>
            </w:r>
            <w:r w:rsidR="00110CD5" w:rsidRPr="00A70F9A">
              <w:rPr>
                <w:rStyle w:val="Hyperlink"/>
                <w:noProof/>
              </w:rPr>
              <w:t>Version</w:t>
            </w:r>
            <w:r w:rsidR="00110CD5" w:rsidRPr="00110CD5">
              <w:rPr>
                <w:rStyle w:val="Hyperlink"/>
                <w:noProof/>
              </w:rPr>
              <w:t xml:space="preserve"> 8</w:t>
            </w:r>
            <w:r w:rsidR="00110CD5" w:rsidRPr="00A70F9A">
              <w:rPr>
                <w:rStyle w:val="Hyperlink"/>
                <w:noProof/>
              </w:rPr>
              <w:t>.0</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_Toc152080399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47</w:t>
            </w:r>
            <w:r w:rsidR="00110CD5" w:rsidRPr="00110CD5">
              <w:rPr>
                <w:rStyle w:val="Hyperlink"/>
                <w:noProof/>
                <w:webHidden/>
              </w:rPr>
              <w:fldChar w:fldCharType="end"/>
            </w:r>
          </w:hyperlink>
        </w:p>
        <w:p w14:paraId="502AC41B" w14:textId="7445B16B" w:rsidR="00110CD5" w:rsidRPr="00110CD5" w:rsidRDefault="00000000" w:rsidP="00110CD5">
          <w:pPr>
            <w:pStyle w:val="TableofFigures"/>
            <w:tabs>
              <w:tab w:val="right" w:leader="dot" w:pos="9736"/>
            </w:tabs>
            <w:spacing w:line="360" w:lineRule="auto"/>
            <w:rPr>
              <w:rStyle w:val="Hyperlink"/>
              <w:noProof/>
            </w:rPr>
          </w:pPr>
          <w:hyperlink w:anchor="_Toc152080400" w:history="1">
            <w:r w:rsidR="00110CD5" w:rsidRPr="00A70F9A">
              <w:rPr>
                <w:rStyle w:val="Hyperlink"/>
                <w:noProof/>
              </w:rPr>
              <w:t>Appendix</w:t>
            </w:r>
            <w:r w:rsidR="00110CD5" w:rsidRPr="00110CD5">
              <w:rPr>
                <w:rStyle w:val="Hyperlink"/>
                <w:noProof/>
              </w:rPr>
              <w:t xml:space="preserve"> </w:t>
            </w:r>
            <w:r w:rsidR="00110CD5" w:rsidRPr="00A70F9A">
              <w:rPr>
                <w:rStyle w:val="Hyperlink"/>
                <w:noProof/>
              </w:rPr>
              <w:t>H: Cost bucket matrix</w:t>
            </w:r>
            <w:r w:rsidR="00110CD5" w:rsidRPr="00110CD5">
              <w:rPr>
                <w:rStyle w:val="Hyperlink"/>
                <w:noProof/>
                <w:webHidden/>
              </w:rPr>
              <w:tab/>
            </w:r>
            <w:r w:rsidR="00110CD5" w:rsidRPr="00110CD5">
              <w:rPr>
                <w:rStyle w:val="Hyperlink"/>
                <w:noProof/>
                <w:webHidden/>
              </w:rPr>
              <w:fldChar w:fldCharType="begin"/>
            </w:r>
            <w:r w:rsidR="00110CD5" w:rsidRPr="00110CD5">
              <w:rPr>
                <w:rStyle w:val="Hyperlink"/>
                <w:noProof/>
                <w:webHidden/>
              </w:rPr>
              <w:instrText xml:space="preserve"> PAGEREF _Toc152080400 \h </w:instrText>
            </w:r>
            <w:r w:rsidR="00110CD5" w:rsidRPr="00110CD5">
              <w:rPr>
                <w:rStyle w:val="Hyperlink"/>
                <w:noProof/>
                <w:webHidden/>
              </w:rPr>
            </w:r>
            <w:r w:rsidR="00110CD5" w:rsidRPr="00110CD5">
              <w:rPr>
                <w:rStyle w:val="Hyperlink"/>
                <w:noProof/>
                <w:webHidden/>
              </w:rPr>
              <w:fldChar w:fldCharType="separate"/>
            </w:r>
            <w:r w:rsidR="00E4262F">
              <w:rPr>
                <w:rStyle w:val="Hyperlink"/>
                <w:noProof/>
                <w:webHidden/>
              </w:rPr>
              <w:t>48</w:t>
            </w:r>
            <w:r w:rsidR="00110CD5" w:rsidRPr="00110CD5">
              <w:rPr>
                <w:rStyle w:val="Hyperlink"/>
                <w:noProof/>
                <w:webHidden/>
              </w:rPr>
              <w:fldChar w:fldCharType="end"/>
            </w:r>
          </w:hyperlink>
        </w:p>
        <w:p w14:paraId="2B24B65B" w14:textId="13B2293C" w:rsidR="003B188F" w:rsidRDefault="00932F96" w:rsidP="00110CD5">
          <w:pPr>
            <w:pStyle w:val="TableofFigures"/>
            <w:tabs>
              <w:tab w:val="right" w:leader="dot" w:pos="9736"/>
            </w:tabs>
            <w:spacing w:line="360" w:lineRule="auto"/>
            <w:rPr>
              <w:b/>
              <w:bCs/>
              <w:noProof/>
              <w:highlight w:val="yellow"/>
            </w:rPr>
          </w:pPr>
          <w:r w:rsidRPr="00110CD5">
            <w:rPr>
              <w:rStyle w:val="Hyperlink"/>
              <w:noProof/>
            </w:rPr>
            <w:fldChar w:fldCharType="end"/>
          </w:r>
        </w:p>
      </w:sdtContent>
    </w:sdt>
    <w:p w14:paraId="6330CDFA" w14:textId="484F3B03" w:rsidR="003B188F" w:rsidRDefault="003B188F">
      <w:pPr>
        <w:spacing w:line="259" w:lineRule="auto"/>
        <w:rPr>
          <w:b/>
          <w:bCs/>
          <w:noProof/>
          <w:highlight w:val="yellow"/>
        </w:rPr>
      </w:pPr>
      <w:r>
        <w:rPr>
          <w:b/>
          <w:bCs/>
          <w:noProof/>
          <w:highlight w:val="yellow"/>
        </w:rPr>
        <w:br w:type="page"/>
      </w:r>
    </w:p>
    <w:p w14:paraId="5D37287B" w14:textId="571C219C" w:rsidR="00DB7638" w:rsidRPr="005629F8" w:rsidRDefault="00CC36FF" w:rsidP="00E87B16">
      <w:pPr>
        <w:pStyle w:val="Heading1"/>
        <w:numPr>
          <w:ilvl w:val="0"/>
          <w:numId w:val="0"/>
        </w:numPr>
        <w:ind w:left="709" w:hanging="709"/>
      </w:pPr>
      <w:bookmarkStart w:id="1" w:name="_Toc129700652"/>
      <w:bookmarkStart w:id="2" w:name="_Toc129701345"/>
      <w:bookmarkStart w:id="3" w:name="_Toc152080387"/>
      <w:r w:rsidRPr="005629F8">
        <w:lastRenderedPageBreak/>
        <w:t>Tables and Figures</w:t>
      </w:r>
      <w:bookmarkEnd w:id="1"/>
      <w:bookmarkEnd w:id="2"/>
      <w:bookmarkEnd w:id="3"/>
    </w:p>
    <w:p w14:paraId="2F86206E" w14:textId="542D4CCF" w:rsidR="00DB7638" w:rsidRPr="005629F8" w:rsidRDefault="00DB7638" w:rsidP="00E829BF">
      <w:pPr>
        <w:pStyle w:val="Heading3"/>
      </w:pPr>
      <w:bookmarkStart w:id="4" w:name="_Toc129700427"/>
      <w:bookmarkStart w:id="5" w:name="_Toc129700653"/>
      <w:bookmarkStart w:id="6" w:name="_Toc129701346"/>
      <w:r w:rsidRPr="005629F8">
        <w:t>List of Tables</w:t>
      </w:r>
      <w:bookmarkEnd w:id="4"/>
      <w:bookmarkEnd w:id="5"/>
      <w:bookmarkEnd w:id="6"/>
    </w:p>
    <w:p w14:paraId="785521EF" w14:textId="25D9E3DF" w:rsidR="00E4262F" w:rsidRPr="00E4262F" w:rsidRDefault="00506D82" w:rsidP="00E4262F">
      <w:pPr>
        <w:pStyle w:val="TableofFigures"/>
        <w:tabs>
          <w:tab w:val="right" w:leader="dot" w:pos="9736"/>
        </w:tabs>
        <w:spacing w:line="360" w:lineRule="auto"/>
        <w:rPr>
          <w:rStyle w:val="Hyperlink"/>
        </w:rPr>
      </w:pPr>
      <w:r w:rsidRPr="00E4262F">
        <w:rPr>
          <w:rStyle w:val="Hyperlink"/>
          <w:noProof/>
        </w:rPr>
        <w:fldChar w:fldCharType="begin"/>
      </w:r>
      <w:r w:rsidRPr="00E4262F">
        <w:rPr>
          <w:rStyle w:val="Hyperlink"/>
          <w:noProof/>
        </w:rPr>
        <w:instrText xml:space="preserve"> TOC \h \z \c "Table" </w:instrText>
      </w:r>
      <w:r w:rsidRPr="00E4262F">
        <w:rPr>
          <w:rStyle w:val="Hyperlink"/>
          <w:noProof/>
        </w:rPr>
        <w:fldChar w:fldCharType="separate"/>
      </w:r>
      <w:hyperlink w:anchor="_Toc152081869" w:history="1">
        <w:r w:rsidR="00E4262F" w:rsidRPr="00605FF9">
          <w:rPr>
            <w:rStyle w:val="Hyperlink"/>
            <w:noProof/>
          </w:rPr>
          <w:t>Table 1.</w:t>
        </w:r>
        <w:r w:rsidR="00E4262F" w:rsidRPr="00E4262F">
          <w:rPr>
            <w:rStyle w:val="Hyperlink"/>
            <w:noProof/>
          </w:rPr>
          <w:t xml:space="preserve"> </w:t>
        </w:r>
        <w:r w:rsidR="00E4262F" w:rsidRPr="00605FF9">
          <w:rPr>
            <w:rStyle w:val="Hyperlink"/>
            <w:noProof/>
          </w:rPr>
          <w:t>Summary</w:t>
        </w:r>
        <w:r w:rsidR="00E4262F" w:rsidRPr="00E4262F">
          <w:rPr>
            <w:rStyle w:val="Hyperlink"/>
            <w:noProof/>
          </w:rPr>
          <w:t xml:space="preserve"> </w:t>
        </w:r>
        <w:r w:rsidR="00E4262F" w:rsidRPr="00605FF9">
          <w:rPr>
            <w:rStyle w:val="Hyperlink"/>
            <w:noProof/>
          </w:rPr>
          <w:t>of</w:t>
        </w:r>
        <w:r w:rsidR="00E4262F" w:rsidRPr="00E4262F">
          <w:rPr>
            <w:rStyle w:val="Hyperlink"/>
            <w:noProof/>
          </w:rPr>
          <w:t xml:space="preserve"> </w:t>
        </w:r>
        <w:r w:rsidR="00E4262F" w:rsidRPr="00605FF9">
          <w:rPr>
            <w:rStyle w:val="Hyperlink"/>
            <w:noProof/>
          </w:rPr>
          <w:t>private hospital</w:t>
        </w:r>
        <w:r w:rsidR="00E4262F" w:rsidRPr="00E4262F">
          <w:rPr>
            <w:rStyle w:val="Hyperlink"/>
            <w:noProof/>
          </w:rPr>
          <w:t xml:space="preserve"> </w:t>
        </w:r>
        <w:r w:rsidR="00E4262F" w:rsidRPr="00605FF9">
          <w:rPr>
            <w:rStyle w:val="Hyperlink"/>
            <w:noProof/>
          </w:rPr>
          <w:t>participation,</w:t>
        </w:r>
        <w:r w:rsidR="00E4262F" w:rsidRPr="00E4262F">
          <w:rPr>
            <w:rStyle w:val="Hyperlink"/>
            <w:noProof/>
          </w:rPr>
          <w:t xml:space="preserve"> </w:t>
        </w:r>
        <w:r w:rsidR="00E4262F" w:rsidRPr="00605FF9">
          <w:rPr>
            <w:rStyle w:val="Hyperlink"/>
            <w:noProof/>
          </w:rPr>
          <w:t>2016-17</w:t>
        </w:r>
        <w:r w:rsidR="00E4262F" w:rsidRPr="00E4262F">
          <w:rPr>
            <w:rStyle w:val="Hyperlink"/>
            <w:noProof/>
          </w:rPr>
          <w:t xml:space="preserve"> </w:t>
        </w:r>
        <w:r w:rsidR="00E4262F" w:rsidRPr="00605FF9">
          <w:rPr>
            <w:rStyle w:val="Hyperlink"/>
            <w:noProof/>
          </w:rPr>
          <w:t>to 2021-22</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_Toc152081869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10</w:t>
        </w:r>
        <w:r w:rsidR="00E4262F" w:rsidRPr="00E4262F">
          <w:rPr>
            <w:rStyle w:val="Hyperlink"/>
            <w:webHidden/>
          </w:rPr>
          <w:fldChar w:fldCharType="end"/>
        </w:r>
      </w:hyperlink>
    </w:p>
    <w:p w14:paraId="7503B73F" w14:textId="0EF09342" w:rsidR="00E4262F" w:rsidRPr="00E4262F" w:rsidRDefault="00000000" w:rsidP="00E4262F">
      <w:pPr>
        <w:pStyle w:val="TableofFigures"/>
        <w:tabs>
          <w:tab w:val="right" w:leader="dot" w:pos="9736"/>
        </w:tabs>
        <w:spacing w:line="360" w:lineRule="auto"/>
        <w:rPr>
          <w:rStyle w:val="Hyperlink"/>
        </w:rPr>
      </w:pPr>
      <w:hyperlink w:anchor="_Toc152081870" w:history="1">
        <w:r w:rsidR="00E4262F" w:rsidRPr="00605FF9">
          <w:rPr>
            <w:rStyle w:val="Hyperlink"/>
            <w:noProof/>
          </w:rPr>
          <w:t>Table 2. Summary of private hospital statistics for overnight hospitals</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_Toc152081870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11</w:t>
        </w:r>
        <w:r w:rsidR="00E4262F" w:rsidRPr="00E4262F">
          <w:rPr>
            <w:rStyle w:val="Hyperlink"/>
            <w:webHidden/>
          </w:rPr>
          <w:fldChar w:fldCharType="end"/>
        </w:r>
      </w:hyperlink>
    </w:p>
    <w:p w14:paraId="2A99DB9B" w14:textId="197BB416" w:rsidR="00E4262F" w:rsidRPr="00E4262F" w:rsidRDefault="00000000" w:rsidP="00E4262F">
      <w:pPr>
        <w:pStyle w:val="TableofFigures"/>
        <w:tabs>
          <w:tab w:val="right" w:leader="dot" w:pos="9736"/>
        </w:tabs>
        <w:spacing w:line="360" w:lineRule="auto"/>
        <w:rPr>
          <w:rStyle w:val="Hyperlink"/>
        </w:rPr>
      </w:pPr>
      <w:hyperlink w:anchor="_Toc152081871" w:history="1">
        <w:r w:rsidR="00E4262F" w:rsidRPr="00605FF9">
          <w:rPr>
            <w:rStyle w:val="Hyperlink"/>
            <w:noProof/>
          </w:rPr>
          <w:t>Table 3.</w:t>
        </w:r>
        <w:r w:rsidR="00E4262F" w:rsidRPr="00E4262F">
          <w:rPr>
            <w:rStyle w:val="Hyperlink"/>
            <w:noProof/>
          </w:rPr>
          <w:t xml:space="preserve"> </w:t>
        </w:r>
        <w:r w:rsidR="00E4262F" w:rsidRPr="00605FF9">
          <w:rPr>
            <w:rStyle w:val="Hyperlink"/>
            <w:noProof/>
          </w:rPr>
          <w:t>Comparison</w:t>
        </w:r>
        <w:r w:rsidR="00E4262F" w:rsidRPr="00E4262F">
          <w:rPr>
            <w:rStyle w:val="Hyperlink"/>
            <w:noProof/>
          </w:rPr>
          <w:t xml:space="preserve"> </w:t>
        </w:r>
        <w:r w:rsidR="00E4262F" w:rsidRPr="00605FF9">
          <w:rPr>
            <w:rStyle w:val="Hyperlink"/>
            <w:noProof/>
          </w:rPr>
          <w:t>of</w:t>
        </w:r>
        <w:r w:rsidR="00E4262F" w:rsidRPr="00E4262F">
          <w:rPr>
            <w:rStyle w:val="Hyperlink"/>
            <w:noProof/>
          </w:rPr>
          <w:t xml:space="preserve"> </w:t>
        </w:r>
        <w:r w:rsidR="00E4262F" w:rsidRPr="00605FF9">
          <w:rPr>
            <w:rStyle w:val="Hyperlink"/>
            <w:noProof/>
          </w:rPr>
          <w:t>separations</w:t>
        </w:r>
        <w:r w:rsidR="00E4262F" w:rsidRPr="00E4262F">
          <w:rPr>
            <w:rStyle w:val="Hyperlink"/>
            <w:noProof/>
          </w:rPr>
          <w:t xml:space="preserve"> </w:t>
        </w:r>
        <w:r w:rsidR="00E4262F" w:rsidRPr="00605FF9">
          <w:rPr>
            <w:rStyle w:val="Hyperlink"/>
            <w:noProof/>
          </w:rPr>
          <w:t>and</w:t>
        </w:r>
        <w:r w:rsidR="00E4262F" w:rsidRPr="00E4262F">
          <w:rPr>
            <w:rStyle w:val="Hyperlink"/>
            <w:noProof/>
          </w:rPr>
          <w:t xml:space="preserve"> </w:t>
        </w:r>
        <w:r w:rsidR="00E4262F" w:rsidRPr="00605FF9">
          <w:rPr>
            <w:rStyle w:val="Hyperlink"/>
            <w:noProof/>
          </w:rPr>
          <w:t>hospitals,</w:t>
        </w:r>
        <w:r w:rsidR="00E4262F" w:rsidRPr="00E4262F">
          <w:rPr>
            <w:rStyle w:val="Hyperlink"/>
            <w:noProof/>
          </w:rPr>
          <w:t xml:space="preserve"> </w:t>
        </w:r>
        <w:r w:rsidR="00E4262F" w:rsidRPr="00605FF9">
          <w:rPr>
            <w:rStyle w:val="Hyperlink"/>
            <w:noProof/>
          </w:rPr>
          <w:t>2016-17</w:t>
        </w:r>
        <w:r w:rsidR="00E4262F" w:rsidRPr="00E4262F">
          <w:rPr>
            <w:rStyle w:val="Hyperlink"/>
            <w:noProof/>
          </w:rPr>
          <w:t xml:space="preserve"> </w:t>
        </w:r>
        <w:r w:rsidR="00E4262F" w:rsidRPr="00605FF9">
          <w:rPr>
            <w:rStyle w:val="Hyperlink"/>
            <w:noProof/>
          </w:rPr>
          <w:t>to 2021-22</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_Toc152081871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18</w:t>
        </w:r>
        <w:r w:rsidR="00E4262F" w:rsidRPr="00E4262F">
          <w:rPr>
            <w:rStyle w:val="Hyperlink"/>
            <w:webHidden/>
          </w:rPr>
          <w:fldChar w:fldCharType="end"/>
        </w:r>
      </w:hyperlink>
    </w:p>
    <w:p w14:paraId="6B8A9C8D" w14:textId="4929FBAF" w:rsidR="00E4262F" w:rsidRPr="00E4262F" w:rsidRDefault="00000000" w:rsidP="00E4262F">
      <w:pPr>
        <w:pStyle w:val="TableofFigures"/>
        <w:tabs>
          <w:tab w:val="right" w:leader="dot" w:pos="9736"/>
        </w:tabs>
        <w:spacing w:line="360" w:lineRule="auto"/>
        <w:rPr>
          <w:rStyle w:val="Hyperlink"/>
        </w:rPr>
      </w:pPr>
      <w:hyperlink w:anchor="_Toc152081872" w:history="1">
        <w:r w:rsidR="00E4262F" w:rsidRPr="00605FF9">
          <w:rPr>
            <w:rStyle w:val="Hyperlink"/>
            <w:noProof/>
          </w:rPr>
          <w:t>Table 4. NHCDC Private Sector Summary by Major Diagnostic Category (AR-DRG v11)</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_Toc152081872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20</w:t>
        </w:r>
        <w:r w:rsidR="00E4262F" w:rsidRPr="00E4262F">
          <w:rPr>
            <w:rStyle w:val="Hyperlink"/>
            <w:webHidden/>
          </w:rPr>
          <w:fldChar w:fldCharType="end"/>
        </w:r>
      </w:hyperlink>
    </w:p>
    <w:p w14:paraId="3FA4C5DC" w14:textId="533E06B9" w:rsidR="00E4262F" w:rsidRPr="00E4262F" w:rsidRDefault="00000000" w:rsidP="00E4262F">
      <w:pPr>
        <w:pStyle w:val="TableofFigures"/>
        <w:tabs>
          <w:tab w:val="right" w:leader="dot" w:pos="9736"/>
        </w:tabs>
        <w:spacing w:line="360" w:lineRule="auto"/>
        <w:rPr>
          <w:rStyle w:val="Hyperlink"/>
        </w:rPr>
      </w:pPr>
      <w:hyperlink w:anchor="_Toc152081873" w:history="1">
        <w:r w:rsidR="00E4262F" w:rsidRPr="00605FF9">
          <w:rPr>
            <w:rStyle w:val="Hyperlink"/>
            <w:noProof/>
          </w:rPr>
          <w:t>Table 5.</w:t>
        </w:r>
        <w:r w:rsidR="00E4262F" w:rsidRPr="00E4262F">
          <w:rPr>
            <w:rStyle w:val="Hyperlink"/>
            <w:noProof/>
          </w:rPr>
          <w:t xml:space="preserve"> </w:t>
        </w:r>
        <w:r w:rsidR="00E4262F" w:rsidRPr="00605FF9">
          <w:rPr>
            <w:rStyle w:val="Hyperlink"/>
            <w:noProof/>
          </w:rPr>
          <w:t>Top</w:t>
        </w:r>
        <w:r w:rsidR="00E4262F" w:rsidRPr="00E4262F">
          <w:rPr>
            <w:rStyle w:val="Hyperlink"/>
            <w:noProof/>
          </w:rPr>
          <w:t xml:space="preserve"> </w:t>
        </w:r>
        <w:r w:rsidR="00E4262F" w:rsidRPr="00605FF9">
          <w:rPr>
            <w:rStyle w:val="Hyperlink"/>
            <w:noProof/>
          </w:rPr>
          <w:t>10</w:t>
        </w:r>
        <w:r w:rsidR="00E4262F" w:rsidRPr="00E4262F">
          <w:rPr>
            <w:rStyle w:val="Hyperlink"/>
            <w:noProof/>
          </w:rPr>
          <w:t xml:space="preserve"> </w:t>
        </w:r>
        <w:r w:rsidR="00E4262F" w:rsidRPr="00605FF9">
          <w:rPr>
            <w:rStyle w:val="Hyperlink"/>
            <w:noProof/>
          </w:rPr>
          <w:t>AR-DRGs ranked</w:t>
        </w:r>
        <w:r w:rsidR="00E4262F" w:rsidRPr="00E4262F">
          <w:rPr>
            <w:rStyle w:val="Hyperlink"/>
            <w:noProof/>
          </w:rPr>
          <w:t xml:space="preserve"> </w:t>
        </w:r>
        <w:r w:rsidR="00E4262F" w:rsidRPr="00605FF9">
          <w:rPr>
            <w:rStyle w:val="Hyperlink"/>
            <w:noProof/>
          </w:rPr>
          <w:t>by</w:t>
        </w:r>
        <w:r w:rsidR="00E4262F" w:rsidRPr="00E4262F">
          <w:rPr>
            <w:rStyle w:val="Hyperlink"/>
            <w:noProof/>
          </w:rPr>
          <w:t xml:space="preserve"> </w:t>
        </w:r>
        <w:r w:rsidR="00E4262F" w:rsidRPr="00605FF9">
          <w:rPr>
            <w:rStyle w:val="Hyperlink"/>
            <w:noProof/>
          </w:rPr>
          <w:t>highest</w:t>
        </w:r>
        <w:r w:rsidR="00E4262F" w:rsidRPr="00E4262F">
          <w:rPr>
            <w:rStyle w:val="Hyperlink"/>
            <w:noProof/>
          </w:rPr>
          <w:t xml:space="preserve"> </w:t>
        </w:r>
        <w:r w:rsidR="00E4262F" w:rsidRPr="00605FF9">
          <w:rPr>
            <w:rStyle w:val="Hyperlink"/>
            <w:noProof/>
          </w:rPr>
          <w:t>cost</w:t>
        </w:r>
        <w:r w:rsidR="00E4262F" w:rsidRPr="00E4262F">
          <w:rPr>
            <w:rStyle w:val="Hyperlink"/>
            <w:noProof/>
          </w:rPr>
          <w:t xml:space="preserve"> </w:t>
        </w:r>
        <w:r w:rsidR="00E4262F" w:rsidRPr="00605FF9">
          <w:rPr>
            <w:rStyle w:val="Hyperlink"/>
            <w:noProof/>
          </w:rPr>
          <w:t>weight, 2021-22</w:t>
        </w:r>
        <w:r w:rsidR="00E4262F" w:rsidRPr="00E4262F">
          <w:rPr>
            <w:rStyle w:val="Hyperlink"/>
            <w:noProof/>
          </w:rPr>
          <w:t xml:space="preserve"> </w:t>
        </w:r>
        <w:r w:rsidR="00E4262F" w:rsidRPr="00605FF9">
          <w:rPr>
            <w:rStyle w:val="Hyperlink"/>
            <w:noProof/>
          </w:rPr>
          <w:t>compared</w:t>
        </w:r>
        <w:r w:rsidR="00E4262F" w:rsidRPr="00E4262F">
          <w:rPr>
            <w:rStyle w:val="Hyperlink"/>
            <w:noProof/>
          </w:rPr>
          <w:t xml:space="preserve"> </w:t>
        </w:r>
        <w:r w:rsidR="00E4262F" w:rsidRPr="00605FF9">
          <w:rPr>
            <w:rStyle w:val="Hyperlink"/>
            <w:noProof/>
          </w:rPr>
          <w:t>to</w:t>
        </w:r>
        <w:r w:rsidR="00E4262F" w:rsidRPr="00E4262F">
          <w:rPr>
            <w:rStyle w:val="Hyperlink"/>
            <w:noProof/>
          </w:rPr>
          <w:t xml:space="preserve"> </w:t>
        </w:r>
        <w:r w:rsidR="00E4262F" w:rsidRPr="00605FF9">
          <w:rPr>
            <w:rStyle w:val="Hyperlink"/>
            <w:noProof/>
          </w:rPr>
          <w:t>2020-21</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_Toc152081873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25</w:t>
        </w:r>
        <w:r w:rsidR="00E4262F" w:rsidRPr="00E4262F">
          <w:rPr>
            <w:rStyle w:val="Hyperlink"/>
            <w:webHidden/>
          </w:rPr>
          <w:fldChar w:fldCharType="end"/>
        </w:r>
      </w:hyperlink>
    </w:p>
    <w:p w14:paraId="2F474D7C" w14:textId="1B906D47" w:rsidR="00E4262F" w:rsidRPr="00E4262F" w:rsidRDefault="00000000" w:rsidP="00E4262F">
      <w:pPr>
        <w:pStyle w:val="TableofFigures"/>
        <w:tabs>
          <w:tab w:val="right" w:leader="dot" w:pos="9736"/>
        </w:tabs>
        <w:spacing w:line="360" w:lineRule="auto"/>
        <w:rPr>
          <w:rStyle w:val="Hyperlink"/>
        </w:rPr>
      </w:pPr>
      <w:hyperlink w:anchor="_Toc152081874" w:history="1">
        <w:r w:rsidR="00E4262F" w:rsidRPr="00605FF9">
          <w:rPr>
            <w:rStyle w:val="Hyperlink"/>
            <w:noProof/>
          </w:rPr>
          <w:t>Table 6.</w:t>
        </w:r>
        <w:r w:rsidR="00E4262F" w:rsidRPr="00E4262F">
          <w:rPr>
            <w:rStyle w:val="Hyperlink"/>
            <w:noProof/>
          </w:rPr>
          <w:t xml:space="preserve"> </w:t>
        </w:r>
        <w:r w:rsidR="00E4262F" w:rsidRPr="00605FF9">
          <w:rPr>
            <w:rStyle w:val="Hyperlink"/>
            <w:noProof/>
          </w:rPr>
          <w:t>Top</w:t>
        </w:r>
        <w:r w:rsidR="00E4262F" w:rsidRPr="00E4262F">
          <w:rPr>
            <w:rStyle w:val="Hyperlink"/>
            <w:noProof/>
          </w:rPr>
          <w:t xml:space="preserve"> </w:t>
        </w:r>
        <w:r w:rsidR="00E4262F" w:rsidRPr="00605FF9">
          <w:rPr>
            <w:rStyle w:val="Hyperlink"/>
            <w:noProof/>
          </w:rPr>
          <w:t>10</w:t>
        </w:r>
        <w:r w:rsidR="00E4262F" w:rsidRPr="00E4262F">
          <w:rPr>
            <w:rStyle w:val="Hyperlink"/>
            <w:noProof/>
          </w:rPr>
          <w:t xml:space="preserve"> AR-</w:t>
        </w:r>
        <w:r w:rsidR="00E4262F" w:rsidRPr="00605FF9">
          <w:rPr>
            <w:rStyle w:val="Hyperlink"/>
            <w:noProof/>
          </w:rPr>
          <w:t>DRGs</w:t>
        </w:r>
        <w:r w:rsidR="00E4262F" w:rsidRPr="00E4262F">
          <w:rPr>
            <w:rStyle w:val="Hyperlink"/>
            <w:noProof/>
          </w:rPr>
          <w:t xml:space="preserve"> </w:t>
        </w:r>
        <w:r w:rsidR="00E4262F" w:rsidRPr="00605FF9">
          <w:rPr>
            <w:rStyle w:val="Hyperlink"/>
            <w:noProof/>
          </w:rPr>
          <w:t>ranked</w:t>
        </w:r>
        <w:r w:rsidR="00E4262F" w:rsidRPr="00E4262F">
          <w:rPr>
            <w:rStyle w:val="Hyperlink"/>
            <w:noProof/>
          </w:rPr>
          <w:t xml:space="preserve"> </w:t>
        </w:r>
        <w:r w:rsidR="00E4262F" w:rsidRPr="00605FF9">
          <w:rPr>
            <w:rStyle w:val="Hyperlink"/>
            <w:noProof/>
          </w:rPr>
          <w:t>by</w:t>
        </w:r>
        <w:r w:rsidR="00E4262F" w:rsidRPr="00E4262F">
          <w:rPr>
            <w:rStyle w:val="Hyperlink"/>
            <w:noProof/>
          </w:rPr>
          <w:t xml:space="preserve"> </w:t>
        </w:r>
        <w:r w:rsidR="00E4262F" w:rsidRPr="00605FF9">
          <w:rPr>
            <w:rStyle w:val="Hyperlink"/>
            <w:noProof/>
          </w:rPr>
          <w:t>highest</w:t>
        </w:r>
        <w:r w:rsidR="00E4262F" w:rsidRPr="00E4262F">
          <w:rPr>
            <w:rStyle w:val="Hyperlink"/>
            <w:noProof/>
          </w:rPr>
          <w:t xml:space="preserve"> </w:t>
        </w:r>
        <w:r w:rsidR="00E4262F" w:rsidRPr="00605FF9">
          <w:rPr>
            <w:rStyle w:val="Hyperlink"/>
            <w:noProof/>
          </w:rPr>
          <w:t>volume</w:t>
        </w:r>
        <w:r w:rsidR="00E4262F" w:rsidRPr="00E4262F">
          <w:rPr>
            <w:rStyle w:val="Hyperlink"/>
            <w:noProof/>
          </w:rPr>
          <w:t xml:space="preserve"> </w:t>
        </w:r>
        <w:r w:rsidR="00E4262F" w:rsidRPr="00605FF9">
          <w:rPr>
            <w:rStyle w:val="Hyperlink"/>
            <w:noProof/>
          </w:rPr>
          <w:t>of</w:t>
        </w:r>
        <w:r w:rsidR="00E4262F" w:rsidRPr="00E4262F">
          <w:rPr>
            <w:rStyle w:val="Hyperlink"/>
            <w:noProof/>
          </w:rPr>
          <w:t xml:space="preserve"> </w:t>
        </w:r>
        <w:r w:rsidR="00E4262F" w:rsidRPr="00605FF9">
          <w:rPr>
            <w:rStyle w:val="Hyperlink"/>
            <w:noProof/>
          </w:rPr>
          <w:t>population</w:t>
        </w:r>
        <w:r w:rsidR="00E4262F" w:rsidRPr="00E4262F">
          <w:rPr>
            <w:rStyle w:val="Hyperlink"/>
            <w:noProof/>
          </w:rPr>
          <w:t>-</w:t>
        </w:r>
        <w:r w:rsidR="00E4262F" w:rsidRPr="00605FF9">
          <w:rPr>
            <w:rStyle w:val="Hyperlink"/>
            <w:noProof/>
          </w:rPr>
          <w:t>adjusted</w:t>
        </w:r>
        <w:r w:rsidR="00E4262F" w:rsidRPr="00E4262F">
          <w:rPr>
            <w:rStyle w:val="Hyperlink"/>
            <w:noProof/>
          </w:rPr>
          <w:t xml:space="preserve"> </w:t>
        </w:r>
        <w:r w:rsidR="00E4262F" w:rsidRPr="00605FF9">
          <w:rPr>
            <w:rStyle w:val="Hyperlink"/>
            <w:noProof/>
          </w:rPr>
          <w:t>separations</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_Toc152081874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28</w:t>
        </w:r>
        <w:r w:rsidR="00E4262F" w:rsidRPr="00E4262F">
          <w:rPr>
            <w:rStyle w:val="Hyperlink"/>
            <w:webHidden/>
          </w:rPr>
          <w:fldChar w:fldCharType="end"/>
        </w:r>
      </w:hyperlink>
    </w:p>
    <w:p w14:paraId="5D74493D" w14:textId="3F11B0D9" w:rsidR="00E4262F" w:rsidRPr="00E4262F" w:rsidRDefault="00000000" w:rsidP="00E4262F">
      <w:pPr>
        <w:pStyle w:val="TableofFigures"/>
        <w:tabs>
          <w:tab w:val="right" w:leader="dot" w:pos="9736"/>
        </w:tabs>
        <w:spacing w:line="360" w:lineRule="auto"/>
        <w:rPr>
          <w:rStyle w:val="Hyperlink"/>
        </w:rPr>
      </w:pPr>
      <w:hyperlink w:anchor="_Toc152081875" w:history="1">
        <w:r w:rsidR="00E4262F" w:rsidRPr="00605FF9">
          <w:rPr>
            <w:rStyle w:val="Hyperlink"/>
            <w:noProof/>
          </w:rPr>
          <w:t>Table 7. Top 10 AR-DRGs ranked by highest cost weighted separations</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_Toc152081875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30</w:t>
        </w:r>
        <w:r w:rsidR="00E4262F" w:rsidRPr="00E4262F">
          <w:rPr>
            <w:rStyle w:val="Hyperlink"/>
            <w:webHidden/>
          </w:rPr>
          <w:fldChar w:fldCharType="end"/>
        </w:r>
      </w:hyperlink>
    </w:p>
    <w:p w14:paraId="512A9608" w14:textId="34BBBD12" w:rsidR="00E4262F" w:rsidRPr="00E4262F" w:rsidRDefault="00000000" w:rsidP="00E4262F">
      <w:pPr>
        <w:pStyle w:val="TableofFigures"/>
        <w:tabs>
          <w:tab w:val="right" w:leader="dot" w:pos="9736"/>
        </w:tabs>
        <w:spacing w:line="360" w:lineRule="auto"/>
        <w:rPr>
          <w:rStyle w:val="Hyperlink"/>
        </w:rPr>
      </w:pPr>
      <w:hyperlink w:anchor="_Toc152081876" w:history="1">
        <w:r w:rsidR="00E4262F" w:rsidRPr="00605FF9">
          <w:rPr>
            <w:rStyle w:val="Hyperlink"/>
            <w:noProof/>
          </w:rPr>
          <w:t>Table 8. Top 10 AR-DRGs for costs allocated to the operating room and specialist procedures suites cost bucket between 2019-20 to 2021-22.</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_Toc152081876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33</w:t>
        </w:r>
        <w:r w:rsidR="00E4262F" w:rsidRPr="00E4262F">
          <w:rPr>
            <w:rStyle w:val="Hyperlink"/>
            <w:webHidden/>
          </w:rPr>
          <w:fldChar w:fldCharType="end"/>
        </w:r>
      </w:hyperlink>
    </w:p>
    <w:p w14:paraId="69CA87D2" w14:textId="02B3AF0E" w:rsidR="00E4262F" w:rsidRPr="00E4262F" w:rsidRDefault="00000000" w:rsidP="00E4262F">
      <w:pPr>
        <w:pStyle w:val="TableofFigures"/>
        <w:tabs>
          <w:tab w:val="right" w:leader="dot" w:pos="9736"/>
        </w:tabs>
        <w:spacing w:line="360" w:lineRule="auto"/>
        <w:rPr>
          <w:rStyle w:val="Hyperlink"/>
        </w:rPr>
      </w:pPr>
      <w:hyperlink w:anchor="_Toc152081877" w:history="1">
        <w:r w:rsidR="00E4262F" w:rsidRPr="00605FF9">
          <w:rPr>
            <w:rStyle w:val="Hyperlink"/>
            <w:noProof/>
          </w:rPr>
          <w:t>Table 9. Top 10 AR-DRGs for costs allocated to the critical care cost bucket in 2021-22.</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_Toc152081877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34</w:t>
        </w:r>
        <w:r w:rsidR="00E4262F" w:rsidRPr="00E4262F">
          <w:rPr>
            <w:rStyle w:val="Hyperlink"/>
            <w:webHidden/>
          </w:rPr>
          <w:fldChar w:fldCharType="end"/>
        </w:r>
      </w:hyperlink>
    </w:p>
    <w:p w14:paraId="19C9781B" w14:textId="3F780B0D" w:rsidR="00E4262F" w:rsidRPr="00E4262F" w:rsidRDefault="00000000" w:rsidP="00E4262F">
      <w:pPr>
        <w:pStyle w:val="TableofFigures"/>
        <w:tabs>
          <w:tab w:val="right" w:leader="dot" w:pos="9736"/>
        </w:tabs>
        <w:spacing w:line="360" w:lineRule="auto"/>
        <w:rPr>
          <w:rStyle w:val="Hyperlink"/>
        </w:rPr>
      </w:pPr>
      <w:hyperlink w:anchor="_Toc152081878" w:history="1">
        <w:r w:rsidR="00E4262F" w:rsidRPr="00605FF9">
          <w:rPr>
            <w:rStyle w:val="Hyperlink"/>
            <w:noProof/>
          </w:rPr>
          <w:t>Table 10. Top 10 AR-DRGs for costs allocated to the prostheses cost bucket</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_Toc152081878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35</w:t>
        </w:r>
        <w:r w:rsidR="00E4262F" w:rsidRPr="00E4262F">
          <w:rPr>
            <w:rStyle w:val="Hyperlink"/>
            <w:webHidden/>
          </w:rPr>
          <w:fldChar w:fldCharType="end"/>
        </w:r>
      </w:hyperlink>
    </w:p>
    <w:p w14:paraId="61115E1A" w14:textId="42DA3CB6" w:rsidR="00E4262F" w:rsidRPr="00E4262F" w:rsidRDefault="00000000" w:rsidP="00E4262F">
      <w:pPr>
        <w:pStyle w:val="TableofFigures"/>
        <w:tabs>
          <w:tab w:val="right" w:leader="dot" w:pos="9736"/>
        </w:tabs>
        <w:spacing w:line="360" w:lineRule="auto"/>
        <w:rPr>
          <w:rStyle w:val="Hyperlink"/>
        </w:rPr>
      </w:pPr>
      <w:hyperlink w:anchor="_Toc152081879" w:history="1">
        <w:r w:rsidR="00E4262F" w:rsidRPr="00605FF9">
          <w:rPr>
            <w:rStyle w:val="Hyperlink"/>
            <w:noProof/>
          </w:rPr>
          <w:t>Table 11. Number of AR-DRGs by standard error range</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_Toc152081879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43</w:t>
        </w:r>
        <w:r w:rsidR="00E4262F" w:rsidRPr="00E4262F">
          <w:rPr>
            <w:rStyle w:val="Hyperlink"/>
            <w:webHidden/>
          </w:rPr>
          <w:fldChar w:fldCharType="end"/>
        </w:r>
      </w:hyperlink>
    </w:p>
    <w:p w14:paraId="7253F16C" w14:textId="2B653DFB" w:rsidR="00E4262F" w:rsidRPr="00E4262F" w:rsidRDefault="00000000" w:rsidP="00E4262F">
      <w:pPr>
        <w:pStyle w:val="TableofFigures"/>
        <w:tabs>
          <w:tab w:val="right" w:leader="dot" w:pos="9736"/>
        </w:tabs>
        <w:spacing w:line="360" w:lineRule="auto"/>
        <w:rPr>
          <w:rStyle w:val="Hyperlink"/>
        </w:rPr>
      </w:pPr>
      <w:hyperlink w:anchor="_Toc152081880" w:history="1">
        <w:r w:rsidR="00E4262F" w:rsidRPr="00605FF9">
          <w:rPr>
            <w:rStyle w:val="Hyperlink"/>
            <w:noProof/>
          </w:rPr>
          <w:t>Table 12. 2021-22 national consolidation cost weight tables - version 11.0</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_Toc152081880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44</w:t>
        </w:r>
        <w:r w:rsidR="00E4262F" w:rsidRPr="00E4262F">
          <w:rPr>
            <w:rStyle w:val="Hyperlink"/>
            <w:webHidden/>
          </w:rPr>
          <w:fldChar w:fldCharType="end"/>
        </w:r>
      </w:hyperlink>
    </w:p>
    <w:p w14:paraId="19619E3E" w14:textId="3ED5B236" w:rsidR="00E4262F" w:rsidRPr="00E4262F" w:rsidRDefault="00000000" w:rsidP="00E4262F">
      <w:pPr>
        <w:pStyle w:val="TableofFigures"/>
        <w:tabs>
          <w:tab w:val="right" w:leader="dot" w:pos="9736"/>
        </w:tabs>
        <w:spacing w:line="360" w:lineRule="auto"/>
        <w:rPr>
          <w:rStyle w:val="Hyperlink"/>
        </w:rPr>
      </w:pPr>
      <w:hyperlink w:anchor="_Toc152081881" w:history="1">
        <w:r w:rsidR="00E4262F" w:rsidRPr="00605FF9">
          <w:rPr>
            <w:rStyle w:val="Hyperlink"/>
            <w:noProof/>
          </w:rPr>
          <w:t>Table 13. 2021-22 national consolidation cost weight tables - version 10.0</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_Toc152081881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45</w:t>
        </w:r>
        <w:r w:rsidR="00E4262F" w:rsidRPr="00E4262F">
          <w:rPr>
            <w:rStyle w:val="Hyperlink"/>
            <w:webHidden/>
          </w:rPr>
          <w:fldChar w:fldCharType="end"/>
        </w:r>
      </w:hyperlink>
    </w:p>
    <w:p w14:paraId="51007A7A" w14:textId="6C6D3CCD" w:rsidR="00E4262F" w:rsidRPr="00E4262F" w:rsidRDefault="00000000" w:rsidP="00E4262F">
      <w:pPr>
        <w:pStyle w:val="TableofFigures"/>
        <w:tabs>
          <w:tab w:val="right" w:leader="dot" w:pos="9736"/>
        </w:tabs>
        <w:spacing w:line="360" w:lineRule="auto"/>
        <w:rPr>
          <w:rStyle w:val="Hyperlink"/>
        </w:rPr>
      </w:pPr>
      <w:hyperlink w:anchor="_Toc152081882" w:history="1">
        <w:r w:rsidR="00E4262F" w:rsidRPr="00605FF9">
          <w:rPr>
            <w:rStyle w:val="Hyperlink"/>
            <w:noProof/>
          </w:rPr>
          <w:t>Table 14. 2021-22 national consolidation cost weight tables - version 9.0</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_Toc152081882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46</w:t>
        </w:r>
        <w:r w:rsidR="00E4262F" w:rsidRPr="00E4262F">
          <w:rPr>
            <w:rStyle w:val="Hyperlink"/>
            <w:webHidden/>
          </w:rPr>
          <w:fldChar w:fldCharType="end"/>
        </w:r>
      </w:hyperlink>
    </w:p>
    <w:p w14:paraId="1A677EE0" w14:textId="77CBA0B3" w:rsidR="00E4262F" w:rsidRPr="00E4262F" w:rsidRDefault="00000000" w:rsidP="00E4262F">
      <w:pPr>
        <w:pStyle w:val="TableofFigures"/>
        <w:tabs>
          <w:tab w:val="right" w:leader="dot" w:pos="9736"/>
        </w:tabs>
        <w:spacing w:line="360" w:lineRule="auto"/>
        <w:rPr>
          <w:rStyle w:val="Hyperlink"/>
        </w:rPr>
      </w:pPr>
      <w:hyperlink w:anchor="_Toc152081883" w:history="1">
        <w:r w:rsidR="00E4262F" w:rsidRPr="00605FF9">
          <w:rPr>
            <w:rStyle w:val="Hyperlink"/>
            <w:noProof/>
          </w:rPr>
          <w:t>Table 15. 2021-22 national consolidation cost weight tables - version 8.0</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_Toc152081883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47</w:t>
        </w:r>
        <w:r w:rsidR="00E4262F" w:rsidRPr="00E4262F">
          <w:rPr>
            <w:rStyle w:val="Hyperlink"/>
            <w:webHidden/>
          </w:rPr>
          <w:fldChar w:fldCharType="end"/>
        </w:r>
      </w:hyperlink>
    </w:p>
    <w:p w14:paraId="3B34F4CC" w14:textId="0F7B2813" w:rsidR="003B188F" w:rsidRDefault="00506D82" w:rsidP="005629F8">
      <w:pPr>
        <w:pStyle w:val="TableofFigures"/>
        <w:tabs>
          <w:tab w:val="right" w:leader="dot" w:pos="9736"/>
        </w:tabs>
        <w:spacing w:line="360" w:lineRule="auto"/>
        <w:rPr>
          <w:highlight w:val="yellow"/>
        </w:rPr>
      </w:pPr>
      <w:r w:rsidRPr="00E4262F">
        <w:rPr>
          <w:rStyle w:val="Hyperlink"/>
          <w:noProof/>
        </w:rPr>
        <w:fldChar w:fldCharType="end"/>
      </w:r>
    </w:p>
    <w:p w14:paraId="09DBEE1F" w14:textId="77777777" w:rsidR="003B188F" w:rsidRDefault="003B188F">
      <w:pPr>
        <w:spacing w:line="259" w:lineRule="auto"/>
        <w:rPr>
          <w:highlight w:val="yellow"/>
        </w:rPr>
      </w:pPr>
      <w:r>
        <w:rPr>
          <w:highlight w:val="yellow"/>
        </w:rPr>
        <w:br w:type="page"/>
      </w:r>
    </w:p>
    <w:p w14:paraId="255FF52C" w14:textId="431A50C5" w:rsidR="00DB7638" w:rsidRPr="005629F8" w:rsidRDefault="00DB7638" w:rsidP="00E829BF">
      <w:pPr>
        <w:pStyle w:val="Heading3"/>
      </w:pPr>
      <w:bookmarkStart w:id="7" w:name="_Toc129700428"/>
      <w:bookmarkStart w:id="8" w:name="_Toc129700654"/>
      <w:bookmarkStart w:id="9" w:name="_Toc129701347"/>
      <w:r w:rsidRPr="005629F8">
        <w:lastRenderedPageBreak/>
        <w:t>List of Figures</w:t>
      </w:r>
      <w:bookmarkEnd w:id="7"/>
      <w:bookmarkEnd w:id="8"/>
      <w:bookmarkEnd w:id="9"/>
    </w:p>
    <w:p w14:paraId="79BAB0E9" w14:textId="1442B9D7" w:rsidR="00E4262F" w:rsidRPr="00E4262F" w:rsidRDefault="00D02724" w:rsidP="00E4262F">
      <w:pPr>
        <w:pStyle w:val="TableofFigures"/>
        <w:tabs>
          <w:tab w:val="right" w:leader="dot" w:pos="9736"/>
        </w:tabs>
        <w:spacing w:line="360" w:lineRule="auto"/>
        <w:rPr>
          <w:rStyle w:val="Hyperlink"/>
        </w:rPr>
      </w:pPr>
      <w:r w:rsidRPr="002153FC">
        <w:rPr>
          <w:rStyle w:val="Hyperlink"/>
          <w:noProof/>
        </w:rPr>
        <w:fldChar w:fldCharType="begin"/>
      </w:r>
      <w:r w:rsidRPr="002153FC">
        <w:rPr>
          <w:rStyle w:val="Hyperlink"/>
          <w:noProof/>
        </w:rPr>
        <w:instrText xml:space="preserve"> TOC \h \z \c "Figure" </w:instrText>
      </w:r>
      <w:r w:rsidRPr="002153FC">
        <w:rPr>
          <w:rStyle w:val="Hyperlink"/>
          <w:noProof/>
        </w:rPr>
        <w:fldChar w:fldCharType="separate"/>
      </w:r>
      <w:hyperlink w:anchor="_Toc152081844" w:history="1">
        <w:r w:rsidR="00E4262F" w:rsidRPr="00383005">
          <w:rPr>
            <w:rStyle w:val="Hyperlink"/>
            <w:noProof/>
          </w:rPr>
          <w:t>Figure 1. Participating hospitals in the NHCDC</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_Toc152081844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16</w:t>
        </w:r>
        <w:r w:rsidR="00E4262F" w:rsidRPr="00E4262F">
          <w:rPr>
            <w:rStyle w:val="Hyperlink"/>
            <w:webHidden/>
          </w:rPr>
          <w:fldChar w:fldCharType="end"/>
        </w:r>
      </w:hyperlink>
    </w:p>
    <w:p w14:paraId="0A21DE39" w14:textId="7A467453" w:rsidR="00E4262F" w:rsidRPr="00E4262F" w:rsidRDefault="00000000" w:rsidP="00E4262F">
      <w:pPr>
        <w:pStyle w:val="TableofFigures"/>
        <w:tabs>
          <w:tab w:val="right" w:leader="dot" w:pos="9736"/>
        </w:tabs>
        <w:spacing w:line="360" w:lineRule="auto"/>
        <w:rPr>
          <w:rStyle w:val="Hyperlink"/>
        </w:rPr>
      </w:pPr>
      <w:hyperlink w:anchor="_Toc152081845" w:history="1">
        <w:r w:rsidR="00E4262F" w:rsidRPr="00383005">
          <w:rPr>
            <w:rStyle w:val="Hyperlink"/>
            <w:noProof/>
          </w:rPr>
          <w:t>Figure 2. Total private hospital separations and NHCDC participation rate</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_Toc152081845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16</w:t>
        </w:r>
        <w:r w:rsidR="00E4262F" w:rsidRPr="00E4262F">
          <w:rPr>
            <w:rStyle w:val="Hyperlink"/>
            <w:webHidden/>
          </w:rPr>
          <w:fldChar w:fldCharType="end"/>
        </w:r>
      </w:hyperlink>
    </w:p>
    <w:p w14:paraId="5056E2AF" w14:textId="211A3971" w:rsidR="00E4262F" w:rsidRPr="00E4262F" w:rsidRDefault="00000000" w:rsidP="00E4262F">
      <w:pPr>
        <w:pStyle w:val="TableofFigures"/>
        <w:tabs>
          <w:tab w:val="right" w:leader="dot" w:pos="9736"/>
        </w:tabs>
        <w:spacing w:line="360" w:lineRule="auto"/>
        <w:rPr>
          <w:rStyle w:val="Hyperlink"/>
        </w:rPr>
      </w:pPr>
      <w:hyperlink w:anchor="_Toc152081846" w:history="1">
        <w:r w:rsidR="00E4262F" w:rsidRPr="00E4262F">
          <w:rPr>
            <w:rStyle w:val="Hyperlink"/>
            <w:noProof/>
          </w:rPr>
          <w:t>Figure 3. Average Length of Stay (ALOS)</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_Toc152081846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17</w:t>
        </w:r>
        <w:r w:rsidR="00E4262F" w:rsidRPr="00E4262F">
          <w:rPr>
            <w:rStyle w:val="Hyperlink"/>
            <w:webHidden/>
          </w:rPr>
          <w:fldChar w:fldCharType="end"/>
        </w:r>
      </w:hyperlink>
    </w:p>
    <w:p w14:paraId="30433355" w14:textId="61B3172E" w:rsidR="00E4262F" w:rsidRPr="00E4262F" w:rsidRDefault="00000000" w:rsidP="00E4262F">
      <w:pPr>
        <w:pStyle w:val="TableofFigures"/>
        <w:tabs>
          <w:tab w:val="right" w:leader="dot" w:pos="9736"/>
        </w:tabs>
        <w:spacing w:line="360" w:lineRule="auto"/>
        <w:rPr>
          <w:rStyle w:val="Hyperlink"/>
        </w:rPr>
      </w:pPr>
      <w:hyperlink w:anchor="_Toc152081847" w:history="1">
        <w:r w:rsidR="00E4262F" w:rsidRPr="00383005">
          <w:rPr>
            <w:rStyle w:val="Hyperlink"/>
            <w:noProof/>
          </w:rPr>
          <w:t>Figure 4. Separations and cost for MDC 06: Diseases and Disorders of the Digestive System</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_Toc152081847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21</w:t>
        </w:r>
        <w:r w:rsidR="00E4262F" w:rsidRPr="00E4262F">
          <w:rPr>
            <w:rStyle w:val="Hyperlink"/>
            <w:webHidden/>
          </w:rPr>
          <w:fldChar w:fldCharType="end"/>
        </w:r>
      </w:hyperlink>
    </w:p>
    <w:p w14:paraId="1D1522F7" w14:textId="49C90006" w:rsidR="00E4262F" w:rsidRPr="00E4262F" w:rsidRDefault="00000000" w:rsidP="00E4262F">
      <w:pPr>
        <w:pStyle w:val="TableofFigures"/>
        <w:tabs>
          <w:tab w:val="right" w:leader="dot" w:pos="9736"/>
        </w:tabs>
        <w:spacing w:line="360" w:lineRule="auto"/>
        <w:rPr>
          <w:rStyle w:val="Hyperlink"/>
        </w:rPr>
      </w:pPr>
      <w:hyperlink w:anchor="_Toc152081848" w:history="1">
        <w:r w:rsidR="00E4262F" w:rsidRPr="00383005">
          <w:rPr>
            <w:rStyle w:val="Hyperlink"/>
            <w:noProof/>
          </w:rPr>
          <w:t>Figure 5. Separations and Cost for MDC 04: Diseases and Disorders of the Respiratory System</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_Toc152081848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22</w:t>
        </w:r>
        <w:r w:rsidR="00E4262F" w:rsidRPr="00E4262F">
          <w:rPr>
            <w:rStyle w:val="Hyperlink"/>
            <w:webHidden/>
          </w:rPr>
          <w:fldChar w:fldCharType="end"/>
        </w:r>
      </w:hyperlink>
    </w:p>
    <w:p w14:paraId="4EEB2476" w14:textId="3F64FAD4" w:rsidR="00E4262F" w:rsidRPr="00E4262F" w:rsidRDefault="00000000" w:rsidP="00E4262F">
      <w:pPr>
        <w:pStyle w:val="TableofFigures"/>
        <w:tabs>
          <w:tab w:val="right" w:leader="dot" w:pos="9736"/>
        </w:tabs>
        <w:spacing w:line="360" w:lineRule="auto"/>
        <w:rPr>
          <w:rStyle w:val="Hyperlink"/>
        </w:rPr>
      </w:pPr>
      <w:hyperlink w:anchor="_Toc152081849" w:history="1">
        <w:r w:rsidR="00E4262F" w:rsidRPr="00383005">
          <w:rPr>
            <w:rStyle w:val="Hyperlink"/>
            <w:noProof/>
          </w:rPr>
          <w:t>Figure 6. Separations and Cost for MDC 19: Mental Diseases and Disorders</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_Toc152081849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22</w:t>
        </w:r>
        <w:r w:rsidR="00E4262F" w:rsidRPr="00E4262F">
          <w:rPr>
            <w:rStyle w:val="Hyperlink"/>
            <w:webHidden/>
          </w:rPr>
          <w:fldChar w:fldCharType="end"/>
        </w:r>
      </w:hyperlink>
    </w:p>
    <w:p w14:paraId="2DE2AEB1" w14:textId="4CC15FF0" w:rsidR="00E4262F" w:rsidRPr="00E4262F" w:rsidRDefault="00000000" w:rsidP="00E4262F">
      <w:pPr>
        <w:pStyle w:val="TableofFigures"/>
        <w:tabs>
          <w:tab w:val="right" w:leader="dot" w:pos="9736"/>
        </w:tabs>
        <w:spacing w:line="360" w:lineRule="auto"/>
        <w:rPr>
          <w:rStyle w:val="Hyperlink"/>
        </w:rPr>
      </w:pPr>
      <w:hyperlink w:anchor="_Toc152081850" w:history="1">
        <w:r w:rsidR="00E4262F" w:rsidRPr="00383005">
          <w:rPr>
            <w:rStyle w:val="Hyperlink"/>
            <w:noProof/>
          </w:rPr>
          <w:t>Figure 7. Comparison of top 10 AR-DRGs ranked by highest cost weight, 2019-20 to 2021-22</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_Toc152081850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23</w:t>
        </w:r>
        <w:r w:rsidR="00E4262F" w:rsidRPr="00E4262F">
          <w:rPr>
            <w:rStyle w:val="Hyperlink"/>
            <w:webHidden/>
          </w:rPr>
          <w:fldChar w:fldCharType="end"/>
        </w:r>
      </w:hyperlink>
    </w:p>
    <w:p w14:paraId="6C547E63" w14:textId="66E574DE" w:rsidR="00E4262F" w:rsidRPr="00E4262F" w:rsidRDefault="00000000" w:rsidP="00E4262F">
      <w:pPr>
        <w:pStyle w:val="TableofFigures"/>
        <w:tabs>
          <w:tab w:val="right" w:leader="dot" w:pos="9736"/>
        </w:tabs>
        <w:spacing w:line="360" w:lineRule="auto"/>
        <w:rPr>
          <w:rStyle w:val="Hyperlink"/>
        </w:rPr>
      </w:pPr>
      <w:hyperlink w:anchor="_Toc152081851" w:history="1">
        <w:r w:rsidR="00E4262F" w:rsidRPr="00383005">
          <w:rPr>
            <w:rStyle w:val="Hyperlink"/>
            <w:noProof/>
          </w:rPr>
          <w:t>Figure 8. Total Weighted Separations and ALOS</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_Toc152081851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26</w:t>
        </w:r>
        <w:r w:rsidR="00E4262F" w:rsidRPr="00E4262F">
          <w:rPr>
            <w:rStyle w:val="Hyperlink"/>
            <w:webHidden/>
          </w:rPr>
          <w:fldChar w:fldCharType="end"/>
        </w:r>
      </w:hyperlink>
    </w:p>
    <w:p w14:paraId="00817DC0" w14:textId="271A867B" w:rsidR="00E4262F" w:rsidRPr="00E4262F" w:rsidRDefault="00000000" w:rsidP="00E4262F">
      <w:pPr>
        <w:pStyle w:val="TableofFigures"/>
        <w:tabs>
          <w:tab w:val="right" w:leader="dot" w:pos="9736"/>
        </w:tabs>
        <w:spacing w:line="360" w:lineRule="auto"/>
        <w:rPr>
          <w:rStyle w:val="Hyperlink"/>
        </w:rPr>
      </w:pPr>
      <w:hyperlink w:anchor="_Toc152081852" w:history="1">
        <w:r w:rsidR="00E4262F" w:rsidRPr="00383005">
          <w:rPr>
            <w:rStyle w:val="Hyperlink"/>
            <w:noProof/>
          </w:rPr>
          <w:t>Figure 9. Comparison of top 10 AR-DRGs by highest volume of population-adjusted separations, 2018-19 to 2021-22</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_Toc152081852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27</w:t>
        </w:r>
        <w:r w:rsidR="00E4262F" w:rsidRPr="00E4262F">
          <w:rPr>
            <w:rStyle w:val="Hyperlink"/>
            <w:webHidden/>
          </w:rPr>
          <w:fldChar w:fldCharType="end"/>
        </w:r>
      </w:hyperlink>
    </w:p>
    <w:p w14:paraId="02C1E3E1" w14:textId="50C1CB4C" w:rsidR="00E4262F" w:rsidRPr="00E4262F" w:rsidRDefault="00000000" w:rsidP="00E4262F">
      <w:pPr>
        <w:pStyle w:val="TableofFigures"/>
        <w:tabs>
          <w:tab w:val="right" w:leader="dot" w:pos="9736"/>
        </w:tabs>
        <w:spacing w:line="360" w:lineRule="auto"/>
        <w:rPr>
          <w:rStyle w:val="Hyperlink"/>
        </w:rPr>
      </w:pPr>
      <w:hyperlink w:anchor="_Toc152081853" w:history="1">
        <w:r w:rsidR="00E4262F" w:rsidRPr="00383005">
          <w:rPr>
            <w:rStyle w:val="Hyperlink"/>
            <w:noProof/>
          </w:rPr>
          <w:t>Figure 10. Comparison of top 10 AR-DRGs by highest cost weighted separations, 2019-20 to 2021-22</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_Toc152081853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29</w:t>
        </w:r>
        <w:r w:rsidR="00E4262F" w:rsidRPr="00E4262F">
          <w:rPr>
            <w:rStyle w:val="Hyperlink"/>
            <w:webHidden/>
          </w:rPr>
          <w:fldChar w:fldCharType="end"/>
        </w:r>
      </w:hyperlink>
    </w:p>
    <w:p w14:paraId="634FD9E5" w14:textId="62A0E335" w:rsidR="00E4262F" w:rsidRPr="00E4262F" w:rsidRDefault="00000000" w:rsidP="00E4262F">
      <w:pPr>
        <w:pStyle w:val="TableofFigures"/>
        <w:tabs>
          <w:tab w:val="right" w:leader="dot" w:pos="9736"/>
        </w:tabs>
        <w:spacing w:line="360" w:lineRule="auto"/>
        <w:rPr>
          <w:rStyle w:val="Hyperlink"/>
        </w:rPr>
      </w:pPr>
      <w:hyperlink w:anchor="_Toc152081854" w:history="1">
        <w:r w:rsidR="00E4262F" w:rsidRPr="00383005">
          <w:rPr>
            <w:rStyle w:val="Hyperlink"/>
            <w:noProof/>
          </w:rPr>
          <w:t>Figure 11. Breakdown of costs by cost bucket group</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_Toc152081854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31</w:t>
        </w:r>
        <w:r w:rsidR="00E4262F" w:rsidRPr="00E4262F">
          <w:rPr>
            <w:rStyle w:val="Hyperlink"/>
            <w:webHidden/>
          </w:rPr>
          <w:fldChar w:fldCharType="end"/>
        </w:r>
      </w:hyperlink>
    </w:p>
    <w:p w14:paraId="09672383" w14:textId="759BB9EB" w:rsidR="00E4262F" w:rsidRPr="00E4262F" w:rsidRDefault="00000000" w:rsidP="00E4262F">
      <w:pPr>
        <w:pStyle w:val="TableofFigures"/>
        <w:tabs>
          <w:tab w:val="right" w:leader="dot" w:pos="9736"/>
        </w:tabs>
        <w:spacing w:line="360" w:lineRule="auto"/>
        <w:rPr>
          <w:rStyle w:val="Hyperlink"/>
        </w:rPr>
      </w:pPr>
      <w:hyperlink w:anchor="_Toc152081855" w:history="1">
        <w:r w:rsidR="00E4262F" w:rsidRPr="00383005">
          <w:rPr>
            <w:rStyle w:val="Hyperlink"/>
            <w:noProof/>
          </w:rPr>
          <w:t>Figure 12. Separations in Participant Private Hospitals by jurisdiction</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_Toc152081855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37</w:t>
        </w:r>
        <w:r w:rsidR="00E4262F" w:rsidRPr="00E4262F">
          <w:rPr>
            <w:rStyle w:val="Hyperlink"/>
            <w:webHidden/>
          </w:rPr>
          <w:fldChar w:fldCharType="end"/>
        </w:r>
      </w:hyperlink>
    </w:p>
    <w:p w14:paraId="54CA0060" w14:textId="119EE73F" w:rsidR="00E4262F" w:rsidRPr="00E4262F" w:rsidRDefault="00000000" w:rsidP="00E4262F">
      <w:pPr>
        <w:pStyle w:val="TableofFigures"/>
        <w:tabs>
          <w:tab w:val="right" w:leader="dot" w:pos="9736"/>
        </w:tabs>
        <w:spacing w:line="360" w:lineRule="auto"/>
        <w:rPr>
          <w:rStyle w:val="Hyperlink"/>
        </w:rPr>
      </w:pPr>
      <w:hyperlink w:anchor="_Toc152081856" w:history="1">
        <w:r w:rsidR="00E4262F" w:rsidRPr="00383005">
          <w:rPr>
            <w:rStyle w:val="Hyperlink"/>
            <w:noProof/>
          </w:rPr>
          <w:t>Figure 13. Separations by month for intervention episodes</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_Toc152081856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38</w:t>
        </w:r>
        <w:r w:rsidR="00E4262F" w:rsidRPr="00E4262F">
          <w:rPr>
            <w:rStyle w:val="Hyperlink"/>
            <w:webHidden/>
          </w:rPr>
          <w:fldChar w:fldCharType="end"/>
        </w:r>
      </w:hyperlink>
    </w:p>
    <w:p w14:paraId="647D4E05" w14:textId="4AD30E05" w:rsidR="00E4262F" w:rsidRPr="00E4262F" w:rsidRDefault="00000000" w:rsidP="00E4262F">
      <w:pPr>
        <w:pStyle w:val="TableofFigures"/>
        <w:tabs>
          <w:tab w:val="right" w:leader="dot" w:pos="9736"/>
        </w:tabs>
        <w:spacing w:line="360" w:lineRule="auto"/>
        <w:rPr>
          <w:rStyle w:val="Hyperlink"/>
        </w:rPr>
      </w:pPr>
      <w:hyperlink w:anchor="_Toc152081857" w:history="1">
        <w:r w:rsidR="00E4262F" w:rsidRPr="00383005">
          <w:rPr>
            <w:rStyle w:val="Hyperlink"/>
            <w:noProof/>
          </w:rPr>
          <w:t>Figure 14. Separations by month for medical episodes</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_Toc152081857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38</w:t>
        </w:r>
        <w:r w:rsidR="00E4262F" w:rsidRPr="00E4262F">
          <w:rPr>
            <w:rStyle w:val="Hyperlink"/>
            <w:webHidden/>
          </w:rPr>
          <w:fldChar w:fldCharType="end"/>
        </w:r>
      </w:hyperlink>
    </w:p>
    <w:p w14:paraId="36270C47" w14:textId="3BBD4B5E" w:rsidR="00E4262F" w:rsidRPr="00E4262F" w:rsidRDefault="00000000" w:rsidP="00E4262F">
      <w:pPr>
        <w:pStyle w:val="TableofFigures"/>
        <w:tabs>
          <w:tab w:val="right" w:leader="dot" w:pos="9736"/>
        </w:tabs>
        <w:spacing w:line="360" w:lineRule="auto"/>
        <w:rPr>
          <w:rStyle w:val="Hyperlink"/>
        </w:rPr>
      </w:pPr>
      <w:hyperlink w:anchor="_Toc152081858" w:history="1">
        <w:r w:rsidR="00E4262F" w:rsidRPr="00383005">
          <w:rPr>
            <w:rStyle w:val="Hyperlink"/>
            <w:noProof/>
          </w:rPr>
          <w:t>Figure 15. Cost bucket matrix</w:t>
        </w:r>
        <w:r w:rsidR="00E4262F" w:rsidRPr="00E4262F">
          <w:rPr>
            <w:rStyle w:val="Hyperlink"/>
            <w:webHidden/>
          </w:rPr>
          <w:tab/>
        </w:r>
        <w:r w:rsidR="00E4262F" w:rsidRPr="00E4262F">
          <w:rPr>
            <w:rStyle w:val="Hyperlink"/>
            <w:webHidden/>
          </w:rPr>
          <w:fldChar w:fldCharType="begin"/>
        </w:r>
        <w:r w:rsidR="00E4262F" w:rsidRPr="00E4262F">
          <w:rPr>
            <w:rStyle w:val="Hyperlink"/>
            <w:webHidden/>
          </w:rPr>
          <w:instrText xml:space="preserve"> PAGEREF _Toc152081858 \h </w:instrText>
        </w:r>
        <w:r w:rsidR="00E4262F" w:rsidRPr="00E4262F">
          <w:rPr>
            <w:rStyle w:val="Hyperlink"/>
            <w:webHidden/>
          </w:rPr>
        </w:r>
        <w:r w:rsidR="00E4262F" w:rsidRPr="00E4262F">
          <w:rPr>
            <w:rStyle w:val="Hyperlink"/>
            <w:webHidden/>
          </w:rPr>
          <w:fldChar w:fldCharType="separate"/>
        </w:r>
        <w:r w:rsidR="00E4262F" w:rsidRPr="00E4262F">
          <w:rPr>
            <w:rStyle w:val="Hyperlink"/>
            <w:webHidden/>
          </w:rPr>
          <w:t>48</w:t>
        </w:r>
        <w:r w:rsidR="00E4262F" w:rsidRPr="00E4262F">
          <w:rPr>
            <w:rStyle w:val="Hyperlink"/>
            <w:webHidden/>
          </w:rPr>
          <w:fldChar w:fldCharType="end"/>
        </w:r>
      </w:hyperlink>
    </w:p>
    <w:p w14:paraId="7EE78807" w14:textId="130EE04E" w:rsidR="00CC36FF" w:rsidRPr="0006305C" w:rsidRDefault="00D02724" w:rsidP="002153FC">
      <w:pPr>
        <w:pStyle w:val="TableofFigures"/>
        <w:tabs>
          <w:tab w:val="right" w:leader="dot" w:pos="9736"/>
        </w:tabs>
        <w:spacing w:line="360" w:lineRule="auto"/>
        <w:rPr>
          <w:sz w:val="18"/>
          <w:szCs w:val="18"/>
          <w:highlight w:val="yellow"/>
        </w:rPr>
      </w:pPr>
      <w:r w:rsidRPr="002153FC">
        <w:rPr>
          <w:rStyle w:val="Hyperlink"/>
          <w:noProof/>
        </w:rPr>
        <w:fldChar w:fldCharType="end"/>
      </w:r>
      <w:r w:rsidR="00CC36FF" w:rsidRPr="0006305C">
        <w:rPr>
          <w:sz w:val="18"/>
          <w:szCs w:val="18"/>
          <w:highlight w:val="yellow"/>
        </w:rPr>
        <w:br w:type="page"/>
      </w:r>
    </w:p>
    <w:p w14:paraId="38B1A695" w14:textId="6287CDC7" w:rsidR="009721F9" w:rsidRPr="00E87B16" w:rsidRDefault="00C5247D" w:rsidP="00FC4599">
      <w:pPr>
        <w:pStyle w:val="Heading1"/>
      </w:pPr>
      <w:bookmarkStart w:id="10" w:name="_Toc152080388"/>
      <w:r w:rsidRPr="00E87B16">
        <w:lastRenderedPageBreak/>
        <w:t xml:space="preserve">Executive </w:t>
      </w:r>
      <w:r w:rsidR="00F06F86">
        <w:t>s</w:t>
      </w:r>
      <w:r w:rsidRPr="00E87B16">
        <w:t>ummary</w:t>
      </w:r>
      <w:bookmarkEnd w:id="10"/>
    </w:p>
    <w:p w14:paraId="023E263A" w14:textId="5C13B953" w:rsidR="00C5247D" w:rsidRPr="005629F8" w:rsidRDefault="00C5247D" w:rsidP="00B14BDD">
      <w:r w:rsidRPr="005629F8">
        <w:t xml:space="preserve">The National Hospital Cost Data Collection (NHCDC) </w:t>
      </w:r>
      <w:r w:rsidR="00BE7700">
        <w:t xml:space="preserve">Private Sector </w:t>
      </w:r>
      <w:r w:rsidRPr="005629F8">
        <w:t xml:space="preserve">is a voluntary collection </w:t>
      </w:r>
      <w:proofErr w:type="gramStart"/>
      <w:r w:rsidRPr="005629F8">
        <w:t>that</w:t>
      </w:r>
      <w:r w:rsidR="00F509C3">
        <w:rPr>
          <w:spacing w:val="-59"/>
        </w:rPr>
        <w:t xml:space="preserve">  </w:t>
      </w:r>
      <w:r w:rsidRPr="005629F8">
        <w:t>produces</w:t>
      </w:r>
      <w:proofErr w:type="gramEnd"/>
      <w:r w:rsidRPr="005629F8">
        <w:t xml:space="preserve"> a range of hospital cost and activity information by Australian Refined Diagnosis</w:t>
      </w:r>
      <w:r w:rsidRPr="005629F8">
        <w:rPr>
          <w:spacing w:val="1"/>
        </w:rPr>
        <w:t xml:space="preserve"> </w:t>
      </w:r>
      <w:r w:rsidRPr="005629F8">
        <w:t xml:space="preserve">Related Groups (AR-DRG). This report includes the findings from </w:t>
      </w:r>
      <w:r w:rsidR="00CB5115" w:rsidRPr="005629F8">
        <w:rPr>
          <w:spacing w:val="1"/>
        </w:rPr>
        <w:t xml:space="preserve">the </w:t>
      </w:r>
      <w:r w:rsidR="002F3E4C" w:rsidRPr="005629F8">
        <w:t>202</w:t>
      </w:r>
      <w:r w:rsidR="00EE0915">
        <w:t>1</w:t>
      </w:r>
      <w:r w:rsidR="002F3E4C" w:rsidRPr="005629F8">
        <w:t>-2</w:t>
      </w:r>
      <w:r w:rsidR="00EE0915">
        <w:t>2</w:t>
      </w:r>
      <w:r w:rsidRPr="005629F8">
        <w:t xml:space="preserve"> NHCDC</w:t>
      </w:r>
      <w:r w:rsidR="002F3E4C" w:rsidRPr="005629F8">
        <w:t>,</w:t>
      </w:r>
      <w:r w:rsidRPr="005629F8">
        <w:t xml:space="preserve"> for admitted acute care provided by 103 </w:t>
      </w:r>
      <w:r w:rsidR="00605F54">
        <w:t xml:space="preserve">in-scope </w:t>
      </w:r>
      <w:r w:rsidRPr="005629F8">
        <w:t>overnight private hospitals and</w:t>
      </w:r>
      <w:r w:rsidRPr="005629F8">
        <w:rPr>
          <w:spacing w:val="-59"/>
        </w:rPr>
        <w:t xml:space="preserve"> </w:t>
      </w:r>
      <w:r w:rsidR="004575B8" w:rsidRPr="005629F8">
        <w:rPr>
          <w:spacing w:val="-59"/>
        </w:rPr>
        <w:t xml:space="preserve"> </w:t>
      </w:r>
      <w:r w:rsidR="004575B8" w:rsidRPr="005629F8">
        <w:t xml:space="preserve"> represents </w:t>
      </w:r>
      <w:r w:rsidRPr="005629F8">
        <w:t>6</w:t>
      </w:r>
      <w:r w:rsidR="00CB5115" w:rsidRPr="005629F8">
        <w:t>5</w:t>
      </w:r>
      <w:r w:rsidRPr="005629F8">
        <w:t>.</w:t>
      </w:r>
      <w:r w:rsidR="00EE0915">
        <w:t>4</w:t>
      </w:r>
      <w:r w:rsidR="00FE7599">
        <w:t>%</w:t>
      </w:r>
      <w:r w:rsidRPr="005629F8">
        <w:rPr>
          <w:spacing w:val="-2"/>
        </w:rPr>
        <w:t xml:space="preserve"> </w:t>
      </w:r>
      <w:r w:rsidRPr="005629F8">
        <w:t>of</w:t>
      </w:r>
      <w:r w:rsidRPr="005629F8">
        <w:rPr>
          <w:spacing w:val="-1"/>
        </w:rPr>
        <w:t xml:space="preserve"> </w:t>
      </w:r>
      <w:r w:rsidRPr="005629F8">
        <w:t>private</w:t>
      </w:r>
      <w:r w:rsidRPr="005629F8">
        <w:rPr>
          <w:spacing w:val="1"/>
        </w:rPr>
        <w:t xml:space="preserve"> </w:t>
      </w:r>
      <w:r w:rsidRPr="005629F8">
        <w:t>hospital</w:t>
      </w:r>
      <w:r w:rsidRPr="005629F8">
        <w:rPr>
          <w:spacing w:val="-2"/>
        </w:rPr>
        <w:t xml:space="preserve"> </w:t>
      </w:r>
      <w:r w:rsidRPr="005629F8">
        <w:t>activity.</w:t>
      </w:r>
    </w:p>
    <w:p w14:paraId="254D3CF7" w14:textId="096CA466" w:rsidR="00C5247D" w:rsidRPr="005629F8" w:rsidRDefault="00C46A77" w:rsidP="00B14BDD">
      <w:r w:rsidRPr="00C46A77">
        <w:rPr>
          <w:noProof/>
        </w:rPr>
        <w:drawing>
          <wp:anchor distT="0" distB="0" distL="114300" distR="114300" simplePos="0" relativeHeight="251663360" behindDoc="0" locked="0" layoutInCell="1" allowOverlap="1" wp14:anchorId="7EFEFCDF" wp14:editId="19104386">
            <wp:simplePos x="0" y="0"/>
            <wp:positionH relativeFrom="column">
              <wp:posOffset>3129915</wp:posOffset>
            </wp:positionH>
            <wp:positionV relativeFrom="paragraph">
              <wp:posOffset>748665</wp:posOffset>
            </wp:positionV>
            <wp:extent cx="3220720" cy="2495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0720" cy="2495550"/>
                    </a:xfrm>
                    <a:prstGeom prst="rect">
                      <a:avLst/>
                    </a:prstGeom>
                  </pic:spPr>
                </pic:pic>
              </a:graphicData>
            </a:graphic>
            <wp14:sizeRelH relativeFrom="page">
              <wp14:pctWidth>0</wp14:pctWidth>
            </wp14:sizeRelH>
            <wp14:sizeRelV relativeFrom="page">
              <wp14:pctHeight>0</wp14:pctHeight>
            </wp14:sizeRelV>
          </wp:anchor>
        </w:drawing>
      </w:r>
      <w:r w:rsidR="00C5247D" w:rsidRPr="005629F8">
        <w:t xml:space="preserve">The COVID-19 global pandemic impacted Australia from March 2020 onwards, resulting in </w:t>
      </w:r>
      <w:r w:rsidR="00C7507F">
        <w:t>jurisdictional</w:t>
      </w:r>
      <w:r w:rsidR="00C5247D" w:rsidRPr="005629F8">
        <w:t xml:space="preserve"> lockdowns and restrictions on elective surgeries. This</w:t>
      </w:r>
      <w:r w:rsidR="00C7507F">
        <w:t xml:space="preserve"> significantly</w:t>
      </w:r>
      <w:r w:rsidR="00C5247D" w:rsidRPr="005629F8">
        <w:t xml:space="preserve"> impacted hospital </w:t>
      </w:r>
      <w:r w:rsidR="00C7507F">
        <w:t>services (both public and private)</w:t>
      </w:r>
      <w:r w:rsidR="00B408BE">
        <w:t>,</w:t>
      </w:r>
      <w:r w:rsidR="00110CD5">
        <w:t xml:space="preserve"> </w:t>
      </w:r>
      <w:r w:rsidR="00C5247D" w:rsidRPr="005629F8">
        <w:t>reflected in the activity volumes and cost profiles of the data collection</w:t>
      </w:r>
      <w:r w:rsidR="00C7507F">
        <w:t xml:space="preserve">. This has been an area of focused analysis </w:t>
      </w:r>
      <w:r w:rsidR="00F8497C">
        <w:t>of the NHCDC</w:t>
      </w:r>
      <w:r w:rsidR="00BE7700">
        <w:t xml:space="preserve"> Private Sector 2021-22</w:t>
      </w:r>
      <w:r w:rsidR="00C5247D" w:rsidRPr="005629F8">
        <w:t>.</w:t>
      </w:r>
    </w:p>
    <w:p w14:paraId="60F85F67" w14:textId="55E668FD" w:rsidR="00B14BDD" w:rsidRPr="00FC4599" w:rsidRDefault="00B14BDD" w:rsidP="00FC4599">
      <w:pPr>
        <w:pStyle w:val="Heading2"/>
      </w:pPr>
      <w:bookmarkStart w:id="11" w:name="_Toc129700430"/>
      <w:bookmarkStart w:id="12" w:name="_Toc129700656"/>
      <w:bookmarkStart w:id="13" w:name="_Toc129701349"/>
      <w:r w:rsidRPr="00FC4599">
        <w:t>Participation</w:t>
      </w:r>
      <w:bookmarkEnd w:id="11"/>
      <w:bookmarkEnd w:id="12"/>
      <w:bookmarkEnd w:id="13"/>
    </w:p>
    <w:p w14:paraId="33B3AC98" w14:textId="45754608" w:rsidR="00143863" w:rsidRPr="005629F8" w:rsidRDefault="29F711A1" w:rsidP="00143863">
      <w:r w:rsidRPr="005629F8">
        <w:t>Twelve</w:t>
      </w:r>
      <w:r w:rsidR="00EA7E4A" w:rsidRPr="005629F8">
        <w:t xml:space="preserve"> </w:t>
      </w:r>
      <w:r w:rsidR="2416D638" w:rsidRPr="005629F8">
        <w:t xml:space="preserve">hospital groups nationally participated in </w:t>
      </w:r>
      <w:r w:rsidR="00EA7E4A" w:rsidRPr="005629F8">
        <w:t>20</w:t>
      </w:r>
      <w:r w:rsidRPr="005629F8">
        <w:t>2</w:t>
      </w:r>
      <w:r w:rsidR="00EE0915">
        <w:t>1</w:t>
      </w:r>
      <w:r w:rsidR="00EA7E4A" w:rsidRPr="005629F8">
        <w:t>-2</w:t>
      </w:r>
      <w:r w:rsidR="00EE0915">
        <w:t>2</w:t>
      </w:r>
      <w:r w:rsidR="2416D638" w:rsidRPr="005629F8">
        <w:t>.</w:t>
      </w:r>
      <w:r w:rsidR="6AA1FD95" w:rsidRPr="1FFE3681">
        <w:t xml:space="preserve"> </w:t>
      </w:r>
      <w:r w:rsidR="44406675" w:rsidRPr="005629F8">
        <w:t>Analysis of the</w:t>
      </w:r>
      <w:r w:rsidR="44406675" w:rsidRPr="005629F8">
        <w:rPr>
          <w:spacing w:val="1"/>
        </w:rPr>
        <w:t xml:space="preserve"> </w:t>
      </w:r>
      <w:r w:rsidR="44406675" w:rsidRPr="005629F8">
        <w:t xml:space="preserve">data confirmed that the </w:t>
      </w:r>
      <w:r w:rsidR="6AA1FD95" w:rsidRPr="1FFE3681">
        <w:t xml:space="preserve">volume of participating hospitals </w:t>
      </w:r>
      <w:r w:rsidR="00E21ACD">
        <w:t xml:space="preserve">and separations </w:t>
      </w:r>
      <w:r w:rsidR="002E73DA">
        <w:t>(65.4</w:t>
      </w:r>
      <w:r w:rsidR="00FE7599">
        <w:t>%</w:t>
      </w:r>
      <w:r w:rsidR="00BF0314">
        <w:t xml:space="preserve"> </w:t>
      </w:r>
      <w:r w:rsidR="002E73DA">
        <w:t xml:space="preserve">participation rate) </w:t>
      </w:r>
      <w:r w:rsidR="6AA1FD95" w:rsidRPr="1FFE3681">
        <w:t xml:space="preserve">was sufficient for </w:t>
      </w:r>
      <w:r w:rsidR="00AE2F94">
        <w:t xml:space="preserve">the </w:t>
      </w:r>
      <w:r w:rsidR="1F77F63A" w:rsidRPr="005629F8">
        <w:t>I</w:t>
      </w:r>
      <w:r w:rsidR="00AE2F94">
        <w:t xml:space="preserve">ndependent </w:t>
      </w:r>
      <w:r w:rsidR="1F77F63A" w:rsidRPr="005629F8">
        <w:t>H</w:t>
      </w:r>
      <w:r w:rsidR="00AE2F94">
        <w:t xml:space="preserve">ealth and </w:t>
      </w:r>
      <w:r w:rsidR="1F77F63A" w:rsidRPr="005629F8">
        <w:t>A</w:t>
      </w:r>
      <w:r w:rsidR="00AE2F94">
        <w:t xml:space="preserve">ged </w:t>
      </w:r>
      <w:r w:rsidR="1F77F63A" w:rsidRPr="005629F8">
        <w:t>C</w:t>
      </w:r>
      <w:r w:rsidR="00AE2F94">
        <w:t xml:space="preserve">are </w:t>
      </w:r>
      <w:r w:rsidR="1F77F63A" w:rsidRPr="005629F8">
        <w:t>P</w:t>
      </w:r>
      <w:r w:rsidR="00AE2F94">
        <w:t xml:space="preserve">ricing </w:t>
      </w:r>
      <w:r w:rsidR="1F77F63A" w:rsidRPr="005629F8">
        <w:t>A</w:t>
      </w:r>
      <w:r w:rsidR="00AE2F94">
        <w:t>uthority (IHACPA)</w:t>
      </w:r>
      <w:r w:rsidR="44406675" w:rsidRPr="005629F8">
        <w:rPr>
          <w:spacing w:val="-2"/>
        </w:rPr>
        <w:t xml:space="preserve"> </w:t>
      </w:r>
      <w:r w:rsidR="44406675" w:rsidRPr="005629F8">
        <w:t xml:space="preserve">to </w:t>
      </w:r>
      <w:r w:rsidR="6AA1FD95" w:rsidRPr="1FFE3681">
        <w:t>publish this report</w:t>
      </w:r>
      <w:r w:rsidR="44406675" w:rsidRPr="005629F8">
        <w:t>.</w:t>
      </w:r>
      <w:r w:rsidR="44406675" w:rsidRPr="005629F8">
        <w:rPr>
          <w:spacing w:val="-1"/>
        </w:rPr>
        <w:t xml:space="preserve"> </w:t>
      </w:r>
      <w:r w:rsidR="006A24A1">
        <w:rPr>
          <w:spacing w:val="-1"/>
        </w:rPr>
        <w:t>F</w:t>
      </w:r>
      <w:r w:rsidR="44406675" w:rsidRPr="005629F8">
        <w:t>ull details</w:t>
      </w:r>
      <w:r w:rsidR="44406675" w:rsidRPr="005629F8">
        <w:rPr>
          <w:spacing w:val="1"/>
        </w:rPr>
        <w:t xml:space="preserve"> </w:t>
      </w:r>
      <w:r w:rsidR="44406675" w:rsidRPr="005629F8">
        <w:t>can be</w:t>
      </w:r>
      <w:r w:rsidR="44406675" w:rsidRPr="005629F8">
        <w:rPr>
          <w:spacing w:val="-3"/>
        </w:rPr>
        <w:t xml:space="preserve"> </w:t>
      </w:r>
      <w:r w:rsidR="44406675" w:rsidRPr="005629F8">
        <w:t>found in</w:t>
      </w:r>
      <w:r w:rsidR="44406675" w:rsidRPr="005629F8">
        <w:rPr>
          <w:spacing w:val="-3"/>
        </w:rPr>
        <w:t xml:space="preserve"> </w:t>
      </w:r>
      <w:r w:rsidR="00143863" w:rsidRPr="0088109E">
        <w:rPr>
          <w:u w:val="single"/>
        </w:rPr>
        <w:fldChar w:fldCharType="begin"/>
      </w:r>
      <w:r w:rsidR="00143863" w:rsidRPr="0088109E">
        <w:rPr>
          <w:u w:val="single"/>
        </w:rPr>
        <w:instrText xml:space="preserve"> REF _Ref103175776 \h  \* MERGEFORMAT </w:instrText>
      </w:r>
      <w:r w:rsidR="00143863" w:rsidRPr="0088109E">
        <w:rPr>
          <w:u w:val="single"/>
        </w:rPr>
      </w:r>
      <w:r w:rsidR="00143863" w:rsidRPr="0088109E">
        <w:rPr>
          <w:u w:val="single"/>
        </w:rPr>
        <w:fldChar w:fldCharType="separate"/>
      </w:r>
      <w:r w:rsidR="0A1013F7" w:rsidRPr="005629F8">
        <w:t xml:space="preserve">Table </w:t>
      </w:r>
      <w:r w:rsidR="0A1013F7" w:rsidRPr="1FFE3681">
        <w:rPr>
          <w:noProof/>
        </w:rPr>
        <w:t>1</w:t>
      </w:r>
      <w:r w:rsidR="00143863" w:rsidRPr="0088109E">
        <w:rPr>
          <w:u w:val="single"/>
        </w:rPr>
        <w:fldChar w:fldCharType="end"/>
      </w:r>
      <w:r w:rsidR="44406675" w:rsidRPr="005629F8">
        <w:t>.</w:t>
      </w:r>
      <w:r w:rsidR="006A24A1">
        <w:t xml:space="preserve"> </w:t>
      </w:r>
    </w:p>
    <w:p w14:paraId="09CBCC7B" w14:textId="66872183" w:rsidR="00B14BDD" w:rsidRPr="005629F8" w:rsidRDefault="00B14BDD" w:rsidP="00FC4599">
      <w:pPr>
        <w:pStyle w:val="Heading2"/>
      </w:pPr>
      <w:bookmarkStart w:id="14" w:name="_Toc129700431"/>
      <w:bookmarkStart w:id="15" w:name="_Toc129700657"/>
      <w:bookmarkStart w:id="16" w:name="_Toc129701350"/>
      <w:r w:rsidRPr="005629F8">
        <w:t>Key findings</w:t>
      </w:r>
      <w:bookmarkEnd w:id="14"/>
      <w:bookmarkEnd w:id="15"/>
      <w:bookmarkEnd w:id="16"/>
    </w:p>
    <w:p w14:paraId="77303372" w14:textId="3FE69638" w:rsidR="005854D5" w:rsidRDefault="00214638" w:rsidP="00B14BDD">
      <w:r w:rsidRPr="00C46A77">
        <w:rPr>
          <w:noProof/>
        </w:rPr>
        <w:drawing>
          <wp:anchor distT="0" distB="0" distL="114300" distR="114300" simplePos="0" relativeHeight="251662336" behindDoc="0" locked="0" layoutInCell="1" allowOverlap="1" wp14:anchorId="00CAEB23" wp14:editId="1B9D92DA">
            <wp:simplePos x="0" y="0"/>
            <wp:positionH relativeFrom="column">
              <wp:posOffset>3975100</wp:posOffset>
            </wp:positionH>
            <wp:positionV relativeFrom="paragraph">
              <wp:posOffset>54610</wp:posOffset>
            </wp:positionV>
            <wp:extent cx="2230755" cy="1625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0755" cy="1625600"/>
                    </a:xfrm>
                    <a:prstGeom prst="rect">
                      <a:avLst/>
                    </a:prstGeom>
                  </pic:spPr>
                </pic:pic>
              </a:graphicData>
            </a:graphic>
            <wp14:sizeRelH relativeFrom="page">
              <wp14:pctWidth>0</wp14:pctWidth>
            </wp14:sizeRelH>
            <wp14:sizeRelV relativeFrom="page">
              <wp14:pctHeight>0</wp14:pctHeight>
            </wp14:sizeRelV>
          </wp:anchor>
        </w:drawing>
      </w:r>
      <w:r w:rsidR="6AA1FD95" w:rsidRPr="1FFE3681">
        <w:t>The 202</w:t>
      </w:r>
      <w:r w:rsidR="00EE0915">
        <w:t>1</w:t>
      </w:r>
      <w:r w:rsidR="6AA1FD95" w:rsidRPr="1FFE3681">
        <w:t>-2</w:t>
      </w:r>
      <w:r w:rsidR="00EE0915">
        <w:t>2</w:t>
      </w:r>
      <w:r w:rsidR="6AA1FD95" w:rsidRPr="1FFE3681">
        <w:t xml:space="preserve"> dataset </w:t>
      </w:r>
      <w:r w:rsidR="6AA1FD95" w:rsidRPr="00050409">
        <w:t>included 2,</w:t>
      </w:r>
      <w:r w:rsidR="00EE0915" w:rsidRPr="00050409">
        <w:t>244</w:t>
      </w:r>
      <w:r w:rsidR="6AA1FD95" w:rsidRPr="00050409">
        <w:t>,97</w:t>
      </w:r>
      <w:r w:rsidR="00EE0915" w:rsidRPr="00050409">
        <w:t>4</w:t>
      </w:r>
      <w:r w:rsidR="6AA1FD95" w:rsidRPr="00050409">
        <w:t xml:space="preserve"> separations</w:t>
      </w:r>
      <w:r w:rsidR="00B408BE">
        <w:t>,</w:t>
      </w:r>
      <w:r w:rsidR="004B2352" w:rsidRPr="00050409">
        <w:t xml:space="preserve"> </w:t>
      </w:r>
      <w:r w:rsidR="00B408BE">
        <w:t>representing</w:t>
      </w:r>
      <w:r w:rsidR="004B2352" w:rsidRPr="00050409">
        <w:t xml:space="preserve"> 65.4</w:t>
      </w:r>
      <w:r w:rsidR="00FE7599">
        <w:t>%</w:t>
      </w:r>
      <w:r w:rsidR="005854D5">
        <w:t xml:space="preserve"> </w:t>
      </w:r>
      <w:r w:rsidR="004B2352" w:rsidRPr="00050409">
        <w:t>of</w:t>
      </w:r>
      <w:r w:rsidR="00050409" w:rsidRPr="00050409">
        <w:t xml:space="preserve"> the population separations</w:t>
      </w:r>
      <w:r w:rsidR="00050409">
        <w:t xml:space="preserve"> as per the </w:t>
      </w:r>
      <w:r w:rsidR="00050409" w:rsidRPr="00194B75">
        <w:t>Private Hospital Data Bureau</w:t>
      </w:r>
      <w:r w:rsidR="00050409">
        <w:t xml:space="preserve"> (PHDB)</w:t>
      </w:r>
      <w:r w:rsidR="005854D5">
        <w:t xml:space="preserve">. This participation rate has been relatively steady over the last </w:t>
      </w:r>
      <w:r w:rsidR="00FE7599">
        <w:t>5</w:t>
      </w:r>
      <w:r w:rsidR="005854D5">
        <w:t xml:space="preserve"> years, and the change </w:t>
      </w:r>
      <w:r w:rsidR="00084FD9">
        <w:t xml:space="preserve">in the 2021-22 </w:t>
      </w:r>
      <w:r w:rsidR="005854D5">
        <w:t>year has been minimal, increasing slightly from 65.3</w:t>
      </w:r>
      <w:r w:rsidR="00FE7599">
        <w:t>%</w:t>
      </w:r>
      <w:r w:rsidR="005854D5">
        <w:t xml:space="preserve"> participation in 2020-21. </w:t>
      </w:r>
    </w:p>
    <w:p w14:paraId="634B22A4" w14:textId="1C83A098" w:rsidR="00074A12" w:rsidRDefault="00EE0A45" w:rsidP="00B14BDD">
      <w:r>
        <w:t xml:space="preserve">The </w:t>
      </w:r>
      <w:r w:rsidR="00074A12">
        <w:t xml:space="preserve">number of </w:t>
      </w:r>
      <w:r w:rsidR="00267A39">
        <w:t>s</w:t>
      </w:r>
      <w:r>
        <w:t>ample s</w:t>
      </w:r>
      <w:r w:rsidR="004D090A" w:rsidRPr="004D090A">
        <w:t>ep</w:t>
      </w:r>
      <w:r w:rsidR="004D090A">
        <w:t>arations</w:t>
      </w:r>
      <w:r w:rsidR="00074A12">
        <w:t xml:space="preserve"> in 2021-22 was comparable to the previous year (</w:t>
      </w:r>
      <w:r w:rsidR="00074A12" w:rsidRPr="00074A12">
        <w:t>2,277,97</w:t>
      </w:r>
      <w:r w:rsidR="00074A12">
        <w:t>3) and the pre-COVID</w:t>
      </w:r>
      <w:r w:rsidR="0070601A">
        <w:t>-</w:t>
      </w:r>
      <w:r w:rsidR="00074A12">
        <w:t>19 year of 2018-19 (</w:t>
      </w:r>
      <w:r w:rsidR="00074A12" w:rsidRPr="00074A12">
        <w:t>2,234,143</w:t>
      </w:r>
      <w:r w:rsidR="00074A12">
        <w:t>). The separations in 2019-20 however w</w:t>
      </w:r>
      <w:r w:rsidR="00BE7700">
        <w:t>ere</w:t>
      </w:r>
      <w:r w:rsidR="00074A12">
        <w:t xml:space="preserve"> significantly lower (</w:t>
      </w:r>
      <w:r w:rsidR="00074A12" w:rsidRPr="00074A12">
        <w:t>2,067,714</w:t>
      </w:r>
      <w:r w:rsidR="00074A12">
        <w:t xml:space="preserve">), </w:t>
      </w:r>
      <w:r w:rsidR="00B408BE">
        <w:t>influenced by</w:t>
      </w:r>
      <w:r w:rsidR="00074A12">
        <w:t xml:space="preserve"> the </w:t>
      </w:r>
      <w:r w:rsidR="0070601A">
        <w:t>initial COVID-19 impact in the final quarter of that financial year. The slight 1.4</w:t>
      </w:r>
      <w:r w:rsidR="00FE7599">
        <w:t>%</w:t>
      </w:r>
      <w:r w:rsidR="0070601A">
        <w:t xml:space="preserve"> decrease in separations from 2020-21 to 2021-22 also aligns with the </w:t>
      </w:r>
      <w:r w:rsidR="004D090A" w:rsidRPr="004D090A">
        <w:t>surge in post-lockdown sep</w:t>
      </w:r>
      <w:r w:rsidR="004D090A">
        <w:t>arations</w:t>
      </w:r>
      <w:r w:rsidR="004D090A" w:rsidRPr="004D090A">
        <w:t xml:space="preserve"> in </w:t>
      </w:r>
      <w:r w:rsidR="004D090A">
        <w:t>2020-21</w:t>
      </w:r>
      <w:r w:rsidR="004D090A" w:rsidRPr="004D090A">
        <w:t xml:space="preserve">. </w:t>
      </w:r>
    </w:p>
    <w:p w14:paraId="32A2E6D7" w14:textId="33FC19E3" w:rsidR="007B4AC6" w:rsidRDefault="0070601A" w:rsidP="00B14BDD">
      <w:r>
        <w:t xml:space="preserve">Although the number of separations has broadly returned to pre-COVID-19 levels, average costs continue to rise. The </w:t>
      </w:r>
      <w:r w:rsidR="000315A1">
        <w:t>5.</w:t>
      </w:r>
      <w:r w:rsidR="00FE4CA5">
        <w:t>7</w:t>
      </w:r>
      <w:r w:rsidR="00FE7599">
        <w:t>%</w:t>
      </w:r>
      <w:r>
        <w:t xml:space="preserve"> incr</w:t>
      </w:r>
      <w:r w:rsidR="00800010">
        <w:t xml:space="preserve">ease </w:t>
      </w:r>
      <w:r>
        <w:t xml:space="preserve">in 2021-22 </w:t>
      </w:r>
      <w:r w:rsidR="00800010">
        <w:t>brings the cumulative</w:t>
      </w:r>
      <w:r w:rsidR="000315A1">
        <w:t xml:space="preserve"> average cost </w:t>
      </w:r>
      <w:r w:rsidR="00810C40">
        <w:t>increas</w:t>
      </w:r>
      <w:r w:rsidR="00800010">
        <w:t xml:space="preserve">e from </w:t>
      </w:r>
      <w:r w:rsidR="00810C40">
        <w:t>2018-19</w:t>
      </w:r>
      <w:r w:rsidR="00800010">
        <w:t xml:space="preserve"> to</w:t>
      </w:r>
      <w:r w:rsidR="00732EAC">
        <w:t xml:space="preserve"> </w:t>
      </w:r>
      <w:r w:rsidR="00800010">
        <w:t>10.1</w:t>
      </w:r>
      <w:r w:rsidR="00FE7599">
        <w:t>%</w:t>
      </w:r>
      <w:r w:rsidR="00800010">
        <w:t xml:space="preserve">. However, it should be noted that this </w:t>
      </w:r>
      <w:r w:rsidR="008F4646">
        <w:t>5.</w:t>
      </w:r>
      <w:r w:rsidR="00FE4CA5">
        <w:t>7</w:t>
      </w:r>
      <w:r w:rsidR="00FE7599">
        <w:t>%</w:t>
      </w:r>
      <w:r w:rsidR="008F4646">
        <w:t xml:space="preserve"> incorporates both </w:t>
      </w:r>
      <w:r w:rsidR="00851832">
        <w:t>change</w:t>
      </w:r>
      <w:r w:rsidR="008F4646">
        <w:t xml:space="preserve">s in </w:t>
      </w:r>
      <w:r w:rsidR="009E4E7B">
        <w:t xml:space="preserve">AR-DRG distribution as well as increased cost </w:t>
      </w:r>
      <w:r w:rsidR="00732EAC">
        <w:t>pressures and</w:t>
      </w:r>
      <w:r w:rsidR="008F4646">
        <w:t xml:space="preserve"> underestimates the underlying increase in costs. </w:t>
      </w:r>
    </w:p>
    <w:p w14:paraId="568251DB" w14:textId="6F5D68C7" w:rsidR="009E4E7B" w:rsidRDefault="009E4E7B" w:rsidP="007500FC">
      <w:pPr>
        <w:pStyle w:val="Heading3"/>
      </w:pPr>
      <w:r>
        <w:lastRenderedPageBreak/>
        <w:t xml:space="preserve">Analysis by </w:t>
      </w:r>
      <w:r w:rsidRPr="1FFE3681">
        <w:t>Major Diagnostic Category</w:t>
      </w:r>
      <w:r>
        <w:t xml:space="preserve"> and AR-DRG</w:t>
      </w:r>
    </w:p>
    <w:p w14:paraId="786F74B1" w14:textId="0ADDB176" w:rsidR="00CD29D7" w:rsidRDefault="6AA1FD95">
      <w:r w:rsidRPr="1FFE3681">
        <w:t xml:space="preserve">Considering the commercial sensitivities in publishing detailed cost information, the analysis in this report focuses on cost weights which </w:t>
      </w:r>
      <w:r w:rsidR="6C0E42C3" w:rsidRPr="1FFE3681">
        <w:t xml:space="preserve">consider differences in cost relativities across </w:t>
      </w:r>
      <w:proofErr w:type="gramStart"/>
      <w:r w:rsidR="6C0E42C3" w:rsidRPr="1FFE3681">
        <w:t>a number of</w:t>
      </w:r>
      <w:proofErr w:type="gramEnd"/>
      <w:r w:rsidR="6C0E42C3" w:rsidRPr="1FFE3681">
        <w:t xml:space="preserve"> dimensions. This analysis has been </w:t>
      </w:r>
      <w:r w:rsidR="00423B85">
        <w:t>completed</w:t>
      </w:r>
      <w:r w:rsidR="00423B85" w:rsidRPr="1FFE3681">
        <w:t xml:space="preserve"> </w:t>
      </w:r>
      <w:r w:rsidR="6C0E42C3" w:rsidRPr="1FFE3681">
        <w:t xml:space="preserve">by </w:t>
      </w:r>
      <w:r w:rsidR="4AC950AB" w:rsidRPr="1FFE3681">
        <w:t>M</w:t>
      </w:r>
      <w:r w:rsidR="494FB976" w:rsidRPr="1FFE3681">
        <w:t xml:space="preserve">ajor </w:t>
      </w:r>
      <w:r w:rsidR="4AC950AB" w:rsidRPr="1FFE3681">
        <w:t>D</w:t>
      </w:r>
      <w:r w:rsidR="494FB976" w:rsidRPr="1FFE3681">
        <w:t xml:space="preserve">iagnostic </w:t>
      </w:r>
      <w:r w:rsidR="4AC950AB" w:rsidRPr="1FFE3681">
        <w:t>C</w:t>
      </w:r>
      <w:r w:rsidR="494FB976" w:rsidRPr="1FFE3681">
        <w:t xml:space="preserve">ategory (MDC) and the top 10 </w:t>
      </w:r>
      <w:r w:rsidR="00364C5F">
        <w:br/>
      </w:r>
      <w:r w:rsidR="00C95C17">
        <w:t xml:space="preserve">Australian Refined </w:t>
      </w:r>
      <w:r w:rsidR="003647F8">
        <w:t>Diagnosis</w:t>
      </w:r>
      <w:r w:rsidR="00C95C17">
        <w:t xml:space="preserve"> Related Groups (</w:t>
      </w:r>
      <w:r w:rsidR="4AC950AB" w:rsidRPr="1FFE3681">
        <w:t>AR-DRG</w:t>
      </w:r>
      <w:r w:rsidR="682E1BB8" w:rsidRPr="1FFE3681">
        <w:t>s</w:t>
      </w:r>
      <w:r w:rsidR="00C95C17">
        <w:t>)</w:t>
      </w:r>
      <w:r w:rsidR="23A95909" w:rsidRPr="1FFE3681">
        <w:t xml:space="preserve"> </w:t>
      </w:r>
      <w:r w:rsidR="494FB976" w:rsidRPr="1FFE3681">
        <w:t>across a range of metrics</w:t>
      </w:r>
      <w:r w:rsidR="12157D8B" w:rsidRPr="1FFE3681">
        <w:t>.</w:t>
      </w:r>
      <w:r w:rsidRPr="1FFE3681">
        <w:t xml:space="preserve"> MDC is a </w:t>
      </w:r>
      <w:r w:rsidR="47833A2B" w:rsidRPr="1FFE3681">
        <w:t xml:space="preserve">less granular category than AR-DRG </w:t>
      </w:r>
      <w:r w:rsidR="00423B85">
        <w:t>enabling</w:t>
      </w:r>
      <w:r w:rsidR="47833A2B" w:rsidRPr="1FFE3681">
        <w:t xml:space="preserve"> analys</w:t>
      </w:r>
      <w:r w:rsidR="00423B85">
        <w:t>i</w:t>
      </w:r>
      <w:r w:rsidR="47833A2B" w:rsidRPr="1FFE3681">
        <w:t>s by medical specialties.</w:t>
      </w:r>
    </w:p>
    <w:p w14:paraId="71A52B67" w14:textId="5795BB88" w:rsidR="00BE7700" w:rsidRDefault="00F8497C" w:rsidP="00BE7700">
      <w:r w:rsidRPr="00BE7700">
        <w:t>At the MDC level</w:t>
      </w:r>
      <w:r w:rsidR="003F30E4" w:rsidRPr="00BE7700">
        <w:t xml:space="preserve">, </w:t>
      </w:r>
      <w:r w:rsidR="001D0424">
        <w:t>activity</w:t>
      </w:r>
      <w:r w:rsidR="001D0424" w:rsidRPr="00BE7700">
        <w:t xml:space="preserve"> </w:t>
      </w:r>
      <w:r w:rsidR="003F30E4" w:rsidRPr="00BE7700">
        <w:t xml:space="preserve">broadly followed the sample level </w:t>
      </w:r>
      <w:r w:rsidR="001D0424">
        <w:t xml:space="preserve">activity </w:t>
      </w:r>
      <w:r w:rsidR="003F30E4" w:rsidRPr="00BE7700">
        <w:t xml:space="preserve">with the number of sample separations decreasing. However, the following </w:t>
      </w:r>
      <w:r w:rsidR="00FE7599">
        <w:t>3</w:t>
      </w:r>
      <w:r w:rsidR="003F30E4" w:rsidRPr="00BE7700">
        <w:t xml:space="preserve"> MDCs </w:t>
      </w:r>
      <w:r w:rsidR="001D0424">
        <w:t>saw</w:t>
      </w:r>
      <w:r w:rsidR="003F30E4" w:rsidRPr="00BE7700">
        <w:t xml:space="preserve"> significant increases in separations</w:t>
      </w:r>
      <w:r w:rsidR="00084FD9" w:rsidRPr="00BE7700">
        <w:t xml:space="preserve"> from 2020-21 to 2021-22</w:t>
      </w:r>
      <w:r w:rsidR="003F30E4" w:rsidRPr="00BE7700">
        <w:t>:</w:t>
      </w:r>
    </w:p>
    <w:p w14:paraId="01EE86E5" w14:textId="281A369A" w:rsidR="00E04D4F" w:rsidRPr="00BE7700" w:rsidRDefault="00E04D4F">
      <w:pPr>
        <w:pStyle w:val="ListParagraph"/>
        <w:numPr>
          <w:ilvl w:val="0"/>
          <w:numId w:val="59"/>
        </w:numPr>
        <w:ind w:left="993"/>
      </w:pPr>
      <w:r w:rsidRPr="00BE7700">
        <w:t>20: Alcohol/Drug Use and Alcohol/Drug Induced Organic Mental Disorders (33</w:t>
      </w:r>
      <w:r w:rsidR="00FE7599">
        <w:t>%</w:t>
      </w:r>
      <w:r w:rsidRPr="00BE7700">
        <w:t>)</w:t>
      </w:r>
    </w:p>
    <w:p w14:paraId="6E57A67E" w14:textId="093B25E6" w:rsidR="003F30E4" w:rsidRPr="00E04D4F" w:rsidRDefault="003F30E4" w:rsidP="0088549E">
      <w:pPr>
        <w:pStyle w:val="ListParagraph"/>
        <w:numPr>
          <w:ilvl w:val="0"/>
          <w:numId w:val="59"/>
        </w:numPr>
        <w:ind w:left="993"/>
      </w:pPr>
      <w:r w:rsidRPr="003F30E4">
        <w:t xml:space="preserve">11: Diseases and Disorders of the Kidney and Urinary </w:t>
      </w:r>
      <w:r w:rsidRPr="00E04D4F">
        <w:t>Tract</w:t>
      </w:r>
      <w:r w:rsidR="00084FD9" w:rsidRPr="00E04D4F">
        <w:t xml:space="preserve"> (</w:t>
      </w:r>
      <w:r w:rsidR="00E04D4F" w:rsidRPr="00E04D4F">
        <w:t>5</w:t>
      </w:r>
      <w:r w:rsidR="00FE7599">
        <w:t>%</w:t>
      </w:r>
      <w:r w:rsidR="00084FD9" w:rsidRPr="00E04D4F">
        <w:t>)</w:t>
      </w:r>
    </w:p>
    <w:p w14:paraId="49C69DAD" w14:textId="0C73EDE7" w:rsidR="003F30E4" w:rsidRPr="00E04D4F" w:rsidRDefault="003F30E4" w:rsidP="0088549E">
      <w:pPr>
        <w:pStyle w:val="ListParagraph"/>
        <w:numPr>
          <w:ilvl w:val="0"/>
          <w:numId w:val="59"/>
        </w:numPr>
        <w:ind w:left="993"/>
      </w:pPr>
      <w:r w:rsidRPr="00E04D4F">
        <w:t>17: Neoplastic Disorders (Haematological and Solid)</w:t>
      </w:r>
      <w:r w:rsidR="00084FD9" w:rsidRPr="00E04D4F">
        <w:t xml:space="preserve"> (</w:t>
      </w:r>
      <w:r w:rsidR="00E04D4F" w:rsidRPr="00E04D4F">
        <w:t>5</w:t>
      </w:r>
      <w:r w:rsidR="00FE7599">
        <w:t>%</w:t>
      </w:r>
      <w:r w:rsidR="00084FD9" w:rsidRPr="00E04D4F">
        <w:t>)</w:t>
      </w:r>
    </w:p>
    <w:p w14:paraId="2075BFB2" w14:textId="567A5DA8" w:rsidR="003F30E4" w:rsidRDefault="003F30E4">
      <w:r>
        <w:t xml:space="preserve">Average costs also increased across the MDCs in line with the sample level </w:t>
      </w:r>
      <w:r w:rsidR="001D0424">
        <w:t>activity</w:t>
      </w:r>
      <w:r>
        <w:t xml:space="preserve">. The net result being minimal changes in cost weights, </w:t>
      </w:r>
      <w:proofErr w:type="gramStart"/>
      <w:r>
        <w:t>with the exception of</w:t>
      </w:r>
      <w:proofErr w:type="gramEnd"/>
      <w:r>
        <w:t xml:space="preserve"> a few low-volume MDCs.</w:t>
      </w:r>
    </w:p>
    <w:p w14:paraId="67CB1C84" w14:textId="3FE73DC4" w:rsidR="003F30E4" w:rsidRDefault="001D0424">
      <w:r>
        <w:t>O</w:t>
      </w:r>
      <w:r w:rsidR="00432860">
        <w:t>ther notable observations at the MDC level</w:t>
      </w:r>
      <w:r w:rsidR="003F30E4">
        <w:t xml:space="preserve"> include:</w:t>
      </w:r>
    </w:p>
    <w:p w14:paraId="608D8620" w14:textId="5EB5B237" w:rsidR="00EA2CD9" w:rsidRPr="00CA0676" w:rsidRDefault="009D6A81" w:rsidP="007925E9">
      <w:pPr>
        <w:pStyle w:val="ListLevel1"/>
      </w:pPr>
      <w:r>
        <w:t>The h</w:t>
      </w:r>
      <w:r w:rsidR="00F8497C">
        <w:t xml:space="preserve">ighest volume </w:t>
      </w:r>
      <w:r w:rsidR="00EE0A45">
        <w:t xml:space="preserve">MDC </w:t>
      </w:r>
      <w:r w:rsidR="001D0424">
        <w:t>wa</w:t>
      </w:r>
      <w:r w:rsidR="00810C40">
        <w:t>s</w:t>
      </w:r>
      <w:r w:rsidR="00EE0A45">
        <w:t xml:space="preserve"> </w:t>
      </w:r>
      <w:r w:rsidR="00F27A09">
        <w:t xml:space="preserve">MDC 06: </w:t>
      </w:r>
      <w:r w:rsidR="00810C40">
        <w:t xml:space="preserve">Disorders of the </w:t>
      </w:r>
      <w:r w:rsidR="00EA2CD9" w:rsidRPr="004A5570">
        <w:t>Digestive</w:t>
      </w:r>
      <w:r w:rsidR="00810C40">
        <w:t xml:space="preserve"> System</w:t>
      </w:r>
      <w:r w:rsidR="00F8497C" w:rsidRPr="004A5570">
        <w:t xml:space="preserve">, </w:t>
      </w:r>
      <w:r w:rsidR="00EA2CD9" w:rsidRPr="004A5570">
        <w:t xml:space="preserve">responsible for </w:t>
      </w:r>
      <w:r w:rsidR="00810C40">
        <w:t>17</w:t>
      </w:r>
      <w:r w:rsidR="00FE7599">
        <w:t>%</w:t>
      </w:r>
      <w:r w:rsidR="00F8497C" w:rsidRPr="004A5570">
        <w:t xml:space="preserve"> of</w:t>
      </w:r>
      <w:r w:rsidR="00EA2CD9" w:rsidRPr="004A5570">
        <w:t xml:space="preserve"> </w:t>
      </w:r>
      <w:r w:rsidR="00432860">
        <w:t xml:space="preserve">all </w:t>
      </w:r>
      <w:r w:rsidR="00EA2CD9" w:rsidRPr="004A5570">
        <w:t>private sector separations</w:t>
      </w:r>
      <w:r w:rsidR="00F27A09">
        <w:t>, consistent with prior years</w:t>
      </w:r>
      <w:r w:rsidR="00432860">
        <w:t>.</w:t>
      </w:r>
      <w:r w:rsidR="00810C40">
        <w:t xml:space="preserve"> </w:t>
      </w:r>
    </w:p>
    <w:p w14:paraId="4617CDEB" w14:textId="674BCDAB" w:rsidR="00EA2CD9" w:rsidRDefault="00EE0A45" w:rsidP="005629F8">
      <w:pPr>
        <w:pStyle w:val="ListLevel1"/>
      </w:pPr>
      <w:r>
        <w:t xml:space="preserve">A </w:t>
      </w:r>
      <w:r w:rsidR="00F27A09">
        <w:t xml:space="preserve">gradual </w:t>
      </w:r>
      <w:r w:rsidRPr="00CA0676">
        <w:t xml:space="preserve">decrease in </w:t>
      </w:r>
      <w:r w:rsidRPr="00C60E49">
        <w:t xml:space="preserve">separations was observed for </w:t>
      </w:r>
      <w:r w:rsidR="00EA2CD9" w:rsidRPr="004A5570">
        <w:t xml:space="preserve">the </w:t>
      </w:r>
      <w:r w:rsidR="00F27A09">
        <w:t xml:space="preserve">MDC 04: Diseases and Disorders of the </w:t>
      </w:r>
      <w:r w:rsidR="00EA2CD9" w:rsidRPr="004A5570">
        <w:t xml:space="preserve">Respiratory </w:t>
      </w:r>
      <w:r w:rsidR="00F27A09">
        <w:t>System</w:t>
      </w:r>
      <w:r w:rsidR="00F27A09" w:rsidRPr="004A5570">
        <w:t xml:space="preserve"> </w:t>
      </w:r>
      <w:r w:rsidR="00F27A09">
        <w:t>from 2017-18 to</w:t>
      </w:r>
      <w:r w:rsidR="003755F6" w:rsidRPr="004A5570">
        <w:t xml:space="preserve"> 20</w:t>
      </w:r>
      <w:r w:rsidR="00EE0915" w:rsidRPr="004A5570">
        <w:t>20</w:t>
      </w:r>
      <w:r w:rsidR="003755F6" w:rsidRPr="004A5570">
        <w:t>-2</w:t>
      </w:r>
      <w:r w:rsidR="00EE0915" w:rsidRPr="004A5570">
        <w:t>1</w:t>
      </w:r>
      <w:r w:rsidR="00F27A09">
        <w:t xml:space="preserve"> (20</w:t>
      </w:r>
      <w:r w:rsidR="00FE7599">
        <w:t>%</w:t>
      </w:r>
      <w:r w:rsidR="00F27A09">
        <w:t xml:space="preserve">), however, </w:t>
      </w:r>
      <w:r w:rsidRPr="00CA0676">
        <w:t>acti</w:t>
      </w:r>
      <w:r w:rsidRPr="00C60E49">
        <w:t xml:space="preserve">vity levels have stabilised and remain level </w:t>
      </w:r>
      <w:r w:rsidR="003755F6" w:rsidRPr="004A5570">
        <w:t>in 202</w:t>
      </w:r>
      <w:r w:rsidR="00EE0915" w:rsidRPr="004A5570">
        <w:t>1</w:t>
      </w:r>
      <w:r w:rsidR="003755F6" w:rsidRPr="004A5570">
        <w:t>-2</w:t>
      </w:r>
      <w:r w:rsidR="00EE0915" w:rsidRPr="004A5570">
        <w:t>2</w:t>
      </w:r>
      <w:r w:rsidR="003755F6" w:rsidRPr="004A5570">
        <w:t xml:space="preserve">. </w:t>
      </w:r>
    </w:p>
    <w:p w14:paraId="5A25A1D0" w14:textId="62A84216" w:rsidR="00972F11" w:rsidRDefault="00E805F1" w:rsidP="005629F8">
      <w:pPr>
        <w:pStyle w:val="ListLevel1"/>
      </w:pPr>
      <w:r>
        <w:t xml:space="preserve">MDC 19: </w:t>
      </w:r>
      <w:r w:rsidR="0199AFE5" w:rsidRPr="1FFE3681">
        <w:t>Mental</w:t>
      </w:r>
      <w:r>
        <w:t xml:space="preserve">, </w:t>
      </w:r>
      <w:r w:rsidRPr="00E04D4F">
        <w:t>Behavioural and Neurodevelopmental Disorders</w:t>
      </w:r>
      <w:r w:rsidR="0199AFE5" w:rsidRPr="00E04D4F">
        <w:t xml:space="preserve"> saw a decrease in separations in</w:t>
      </w:r>
      <w:r w:rsidR="003F30E4" w:rsidRPr="00E04D4F">
        <w:t xml:space="preserve"> both</w:t>
      </w:r>
      <w:r w:rsidR="0199AFE5" w:rsidRPr="00E04D4F">
        <w:t xml:space="preserve"> 20</w:t>
      </w:r>
      <w:r w:rsidR="00EE0915" w:rsidRPr="00E04D4F">
        <w:t>20</w:t>
      </w:r>
      <w:r w:rsidR="0199AFE5" w:rsidRPr="00E04D4F">
        <w:t>-2</w:t>
      </w:r>
      <w:r w:rsidR="00EE0915" w:rsidRPr="00E04D4F">
        <w:t>1</w:t>
      </w:r>
      <w:r w:rsidR="00E04D4F">
        <w:t xml:space="preserve"> (3</w:t>
      </w:r>
      <w:r w:rsidR="00FE7599">
        <w:t>%</w:t>
      </w:r>
      <w:r w:rsidR="00E04D4F">
        <w:t>)</w:t>
      </w:r>
      <w:r w:rsidR="0199AFE5" w:rsidRPr="00E04D4F">
        <w:t xml:space="preserve"> and 202</w:t>
      </w:r>
      <w:r w:rsidR="00EE0915" w:rsidRPr="00E04D4F">
        <w:t>1</w:t>
      </w:r>
      <w:r w:rsidR="0199AFE5" w:rsidRPr="00E04D4F">
        <w:t>-2</w:t>
      </w:r>
      <w:r w:rsidR="00EE0915" w:rsidRPr="00E04D4F">
        <w:t>2</w:t>
      </w:r>
      <w:r w:rsidRPr="00E04D4F">
        <w:t xml:space="preserve"> (</w:t>
      </w:r>
      <w:r w:rsidR="00E04D4F" w:rsidRPr="00E04D4F">
        <w:t>6</w:t>
      </w:r>
      <w:r w:rsidR="00FE7599">
        <w:t>%</w:t>
      </w:r>
      <w:r w:rsidR="00E04D4F">
        <w:t xml:space="preserve">) </w:t>
      </w:r>
      <w:r w:rsidR="682E1BB8" w:rsidRPr="00E04D4F">
        <w:t xml:space="preserve">while average </w:t>
      </w:r>
      <w:r w:rsidR="23A95909" w:rsidRPr="00E04D4F">
        <w:t>cost</w:t>
      </w:r>
      <w:r w:rsidR="682E1BB8" w:rsidRPr="00E04D4F">
        <w:t>s</w:t>
      </w:r>
      <w:r w:rsidR="682E1BB8" w:rsidRPr="1FFE3681">
        <w:t xml:space="preserve"> increased over the </w:t>
      </w:r>
      <w:r w:rsidR="00A57B31">
        <w:t>2</w:t>
      </w:r>
      <w:r w:rsidR="682E1BB8" w:rsidRPr="1FFE3681">
        <w:t xml:space="preserve"> </w:t>
      </w:r>
      <w:r w:rsidR="682E1BB8" w:rsidRPr="00E04D4F">
        <w:t>years</w:t>
      </w:r>
      <w:r w:rsidRPr="00E04D4F">
        <w:t xml:space="preserve"> (</w:t>
      </w:r>
      <w:r w:rsidR="00E04D4F" w:rsidRPr="00E04D4F">
        <w:t>14.6</w:t>
      </w:r>
      <w:r w:rsidR="00A57B31">
        <w:t>%</w:t>
      </w:r>
      <w:r w:rsidRPr="00E04D4F">
        <w:t>)</w:t>
      </w:r>
      <w:r w:rsidR="0199AFE5" w:rsidRPr="00E04D4F">
        <w:t>.</w:t>
      </w:r>
    </w:p>
    <w:p w14:paraId="0D547513" w14:textId="78F0BAC2" w:rsidR="00972F11" w:rsidRPr="006C73A4" w:rsidRDefault="008D73AD" w:rsidP="005629F8">
      <w:pPr>
        <w:keepNext/>
      </w:pPr>
      <w:r w:rsidRPr="008D73AD">
        <w:t>Overall, the analysis of top 10 AR-DRGs showed a high level of consistency with the prior year, with most AR</w:t>
      </w:r>
      <w:r w:rsidR="00C95C17">
        <w:t>-</w:t>
      </w:r>
      <w:r w:rsidRPr="008D73AD">
        <w:t>DRGs in the top 10 not changing.</w:t>
      </w:r>
      <w:r>
        <w:t xml:space="preserve"> </w:t>
      </w:r>
      <w:r w:rsidR="00F8497C">
        <w:t>Analysis across the top 10 AR-DRGs for volume and cost identified</w:t>
      </w:r>
      <w:r w:rsidR="009F52F5">
        <w:t xml:space="preserve"> that</w:t>
      </w:r>
      <w:r w:rsidR="23A95909" w:rsidRPr="1FFE3681">
        <w:t>:</w:t>
      </w:r>
    </w:p>
    <w:p w14:paraId="1A9B067A" w14:textId="0112FDEF" w:rsidR="00CD7F3A" w:rsidRPr="006C73A4" w:rsidRDefault="00F8497C" w:rsidP="006C3F01">
      <w:pPr>
        <w:pStyle w:val="ListLevel1"/>
      </w:pPr>
      <w:r>
        <w:t>The majority of the</w:t>
      </w:r>
      <w:r w:rsidRPr="005629F8">
        <w:t xml:space="preserve"> listed AR-DRGs</w:t>
      </w:r>
      <w:r>
        <w:t xml:space="preserve"> </w:t>
      </w:r>
      <w:r w:rsidRPr="005629F8">
        <w:t xml:space="preserve">with the highest cost weights </w:t>
      </w:r>
      <w:r>
        <w:t>relate</w:t>
      </w:r>
      <w:r w:rsidRPr="005629F8">
        <w:t xml:space="preserve"> to some form of ventilation </w:t>
      </w:r>
      <w:r w:rsidR="00CD7F3A" w:rsidRPr="005629F8">
        <w:t>AR-DRGs</w:t>
      </w:r>
      <w:r>
        <w:t xml:space="preserve">. These AR-DRG’s </w:t>
      </w:r>
      <w:r w:rsidR="00CD7F3A" w:rsidRPr="005629F8">
        <w:t>are typically high</w:t>
      </w:r>
      <w:r w:rsidR="001D1D5A" w:rsidRPr="005629F8">
        <w:t xml:space="preserve"> in</w:t>
      </w:r>
      <w:r w:rsidR="00CD7F3A" w:rsidRPr="005629F8">
        <w:t xml:space="preserve"> cost and low in volume</w:t>
      </w:r>
      <w:r>
        <w:t xml:space="preserve">. </w:t>
      </w:r>
      <w:r w:rsidR="00CD7F3A" w:rsidRPr="005629F8">
        <w:t>The AR-DRG with the highest cost weight remained the same</w:t>
      </w:r>
      <w:r w:rsidR="001D1D5A" w:rsidRPr="005629F8">
        <w:t xml:space="preserve"> as the prior year</w:t>
      </w:r>
      <w:r w:rsidR="00CD7F3A" w:rsidRPr="005629F8">
        <w:t xml:space="preserve"> </w:t>
      </w:r>
      <w:r w:rsidR="00CD7F3A" w:rsidRPr="006C73A4">
        <w:t>(A13A: Ventilation &gt;=336hours, Major Complexity).</w:t>
      </w:r>
    </w:p>
    <w:p w14:paraId="735C1B65" w14:textId="50A4649C" w:rsidR="00972F11" w:rsidRPr="00F8497C" w:rsidRDefault="00F8497C" w:rsidP="001B71FF">
      <w:pPr>
        <w:pStyle w:val="ListLevel1"/>
      </w:pPr>
      <w:r w:rsidRPr="00F8497C">
        <w:t>The AR-DRG with the most population-adjusted separations remained the same (R63Z: Pharmacotherapy for Neoplastic Disorders).</w:t>
      </w:r>
      <w:r>
        <w:t xml:space="preserve"> </w:t>
      </w:r>
      <w:r w:rsidR="00EF1759" w:rsidRPr="00F8497C">
        <w:t>AR-DRGs with the highest population-adjusted separations are generally high</w:t>
      </w:r>
      <w:r w:rsidR="005E3347" w:rsidRPr="00F8497C">
        <w:t>-</w:t>
      </w:r>
      <w:r w:rsidR="00EF1759" w:rsidRPr="00F8497C">
        <w:t xml:space="preserve">volume, </w:t>
      </w:r>
      <w:proofErr w:type="spellStart"/>
      <w:r w:rsidR="00EF1759" w:rsidRPr="00F8497C">
        <w:t>sameday</w:t>
      </w:r>
      <w:proofErr w:type="spellEnd"/>
      <w:r w:rsidR="00EF1759" w:rsidRPr="00F8497C">
        <w:t xml:space="preserve"> separations. </w:t>
      </w:r>
    </w:p>
    <w:p w14:paraId="30EC0AF0" w14:textId="4C7C8B21" w:rsidR="001D1D5A" w:rsidRDefault="00F8497C">
      <w:pPr>
        <w:pStyle w:val="ListLevel1"/>
      </w:pPr>
      <w:r w:rsidRPr="1FFE3681">
        <w:t xml:space="preserve">The top two AR-DRGs </w:t>
      </w:r>
      <w:r w:rsidRPr="005629F8">
        <w:t xml:space="preserve">with the highest cost weighted separations </w:t>
      </w:r>
      <w:r w:rsidR="00BE7700">
        <w:t xml:space="preserve">were </w:t>
      </w:r>
      <w:r w:rsidRPr="005629F8">
        <w:t xml:space="preserve">I04B: </w:t>
      </w:r>
      <w:r w:rsidRPr="1FFE3681">
        <w:t xml:space="preserve">Knee Replacement, Minor Complexity and I33B: Hip </w:t>
      </w:r>
      <w:r w:rsidRPr="005629F8">
        <w:t>R</w:t>
      </w:r>
      <w:r w:rsidRPr="1FFE3681">
        <w:t>eplacement, Minor Complexity</w:t>
      </w:r>
      <w:r>
        <w:t xml:space="preserve">. </w:t>
      </w:r>
      <w:r w:rsidR="00EF1759" w:rsidRPr="005629F8">
        <w:t>AR</w:t>
      </w:r>
      <w:r w:rsidR="001D1D5A" w:rsidRPr="005629F8">
        <w:t>-</w:t>
      </w:r>
      <w:r w:rsidR="00EF1759" w:rsidRPr="005629F8">
        <w:t xml:space="preserve">DRGs with the highest cost weighted separations tend to be common procedures in the private sector. </w:t>
      </w:r>
    </w:p>
    <w:p w14:paraId="64FF738D" w14:textId="3700C44F" w:rsidR="007327AD" w:rsidRDefault="007327AD" w:rsidP="007327AD">
      <w:pPr>
        <w:pStyle w:val="ListLevel1"/>
        <w:numPr>
          <w:ilvl w:val="0"/>
          <w:numId w:val="0"/>
        </w:numPr>
        <w:ind w:left="1069" w:hanging="360"/>
      </w:pPr>
    </w:p>
    <w:p w14:paraId="3377ED9B" w14:textId="77777777" w:rsidR="007327AD" w:rsidRPr="006C73A4" w:rsidRDefault="007327AD" w:rsidP="007327AD">
      <w:pPr>
        <w:pStyle w:val="ListLevel1"/>
        <w:numPr>
          <w:ilvl w:val="0"/>
          <w:numId w:val="0"/>
        </w:numPr>
        <w:ind w:left="1069" w:hanging="360"/>
      </w:pPr>
    </w:p>
    <w:p w14:paraId="30F7281C" w14:textId="591767CA" w:rsidR="000024F5" w:rsidRPr="00E15731" w:rsidRDefault="00195933" w:rsidP="000024F5">
      <w:r>
        <w:lastRenderedPageBreak/>
        <w:t>Analysis was also undertaken at a</w:t>
      </w:r>
      <w:r w:rsidR="000024F5">
        <w:t xml:space="preserve"> cost bucket level</w:t>
      </w:r>
      <w:r w:rsidR="00F8497C">
        <w:t xml:space="preserve"> to understand drivers of movement in total costs</w:t>
      </w:r>
      <w:r w:rsidR="000024F5">
        <w:t>:</w:t>
      </w:r>
    </w:p>
    <w:p w14:paraId="14CA8C12" w14:textId="23452C28" w:rsidR="000024F5" w:rsidRDefault="000024F5" w:rsidP="000024F5">
      <w:pPr>
        <w:pStyle w:val="ListLevel1"/>
      </w:pPr>
      <w:r>
        <w:t xml:space="preserve">Both </w:t>
      </w:r>
      <w:r w:rsidR="00D338A9">
        <w:t>o</w:t>
      </w:r>
      <w:r>
        <w:t xml:space="preserve">perating </w:t>
      </w:r>
      <w:r w:rsidR="00D338A9">
        <w:t>r</w:t>
      </w:r>
      <w:r>
        <w:t xml:space="preserve">oom and </w:t>
      </w:r>
      <w:r w:rsidR="00D338A9">
        <w:t>s</w:t>
      </w:r>
      <w:r>
        <w:t xml:space="preserve">pecialist </w:t>
      </w:r>
      <w:r w:rsidR="00D338A9">
        <w:t>p</w:t>
      </w:r>
      <w:r>
        <w:t xml:space="preserve">rocedure </w:t>
      </w:r>
      <w:r w:rsidR="00D338A9">
        <w:t>s</w:t>
      </w:r>
      <w:r>
        <w:t>uites (combined cost bucket</w:t>
      </w:r>
      <w:r w:rsidR="00D0766D">
        <w:t xml:space="preserve"> group</w:t>
      </w:r>
      <w:r>
        <w:t xml:space="preserve">) and </w:t>
      </w:r>
      <w:r w:rsidR="00226422">
        <w:t>p</w:t>
      </w:r>
      <w:r>
        <w:t xml:space="preserve">rostheses have </w:t>
      </w:r>
      <w:r w:rsidR="00B63933">
        <w:t>seen slight decreases</w:t>
      </w:r>
      <w:r>
        <w:t xml:space="preserve"> </w:t>
      </w:r>
      <w:r w:rsidR="00082AD1">
        <w:t xml:space="preserve">in </w:t>
      </w:r>
      <w:r>
        <w:t>their proportion of total cost</w:t>
      </w:r>
      <w:r w:rsidR="00195933">
        <w:t>. Together, these cost buckets made up</w:t>
      </w:r>
      <w:r w:rsidR="00B85EF5">
        <w:t xml:space="preserve"> 4</w:t>
      </w:r>
      <w:r w:rsidR="00B63933">
        <w:t>6</w:t>
      </w:r>
      <w:r w:rsidR="00A57B31">
        <w:t>%</w:t>
      </w:r>
      <w:r w:rsidR="00B85EF5">
        <w:t xml:space="preserve"> of total cost in 202</w:t>
      </w:r>
      <w:r w:rsidR="00B63933">
        <w:t>1</w:t>
      </w:r>
      <w:r w:rsidR="00B85EF5">
        <w:t>-2</w:t>
      </w:r>
      <w:r w:rsidR="00B63933">
        <w:t>2</w:t>
      </w:r>
      <w:r w:rsidR="00B85EF5">
        <w:t xml:space="preserve"> compared to </w:t>
      </w:r>
      <w:r w:rsidR="00B63933">
        <w:t>47.5</w:t>
      </w:r>
      <w:r w:rsidR="00A57B31">
        <w:t>%</w:t>
      </w:r>
      <w:r w:rsidR="00B85EF5">
        <w:t xml:space="preserve"> in 20</w:t>
      </w:r>
      <w:r w:rsidR="00B63933">
        <w:t>20</w:t>
      </w:r>
      <w:r w:rsidR="00B85EF5">
        <w:t>-2</w:t>
      </w:r>
      <w:r w:rsidR="00B63933">
        <w:t>1</w:t>
      </w:r>
      <w:r>
        <w:t>.</w:t>
      </w:r>
    </w:p>
    <w:p w14:paraId="17DB680C" w14:textId="4F7C63F9" w:rsidR="00B85EF5" w:rsidRDefault="682E1BB8">
      <w:pPr>
        <w:pStyle w:val="ListLevel1"/>
      </w:pPr>
      <w:r w:rsidRPr="1FFE3681">
        <w:t>T</w:t>
      </w:r>
      <w:r w:rsidR="0C7221AD" w:rsidRPr="1FFE3681">
        <w:t xml:space="preserve">he </w:t>
      </w:r>
      <w:r w:rsidR="00D338A9">
        <w:t>c</w:t>
      </w:r>
      <w:r w:rsidR="0C7221AD" w:rsidRPr="1FFE3681">
        <w:t xml:space="preserve">ritical </w:t>
      </w:r>
      <w:r w:rsidR="00D338A9">
        <w:t>c</w:t>
      </w:r>
      <w:r w:rsidR="0C7221AD" w:rsidRPr="1FFE3681">
        <w:t>are cost</w:t>
      </w:r>
      <w:r w:rsidR="6D42711E" w:rsidRPr="1FFE3681">
        <w:t xml:space="preserve"> bucket made up 5.</w:t>
      </w:r>
      <w:r w:rsidR="00B63933">
        <w:t>7</w:t>
      </w:r>
      <w:r w:rsidR="00A57B31">
        <w:t>%</w:t>
      </w:r>
      <w:r w:rsidR="6D42711E" w:rsidRPr="1FFE3681">
        <w:t xml:space="preserve"> of total cost</w:t>
      </w:r>
      <w:r w:rsidRPr="1FFE3681">
        <w:t xml:space="preserve"> in 2020</w:t>
      </w:r>
      <w:r w:rsidR="00E37CEF">
        <w:t>-</w:t>
      </w:r>
      <w:r w:rsidRPr="1FFE3681">
        <w:t>21</w:t>
      </w:r>
      <w:r w:rsidR="18506CDE" w:rsidRPr="1FFE3681">
        <w:t>, remaining similar in proportion to total cost compared to previous years</w:t>
      </w:r>
      <w:r w:rsidR="6D42711E" w:rsidRPr="1FFE3681">
        <w:t xml:space="preserve">. </w:t>
      </w:r>
      <w:r w:rsidRPr="1FFE3681">
        <w:t xml:space="preserve">Critical </w:t>
      </w:r>
      <w:r w:rsidR="00D338A9">
        <w:t>c</w:t>
      </w:r>
      <w:r w:rsidRPr="1FFE3681">
        <w:t>are</w:t>
      </w:r>
      <w:r w:rsidR="6D42711E" w:rsidRPr="1FFE3681">
        <w:t xml:space="preserve"> is highly</w:t>
      </w:r>
      <w:r w:rsidR="0C7221AD" w:rsidRPr="1FFE3681">
        <w:t xml:space="preserve"> concentrated within certain AR-DRGs, </w:t>
      </w:r>
      <w:r w:rsidR="007B447E">
        <w:t>leading</w:t>
      </w:r>
      <w:r w:rsidR="0C7221AD" w:rsidRPr="1FFE3681">
        <w:t xml:space="preserve"> to volatility in the proportion of total cost. Of the top 10</w:t>
      </w:r>
      <w:r w:rsidR="6BC1F8A4" w:rsidRPr="1FFE3681">
        <w:t xml:space="preserve"> AR</w:t>
      </w:r>
      <w:r w:rsidR="00696D29">
        <w:noBreakHyphen/>
      </w:r>
      <w:r w:rsidR="0C7221AD" w:rsidRPr="1FFE3681">
        <w:t xml:space="preserve">DRGs with the highest </w:t>
      </w:r>
      <w:r w:rsidR="00D338A9">
        <w:t>c</w:t>
      </w:r>
      <w:r w:rsidR="0C7221AD" w:rsidRPr="1FFE3681">
        <w:t xml:space="preserve">ritical </w:t>
      </w:r>
      <w:r w:rsidR="00D338A9">
        <w:t>c</w:t>
      </w:r>
      <w:r w:rsidR="0C7221AD" w:rsidRPr="1FFE3681">
        <w:t xml:space="preserve">are cost, over </w:t>
      </w:r>
      <w:r w:rsidRPr="1FFE3681">
        <w:t xml:space="preserve">half </w:t>
      </w:r>
      <w:r w:rsidR="0C7221AD" w:rsidRPr="1FFE3681">
        <w:t xml:space="preserve">of the total cost was in </w:t>
      </w:r>
      <w:r w:rsidR="00D338A9">
        <w:t>c</w:t>
      </w:r>
      <w:r w:rsidR="0C7221AD" w:rsidRPr="1FFE3681">
        <w:t xml:space="preserve">ritical </w:t>
      </w:r>
      <w:r w:rsidR="00D338A9">
        <w:t>c</w:t>
      </w:r>
      <w:r w:rsidR="0C7221AD" w:rsidRPr="1FFE3681">
        <w:t>are.</w:t>
      </w:r>
    </w:p>
    <w:p w14:paraId="12E32415" w14:textId="2ECB4319" w:rsidR="00B14BDD" w:rsidRPr="005629F8" w:rsidRDefault="00CC36FF" w:rsidP="00FC4599">
      <w:pPr>
        <w:pStyle w:val="Heading2"/>
      </w:pPr>
      <w:bookmarkStart w:id="17" w:name="_Toc129700432"/>
      <w:bookmarkStart w:id="18" w:name="_Toc129700658"/>
      <w:bookmarkStart w:id="19" w:name="_Toc129701351"/>
      <w:r w:rsidRPr="005629F8">
        <w:t>Methodology</w:t>
      </w:r>
      <w:bookmarkEnd w:id="17"/>
      <w:bookmarkEnd w:id="18"/>
      <w:bookmarkEnd w:id="19"/>
    </w:p>
    <w:p w14:paraId="2FB6A58B" w14:textId="39EEE08E" w:rsidR="00143863" w:rsidRPr="005629F8" w:rsidRDefault="44406675" w:rsidP="00143863">
      <w:r w:rsidRPr="005629F8">
        <w:t xml:space="preserve">In </w:t>
      </w:r>
      <w:r w:rsidR="585350DC" w:rsidRPr="005629F8">
        <w:t xml:space="preserve">the </w:t>
      </w:r>
      <w:r w:rsidR="71A65878" w:rsidRPr="1FFE3681">
        <w:t>NHCDC</w:t>
      </w:r>
      <w:r w:rsidR="009942D5">
        <w:t xml:space="preserve"> Private Sector </w:t>
      </w:r>
      <w:r w:rsidR="009942D5" w:rsidRPr="005629F8">
        <w:t>202</w:t>
      </w:r>
      <w:r w:rsidR="009942D5">
        <w:t>1</w:t>
      </w:r>
      <w:r w:rsidR="009942D5" w:rsidRPr="005629F8">
        <w:t>-2</w:t>
      </w:r>
      <w:r w:rsidR="009942D5">
        <w:t>2</w:t>
      </w:r>
      <w:r w:rsidR="5A011D9D" w:rsidRPr="005629F8">
        <w:t xml:space="preserve">, </w:t>
      </w:r>
      <w:r w:rsidRPr="005629F8">
        <w:t xml:space="preserve">private hospitals were invited to submit costed data </w:t>
      </w:r>
      <w:r w:rsidR="585350DC" w:rsidRPr="005629F8">
        <w:t xml:space="preserve">of </w:t>
      </w:r>
      <w:r w:rsidRPr="005629F8">
        <w:t>in</w:t>
      </w:r>
      <w:r w:rsidR="28CFD11C" w:rsidRPr="005629F8">
        <w:t>-</w:t>
      </w:r>
      <w:proofErr w:type="gramStart"/>
      <w:r w:rsidRPr="005629F8">
        <w:t>scope</w:t>
      </w:r>
      <w:r w:rsidR="585350DC" w:rsidRPr="005629F8">
        <w:t xml:space="preserve"> </w:t>
      </w:r>
      <w:r w:rsidRPr="005629F8">
        <w:rPr>
          <w:spacing w:val="-59"/>
        </w:rPr>
        <w:t xml:space="preserve"> </w:t>
      </w:r>
      <w:r w:rsidRPr="005629F8">
        <w:t>activity</w:t>
      </w:r>
      <w:proofErr w:type="gramEnd"/>
      <w:r w:rsidRPr="005629F8">
        <w:t>.</w:t>
      </w:r>
      <w:r w:rsidRPr="005629F8">
        <w:rPr>
          <w:spacing w:val="2"/>
        </w:rPr>
        <w:t xml:space="preserve"> </w:t>
      </w:r>
      <w:r w:rsidRPr="005629F8">
        <w:t xml:space="preserve">This included </w:t>
      </w:r>
      <w:r w:rsidR="71A65878" w:rsidRPr="1FFE3681">
        <w:t xml:space="preserve">activity in the </w:t>
      </w:r>
      <w:r w:rsidRPr="005629F8">
        <w:t>admitted</w:t>
      </w:r>
      <w:r w:rsidRPr="005629F8">
        <w:rPr>
          <w:spacing w:val="-3"/>
        </w:rPr>
        <w:t xml:space="preserve"> </w:t>
      </w:r>
      <w:r w:rsidRPr="005629F8">
        <w:t>acute,</w:t>
      </w:r>
      <w:r w:rsidRPr="005629F8">
        <w:rPr>
          <w:spacing w:val="-2"/>
        </w:rPr>
        <w:t xml:space="preserve"> </w:t>
      </w:r>
      <w:proofErr w:type="gramStart"/>
      <w:r w:rsidRPr="005629F8">
        <w:t>subacute</w:t>
      </w:r>
      <w:proofErr w:type="gramEnd"/>
      <w:r w:rsidRPr="005629F8">
        <w:t xml:space="preserve"> and</w:t>
      </w:r>
      <w:r w:rsidRPr="005629F8">
        <w:rPr>
          <w:spacing w:val="-1"/>
        </w:rPr>
        <w:t xml:space="preserve"> </w:t>
      </w:r>
      <w:r w:rsidRPr="005629F8">
        <w:t>mental</w:t>
      </w:r>
      <w:r w:rsidRPr="005629F8">
        <w:rPr>
          <w:spacing w:val="-2"/>
        </w:rPr>
        <w:t xml:space="preserve"> </w:t>
      </w:r>
      <w:r w:rsidRPr="005629F8">
        <w:t>health</w:t>
      </w:r>
      <w:r w:rsidRPr="005629F8">
        <w:rPr>
          <w:spacing w:val="-2"/>
        </w:rPr>
        <w:t xml:space="preserve"> </w:t>
      </w:r>
      <w:r w:rsidRPr="005629F8">
        <w:t>streams.</w:t>
      </w:r>
      <w:r w:rsidR="18506CDE" w:rsidRPr="1FFE3681">
        <w:t xml:space="preserve"> This report combines data from the admitted acute and mental health streams due to insufficient participation</w:t>
      </w:r>
      <w:r w:rsidR="60157E26" w:rsidRPr="1FFE3681">
        <w:t xml:space="preserve"> and hence volume of data</w:t>
      </w:r>
      <w:r w:rsidR="18506CDE" w:rsidRPr="1FFE3681">
        <w:t xml:space="preserve"> to enable separate reporting.</w:t>
      </w:r>
    </w:p>
    <w:p w14:paraId="0CF9820B" w14:textId="0659AB05" w:rsidR="00143863" w:rsidRPr="005629F8" w:rsidRDefault="00143863" w:rsidP="00143863">
      <w:r w:rsidRPr="005629F8">
        <w:t xml:space="preserve">Submitted data was validated by </w:t>
      </w:r>
      <w:r w:rsidR="00BE3E10" w:rsidRPr="005629F8">
        <w:t>IHACPA</w:t>
      </w:r>
      <w:r w:rsidRPr="005629F8">
        <w:t xml:space="preserve"> in accordance with the data request specifications</w:t>
      </w:r>
      <w:r w:rsidRPr="005629F8">
        <w:rPr>
          <w:spacing w:val="1"/>
        </w:rPr>
        <w:t xml:space="preserve"> </w:t>
      </w:r>
      <w:r w:rsidRPr="005629F8">
        <w:t xml:space="preserve">(DRS) that </w:t>
      </w:r>
      <w:r w:rsidR="00BE3E10" w:rsidRPr="005629F8">
        <w:t>IHACPA</w:t>
      </w:r>
      <w:r w:rsidRPr="005629F8">
        <w:t xml:space="preserve"> prepared and distributed to participants. </w:t>
      </w:r>
      <w:r w:rsidR="00BE3E10" w:rsidRPr="005629F8">
        <w:t>IHACPA</w:t>
      </w:r>
      <w:r w:rsidRPr="005629F8">
        <w:t xml:space="preserve"> performed quality </w:t>
      </w:r>
      <w:r w:rsidR="00664FDC">
        <w:t xml:space="preserve">assurance </w:t>
      </w:r>
      <w:r w:rsidRPr="005629F8">
        <w:t>(QA)</w:t>
      </w:r>
      <w:r w:rsidRPr="005629F8">
        <w:rPr>
          <w:spacing w:val="-2"/>
        </w:rPr>
        <w:t xml:space="preserve"> </w:t>
      </w:r>
      <w:r w:rsidRPr="005629F8">
        <w:t>checks</w:t>
      </w:r>
      <w:r w:rsidRPr="005629F8">
        <w:rPr>
          <w:spacing w:val="-2"/>
        </w:rPr>
        <w:t xml:space="preserve"> </w:t>
      </w:r>
      <w:r w:rsidRPr="005629F8">
        <w:t>to ensure</w:t>
      </w:r>
      <w:r w:rsidRPr="005629F8">
        <w:rPr>
          <w:spacing w:val="-2"/>
        </w:rPr>
        <w:t xml:space="preserve"> </w:t>
      </w:r>
      <w:r w:rsidRPr="005629F8">
        <w:t>accuracy</w:t>
      </w:r>
      <w:r w:rsidRPr="005629F8">
        <w:rPr>
          <w:spacing w:val="-3"/>
        </w:rPr>
        <w:t xml:space="preserve"> </w:t>
      </w:r>
      <w:r w:rsidRPr="005629F8">
        <w:t>and suitability</w:t>
      </w:r>
      <w:r w:rsidRPr="005629F8">
        <w:rPr>
          <w:spacing w:val="-2"/>
        </w:rPr>
        <w:t xml:space="preserve"> </w:t>
      </w:r>
      <w:r w:rsidRPr="005629F8">
        <w:t>of</w:t>
      </w:r>
      <w:r w:rsidRPr="005629F8">
        <w:rPr>
          <w:spacing w:val="1"/>
        </w:rPr>
        <w:t xml:space="preserve"> </w:t>
      </w:r>
      <w:r w:rsidRPr="005629F8">
        <w:t>the</w:t>
      </w:r>
      <w:r w:rsidRPr="005629F8">
        <w:rPr>
          <w:spacing w:val="-2"/>
        </w:rPr>
        <w:t xml:space="preserve"> </w:t>
      </w:r>
      <w:r w:rsidRPr="005629F8">
        <w:t>data</w:t>
      </w:r>
      <w:r w:rsidRPr="005629F8">
        <w:rPr>
          <w:spacing w:val="-3"/>
        </w:rPr>
        <w:t xml:space="preserve"> </w:t>
      </w:r>
      <w:r w:rsidRPr="005629F8">
        <w:t>submission.</w:t>
      </w:r>
    </w:p>
    <w:p w14:paraId="5AFE8A7B" w14:textId="6DDD7EF5" w:rsidR="00143863" w:rsidRPr="005629F8" w:rsidRDefault="44406675" w:rsidP="00143863">
      <w:r w:rsidRPr="005629F8">
        <w:t xml:space="preserve">The validated data was then used to produce the </w:t>
      </w:r>
      <w:r w:rsidRPr="005629F8">
        <w:rPr>
          <w:i/>
          <w:iCs/>
        </w:rPr>
        <w:t xml:space="preserve">NHCDC </w:t>
      </w:r>
      <w:r w:rsidR="71A65878" w:rsidRPr="005629F8">
        <w:rPr>
          <w:i/>
          <w:iCs/>
        </w:rPr>
        <w:t>Private Hospital Report</w:t>
      </w:r>
      <w:r w:rsidR="00241F7D">
        <w:rPr>
          <w:i/>
          <w:iCs/>
        </w:rPr>
        <w:t xml:space="preserve"> </w:t>
      </w:r>
      <w:r w:rsidR="00241F7D" w:rsidRPr="005629F8">
        <w:rPr>
          <w:i/>
          <w:iCs/>
        </w:rPr>
        <w:t>202</w:t>
      </w:r>
      <w:r w:rsidR="00B63933">
        <w:rPr>
          <w:i/>
          <w:iCs/>
        </w:rPr>
        <w:t>1</w:t>
      </w:r>
      <w:r w:rsidR="00241F7D" w:rsidRPr="005629F8">
        <w:rPr>
          <w:i/>
          <w:iCs/>
        </w:rPr>
        <w:t>-2</w:t>
      </w:r>
      <w:r w:rsidR="00B63933">
        <w:rPr>
          <w:i/>
          <w:iCs/>
        </w:rPr>
        <w:t>2</w:t>
      </w:r>
      <w:r w:rsidRPr="005629F8">
        <w:t>, and individualised reports including cost tables for each</w:t>
      </w:r>
      <w:r w:rsidRPr="005629F8">
        <w:rPr>
          <w:spacing w:val="1"/>
        </w:rPr>
        <w:t xml:space="preserve"> </w:t>
      </w:r>
      <w:r w:rsidRPr="005629F8">
        <w:t>participating</w:t>
      </w:r>
      <w:r w:rsidRPr="005629F8">
        <w:rPr>
          <w:spacing w:val="1"/>
        </w:rPr>
        <w:t xml:space="preserve"> </w:t>
      </w:r>
      <w:r w:rsidRPr="005629F8">
        <w:t>hospital</w:t>
      </w:r>
      <w:r w:rsidRPr="005629F8">
        <w:rPr>
          <w:spacing w:val="-3"/>
        </w:rPr>
        <w:t xml:space="preserve"> </w:t>
      </w:r>
      <w:r w:rsidRPr="005629F8">
        <w:t>group. The</w:t>
      </w:r>
      <w:r w:rsidR="28CFD11C" w:rsidRPr="005629F8">
        <w:t>re were no adjustments made for the impact of COVID-19 in the nati</w:t>
      </w:r>
      <w:r w:rsidR="34F46CF5" w:rsidRPr="005629F8">
        <w:t>onal costed dataset or private sector reports</w:t>
      </w:r>
      <w:r w:rsidRPr="005629F8">
        <w:t>.</w:t>
      </w:r>
    </w:p>
    <w:p w14:paraId="28B98E3B" w14:textId="3AE6917B" w:rsidR="00914756" w:rsidRDefault="27B5044E" w:rsidP="005629F8">
      <w:pPr>
        <w:pStyle w:val="NoSpacing"/>
        <w:spacing w:line="276" w:lineRule="auto"/>
        <w:rPr>
          <w:rFonts w:cs="Arial"/>
        </w:rPr>
      </w:pPr>
      <w:r w:rsidRPr="005629F8">
        <w:rPr>
          <w:rFonts w:cs="Arial"/>
        </w:rPr>
        <w:t xml:space="preserve">The COVID-19 </w:t>
      </w:r>
      <w:r w:rsidRPr="009D6A81">
        <w:rPr>
          <w:rFonts w:cs="Arial"/>
        </w:rPr>
        <w:t>pandemic continued to impact Australia in 202</w:t>
      </w:r>
      <w:r w:rsidR="00B63933" w:rsidRPr="009D6A81">
        <w:rPr>
          <w:rFonts w:cs="Arial"/>
        </w:rPr>
        <w:t>1</w:t>
      </w:r>
      <w:r w:rsidRPr="009D6A81">
        <w:rPr>
          <w:rFonts w:cs="Arial"/>
        </w:rPr>
        <w:t>-2</w:t>
      </w:r>
      <w:r w:rsidR="00B63933" w:rsidRPr="009D6A81">
        <w:rPr>
          <w:rFonts w:cs="Arial"/>
        </w:rPr>
        <w:t>2</w:t>
      </w:r>
      <w:r w:rsidRPr="009D6A81">
        <w:rPr>
          <w:rFonts w:cs="Arial"/>
        </w:rPr>
        <w:t xml:space="preserve">, </w:t>
      </w:r>
      <w:r w:rsidR="00E5703F" w:rsidRPr="009D6A81">
        <w:rPr>
          <w:rFonts w:cs="Arial"/>
        </w:rPr>
        <w:t xml:space="preserve">with </w:t>
      </w:r>
      <w:r w:rsidRPr="009D6A81">
        <w:rPr>
          <w:rFonts w:cs="Arial"/>
        </w:rPr>
        <w:t xml:space="preserve">jurisdictional lockdowns </w:t>
      </w:r>
      <w:r w:rsidR="00E5703F" w:rsidRPr="004A5570">
        <w:rPr>
          <w:rFonts w:cs="Arial"/>
        </w:rPr>
        <w:t xml:space="preserve">continuing into the first half of the financial year in some jurisdictions </w:t>
      </w:r>
      <w:r w:rsidRPr="009D6A81">
        <w:rPr>
          <w:rFonts w:cs="Arial"/>
        </w:rPr>
        <w:t xml:space="preserve">and varying </w:t>
      </w:r>
      <w:r w:rsidR="00E5703F" w:rsidRPr="004A5570">
        <w:rPr>
          <w:rFonts w:cs="Arial"/>
        </w:rPr>
        <w:t>responses to manage</w:t>
      </w:r>
      <w:r w:rsidRPr="009D6A81">
        <w:rPr>
          <w:rFonts w:cs="Arial"/>
        </w:rPr>
        <w:t xml:space="preserve"> elective surgeries. This impacted</w:t>
      </w:r>
      <w:r w:rsidRPr="005629F8">
        <w:rPr>
          <w:rFonts w:cs="Arial"/>
        </w:rPr>
        <w:t xml:space="preserve"> hospital operations (both public and private) and had financial impacts that are reflected in the activity volumes and cost profiles of the data collection. IHACPA released</w:t>
      </w:r>
      <w:r w:rsidR="007327AD">
        <w:rPr>
          <w:rFonts w:cs="Arial"/>
        </w:rPr>
        <w:t xml:space="preserve"> the </w:t>
      </w:r>
      <w:r w:rsidR="007327AD" w:rsidRPr="007327AD">
        <w:rPr>
          <w:rFonts w:cs="Arial"/>
          <w:i/>
          <w:iCs/>
        </w:rPr>
        <w:t>COVID-19 Response – Costing and pricing guidelines</w:t>
      </w:r>
      <w:r w:rsidR="007327AD">
        <w:rPr>
          <w:rStyle w:val="FootnoteReference"/>
          <w:rFonts w:cs="Arial"/>
          <w:i/>
          <w:iCs/>
        </w:rPr>
        <w:footnoteReference w:id="2"/>
      </w:r>
      <w:r w:rsidRPr="005629F8">
        <w:rPr>
          <w:rFonts w:cs="Arial"/>
        </w:rPr>
        <w:t xml:space="preserve"> guidance</w:t>
      </w:r>
      <w:r w:rsidR="00241F7D">
        <w:rPr>
          <w:rFonts w:cs="Arial"/>
        </w:rPr>
        <w:t xml:space="preserve"> document</w:t>
      </w:r>
      <w:r w:rsidRPr="005629F8">
        <w:rPr>
          <w:rFonts w:cs="Arial"/>
        </w:rPr>
        <w:t xml:space="preserve"> for costing and pricing for COVID</w:t>
      </w:r>
      <w:r w:rsidR="000C38AE">
        <w:rPr>
          <w:rFonts w:cs="Arial"/>
          <w:szCs w:val="21"/>
        </w:rPr>
        <w:noBreakHyphen/>
      </w:r>
      <w:r w:rsidRPr="005629F8">
        <w:rPr>
          <w:rFonts w:cs="Arial"/>
        </w:rPr>
        <w:t>19</w:t>
      </w:r>
      <w:r w:rsidR="00364C5F">
        <w:rPr>
          <w:rFonts w:cs="Arial"/>
        </w:rPr>
        <w:t xml:space="preserve"> and </w:t>
      </w:r>
      <w:r w:rsidRPr="005629F8">
        <w:rPr>
          <w:rFonts w:cs="Arial"/>
        </w:rPr>
        <w:t>recognises that</w:t>
      </w:r>
      <w:r w:rsidRPr="005629F8">
        <w:rPr>
          <w:rFonts w:cs="Arial"/>
          <w:b/>
          <w:bCs/>
        </w:rPr>
        <w:t xml:space="preserve"> </w:t>
      </w:r>
      <w:r w:rsidRPr="005629F8">
        <w:rPr>
          <w:rFonts w:cs="Arial"/>
        </w:rPr>
        <w:t>there may be variations in the approach to costing for 202</w:t>
      </w:r>
      <w:r w:rsidR="00B63933">
        <w:rPr>
          <w:rFonts w:cs="Arial"/>
        </w:rPr>
        <w:t>1</w:t>
      </w:r>
      <w:r w:rsidRPr="005629F8">
        <w:rPr>
          <w:rFonts w:cs="Arial"/>
        </w:rPr>
        <w:t>-2</w:t>
      </w:r>
      <w:r w:rsidR="00B63933">
        <w:rPr>
          <w:rFonts w:cs="Arial"/>
        </w:rPr>
        <w:t>2</w:t>
      </w:r>
      <w:r w:rsidRPr="005629F8">
        <w:rPr>
          <w:rFonts w:cs="Arial"/>
        </w:rPr>
        <w:t>. The results in this cost report should be reviewed with this context in mind.</w:t>
      </w:r>
    </w:p>
    <w:p w14:paraId="3A67E3D7" w14:textId="3261EA26" w:rsidR="003A709A" w:rsidRDefault="003A709A" w:rsidP="005629F8">
      <w:pPr>
        <w:pStyle w:val="NoSpacing"/>
        <w:spacing w:line="276" w:lineRule="auto"/>
        <w:rPr>
          <w:rFonts w:cs="Arial"/>
        </w:rPr>
      </w:pPr>
    </w:p>
    <w:p w14:paraId="19356244" w14:textId="41086303" w:rsidR="00CC36FF" w:rsidRPr="005629F8" w:rsidRDefault="00CC36FF" w:rsidP="00FC4599">
      <w:pPr>
        <w:pStyle w:val="Heading2"/>
      </w:pPr>
      <w:bookmarkStart w:id="20" w:name="_Toc129700433"/>
      <w:bookmarkStart w:id="21" w:name="_Toc129700659"/>
      <w:bookmarkStart w:id="22" w:name="_Toc129701352"/>
      <w:r w:rsidRPr="005629F8">
        <w:t>Considerations</w:t>
      </w:r>
      <w:bookmarkEnd w:id="20"/>
      <w:bookmarkEnd w:id="21"/>
      <w:bookmarkEnd w:id="22"/>
    </w:p>
    <w:p w14:paraId="3F2B5587" w14:textId="77777777" w:rsidR="00CC36FF" w:rsidRPr="005629F8" w:rsidRDefault="00CC36FF" w:rsidP="00143863">
      <w:r w:rsidRPr="005629F8">
        <w:t>The following factors can have a material impact on the reported costs and cost weights, and should be considered when interpreting the information in this report:</w:t>
      </w:r>
    </w:p>
    <w:p w14:paraId="7C7CE3AC" w14:textId="56FE1122" w:rsidR="00CC36FF" w:rsidRPr="005629F8" w:rsidRDefault="003A709A" w:rsidP="003A538E">
      <w:pPr>
        <w:pStyle w:val="ListLevel1"/>
      </w:pPr>
      <w:r>
        <w:t>a</w:t>
      </w:r>
      <w:r w:rsidR="160D3FA6" w:rsidRPr="005629F8">
        <w:t xml:space="preserve">pplication of the Australian Hospital Patient Costing Standards (AHPCS) </w:t>
      </w:r>
      <w:r w:rsidR="00087B99">
        <w:t>V</w:t>
      </w:r>
      <w:r w:rsidR="71A65878" w:rsidRPr="1FFE3681">
        <w:t xml:space="preserve">ersion </w:t>
      </w:r>
      <w:r w:rsidR="160D3FA6" w:rsidRPr="005629F8">
        <w:t>4.</w:t>
      </w:r>
      <w:r w:rsidR="31B295BE" w:rsidRPr="005629F8">
        <w:t>1</w:t>
      </w:r>
    </w:p>
    <w:p w14:paraId="5E373033" w14:textId="6BE427A8" w:rsidR="00CC36FF" w:rsidRPr="005629F8" w:rsidRDefault="003A709A" w:rsidP="003A538E">
      <w:pPr>
        <w:pStyle w:val="ListLevel1"/>
      </w:pPr>
      <w:r>
        <w:t>m</w:t>
      </w:r>
      <w:r w:rsidR="00CC36FF" w:rsidRPr="005629F8">
        <w:t>apping of general ledger to the appropriate and consistent cost buckets</w:t>
      </w:r>
    </w:p>
    <w:p w14:paraId="0640F1F7" w14:textId="2AD254DD" w:rsidR="00CC36FF" w:rsidRPr="005629F8" w:rsidRDefault="003A709A" w:rsidP="003A538E">
      <w:pPr>
        <w:pStyle w:val="ListLevel1"/>
      </w:pPr>
      <w:r>
        <w:t>al</w:t>
      </w:r>
      <w:r w:rsidR="00CC36FF" w:rsidRPr="005629F8">
        <w:t xml:space="preserve">location of cost centres to care </w:t>
      </w:r>
      <w:proofErr w:type="gramStart"/>
      <w:r w:rsidR="00CC36FF" w:rsidRPr="005629F8">
        <w:t>areas</w:t>
      </w:r>
      <w:proofErr w:type="gramEnd"/>
    </w:p>
    <w:p w14:paraId="048F579E" w14:textId="620E6D70" w:rsidR="00CC36FF" w:rsidRPr="005629F8" w:rsidRDefault="003A709A" w:rsidP="003A538E">
      <w:pPr>
        <w:pStyle w:val="ListLevel1"/>
      </w:pPr>
      <w:r>
        <w:t>w</w:t>
      </w:r>
      <w:r w:rsidR="0081173C">
        <w:t>hether costs are allocated</w:t>
      </w:r>
      <w:r w:rsidR="00143863" w:rsidRPr="005629F8">
        <w:t xml:space="preserve"> using patient level data or service weights</w:t>
      </w:r>
    </w:p>
    <w:p w14:paraId="0A20F56F" w14:textId="3AA4CCAE" w:rsidR="00CC36FF" w:rsidRDefault="003A709A" w:rsidP="003A538E">
      <w:pPr>
        <w:pStyle w:val="ListLevel1"/>
      </w:pPr>
      <w:r>
        <w:t>t</w:t>
      </w:r>
      <w:r w:rsidR="00CC36FF" w:rsidRPr="005629F8">
        <w:t>he impact of COVID-19 on private hospital activity and cost profile</w:t>
      </w:r>
    </w:p>
    <w:p w14:paraId="5F4D1377" w14:textId="68EE2C5A" w:rsidR="0088549E" w:rsidRPr="005629F8" w:rsidRDefault="0088549E" w:rsidP="003A538E">
      <w:pPr>
        <w:pStyle w:val="ListLevel1"/>
      </w:pPr>
      <w:r>
        <w:lastRenderedPageBreak/>
        <w:t>the hospitals contributing data each year (sample hospitals) may differ</w:t>
      </w:r>
      <w:r w:rsidR="00B408BE">
        <w:t>.</w:t>
      </w:r>
      <w:r>
        <w:t xml:space="preserve"> </w:t>
      </w:r>
      <w:r w:rsidR="00B408BE">
        <w:t>T</w:t>
      </w:r>
      <w:r>
        <w:t>herefore</w:t>
      </w:r>
      <w:r w:rsidR="00B408BE">
        <w:t>, it should</w:t>
      </w:r>
      <w:r>
        <w:t xml:space="preserve"> be taken into consideration when performing year-on-year comparisons. </w:t>
      </w:r>
    </w:p>
    <w:p w14:paraId="1D233578" w14:textId="3DE8C067" w:rsidR="00CC36FF" w:rsidRPr="005629F8" w:rsidRDefault="18506CDE" w:rsidP="00CC36FF">
      <w:pPr>
        <w:rPr>
          <w:highlight w:val="yellow"/>
        </w:rPr>
      </w:pPr>
      <w:r w:rsidRPr="1FFE3681">
        <w:t>Further i</w:t>
      </w:r>
      <w:r w:rsidR="1B6FEFD6" w:rsidRPr="1FFE3681">
        <w:t>nvestigations into the 202</w:t>
      </w:r>
      <w:r w:rsidR="00B63933">
        <w:t>1</w:t>
      </w:r>
      <w:r w:rsidR="1B6FEFD6" w:rsidRPr="1FFE3681">
        <w:t>-2</w:t>
      </w:r>
      <w:r w:rsidR="00B63933">
        <w:t>2</w:t>
      </w:r>
      <w:r w:rsidR="1B6FEFD6" w:rsidRPr="1FFE3681">
        <w:t xml:space="preserve"> NHCDC submission identified variations in cost profile</w:t>
      </w:r>
      <w:r w:rsidR="3FB6F49C" w:rsidRPr="1FFE3681">
        <w:t>s</w:t>
      </w:r>
      <w:r w:rsidR="1B6FEFD6" w:rsidRPr="1FFE3681">
        <w:t>, specifically pharmacy cost</w:t>
      </w:r>
      <w:r w:rsidR="3FB6F49C" w:rsidRPr="1FFE3681">
        <w:t>s</w:t>
      </w:r>
      <w:r w:rsidR="1B6FEFD6" w:rsidRPr="1FFE3681">
        <w:t xml:space="preserve">, driven by </w:t>
      </w:r>
      <w:r w:rsidR="00E5703F">
        <w:t>variation of insourced and outsourced</w:t>
      </w:r>
      <w:r w:rsidR="1B6FEFD6" w:rsidRPr="1FFE3681">
        <w:t xml:space="preserve"> </w:t>
      </w:r>
      <w:r w:rsidR="00E5703F">
        <w:t xml:space="preserve">models for </w:t>
      </w:r>
      <w:r w:rsidR="1B6FEFD6" w:rsidRPr="1FFE3681">
        <w:t>hospital</w:t>
      </w:r>
      <w:r w:rsidR="00E5703F">
        <w:t xml:space="preserve"> </w:t>
      </w:r>
      <w:r w:rsidR="1B6FEFD6" w:rsidRPr="1FFE3681">
        <w:t>pharmacy function</w:t>
      </w:r>
      <w:r w:rsidR="00E5703F">
        <w:t>s</w:t>
      </w:r>
      <w:r w:rsidR="1B6FEFD6" w:rsidRPr="1FFE3681">
        <w:t xml:space="preserve">. Readers of this report should consider this when interpreting the results of this report, </w:t>
      </w:r>
      <w:r w:rsidR="71A65878" w:rsidRPr="1FFE3681">
        <w:t>particularly</w:t>
      </w:r>
      <w:r w:rsidR="1B6FEFD6" w:rsidRPr="1FFE3681">
        <w:t xml:space="preserve"> for AR-DRGs </w:t>
      </w:r>
      <w:r w:rsidR="0012555A">
        <w:t>that</w:t>
      </w:r>
      <w:r w:rsidR="1B6FEFD6" w:rsidRPr="1FFE3681">
        <w:t xml:space="preserve"> have a high proportion of Pharmaceutical Benefits </w:t>
      </w:r>
      <w:r w:rsidR="00241F7D">
        <w:t xml:space="preserve">Scheme </w:t>
      </w:r>
      <w:r w:rsidR="1B6FEFD6" w:rsidRPr="1FFE3681">
        <w:t xml:space="preserve">(PBS) costs. </w:t>
      </w:r>
    </w:p>
    <w:p w14:paraId="5E29DC86" w14:textId="77777777" w:rsidR="00BC0828" w:rsidRPr="005629F8" w:rsidRDefault="00BC0828">
      <w:pPr>
        <w:spacing w:line="259" w:lineRule="auto"/>
        <w:rPr>
          <w:rFonts w:ascii="Fira Sans Bold" w:eastAsiaTheme="majorEastAsia" w:hAnsi="Fira Sans Bold" w:cstheme="majorBidi" w:hint="eastAsia"/>
          <w:color w:val="008F55" w:themeColor="accent4"/>
          <w:sz w:val="26"/>
          <w:szCs w:val="24"/>
          <w:highlight w:val="yellow"/>
        </w:rPr>
      </w:pPr>
      <w:r w:rsidRPr="005629F8">
        <w:rPr>
          <w:highlight w:val="yellow"/>
        </w:rPr>
        <w:br w:type="page"/>
      </w:r>
    </w:p>
    <w:p w14:paraId="553EC045" w14:textId="47D89C39" w:rsidR="00BC0828" w:rsidRPr="005629F8" w:rsidRDefault="00BC0828" w:rsidP="00FC4599">
      <w:pPr>
        <w:pStyle w:val="Heading1"/>
      </w:pPr>
      <w:bookmarkStart w:id="23" w:name="_Toc152080389"/>
      <w:r w:rsidRPr="005629F8">
        <w:lastRenderedPageBreak/>
        <w:t>Introduction</w:t>
      </w:r>
      <w:bookmarkEnd w:id="23"/>
    </w:p>
    <w:p w14:paraId="39FF81BA" w14:textId="7EB6DC35" w:rsidR="00BC0828" w:rsidRPr="005629F8" w:rsidRDefault="00BC0828" w:rsidP="00FC4599">
      <w:pPr>
        <w:pStyle w:val="Heading2"/>
      </w:pPr>
      <w:bookmarkStart w:id="24" w:name="_Toc129700435"/>
      <w:bookmarkStart w:id="25" w:name="_Toc129700661"/>
      <w:bookmarkStart w:id="26" w:name="_Toc129701354"/>
      <w:r w:rsidRPr="005629F8">
        <w:t>Purpose of this report</w:t>
      </w:r>
      <w:bookmarkEnd w:id="24"/>
      <w:bookmarkEnd w:id="25"/>
      <w:bookmarkEnd w:id="26"/>
    </w:p>
    <w:p w14:paraId="785876B9" w14:textId="7CFE892D" w:rsidR="00143863" w:rsidRPr="005629F8" w:rsidRDefault="00143863" w:rsidP="00143863">
      <w:r w:rsidRPr="005629F8">
        <w:t xml:space="preserve">The purpose of this report is to provide an overview of hospital cost and activity information voluntarily reported to the </w:t>
      </w:r>
      <w:r w:rsidR="00762E35">
        <w:t>National Hospital Cost Data Collection (</w:t>
      </w:r>
      <w:r w:rsidR="008965B1" w:rsidRPr="005629F8">
        <w:t>NHCDC</w:t>
      </w:r>
      <w:r w:rsidR="00762E35">
        <w:t>)</w:t>
      </w:r>
      <w:r w:rsidR="008965B1" w:rsidRPr="005629F8">
        <w:t xml:space="preserve"> </w:t>
      </w:r>
      <w:r w:rsidR="00FC365D">
        <w:t>P</w:t>
      </w:r>
      <w:r w:rsidR="008965B1" w:rsidRPr="005629F8">
        <w:t>rivate</w:t>
      </w:r>
      <w:r w:rsidR="008965B1" w:rsidRPr="005629F8">
        <w:rPr>
          <w:spacing w:val="1"/>
        </w:rPr>
        <w:t xml:space="preserve"> </w:t>
      </w:r>
      <w:r w:rsidR="00FC365D">
        <w:t>S</w:t>
      </w:r>
      <w:r w:rsidR="008965B1" w:rsidRPr="005629F8">
        <w:t xml:space="preserve">ector </w:t>
      </w:r>
      <w:r w:rsidR="00FC365D">
        <w:br/>
      </w:r>
      <w:r w:rsidR="00C50DB1" w:rsidRPr="005629F8">
        <w:t>202</w:t>
      </w:r>
      <w:r w:rsidR="00B63933">
        <w:t>1</w:t>
      </w:r>
      <w:r w:rsidR="00DB476A" w:rsidRPr="005629F8">
        <w:t>-2</w:t>
      </w:r>
      <w:r w:rsidR="00B63933">
        <w:t>2</w:t>
      </w:r>
      <w:r w:rsidRPr="005629F8">
        <w:t>.</w:t>
      </w:r>
    </w:p>
    <w:p w14:paraId="74CF972F" w14:textId="5BF3C376" w:rsidR="00143863" w:rsidRPr="005629F8" w:rsidRDefault="00143863" w:rsidP="00143863">
      <w:r w:rsidRPr="005629F8">
        <w:t xml:space="preserve">The information is grouped by </w:t>
      </w:r>
      <w:r w:rsidR="00405A50">
        <w:t>Australian Refined Diagnosis Related Groups (</w:t>
      </w:r>
      <w:r w:rsidR="44406675" w:rsidRPr="005629F8">
        <w:t>AR-DRG</w:t>
      </w:r>
      <w:r w:rsidR="06E318D9" w:rsidRPr="35ADAD77">
        <w:t>s</w:t>
      </w:r>
      <w:r w:rsidR="00405A50">
        <w:t>)</w:t>
      </w:r>
      <w:r w:rsidR="06E318D9" w:rsidRPr="35ADAD77">
        <w:t>,</w:t>
      </w:r>
      <w:r w:rsidRPr="005629F8">
        <w:t xml:space="preserve"> a classification system that provides a clinically meaningful way to relate the number and type of patients treated in a hospital to the resources required by the hospital</w:t>
      </w:r>
      <w:r w:rsidR="001551ED" w:rsidRPr="0088109E">
        <w:rPr>
          <w:rStyle w:val="FootnoteReference"/>
        </w:rPr>
        <w:footnoteReference w:id="3"/>
      </w:r>
      <w:r w:rsidRPr="005629F8">
        <w:t>. The AR-DRG is derived from a range of data collected on admitted</w:t>
      </w:r>
      <w:r w:rsidRPr="005629F8">
        <w:rPr>
          <w:spacing w:val="1"/>
        </w:rPr>
        <w:t xml:space="preserve"> </w:t>
      </w:r>
      <w:r w:rsidRPr="005629F8">
        <w:t>patients,</w:t>
      </w:r>
      <w:r w:rsidRPr="005629F8">
        <w:rPr>
          <w:spacing w:val="-2"/>
        </w:rPr>
        <w:t xml:space="preserve"> </w:t>
      </w:r>
      <w:r w:rsidRPr="005629F8">
        <w:t>including</w:t>
      </w:r>
      <w:r w:rsidRPr="005629F8">
        <w:rPr>
          <w:spacing w:val="-1"/>
        </w:rPr>
        <w:t xml:space="preserve"> </w:t>
      </w:r>
      <w:r w:rsidRPr="005629F8">
        <w:t>diagnosis and</w:t>
      </w:r>
      <w:r w:rsidRPr="005629F8">
        <w:rPr>
          <w:spacing w:val="-1"/>
        </w:rPr>
        <w:t xml:space="preserve"> </w:t>
      </w:r>
      <w:r w:rsidRPr="005629F8">
        <w:t>procedure</w:t>
      </w:r>
      <w:r w:rsidRPr="005629F8">
        <w:rPr>
          <w:spacing w:val="-3"/>
        </w:rPr>
        <w:t xml:space="preserve"> </w:t>
      </w:r>
      <w:r w:rsidRPr="005629F8">
        <w:t>information,</w:t>
      </w:r>
      <w:r w:rsidRPr="005629F8">
        <w:rPr>
          <w:spacing w:val="-2"/>
        </w:rPr>
        <w:t xml:space="preserve"> </w:t>
      </w:r>
      <w:r w:rsidRPr="005629F8">
        <w:t>classified using</w:t>
      </w:r>
      <w:r w:rsidRPr="005629F8">
        <w:rPr>
          <w:spacing w:val="3"/>
        </w:rPr>
        <w:t xml:space="preserve"> </w:t>
      </w:r>
      <w:r w:rsidR="00762E35">
        <w:rPr>
          <w:spacing w:val="3"/>
        </w:rPr>
        <w:t xml:space="preserve">International Statistical Classification of Diseases and Related Health Problems, Tenth Revision, Australian </w:t>
      </w:r>
      <w:r w:rsidR="00762E35" w:rsidRPr="00140678">
        <w:rPr>
          <w:spacing w:val="3"/>
        </w:rPr>
        <w:t>Modification (</w:t>
      </w:r>
      <w:r w:rsidRPr="00140678">
        <w:t>ICD-10-AM</w:t>
      </w:r>
      <w:r w:rsidR="001551ED" w:rsidRPr="00140678">
        <w:rPr>
          <w:rStyle w:val="FootnoteReference"/>
        </w:rPr>
        <w:footnoteReference w:id="4"/>
      </w:r>
      <w:r w:rsidR="00762E35" w:rsidRPr="00140678">
        <w:t>)</w:t>
      </w:r>
      <w:r w:rsidRPr="00140678">
        <w:t>.</w:t>
      </w:r>
    </w:p>
    <w:p w14:paraId="5AE7C934" w14:textId="7D94914D" w:rsidR="00143863" w:rsidRPr="005629F8" w:rsidRDefault="00143863" w:rsidP="00143863">
      <w:r w:rsidRPr="005629F8">
        <w:t>This report documents the data, processes, methodology and results for admitted acute care</w:t>
      </w:r>
      <w:r w:rsidRPr="005629F8">
        <w:rPr>
          <w:spacing w:val="1"/>
        </w:rPr>
        <w:t xml:space="preserve"> </w:t>
      </w:r>
      <w:r w:rsidRPr="005629F8">
        <w:t>provided by overnight private hospitals. The results of the collection are expressed as national</w:t>
      </w:r>
      <w:r w:rsidR="0081173C">
        <w:t xml:space="preserve"> </w:t>
      </w:r>
      <w:r w:rsidRPr="005629F8">
        <w:rPr>
          <w:spacing w:val="-59"/>
        </w:rPr>
        <w:t xml:space="preserve"> </w:t>
      </w:r>
      <w:r w:rsidR="00C50DB1" w:rsidRPr="005629F8">
        <w:rPr>
          <w:spacing w:val="-59"/>
        </w:rPr>
        <w:t xml:space="preserve"> </w:t>
      </w:r>
      <w:r w:rsidRPr="005629F8">
        <w:t xml:space="preserve">cost weights by AR-DRG </w:t>
      </w:r>
      <w:r w:rsidR="00087B99">
        <w:t>V</w:t>
      </w:r>
      <w:r w:rsidRPr="005629F8">
        <w:t>ersion 1</w:t>
      </w:r>
      <w:r w:rsidR="00B63933">
        <w:t>1</w:t>
      </w:r>
      <w:r w:rsidRPr="005629F8">
        <w:t xml:space="preserve">.0. Cost weight tables are provided </w:t>
      </w:r>
      <w:r w:rsidR="00664FDC">
        <w:t>for</w:t>
      </w:r>
      <w:r w:rsidRPr="005629F8">
        <w:t xml:space="preserve"> AR-DRG </w:t>
      </w:r>
      <w:r w:rsidR="00087B99">
        <w:t>V</w:t>
      </w:r>
      <w:r w:rsidRPr="005629F8">
        <w:t>ersions</w:t>
      </w:r>
      <w:r w:rsidRPr="005629F8">
        <w:rPr>
          <w:spacing w:val="1"/>
        </w:rPr>
        <w:t xml:space="preserve"> </w:t>
      </w:r>
      <w:r w:rsidRPr="005629F8">
        <w:t>1</w:t>
      </w:r>
      <w:r w:rsidR="00B63933">
        <w:t>1</w:t>
      </w:r>
      <w:r w:rsidRPr="005629F8">
        <w:t>.0</w:t>
      </w:r>
      <w:r w:rsidR="00EA2CD9">
        <w:t xml:space="preserve">, </w:t>
      </w:r>
      <w:r w:rsidR="00B63933">
        <w:t>10</w:t>
      </w:r>
      <w:r w:rsidR="00EA2CD9">
        <w:t>.0</w:t>
      </w:r>
      <w:r w:rsidR="007E1234">
        <w:t>,</w:t>
      </w:r>
      <w:r w:rsidR="00EA2CD9">
        <w:t xml:space="preserve"> </w:t>
      </w:r>
      <w:r w:rsidR="00B63933">
        <w:t>9</w:t>
      </w:r>
      <w:r w:rsidR="00EA2CD9">
        <w:t>.0</w:t>
      </w:r>
      <w:r w:rsidR="007E1234">
        <w:t xml:space="preserve"> and 8.0</w:t>
      </w:r>
      <w:r w:rsidRPr="005629F8">
        <w:t xml:space="preserve"> in the appendices.</w:t>
      </w:r>
    </w:p>
    <w:p w14:paraId="1EA40FD0" w14:textId="7AB6B67D" w:rsidR="00BC0828" w:rsidRPr="005629F8" w:rsidRDefault="00F5292B" w:rsidP="00FC4599">
      <w:pPr>
        <w:pStyle w:val="Heading2"/>
      </w:pPr>
      <w:bookmarkStart w:id="27" w:name="_Toc129700436"/>
      <w:bookmarkStart w:id="28" w:name="_Toc129700662"/>
      <w:bookmarkStart w:id="29" w:name="_Toc129701355"/>
      <w:r w:rsidRPr="005629F8">
        <w:t xml:space="preserve">History of the </w:t>
      </w:r>
      <w:r w:rsidR="008965B1" w:rsidRPr="005629F8">
        <w:t xml:space="preserve">NHCDC </w:t>
      </w:r>
      <w:r w:rsidR="00A94B72">
        <w:t>P</w:t>
      </w:r>
      <w:r w:rsidR="00A94B72" w:rsidRPr="005629F8">
        <w:t xml:space="preserve">rivate </w:t>
      </w:r>
      <w:bookmarkEnd w:id="27"/>
      <w:bookmarkEnd w:id="28"/>
      <w:bookmarkEnd w:id="29"/>
      <w:r w:rsidR="00A94B72">
        <w:t>S</w:t>
      </w:r>
      <w:r w:rsidR="00A94B72" w:rsidRPr="005629F8">
        <w:t xml:space="preserve">ector </w:t>
      </w:r>
    </w:p>
    <w:p w14:paraId="4FB517FB" w14:textId="42ABF23A" w:rsidR="00F5292B" w:rsidRPr="005629F8" w:rsidRDefault="000531FD" w:rsidP="00F5292B">
      <w:pPr>
        <w:rPr>
          <w:highlight w:val="yellow"/>
        </w:rPr>
      </w:pPr>
      <w:r w:rsidRPr="005629F8">
        <w:t xml:space="preserve">The </w:t>
      </w:r>
      <w:r w:rsidR="008965B1" w:rsidRPr="005629F8">
        <w:t xml:space="preserve">NHCDC </w:t>
      </w:r>
      <w:r w:rsidR="00FC365D">
        <w:t>P</w:t>
      </w:r>
      <w:r w:rsidR="00F5292B" w:rsidRPr="005629F8">
        <w:t xml:space="preserve">rivate </w:t>
      </w:r>
      <w:r w:rsidR="00FC365D">
        <w:t>S</w:t>
      </w:r>
      <w:r w:rsidR="00F5292B" w:rsidRPr="005629F8">
        <w:t xml:space="preserve">ector was </w:t>
      </w:r>
      <w:r w:rsidR="00FC365D">
        <w:t xml:space="preserve">first </w:t>
      </w:r>
      <w:r w:rsidR="00F5292B" w:rsidRPr="005629F8">
        <w:t xml:space="preserve">conducted </w:t>
      </w:r>
      <w:r w:rsidR="00FC365D">
        <w:t xml:space="preserve">for </w:t>
      </w:r>
      <w:r w:rsidR="00C50DB1" w:rsidRPr="005629F8">
        <w:t>19</w:t>
      </w:r>
      <w:r w:rsidR="00F5292B" w:rsidRPr="005629F8">
        <w:t>96-97 with 23 hospitals and 240,000</w:t>
      </w:r>
      <w:r w:rsidR="00C50DB1" w:rsidRPr="005629F8">
        <w:t xml:space="preserve"> </w:t>
      </w:r>
      <w:r w:rsidR="00F5292B" w:rsidRPr="005629F8">
        <w:rPr>
          <w:spacing w:val="-59"/>
        </w:rPr>
        <w:t xml:space="preserve"> </w:t>
      </w:r>
      <w:r w:rsidRPr="005629F8">
        <w:rPr>
          <w:spacing w:val="-59"/>
        </w:rPr>
        <w:t xml:space="preserve">      </w:t>
      </w:r>
      <w:r w:rsidR="00F5292B" w:rsidRPr="005629F8">
        <w:t>episodes being represented. The collection has grown steadily since that time, although no</w:t>
      </w:r>
      <w:r w:rsidR="00F5292B" w:rsidRPr="005629F8">
        <w:rPr>
          <w:spacing w:val="1"/>
        </w:rPr>
        <w:t xml:space="preserve"> </w:t>
      </w:r>
      <w:r w:rsidR="00F5292B" w:rsidRPr="005629F8">
        <w:t>publication was released for</w:t>
      </w:r>
      <w:r w:rsidR="00C50DB1" w:rsidRPr="005629F8">
        <w:t xml:space="preserve"> years 20</w:t>
      </w:r>
      <w:r w:rsidRPr="005629F8">
        <w:t>03</w:t>
      </w:r>
      <w:r w:rsidR="00C82F8C">
        <w:noBreakHyphen/>
      </w:r>
      <w:r w:rsidRPr="005629F8">
        <w:t xml:space="preserve">04, </w:t>
      </w:r>
      <w:r w:rsidR="00C50DB1" w:rsidRPr="005629F8">
        <w:t>20</w:t>
      </w:r>
      <w:r w:rsidRPr="005629F8">
        <w:t xml:space="preserve">04-05 and </w:t>
      </w:r>
      <w:r w:rsidR="00C50DB1" w:rsidRPr="005629F8">
        <w:t>20</w:t>
      </w:r>
      <w:r w:rsidRPr="005629F8">
        <w:t>09</w:t>
      </w:r>
      <w:r w:rsidR="00C82F8C">
        <w:noBreakHyphen/>
      </w:r>
      <w:r w:rsidRPr="005629F8">
        <w:t xml:space="preserve">10 </w:t>
      </w:r>
      <w:r w:rsidR="00F5292B" w:rsidRPr="005629F8">
        <w:t>due to low participation rates. No collection</w:t>
      </w:r>
      <w:r w:rsidR="00F04BCD">
        <w:t>s</w:t>
      </w:r>
      <w:r w:rsidR="00F5292B" w:rsidRPr="005629F8">
        <w:t xml:space="preserve"> </w:t>
      </w:r>
      <w:r w:rsidR="00226422">
        <w:t>were carried</w:t>
      </w:r>
      <w:r w:rsidR="00F5292B" w:rsidRPr="005629F8">
        <w:t xml:space="preserve"> out for </w:t>
      </w:r>
      <w:r w:rsidR="00C50DB1" w:rsidRPr="005629F8">
        <w:t>years 20</w:t>
      </w:r>
      <w:r w:rsidRPr="005629F8">
        <w:t xml:space="preserve">05-06, </w:t>
      </w:r>
      <w:r w:rsidR="00C50DB1" w:rsidRPr="005629F8">
        <w:t>20</w:t>
      </w:r>
      <w:r w:rsidRPr="005629F8">
        <w:t xml:space="preserve">10-11 and </w:t>
      </w:r>
      <w:r w:rsidR="00C50DB1" w:rsidRPr="005629F8">
        <w:t>20</w:t>
      </w:r>
      <w:r w:rsidRPr="005629F8">
        <w:t>14-15.</w:t>
      </w:r>
    </w:p>
    <w:p w14:paraId="26ADDDC7" w14:textId="02F5450E" w:rsidR="003B1A34" w:rsidRPr="00E829BF" w:rsidRDefault="74E673AD" w:rsidP="00E829BF">
      <w:pPr>
        <w:pStyle w:val="TableFigureheading"/>
      </w:pPr>
      <w:bookmarkStart w:id="30" w:name="_bookmark4"/>
      <w:bookmarkStart w:id="31" w:name="_Ref103175776"/>
      <w:bookmarkStart w:id="32" w:name="_Toc129179295"/>
      <w:bookmarkStart w:id="33" w:name="_Toc152081869"/>
      <w:bookmarkEnd w:id="30"/>
      <w:r w:rsidRPr="00E829BF">
        <w:t xml:space="preserve">Table </w:t>
      </w:r>
      <w:r w:rsidR="00D9779B" w:rsidRPr="00E829BF">
        <w:fldChar w:fldCharType="begin"/>
      </w:r>
      <w:r w:rsidR="00D9779B" w:rsidRPr="00E829BF">
        <w:instrText xml:space="preserve"> SEQ Table \* ARABIC </w:instrText>
      </w:r>
      <w:r w:rsidR="00D9779B" w:rsidRPr="00E829BF">
        <w:fldChar w:fldCharType="separate"/>
      </w:r>
      <w:r w:rsidR="38B857ED" w:rsidRPr="00E829BF">
        <w:rPr>
          <w:noProof/>
        </w:rPr>
        <w:t>1</w:t>
      </w:r>
      <w:r w:rsidR="00D9779B" w:rsidRPr="00E829BF">
        <w:rPr>
          <w:noProof/>
        </w:rPr>
        <w:fldChar w:fldCharType="end"/>
      </w:r>
      <w:bookmarkEnd w:id="31"/>
      <w:r w:rsidRPr="00E829BF">
        <w:t>.</w:t>
      </w:r>
      <w:r w:rsidRPr="00E829BF">
        <w:rPr>
          <w:spacing w:val="-1"/>
        </w:rPr>
        <w:t xml:space="preserve"> </w:t>
      </w:r>
      <w:r w:rsidRPr="00E829BF">
        <w:t>Summary</w:t>
      </w:r>
      <w:r w:rsidRPr="00E829BF">
        <w:rPr>
          <w:spacing w:val="-8"/>
        </w:rPr>
        <w:t xml:space="preserve"> </w:t>
      </w:r>
      <w:r w:rsidRPr="00E829BF">
        <w:t>of</w:t>
      </w:r>
      <w:r w:rsidRPr="00E829BF">
        <w:rPr>
          <w:spacing w:val="-1"/>
        </w:rPr>
        <w:t xml:space="preserve"> </w:t>
      </w:r>
      <w:r w:rsidRPr="00E829BF">
        <w:t>private hospital</w:t>
      </w:r>
      <w:r w:rsidRPr="00E829BF">
        <w:rPr>
          <w:spacing w:val="-3"/>
        </w:rPr>
        <w:t xml:space="preserve"> </w:t>
      </w:r>
      <w:r w:rsidRPr="00E829BF">
        <w:t>participation,</w:t>
      </w:r>
      <w:r w:rsidRPr="00E829BF">
        <w:rPr>
          <w:spacing w:val="-1"/>
        </w:rPr>
        <w:t xml:space="preserve"> </w:t>
      </w:r>
      <w:r w:rsidR="5E0B6ABA" w:rsidRPr="00E829BF">
        <w:t>201</w:t>
      </w:r>
      <w:r w:rsidR="00932F96">
        <w:t>6</w:t>
      </w:r>
      <w:r w:rsidR="5E0B6ABA" w:rsidRPr="00E829BF">
        <w:t>-1</w:t>
      </w:r>
      <w:r w:rsidR="00932F96">
        <w:t>7</w:t>
      </w:r>
      <w:r w:rsidRPr="00E829BF">
        <w:rPr>
          <w:spacing w:val="-1"/>
        </w:rPr>
        <w:t xml:space="preserve"> </w:t>
      </w:r>
      <w:r w:rsidRPr="00E829BF">
        <w:t>to</w:t>
      </w:r>
      <w:r w:rsidR="5E0B6ABA" w:rsidRPr="00E829BF">
        <w:t xml:space="preserve"> 202</w:t>
      </w:r>
      <w:r w:rsidR="00932F96">
        <w:t>1</w:t>
      </w:r>
      <w:r w:rsidR="5E0B6ABA" w:rsidRPr="00E829BF">
        <w:t>-2</w:t>
      </w:r>
      <w:bookmarkEnd w:id="32"/>
      <w:r w:rsidR="00932F96">
        <w:t>2</w:t>
      </w:r>
      <w:bookmarkEnd w:id="33"/>
    </w:p>
    <w:tbl>
      <w:tblPr>
        <w:tblW w:w="0" w:type="auto"/>
        <w:tblInd w:w="-30" w:type="dxa"/>
        <w:tblLayout w:type="fixed"/>
        <w:tblLook w:val="0000" w:firstRow="0" w:lastRow="0" w:firstColumn="0" w:lastColumn="0" w:noHBand="0" w:noVBand="0"/>
        <w:tblCaption w:val="Table 1 summary of private hospital participation"/>
        <w:tblDescription w:val="Table 1 contains a summary of the private hospital participation in the NHCDC. Its columns span the Rounds from Round 16 to Round 24. Its rows are number of hospitals, sample separations, percentage of population separations and AR-DRG version."/>
      </w:tblPr>
      <w:tblGrid>
        <w:gridCol w:w="3838"/>
        <w:gridCol w:w="1025"/>
        <w:gridCol w:w="932"/>
        <w:gridCol w:w="931"/>
        <w:gridCol w:w="931"/>
        <w:gridCol w:w="932"/>
        <w:gridCol w:w="931"/>
      </w:tblGrid>
      <w:tr w:rsidR="00B04641" w:rsidRPr="0088109E" w14:paraId="6C03ACC4" w14:textId="77777777" w:rsidTr="005629F8">
        <w:trPr>
          <w:trHeight w:val="345"/>
        </w:trPr>
        <w:tc>
          <w:tcPr>
            <w:tcW w:w="3838" w:type="dxa"/>
            <w:tcBorders>
              <w:top w:val="single" w:sz="6" w:space="0" w:color="auto"/>
              <w:left w:val="nil"/>
              <w:bottom w:val="single" w:sz="6" w:space="0" w:color="auto"/>
              <w:right w:val="single" w:sz="4" w:space="0" w:color="D9D9D9"/>
            </w:tcBorders>
            <w:shd w:val="clear" w:color="auto" w:fill="15272F" w:themeFill="text1"/>
            <w:vAlign w:val="center"/>
          </w:tcPr>
          <w:p w14:paraId="5448243C" w14:textId="77777777" w:rsidR="00B04641" w:rsidRPr="005629F8" w:rsidRDefault="00B04641" w:rsidP="00B04641">
            <w:pPr>
              <w:autoSpaceDE w:val="0"/>
              <w:autoSpaceDN w:val="0"/>
              <w:adjustRightInd w:val="0"/>
              <w:spacing w:after="0" w:line="240" w:lineRule="auto"/>
              <w:rPr>
                <w:rFonts w:cs="Arial"/>
                <w:b/>
                <w:bCs/>
                <w:color w:val="FFFFFF" w:themeColor="background2"/>
                <w:sz w:val="16"/>
                <w:szCs w:val="16"/>
              </w:rPr>
            </w:pPr>
            <w:r w:rsidRPr="005629F8">
              <w:rPr>
                <w:rFonts w:cs="Arial"/>
                <w:b/>
                <w:bCs/>
                <w:color w:val="FFFFFF" w:themeColor="background2"/>
                <w:sz w:val="16"/>
                <w:szCs w:val="16"/>
              </w:rPr>
              <w:t>Summary</w:t>
            </w:r>
          </w:p>
        </w:tc>
        <w:tc>
          <w:tcPr>
            <w:tcW w:w="1025" w:type="dxa"/>
            <w:tcBorders>
              <w:top w:val="single" w:sz="6" w:space="0" w:color="auto"/>
              <w:left w:val="single" w:sz="4" w:space="0" w:color="D9D9D9"/>
              <w:bottom w:val="single" w:sz="6" w:space="0" w:color="auto"/>
              <w:right w:val="nil"/>
            </w:tcBorders>
            <w:shd w:val="clear" w:color="auto" w:fill="15272F" w:themeFill="text1"/>
            <w:vAlign w:val="center"/>
          </w:tcPr>
          <w:p w14:paraId="6EA30436" w14:textId="61F6B050"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2016-17</w:t>
            </w:r>
          </w:p>
        </w:tc>
        <w:tc>
          <w:tcPr>
            <w:tcW w:w="932" w:type="dxa"/>
            <w:tcBorders>
              <w:top w:val="single" w:sz="6" w:space="0" w:color="auto"/>
              <w:left w:val="nil"/>
              <w:bottom w:val="single" w:sz="6" w:space="0" w:color="auto"/>
              <w:right w:val="nil"/>
            </w:tcBorders>
            <w:shd w:val="clear" w:color="auto" w:fill="15272F" w:themeFill="text1"/>
            <w:vAlign w:val="center"/>
          </w:tcPr>
          <w:p w14:paraId="7EE57377" w14:textId="00C6D8FF"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2017-18</w:t>
            </w:r>
          </w:p>
        </w:tc>
        <w:tc>
          <w:tcPr>
            <w:tcW w:w="931" w:type="dxa"/>
            <w:tcBorders>
              <w:top w:val="single" w:sz="6" w:space="0" w:color="auto"/>
              <w:left w:val="nil"/>
              <w:bottom w:val="single" w:sz="6" w:space="0" w:color="auto"/>
              <w:right w:val="nil"/>
            </w:tcBorders>
            <w:shd w:val="clear" w:color="auto" w:fill="15272F" w:themeFill="text1"/>
            <w:vAlign w:val="center"/>
          </w:tcPr>
          <w:p w14:paraId="438B9324" w14:textId="1A853F80"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2018-19</w:t>
            </w:r>
          </w:p>
        </w:tc>
        <w:tc>
          <w:tcPr>
            <w:tcW w:w="931" w:type="dxa"/>
            <w:tcBorders>
              <w:top w:val="single" w:sz="6" w:space="0" w:color="auto"/>
              <w:left w:val="nil"/>
              <w:bottom w:val="single" w:sz="6" w:space="0" w:color="auto"/>
              <w:right w:val="nil"/>
            </w:tcBorders>
            <w:shd w:val="clear" w:color="auto" w:fill="15272F" w:themeFill="text1"/>
            <w:vAlign w:val="center"/>
          </w:tcPr>
          <w:p w14:paraId="5C98B01B" w14:textId="64097F98"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2019-20</w:t>
            </w:r>
          </w:p>
        </w:tc>
        <w:tc>
          <w:tcPr>
            <w:tcW w:w="932" w:type="dxa"/>
            <w:tcBorders>
              <w:top w:val="single" w:sz="6" w:space="0" w:color="auto"/>
              <w:left w:val="nil"/>
              <w:bottom w:val="single" w:sz="6" w:space="0" w:color="auto"/>
              <w:right w:val="nil"/>
            </w:tcBorders>
            <w:shd w:val="clear" w:color="auto" w:fill="15272F" w:themeFill="text1"/>
            <w:vAlign w:val="center"/>
          </w:tcPr>
          <w:p w14:paraId="68A8E874" w14:textId="135FDF9F"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2020-21</w:t>
            </w:r>
          </w:p>
        </w:tc>
        <w:tc>
          <w:tcPr>
            <w:tcW w:w="931" w:type="dxa"/>
            <w:tcBorders>
              <w:top w:val="single" w:sz="6" w:space="0" w:color="auto"/>
              <w:left w:val="nil"/>
              <w:bottom w:val="single" w:sz="6" w:space="0" w:color="auto"/>
              <w:right w:val="nil"/>
            </w:tcBorders>
            <w:shd w:val="clear" w:color="auto" w:fill="15272F" w:themeFill="text1"/>
            <w:vAlign w:val="center"/>
          </w:tcPr>
          <w:p w14:paraId="32EA9284" w14:textId="28D60B61"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202</w:t>
            </w:r>
            <w:r>
              <w:rPr>
                <w:rFonts w:cs="Arial"/>
                <w:b/>
                <w:bCs/>
                <w:color w:val="FFFFFF" w:themeColor="background2"/>
                <w:sz w:val="16"/>
                <w:szCs w:val="16"/>
              </w:rPr>
              <w:t>1</w:t>
            </w:r>
            <w:r w:rsidRPr="005629F8">
              <w:rPr>
                <w:rFonts w:cs="Arial"/>
                <w:b/>
                <w:bCs/>
                <w:color w:val="FFFFFF" w:themeColor="background2"/>
                <w:sz w:val="16"/>
                <w:szCs w:val="16"/>
              </w:rPr>
              <w:t>-2</w:t>
            </w:r>
            <w:r>
              <w:rPr>
                <w:rFonts w:cs="Arial"/>
                <w:b/>
                <w:bCs/>
                <w:color w:val="FFFFFF" w:themeColor="background2"/>
                <w:sz w:val="16"/>
                <w:szCs w:val="16"/>
              </w:rPr>
              <w:t>2</w:t>
            </w:r>
          </w:p>
        </w:tc>
      </w:tr>
      <w:tr w:rsidR="00B04641" w:rsidRPr="0088109E" w14:paraId="7BAC82C4" w14:textId="77777777" w:rsidTr="005E0C61">
        <w:trPr>
          <w:trHeight w:val="326"/>
        </w:trPr>
        <w:tc>
          <w:tcPr>
            <w:tcW w:w="3838" w:type="dxa"/>
            <w:tcBorders>
              <w:top w:val="single" w:sz="6" w:space="0" w:color="auto"/>
              <w:left w:val="nil"/>
              <w:bottom w:val="single" w:sz="4" w:space="0" w:color="D9D9D9" w:themeColor="background2" w:themeShade="D9"/>
              <w:right w:val="single" w:sz="4" w:space="0" w:color="D9D9D9"/>
            </w:tcBorders>
            <w:vAlign w:val="center"/>
          </w:tcPr>
          <w:p w14:paraId="6407BABC"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Number of hospitals</w:t>
            </w:r>
          </w:p>
        </w:tc>
        <w:tc>
          <w:tcPr>
            <w:tcW w:w="1025" w:type="dxa"/>
            <w:tcBorders>
              <w:top w:val="nil"/>
              <w:left w:val="nil"/>
              <w:bottom w:val="nil"/>
              <w:right w:val="nil"/>
            </w:tcBorders>
            <w:shd w:val="clear" w:color="auto" w:fill="auto"/>
            <w:vAlign w:val="center"/>
          </w:tcPr>
          <w:p w14:paraId="1793AEEB" w14:textId="03CC65D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105</w:t>
            </w:r>
          </w:p>
        </w:tc>
        <w:tc>
          <w:tcPr>
            <w:tcW w:w="932" w:type="dxa"/>
            <w:tcBorders>
              <w:top w:val="nil"/>
              <w:left w:val="nil"/>
              <w:bottom w:val="nil"/>
              <w:right w:val="nil"/>
            </w:tcBorders>
            <w:shd w:val="clear" w:color="auto" w:fill="auto"/>
            <w:vAlign w:val="center"/>
          </w:tcPr>
          <w:p w14:paraId="17AA2113" w14:textId="048B0865"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112</w:t>
            </w:r>
          </w:p>
        </w:tc>
        <w:tc>
          <w:tcPr>
            <w:tcW w:w="931" w:type="dxa"/>
            <w:tcBorders>
              <w:top w:val="nil"/>
              <w:left w:val="nil"/>
              <w:bottom w:val="nil"/>
              <w:right w:val="nil"/>
            </w:tcBorders>
            <w:shd w:val="clear" w:color="auto" w:fill="auto"/>
            <w:vAlign w:val="center"/>
          </w:tcPr>
          <w:p w14:paraId="74C3961D" w14:textId="453BBB53"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108</w:t>
            </w:r>
          </w:p>
        </w:tc>
        <w:tc>
          <w:tcPr>
            <w:tcW w:w="931" w:type="dxa"/>
            <w:tcBorders>
              <w:top w:val="nil"/>
              <w:left w:val="nil"/>
              <w:bottom w:val="nil"/>
              <w:right w:val="nil"/>
            </w:tcBorders>
            <w:shd w:val="clear" w:color="auto" w:fill="auto"/>
            <w:vAlign w:val="center"/>
          </w:tcPr>
          <w:p w14:paraId="0E62C9EE" w14:textId="30666057"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103</w:t>
            </w:r>
          </w:p>
        </w:tc>
        <w:tc>
          <w:tcPr>
            <w:tcW w:w="932" w:type="dxa"/>
            <w:tcBorders>
              <w:top w:val="nil"/>
              <w:left w:val="nil"/>
              <w:bottom w:val="nil"/>
              <w:right w:val="nil"/>
            </w:tcBorders>
            <w:shd w:val="clear" w:color="auto" w:fill="auto"/>
            <w:vAlign w:val="center"/>
          </w:tcPr>
          <w:p w14:paraId="7EE95871" w14:textId="7EDAD0B5"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103</w:t>
            </w:r>
          </w:p>
        </w:tc>
        <w:tc>
          <w:tcPr>
            <w:tcW w:w="931" w:type="dxa"/>
            <w:tcBorders>
              <w:top w:val="nil"/>
              <w:left w:val="nil"/>
              <w:bottom w:val="nil"/>
              <w:right w:val="nil"/>
            </w:tcBorders>
            <w:shd w:val="clear" w:color="000000" w:fill="F2F2F2"/>
            <w:vAlign w:val="center"/>
          </w:tcPr>
          <w:p w14:paraId="58F2F4F7" w14:textId="3F9CFFB4"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103</w:t>
            </w:r>
          </w:p>
        </w:tc>
      </w:tr>
      <w:tr w:rsidR="00B04641" w:rsidRPr="0088109E" w14:paraId="78954E51" w14:textId="77777777" w:rsidTr="005E0C61">
        <w:trPr>
          <w:trHeight w:val="326"/>
        </w:trPr>
        <w:tc>
          <w:tcPr>
            <w:tcW w:w="383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24218DA5" w14:textId="462FC840"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 xml:space="preserve">Sample </w:t>
            </w:r>
            <w:r>
              <w:rPr>
                <w:rFonts w:cs="Arial"/>
                <w:color w:val="000000"/>
                <w:sz w:val="16"/>
                <w:szCs w:val="16"/>
              </w:rPr>
              <w:t>s</w:t>
            </w:r>
            <w:r w:rsidRPr="005629F8">
              <w:rPr>
                <w:rFonts w:cs="Arial"/>
                <w:color w:val="000000"/>
                <w:sz w:val="16"/>
                <w:szCs w:val="16"/>
              </w:rPr>
              <w:t>eparations</w:t>
            </w:r>
          </w:p>
        </w:tc>
        <w:tc>
          <w:tcPr>
            <w:tcW w:w="1025" w:type="dxa"/>
            <w:tcBorders>
              <w:top w:val="nil"/>
              <w:left w:val="nil"/>
              <w:bottom w:val="nil"/>
              <w:right w:val="nil"/>
            </w:tcBorders>
            <w:shd w:val="clear" w:color="auto" w:fill="auto"/>
            <w:vAlign w:val="center"/>
          </w:tcPr>
          <w:p w14:paraId="3643B0E8" w14:textId="7D9764E7"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1,923,310</w:t>
            </w:r>
          </w:p>
        </w:tc>
        <w:tc>
          <w:tcPr>
            <w:tcW w:w="932" w:type="dxa"/>
            <w:tcBorders>
              <w:top w:val="nil"/>
              <w:left w:val="nil"/>
              <w:bottom w:val="nil"/>
              <w:right w:val="nil"/>
            </w:tcBorders>
            <w:shd w:val="clear" w:color="auto" w:fill="auto"/>
            <w:vAlign w:val="center"/>
          </w:tcPr>
          <w:p w14:paraId="5DE69670" w14:textId="0A71F65A"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2,173,847</w:t>
            </w:r>
          </w:p>
        </w:tc>
        <w:tc>
          <w:tcPr>
            <w:tcW w:w="931" w:type="dxa"/>
            <w:tcBorders>
              <w:top w:val="nil"/>
              <w:left w:val="nil"/>
              <w:bottom w:val="nil"/>
              <w:right w:val="nil"/>
            </w:tcBorders>
            <w:shd w:val="clear" w:color="auto" w:fill="auto"/>
            <w:vAlign w:val="center"/>
          </w:tcPr>
          <w:p w14:paraId="72261E93" w14:textId="395002D1"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2,234,143</w:t>
            </w:r>
          </w:p>
        </w:tc>
        <w:tc>
          <w:tcPr>
            <w:tcW w:w="931" w:type="dxa"/>
            <w:tcBorders>
              <w:top w:val="nil"/>
              <w:left w:val="nil"/>
              <w:bottom w:val="nil"/>
              <w:right w:val="nil"/>
            </w:tcBorders>
            <w:shd w:val="clear" w:color="auto" w:fill="auto"/>
            <w:vAlign w:val="center"/>
          </w:tcPr>
          <w:p w14:paraId="3B6FF014" w14:textId="18143FAE"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2,067,714</w:t>
            </w:r>
          </w:p>
        </w:tc>
        <w:tc>
          <w:tcPr>
            <w:tcW w:w="932" w:type="dxa"/>
            <w:tcBorders>
              <w:top w:val="nil"/>
              <w:left w:val="nil"/>
              <w:bottom w:val="nil"/>
              <w:right w:val="nil"/>
            </w:tcBorders>
            <w:shd w:val="clear" w:color="auto" w:fill="auto"/>
            <w:vAlign w:val="center"/>
          </w:tcPr>
          <w:p w14:paraId="505A00B6" w14:textId="15F82BE1"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2,277,973</w:t>
            </w:r>
          </w:p>
        </w:tc>
        <w:tc>
          <w:tcPr>
            <w:tcW w:w="931" w:type="dxa"/>
            <w:tcBorders>
              <w:top w:val="nil"/>
              <w:left w:val="nil"/>
              <w:bottom w:val="nil"/>
              <w:right w:val="nil"/>
            </w:tcBorders>
            <w:shd w:val="clear" w:color="000000" w:fill="F2F2F2"/>
            <w:vAlign w:val="center"/>
          </w:tcPr>
          <w:p w14:paraId="27DA30F7" w14:textId="6BD70CD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2,244,974</w:t>
            </w:r>
          </w:p>
        </w:tc>
      </w:tr>
      <w:tr w:rsidR="00B04641" w:rsidRPr="0088109E" w14:paraId="56C6B739" w14:textId="77777777" w:rsidTr="005E0C61">
        <w:trPr>
          <w:trHeight w:val="326"/>
        </w:trPr>
        <w:tc>
          <w:tcPr>
            <w:tcW w:w="383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12EA6A6C"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Participation rate* (%)</w:t>
            </w:r>
          </w:p>
        </w:tc>
        <w:tc>
          <w:tcPr>
            <w:tcW w:w="1025" w:type="dxa"/>
            <w:tcBorders>
              <w:top w:val="nil"/>
              <w:left w:val="nil"/>
              <w:bottom w:val="nil"/>
              <w:right w:val="nil"/>
            </w:tcBorders>
            <w:shd w:val="clear" w:color="auto" w:fill="auto"/>
            <w:vAlign w:val="center"/>
          </w:tcPr>
          <w:p w14:paraId="4601616A" w14:textId="371FDE20"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59.3</w:t>
            </w:r>
          </w:p>
        </w:tc>
        <w:tc>
          <w:tcPr>
            <w:tcW w:w="932" w:type="dxa"/>
            <w:tcBorders>
              <w:top w:val="nil"/>
              <w:left w:val="nil"/>
              <w:bottom w:val="nil"/>
              <w:right w:val="nil"/>
            </w:tcBorders>
            <w:shd w:val="clear" w:color="auto" w:fill="auto"/>
            <w:vAlign w:val="center"/>
          </w:tcPr>
          <w:p w14:paraId="3E02F17B" w14:textId="7BFA338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65.9</w:t>
            </w:r>
          </w:p>
        </w:tc>
        <w:tc>
          <w:tcPr>
            <w:tcW w:w="931" w:type="dxa"/>
            <w:tcBorders>
              <w:top w:val="nil"/>
              <w:left w:val="nil"/>
              <w:bottom w:val="nil"/>
              <w:right w:val="nil"/>
            </w:tcBorders>
            <w:shd w:val="clear" w:color="auto" w:fill="auto"/>
            <w:vAlign w:val="center"/>
          </w:tcPr>
          <w:p w14:paraId="11F6CA96" w14:textId="22FB155A"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65.1</w:t>
            </w:r>
          </w:p>
        </w:tc>
        <w:tc>
          <w:tcPr>
            <w:tcW w:w="931" w:type="dxa"/>
            <w:tcBorders>
              <w:top w:val="nil"/>
              <w:left w:val="nil"/>
              <w:bottom w:val="nil"/>
              <w:right w:val="nil"/>
            </w:tcBorders>
            <w:shd w:val="clear" w:color="auto" w:fill="auto"/>
            <w:vAlign w:val="center"/>
          </w:tcPr>
          <w:p w14:paraId="43C69A3C" w14:textId="5791F433"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64.9</w:t>
            </w:r>
          </w:p>
        </w:tc>
        <w:tc>
          <w:tcPr>
            <w:tcW w:w="932" w:type="dxa"/>
            <w:tcBorders>
              <w:top w:val="nil"/>
              <w:left w:val="nil"/>
              <w:bottom w:val="nil"/>
              <w:right w:val="nil"/>
            </w:tcBorders>
            <w:shd w:val="clear" w:color="auto" w:fill="auto"/>
            <w:vAlign w:val="center"/>
          </w:tcPr>
          <w:p w14:paraId="3517BD0D" w14:textId="0AAFA551"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65.3</w:t>
            </w:r>
          </w:p>
        </w:tc>
        <w:tc>
          <w:tcPr>
            <w:tcW w:w="931" w:type="dxa"/>
            <w:tcBorders>
              <w:top w:val="nil"/>
              <w:left w:val="nil"/>
              <w:bottom w:val="nil"/>
              <w:right w:val="nil"/>
            </w:tcBorders>
            <w:shd w:val="clear" w:color="000000" w:fill="F2F2F2"/>
            <w:vAlign w:val="center"/>
          </w:tcPr>
          <w:p w14:paraId="6ABC599C" w14:textId="4E0EE1F6"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65.4</w:t>
            </w:r>
          </w:p>
        </w:tc>
      </w:tr>
      <w:tr w:rsidR="00B04641" w:rsidRPr="0088109E" w14:paraId="4921FD66" w14:textId="77777777" w:rsidTr="005E0C61">
        <w:trPr>
          <w:trHeight w:val="326"/>
        </w:trPr>
        <w:tc>
          <w:tcPr>
            <w:tcW w:w="383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206FE1B9"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AR-DRG version</w:t>
            </w:r>
          </w:p>
        </w:tc>
        <w:tc>
          <w:tcPr>
            <w:tcW w:w="1025" w:type="dxa"/>
            <w:tcBorders>
              <w:top w:val="nil"/>
              <w:left w:val="nil"/>
              <w:bottom w:val="nil"/>
              <w:right w:val="nil"/>
            </w:tcBorders>
            <w:shd w:val="clear" w:color="auto" w:fill="auto"/>
            <w:vAlign w:val="center"/>
          </w:tcPr>
          <w:p w14:paraId="7F332BC7" w14:textId="02BDBF8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9.0</w:t>
            </w:r>
          </w:p>
        </w:tc>
        <w:tc>
          <w:tcPr>
            <w:tcW w:w="932" w:type="dxa"/>
            <w:tcBorders>
              <w:top w:val="nil"/>
              <w:left w:val="nil"/>
              <w:bottom w:val="nil"/>
              <w:right w:val="nil"/>
            </w:tcBorders>
            <w:shd w:val="clear" w:color="auto" w:fill="auto"/>
            <w:vAlign w:val="center"/>
          </w:tcPr>
          <w:p w14:paraId="69236C9F" w14:textId="44A0C432"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9.0</w:t>
            </w:r>
          </w:p>
        </w:tc>
        <w:tc>
          <w:tcPr>
            <w:tcW w:w="931" w:type="dxa"/>
            <w:tcBorders>
              <w:top w:val="nil"/>
              <w:left w:val="nil"/>
              <w:bottom w:val="nil"/>
              <w:right w:val="nil"/>
            </w:tcBorders>
            <w:shd w:val="clear" w:color="auto" w:fill="auto"/>
            <w:vAlign w:val="center"/>
          </w:tcPr>
          <w:p w14:paraId="0F0B0F5E" w14:textId="456ED409"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10.0</w:t>
            </w:r>
          </w:p>
        </w:tc>
        <w:tc>
          <w:tcPr>
            <w:tcW w:w="931" w:type="dxa"/>
            <w:tcBorders>
              <w:top w:val="nil"/>
              <w:left w:val="nil"/>
              <w:bottom w:val="nil"/>
              <w:right w:val="nil"/>
            </w:tcBorders>
            <w:shd w:val="clear" w:color="auto" w:fill="auto"/>
            <w:vAlign w:val="center"/>
          </w:tcPr>
          <w:p w14:paraId="36594970" w14:textId="0D42BFA0"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10.0</w:t>
            </w:r>
          </w:p>
        </w:tc>
        <w:tc>
          <w:tcPr>
            <w:tcW w:w="932" w:type="dxa"/>
            <w:tcBorders>
              <w:top w:val="nil"/>
              <w:left w:val="nil"/>
              <w:bottom w:val="nil"/>
              <w:right w:val="nil"/>
            </w:tcBorders>
            <w:shd w:val="clear" w:color="auto" w:fill="auto"/>
            <w:vAlign w:val="center"/>
          </w:tcPr>
          <w:p w14:paraId="1A6321AF" w14:textId="18734DE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10.0</w:t>
            </w:r>
          </w:p>
        </w:tc>
        <w:tc>
          <w:tcPr>
            <w:tcW w:w="931" w:type="dxa"/>
            <w:tcBorders>
              <w:top w:val="nil"/>
              <w:left w:val="nil"/>
              <w:bottom w:val="nil"/>
              <w:right w:val="nil"/>
            </w:tcBorders>
            <w:shd w:val="clear" w:color="000000" w:fill="F2F2F2"/>
            <w:vAlign w:val="center"/>
          </w:tcPr>
          <w:p w14:paraId="681001CD" w14:textId="2AEFD888"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w:t>
            </w:r>
            <w:r w:rsidR="00FC365D">
              <w:rPr>
                <w:rFonts w:cs="Arial"/>
                <w:color w:val="000000"/>
                <w:sz w:val="16"/>
                <w:szCs w:val="16"/>
              </w:rPr>
              <w:t>1</w:t>
            </w:r>
            <w:r>
              <w:rPr>
                <w:rFonts w:cs="Arial"/>
                <w:color w:val="000000"/>
                <w:sz w:val="16"/>
                <w:szCs w:val="16"/>
              </w:rPr>
              <w:t>.0</w:t>
            </w:r>
          </w:p>
        </w:tc>
      </w:tr>
    </w:tbl>
    <w:p w14:paraId="7641F446" w14:textId="77777777" w:rsidR="00F5292B" w:rsidRPr="005629F8" w:rsidRDefault="00F5292B" w:rsidP="005739FA">
      <w:pPr>
        <w:spacing w:line="240" w:lineRule="auto"/>
        <w:rPr>
          <w:sz w:val="16"/>
        </w:rPr>
      </w:pPr>
      <w:r w:rsidRPr="005629F8">
        <w:rPr>
          <w:sz w:val="16"/>
        </w:rPr>
        <w:t>*</w:t>
      </w:r>
      <w:r w:rsidRPr="005629F8">
        <w:rPr>
          <w:spacing w:val="-2"/>
          <w:sz w:val="16"/>
        </w:rPr>
        <w:t xml:space="preserve"> </w:t>
      </w:r>
      <w:r w:rsidRPr="005629F8">
        <w:rPr>
          <w:sz w:val="16"/>
        </w:rPr>
        <w:t>Participation</w:t>
      </w:r>
      <w:r w:rsidRPr="005629F8">
        <w:rPr>
          <w:spacing w:val="-2"/>
          <w:sz w:val="16"/>
        </w:rPr>
        <w:t xml:space="preserve"> </w:t>
      </w:r>
      <w:r w:rsidRPr="005629F8">
        <w:rPr>
          <w:sz w:val="16"/>
        </w:rPr>
        <w:t>rate</w:t>
      </w:r>
      <w:r w:rsidRPr="005629F8">
        <w:rPr>
          <w:spacing w:val="-3"/>
          <w:sz w:val="16"/>
        </w:rPr>
        <w:t xml:space="preserve"> </w:t>
      </w:r>
      <w:r w:rsidRPr="005629F8">
        <w:rPr>
          <w:sz w:val="16"/>
        </w:rPr>
        <w:t>refers</w:t>
      </w:r>
      <w:r w:rsidRPr="005629F8">
        <w:rPr>
          <w:spacing w:val="-3"/>
          <w:sz w:val="16"/>
        </w:rPr>
        <w:t xml:space="preserve"> </w:t>
      </w:r>
      <w:r w:rsidRPr="005629F8">
        <w:rPr>
          <w:sz w:val="16"/>
        </w:rPr>
        <w:t>to</w:t>
      </w:r>
      <w:r w:rsidRPr="005629F8">
        <w:rPr>
          <w:spacing w:val="-3"/>
          <w:sz w:val="16"/>
        </w:rPr>
        <w:t xml:space="preserve"> </w:t>
      </w:r>
      <w:r w:rsidRPr="005629F8">
        <w:rPr>
          <w:sz w:val="16"/>
        </w:rPr>
        <w:t>the</w:t>
      </w:r>
      <w:r w:rsidRPr="005629F8">
        <w:rPr>
          <w:spacing w:val="-2"/>
          <w:sz w:val="16"/>
        </w:rPr>
        <w:t xml:space="preserve"> </w:t>
      </w:r>
      <w:r w:rsidRPr="005629F8">
        <w:rPr>
          <w:sz w:val="16"/>
        </w:rPr>
        <w:t>percentage</w:t>
      </w:r>
      <w:r w:rsidRPr="005629F8">
        <w:rPr>
          <w:spacing w:val="-2"/>
          <w:sz w:val="16"/>
        </w:rPr>
        <w:t xml:space="preserve"> </w:t>
      </w:r>
      <w:r w:rsidRPr="005629F8">
        <w:rPr>
          <w:sz w:val="16"/>
        </w:rPr>
        <w:t>of</w:t>
      </w:r>
      <w:r w:rsidRPr="005629F8">
        <w:rPr>
          <w:spacing w:val="-4"/>
          <w:sz w:val="16"/>
        </w:rPr>
        <w:t xml:space="preserve"> </w:t>
      </w:r>
      <w:r w:rsidRPr="005629F8">
        <w:rPr>
          <w:sz w:val="16"/>
        </w:rPr>
        <w:t>sample</w:t>
      </w:r>
      <w:r w:rsidRPr="005629F8">
        <w:rPr>
          <w:spacing w:val="-4"/>
          <w:sz w:val="16"/>
        </w:rPr>
        <w:t xml:space="preserve"> </w:t>
      </w:r>
      <w:r w:rsidRPr="005629F8">
        <w:rPr>
          <w:sz w:val="16"/>
        </w:rPr>
        <w:t>separations</w:t>
      </w:r>
      <w:r w:rsidRPr="005629F8">
        <w:rPr>
          <w:spacing w:val="-2"/>
          <w:sz w:val="16"/>
        </w:rPr>
        <w:t xml:space="preserve"> </w:t>
      </w:r>
      <w:r w:rsidRPr="005629F8">
        <w:rPr>
          <w:sz w:val="16"/>
        </w:rPr>
        <w:t>compared</w:t>
      </w:r>
      <w:r w:rsidRPr="005629F8">
        <w:rPr>
          <w:spacing w:val="-4"/>
          <w:sz w:val="16"/>
        </w:rPr>
        <w:t xml:space="preserve"> </w:t>
      </w:r>
      <w:r w:rsidRPr="005629F8">
        <w:rPr>
          <w:sz w:val="16"/>
        </w:rPr>
        <w:t>to</w:t>
      </w:r>
      <w:r w:rsidRPr="005629F8">
        <w:rPr>
          <w:spacing w:val="-4"/>
          <w:sz w:val="16"/>
        </w:rPr>
        <w:t xml:space="preserve"> </w:t>
      </w:r>
      <w:r w:rsidRPr="005629F8">
        <w:rPr>
          <w:sz w:val="16"/>
        </w:rPr>
        <w:t>the</w:t>
      </w:r>
      <w:r w:rsidRPr="005629F8">
        <w:rPr>
          <w:spacing w:val="-1"/>
          <w:sz w:val="16"/>
        </w:rPr>
        <w:t xml:space="preserve"> </w:t>
      </w:r>
      <w:r w:rsidRPr="005629F8">
        <w:rPr>
          <w:sz w:val="16"/>
        </w:rPr>
        <w:t>population</w:t>
      </w:r>
      <w:r w:rsidRPr="005629F8">
        <w:rPr>
          <w:spacing w:val="2"/>
          <w:sz w:val="16"/>
        </w:rPr>
        <w:t xml:space="preserve"> </w:t>
      </w:r>
      <w:r w:rsidRPr="005629F8">
        <w:rPr>
          <w:sz w:val="16"/>
        </w:rPr>
        <w:t>separations.</w:t>
      </w:r>
    </w:p>
    <w:p w14:paraId="7141EF82" w14:textId="5C9EE39B" w:rsidR="00BC0828" w:rsidRPr="005629F8" w:rsidRDefault="001F3339" w:rsidP="00FC4599">
      <w:pPr>
        <w:pStyle w:val="Heading2"/>
      </w:pPr>
      <w:bookmarkStart w:id="34" w:name="_Toc129700437"/>
      <w:bookmarkStart w:id="35" w:name="_Toc129700663"/>
      <w:bookmarkStart w:id="36" w:name="_Toc129701356"/>
      <w:r w:rsidRPr="005629F8">
        <w:t xml:space="preserve">Private </w:t>
      </w:r>
      <w:r w:rsidR="001254E8">
        <w:t>H</w:t>
      </w:r>
      <w:r w:rsidR="00A94B72">
        <w:t>o</w:t>
      </w:r>
      <w:r w:rsidRPr="005629F8">
        <w:t xml:space="preserve">spital statistics for </w:t>
      </w:r>
      <w:r w:rsidR="0038688A" w:rsidRPr="005629F8">
        <w:t>20</w:t>
      </w:r>
      <w:r w:rsidR="000531FD" w:rsidRPr="005629F8">
        <w:t>2</w:t>
      </w:r>
      <w:r w:rsidR="00E04D4F">
        <w:t>1</w:t>
      </w:r>
      <w:r w:rsidR="000531FD" w:rsidRPr="005629F8">
        <w:t>-2</w:t>
      </w:r>
      <w:r w:rsidR="00E04D4F">
        <w:t>2</w:t>
      </w:r>
      <w:bookmarkEnd w:id="34"/>
      <w:bookmarkEnd w:id="35"/>
      <w:bookmarkEnd w:id="36"/>
    </w:p>
    <w:p w14:paraId="7E3B936E" w14:textId="11903000" w:rsidR="00664FDC" w:rsidRPr="00194B75" w:rsidRDefault="001307D6" w:rsidP="001F3339">
      <w:r w:rsidRPr="001112A9">
        <w:t xml:space="preserve">A total of </w:t>
      </w:r>
      <w:r w:rsidR="00D173CD" w:rsidRPr="000E27D5">
        <w:t>59</w:t>
      </w:r>
      <w:r w:rsidR="00EE2C2C" w:rsidRPr="000E27D5">
        <w:t>6</w:t>
      </w:r>
      <w:r w:rsidR="00D173CD" w:rsidRPr="00194B75">
        <w:t xml:space="preserve"> private hospitals reported to the Private Hospital Data Bureau (PHDB) in 202</w:t>
      </w:r>
      <w:r w:rsidR="00B63933" w:rsidRPr="00194B75">
        <w:t>1</w:t>
      </w:r>
      <w:r w:rsidR="00C82F8C" w:rsidRPr="00194B75">
        <w:noBreakHyphen/>
      </w:r>
      <w:r w:rsidR="00D173CD" w:rsidRPr="00194B75">
        <w:t>2</w:t>
      </w:r>
      <w:r w:rsidR="00B63933" w:rsidRPr="00194B75">
        <w:t>2</w:t>
      </w:r>
      <w:r w:rsidR="00D173CD" w:rsidRPr="00194B75">
        <w:t xml:space="preserve">, </w:t>
      </w:r>
      <w:r w:rsidR="00225C6A" w:rsidRPr="00194B75">
        <w:t>submitting 4.</w:t>
      </w:r>
      <w:r w:rsidR="00EE2C2C" w:rsidRPr="00194B75">
        <w:t>7</w:t>
      </w:r>
      <w:r w:rsidR="00225C6A" w:rsidRPr="00194B75">
        <w:t xml:space="preserve"> million patient separations in 202</w:t>
      </w:r>
      <w:r w:rsidR="00EE2C2C" w:rsidRPr="00194B75">
        <w:t>1</w:t>
      </w:r>
      <w:r w:rsidR="00225C6A" w:rsidRPr="00194B75">
        <w:noBreakHyphen/>
        <w:t>2</w:t>
      </w:r>
      <w:r w:rsidR="00EE2C2C" w:rsidRPr="00194B75">
        <w:t>2</w:t>
      </w:r>
      <w:r w:rsidR="00225C6A" w:rsidRPr="00194B75">
        <w:t xml:space="preserve">. Of this total, </w:t>
      </w:r>
      <w:r w:rsidR="00D173CD" w:rsidRPr="00194B75">
        <w:t>28</w:t>
      </w:r>
      <w:r w:rsidR="00EE2C2C" w:rsidRPr="00194B75">
        <w:t>4</w:t>
      </w:r>
      <w:r w:rsidR="00D173CD" w:rsidRPr="00194B75">
        <w:t xml:space="preserve"> (4</w:t>
      </w:r>
      <w:r w:rsidR="00FC365D">
        <w:t>7.7</w:t>
      </w:r>
      <w:r>
        <w:t>%</w:t>
      </w:r>
      <w:r w:rsidR="00D173CD" w:rsidRPr="00194B75">
        <w:t xml:space="preserve">) were overnight </w:t>
      </w:r>
      <w:r w:rsidR="00D173CD" w:rsidRPr="00194B75">
        <w:lastRenderedPageBreak/>
        <w:t>hospitals</w:t>
      </w:r>
      <w:r w:rsidR="00225C6A" w:rsidRPr="00194B75">
        <w:t xml:space="preserve"> submitting </w:t>
      </w:r>
      <w:r w:rsidR="00D173CD" w:rsidRPr="00194B75">
        <w:t>3.</w:t>
      </w:r>
      <w:r w:rsidR="00EE2C2C" w:rsidRPr="00194B75">
        <w:t>7</w:t>
      </w:r>
      <w:r w:rsidR="00D173CD" w:rsidRPr="00194B75">
        <w:t xml:space="preserve"> million (80</w:t>
      </w:r>
      <w:r>
        <w:t>%</w:t>
      </w:r>
      <w:r w:rsidR="00D173CD" w:rsidRPr="00194B75">
        <w:t>) separations.</w:t>
      </w:r>
      <w:r w:rsidR="00E04D4F" w:rsidRPr="00E04D4F">
        <w:rPr>
          <w:color w:val="14272E"/>
        </w:rPr>
        <w:t xml:space="preserve"> </w:t>
      </w:r>
      <w:r w:rsidR="00E04D4F">
        <w:rPr>
          <w:color w:val="14272E"/>
        </w:rPr>
        <w:t xml:space="preserve">The number of in-scope </w:t>
      </w:r>
      <w:r w:rsidR="007D0DDE">
        <w:rPr>
          <w:color w:val="14272E"/>
        </w:rPr>
        <w:t xml:space="preserve">overnight </w:t>
      </w:r>
      <w:r w:rsidR="00E04D4F">
        <w:rPr>
          <w:color w:val="14272E"/>
        </w:rPr>
        <w:t>hospitals in the population file for 2021-</w:t>
      </w:r>
      <w:r w:rsidR="00E04D4F" w:rsidRPr="00997765">
        <w:rPr>
          <w:color w:val="14272E"/>
        </w:rPr>
        <w:t>22 is 249</w:t>
      </w:r>
      <w:r w:rsidR="00E04D4F">
        <w:rPr>
          <w:color w:val="14272E"/>
        </w:rPr>
        <w:t xml:space="preserve"> as outlined in the scope and methodology section below.</w:t>
      </w:r>
    </w:p>
    <w:p w14:paraId="6EB1097B" w14:textId="311AD4F9" w:rsidR="00B04641" w:rsidRPr="00194B75" w:rsidRDefault="002F6119" w:rsidP="00E87B16">
      <w:pPr>
        <w:pStyle w:val="TableFigureheading"/>
      </w:pPr>
      <w:bookmarkStart w:id="37" w:name="_Ref126742605"/>
      <w:bookmarkStart w:id="38" w:name="_Toc152081870"/>
      <w:bookmarkStart w:id="39" w:name="_Toc129179296"/>
      <w:r w:rsidRPr="00194B75">
        <w:rPr>
          <w:bCs w:val="0"/>
          <w:iCs w:val="0"/>
        </w:rPr>
        <w:t xml:space="preserve">Table </w:t>
      </w:r>
      <w:r w:rsidRPr="00194B75">
        <w:rPr>
          <w:bCs w:val="0"/>
          <w:iCs w:val="0"/>
        </w:rPr>
        <w:fldChar w:fldCharType="begin"/>
      </w:r>
      <w:r w:rsidRPr="00194B75">
        <w:rPr>
          <w:bCs w:val="0"/>
          <w:iCs w:val="0"/>
        </w:rPr>
        <w:instrText xml:space="preserve"> SEQ Table \* ARABIC </w:instrText>
      </w:r>
      <w:r w:rsidRPr="00194B75">
        <w:rPr>
          <w:bCs w:val="0"/>
          <w:iCs w:val="0"/>
        </w:rPr>
        <w:fldChar w:fldCharType="separate"/>
      </w:r>
      <w:r w:rsidR="00D3454D" w:rsidRPr="00194B75">
        <w:rPr>
          <w:bCs w:val="0"/>
          <w:iCs w:val="0"/>
          <w:noProof/>
        </w:rPr>
        <w:t>2</w:t>
      </w:r>
      <w:r w:rsidRPr="00194B75">
        <w:rPr>
          <w:bCs w:val="0"/>
          <w:iCs w:val="0"/>
        </w:rPr>
        <w:fldChar w:fldCharType="end"/>
      </w:r>
      <w:bookmarkEnd w:id="37"/>
      <w:r w:rsidRPr="00194B75">
        <w:rPr>
          <w:bCs w:val="0"/>
          <w:iCs w:val="0"/>
          <w:noProof/>
        </w:rPr>
        <w:t xml:space="preserve">. Summary of private </w:t>
      </w:r>
      <w:r w:rsidR="7ADA4C10" w:rsidRPr="00194B75">
        <w:rPr>
          <w:bCs w:val="0"/>
          <w:iCs w:val="0"/>
          <w:noProof/>
        </w:rPr>
        <w:t>hospital</w:t>
      </w:r>
      <w:r w:rsidRPr="00194B75">
        <w:rPr>
          <w:bCs w:val="0"/>
          <w:iCs w:val="0"/>
          <w:noProof/>
        </w:rPr>
        <w:t xml:space="preserve"> statistics</w:t>
      </w:r>
      <w:r w:rsidR="00664FDC" w:rsidRPr="00194B75">
        <w:rPr>
          <w:bCs w:val="0"/>
          <w:iCs w:val="0"/>
          <w:noProof/>
        </w:rPr>
        <w:t xml:space="preserve"> for overnight hospitals</w:t>
      </w:r>
      <w:bookmarkEnd w:id="38"/>
      <w:r w:rsidRPr="00194B75">
        <w:rPr>
          <w:bCs w:val="0"/>
          <w:iCs w:val="0"/>
          <w:noProof/>
        </w:rPr>
        <w:t xml:space="preserve"> </w:t>
      </w:r>
      <w:bookmarkEnd w:id="39"/>
    </w:p>
    <w:tbl>
      <w:tblPr>
        <w:tblW w:w="0" w:type="auto"/>
        <w:tblInd w:w="-30" w:type="dxa"/>
        <w:tblLayout w:type="fixed"/>
        <w:tblLook w:val="0000" w:firstRow="0" w:lastRow="0" w:firstColumn="0" w:lastColumn="0" w:noHBand="0" w:noVBand="0"/>
      </w:tblPr>
      <w:tblGrid>
        <w:gridCol w:w="4166"/>
        <w:gridCol w:w="1327"/>
        <w:gridCol w:w="1327"/>
        <w:gridCol w:w="1326"/>
        <w:gridCol w:w="1327"/>
      </w:tblGrid>
      <w:tr w:rsidR="00A910B5" w:rsidRPr="00D045B7" w14:paraId="14C4B047" w14:textId="77777777" w:rsidTr="005629F8">
        <w:trPr>
          <w:trHeight w:val="312"/>
        </w:trPr>
        <w:tc>
          <w:tcPr>
            <w:tcW w:w="4166"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15272F" w:themeFill="accent1"/>
            <w:vAlign w:val="center"/>
          </w:tcPr>
          <w:p w14:paraId="0140D674" w14:textId="77777777" w:rsidR="00C739CB" w:rsidRPr="00194B75" w:rsidRDefault="00C739CB">
            <w:pPr>
              <w:autoSpaceDE w:val="0"/>
              <w:autoSpaceDN w:val="0"/>
              <w:adjustRightInd w:val="0"/>
              <w:spacing w:after="0" w:line="240" w:lineRule="auto"/>
              <w:rPr>
                <w:rFonts w:cs="Arial"/>
                <w:b/>
                <w:bCs/>
                <w:color w:val="FFFFFF" w:themeColor="background2"/>
                <w:sz w:val="16"/>
                <w:szCs w:val="16"/>
              </w:rPr>
            </w:pPr>
            <w:r w:rsidRPr="00194B75">
              <w:rPr>
                <w:rFonts w:cs="Arial"/>
                <w:b/>
                <w:bCs/>
                <w:color w:val="FFFFFF" w:themeColor="background2"/>
                <w:sz w:val="16"/>
                <w:szCs w:val="16"/>
              </w:rPr>
              <w:t>Summary</w:t>
            </w:r>
          </w:p>
        </w:tc>
        <w:tc>
          <w:tcPr>
            <w:tcW w:w="1327"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15272F" w:themeFill="accent1"/>
            <w:vAlign w:val="center"/>
          </w:tcPr>
          <w:p w14:paraId="2F6FDF4E" w14:textId="1C4BAFEF" w:rsidR="00C739CB" w:rsidRPr="00194B75" w:rsidRDefault="00C739CB" w:rsidP="005629F8">
            <w:pPr>
              <w:autoSpaceDE w:val="0"/>
              <w:autoSpaceDN w:val="0"/>
              <w:adjustRightInd w:val="0"/>
              <w:spacing w:after="0" w:line="240" w:lineRule="auto"/>
              <w:jc w:val="center"/>
              <w:rPr>
                <w:rFonts w:cs="Arial"/>
                <w:b/>
                <w:bCs/>
                <w:color w:val="FFFFFF" w:themeColor="background2"/>
                <w:sz w:val="16"/>
                <w:szCs w:val="16"/>
              </w:rPr>
            </w:pPr>
            <w:r w:rsidRPr="00194B75">
              <w:rPr>
                <w:rFonts w:cs="Arial"/>
                <w:b/>
                <w:bCs/>
                <w:color w:val="FFFFFF" w:themeColor="background2"/>
                <w:sz w:val="16"/>
                <w:szCs w:val="16"/>
              </w:rPr>
              <w:t>20</w:t>
            </w:r>
            <w:r w:rsidR="00293C20" w:rsidRPr="00194B75">
              <w:rPr>
                <w:rFonts w:cs="Arial"/>
                <w:b/>
                <w:bCs/>
                <w:color w:val="FFFFFF" w:themeColor="background2"/>
                <w:sz w:val="16"/>
                <w:szCs w:val="16"/>
              </w:rPr>
              <w:t>20-21</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15272F" w:themeFill="accent1"/>
            <w:vAlign w:val="center"/>
          </w:tcPr>
          <w:p w14:paraId="71D691E5" w14:textId="1EA92863" w:rsidR="00C739CB" w:rsidRPr="00194B75" w:rsidRDefault="00C739CB" w:rsidP="005629F8">
            <w:pPr>
              <w:autoSpaceDE w:val="0"/>
              <w:autoSpaceDN w:val="0"/>
              <w:adjustRightInd w:val="0"/>
              <w:spacing w:after="0" w:line="240" w:lineRule="auto"/>
              <w:jc w:val="center"/>
              <w:rPr>
                <w:rFonts w:cs="Arial"/>
                <w:b/>
                <w:bCs/>
                <w:color w:val="FFFFFF" w:themeColor="background2"/>
                <w:sz w:val="16"/>
                <w:szCs w:val="16"/>
              </w:rPr>
            </w:pPr>
            <w:r w:rsidRPr="00194B75">
              <w:rPr>
                <w:rFonts w:cs="Arial"/>
                <w:b/>
                <w:bCs/>
                <w:color w:val="FFFFFF" w:themeColor="background2"/>
                <w:sz w:val="16"/>
                <w:szCs w:val="16"/>
              </w:rPr>
              <w:t>202</w:t>
            </w:r>
            <w:r w:rsidR="00293C20" w:rsidRPr="00194B75">
              <w:rPr>
                <w:rFonts w:cs="Arial"/>
                <w:b/>
                <w:bCs/>
                <w:color w:val="FFFFFF" w:themeColor="background2"/>
                <w:sz w:val="16"/>
                <w:szCs w:val="16"/>
              </w:rPr>
              <w:t>1-22</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15272F" w:themeFill="accent1"/>
            <w:vAlign w:val="center"/>
          </w:tcPr>
          <w:p w14:paraId="4FA7EC5F" w14:textId="77777777" w:rsidR="00C739CB" w:rsidRPr="00194B75" w:rsidRDefault="00C739CB" w:rsidP="005629F8">
            <w:pPr>
              <w:autoSpaceDE w:val="0"/>
              <w:autoSpaceDN w:val="0"/>
              <w:adjustRightInd w:val="0"/>
              <w:spacing w:after="0" w:line="240" w:lineRule="auto"/>
              <w:jc w:val="center"/>
              <w:rPr>
                <w:rFonts w:cs="Arial"/>
                <w:b/>
                <w:bCs/>
                <w:color w:val="FFFFFF" w:themeColor="background2"/>
                <w:sz w:val="16"/>
                <w:szCs w:val="16"/>
              </w:rPr>
            </w:pPr>
            <w:r w:rsidRPr="00194B75">
              <w:rPr>
                <w:rFonts w:cs="Arial"/>
                <w:b/>
                <w:bCs/>
                <w:color w:val="FFFFFF" w:themeColor="background2"/>
                <w:sz w:val="16"/>
                <w:szCs w:val="16"/>
              </w:rPr>
              <w:t>Change</w:t>
            </w:r>
          </w:p>
        </w:tc>
        <w:tc>
          <w:tcPr>
            <w:tcW w:w="1327" w:type="dxa"/>
            <w:tcBorders>
              <w:top w:val="single" w:sz="4" w:space="0" w:color="D9D9D9" w:themeColor="accent6" w:themeShade="D9"/>
              <w:left w:val="nil"/>
              <w:bottom w:val="single" w:sz="4" w:space="0" w:color="D9D9D9" w:themeColor="accent6" w:themeShade="D9"/>
              <w:right w:val="nil"/>
            </w:tcBorders>
            <w:shd w:val="clear" w:color="auto" w:fill="15272F" w:themeFill="accent1"/>
            <w:vAlign w:val="center"/>
          </w:tcPr>
          <w:p w14:paraId="7823E993" w14:textId="77777777" w:rsidR="00C739CB" w:rsidRPr="00194B75" w:rsidRDefault="00C739CB" w:rsidP="005629F8">
            <w:pPr>
              <w:autoSpaceDE w:val="0"/>
              <w:autoSpaceDN w:val="0"/>
              <w:adjustRightInd w:val="0"/>
              <w:spacing w:after="0" w:line="240" w:lineRule="auto"/>
              <w:jc w:val="center"/>
              <w:rPr>
                <w:rFonts w:cs="Arial"/>
                <w:b/>
                <w:bCs/>
                <w:color w:val="FFFFFF" w:themeColor="background2"/>
                <w:sz w:val="16"/>
                <w:szCs w:val="16"/>
              </w:rPr>
            </w:pPr>
            <w:r w:rsidRPr="00194B75">
              <w:rPr>
                <w:rFonts w:cs="Arial"/>
                <w:b/>
                <w:bCs/>
                <w:color w:val="FFFFFF" w:themeColor="background2"/>
                <w:sz w:val="16"/>
                <w:szCs w:val="16"/>
              </w:rPr>
              <w:t>Change (%)</w:t>
            </w:r>
          </w:p>
        </w:tc>
      </w:tr>
      <w:tr w:rsidR="00EE2C2C" w:rsidRPr="00D045B7" w14:paraId="3EC59AF3" w14:textId="77777777" w:rsidTr="00194B75">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58AB61A4" w14:textId="747B713D" w:rsidR="00EE2C2C" w:rsidRPr="00194B75" w:rsidRDefault="00EE2C2C" w:rsidP="00EE2C2C">
            <w:pPr>
              <w:autoSpaceDE w:val="0"/>
              <w:autoSpaceDN w:val="0"/>
              <w:adjustRightInd w:val="0"/>
              <w:spacing w:after="0" w:line="240" w:lineRule="auto"/>
              <w:rPr>
                <w:rFonts w:cs="Arial"/>
                <w:color w:val="000000"/>
                <w:sz w:val="16"/>
                <w:szCs w:val="16"/>
              </w:rPr>
            </w:pPr>
            <w:r w:rsidRPr="00194B75">
              <w:rPr>
                <w:rFonts w:cs="Arial"/>
                <w:color w:val="000000"/>
                <w:sz w:val="16"/>
                <w:szCs w:val="16"/>
              </w:rPr>
              <w:t>Number of overnight hospitals reporting to PHDB</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tcPr>
          <w:p w14:paraId="41CDC637" w14:textId="5A7F1928"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280</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tcPr>
          <w:p w14:paraId="0E3A0C91" w14:textId="58F50067"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284</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tcPr>
          <w:p w14:paraId="6400CF52" w14:textId="4A1D4656"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4.0</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tcPr>
          <w:p w14:paraId="0E1E62EB" w14:textId="60201FB1"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1.4</w:t>
            </w:r>
          </w:p>
        </w:tc>
      </w:tr>
      <w:tr w:rsidR="00EE2C2C" w:rsidRPr="00D045B7" w14:paraId="0EB3BF01" w14:textId="77777777" w:rsidTr="00194B75">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3DD6445A" w14:textId="77777777" w:rsidR="00EE2C2C" w:rsidRPr="00194B75" w:rsidRDefault="00EE2C2C" w:rsidP="00EE2C2C">
            <w:pPr>
              <w:autoSpaceDE w:val="0"/>
              <w:autoSpaceDN w:val="0"/>
              <w:adjustRightInd w:val="0"/>
              <w:spacing w:after="0" w:line="240" w:lineRule="auto"/>
              <w:rPr>
                <w:rFonts w:cs="Arial"/>
                <w:color w:val="000000"/>
                <w:sz w:val="16"/>
                <w:szCs w:val="16"/>
              </w:rPr>
            </w:pPr>
            <w:r w:rsidRPr="00194B75">
              <w:rPr>
                <w:rFonts w:cs="Arial"/>
                <w:color w:val="000000"/>
                <w:sz w:val="16"/>
                <w:szCs w:val="16"/>
              </w:rPr>
              <w:t>Total separations (million)</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tcPr>
          <w:p w14:paraId="600915FF" w14:textId="4B6CA9F5"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3.8</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tcPr>
          <w:p w14:paraId="579DC7A7" w14:textId="22C101FC"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3.7</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tcPr>
          <w:p w14:paraId="5B0140B6" w14:textId="6175DC30"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-0.1</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tcPr>
          <w:p w14:paraId="5A1C674C" w14:textId="018D0DC2"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-2.1</w:t>
            </w:r>
          </w:p>
        </w:tc>
      </w:tr>
      <w:tr w:rsidR="00EE2C2C" w:rsidRPr="00D045B7" w14:paraId="7360D9F7" w14:textId="77777777" w:rsidTr="00194B75">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20B34E86" w14:textId="74EF694F" w:rsidR="00EE2C2C" w:rsidRPr="00194B75" w:rsidRDefault="00EE2C2C" w:rsidP="00EE2C2C">
            <w:pPr>
              <w:autoSpaceDE w:val="0"/>
              <w:autoSpaceDN w:val="0"/>
              <w:adjustRightInd w:val="0"/>
              <w:spacing w:after="0" w:line="240" w:lineRule="auto"/>
              <w:rPr>
                <w:rFonts w:cs="Arial"/>
                <w:color w:val="000000"/>
                <w:sz w:val="16"/>
                <w:szCs w:val="16"/>
              </w:rPr>
            </w:pPr>
            <w:proofErr w:type="spellStart"/>
            <w:r w:rsidRPr="00194B75">
              <w:rPr>
                <w:rFonts w:cs="Arial"/>
                <w:color w:val="000000"/>
                <w:sz w:val="16"/>
                <w:szCs w:val="16"/>
              </w:rPr>
              <w:t>Sameday</w:t>
            </w:r>
            <w:proofErr w:type="spellEnd"/>
            <w:r w:rsidRPr="00194B75">
              <w:rPr>
                <w:rFonts w:cs="Arial"/>
                <w:color w:val="000000"/>
                <w:sz w:val="16"/>
                <w:szCs w:val="16"/>
              </w:rPr>
              <w:t xml:space="preserve"> separations (million)</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tcPr>
          <w:p w14:paraId="19D83742" w14:textId="1B5589AB"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2.5</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tcPr>
          <w:p w14:paraId="16CCAAE2" w14:textId="3B8F35D2"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2.5</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tcPr>
          <w:p w14:paraId="44C453A7" w14:textId="00109053"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0.0</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tcPr>
          <w:p w14:paraId="3ACA064F" w14:textId="167D5F7A"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0.0</w:t>
            </w:r>
          </w:p>
        </w:tc>
      </w:tr>
      <w:tr w:rsidR="00EE2C2C" w:rsidRPr="00D045B7" w14:paraId="6D79F1AB" w14:textId="77777777" w:rsidTr="00194B75">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6596CDB1" w14:textId="0B071F2F" w:rsidR="00EE2C2C" w:rsidRPr="00194B75" w:rsidRDefault="00EE2C2C" w:rsidP="00EE2C2C">
            <w:pPr>
              <w:autoSpaceDE w:val="0"/>
              <w:autoSpaceDN w:val="0"/>
              <w:adjustRightInd w:val="0"/>
              <w:spacing w:after="0" w:line="240" w:lineRule="auto"/>
              <w:rPr>
                <w:rFonts w:cs="Arial"/>
                <w:color w:val="000000"/>
                <w:sz w:val="16"/>
                <w:szCs w:val="16"/>
              </w:rPr>
            </w:pPr>
            <w:r w:rsidRPr="00194B75">
              <w:rPr>
                <w:rFonts w:cs="Arial"/>
                <w:color w:val="000000"/>
                <w:sz w:val="16"/>
                <w:szCs w:val="16"/>
              </w:rPr>
              <w:t>Acute, Newborn and Mental Health Care separations (million)</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tcPr>
          <w:p w14:paraId="655DEDF8" w14:textId="62C47BF3"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3.4</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tcPr>
          <w:p w14:paraId="5F7F27CC" w14:textId="26D3FC5A"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3.4</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tcPr>
          <w:p w14:paraId="2C269BBF" w14:textId="2D84DF9D"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0</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tcPr>
          <w:p w14:paraId="6031B1AC" w14:textId="5D83587C"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0.0</w:t>
            </w:r>
          </w:p>
        </w:tc>
      </w:tr>
      <w:tr w:rsidR="00EE2C2C" w:rsidRPr="00D045B7" w14:paraId="31F6C846" w14:textId="77777777" w:rsidTr="00194B75">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7A391352" w14:textId="317234D9" w:rsidR="00EE2C2C" w:rsidRPr="00194B75" w:rsidRDefault="00EE2C2C" w:rsidP="00EE2C2C">
            <w:pPr>
              <w:autoSpaceDE w:val="0"/>
              <w:autoSpaceDN w:val="0"/>
              <w:adjustRightInd w:val="0"/>
              <w:spacing w:after="0" w:line="240" w:lineRule="auto"/>
              <w:rPr>
                <w:rFonts w:cs="Arial"/>
                <w:color w:val="000000"/>
                <w:sz w:val="16"/>
                <w:szCs w:val="16"/>
              </w:rPr>
            </w:pPr>
            <w:r w:rsidRPr="00194B75">
              <w:rPr>
                <w:rFonts w:cs="Arial"/>
                <w:color w:val="000000"/>
                <w:sz w:val="16"/>
                <w:szCs w:val="16"/>
              </w:rPr>
              <w:t>Total patient days of care (million)</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tcPr>
          <w:p w14:paraId="7AA727B2" w14:textId="12E66DB5"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9.1</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tcPr>
          <w:p w14:paraId="79AAE20E" w14:textId="2D0B785F" w:rsidR="00EE2C2C" w:rsidRPr="00EE2C2C" w:rsidRDefault="00EE2C2C" w:rsidP="00194B75">
            <w:pPr>
              <w:autoSpaceDE w:val="0"/>
              <w:autoSpaceDN w:val="0"/>
              <w:adjustRightInd w:val="0"/>
              <w:spacing w:after="0" w:line="360" w:lineRule="auto"/>
              <w:jc w:val="center"/>
              <w:rPr>
                <w:rFonts w:cs="Arial"/>
                <w:color w:val="000000"/>
                <w:sz w:val="16"/>
                <w:szCs w:val="16"/>
                <w:highlight w:val="green"/>
              </w:rPr>
            </w:pPr>
            <w:r w:rsidRPr="00194B75">
              <w:rPr>
                <w:sz w:val="16"/>
                <w:szCs w:val="16"/>
              </w:rPr>
              <w:t>8.9</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tcPr>
          <w:p w14:paraId="2BAF1FCF" w14:textId="2C159028" w:rsidR="00EE2C2C" w:rsidRPr="00EE2C2C" w:rsidRDefault="00EE2C2C" w:rsidP="00194B75">
            <w:pPr>
              <w:autoSpaceDE w:val="0"/>
              <w:autoSpaceDN w:val="0"/>
              <w:adjustRightInd w:val="0"/>
              <w:spacing w:after="0" w:line="360" w:lineRule="auto"/>
              <w:jc w:val="center"/>
              <w:rPr>
                <w:rFonts w:cs="Arial"/>
                <w:color w:val="000000"/>
                <w:sz w:val="16"/>
                <w:szCs w:val="16"/>
                <w:highlight w:val="green"/>
              </w:rPr>
            </w:pPr>
            <w:r w:rsidRPr="00194B75">
              <w:rPr>
                <w:sz w:val="16"/>
                <w:szCs w:val="16"/>
              </w:rPr>
              <w:t>-0.2</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tcPr>
          <w:p w14:paraId="78641140" w14:textId="5248187C" w:rsidR="00EE2C2C" w:rsidRPr="00EE2C2C" w:rsidRDefault="00EE2C2C" w:rsidP="00194B75">
            <w:pPr>
              <w:autoSpaceDE w:val="0"/>
              <w:autoSpaceDN w:val="0"/>
              <w:adjustRightInd w:val="0"/>
              <w:spacing w:after="0" w:line="360" w:lineRule="auto"/>
              <w:jc w:val="center"/>
              <w:rPr>
                <w:rFonts w:cs="Arial"/>
                <w:color w:val="000000"/>
                <w:sz w:val="16"/>
                <w:szCs w:val="16"/>
                <w:highlight w:val="green"/>
              </w:rPr>
            </w:pPr>
            <w:r w:rsidRPr="00194B75">
              <w:rPr>
                <w:sz w:val="16"/>
                <w:szCs w:val="16"/>
              </w:rPr>
              <w:t>-2.2</w:t>
            </w:r>
          </w:p>
        </w:tc>
      </w:tr>
      <w:tr w:rsidR="00EE2C2C" w:rsidRPr="0088109E" w14:paraId="22BD4544" w14:textId="77777777" w:rsidTr="00194B75">
        <w:trPr>
          <w:trHeight w:val="312"/>
        </w:trPr>
        <w:tc>
          <w:tcPr>
            <w:tcW w:w="4166" w:type="dxa"/>
            <w:tcBorders>
              <w:top w:val="single" w:sz="4" w:space="0" w:color="D9D9D9" w:themeColor="accent6" w:themeShade="D9"/>
              <w:left w:val="nil"/>
              <w:bottom w:val="single" w:sz="4" w:space="0" w:color="D9D9D9" w:themeColor="accent6" w:themeShade="D9"/>
              <w:right w:val="nil"/>
            </w:tcBorders>
            <w:vAlign w:val="center"/>
          </w:tcPr>
          <w:p w14:paraId="636E015D" w14:textId="77777777" w:rsidR="00EE2C2C" w:rsidRPr="00194B75" w:rsidRDefault="00EE2C2C" w:rsidP="00EE2C2C">
            <w:pPr>
              <w:autoSpaceDE w:val="0"/>
              <w:autoSpaceDN w:val="0"/>
              <w:adjustRightInd w:val="0"/>
              <w:spacing w:after="0" w:line="240" w:lineRule="auto"/>
              <w:rPr>
                <w:rFonts w:cs="Arial"/>
                <w:color w:val="000000"/>
                <w:sz w:val="16"/>
                <w:szCs w:val="16"/>
              </w:rPr>
            </w:pPr>
            <w:r w:rsidRPr="00194B75">
              <w:rPr>
                <w:rFonts w:cs="Arial"/>
                <w:color w:val="000000"/>
                <w:sz w:val="16"/>
                <w:szCs w:val="16"/>
              </w:rPr>
              <w:t>Average Length of Stay (day)</w:t>
            </w:r>
          </w:p>
        </w:tc>
        <w:tc>
          <w:tcPr>
            <w:tcW w:w="1327" w:type="dxa"/>
            <w:tcBorders>
              <w:top w:val="single" w:sz="4" w:space="0" w:color="D9D9D9" w:themeColor="accent6" w:themeShade="D9"/>
              <w:left w:val="nil"/>
              <w:bottom w:val="single" w:sz="4" w:space="0" w:color="D9D9D9" w:themeColor="accent6" w:themeShade="D9"/>
              <w:right w:val="nil"/>
            </w:tcBorders>
            <w:shd w:val="clear" w:color="auto" w:fill="F2F2F2" w:themeFill="accent6" w:themeFillShade="F2"/>
          </w:tcPr>
          <w:p w14:paraId="0E37481F" w14:textId="32E0319A" w:rsidR="00EE2C2C" w:rsidRPr="00194B75" w:rsidRDefault="00EE2C2C" w:rsidP="00194B75">
            <w:pPr>
              <w:autoSpaceDE w:val="0"/>
              <w:autoSpaceDN w:val="0"/>
              <w:adjustRightInd w:val="0"/>
              <w:spacing w:after="0" w:line="360" w:lineRule="auto"/>
              <w:jc w:val="center"/>
              <w:rPr>
                <w:rFonts w:cs="Arial"/>
                <w:color w:val="000000"/>
                <w:sz w:val="16"/>
                <w:szCs w:val="16"/>
              </w:rPr>
            </w:pPr>
            <w:r w:rsidRPr="00194B75">
              <w:rPr>
                <w:sz w:val="16"/>
                <w:szCs w:val="16"/>
              </w:rPr>
              <w:t>2.4</w:t>
            </w:r>
          </w:p>
        </w:tc>
        <w:tc>
          <w:tcPr>
            <w:tcW w:w="1327" w:type="dxa"/>
            <w:tcBorders>
              <w:top w:val="single" w:sz="4" w:space="0" w:color="D9D9D9" w:themeColor="accent6" w:themeShade="D9"/>
              <w:left w:val="nil"/>
              <w:bottom w:val="single" w:sz="4" w:space="0" w:color="D9D9D9" w:themeColor="accent6" w:themeShade="D9"/>
              <w:right w:val="single" w:sz="4" w:space="0" w:color="D9D9D9" w:themeColor="accent6" w:themeShade="D9"/>
            </w:tcBorders>
            <w:shd w:val="clear" w:color="auto" w:fill="F2F2F2" w:themeFill="accent6" w:themeFillShade="F2"/>
          </w:tcPr>
          <w:p w14:paraId="79D67FFC" w14:textId="5DDBB1A4" w:rsidR="00EE2C2C" w:rsidRPr="00EE2C2C" w:rsidRDefault="00EE2C2C" w:rsidP="00194B75">
            <w:pPr>
              <w:autoSpaceDE w:val="0"/>
              <w:autoSpaceDN w:val="0"/>
              <w:adjustRightInd w:val="0"/>
              <w:spacing w:after="0" w:line="360" w:lineRule="auto"/>
              <w:jc w:val="center"/>
              <w:rPr>
                <w:rFonts w:cs="Arial"/>
                <w:color w:val="000000"/>
                <w:sz w:val="16"/>
                <w:szCs w:val="16"/>
                <w:highlight w:val="green"/>
              </w:rPr>
            </w:pPr>
            <w:r w:rsidRPr="00194B75">
              <w:rPr>
                <w:sz w:val="16"/>
                <w:szCs w:val="16"/>
              </w:rPr>
              <w:t>2.4</w:t>
            </w:r>
          </w:p>
        </w:tc>
        <w:tc>
          <w:tcPr>
            <w:tcW w:w="1326" w:type="dxa"/>
            <w:tcBorders>
              <w:top w:val="single" w:sz="4" w:space="0" w:color="D9D9D9" w:themeColor="accent6" w:themeShade="D9"/>
              <w:left w:val="single" w:sz="4" w:space="0" w:color="D9D9D9" w:themeColor="accent6" w:themeShade="D9"/>
              <w:bottom w:val="single" w:sz="4" w:space="0" w:color="D9D9D9" w:themeColor="accent6" w:themeShade="D9"/>
              <w:right w:val="nil"/>
            </w:tcBorders>
            <w:shd w:val="clear" w:color="auto" w:fill="auto"/>
          </w:tcPr>
          <w:p w14:paraId="34F8E5A0" w14:textId="503AD278" w:rsidR="00EE2C2C" w:rsidRPr="00EE2C2C" w:rsidRDefault="00EE2C2C" w:rsidP="00194B75">
            <w:pPr>
              <w:autoSpaceDE w:val="0"/>
              <w:autoSpaceDN w:val="0"/>
              <w:adjustRightInd w:val="0"/>
              <w:spacing w:after="0" w:line="360" w:lineRule="auto"/>
              <w:jc w:val="center"/>
              <w:rPr>
                <w:rFonts w:cs="Arial"/>
                <w:color w:val="000000"/>
                <w:sz w:val="16"/>
                <w:szCs w:val="16"/>
                <w:highlight w:val="green"/>
              </w:rPr>
            </w:pPr>
            <w:r w:rsidRPr="00194B75">
              <w:rPr>
                <w:sz w:val="16"/>
                <w:szCs w:val="16"/>
              </w:rPr>
              <w:t>0</w:t>
            </w:r>
          </w:p>
        </w:tc>
        <w:tc>
          <w:tcPr>
            <w:tcW w:w="1327" w:type="dxa"/>
            <w:tcBorders>
              <w:top w:val="single" w:sz="4" w:space="0" w:color="D9D9D9" w:themeColor="accent6" w:themeShade="D9"/>
              <w:left w:val="nil"/>
              <w:bottom w:val="single" w:sz="4" w:space="0" w:color="D9D9D9" w:themeColor="accent6" w:themeShade="D9"/>
              <w:right w:val="nil"/>
            </w:tcBorders>
            <w:shd w:val="clear" w:color="auto" w:fill="auto"/>
          </w:tcPr>
          <w:p w14:paraId="4B8E075D" w14:textId="7BA92307" w:rsidR="00EE2C2C" w:rsidRPr="00EE2C2C" w:rsidRDefault="00EE2C2C" w:rsidP="00194B75">
            <w:pPr>
              <w:autoSpaceDE w:val="0"/>
              <w:autoSpaceDN w:val="0"/>
              <w:adjustRightInd w:val="0"/>
              <w:spacing w:after="0" w:line="360" w:lineRule="auto"/>
              <w:jc w:val="center"/>
              <w:rPr>
                <w:rFonts w:cs="Arial"/>
                <w:color w:val="000000"/>
                <w:sz w:val="16"/>
                <w:szCs w:val="16"/>
                <w:highlight w:val="green"/>
              </w:rPr>
            </w:pPr>
            <w:r w:rsidRPr="00194B75">
              <w:rPr>
                <w:sz w:val="16"/>
                <w:szCs w:val="16"/>
              </w:rPr>
              <w:t>0.0</w:t>
            </w:r>
          </w:p>
        </w:tc>
      </w:tr>
    </w:tbl>
    <w:p w14:paraId="40D98AF8" w14:textId="7E48AA5E" w:rsidR="00BC0828" w:rsidRPr="005629F8" w:rsidRDefault="00EB71F7" w:rsidP="00FC4599">
      <w:pPr>
        <w:pStyle w:val="Heading2"/>
      </w:pPr>
      <w:bookmarkStart w:id="40" w:name="_Toc129700438"/>
      <w:bookmarkStart w:id="41" w:name="_Toc129700664"/>
      <w:bookmarkStart w:id="42" w:name="_Toc129701357"/>
      <w:r w:rsidRPr="005629F8">
        <w:t>COVID-19 and the NHCDC</w:t>
      </w:r>
      <w:bookmarkEnd w:id="40"/>
      <w:bookmarkEnd w:id="41"/>
      <w:bookmarkEnd w:id="42"/>
    </w:p>
    <w:p w14:paraId="3C277F25" w14:textId="007E04B4" w:rsidR="003640D7" w:rsidRDefault="00A41CAF" w:rsidP="005629F8">
      <w:pPr>
        <w:rPr>
          <w:rFonts w:eastAsiaTheme="majorEastAsia" w:cstheme="majorBidi"/>
          <w:color w:val="104F99" w:themeColor="accent2"/>
          <w:sz w:val="36"/>
          <w:szCs w:val="26"/>
        </w:rPr>
      </w:pPr>
      <w:r>
        <w:t xml:space="preserve">The COVID-19 global pandemic impacted Australia from March 2020 onwards, resulting in </w:t>
      </w:r>
      <w:r w:rsidR="00810C40">
        <w:t>jurisdictional</w:t>
      </w:r>
      <w:r>
        <w:t xml:space="preserve"> lockdowns and restrictions on elective surgeries. This impacted hospital operations (both public and private) and had financial impacts that were reflected in the activity volumes and cost profiles of the data collection. </w:t>
      </w:r>
      <w:r w:rsidR="000C687C">
        <w:t>The pandemic continued into 2</w:t>
      </w:r>
      <w:r>
        <w:t>02</w:t>
      </w:r>
      <w:r w:rsidR="00B63933">
        <w:t>1</w:t>
      </w:r>
      <w:r>
        <w:t>-2</w:t>
      </w:r>
      <w:r w:rsidR="00B63933">
        <w:t>2</w:t>
      </w:r>
      <w:r w:rsidR="000C687C">
        <w:t xml:space="preserve">, though the impact on the </w:t>
      </w:r>
      <w:r>
        <w:t xml:space="preserve">private sector </w:t>
      </w:r>
      <w:r w:rsidR="000C687C">
        <w:t>activity and costs differed to the impact in 20</w:t>
      </w:r>
      <w:r w:rsidR="00B63933">
        <w:t>20</w:t>
      </w:r>
      <w:r w:rsidR="000C687C">
        <w:t>-2</w:t>
      </w:r>
      <w:r w:rsidR="00B63933">
        <w:t>1</w:t>
      </w:r>
      <w:r w:rsidR="000C687C">
        <w:t xml:space="preserve"> due to varying public health responses</w:t>
      </w:r>
      <w:r w:rsidR="00B63933">
        <w:t xml:space="preserve"> and recoveries</w:t>
      </w:r>
      <w:r w:rsidR="000C687C">
        <w:t xml:space="preserve"> across the country</w:t>
      </w:r>
      <w:r>
        <w:t xml:space="preserve">. Section </w:t>
      </w:r>
      <w:r>
        <w:fldChar w:fldCharType="begin"/>
      </w:r>
      <w:r>
        <w:instrText xml:space="preserve"> REF _Ref128382891 \r \h </w:instrText>
      </w:r>
      <w:r w:rsidR="0068730C" w:rsidRPr="0068730C">
        <w:instrText xml:space="preserve"> \* MERGEFORMAT </w:instrText>
      </w:r>
      <w:r>
        <w:fldChar w:fldCharType="separate"/>
      </w:r>
      <w:r w:rsidRPr="005629F8">
        <w:t>5</w:t>
      </w:r>
      <w:r>
        <w:fldChar w:fldCharType="end"/>
      </w:r>
      <w:r>
        <w:t xml:space="preserve"> of this report provides further background information, </w:t>
      </w:r>
      <w:r w:rsidR="00A86AC3">
        <w:t>outlining</w:t>
      </w:r>
      <w:r>
        <w:t xml:space="preserve"> the costing approach</w:t>
      </w:r>
      <w:r w:rsidR="00605F54">
        <w:t>es</w:t>
      </w:r>
      <w:r>
        <w:t xml:space="preserve"> utilised for COVID-19 and shows analys</w:t>
      </w:r>
      <w:r w:rsidR="00225C6A">
        <w:t>e</w:t>
      </w:r>
      <w:r>
        <w:t xml:space="preserve">s </w:t>
      </w:r>
      <w:r w:rsidR="000C687C">
        <w:t>on the activity volumes in the private sector</w:t>
      </w:r>
      <w:r>
        <w:t>.</w:t>
      </w:r>
    </w:p>
    <w:p w14:paraId="7BBEECF7" w14:textId="6F1DB170" w:rsidR="00BC0828" w:rsidRPr="005629F8" w:rsidRDefault="00EB71F7" w:rsidP="00FC4599">
      <w:pPr>
        <w:pStyle w:val="Heading2"/>
      </w:pPr>
      <w:bookmarkStart w:id="43" w:name="_Toc129700439"/>
      <w:bookmarkStart w:id="44" w:name="_Toc129700665"/>
      <w:bookmarkStart w:id="45" w:name="_Toc129701358"/>
      <w:r w:rsidRPr="005629F8">
        <w:t>Public and private sector differences</w:t>
      </w:r>
      <w:bookmarkEnd w:id="43"/>
      <w:bookmarkEnd w:id="44"/>
      <w:bookmarkEnd w:id="45"/>
    </w:p>
    <w:p w14:paraId="6E98BC44" w14:textId="638E2C17" w:rsidR="00787078" w:rsidRDefault="008D5204" w:rsidP="005629F8">
      <w:r w:rsidRPr="005629F8">
        <w:t>This report does not compare the average cost per separation between the public and private</w:t>
      </w:r>
      <w:r w:rsidRPr="005629F8">
        <w:rPr>
          <w:spacing w:val="1"/>
        </w:rPr>
        <w:t xml:space="preserve"> </w:t>
      </w:r>
      <w:r w:rsidRPr="005629F8">
        <w:t xml:space="preserve">sectors as the scope of costs between the </w:t>
      </w:r>
      <w:r w:rsidR="001307D6">
        <w:t>2</w:t>
      </w:r>
      <w:r w:rsidRPr="005629F8">
        <w:t xml:space="preserve"> sectors is different.</w:t>
      </w:r>
    </w:p>
    <w:p w14:paraId="30CD2C7E" w14:textId="330C3B74" w:rsidR="00787078" w:rsidRPr="005629F8" w:rsidRDefault="008D5204" w:rsidP="008D5204">
      <w:r w:rsidRPr="005629F8">
        <w:t>Many of the cost items</w:t>
      </w:r>
      <w:r w:rsidRPr="005629F8">
        <w:rPr>
          <w:spacing w:val="1"/>
        </w:rPr>
        <w:t xml:space="preserve"> </w:t>
      </w:r>
      <w:r w:rsidRPr="005629F8">
        <w:t xml:space="preserve">present in the public sector such as medical specialist costs, including </w:t>
      </w:r>
      <w:r w:rsidR="0036164B" w:rsidRPr="005629F8">
        <w:t>doctors’</w:t>
      </w:r>
      <w:r w:rsidRPr="005629F8">
        <w:t xml:space="preserve"> fees, </w:t>
      </w:r>
      <w:r w:rsidR="0036164B" w:rsidRPr="005629F8">
        <w:t>pathology</w:t>
      </w:r>
      <w:r w:rsidRPr="005629F8">
        <w:t xml:space="preserve"> and </w:t>
      </w:r>
      <w:proofErr w:type="gramStart"/>
      <w:r w:rsidRPr="005629F8">
        <w:t>imaging</w:t>
      </w:r>
      <w:r w:rsidR="00225C6A">
        <w:t xml:space="preserve"> </w:t>
      </w:r>
      <w:r w:rsidRPr="005629F8">
        <w:rPr>
          <w:spacing w:val="-59"/>
        </w:rPr>
        <w:t xml:space="preserve"> </w:t>
      </w:r>
      <w:r w:rsidRPr="005629F8">
        <w:t>are</w:t>
      </w:r>
      <w:proofErr w:type="gramEnd"/>
      <w:r w:rsidRPr="005629F8">
        <w:t xml:space="preserve"> not represented in private hospital general ledgers. These costs are generally not</w:t>
      </w:r>
      <w:r w:rsidRPr="005629F8">
        <w:rPr>
          <w:spacing w:val="1"/>
        </w:rPr>
        <w:t xml:space="preserve"> </w:t>
      </w:r>
      <w:r w:rsidRPr="005629F8">
        <w:t>reported for the private sector as they are funded through arrangement</w:t>
      </w:r>
      <w:r w:rsidR="0014205B">
        <w:t>s</w:t>
      </w:r>
      <w:r w:rsidRPr="005629F8">
        <w:t xml:space="preserve"> between patients and medical professionals.</w:t>
      </w:r>
    </w:p>
    <w:p w14:paraId="6FB12381" w14:textId="1FAF4116" w:rsidR="00EB71F7" w:rsidRPr="005629F8" w:rsidRDefault="000C687C" w:rsidP="005629F8">
      <w:r>
        <w:t>Additionally, s</w:t>
      </w:r>
      <w:r w:rsidR="00FE6A89" w:rsidRPr="0068730C">
        <w:t>ome</w:t>
      </w:r>
      <w:r w:rsidR="00787078" w:rsidRPr="0068730C">
        <w:t xml:space="preserve"> </w:t>
      </w:r>
      <w:r w:rsidR="0014205B">
        <w:t xml:space="preserve">private </w:t>
      </w:r>
      <w:r w:rsidR="00787078" w:rsidRPr="0068730C">
        <w:t>hospitals outsource their pharmacy function to external vendors</w:t>
      </w:r>
      <w:r w:rsidR="00B84E73">
        <w:t xml:space="preserve">. This results </w:t>
      </w:r>
      <w:r w:rsidR="00225C6A">
        <w:t xml:space="preserve">in </w:t>
      </w:r>
      <w:r w:rsidR="00B84E73">
        <w:t xml:space="preserve">variations </w:t>
      </w:r>
      <w:r w:rsidR="00225C6A">
        <w:t>in</w:t>
      </w:r>
      <w:r w:rsidR="00B84E73">
        <w:t xml:space="preserve"> whether </w:t>
      </w:r>
      <w:r w:rsidR="00762E35" w:rsidRPr="1FFE3681">
        <w:t xml:space="preserve">Pharmaceutical Benefits </w:t>
      </w:r>
      <w:r w:rsidR="00762E35">
        <w:t>Scheme (</w:t>
      </w:r>
      <w:r w:rsidR="0014205B">
        <w:t>PBS</w:t>
      </w:r>
      <w:r w:rsidR="00762E35">
        <w:t>)</w:t>
      </w:r>
      <w:r w:rsidR="0014205B">
        <w:t xml:space="preserve"> rebates are received by the hospitals, and whether </w:t>
      </w:r>
      <w:r w:rsidR="00B84E73">
        <w:t>pharmacy costs</w:t>
      </w:r>
      <w:r w:rsidR="0014205B">
        <w:t xml:space="preserve"> are </w:t>
      </w:r>
      <w:r w:rsidR="00FE6A89" w:rsidRPr="0068730C">
        <w:t xml:space="preserve">reported </w:t>
      </w:r>
      <w:r w:rsidR="00B84E73">
        <w:t xml:space="preserve">including or excluding the </w:t>
      </w:r>
      <w:r w:rsidR="00FE6A89" w:rsidRPr="0068730C">
        <w:t>PBS rebate</w:t>
      </w:r>
      <w:r w:rsidR="001022AF" w:rsidRPr="0068730C">
        <w:t>.</w:t>
      </w:r>
    </w:p>
    <w:p w14:paraId="611FC7D3" w14:textId="1C649428" w:rsidR="00EB71F7" w:rsidRPr="005629F8" w:rsidRDefault="00EB71F7" w:rsidP="00FC4599">
      <w:pPr>
        <w:pStyle w:val="Heading2"/>
      </w:pPr>
      <w:bookmarkStart w:id="46" w:name="_Toc129700440"/>
      <w:bookmarkStart w:id="47" w:name="_Toc129700666"/>
      <w:bookmarkStart w:id="48" w:name="_Toc129701359"/>
      <w:r w:rsidRPr="005629F8">
        <w:t>Confidentiality of data</w:t>
      </w:r>
      <w:bookmarkEnd w:id="46"/>
      <w:bookmarkEnd w:id="47"/>
      <w:bookmarkEnd w:id="48"/>
    </w:p>
    <w:p w14:paraId="2A7B3C68" w14:textId="7BDFDFE2" w:rsidR="00EB71F7" w:rsidRPr="005629F8" w:rsidRDefault="00EB71F7" w:rsidP="00EB71F7">
      <w:r w:rsidRPr="005629F8">
        <w:t xml:space="preserve">Due to the commercial nature of the sector, all participating hospitals in </w:t>
      </w:r>
      <w:r w:rsidR="00F27379">
        <w:t>20</w:t>
      </w:r>
      <w:r w:rsidR="000531FD" w:rsidRPr="005629F8">
        <w:t>2</w:t>
      </w:r>
      <w:r w:rsidR="00B63933">
        <w:t>1</w:t>
      </w:r>
      <w:r w:rsidR="000531FD" w:rsidRPr="005629F8">
        <w:t>-2</w:t>
      </w:r>
      <w:r w:rsidR="00B63933">
        <w:t>2</w:t>
      </w:r>
      <w:r w:rsidRPr="005629F8">
        <w:t xml:space="preserve"> are </w:t>
      </w:r>
      <w:proofErr w:type="gramStart"/>
      <w:r w:rsidRPr="005629F8">
        <w:t>requested</w:t>
      </w:r>
      <w:r w:rsidRPr="005629F8">
        <w:rPr>
          <w:spacing w:val="-59"/>
        </w:rPr>
        <w:t xml:space="preserve"> </w:t>
      </w:r>
      <w:r w:rsidR="008D5204" w:rsidRPr="005629F8">
        <w:t xml:space="preserve"> to</w:t>
      </w:r>
      <w:proofErr w:type="gramEnd"/>
      <w:r w:rsidR="008D5204" w:rsidRPr="005629F8">
        <w:t xml:space="preserve"> </w:t>
      </w:r>
      <w:r w:rsidRPr="005629F8">
        <w:t>sign a</w:t>
      </w:r>
      <w:r w:rsidRPr="005629F8">
        <w:rPr>
          <w:spacing w:val="-3"/>
        </w:rPr>
        <w:t xml:space="preserve"> </w:t>
      </w:r>
      <w:r w:rsidRPr="005629F8">
        <w:t>confidentiality</w:t>
      </w:r>
      <w:r w:rsidRPr="005629F8">
        <w:rPr>
          <w:spacing w:val="-2"/>
        </w:rPr>
        <w:t xml:space="preserve"> </w:t>
      </w:r>
      <w:r w:rsidRPr="005629F8">
        <w:t>agreement</w:t>
      </w:r>
      <w:r w:rsidRPr="005629F8">
        <w:rPr>
          <w:spacing w:val="2"/>
        </w:rPr>
        <w:t xml:space="preserve"> </w:t>
      </w:r>
      <w:r w:rsidRPr="005629F8">
        <w:t>before</w:t>
      </w:r>
      <w:r w:rsidRPr="005629F8">
        <w:rPr>
          <w:spacing w:val="-3"/>
        </w:rPr>
        <w:t xml:space="preserve"> </w:t>
      </w:r>
      <w:r w:rsidRPr="005629F8">
        <w:t>any</w:t>
      </w:r>
      <w:r w:rsidRPr="005629F8">
        <w:rPr>
          <w:spacing w:val="-4"/>
        </w:rPr>
        <w:t xml:space="preserve"> </w:t>
      </w:r>
      <w:r w:rsidRPr="005629F8">
        <w:t>final reports are</w:t>
      </w:r>
      <w:r w:rsidRPr="005629F8">
        <w:rPr>
          <w:spacing w:val="-2"/>
        </w:rPr>
        <w:t xml:space="preserve"> </w:t>
      </w:r>
      <w:r w:rsidRPr="005629F8">
        <w:t>released.</w:t>
      </w:r>
    </w:p>
    <w:p w14:paraId="66289592" w14:textId="54470B17" w:rsidR="00EB71F7" w:rsidRPr="005629F8" w:rsidRDefault="00EB71F7">
      <w:pPr>
        <w:spacing w:line="259" w:lineRule="auto"/>
        <w:rPr>
          <w:rFonts w:ascii="Fira Sans Bold" w:eastAsiaTheme="majorEastAsia" w:hAnsi="Fira Sans Bold" w:cstheme="majorBidi" w:hint="eastAsia"/>
          <w:color w:val="008F55" w:themeColor="accent4"/>
          <w:sz w:val="26"/>
          <w:szCs w:val="24"/>
        </w:rPr>
      </w:pPr>
      <w:r w:rsidRPr="005629F8">
        <w:t>In this report, cost weight information will not be presented (masked) if there is insufficient</w:t>
      </w:r>
      <w:r w:rsidRPr="005629F8">
        <w:rPr>
          <w:spacing w:val="1"/>
        </w:rPr>
        <w:t xml:space="preserve"> </w:t>
      </w:r>
      <w:r w:rsidRPr="005629F8">
        <w:t xml:space="preserve">volume. If a cost weight for an AR-DRG is based on fewer than </w:t>
      </w:r>
      <w:r w:rsidR="001307D6">
        <w:t>5</w:t>
      </w:r>
      <w:r w:rsidR="0031762E">
        <w:t xml:space="preserve"> </w:t>
      </w:r>
      <w:r w:rsidRPr="005629F8">
        <w:t>separations</w:t>
      </w:r>
      <w:r w:rsidR="00D418D9">
        <w:t xml:space="preserve"> </w:t>
      </w:r>
      <w:r w:rsidR="000512E3">
        <w:t>and/</w:t>
      </w:r>
      <w:r w:rsidR="00D418D9">
        <w:t xml:space="preserve">or fewer than </w:t>
      </w:r>
      <w:r w:rsidR="001307D6">
        <w:t>3</w:t>
      </w:r>
      <w:r w:rsidR="00D418D9">
        <w:t xml:space="preserve"> hospitals contributing to </w:t>
      </w:r>
      <w:r w:rsidR="00D418D9" w:rsidRPr="005629F8">
        <w:t>a</w:t>
      </w:r>
      <w:r w:rsidR="00D418D9" w:rsidRPr="005629F8">
        <w:rPr>
          <w:spacing w:val="1"/>
        </w:rPr>
        <w:t xml:space="preserve"> </w:t>
      </w:r>
      <w:r w:rsidR="00D418D9" w:rsidRPr="005629F8">
        <w:t>particular AR-DRG</w:t>
      </w:r>
      <w:r w:rsidRPr="005629F8">
        <w:t>, the figures for this</w:t>
      </w:r>
      <w:r w:rsidRPr="005629F8">
        <w:rPr>
          <w:spacing w:val="1"/>
        </w:rPr>
        <w:t xml:space="preserve"> </w:t>
      </w:r>
      <w:r w:rsidRPr="005629F8">
        <w:t>cost weight have been replaced by asterisks (*****).</w:t>
      </w:r>
    </w:p>
    <w:p w14:paraId="6DE23C9A" w14:textId="7A4BC168" w:rsidR="00EB71F7" w:rsidRPr="005629F8" w:rsidRDefault="00B7555D" w:rsidP="00FC4599">
      <w:pPr>
        <w:pStyle w:val="Heading1"/>
      </w:pPr>
      <w:bookmarkStart w:id="49" w:name="_Toc152080390"/>
      <w:r w:rsidRPr="005629F8">
        <w:lastRenderedPageBreak/>
        <w:t>Scope and methodology</w:t>
      </w:r>
      <w:bookmarkEnd w:id="49"/>
    </w:p>
    <w:p w14:paraId="76A7A880" w14:textId="7B9DA77D" w:rsidR="00EB71F7" w:rsidRPr="005629F8" w:rsidRDefault="00B7555D" w:rsidP="00FC4599">
      <w:pPr>
        <w:pStyle w:val="Heading2"/>
        <w:rPr>
          <w:highlight w:val="yellow"/>
        </w:rPr>
      </w:pPr>
      <w:bookmarkStart w:id="50" w:name="_Toc129700442"/>
      <w:bookmarkStart w:id="51" w:name="_Toc129700668"/>
      <w:bookmarkStart w:id="52" w:name="_Toc129701361"/>
      <w:r w:rsidRPr="005629F8">
        <w:t>Scope</w:t>
      </w:r>
      <w:bookmarkEnd w:id="50"/>
      <w:bookmarkEnd w:id="51"/>
      <w:bookmarkEnd w:id="52"/>
    </w:p>
    <w:p w14:paraId="03DA7B99" w14:textId="0E008A0B" w:rsidR="00B7555D" w:rsidRPr="005629F8" w:rsidRDefault="00B7555D" w:rsidP="00B7555D">
      <w:r w:rsidRPr="005629F8">
        <w:t xml:space="preserve">The scope of the </w:t>
      </w:r>
      <w:r w:rsidR="008965B1" w:rsidRPr="005629F8">
        <w:t xml:space="preserve">NHCDC </w:t>
      </w:r>
      <w:r w:rsidR="0062421B">
        <w:t>P</w:t>
      </w:r>
      <w:r w:rsidRPr="005629F8">
        <w:t xml:space="preserve">rivate </w:t>
      </w:r>
      <w:r w:rsidR="0062421B">
        <w:t>S</w:t>
      </w:r>
      <w:r w:rsidRPr="005629F8">
        <w:t xml:space="preserve">ector </w:t>
      </w:r>
      <w:r w:rsidR="007E1234" w:rsidRPr="005629F8">
        <w:t>202</w:t>
      </w:r>
      <w:r w:rsidR="007E1234">
        <w:t>1</w:t>
      </w:r>
      <w:r w:rsidR="007E1234" w:rsidRPr="005629F8">
        <w:t>-2</w:t>
      </w:r>
      <w:r w:rsidR="007E1234">
        <w:t>2</w:t>
      </w:r>
      <w:r w:rsidR="007E1234" w:rsidRPr="005629F8">
        <w:t xml:space="preserve"> </w:t>
      </w:r>
      <w:r w:rsidRPr="005629F8">
        <w:t>includes acute patients admitted to overnight</w:t>
      </w:r>
      <w:r w:rsidRPr="005629F8">
        <w:rPr>
          <w:spacing w:val="1"/>
        </w:rPr>
        <w:t xml:space="preserve"> </w:t>
      </w:r>
      <w:r w:rsidRPr="005629F8">
        <w:t>private hospitals in Australia who were discharged in</w:t>
      </w:r>
      <w:r w:rsidR="00B84E73">
        <w:t xml:space="preserve"> the </w:t>
      </w:r>
      <w:r w:rsidR="006A3ACF" w:rsidRPr="005629F8">
        <w:t>20</w:t>
      </w:r>
      <w:r w:rsidR="008B2AA0" w:rsidRPr="005629F8">
        <w:t>2</w:t>
      </w:r>
      <w:r w:rsidR="00B63933">
        <w:t>1</w:t>
      </w:r>
      <w:r w:rsidR="008B2AA0" w:rsidRPr="005629F8">
        <w:t>-2</w:t>
      </w:r>
      <w:r w:rsidR="00B63933">
        <w:t>2</w:t>
      </w:r>
      <w:r w:rsidR="00B84E73">
        <w:t xml:space="preserve"> financial year</w:t>
      </w:r>
      <w:r w:rsidRPr="005629F8">
        <w:t>. This includes</w:t>
      </w:r>
      <w:r w:rsidRPr="005629F8">
        <w:rPr>
          <w:spacing w:val="1"/>
        </w:rPr>
        <w:t xml:space="preserve"> </w:t>
      </w:r>
      <w:r w:rsidRPr="005629F8">
        <w:t xml:space="preserve">patients that were admitted to a hospital, were classified under the </w:t>
      </w:r>
      <w:r w:rsidR="00405A50">
        <w:t>Australian Refined Diagnosis Related Group (</w:t>
      </w:r>
      <w:r w:rsidRPr="005629F8">
        <w:t>AR-DRG</w:t>
      </w:r>
      <w:r w:rsidR="00405A50">
        <w:t>)</w:t>
      </w:r>
      <w:r w:rsidRPr="005629F8">
        <w:t xml:space="preserve"> and had a care </w:t>
      </w:r>
      <w:proofErr w:type="gramStart"/>
      <w:r w:rsidRPr="005629F8">
        <w:t>type</w:t>
      </w:r>
      <w:r w:rsidR="008B2AA0" w:rsidRPr="005629F8">
        <w:t xml:space="preserve"> </w:t>
      </w:r>
      <w:r w:rsidRPr="005629F8">
        <w:rPr>
          <w:spacing w:val="-59"/>
        </w:rPr>
        <w:t xml:space="preserve"> </w:t>
      </w:r>
      <w:r w:rsidRPr="005629F8">
        <w:t>of</w:t>
      </w:r>
      <w:proofErr w:type="gramEnd"/>
      <w:r w:rsidRPr="005629F8">
        <w:t xml:space="preserve"> admitted acute, qualified newborn</w:t>
      </w:r>
      <w:r w:rsidR="002A31F6" w:rsidRPr="005629F8">
        <w:rPr>
          <w:rStyle w:val="FootnoteReference"/>
        </w:rPr>
        <w:footnoteReference w:id="5"/>
      </w:r>
      <w:r w:rsidRPr="005629F8">
        <w:t>, mental health or other admitted patient care (see ‘</w:t>
      </w:r>
      <w:r w:rsidR="00443BA0" w:rsidRPr="005629F8">
        <w:t>I</w:t>
      </w:r>
      <w:r w:rsidRPr="005629F8">
        <w:t>n</w:t>
      </w:r>
      <w:r w:rsidR="002759D9" w:rsidRPr="005629F8">
        <w:t>-</w:t>
      </w:r>
      <w:r w:rsidR="007C6198" w:rsidRPr="005629F8">
        <w:t xml:space="preserve">scope care </w:t>
      </w:r>
      <w:r w:rsidRPr="005629F8">
        <w:t>types’</w:t>
      </w:r>
      <w:r w:rsidR="00443BA0" w:rsidRPr="005629F8">
        <w:t xml:space="preserve"> below</w:t>
      </w:r>
      <w:r w:rsidRPr="005629F8">
        <w:t>). Any references to admitted acute in this report relate to these care types unless</w:t>
      </w:r>
      <w:r w:rsidRPr="005629F8">
        <w:rPr>
          <w:spacing w:val="1"/>
        </w:rPr>
        <w:t xml:space="preserve"> </w:t>
      </w:r>
      <w:r w:rsidRPr="005629F8">
        <w:t>stated</w:t>
      </w:r>
      <w:r w:rsidRPr="005629F8">
        <w:rPr>
          <w:spacing w:val="-3"/>
        </w:rPr>
        <w:t xml:space="preserve"> </w:t>
      </w:r>
      <w:r w:rsidRPr="005629F8">
        <w:t>otherwise.</w:t>
      </w:r>
    </w:p>
    <w:p w14:paraId="6FC44D35" w14:textId="23E44AB8" w:rsidR="00B7555D" w:rsidRPr="005629F8" w:rsidRDefault="00B7555D" w:rsidP="00B7555D">
      <w:r w:rsidRPr="005629F8">
        <w:t>For this report, an overnight hospital was considered in</w:t>
      </w:r>
      <w:r w:rsidR="0012555A">
        <w:t>-</w:t>
      </w:r>
      <w:r w:rsidRPr="005629F8">
        <w:t>scope if it performed at least 200</w:t>
      </w:r>
      <w:r w:rsidRPr="005629F8">
        <w:rPr>
          <w:spacing w:val="-59"/>
        </w:rPr>
        <w:t xml:space="preserve"> </w:t>
      </w:r>
      <w:r w:rsidR="007C6198" w:rsidRPr="005629F8">
        <w:rPr>
          <w:spacing w:val="-59"/>
        </w:rPr>
        <w:t xml:space="preserve"> </w:t>
      </w:r>
      <w:r w:rsidR="007C6198" w:rsidRPr="005629F8">
        <w:t xml:space="preserve"> admitted</w:t>
      </w:r>
      <w:r w:rsidRPr="005629F8">
        <w:rPr>
          <w:spacing w:val="-3"/>
        </w:rPr>
        <w:t xml:space="preserve"> </w:t>
      </w:r>
      <w:r w:rsidRPr="005629F8">
        <w:t>acute separations</w:t>
      </w:r>
      <w:r w:rsidRPr="005629F8">
        <w:rPr>
          <w:spacing w:val="2"/>
        </w:rPr>
        <w:t xml:space="preserve"> </w:t>
      </w:r>
      <w:r w:rsidRPr="005629F8">
        <w:t>in the</w:t>
      </w:r>
      <w:r w:rsidRPr="005629F8">
        <w:rPr>
          <w:spacing w:val="-2"/>
        </w:rPr>
        <w:t xml:space="preserve"> </w:t>
      </w:r>
      <w:r w:rsidRPr="005629F8">
        <w:t>relevant</w:t>
      </w:r>
      <w:r w:rsidRPr="005629F8">
        <w:rPr>
          <w:spacing w:val="1"/>
        </w:rPr>
        <w:t xml:space="preserve"> </w:t>
      </w:r>
      <w:r w:rsidRPr="005629F8">
        <w:t>year.</w:t>
      </w:r>
    </w:p>
    <w:p w14:paraId="58D2E609" w14:textId="2529F195" w:rsidR="00B7555D" w:rsidRPr="005629F8" w:rsidRDefault="00B84E73" w:rsidP="00B7555D">
      <w:r>
        <w:t>Participants</w:t>
      </w:r>
      <w:r w:rsidR="00B7555D" w:rsidRPr="005629F8">
        <w:t xml:space="preserve"> were invited to submit subacute data again</w:t>
      </w:r>
      <w:r w:rsidR="008B2AA0" w:rsidRPr="005629F8">
        <w:t xml:space="preserve"> in 202</w:t>
      </w:r>
      <w:r w:rsidR="00B63933">
        <w:t>1</w:t>
      </w:r>
      <w:r w:rsidR="00C82F8C">
        <w:noBreakHyphen/>
      </w:r>
      <w:r w:rsidR="008B2AA0" w:rsidRPr="005629F8">
        <w:t>2</w:t>
      </w:r>
      <w:r w:rsidR="00B63933">
        <w:t>2</w:t>
      </w:r>
      <w:r w:rsidR="00B7555D" w:rsidRPr="005629F8">
        <w:t xml:space="preserve">, but analysis of subacute data has not been included due to insufficient participation. This remains unchanged from the previous </w:t>
      </w:r>
      <w:r w:rsidR="00F8497C">
        <w:t xml:space="preserve">three </w:t>
      </w:r>
      <w:r w:rsidR="007164B7" w:rsidRPr="005629F8">
        <w:t>financial year</w:t>
      </w:r>
      <w:r w:rsidR="00EE6138">
        <w:t>s</w:t>
      </w:r>
      <w:r w:rsidR="00B7555D" w:rsidRPr="005629F8">
        <w:t>, as its inclusion would lead to potentially inappropriate or biased representation of the cost profile for</w:t>
      </w:r>
      <w:r w:rsidR="00B7555D" w:rsidRPr="005629F8">
        <w:rPr>
          <w:spacing w:val="1"/>
        </w:rPr>
        <w:t xml:space="preserve"> </w:t>
      </w:r>
      <w:r w:rsidR="00B7555D" w:rsidRPr="005629F8">
        <w:t>subacute</w:t>
      </w:r>
      <w:r w:rsidR="00B7555D" w:rsidRPr="005629F8">
        <w:rPr>
          <w:spacing w:val="-1"/>
        </w:rPr>
        <w:t xml:space="preserve"> </w:t>
      </w:r>
      <w:r w:rsidR="00B7555D" w:rsidRPr="005629F8">
        <w:t>activity</w:t>
      </w:r>
      <w:r w:rsidR="00B7555D" w:rsidRPr="005629F8">
        <w:rPr>
          <w:spacing w:val="-2"/>
        </w:rPr>
        <w:t xml:space="preserve"> </w:t>
      </w:r>
      <w:r w:rsidR="00B7555D" w:rsidRPr="005629F8">
        <w:t>in the</w:t>
      </w:r>
      <w:r w:rsidR="00B7555D" w:rsidRPr="005629F8">
        <w:rPr>
          <w:spacing w:val="1"/>
        </w:rPr>
        <w:t xml:space="preserve"> </w:t>
      </w:r>
      <w:r w:rsidR="00B7555D" w:rsidRPr="005629F8">
        <w:t>population.</w:t>
      </w:r>
    </w:p>
    <w:p w14:paraId="2DCFC3CF" w14:textId="35D76114" w:rsidR="00B7555D" w:rsidRPr="005629F8" w:rsidRDefault="00B84E73" w:rsidP="00B7555D">
      <w:r>
        <w:t xml:space="preserve">The </w:t>
      </w:r>
      <w:r w:rsidR="007164B7" w:rsidRPr="005629F8">
        <w:t>2018-19</w:t>
      </w:r>
      <w:r w:rsidR="00B7555D" w:rsidRPr="005629F8">
        <w:t xml:space="preserve"> </w:t>
      </w:r>
      <w:r>
        <w:t xml:space="preserve">NHCDC </w:t>
      </w:r>
      <w:r w:rsidR="00B7555D" w:rsidRPr="005629F8">
        <w:t xml:space="preserve">was the first </w:t>
      </w:r>
      <w:r w:rsidR="006A3ACF" w:rsidRPr="005629F8">
        <w:t xml:space="preserve">year </w:t>
      </w:r>
      <w:r w:rsidR="00AE551C">
        <w:t>where</w:t>
      </w:r>
      <w:r w:rsidR="00B7555D" w:rsidRPr="005629F8">
        <w:t xml:space="preserve"> some hospital groups began submitting</w:t>
      </w:r>
      <w:r w:rsidR="00B7555D" w:rsidRPr="005629F8">
        <w:rPr>
          <w:spacing w:val="1"/>
        </w:rPr>
        <w:t xml:space="preserve"> </w:t>
      </w:r>
      <w:r w:rsidR="00B7555D" w:rsidRPr="005629F8">
        <w:t xml:space="preserve">admitted mental health episodes under care type 11.0. Prior to the introduction of care type 11.0, admitted mental health episodes were classified as admitted acute. </w:t>
      </w:r>
      <w:r w:rsidR="002759D9" w:rsidRPr="005629F8">
        <w:t xml:space="preserve">In </w:t>
      </w:r>
      <w:r w:rsidR="00EE6138">
        <w:t xml:space="preserve">the past </w:t>
      </w:r>
      <w:r w:rsidR="00B63933">
        <w:t>four</w:t>
      </w:r>
      <w:r w:rsidR="00EE6138">
        <w:t xml:space="preserve"> years</w:t>
      </w:r>
      <w:r>
        <w:t>,</w:t>
      </w:r>
      <w:r w:rsidR="007164B7" w:rsidRPr="005629F8">
        <w:t xml:space="preserve"> </w:t>
      </w:r>
      <w:r w:rsidR="00B7555D" w:rsidRPr="005629F8">
        <w:t xml:space="preserve">mental health activity </w:t>
      </w:r>
      <w:r w:rsidR="00EE6138">
        <w:t xml:space="preserve">has been </w:t>
      </w:r>
      <w:r w:rsidR="002759D9" w:rsidRPr="005629F8">
        <w:t xml:space="preserve">combined </w:t>
      </w:r>
      <w:r w:rsidR="00B7555D" w:rsidRPr="005629F8">
        <w:t>with other admitted acute activity due to insufficient volume.</w:t>
      </w:r>
      <w:r w:rsidR="007164B7" w:rsidRPr="005629F8">
        <w:t xml:space="preserve"> </w:t>
      </w:r>
      <w:r w:rsidR="002759D9" w:rsidRPr="005629F8">
        <w:t xml:space="preserve">As </w:t>
      </w:r>
      <w:r w:rsidR="00EE6138">
        <w:t xml:space="preserve">all </w:t>
      </w:r>
      <w:r w:rsidR="00B63933">
        <w:t>four</w:t>
      </w:r>
      <w:r w:rsidR="00EE6138">
        <w:t xml:space="preserve"> </w:t>
      </w:r>
      <w:r w:rsidR="002759D9" w:rsidRPr="005629F8">
        <w:t>years include mental health</w:t>
      </w:r>
      <w:r w:rsidR="00443BA0" w:rsidRPr="005629F8">
        <w:t>, it enables like-for-like</w:t>
      </w:r>
      <w:r w:rsidR="00B7555D" w:rsidRPr="005629F8">
        <w:rPr>
          <w:spacing w:val="-3"/>
        </w:rPr>
        <w:t xml:space="preserve"> </w:t>
      </w:r>
      <w:r w:rsidR="00B7555D" w:rsidRPr="005629F8">
        <w:t>comparisons</w:t>
      </w:r>
      <w:r w:rsidR="00B7555D" w:rsidRPr="005629F8">
        <w:rPr>
          <w:spacing w:val="-2"/>
        </w:rPr>
        <w:t xml:space="preserve"> </w:t>
      </w:r>
      <w:r w:rsidR="00B7555D" w:rsidRPr="005629F8">
        <w:t>to</w:t>
      </w:r>
      <w:r w:rsidR="00B7555D" w:rsidRPr="005629F8">
        <w:rPr>
          <w:spacing w:val="-2"/>
        </w:rPr>
        <w:t xml:space="preserve"> </w:t>
      </w:r>
      <w:r w:rsidR="00B7555D" w:rsidRPr="005629F8">
        <w:t>be</w:t>
      </w:r>
      <w:r w:rsidR="00B7555D" w:rsidRPr="005629F8">
        <w:rPr>
          <w:spacing w:val="-2"/>
        </w:rPr>
        <w:t xml:space="preserve"> </w:t>
      </w:r>
      <w:r w:rsidR="00B7555D" w:rsidRPr="005629F8">
        <w:t>made</w:t>
      </w:r>
      <w:r w:rsidR="00B7555D" w:rsidRPr="005629F8">
        <w:rPr>
          <w:spacing w:val="-1"/>
        </w:rPr>
        <w:t xml:space="preserve"> </w:t>
      </w:r>
      <w:r w:rsidR="002759D9" w:rsidRPr="005629F8">
        <w:t>between</w:t>
      </w:r>
      <w:r w:rsidR="002759D9" w:rsidRPr="005629F8">
        <w:rPr>
          <w:spacing w:val="-2"/>
        </w:rPr>
        <w:t xml:space="preserve"> </w:t>
      </w:r>
      <w:r w:rsidR="00EE6138">
        <w:rPr>
          <w:spacing w:val="-2"/>
        </w:rPr>
        <w:t xml:space="preserve">the </w:t>
      </w:r>
      <w:r w:rsidR="007164B7" w:rsidRPr="005629F8">
        <w:t>years</w:t>
      </w:r>
      <w:r w:rsidR="00B7555D" w:rsidRPr="005629F8">
        <w:t>.</w:t>
      </w:r>
    </w:p>
    <w:p w14:paraId="16979C31" w14:textId="3C7264EB" w:rsidR="00B7555D" w:rsidRPr="005629F8" w:rsidRDefault="00B84E73" w:rsidP="00B7555D">
      <w:proofErr w:type="gramStart"/>
      <w:r>
        <w:t>Similar to</w:t>
      </w:r>
      <w:proofErr w:type="gramEnd"/>
      <w:r w:rsidR="007164B7" w:rsidRPr="005629F8">
        <w:t xml:space="preserve"> the previous financial year, </w:t>
      </w:r>
      <w:r w:rsidR="00443BA0" w:rsidRPr="005629F8">
        <w:t>p</w:t>
      </w:r>
      <w:r w:rsidR="00B7555D" w:rsidRPr="005629F8">
        <w:t>articipants were invited to submit phase-level data</w:t>
      </w:r>
      <w:r w:rsidR="007164B7" w:rsidRPr="005629F8">
        <w:t xml:space="preserve"> </w:t>
      </w:r>
      <w:r w:rsidR="00B7555D" w:rsidRPr="005629F8">
        <w:t xml:space="preserve">for both subacute and mental health activity in </w:t>
      </w:r>
      <w:r w:rsidR="006A3ACF" w:rsidRPr="005629F8">
        <w:t>20</w:t>
      </w:r>
      <w:r w:rsidR="007164B7" w:rsidRPr="005629F8">
        <w:t>2</w:t>
      </w:r>
      <w:r w:rsidR="00B63933">
        <w:t>1</w:t>
      </w:r>
      <w:r w:rsidR="007164B7" w:rsidRPr="005629F8">
        <w:t>-2</w:t>
      </w:r>
      <w:r w:rsidR="00B63933">
        <w:t>2</w:t>
      </w:r>
      <w:r w:rsidR="00B7555D" w:rsidRPr="005629F8">
        <w:t>. The</w:t>
      </w:r>
      <w:r w:rsidR="00B7555D" w:rsidRPr="005629F8">
        <w:rPr>
          <w:spacing w:val="1"/>
        </w:rPr>
        <w:t xml:space="preserve"> </w:t>
      </w:r>
      <w:r w:rsidR="00B7555D" w:rsidRPr="005629F8">
        <w:t xml:space="preserve">results of the analysis using this data were not included in this report due to insufficient participation. </w:t>
      </w:r>
    </w:p>
    <w:p w14:paraId="514FBBEC" w14:textId="2B948880" w:rsidR="00B7555D" w:rsidRPr="005629F8" w:rsidRDefault="005C4EDC" w:rsidP="00B7555D">
      <w:r w:rsidRPr="005629F8">
        <w:t>IHACPA</w:t>
      </w:r>
      <w:r w:rsidR="00B7555D" w:rsidRPr="005629F8">
        <w:t xml:space="preserve"> will continue to work with the sector to improve the data collection so that </w:t>
      </w:r>
      <w:r w:rsidR="00EE6138">
        <w:t xml:space="preserve">the </w:t>
      </w:r>
      <w:r w:rsidR="00B7555D" w:rsidRPr="005629F8">
        <w:t>subacute and</w:t>
      </w:r>
      <w:r w:rsidR="00B7555D" w:rsidRPr="005629F8">
        <w:rPr>
          <w:spacing w:val="-59"/>
        </w:rPr>
        <w:t xml:space="preserve"> </w:t>
      </w:r>
      <w:r w:rsidR="00B7555D" w:rsidRPr="005629F8">
        <w:t>mental</w:t>
      </w:r>
      <w:r w:rsidR="00B7555D" w:rsidRPr="005629F8">
        <w:rPr>
          <w:spacing w:val="-2"/>
        </w:rPr>
        <w:t xml:space="preserve"> </w:t>
      </w:r>
      <w:r w:rsidR="00B7555D" w:rsidRPr="005629F8">
        <w:t>health</w:t>
      </w:r>
      <w:r w:rsidR="00B7555D" w:rsidRPr="005629F8">
        <w:rPr>
          <w:spacing w:val="1"/>
        </w:rPr>
        <w:t xml:space="preserve"> </w:t>
      </w:r>
      <w:r w:rsidR="00EE6138">
        <w:rPr>
          <w:spacing w:val="1"/>
        </w:rPr>
        <w:t xml:space="preserve">streams </w:t>
      </w:r>
      <w:r w:rsidR="00B7555D" w:rsidRPr="005629F8">
        <w:t>can</w:t>
      </w:r>
      <w:r w:rsidR="00B7555D" w:rsidRPr="005629F8">
        <w:rPr>
          <w:spacing w:val="-2"/>
        </w:rPr>
        <w:t xml:space="preserve"> </w:t>
      </w:r>
      <w:r w:rsidR="00B7555D" w:rsidRPr="005629F8">
        <w:t>be</w:t>
      </w:r>
      <w:r w:rsidR="00B7555D" w:rsidRPr="005629F8">
        <w:rPr>
          <w:spacing w:val="-2"/>
        </w:rPr>
        <w:t xml:space="preserve"> </w:t>
      </w:r>
      <w:r w:rsidR="00B7555D" w:rsidRPr="005629F8">
        <w:t>reported</w:t>
      </w:r>
      <w:r w:rsidR="00B7555D" w:rsidRPr="005629F8">
        <w:rPr>
          <w:spacing w:val="-2"/>
        </w:rPr>
        <w:t xml:space="preserve"> </w:t>
      </w:r>
      <w:r w:rsidR="00B7555D" w:rsidRPr="005629F8">
        <w:t>separately</w:t>
      </w:r>
      <w:r w:rsidR="00B7555D" w:rsidRPr="005629F8">
        <w:rPr>
          <w:spacing w:val="-2"/>
        </w:rPr>
        <w:t xml:space="preserve"> </w:t>
      </w:r>
      <w:r w:rsidR="00B7555D" w:rsidRPr="005629F8">
        <w:t>in</w:t>
      </w:r>
      <w:r w:rsidR="00B7555D" w:rsidRPr="005629F8">
        <w:rPr>
          <w:spacing w:val="-2"/>
        </w:rPr>
        <w:t xml:space="preserve"> </w:t>
      </w:r>
      <w:r w:rsidR="00B7555D" w:rsidRPr="005629F8">
        <w:t>future</w:t>
      </w:r>
      <w:r w:rsidR="00B7555D" w:rsidRPr="005629F8">
        <w:rPr>
          <w:spacing w:val="-2"/>
        </w:rPr>
        <w:t xml:space="preserve"> </w:t>
      </w:r>
      <w:r w:rsidR="006A3ACF" w:rsidRPr="005629F8">
        <w:t>years</w:t>
      </w:r>
      <w:r w:rsidR="00B7555D" w:rsidRPr="005629F8">
        <w:t>.</w:t>
      </w:r>
    </w:p>
    <w:p w14:paraId="0C6B783B" w14:textId="7E91CAEE" w:rsidR="00B7555D" w:rsidRPr="005629F8" w:rsidRDefault="00B7555D" w:rsidP="00E829BF">
      <w:pPr>
        <w:pStyle w:val="Heading3"/>
      </w:pPr>
      <w:bookmarkStart w:id="53" w:name="_Toc129700443"/>
      <w:bookmarkStart w:id="54" w:name="_Toc129700669"/>
      <w:bookmarkStart w:id="55" w:name="_Toc129701362"/>
      <w:r w:rsidRPr="005629F8">
        <w:t>In</w:t>
      </w:r>
      <w:r w:rsidR="000C115F" w:rsidRPr="005629F8">
        <w:t>-</w:t>
      </w:r>
      <w:r w:rsidRPr="005629F8">
        <w:t xml:space="preserve">scope care </w:t>
      </w:r>
      <w:r w:rsidRPr="00E829BF">
        <w:t>types</w:t>
      </w:r>
      <w:bookmarkEnd w:id="53"/>
      <w:bookmarkEnd w:id="54"/>
      <w:bookmarkEnd w:id="55"/>
    </w:p>
    <w:p w14:paraId="04E03EC6" w14:textId="28C1E98B" w:rsidR="00B7555D" w:rsidRDefault="00B7555D" w:rsidP="00B7555D">
      <w:r w:rsidRPr="005629F8">
        <w:t>Separations for admitted acute care and newborn care with qualified care days are in</w:t>
      </w:r>
      <w:r w:rsidR="00443BA0" w:rsidRPr="005629F8">
        <w:t>-</w:t>
      </w:r>
      <w:r w:rsidR="00F26CC6" w:rsidRPr="005629F8">
        <w:t xml:space="preserve">scope </w:t>
      </w:r>
      <w:proofErr w:type="gramStart"/>
      <w:r w:rsidR="00F26CC6" w:rsidRPr="005629F8">
        <w:t>and</w:t>
      </w:r>
      <w:r w:rsidR="00B84E73">
        <w:t xml:space="preserve"> </w:t>
      </w:r>
      <w:r w:rsidRPr="005629F8">
        <w:rPr>
          <w:spacing w:val="-59"/>
        </w:rPr>
        <w:t xml:space="preserve"> </w:t>
      </w:r>
      <w:r w:rsidRPr="005629F8">
        <w:t>are</w:t>
      </w:r>
      <w:proofErr w:type="gramEnd"/>
      <w:r w:rsidRPr="005629F8">
        <w:rPr>
          <w:spacing w:val="3"/>
        </w:rPr>
        <w:t xml:space="preserve"> </w:t>
      </w:r>
      <w:r w:rsidRPr="005629F8">
        <w:t>included</w:t>
      </w:r>
      <w:r w:rsidRPr="005629F8">
        <w:rPr>
          <w:spacing w:val="3"/>
        </w:rPr>
        <w:t xml:space="preserve"> </w:t>
      </w:r>
      <w:r w:rsidRPr="005629F8">
        <w:t>in the</w:t>
      </w:r>
      <w:r w:rsidRPr="005629F8">
        <w:rPr>
          <w:spacing w:val="1"/>
        </w:rPr>
        <w:t xml:space="preserve"> </w:t>
      </w:r>
      <w:r w:rsidRPr="005629F8">
        <w:t>calculation</w:t>
      </w:r>
      <w:r w:rsidRPr="005629F8">
        <w:rPr>
          <w:spacing w:val="2"/>
        </w:rPr>
        <w:t xml:space="preserve"> </w:t>
      </w:r>
      <w:r w:rsidRPr="005629F8">
        <w:t>of</w:t>
      </w:r>
      <w:r w:rsidRPr="005629F8">
        <w:rPr>
          <w:spacing w:val="5"/>
        </w:rPr>
        <w:t xml:space="preserve"> </w:t>
      </w:r>
      <w:r w:rsidRPr="005629F8">
        <w:t>the AR-DRG</w:t>
      </w:r>
      <w:r w:rsidRPr="005629F8">
        <w:rPr>
          <w:spacing w:val="2"/>
        </w:rPr>
        <w:t xml:space="preserve"> </w:t>
      </w:r>
      <w:r w:rsidRPr="005629F8">
        <w:t>cost</w:t>
      </w:r>
      <w:r w:rsidRPr="005629F8">
        <w:rPr>
          <w:spacing w:val="4"/>
        </w:rPr>
        <w:t xml:space="preserve"> </w:t>
      </w:r>
      <w:r w:rsidRPr="005629F8">
        <w:t>weights.</w:t>
      </w:r>
      <w:r w:rsidRPr="005629F8">
        <w:rPr>
          <w:spacing w:val="2"/>
        </w:rPr>
        <w:t xml:space="preserve"> </w:t>
      </w:r>
      <w:r w:rsidRPr="005629F8">
        <w:t>The costs</w:t>
      </w:r>
      <w:r w:rsidRPr="005629F8">
        <w:rPr>
          <w:spacing w:val="4"/>
        </w:rPr>
        <w:t xml:space="preserve"> </w:t>
      </w:r>
      <w:r w:rsidRPr="005629F8">
        <w:t>associated</w:t>
      </w:r>
      <w:r w:rsidRPr="005629F8">
        <w:rPr>
          <w:spacing w:val="2"/>
        </w:rPr>
        <w:t xml:space="preserve"> </w:t>
      </w:r>
      <w:r w:rsidRPr="005629F8">
        <w:t>with</w:t>
      </w:r>
      <w:r w:rsidRPr="005629F8">
        <w:rPr>
          <w:spacing w:val="1"/>
        </w:rPr>
        <w:t xml:space="preserve"> </w:t>
      </w:r>
      <w:r w:rsidRPr="005629F8">
        <w:t>unqualified neonate separations</w:t>
      </w:r>
      <w:r w:rsidR="001F188B">
        <w:rPr>
          <w:rStyle w:val="FootnoteReference"/>
        </w:rPr>
        <w:footnoteReference w:id="6"/>
      </w:r>
      <w:r w:rsidR="001F188B">
        <w:t xml:space="preserve"> </w:t>
      </w:r>
      <w:r w:rsidRPr="005629F8">
        <w:t>have been included in the costs of the maternal separations (</w:t>
      </w:r>
      <w:proofErr w:type="gramStart"/>
      <w:r w:rsidRPr="005629F8">
        <w:t>as</w:t>
      </w:r>
      <w:r w:rsidR="00B84E73" w:rsidRPr="005629F8">
        <w:t xml:space="preserve"> </w:t>
      </w:r>
      <w:r w:rsidRPr="005629F8">
        <w:rPr>
          <w:spacing w:val="-59"/>
        </w:rPr>
        <w:t xml:space="preserve"> </w:t>
      </w:r>
      <w:r w:rsidRPr="005629F8">
        <w:t>described</w:t>
      </w:r>
      <w:proofErr w:type="gramEnd"/>
      <w:r w:rsidRPr="005629F8">
        <w:t xml:space="preserve"> below</w:t>
      </w:r>
      <w:r w:rsidRPr="005629F8">
        <w:rPr>
          <w:spacing w:val="-5"/>
        </w:rPr>
        <w:t xml:space="preserve"> </w:t>
      </w:r>
      <w:r w:rsidRPr="005629F8">
        <w:t>for</w:t>
      </w:r>
      <w:r w:rsidRPr="005629F8">
        <w:rPr>
          <w:spacing w:val="-1"/>
        </w:rPr>
        <w:t xml:space="preserve"> </w:t>
      </w:r>
      <w:r w:rsidRPr="005629F8">
        <w:t>the</w:t>
      </w:r>
      <w:r w:rsidRPr="005629F8">
        <w:rPr>
          <w:spacing w:val="-5"/>
        </w:rPr>
        <w:t xml:space="preserve"> </w:t>
      </w:r>
      <w:r w:rsidRPr="005629F8">
        <w:t>neonatal adjustment).</w:t>
      </w:r>
    </w:p>
    <w:p w14:paraId="29D4E4F5" w14:textId="08DD0DC7" w:rsidR="00B7555D" w:rsidRPr="005629F8" w:rsidRDefault="00B7555D" w:rsidP="00B7555D">
      <w:r w:rsidRPr="005629F8">
        <w:t>Admitted</w:t>
      </w:r>
      <w:r w:rsidRPr="005629F8">
        <w:rPr>
          <w:spacing w:val="-3"/>
        </w:rPr>
        <w:t xml:space="preserve"> </w:t>
      </w:r>
      <w:r w:rsidRPr="005629F8">
        <w:t>acute</w:t>
      </w:r>
      <w:r w:rsidRPr="005629F8">
        <w:rPr>
          <w:spacing w:val="-2"/>
        </w:rPr>
        <w:t xml:space="preserve"> </w:t>
      </w:r>
      <w:r w:rsidRPr="005629F8">
        <w:t>care</w:t>
      </w:r>
      <w:r w:rsidRPr="005629F8">
        <w:rPr>
          <w:spacing w:val="-3"/>
        </w:rPr>
        <w:t xml:space="preserve"> </w:t>
      </w:r>
      <w:r w:rsidRPr="005629F8">
        <w:t>type 1.0</w:t>
      </w:r>
      <w:r w:rsidRPr="005629F8">
        <w:rPr>
          <w:spacing w:val="-3"/>
        </w:rPr>
        <w:t xml:space="preserve"> </w:t>
      </w:r>
      <w:r w:rsidRPr="005629F8">
        <w:t xml:space="preserve">is care </w:t>
      </w:r>
      <w:r w:rsidR="00F21175">
        <w:t>where</w:t>
      </w:r>
      <w:r w:rsidRPr="005629F8">
        <w:rPr>
          <w:spacing w:val="-1"/>
        </w:rPr>
        <w:t xml:space="preserve"> </w:t>
      </w:r>
      <w:r w:rsidRPr="005629F8">
        <w:t>the</w:t>
      </w:r>
      <w:r w:rsidRPr="005629F8">
        <w:rPr>
          <w:spacing w:val="-5"/>
        </w:rPr>
        <w:t xml:space="preserve"> </w:t>
      </w:r>
      <w:r w:rsidRPr="005629F8">
        <w:t>clinical</w:t>
      </w:r>
      <w:r w:rsidRPr="005629F8">
        <w:rPr>
          <w:spacing w:val="-2"/>
        </w:rPr>
        <w:t xml:space="preserve"> </w:t>
      </w:r>
      <w:r w:rsidRPr="005629F8">
        <w:t>intent or</w:t>
      </w:r>
      <w:r w:rsidRPr="005629F8">
        <w:rPr>
          <w:spacing w:val="-1"/>
        </w:rPr>
        <w:t xml:space="preserve"> </w:t>
      </w:r>
      <w:r w:rsidRPr="005629F8">
        <w:t>treatment</w:t>
      </w:r>
      <w:r w:rsidRPr="005629F8">
        <w:rPr>
          <w:spacing w:val="-2"/>
        </w:rPr>
        <w:t xml:space="preserve"> </w:t>
      </w:r>
      <w:r w:rsidRPr="005629F8">
        <w:t>goal</w:t>
      </w:r>
      <w:r w:rsidRPr="005629F8">
        <w:rPr>
          <w:spacing w:val="-1"/>
        </w:rPr>
        <w:t xml:space="preserve"> </w:t>
      </w:r>
      <w:r w:rsidRPr="005629F8">
        <w:t>is</w:t>
      </w:r>
      <w:r w:rsidRPr="005629F8">
        <w:rPr>
          <w:spacing w:val="-2"/>
        </w:rPr>
        <w:t xml:space="preserve"> </w:t>
      </w:r>
      <w:r w:rsidRPr="005629F8">
        <w:t>to:</w:t>
      </w:r>
    </w:p>
    <w:p w14:paraId="6760593A" w14:textId="77777777" w:rsidR="00B7555D" w:rsidRPr="005629F8" w:rsidRDefault="00B7555D" w:rsidP="003A538E">
      <w:pPr>
        <w:pStyle w:val="ListLevel1"/>
      </w:pPr>
      <w:r w:rsidRPr="005629F8">
        <w:t>manage labour (obstetric)</w:t>
      </w:r>
    </w:p>
    <w:p w14:paraId="764BF82F" w14:textId="77777777" w:rsidR="00B7555D" w:rsidRPr="005629F8" w:rsidRDefault="00B7555D" w:rsidP="003A538E">
      <w:pPr>
        <w:pStyle w:val="ListLevel1"/>
      </w:pPr>
      <w:r w:rsidRPr="005629F8">
        <w:t xml:space="preserve">cure illness or provide definitive treatment of </w:t>
      </w:r>
      <w:proofErr w:type="gramStart"/>
      <w:r w:rsidRPr="005629F8">
        <w:t>injury</w:t>
      </w:r>
      <w:proofErr w:type="gramEnd"/>
    </w:p>
    <w:p w14:paraId="5B7D156A" w14:textId="77777777" w:rsidR="00B7555D" w:rsidRPr="005629F8" w:rsidRDefault="00B7555D" w:rsidP="003A538E">
      <w:pPr>
        <w:pStyle w:val="ListLevel1"/>
      </w:pPr>
      <w:r w:rsidRPr="005629F8">
        <w:t xml:space="preserve">perform </w:t>
      </w:r>
      <w:proofErr w:type="gramStart"/>
      <w:r w:rsidRPr="005629F8">
        <w:t>surgery</w:t>
      </w:r>
      <w:proofErr w:type="gramEnd"/>
    </w:p>
    <w:p w14:paraId="68AB648A" w14:textId="77777777" w:rsidR="00B7555D" w:rsidRPr="005629F8" w:rsidRDefault="00B7555D" w:rsidP="003A538E">
      <w:pPr>
        <w:pStyle w:val="ListLevel1"/>
      </w:pPr>
      <w:r w:rsidRPr="005629F8">
        <w:lastRenderedPageBreak/>
        <w:t>relieve symptoms of illness or injury (excluding palliative care)</w:t>
      </w:r>
    </w:p>
    <w:p w14:paraId="123CE497" w14:textId="77777777" w:rsidR="00B7555D" w:rsidRPr="005629F8" w:rsidRDefault="00B7555D" w:rsidP="003A538E">
      <w:pPr>
        <w:pStyle w:val="ListLevel1"/>
      </w:pPr>
      <w:r w:rsidRPr="005629F8">
        <w:t>reduce severity of an illness or injury</w:t>
      </w:r>
    </w:p>
    <w:p w14:paraId="451A4242" w14:textId="77777777" w:rsidR="00B7555D" w:rsidRPr="005629F8" w:rsidRDefault="00B7555D" w:rsidP="003A538E">
      <w:pPr>
        <w:pStyle w:val="ListLevel1"/>
      </w:pPr>
      <w:r w:rsidRPr="005629F8">
        <w:t xml:space="preserve">protect against exacerbation and/or complication of an illness and/or injury which could threaten life or normal </w:t>
      </w:r>
      <w:proofErr w:type="gramStart"/>
      <w:r w:rsidRPr="005629F8">
        <w:t>function</w:t>
      </w:r>
      <w:proofErr w:type="gramEnd"/>
    </w:p>
    <w:p w14:paraId="1B6CA9CE" w14:textId="5E989996" w:rsidR="00B7555D" w:rsidRPr="005629F8" w:rsidRDefault="00B7555D" w:rsidP="003A538E">
      <w:pPr>
        <w:pStyle w:val="ListLevel1"/>
      </w:pPr>
      <w:r w:rsidRPr="005629F8">
        <w:t>perform diagnostic or therapeutic procedures</w:t>
      </w:r>
      <w:r w:rsidR="00023F91">
        <w:rPr>
          <w:rStyle w:val="FootnoteReference"/>
        </w:rPr>
        <w:footnoteReference w:id="7"/>
      </w:r>
      <w:r w:rsidRPr="005629F8">
        <w:t>.</w:t>
      </w:r>
    </w:p>
    <w:p w14:paraId="28CD22FB" w14:textId="471BC892" w:rsidR="00B7555D" w:rsidRPr="005629F8" w:rsidRDefault="00B7555D" w:rsidP="00B7555D">
      <w:r w:rsidRPr="005629F8">
        <w:t xml:space="preserve">Newborn care type 7.0 is initiated when the patient is born in hospital or is nine days old or </w:t>
      </w:r>
      <w:proofErr w:type="gramStart"/>
      <w:r w:rsidRPr="005629F8">
        <w:t>less</w:t>
      </w:r>
      <w:r w:rsidR="006D18E4">
        <w:t xml:space="preserve"> </w:t>
      </w:r>
      <w:r w:rsidRPr="005629F8">
        <w:rPr>
          <w:spacing w:val="-59"/>
        </w:rPr>
        <w:t xml:space="preserve"> </w:t>
      </w:r>
      <w:r w:rsidRPr="005629F8">
        <w:t>at</w:t>
      </w:r>
      <w:proofErr w:type="gramEnd"/>
      <w:r w:rsidRPr="005629F8">
        <w:t xml:space="preserve"> the time of admission. Newborn care continues until the care type changes or the patient is</w:t>
      </w:r>
      <w:r w:rsidRPr="005629F8">
        <w:rPr>
          <w:spacing w:val="1"/>
        </w:rPr>
        <w:t xml:space="preserve"> </w:t>
      </w:r>
      <w:r w:rsidRPr="005629F8">
        <w:t>separated:</w:t>
      </w:r>
    </w:p>
    <w:p w14:paraId="60C3D092" w14:textId="6794566A" w:rsidR="00B7555D" w:rsidRPr="005629F8" w:rsidRDefault="0023226B" w:rsidP="003A538E">
      <w:pPr>
        <w:pStyle w:val="ListLevel1"/>
      </w:pPr>
      <w:r>
        <w:t>P</w:t>
      </w:r>
      <w:r w:rsidR="00B7555D" w:rsidRPr="005629F8">
        <w:t>atients who turn 10 days of age and do not require clinical care are separated and, if</w:t>
      </w:r>
      <w:r w:rsidR="00A869FB" w:rsidRPr="005629F8">
        <w:t xml:space="preserve"> they</w:t>
      </w:r>
      <w:r w:rsidR="00B7555D" w:rsidRPr="005629F8">
        <w:t xml:space="preserve"> remain in the hospital, are designated as boarders</w:t>
      </w:r>
      <w:r>
        <w:t>.</w:t>
      </w:r>
    </w:p>
    <w:p w14:paraId="532565A0" w14:textId="2971D1B3" w:rsidR="00B7555D" w:rsidRPr="005629F8" w:rsidRDefault="0023226B" w:rsidP="003A538E">
      <w:pPr>
        <w:pStyle w:val="ListLevel1"/>
      </w:pPr>
      <w:r>
        <w:t>P</w:t>
      </w:r>
      <w:r w:rsidR="00B7555D" w:rsidRPr="005629F8">
        <w:t>atients who turn 10 days of age and require clinical care continue in a newborn episode</w:t>
      </w:r>
      <w:r w:rsidR="00D061C4" w:rsidRPr="005629F8">
        <w:t xml:space="preserve"> of care </w:t>
      </w:r>
      <w:r w:rsidR="00B7555D" w:rsidRPr="005629F8">
        <w:t>until separated</w:t>
      </w:r>
      <w:r>
        <w:t>.</w:t>
      </w:r>
    </w:p>
    <w:p w14:paraId="5CB89D3D" w14:textId="207AA110" w:rsidR="00B7555D" w:rsidRPr="005629F8" w:rsidRDefault="0023226B" w:rsidP="003A538E">
      <w:pPr>
        <w:pStyle w:val="ListLevel1"/>
      </w:pPr>
      <w:r>
        <w:t>P</w:t>
      </w:r>
      <w:r w:rsidR="00B7555D" w:rsidRPr="005629F8">
        <w:t>atients aged less than 10 days and not admitted at birth (</w:t>
      </w:r>
      <w:r w:rsidR="00AA2758">
        <w:t>for example</w:t>
      </w:r>
      <w:r w:rsidR="00B7555D" w:rsidRPr="005629F8">
        <w:t>, transferred from another hospital) are admitted with newborn care type</w:t>
      </w:r>
      <w:r>
        <w:t>.</w:t>
      </w:r>
    </w:p>
    <w:p w14:paraId="31751F80" w14:textId="1B81A55A" w:rsidR="00B7555D" w:rsidRPr="005629F8" w:rsidRDefault="0023226B" w:rsidP="003A538E">
      <w:pPr>
        <w:pStyle w:val="ListLevel1"/>
      </w:pPr>
      <w:r>
        <w:t>P</w:t>
      </w:r>
      <w:r w:rsidR="00B7555D" w:rsidRPr="005629F8">
        <w:t>atients aged greater than 9 days not previously admitted (</w:t>
      </w:r>
      <w:r w:rsidR="00AA2758">
        <w:t>for example,</w:t>
      </w:r>
      <w:r w:rsidR="00B7555D" w:rsidRPr="005629F8">
        <w:t xml:space="preserve"> transferred from another hospital) are either boarders or admitted with an acute care type</w:t>
      </w:r>
      <w:r>
        <w:t>.</w:t>
      </w:r>
    </w:p>
    <w:p w14:paraId="75465261" w14:textId="7E07EF02" w:rsidR="00B7555D" w:rsidRPr="005629F8" w:rsidRDefault="0023226B" w:rsidP="003A538E">
      <w:pPr>
        <w:pStyle w:val="ListLevel1"/>
      </w:pPr>
      <w:r>
        <w:t>W</w:t>
      </w:r>
      <w:r w:rsidR="00B7555D" w:rsidRPr="005629F8">
        <w:t>ithin a newborn episode of care, until the baby turns 10 days of age, each day is either a qualified or unqualified day</w:t>
      </w:r>
      <w:r>
        <w:t>.</w:t>
      </w:r>
    </w:p>
    <w:p w14:paraId="25D34E1F" w14:textId="0ADDA97C" w:rsidR="00B7555D" w:rsidRPr="005629F8" w:rsidRDefault="0023226B" w:rsidP="003A538E">
      <w:pPr>
        <w:pStyle w:val="ListLevel1"/>
      </w:pPr>
      <w:r>
        <w:t>A</w:t>
      </w:r>
      <w:r w:rsidR="00B7555D" w:rsidRPr="005629F8">
        <w:t xml:space="preserve"> newborn is qualified when it meets at least one of the criteria detailed in </w:t>
      </w:r>
      <w:r w:rsidR="00D63660">
        <w:t>n</w:t>
      </w:r>
      <w:r w:rsidR="00B7555D" w:rsidRPr="005629F8">
        <w:t>ewborn qualification status.</w:t>
      </w:r>
    </w:p>
    <w:p w14:paraId="3668D0E8" w14:textId="6CB78278" w:rsidR="00B7555D" w:rsidRPr="005629F8" w:rsidRDefault="00B7555D" w:rsidP="00B7555D">
      <w:r w:rsidRPr="005629F8">
        <w:t>Within a newborn episode of care, each day after the baby turns 10 days of age is counted as a</w:t>
      </w:r>
      <w:r w:rsidRPr="005629F8">
        <w:rPr>
          <w:spacing w:val="-59"/>
        </w:rPr>
        <w:t xml:space="preserve"> </w:t>
      </w:r>
      <w:r w:rsidRPr="005629F8">
        <w:t xml:space="preserve">qualified patient day. Newborn qualified days are equivalent to acute days and may be </w:t>
      </w:r>
      <w:proofErr w:type="gramStart"/>
      <w:r w:rsidR="00EE6138">
        <w:t xml:space="preserve">denoted </w:t>
      </w:r>
      <w:r w:rsidR="00EE6138" w:rsidRPr="005629F8">
        <w:rPr>
          <w:spacing w:val="-59"/>
        </w:rPr>
        <w:t xml:space="preserve"> </w:t>
      </w:r>
      <w:r w:rsidRPr="005629F8">
        <w:t>as</w:t>
      </w:r>
      <w:proofErr w:type="gramEnd"/>
      <w:r w:rsidRPr="005629F8">
        <w:rPr>
          <w:spacing w:val="-1"/>
        </w:rPr>
        <w:t xml:space="preserve"> </w:t>
      </w:r>
      <w:r w:rsidRPr="005629F8">
        <w:t>such.</w:t>
      </w:r>
      <w:r w:rsidR="00D55E31" w:rsidRPr="005629F8">
        <w:rPr>
          <w:rStyle w:val="FootnoteReference"/>
        </w:rPr>
        <w:footnoteReference w:id="8"/>
      </w:r>
    </w:p>
    <w:p w14:paraId="6E231F5B" w14:textId="2366498F" w:rsidR="00B7555D" w:rsidRPr="005629F8" w:rsidRDefault="00B7555D" w:rsidP="00B7555D">
      <w:r w:rsidRPr="005629F8">
        <w:t>Mental health care type 11.0</w:t>
      </w:r>
      <w:r w:rsidR="00D61BE1" w:rsidRPr="005629F8">
        <w:rPr>
          <w:rStyle w:val="FootnoteReference"/>
        </w:rPr>
        <w:footnoteReference w:id="9"/>
      </w:r>
      <w:r w:rsidRPr="005629F8">
        <w:t xml:space="preserve"> is care </w:t>
      </w:r>
      <w:r w:rsidR="00F21175">
        <w:t>where</w:t>
      </w:r>
      <w:r w:rsidRPr="005629F8">
        <w:t xml:space="preserve"> the primary clinical purpose or treatment goal is</w:t>
      </w:r>
      <w:r w:rsidRPr="005629F8">
        <w:rPr>
          <w:spacing w:val="-60"/>
        </w:rPr>
        <w:t xml:space="preserve"> </w:t>
      </w:r>
      <w:r w:rsidRPr="005629F8">
        <w:t xml:space="preserve">improvement in the symptoms and/or psychosocial, </w:t>
      </w:r>
      <w:r w:rsidR="00C17880" w:rsidRPr="005629F8">
        <w:t>environmental,</w:t>
      </w:r>
      <w:r w:rsidRPr="005629F8">
        <w:t xml:space="preserve"> and physical functioning</w:t>
      </w:r>
      <w:r w:rsidRPr="005629F8">
        <w:rPr>
          <w:spacing w:val="1"/>
        </w:rPr>
        <w:t xml:space="preserve"> </w:t>
      </w:r>
      <w:r w:rsidRPr="005629F8">
        <w:t>related</w:t>
      </w:r>
      <w:r w:rsidRPr="005629F8">
        <w:rPr>
          <w:spacing w:val="-3"/>
        </w:rPr>
        <w:t xml:space="preserve"> </w:t>
      </w:r>
      <w:r w:rsidRPr="005629F8">
        <w:t>to a</w:t>
      </w:r>
      <w:r w:rsidRPr="005629F8">
        <w:rPr>
          <w:spacing w:val="-3"/>
        </w:rPr>
        <w:t xml:space="preserve"> </w:t>
      </w:r>
      <w:r w:rsidRPr="005629F8">
        <w:t>patient’s</w:t>
      </w:r>
      <w:r w:rsidRPr="005629F8">
        <w:rPr>
          <w:spacing w:val="-2"/>
        </w:rPr>
        <w:t xml:space="preserve"> </w:t>
      </w:r>
      <w:r w:rsidRPr="005629F8">
        <w:t>mental disorder.</w:t>
      </w:r>
      <w:r w:rsidRPr="005629F8">
        <w:rPr>
          <w:spacing w:val="-2"/>
        </w:rPr>
        <w:t xml:space="preserve"> </w:t>
      </w:r>
      <w:r w:rsidRPr="005629F8">
        <w:t>Mental</w:t>
      </w:r>
      <w:r w:rsidRPr="005629F8">
        <w:rPr>
          <w:spacing w:val="-1"/>
        </w:rPr>
        <w:t xml:space="preserve"> </w:t>
      </w:r>
      <w:r w:rsidRPr="005629F8">
        <w:t>health</w:t>
      </w:r>
      <w:r w:rsidRPr="005629F8">
        <w:rPr>
          <w:spacing w:val="-1"/>
        </w:rPr>
        <w:t xml:space="preserve"> </w:t>
      </w:r>
      <w:r w:rsidRPr="005629F8">
        <w:t>care:</w:t>
      </w:r>
    </w:p>
    <w:p w14:paraId="5476E669" w14:textId="77777777" w:rsidR="00B7555D" w:rsidRPr="005629F8" w:rsidRDefault="00B7555D" w:rsidP="003A538E">
      <w:pPr>
        <w:pStyle w:val="ListLevel1"/>
      </w:pPr>
      <w:r w:rsidRPr="005629F8">
        <w:t xml:space="preserve">is delivered under the management of, or regularly informed by, a clinician with specialised expertise in mental </w:t>
      </w:r>
      <w:proofErr w:type="gramStart"/>
      <w:r w:rsidRPr="005629F8">
        <w:t>health</w:t>
      </w:r>
      <w:proofErr w:type="gramEnd"/>
    </w:p>
    <w:p w14:paraId="707229D3" w14:textId="77777777" w:rsidR="00B7555D" w:rsidRPr="005629F8" w:rsidRDefault="00B7555D" w:rsidP="003A538E">
      <w:pPr>
        <w:pStyle w:val="ListLevel1"/>
      </w:pPr>
      <w:r w:rsidRPr="005629F8">
        <w:t xml:space="preserve">is evidenced by an individualised formal mental health assessment and the implementation of a documented mental health </w:t>
      </w:r>
      <w:proofErr w:type="gramStart"/>
      <w:r w:rsidRPr="005629F8">
        <w:t>plan</w:t>
      </w:r>
      <w:proofErr w:type="gramEnd"/>
    </w:p>
    <w:p w14:paraId="66BB8221" w14:textId="77777777" w:rsidR="00B7555D" w:rsidRPr="005629F8" w:rsidRDefault="00B7555D" w:rsidP="003A538E">
      <w:pPr>
        <w:pStyle w:val="ListLevel1"/>
      </w:pPr>
      <w:r w:rsidRPr="005629F8">
        <w:t>may include significant psychosocial components, including family and carer support.</w:t>
      </w:r>
    </w:p>
    <w:p w14:paraId="427C1D35" w14:textId="1B7425DE" w:rsidR="00B7555D" w:rsidRPr="005629F8" w:rsidRDefault="00B7555D" w:rsidP="00B7555D">
      <w:r w:rsidRPr="005629F8">
        <w:t>Other admitted patient care (care type 88</w:t>
      </w:r>
      <w:r w:rsidR="00D61BE1" w:rsidRPr="005629F8">
        <w:rPr>
          <w:rStyle w:val="FootnoteReference"/>
        </w:rPr>
        <w:footnoteReference w:id="10"/>
      </w:r>
      <w:r w:rsidRPr="005629F8">
        <w:t xml:space="preserve">) is care that does not meet the definitions for </w:t>
      </w:r>
      <w:r w:rsidR="00EE6138">
        <w:t xml:space="preserve">other </w:t>
      </w:r>
      <w:r w:rsidRPr="005629F8">
        <w:t>care</w:t>
      </w:r>
      <w:r w:rsidRPr="005629F8">
        <w:rPr>
          <w:spacing w:val="-3"/>
        </w:rPr>
        <w:t xml:space="preserve"> </w:t>
      </w:r>
      <w:r w:rsidRPr="005629F8">
        <w:t>types</w:t>
      </w:r>
      <w:r w:rsidRPr="005629F8">
        <w:rPr>
          <w:spacing w:val="1"/>
        </w:rPr>
        <w:t xml:space="preserve"> </w:t>
      </w:r>
      <w:r w:rsidRPr="005629F8">
        <w:t>but</w:t>
      </w:r>
      <w:r w:rsidRPr="005629F8">
        <w:rPr>
          <w:spacing w:val="-1"/>
        </w:rPr>
        <w:t xml:space="preserve"> </w:t>
      </w:r>
      <w:r w:rsidR="00EE6138">
        <w:rPr>
          <w:spacing w:val="-1"/>
        </w:rPr>
        <w:t xml:space="preserve">is </w:t>
      </w:r>
      <w:r w:rsidRPr="005629F8">
        <w:t>deemed</w:t>
      </w:r>
      <w:r w:rsidRPr="005629F8">
        <w:rPr>
          <w:spacing w:val="-2"/>
        </w:rPr>
        <w:t xml:space="preserve"> </w:t>
      </w:r>
      <w:r w:rsidRPr="005629F8">
        <w:t>in</w:t>
      </w:r>
      <w:r w:rsidR="000C115F" w:rsidRPr="005629F8">
        <w:t>-</w:t>
      </w:r>
      <w:r w:rsidRPr="005629F8">
        <w:t>scope</w:t>
      </w:r>
      <w:r w:rsidRPr="005629F8">
        <w:rPr>
          <w:spacing w:val="-2"/>
        </w:rPr>
        <w:t xml:space="preserve"> </w:t>
      </w:r>
      <w:r w:rsidRPr="005629F8">
        <w:t>for</w:t>
      </w:r>
      <w:r w:rsidRPr="005629F8">
        <w:rPr>
          <w:spacing w:val="-4"/>
        </w:rPr>
        <w:t xml:space="preserve"> </w:t>
      </w:r>
      <w:r w:rsidRPr="005629F8">
        <w:t>this</w:t>
      </w:r>
      <w:r w:rsidRPr="005629F8">
        <w:rPr>
          <w:spacing w:val="1"/>
        </w:rPr>
        <w:t xml:space="preserve"> </w:t>
      </w:r>
      <w:r w:rsidRPr="005629F8">
        <w:t>report.</w:t>
      </w:r>
    </w:p>
    <w:p w14:paraId="5855418C" w14:textId="20CE67C2" w:rsidR="00982B6B" w:rsidRPr="00E829BF" w:rsidRDefault="00982B6B" w:rsidP="00E829BF">
      <w:pPr>
        <w:pStyle w:val="Heading3"/>
      </w:pPr>
      <w:bookmarkStart w:id="57" w:name="_Toc129700444"/>
      <w:bookmarkStart w:id="58" w:name="_Toc129700670"/>
      <w:bookmarkStart w:id="59" w:name="_Toc129701363"/>
      <w:r w:rsidRPr="00E829BF">
        <w:t>Reporting</w:t>
      </w:r>
      <w:r w:rsidRPr="00E87B16">
        <w:t xml:space="preserve"> </w:t>
      </w:r>
      <w:r w:rsidRPr="00E829BF">
        <w:t>requirements</w:t>
      </w:r>
      <w:bookmarkEnd w:id="57"/>
      <w:bookmarkEnd w:id="58"/>
      <w:bookmarkEnd w:id="59"/>
    </w:p>
    <w:p w14:paraId="59C06B07" w14:textId="4481444D" w:rsidR="00982B6B" w:rsidRPr="005629F8" w:rsidRDefault="00982B6B" w:rsidP="00982B6B">
      <w:r w:rsidRPr="005629F8">
        <w:t>The Australian Hospital Patient Costing Standards Version 4.</w:t>
      </w:r>
      <w:r w:rsidR="000C115F" w:rsidRPr="005629F8">
        <w:t>1</w:t>
      </w:r>
      <w:r w:rsidR="00D61BE1" w:rsidRPr="009E6836">
        <w:rPr>
          <w:rStyle w:val="FootnoteReference"/>
        </w:rPr>
        <w:footnoteReference w:id="11"/>
      </w:r>
      <w:r w:rsidRPr="005629F8">
        <w:t xml:space="preserve"> (AHPCS) guide the hospitals</w:t>
      </w:r>
      <w:r w:rsidRPr="005629F8">
        <w:rPr>
          <w:spacing w:val="1"/>
        </w:rPr>
        <w:t xml:space="preserve"> </w:t>
      </w:r>
      <w:r w:rsidRPr="005629F8">
        <w:t>with costing processes for their NHCDC submissions to ensure a consistent treatment of costs</w:t>
      </w:r>
      <w:r w:rsidRPr="005629F8">
        <w:rPr>
          <w:spacing w:val="-59"/>
        </w:rPr>
        <w:t xml:space="preserve"> </w:t>
      </w:r>
      <w:r w:rsidR="007C6198" w:rsidRPr="005629F8">
        <w:rPr>
          <w:spacing w:val="-59"/>
        </w:rPr>
        <w:t xml:space="preserve"> </w:t>
      </w:r>
      <w:r w:rsidR="007C6198" w:rsidRPr="005629F8">
        <w:t xml:space="preserve"> between</w:t>
      </w:r>
      <w:r w:rsidRPr="005629F8">
        <w:t xml:space="preserve"> </w:t>
      </w:r>
      <w:r w:rsidRPr="005629F8">
        <w:lastRenderedPageBreak/>
        <w:t>hospitals nationally. Version 4.</w:t>
      </w:r>
      <w:r w:rsidR="000C115F" w:rsidRPr="005629F8">
        <w:t xml:space="preserve">1 </w:t>
      </w:r>
      <w:r w:rsidRPr="005629F8">
        <w:t xml:space="preserve">of the AHPCS was released in </w:t>
      </w:r>
      <w:r w:rsidR="00EE6138" w:rsidRPr="35ADAD77">
        <w:t>August 2021</w:t>
      </w:r>
      <w:r w:rsidRPr="005629F8">
        <w:t xml:space="preserve"> and</w:t>
      </w:r>
      <w:r w:rsidRPr="005629F8">
        <w:rPr>
          <w:spacing w:val="1"/>
        </w:rPr>
        <w:t xml:space="preserve"> </w:t>
      </w:r>
      <w:r w:rsidRPr="005629F8">
        <w:t>applied</w:t>
      </w:r>
      <w:r w:rsidRPr="005629F8">
        <w:rPr>
          <w:spacing w:val="-1"/>
        </w:rPr>
        <w:t xml:space="preserve"> </w:t>
      </w:r>
      <w:r w:rsidRPr="005629F8">
        <w:t>for</w:t>
      </w:r>
      <w:r w:rsidRPr="005629F8">
        <w:rPr>
          <w:spacing w:val="-1"/>
        </w:rPr>
        <w:t xml:space="preserve"> </w:t>
      </w:r>
      <w:r w:rsidRPr="005629F8">
        <w:t>the</w:t>
      </w:r>
      <w:r w:rsidRPr="005629F8">
        <w:rPr>
          <w:spacing w:val="-5"/>
        </w:rPr>
        <w:t xml:space="preserve"> </w:t>
      </w:r>
      <w:r w:rsidR="0070226C">
        <w:t>third</w:t>
      </w:r>
      <w:r w:rsidRPr="005629F8">
        <w:rPr>
          <w:spacing w:val="-1"/>
        </w:rPr>
        <w:t xml:space="preserve"> </w:t>
      </w:r>
      <w:r w:rsidRPr="005629F8">
        <w:t>time</w:t>
      </w:r>
      <w:r w:rsidRPr="005629F8">
        <w:rPr>
          <w:spacing w:val="-2"/>
        </w:rPr>
        <w:t xml:space="preserve"> </w:t>
      </w:r>
      <w:r w:rsidRPr="005629F8">
        <w:t xml:space="preserve">in </w:t>
      </w:r>
      <w:r w:rsidR="002B4425" w:rsidRPr="005629F8">
        <w:t xml:space="preserve">the </w:t>
      </w:r>
      <w:r w:rsidR="00EE6138" w:rsidRPr="35ADAD77">
        <w:t>202</w:t>
      </w:r>
      <w:r w:rsidR="00B63933">
        <w:t>1</w:t>
      </w:r>
      <w:r w:rsidR="002358F4">
        <w:t>-</w:t>
      </w:r>
      <w:r w:rsidR="00EE6138" w:rsidRPr="35ADAD77">
        <w:t>2</w:t>
      </w:r>
      <w:r w:rsidR="00B63933">
        <w:t>2</w:t>
      </w:r>
      <w:r w:rsidR="00EE6138" w:rsidRPr="35ADAD77">
        <w:t xml:space="preserve"> </w:t>
      </w:r>
      <w:r w:rsidRPr="005629F8">
        <w:t>NHCDC.</w:t>
      </w:r>
      <w:r w:rsidR="0006305C">
        <w:t xml:space="preserve"> The Australian </w:t>
      </w:r>
      <w:r w:rsidR="0062421B">
        <w:t xml:space="preserve">Hospital </w:t>
      </w:r>
      <w:r w:rsidR="0006305C">
        <w:t>Patient Costing Standards Version 4.2</w:t>
      </w:r>
      <w:r w:rsidR="0006305C">
        <w:rPr>
          <w:rStyle w:val="FootnoteReference"/>
        </w:rPr>
        <w:footnoteReference w:id="12"/>
      </w:r>
      <w:r w:rsidR="00B425B5">
        <w:t xml:space="preserve"> was published and released in September 2023 </w:t>
      </w:r>
      <w:r w:rsidR="00F21175">
        <w:t>and will be applied</w:t>
      </w:r>
      <w:r w:rsidR="00B425B5">
        <w:t xml:space="preserve"> to future NHCDC analys</w:t>
      </w:r>
      <w:r w:rsidR="001307D6">
        <w:t>i</w:t>
      </w:r>
      <w:r w:rsidR="00B425B5">
        <w:t xml:space="preserve">s. </w:t>
      </w:r>
    </w:p>
    <w:p w14:paraId="45D6DD36" w14:textId="5E09B2D1" w:rsidR="00982B6B" w:rsidRPr="005629F8" w:rsidRDefault="00982B6B" w:rsidP="00982B6B">
      <w:r w:rsidRPr="005629F8">
        <w:t>The AHPCS prescribe</w:t>
      </w:r>
      <w:r w:rsidR="00F73634" w:rsidRPr="005629F8">
        <w:t>s</w:t>
      </w:r>
      <w:r w:rsidRPr="005629F8">
        <w:t xml:space="preserve"> the set of line items and cost centres used for mapping hospital costs in</w:t>
      </w:r>
      <w:r w:rsidRPr="005629F8">
        <w:rPr>
          <w:spacing w:val="1"/>
        </w:rPr>
        <w:t xml:space="preserve"> </w:t>
      </w:r>
      <w:r w:rsidRPr="005629F8">
        <w:t>the costing process. These costs are then allocated to, and reported under, the NHCDC-</w:t>
      </w:r>
      <w:r w:rsidR="00C7224F" w:rsidRPr="005629F8">
        <w:t>defined ‘cost</w:t>
      </w:r>
      <w:r w:rsidRPr="005629F8">
        <w:t xml:space="preserve"> buckets’ (see </w:t>
      </w:r>
      <w:r w:rsidRPr="005629F8">
        <w:fldChar w:fldCharType="begin"/>
      </w:r>
      <w:r w:rsidRPr="005629F8">
        <w:instrText xml:space="preserve"> REF _Ref103176152 \h  \* MERGEFORMAT </w:instrText>
      </w:r>
      <w:r w:rsidRPr="005629F8">
        <w:fldChar w:fldCharType="separate"/>
      </w:r>
      <w:r w:rsidR="006B145F" w:rsidRPr="006B145F">
        <w:t>Appendix</w:t>
      </w:r>
      <w:r w:rsidR="006B145F" w:rsidRPr="006B145F">
        <w:rPr>
          <w:spacing w:val="-1"/>
        </w:rPr>
        <w:t xml:space="preserve"> </w:t>
      </w:r>
      <w:r w:rsidR="006B145F" w:rsidRPr="006B145F">
        <w:t xml:space="preserve">H: </w:t>
      </w:r>
      <w:r w:rsidR="006B145F" w:rsidRPr="006B145F">
        <w:rPr>
          <w:color w:val="212121"/>
        </w:rPr>
        <w:t>Cost bucket matrix</w:t>
      </w:r>
      <w:r w:rsidRPr="005629F8">
        <w:fldChar w:fldCharType="end"/>
      </w:r>
      <w:r w:rsidRPr="005629F8">
        <w:t>). Cost buckets represent different</w:t>
      </w:r>
      <w:r w:rsidRPr="005629F8">
        <w:rPr>
          <w:spacing w:val="1"/>
        </w:rPr>
        <w:t xml:space="preserve"> </w:t>
      </w:r>
      <w:r w:rsidRPr="005629F8">
        <w:t>combinations of the NHCDC line items and cost centres and can be considered as cost pools</w:t>
      </w:r>
      <w:r w:rsidRPr="005629F8">
        <w:rPr>
          <w:spacing w:val="1"/>
        </w:rPr>
        <w:t xml:space="preserve"> </w:t>
      </w:r>
      <w:r w:rsidRPr="005629F8">
        <w:t>within</w:t>
      </w:r>
      <w:r w:rsidRPr="005629F8">
        <w:rPr>
          <w:spacing w:val="-1"/>
        </w:rPr>
        <w:t xml:space="preserve"> </w:t>
      </w:r>
      <w:r w:rsidRPr="005629F8">
        <w:t>the hospital.</w:t>
      </w:r>
    </w:p>
    <w:p w14:paraId="56E985DA" w14:textId="3FF1F6FE" w:rsidR="008669D3" w:rsidRPr="005629F8" w:rsidRDefault="008669D3" w:rsidP="00E829BF">
      <w:pPr>
        <w:pStyle w:val="Heading3"/>
      </w:pPr>
      <w:bookmarkStart w:id="60" w:name="_Toc129700445"/>
      <w:bookmarkStart w:id="61" w:name="_Toc129700671"/>
      <w:bookmarkStart w:id="62" w:name="_Toc129701364"/>
      <w:r w:rsidRPr="005629F8">
        <w:t>Work in</w:t>
      </w:r>
      <w:r w:rsidRPr="005629F8">
        <w:rPr>
          <w:spacing w:val="-4"/>
        </w:rPr>
        <w:t xml:space="preserve"> </w:t>
      </w:r>
      <w:r w:rsidRPr="005629F8">
        <w:t>progress</w:t>
      </w:r>
      <w:r w:rsidRPr="005629F8">
        <w:rPr>
          <w:spacing w:val="-1"/>
        </w:rPr>
        <w:t xml:space="preserve"> </w:t>
      </w:r>
      <w:r w:rsidRPr="005629F8">
        <w:t>patients</w:t>
      </w:r>
      <w:bookmarkEnd w:id="60"/>
      <w:bookmarkEnd w:id="61"/>
      <w:bookmarkEnd w:id="62"/>
    </w:p>
    <w:p w14:paraId="57C0CEFE" w14:textId="641D0F11" w:rsidR="008669D3" w:rsidRPr="005629F8" w:rsidRDefault="008669D3" w:rsidP="008669D3">
      <w:r w:rsidRPr="005629F8">
        <w:t xml:space="preserve">A work in progress (WIP) episode is a patient who was discharged within the reporting period for </w:t>
      </w:r>
      <w:r w:rsidR="007164B7" w:rsidRPr="005629F8">
        <w:t>20</w:t>
      </w:r>
      <w:r w:rsidR="002B4425" w:rsidRPr="005629F8">
        <w:t>2</w:t>
      </w:r>
      <w:r w:rsidR="00B63933">
        <w:t>1</w:t>
      </w:r>
      <w:r w:rsidR="00C82F8C">
        <w:noBreakHyphen/>
      </w:r>
      <w:r w:rsidR="007164B7" w:rsidRPr="005629F8">
        <w:t>2</w:t>
      </w:r>
      <w:r w:rsidR="00B63933">
        <w:t>2</w:t>
      </w:r>
      <w:r w:rsidRPr="005629F8">
        <w:t>, but who was admitted prior to the reporting period. Patients who have not been discharged in 20</w:t>
      </w:r>
      <w:r w:rsidR="007164B7" w:rsidRPr="005629F8">
        <w:t>2</w:t>
      </w:r>
      <w:r w:rsidR="00B63933">
        <w:t>1</w:t>
      </w:r>
      <w:r w:rsidRPr="005629F8">
        <w:t>-2</w:t>
      </w:r>
      <w:r w:rsidR="00B63933">
        <w:t>2</w:t>
      </w:r>
      <w:r w:rsidRPr="005629F8">
        <w:t xml:space="preserve"> are out of scope.</w:t>
      </w:r>
    </w:p>
    <w:p w14:paraId="1AD1CC1B" w14:textId="34B56F22" w:rsidR="008669D3" w:rsidRPr="005629F8" w:rsidRDefault="008669D3" w:rsidP="008669D3">
      <w:r w:rsidRPr="005629F8">
        <w:t xml:space="preserve">In </w:t>
      </w:r>
      <w:r w:rsidR="002B4425" w:rsidRPr="005629F8">
        <w:t>20</w:t>
      </w:r>
      <w:r w:rsidR="007164B7" w:rsidRPr="005629F8">
        <w:t>2</w:t>
      </w:r>
      <w:r w:rsidR="00B63933">
        <w:t>1</w:t>
      </w:r>
      <w:r w:rsidR="007164B7" w:rsidRPr="005629F8">
        <w:t>-2</w:t>
      </w:r>
      <w:r w:rsidR="00B63933">
        <w:t>2</w:t>
      </w:r>
      <w:r w:rsidRPr="005629F8">
        <w:t>, all WIP patients were admitted in 20</w:t>
      </w:r>
      <w:r w:rsidR="00B63933">
        <w:t>20</w:t>
      </w:r>
      <w:r w:rsidRPr="005629F8">
        <w:t>-</w:t>
      </w:r>
      <w:r w:rsidR="00D41A2F" w:rsidRPr="005629F8">
        <w:t>2</w:t>
      </w:r>
      <w:r w:rsidR="00B63933">
        <w:t>1</w:t>
      </w:r>
      <w:r w:rsidRPr="005629F8">
        <w:t xml:space="preserve"> and discharged in </w:t>
      </w:r>
      <w:r w:rsidR="00D41A2F" w:rsidRPr="005629F8">
        <w:t>202</w:t>
      </w:r>
      <w:r w:rsidR="00B63933">
        <w:t>1</w:t>
      </w:r>
      <w:r w:rsidR="00C82F8C">
        <w:noBreakHyphen/>
      </w:r>
      <w:r w:rsidRPr="005629F8">
        <w:t>2</w:t>
      </w:r>
      <w:r w:rsidR="00B63933">
        <w:t>2</w:t>
      </w:r>
      <w:r w:rsidRPr="005629F8">
        <w:t>. These records are in</w:t>
      </w:r>
      <w:r w:rsidR="00F73634" w:rsidRPr="005629F8">
        <w:t>-</w:t>
      </w:r>
      <w:r w:rsidRPr="005629F8">
        <w:t>scope and they have been included in the results.</w:t>
      </w:r>
    </w:p>
    <w:p w14:paraId="2D8E06D7" w14:textId="49E935B1" w:rsidR="007E5599" w:rsidRPr="005629F8" w:rsidRDefault="007E5599" w:rsidP="00FC4599">
      <w:pPr>
        <w:pStyle w:val="Heading2"/>
      </w:pPr>
      <w:bookmarkStart w:id="63" w:name="_Toc129700446"/>
      <w:bookmarkStart w:id="64" w:name="_Toc129700672"/>
      <w:bookmarkStart w:id="65" w:name="_Toc129701365"/>
      <w:r w:rsidRPr="005629F8">
        <w:t>Data</w:t>
      </w:r>
      <w:r w:rsidRPr="005629F8">
        <w:rPr>
          <w:spacing w:val="-1"/>
        </w:rPr>
        <w:t xml:space="preserve"> </w:t>
      </w:r>
      <w:r w:rsidRPr="005629F8">
        <w:t>adjustments</w:t>
      </w:r>
      <w:bookmarkEnd w:id="63"/>
      <w:bookmarkEnd w:id="64"/>
      <w:bookmarkEnd w:id="65"/>
    </w:p>
    <w:p w14:paraId="3CA9402B" w14:textId="77777777" w:rsidR="007E5599" w:rsidRPr="005629F8" w:rsidRDefault="007E5599" w:rsidP="007E5599">
      <w:r w:rsidRPr="005629F8">
        <w:t>The</w:t>
      </w:r>
      <w:r w:rsidRPr="005629F8">
        <w:rPr>
          <w:spacing w:val="-7"/>
        </w:rPr>
        <w:t xml:space="preserve"> </w:t>
      </w:r>
      <w:r w:rsidRPr="005629F8">
        <w:t>following</w:t>
      </w:r>
      <w:r w:rsidRPr="005629F8">
        <w:rPr>
          <w:spacing w:val="1"/>
        </w:rPr>
        <w:t xml:space="preserve"> </w:t>
      </w:r>
      <w:r w:rsidRPr="005629F8">
        <w:t>adjustments were applied</w:t>
      </w:r>
      <w:r w:rsidRPr="005629F8">
        <w:rPr>
          <w:spacing w:val="-1"/>
        </w:rPr>
        <w:t xml:space="preserve"> </w:t>
      </w:r>
      <w:r w:rsidRPr="005629F8">
        <w:t>to</w:t>
      </w:r>
      <w:r w:rsidRPr="005629F8">
        <w:rPr>
          <w:spacing w:val="-3"/>
        </w:rPr>
        <w:t xml:space="preserve"> </w:t>
      </w:r>
      <w:r w:rsidRPr="005629F8">
        <w:t>the</w:t>
      </w:r>
      <w:r w:rsidRPr="005629F8">
        <w:rPr>
          <w:spacing w:val="-3"/>
        </w:rPr>
        <w:t xml:space="preserve"> </w:t>
      </w:r>
      <w:r w:rsidRPr="005629F8">
        <w:t>dataset during</w:t>
      </w:r>
      <w:r w:rsidRPr="005629F8">
        <w:rPr>
          <w:spacing w:val="-1"/>
        </w:rPr>
        <w:t xml:space="preserve"> </w:t>
      </w:r>
      <w:r w:rsidRPr="005629F8">
        <w:t>the</w:t>
      </w:r>
      <w:r w:rsidRPr="005629F8">
        <w:rPr>
          <w:spacing w:val="-1"/>
        </w:rPr>
        <w:t xml:space="preserve"> </w:t>
      </w:r>
      <w:r w:rsidRPr="005629F8">
        <w:t>NHCDC</w:t>
      </w:r>
      <w:r w:rsidRPr="005629F8">
        <w:rPr>
          <w:spacing w:val="-4"/>
        </w:rPr>
        <w:t xml:space="preserve"> </w:t>
      </w:r>
      <w:r w:rsidRPr="005629F8">
        <w:t>process.</w:t>
      </w:r>
    </w:p>
    <w:p w14:paraId="254EA98E" w14:textId="6745F6EC" w:rsidR="007E5599" w:rsidRPr="005629F8" w:rsidRDefault="007E5599" w:rsidP="00E829BF">
      <w:pPr>
        <w:pStyle w:val="Heading3"/>
      </w:pPr>
      <w:bookmarkStart w:id="66" w:name="_Toc129700447"/>
      <w:bookmarkStart w:id="67" w:name="_Toc129700673"/>
      <w:bookmarkStart w:id="68" w:name="_Toc129701366"/>
      <w:r w:rsidRPr="005629F8">
        <w:t>Neonate adjustment</w:t>
      </w:r>
      <w:bookmarkEnd w:id="66"/>
      <w:bookmarkEnd w:id="67"/>
      <w:bookmarkEnd w:id="68"/>
    </w:p>
    <w:p w14:paraId="55CB7BEF" w14:textId="755CAD67" w:rsidR="007E5599" w:rsidRPr="005629F8" w:rsidRDefault="007E5599" w:rsidP="007E5599">
      <w:r w:rsidRPr="005629F8">
        <w:t>The costs for newborn infants with zero qualified days in respect of care type 7.0 (newborn care) were allocated to</w:t>
      </w:r>
      <w:r w:rsidRPr="005629F8">
        <w:rPr>
          <w:spacing w:val="-3"/>
        </w:rPr>
        <w:t xml:space="preserve"> </w:t>
      </w:r>
      <w:r w:rsidRPr="005629F8">
        <w:t>the</w:t>
      </w:r>
      <w:r w:rsidRPr="005629F8">
        <w:rPr>
          <w:spacing w:val="-2"/>
        </w:rPr>
        <w:t xml:space="preserve"> </w:t>
      </w:r>
      <w:r w:rsidRPr="005629F8">
        <w:t>delivery</w:t>
      </w:r>
      <w:r w:rsidRPr="005629F8">
        <w:rPr>
          <w:spacing w:val="-1"/>
        </w:rPr>
        <w:t xml:space="preserve"> </w:t>
      </w:r>
      <w:r w:rsidRPr="005629F8">
        <w:t>episodes of</w:t>
      </w:r>
      <w:r w:rsidRPr="005629F8">
        <w:rPr>
          <w:spacing w:val="2"/>
        </w:rPr>
        <w:t xml:space="preserve"> </w:t>
      </w:r>
      <w:r w:rsidRPr="005629F8">
        <w:t>mothers</w:t>
      </w:r>
      <w:r w:rsidRPr="005629F8">
        <w:rPr>
          <w:spacing w:val="1"/>
        </w:rPr>
        <w:t xml:space="preserve"> </w:t>
      </w:r>
      <w:r w:rsidRPr="005629F8">
        <w:t>at</w:t>
      </w:r>
      <w:r w:rsidRPr="005629F8">
        <w:rPr>
          <w:spacing w:val="-2"/>
        </w:rPr>
        <w:t xml:space="preserve"> </w:t>
      </w:r>
      <w:r w:rsidRPr="005629F8">
        <w:t>the</w:t>
      </w:r>
      <w:r w:rsidRPr="005629F8">
        <w:rPr>
          <w:spacing w:val="-2"/>
        </w:rPr>
        <w:t xml:space="preserve"> </w:t>
      </w:r>
      <w:r w:rsidRPr="005629F8">
        <w:t>same hospital.</w:t>
      </w:r>
    </w:p>
    <w:p w14:paraId="7A5E675F" w14:textId="4784BB54" w:rsidR="007E5599" w:rsidRPr="005629F8" w:rsidRDefault="007E5599" w:rsidP="007E5599">
      <w:pPr>
        <w:rPr>
          <w:highlight w:val="yellow"/>
        </w:rPr>
      </w:pPr>
      <w:r w:rsidRPr="005629F8">
        <w:t>The definition of unqualified days in the National Health Data Dictionary</w:t>
      </w:r>
      <w:r w:rsidR="00D61BE1" w:rsidRPr="005629F8">
        <w:rPr>
          <w:rStyle w:val="FootnoteReference"/>
        </w:rPr>
        <w:footnoteReference w:id="13"/>
      </w:r>
      <w:r w:rsidRPr="005629F8">
        <w:rPr>
          <w:rFonts w:ascii="Georgia" w:hAnsi="Georgia"/>
          <w:position w:val="6"/>
          <w:sz w:val="14"/>
        </w:rPr>
        <w:t xml:space="preserve"> </w:t>
      </w:r>
      <w:r w:rsidRPr="005629F8">
        <w:t>relates to the first nine</w:t>
      </w:r>
      <w:r w:rsidRPr="005629F8">
        <w:rPr>
          <w:spacing w:val="-59"/>
        </w:rPr>
        <w:t xml:space="preserve"> </w:t>
      </w:r>
      <w:r w:rsidRPr="005629F8">
        <w:t xml:space="preserve">days of a newborn’s </w:t>
      </w:r>
      <w:r w:rsidR="00C7224F" w:rsidRPr="005629F8">
        <w:t>life unless</w:t>
      </w:r>
      <w:r w:rsidRPr="005629F8">
        <w:t xml:space="preserve"> the newborn is a second or subsequent live born infant or i</w:t>
      </w:r>
      <w:r w:rsidR="00A53980">
        <w:t xml:space="preserve">f </w:t>
      </w:r>
      <w:r w:rsidRPr="005629F8">
        <w:t>intensive care</w:t>
      </w:r>
      <w:r w:rsidR="00A53980">
        <w:t xml:space="preserve"> is required</w:t>
      </w:r>
      <w:r w:rsidRPr="005629F8">
        <w:t xml:space="preserve">. The adjustment for unqualified days for </w:t>
      </w:r>
      <w:r w:rsidR="007164B7" w:rsidRPr="005629F8">
        <w:t xml:space="preserve">this financial year </w:t>
      </w:r>
      <w:r w:rsidRPr="005629F8">
        <w:t>was conducted in a</w:t>
      </w:r>
      <w:r w:rsidRPr="005629F8">
        <w:rPr>
          <w:spacing w:val="1"/>
        </w:rPr>
        <w:t xml:space="preserve"> </w:t>
      </w:r>
      <w:r w:rsidRPr="005629F8">
        <w:t>similar way</w:t>
      </w:r>
      <w:r w:rsidRPr="005629F8">
        <w:rPr>
          <w:spacing w:val="-2"/>
        </w:rPr>
        <w:t xml:space="preserve"> </w:t>
      </w:r>
      <w:r w:rsidRPr="005629F8">
        <w:t>to</w:t>
      </w:r>
      <w:r w:rsidRPr="005629F8">
        <w:rPr>
          <w:spacing w:val="2"/>
        </w:rPr>
        <w:t xml:space="preserve"> </w:t>
      </w:r>
      <w:r w:rsidR="007164B7" w:rsidRPr="005629F8">
        <w:t>the previous financial year</w:t>
      </w:r>
      <w:r w:rsidRPr="005629F8">
        <w:t>.</w:t>
      </w:r>
    </w:p>
    <w:p w14:paraId="6F77B47E" w14:textId="4B619C6A" w:rsidR="007E5599" w:rsidRPr="005629F8" w:rsidRDefault="007E5599" w:rsidP="00E829BF">
      <w:pPr>
        <w:pStyle w:val="Heading3"/>
      </w:pPr>
      <w:bookmarkStart w:id="69" w:name="_Toc129700448"/>
      <w:bookmarkStart w:id="70" w:name="_Toc129700674"/>
      <w:bookmarkStart w:id="71" w:name="_Toc129701367"/>
      <w:r w:rsidRPr="005629F8">
        <w:t>Market share adjustment process</w:t>
      </w:r>
      <w:bookmarkEnd w:id="69"/>
      <w:bookmarkEnd w:id="70"/>
      <w:bookmarkEnd w:id="71"/>
    </w:p>
    <w:p w14:paraId="5E542874" w14:textId="116CDBE7" w:rsidR="007E5599" w:rsidRPr="005629F8" w:rsidRDefault="007E5599" w:rsidP="007E5599">
      <w:pPr>
        <w:rPr>
          <w:highlight w:val="yellow"/>
        </w:rPr>
      </w:pPr>
      <w:r w:rsidRPr="005629F8">
        <w:t xml:space="preserve">To ensure appropriate representation in the report, market share was determined for each hospital group. This was calculated as the relevant group’s share of the PHDB separations amongst all participating hospital groups. The market share was then compared to the submitted data to determine if any hospital groups submitted more separations than their market share would warrant, and if so, whether this would lead to an inappropriate representation. </w:t>
      </w:r>
      <w:r w:rsidR="00CB4778" w:rsidRPr="35ADAD77">
        <w:t>An</w:t>
      </w:r>
      <w:r w:rsidRPr="005629F8">
        <w:t xml:space="preserve"> adjustment was made </w:t>
      </w:r>
      <w:r w:rsidR="00A06572" w:rsidRPr="005629F8">
        <w:t xml:space="preserve">for the </w:t>
      </w:r>
      <w:r w:rsidR="0078625D" w:rsidRPr="005629F8">
        <w:t>202</w:t>
      </w:r>
      <w:r w:rsidR="00B63933">
        <w:t>1</w:t>
      </w:r>
      <w:r w:rsidR="0078625D" w:rsidRPr="005629F8">
        <w:t>-2</w:t>
      </w:r>
      <w:r w:rsidR="00B63933">
        <w:t>2</w:t>
      </w:r>
      <w:r w:rsidR="00CB4778" w:rsidRPr="35ADAD77">
        <w:t xml:space="preserve"> NHCDC to better align the share for hospital groups in the NHCDC to their market share</w:t>
      </w:r>
      <w:r w:rsidRPr="005629F8">
        <w:t>.</w:t>
      </w:r>
    </w:p>
    <w:p w14:paraId="17F9DC97" w14:textId="65FAE6E5" w:rsidR="007E5599" w:rsidRPr="005629F8" w:rsidRDefault="007E5599" w:rsidP="00E829BF">
      <w:pPr>
        <w:pStyle w:val="Heading3"/>
      </w:pPr>
      <w:bookmarkStart w:id="72" w:name="_Toc129700449"/>
      <w:bookmarkStart w:id="73" w:name="_Toc129700675"/>
      <w:bookmarkStart w:id="74" w:name="_Toc129701368"/>
      <w:r w:rsidRPr="005629F8">
        <w:t>Population adjustment process</w:t>
      </w:r>
      <w:bookmarkEnd w:id="72"/>
      <w:bookmarkEnd w:id="73"/>
      <w:bookmarkEnd w:id="74"/>
    </w:p>
    <w:p w14:paraId="67903D68" w14:textId="4B63DF44" w:rsidR="007E5599" w:rsidRPr="005629F8" w:rsidRDefault="007E5599" w:rsidP="007E5599">
      <w:r w:rsidRPr="005629F8">
        <w:t xml:space="preserve">To ensure the results reflect the full range of Australia’s private hospitals, an estimation process was undertaken to create representative national costing and activity figures from sample data. The </w:t>
      </w:r>
      <w:r w:rsidRPr="005629F8">
        <w:lastRenderedPageBreak/>
        <w:t>estimation process produces population data by estimating “strata weights” based on admitted acute separations. These are applied to the sample data so that the admitted acute separations equal the total population figures. The weights are calculated based on the number of separations in each hospital group in the submitted data and nationally, as per the total population in PHDB.</w:t>
      </w:r>
    </w:p>
    <w:p w14:paraId="0146AEE1" w14:textId="3CE36498" w:rsidR="007E5599" w:rsidRPr="005629F8" w:rsidRDefault="00690CB7" w:rsidP="007E5599">
      <w:r>
        <w:rPr>
          <w:color w:val="14272E"/>
        </w:rPr>
        <w:t>The total population was defined as the total number of private acute separations in the PHDB data in 202</w:t>
      </w:r>
      <w:r w:rsidR="00B63933">
        <w:rPr>
          <w:color w:val="14272E"/>
        </w:rPr>
        <w:t>1</w:t>
      </w:r>
      <w:r>
        <w:rPr>
          <w:color w:val="14272E"/>
        </w:rPr>
        <w:t>-2</w:t>
      </w:r>
      <w:r w:rsidR="00B63933">
        <w:rPr>
          <w:color w:val="14272E"/>
        </w:rPr>
        <w:t>2</w:t>
      </w:r>
      <w:r>
        <w:rPr>
          <w:color w:val="14272E"/>
        </w:rPr>
        <w:t>. All private acute hospitals in Australia (excluding private day hospital facilities) with more than 200 admitted acute separations during the financial year were included. The number of in-scope hospitals in the population file for 202</w:t>
      </w:r>
      <w:r w:rsidR="00B63933">
        <w:rPr>
          <w:color w:val="14272E"/>
        </w:rPr>
        <w:t>1</w:t>
      </w:r>
      <w:r>
        <w:rPr>
          <w:color w:val="14272E"/>
        </w:rPr>
        <w:t>-</w:t>
      </w:r>
      <w:r w:rsidRPr="00997765">
        <w:rPr>
          <w:color w:val="14272E"/>
        </w:rPr>
        <w:t>2</w:t>
      </w:r>
      <w:r w:rsidR="00B63933" w:rsidRPr="00997765">
        <w:rPr>
          <w:color w:val="14272E"/>
        </w:rPr>
        <w:t>2</w:t>
      </w:r>
      <w:r w:rsidRPr="00997765">
        <w:rPr>
          <w:color w:val="14272E"/>
        </w:rPr>
        <w:t xml:space="preserve"> is 24</w:t>
      </w:r>
      <w:r w:rsidR="00997765" w:rsidRPr="00997765">
        <w:rPr>
          <w:color w:val="14272E"/>
        </w:rPr>
        <w:t>9.</w:t>
      </w:r>
      <w:r>
        <w:rPr>
          <w:color w:val="14272E"/>
        </w:rPr>
        <w:t xml:space="preserve"> </w:t>
      </w:r>
    </w:p>
    <w:p w14:paraId="619A37B3" w14:textId="690F6BBB" w:rsidR="007E5599" w:rsidRPr="005629F8" w:rsidRDefault="007E5599" w:rsidP="00E829BF">
      <w:pPr>
        <w:pStyle w:val="Heading3"/>
      </w:pPr>
      <w:bookmarkStart w:id="75" w:name="_Toc129700450"/>
      <w:bookmarkStart w:id="76" w:name="_Toc129700676"/>
      <w:bookmarkStart w:id="77" w:name="_Toc129701369"/>
      <w:r w:rsidRPr="005629F8">
        <w:t xml:space="preserve">AR-DRG flipping adjustment </w:t>
      </w:r>
      <w:proofErr w:type="gramStart"/>
      <w:r w:rsidRPr="005629F8">
        <w:t>process</w:t>
      </w:r>
      <w:bookmarkEnd w:id="75"/>
      <w:bookmarkEnd w:id="76"/>
      <w:bookmarkEnd w:id="77"/>
      <w:proofErr w:type="gramEnd"/>
    </w:p>
    <w:p w14:paraId="7457C9D8" w14:textId="5093DE06" w:rsidR="007E5599" w:rsidRPr="005629F8" w:rsidRDefault="007E5599" w:rsidP="007E5599">
      <w:pPr>
        <w:rPr>
          <w:sz w:val="20"/>
        </w:rPr>
      </w:pPr>
      <w:r w:rsidRPr="005629F8">
        <w:t>The dataset was reviewed for AR-DRG flipping</w:t>
      </w:r>
      <w:r w:rsidR="00204852">
        <w:t>.</w:t>
      </w:r>
      <w:r w:rsidR="00F73634" w:rsidRPr="005629F8">
        <w:t xml:space="preserve"> </w:t>
      </w:r>
      <w:r w:rsidR="00204852">
        <w:t>T</w:t>
      </w:r>
      <w:r w:rsidR="007B447E">
        <w:t>his</w:t>
      </w:r>
      <w:r w:rsidRPr="005629F8">
        <w:t xml:space="preserve"> occurs when the cost weight of a lower complexity AR-DRG within the related adjacent AR-DRG is greater than the one with higher complexity. For example, AR-DRG flipping would occur if the cost weight for the lower complexity </w:t>
      </w:r>
      <w:r w:rsidR="00CB4778">
        <w:t xml:space="preserve">AR-DRG </w:t>
      </w:r>
      <w:r w:rsidRPr="005629F8">
        <w:t xml:space="preserve">E40B: Respiratory System Disorders W Ventilator Support, Minor Complexity was greater than the cost weight of the higher complexity </w:t>
      </w:r>
      <w:r w:rsidR="00CB4778">
        <w:t xml:space="preserve">AR-DRG </w:t>
      </w:r>
      <w:r w:rsidRPr="005629F8">
        <w:t>E40A: Respiratory System Disorders W Ventilator Support, Major Complexity.</w:t>
      </w:r>
    </w:p>
    <w:p w14:paraId="1870C835" w14:textId="3272ECAC" w:rsidR="00253343" w:rsidRPr="005629F8" w:rsidRDefault="00690CB7" w:rsidP="00253343">
      <w:r>
        <w:rPr>
          <w:color w:val="14272E"/>
        </w:rPr>
        <w:t>A small number of instances of AR-DRG flipping were identified in 202</w:t>
      </w:r>
      <w:r w:rsidR="0065225F">
        <w:rPr>
          <w:color w:val="14272E"/>
        </w:rPr>
        <w:t>1</w:t>
      </w:r>
      <w:r>
        <w:rPr>
          <w:color w:val="14272E"/>
        </w:rPr>
        <w:t>-2</w:t>
      </w:r>
      <w:r w:rsidR="0065225F">
        <w:rPr>
          <w:color w:val="14272E"/>
        </w:rPr>
        <w:t>2</w:t>
      </w:r>
      <w:r>
        <w:rPr>
          <w:color w:val="14272E"/>
        </w:rPr>
        <w:t xml:space="preserve">. Each instance was analysed and investigated by the key stakeholders to ensure the appropriate treatment had been applied. This included reviewing patient data. </w:t>
      </w:r>
      <w:r w:rsidR="0065225F">
        <w:rPr>
          <w:color w:val="14272E"/>
        </w:rPr>
        <w:t>One outlier was removed from the sample.</w:t>
      </w:r>
    </w:p>
    <w:p w14:paraId="2FCDA13E" w14:textId="41640DDB" w:rsidR="00253343" w:rsidRPr="005629F8" w:rsidRDefault="000A56B6" w:rsidP="00E829BF">
      <w:pPr>
        <w:pStyle w:val="Heading3"/>
      </w:pPr>
      <w:bookmarkStart w:id="78" w:name="_Toc129700451"/>
      <w:bookmarkStart w:id="79" w:name="_Toc129700677"/>
      <w:bookmarkStart w:id="80" w:name="_Toc129701370"/>
      <w:r w:rsidRPr="35ADAD77">
        <w:t>Additional data considerations for PBS rebates for this collection</w:t>
      </w:r>
      <w:bookmarkEnd w:id="78"/>
      <w:bookmarkEnd w:id="79"/>
      <w:bookmarkEnd w:id="80"/>
    </w:p>
    <w:p w14:paraId="702565A7" w14:textId="2D760CE9" w:rsidR="001022AF" w:rsidRDefault="001022AF" w:rsidP="00253343">
      <w:r>
        <w:t xml:space="preserve">For some AR-DRGs, significant differences </w:t>
      </w:r>
      <w:r w:rsidR="00C57029">
        <w:t xml:space="preserve">were observed </w:t>
      </w:r>
      <w:r>
        <w:t>by hospital group</w:t>
      </w:r>
      <w:r w:rsidR="00C57029">
        <w:t xml:space="preserve"> for the pharmacy cost bucket</w:t>
      </w:r>
      <w:r>
        <w:t xml:space="preserve">. </w:t>
      </w:r>
      <w:r w:rsidR="00C57029">
        <w:t>For 202</w:t>
      </w:r>
      <w:r w:rsidR="0065225F">
        <w:t>1</w:t>
      </w:r>
      <w:r w:rsidR="00C57029">
        <w:t>-2</w:t>
      </w:r>
      <w:r w:rsidR="0065225F">
        <w:t>2</w:t>
      </w:r>
      <w:r w:rsidR="00C57029">
        <w:t xml:space="preserve">, </w:t>
      </w:r>
      <w:r w:rsidR="006D18E4">
        <w:t xml:space="preserve">a </w:t>
      </w:r>
      <w:r>
        <w:t>de</w:t>
      </w:r>
      <w:r w:rsidR="006D18E4">
        <w:t xml:space="preserve">tailed </w:t>
      </w:r>
      <w:r w:rsidR="00C57029">
        <w:t xml:space="preserve">analysis was carried out </w:t>
      </w:r>
      <w:r>
        <w:t>to understand the differences and develop an approach to align the hospital groups.</w:t>
      </w:r>
    </w:p>
    <w:p w14:paraId="20BA35FA" w14:textId="6591F6E5" w:rsidR="00614201" w:rsidRDefault="00253343">
      <w:r w:rsidRPr="005629F8">
        <w:t xml:space="preserve">Investigations </w:t>
      </w:r>
      <w:r w:rsidR="00F920B2" w:rsidRPr="005629F8">
        <w:t xml:space="preserve">conducted </w:t>
      </w:r>
      <w:r w:rsidRPr="005629F8">
        <w:t xml:space="preserve">with the hospital groups </w:t>
      </w:r>
      <w:r w:rsidR="00F920B2" w:rsidRPr="005629F8">
        <w:t>ha</w:t>
      </w:r>
      <w:r w:rsidR="00614201" w:rsidRPr="35ADAD77">
        <w:t>ve</w:t>
      </w:r>
      <w:r w:rsidR="00F920B2" w:rsidRPr="005629F8">
        <w:t xml:space="preserve"> uncovered that the variance </w:t>
      </w:r>
      <w:r w:rsidR="00681FC4" w:rsidRPr="005629F8">
        <w:t>is</w:t>
      </w:r>
      <w:r w:rsidR="00C57029" w:rsidRPr="35ADAD77">
        <w:t xml:space="preserve"> primarily</w:t>
      </w:r>
      <w:r w:rsidR="00681FC4" w:rsidRPr="005629F8">
        <w:t xml:space="preserve"> driven by whether the pharmacy function is outsourced to an external vendor</w:t>
      </w:r>
      <w:r w:rsidR="00614201" w:rsidRPr="35ADAD77">
        <w:t xml:space="preserve"> and the subsequent treatment of the </w:t>
      </w:r>
      <w:r w:rsidR="00762E35" w:rsidRPr="1FFE3681">
        <w:t xml:space="preserve">Pharmaceutical Benefits </w:t>
      </w:r>
      <w:r w:rsidR="00762E35">
        <w:t>Scheme (</w:t>
      </w:r>
      <w:r w:rsidR="00614201" w:rsidRPr="35ADAD77">
        <w:t>PBS</w:t>
      </w:r>
      <w:r w:rsidR="00762E35">
        <w:t>)</w:t>
      </w:r>
      <w:r w:rsidR="00614201" w:rsidRPr="35ADAD77">
        <w:t xml:space="preserve"> rebate</w:t>
      </w:r>
      <w:r w:rsidR="00681FC4" w:rsidRPr="005629F8">
        <w:t>. For those that do</w:t>
      </w:r>
      <w:r w:rsidR="00752DE9" w:rsidRPr="35ADAD77">
        <w:t xml:space="preserve"> outsource</w:t>
      </w:r>
      <w:r w:rsidR="00681FC4" w:rsidRPr="005629F8">
        <w:t xml:space="preserve">, the </w:t>
      </w:r>
      <w:r w:rsidR="00752DE9" w:rsidRPr="35ADAD77">
        <w:t xml:space="preserve">hospital group does not receive the PBS rebate and so the </w:t>
      </w:r>
      <w:r w:rsidR="00681FC4" w:rsidRPr="005629F8">
        <w:t>pharmacy cost</w:t>
      </w:r>
      <w:r w:rsidR="00614201" w:rsidRPr="35ADAD77">
        <w:t xml:space="preserve"> reported</w:t>
      </w:r>
      <w:r w:rsidR="00752DE9" w:rsidRPr="35ADAD77">
        <w:t xml:space="preserve"> in the NHCDC </w:t>
      </w:r>
      <w:r w:rsidR="00614201" w:rsidRPr="35ADAD77">
        <w:t xml:space="preserve">reflects the amount charged to the hospital, </w:t>
      </w:r>
      <w:r w:rsidR="007B447E">
        <w:t>resulting in the</w:t>
      </w:r>
      <w:r w:rsidR="00614201" w:rsidRPr="35ADAD77">
        <w:t xml:space="preserve"> cost</w:t>
      </w:r>
      <w:r w:rsidR="00752DE9" w:rsidRPr="35ADAD77">
        <w:t xml:space="preserve"> n</w:t>
      </w:r>
      <w:r w:rsidR="00681FC4" w:rsidRPr="005629F8">
        <w:t xml:space="preserve">et of </w:t>
      </w:r>
      <w:r w:rsidR="00614201" w:rsidRPr="35ADAD77">
        <w:t xml:space="preserve">the </w:t>
      </w:r>
      <w:r w:rsidR="00681FC4" w:rsidRPr="005629F8">
        <w:t>PBS rebate. For those with an internal pharmacy function, the</w:t>
      </w:r>
      <w:r w:rsidR="00614201" w:rsidRPr="35ADAD77">
        <w:t xml:space="preserve"> PBS rebate is received and recorded as revenue (in line with the AHPCS Version 4.1 costing standards) and the pharmacy cost is reported as the </w:t>
      </w:r>
      <w:r w:rsidR="00681FC4" w:rsidRPr="005629F8">
        <w:t xml:space="preserve">gross </w:t>
      </w:r>
      <w:r w:rsidR="00614201" w:rsidRPr="35ADAD77">
        <w:t>amount.</w:t>
      </w:r>
      <w:r w:rsidR="00752DE9" w:rsidRPr="35ADAD77">
        <w:t xml:space="preserve"> </w:t>
      </w:r>
    </w:p>
    <w:p w14:paraId="019E2CA0" w14:textId="1E3E908A" w:rsidR="001022AF" w:rsidRPr="00D72EDF" w:rsidRDefault="00614201">
      <w:r>
        <w:t>This variation is most notable in AR-</w:t>
      </w:r>
      <w:r w:rsidRPr="007B46E1">
        <w:t xml:space="preserve">DRGs </w:t>
      </w:r>
      <w:r w:rsidR="007B447E">
        <w:t xml:space="preserve">that </w:t>
      </w:r>
      <w:r>
        <w:t>attract pharmaceuticals with PBS rebates</w:t>
      </w:r>
      <w:r w:rsidRPr="007B46E1">
        <w:t xml:space="preserve">, such as </w:t>
      </w:r>
      <w:r>
        <w:t xml:space="preserve">R63Z: </w:t>
      </w:r>
      <w:r w:rsidR="0065225F" w:rsidRPr="0065225F">
        <w:t>Pharmacotherapy for Neoplastic Disorders</w:t>
      </w:r>
      <w:r>
        <w:t>.</w:t>
      </w:r>
    </w:p>
    <w:p w14:paraId="000FABBF" w14:textId="6A4E60A4" w:rsidR="001D17A7" w:rsidRPr="00894FAD" w:rsidRDefault="00786138" w:rsidP="001D17A7">
      <w:r>
        <w:t>For 202</w:t>
      </w:r>
      <w:r w:rsidR="0065225F">
        <w:t>1</w:t>
      </w:r>
      <w:r>
        <w:t>-2</w:t>
      </w:r>
      <w:r w:rsidR="0065225F">
        <w:t>2</w:t>
      </w:r>
      <w:r>
        <w:t xml:space="preserve">, </w:t>
      </w:r>
      <w:r w:rsidR="00C57029">
        <w:t xml:space="preserve">no </w:t>
      </w:r>
      <w:r w:rsidR="001D17A7" w:rsidRPr="00894FAD">
        <w:t xml:space="preserve">adjustment has been made </w:t>
      </w:r>
      <w:r w:rsidR="00C57029">
        <w:t xml:space="preserve">in this </w:t>
      </w:r>
      <w:r w:rsidR="00855591">
        <w:t>report</w:t>
      </w:r>
      <w:r w:rsidR="001D17A7" w:rsidRPr="00894FAD">
        <w:t>.</w:t>
      </w:r>
      <w:r w:rsidR="001D17A7">
        <w:t xml:space="preserve"> T</w:t>
      </w:r>
      <w:r w:rsidR="001D17A7" w:rsidRPr="007B46E1">
        <w:t xml:space="preserve">he reader should </w:t>
      </w:r>
      <w:r w:rsidR="00C57029">
        <w:t xml:space="preserve">be aware of these variations when </w:t>
      </w:r>
      <w:r w:rsidR="001D17A7" w:rsidRPr="007B46E1">
        <w:t>interpret</w:t>
      </w:r>
      <w:r w:rsidR="00C57029">
        <w:t>ing the</w:t>
      </w:r>
      <w:r w:rsidR="001D17A7" w:rsidRPr="007B46E1">
        <w:t xml:space="preserve"> results in this report</w:t>
      </w:r>
      <w:r w:rsidR="00614201">
        <w:t>.</w:t>
      </w:r>
    </w:p>
    <w:p w14:paraId="7EAF972B" w14:textId="68164526" w:rsidR="00253343" w:rsidRPr="005629F8" w:rsidRDefault="00C57029">
      <w:r w:rsidRPr="005629F8">
        <w:t>IHACPA will work with hospital groups on an approach to better align the costing process for future collections.</w:t>
      </w:r>
    </w:p>
    <w:p w14:paraId="64FD8115" w14:textId="2150A0B8" w:rsidR="00253343" w:rsidRPr="005629F8" w:rsidRDefault="00253343" w:rsidP="00FC4599">
      <w:pPr>
        <w:pStyle w:val="Heading1"/>
      </w:pPr>
      <w:bookmarkStart w:id="81" w:name="_Toc152080391"/>
      <w:r w:rsidRPr="005629F8">
        <w:lastRenderedPageBreak/>
        <w:t>Results</w:t>
      </w:r>
      <w:bookmarkEnd w:id="81"/>
    </w:p>
    <w:p w14:paraId="2902C75D" w14:textId="4DB065C2" w:rsidR="00253343" w:rsidRPr="005629F8" w:rsidRDefault="00253343" w:rsidP="00FC4599">
      <w:pPr>
        <w:pStyle w:val="Heading2"/>
      </w:pPr>
      <w:bookmarkStart w:id="82" w:name="_Toc129700679"/>
      <w:bookmarkStart w:id="83" w:name="_Toc129701372"/>
      <w:r w:rsidRPr="005629F8">
        <w:t>Participation</w:t>
      </w:r>
      <w:bookmarkEnd w:id="82"/>
      <w:bookmarkEnd w:id="83"/>
    </w:p>
    <w:p w14:paraId="400A7982" w14:textId="33D1992A" w:rsidR="00874297" w:rsidRDefault="00C01755" w:rsidP="00253343">
      <w:r>
        <w:t>The participation of the NHCDC</w:t>
      </w:r>
      <w:r w:rsidR="008965B1">
        <w:t xml:space="preserve"> </w:t>
      </w:r>
      <w:r w:rsidR="00E21E25">
        <w:t>P</w:t>
      </w:r>
      <w:r w:rsidR="008965B1">
        <w:t xml:space="preserve">rivate </w:t>
      </w:r>
      <w:r w:rsidR="00E21E25">
        <w:t>S</w:t>
      </w:r>
      <w:r w:rsidR="008965B1">
        <w:t>ector</w:t>
      </w:r>
      <w:r>
        <w:t xml:space="preserve"> has changed over time, with hospital groups entering and exiting the collection, as well as individual hospitals changing hospital groups or ceasing to operate. The following figures illustrate how the participation has </w:t>
      </w:r>
      <w:r w:rsidR="00BC533D">
        <w:t>changed</w:t>
      </w:r>
      <w:r>
        <w:t xml:space="preserve"> over the last </w:t>
      </w:r>
      <w:r w:rsidR="00997765">
        <w:t>7</w:t>
      </w:r>
      <w:r>
        <w:t xml:space="preserve"> years.</w:t>
      </w:r>
    </w:p>
    <w:p w14:paraId="5DE9095C" w14:textId="0D6C87B2" w:rsidR="00831484" w:rsidRDefault="00874297" w:rsidP="00B04641">
      <w:pPr>
        <w:pStyle w:val="TableFigureheading"/>
      </w:pPr>
      <w:bookmarkStart w:id="84" w:name="_Toc152081844"/>
      <w:r>
        <w:t xml:space="preserve">Figure </w:t>
      </w:r>
      <w:r>
        <w:fldChar w:fldCharType="begin"/>
      </w:r>
      <w:r>
        <w:instrText xml:space="preserve"> SEQ Figure \* ARABIC </w:instrText>
      </w:r>
      <w:r>
        <w:fldChar w:fldCharType="separate"/>
      </w:r>
      <w:r w:rsidR="006C68DC">
        <w:rPr>
          <w:noProof/>
        </w:rPr>
        <w:t>1</w:t>
      </w:r>
      <w:r>
        <w:fldChar w:fldCharType="end"/>
      </w:r>
      <w:r>
        <w:t>. Participating hospitals in the NHCDC</w:t>
      </w:r>
      <w:bookmarkEnd w:id="84"/>
    </w:p>
    <w:p w14:paraId="2EC06BB8" w14:textId="61A36880" w:rsidR="00B04641" w:rsidRPr="005629F8" w:rsidRDefault="00B04641" w:rsidP="006C68DC">
      <w:r>
        <w:rPr>
          <w:noProof/>
        </w:rPr>
        <w:drawing>
          <wp:inline distT="0" distB="0" distL="0" distR="0" wp14:anchorId="3C6AD923" wp14:editId="35167544">
            <wp:extent cx="4344141" cy="254479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371919" cy="2561064"/>
                    </a:xfrm>
                    <a:prstGeom prst="rect">
                      <a:avLst/>
                    </a:prstGeom>
                  </pic:spPr>
                </pic:pic>
              </a:graphicData>
            </a:graphic>
          </wp:inline>
        </w:drawing>
      </w:r>
    </w:p>
    <w:p w14:paraId="7F4B5808" w14:textId="31E93737" w:rsidR="00874297" w:rsidRDefault="00C01755">
      <w:r w:rsidRPr="35ADAD77">
        <w:t>The population of separations in 202</w:t>
      </w:r>
      <w:r w:rsidR="00997765">
        <w:t>1</w:t>
      </w:r>
      <w:r>
        <w:noBreakHyphen/>
      </w:r>
      <w:r w:rsidR="00997765">
        <w:t>22</w:t>
      </w:r>
      <w:r w:rsidRPr="35ADAD77">
        <w:t xml:space="preserve"> is defined as all private admitted acute separations performed at 24</w:t>
      </w:r>
      <w:r w:rsidR="00997765">
        <w:t>9</w:t>
      </w:r>
      <w:r w:rsidRPr="35ADAD77">
        <w:t xml:space="preserve"> in-scope overnight private hospitals in 202</w:t>
      </w:r>
      <w:r w:rsidR="00997765">
        <w:t>1</w:t>
      </w:r>
      <w:r>
        <w:noBreakHyphen/>
      </w:r>
      <w:r w:rsidRPr="35ADAD77">
        <w:t>2</w:t>
      </w:r>
      <w:r w:rsidR="00997765">
        <w:t>2</w:t>
      </w:r>
      <w:r w:rsidRPr="35ADAD77">
        <w:t xml:space="preserve">, </w:t>
      </w:r>
      <w:r w:rsidR="00CB4778" w:rsidRPr="35ADAD77">
        <w:t xml:space="preserve">totalling </w:t>
      </w:r>
      <w:r w:rsidR="00997765" w:rsidRPr="00997765">
        <w:t>3,431,160</w:t>
      </w:r>
      <w:r w:rsidR="00997765">
        <w:t xml:space="preserve"> </w:t>
      </w:r>
      <w:r w:rsidRPr="35ADAD77">
        <w:t>separations.</w:t>
      </w:r>
    </w:p>
    <w:p w14:paraId="087D25CB" w14:textId="34202A49" w:rsidR="00874297" w:rsidRPr="00E829BF" w:rsidRDefault="00874297" w:rsidP="00E87B16">
      <w:pPr>
        <w:pStyle w:val="TableFigureheading"/>
      </w:pPr>
      <w:bookmarkStart w:id="85" w:name="_Toc152081845"/>
      <w:r w:rsidRPr="00E829BF">
        <w:t xml:space="preserve">Figure </w:t>
      </w:r>
      <w:r w:rsidRPr="00E829BF">
        <w:fldChar w:fldCharType="begin"/>
      </w:r>
      <w:r w:rsidRPr="00E829BF">
        <w:instrText xml:space="preserve"> SEQ Figure \* ARABIC </w:instrText>
      </w:r>
      <w:r w:rsidRPr="00E829BF">
        <w:fldChar w:fldCharType="separate"/>
      </w:r>
      <w:r w:rsidR="006C68DC">
        <w:rPr>
          <w:noProof/>
        </w:rPr>
        <w:t>2</w:t>
      </w:r>
      <w:r w:rsidRPr="00E829BF">
        <w:fldChar w:fldCharType="end"/>
      </w:r>
      <w:r w:rsidRPr="00E829BF">
        <w:t xml:space="preserve">. </w:t>
      </w:r>
      <w:r w:rsidR="00BA45CC" w:rsidRPr="00E829BF">
        <w:t>Total private hospital s</w:t>
      </w:r>
      <w:r w:rsidRPr="00E829BF">
        <w:t xml:space="preserve">eparations and </w:t>
      </w:r>
      <w:r w:rsidR="00BA45CC" w:rsidRPr="00E829BF">
        <w:t xml:space="preserve">NHCDC </w:t>
      </w:r>
      <w:r w:rsidRPr="00E829BF">
        <w:t>participation rate</w:t>
      </w:r>
      <w:bookmarkEnd w:id="85"/>
    </w:p>
    <w:p w14:paraId="51AC289E" w14:textId="6D52C8BE" w:rsidR="004724ED" w:rsidRDefault="0040797C">
      <w:r>
        <w:rPr>
          <w:noProof/>
        </w:rPr>
        <w:drawing>
          <wp:inline distT="0" distB="0" distL="0" distR="0" wp14:anchorId="457A8034" wp14:editId="547DC984">
            <wp:extent cx="4580627" cy="269738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621850" cy="2721657"/>
                    </a:xfrm>
                    <a:prstGeom prst="rect">
                      <a:avLst/>
                    </a:prstGeom>
                  </pic:spPr>
                </pic:pic>
              </a:graphicData>
            </a:graphic>
          </wp:inline>
        </w:drawing>
      </w:r>
    </w:p>
    <w:p w14:paraId="781B2A18" w14:textId="77777777" w:rsidR="00FC4599" w:rsidRPr="005629F8" w:rsidRDefault="00FC4599"/>
    <w:p w14:paraId="79A62F7A" w14:textId="523BF0EC" w:rsidR="00AE569D" w:rsidRDefault="00AE569D" w:rsidP="00253343">
      <w:bookmarkStart w:id="86" w:name="_Hlk129336992"/>
      <w:r w:rsidRPr="00563730">
        <w:t xml:space="preserve">The number of sample separations (that is, separations submitted to the NHCDC) in </w:t>
      </w:r>
      <w:r w:rsidR="002F2206">
        <w:t>2021</w:t>
      </w:r>
      <w:r>
        <w:noBreakHyphen/>
      </w:r>
      <w:r w:rsidR="002F2206">
        <w:t>22</w:t>
      </w:r>
      <w:r w:rsidR="002F2206" w:rsidRPr="00563730">
        <w:t xml:space="preserve"> </w:t>
      </w:r>
      <w:r w:rsidRPr="00563730">
        <w:t xml:space="preserve">was </w:t>
      </w:r>
      <w:r w:rsidR="00997765" w:rsidRPr="00997765">
        <w:t>2</w:t>
      </w:r>
      <w:r w:rsidR="00997765" w:rsidRPr="00CA0676">
        <w:t>,244,974</w:t>
      </w:r>
      <w:r w:rsidRPr="00C60E49">
        <w:t xml:space="preserve">, </w:t>
      </w:r>
      <w:r w:rsidR="00C95C17">
        <w:t>demonstrating</w:t>
      </w:r>
      <w:r w:rsidR="00C95C17" w:rsidRPr="00C60E49">
        <w:t xml:space="preserve"> </w:t>
      </w:r>
      <w:r w:rsidRPr="00C60E49">
        <w:t xml:space="preserve">a </w:t>
      </w:r>
      <w:r w:rsidR="00997765" w:rsidRPr="00C60E49">
        <w:t>1.4</w:t>
      </w:r>
      <w:r w:rsidR="000B694F">
        <w:t>%</w:t>
      </w:r>
      <w:r w:rsidR="00997765" w:rsidRPr="00C60E49">
        <w:t xml:space="preserve"> de</w:t>
      </w:r>
      <w:r w:rsidRPr="00C60E49">
        <w:t>crease in the sample separations compared to 20</w:t>
      </w:r>
      <w:r w:rsidR="00997765" w:rsidRPr="00C60E49">
        <w:t>20</w:t>
      </w:r>
      <w:r w:rsidRPr="00C60E49">
        <w:t>-2</w:t>
      </w:r>
      <w:r w:rsidR="00997765" w:rsidRPr="00C60E49">
        <w:t>1</w:t>
      </w:r>
      <w:r w:rsidRPr="00C60E49">
        <w:t xml:space="preserve">. </w:t>
      </w:r>
      <w:r w:rsidRPr="0040797C">
        <w:t xml:space="preserve">This </w:t>
      </w:r>
      <w:r w:rsidR="00810C40" w:rsidRPr="0040797C">
        <w:t>decrease</w:t>
      </w:r>
      <w:r w:rsidRPr="0040797C">
        <w:t xml:space="preserve"> in separations is also observed in the population overall</w:t>
      </w:r>
      <w:r w:rsidR="00810C40" w:rsidRPr="0040797C">
        <w:t xml:space="preserve">. This </w:t>
      </w:r>
      <w:r w:rsidR="00C95C17" w:rsidRPr="0040797C">
        <w:t xml:space="preserve">can potentially be explained by the activity stabilisation </w:t>
      </w:r>
      <w:r w:rsidR="00DE50DA" w:rsidRPr="0040797C">
        <w:t>following</w:t>
      </w:r>
      <w:r w:rsidR="00C95C17" w:rsidRPr="0040797C">
        <w:t xml:space="preserve"> an increase in activity due to relaxation of COVID-19 restrictions. </w:t>
      </w:r>
    </w:p>
    <w:bookmarkEnd w:id="86"/>
    <w:p w14:paraId="1A84618E" w14:textId="22373DBE" w:rsidR="00874297" w:rsidRDefault="00CB4778">
      <w:r>
        <w:t xml:space="preserve">The participation rate is calculated as the number of sample separations submitted to the NHCDC as a proportion of </w:t>
      </w:r>
      <w:r w:rsidR="00B42837">
        <w:t xml:space="preserve">the </w:t>
      </w:r>
      <w:r>
        <w:t>total population separations</w:t>
      </w:r>
      <w:r w:rsidR="0040797C">
        <w:t xml:space="preserve"> reported to the PHDB</w:t>
      </w:r>
      <w:r>
        <w:t>.</w:t>
      </w:r>
      <w:r w:rsidRPr="005629F8">
        <w:rPr>
          <w:color w:val="auto"/>
        </w:rPr>
        <w:t xml:space="preserve"> </w:t>
      </w:r>
      <w:r w:rsidR="00AE569D" w:rsidRPr="00727FDA">
        <w:t>In 202</w:t>
      </w:r>
      <w:r w:rsidR="00997765">
        <w:t>1</w:t>
      </w:r>
      <w:r w:rsidR="00AE569D">
        <w:noBreakHyphen/>
      </w:r>
      <w:r w:rsidR="00AE569D" w:rsidRPr="00727FDA">
        <w:t>2</w:t>
      </w:r>
      <w:r w:rsidR="00997765">
        <w:t>2</w:t>
      </w:r>
      <w:r w:rsidR="00AE569D" w:rsidRPr="00727FDA">
        <w:t>, the participation rate was 65.</w:t>
      </w:r>
      <w:r w:rsidR="00997765">
        <w:t>4</w:t>
      </w:r>
      <w:r w:rsidR="000B694F">
        <w:t>%</w:t>
      </w:r>
      <w:r w:rsidR="00AE569D" w:rsidRPr="00727FDA">
        <w:t xml:space="preserve"> of separations, compared to 6</w:t>
      </w:r>
      <w:r w:rsidR="00997765">
        <w:t>5.</w:t>
      </w:r>
      <w:r w:rsidR="0016770D">
        <w:t>3</w:t>
      </w:r>
      <w:proofErr w:type="gramStart"/>
      <w:r w:rsidR="000B694F">
        <w:t>%</w:t>
      </w:r>
      <w:r w:rsidR="0016770D" w:rsidRPr="00727FDA">
        <w:t xml:space="preserve"> </w:t>
      </w:r>
      <w:r w:rsidR="00AE569D" w:rsidRPr="00727FDA">
        <w:t xml:space="preserve"> of</w:t>
      </w:r>
      <w:proofErr w:type="gramEnd"/>
      <w:r w:rsidR="00AE569D" w:rsidRPr="00727FDA">
        <w:t xml:space="preserve"> separations in </w:t>
      </w:r>
      <w:r>
        <w:t>20</w:t>
      </w:r>
      <w:r w:rsidR="00997765">
        <w:t>20</w:t>
      </w:r>
      <w:r>
        <w:noBreakHyphen/>
        <w:t>2</w:t>
      </w:r>
      <w:r w:rsidR="00997765">
        <w:t>1</w:t>
      </w:r>
      <w:r w:rsidR="00AE569D" w:rsidRPr="00727FDA">
        <w:t xml:space="preserve"> (a marginal increase of 0.</w:t>
      </w:r>
      <w:r w:rsidR="00997765">
        <w:t>1</w:t>
      </w:r>
      <w:r w:rsidR="000B694F">
        <w:t>%</w:t>
      </w:r>
      <w:r w:rsidR="00AE569D" w:rsidRPr="00727FDA">
        <w:t>).</w:t>
      </w:r>
    </w:p>
    <w:p w14:paraId="639F4C71" w14:textId="613F3974" w:rsidR="00874297" w:rsidRPr="002153FC" w:rsidRDefault="006C68DC" w:rsidP="00C07CC0">
      <w:pPr>
        <w:pStyle w:val="Caption"/>
      </w:pPr>
      <w:bookmarkStart w:id="87" w:name="_Toc152081846"/>
      <w:r w:rsidRPr="00C07CC0">
        <w:rPr>
          <w:b w:val="0"/>
          <w:bCs/>
        </w:rPr>
        <w:t xml:space="preserve">Figure </w:t>
      </w:r>
      <w:r w:rsidRPr="00C07CC0">
        <w:rPr>
          <w:b w:val="0"/>
          <w:bCs/>
        </w:rPr>
        <w:fldChar w:fldCharType="begin"/>
      </w:r>
      <w:r w:rsidRPr="00C07CC0">
        <w:rPr>
          <w:b w:val="0"/>
          <w:bCs/>
        </w:rPr>
        <w:instrText xml:space="preserve"> SEQ Figure \* ARABIC </w:instrText>
      </w:r>
      <w:r w:rsidRPr="00C07CC0">
        <w:rPr>
          <w:b w:val="0"/>
          <w:bCs/>
        </w:rPr>
        <w:fldChar w:fldCharType="separate"/>
      </w:r>
      <w:r>
        <w:rPr>
          <w:b w:val="0"/>
          <w:bCs/>
          <w:noProof/>
        </w:rPr>
        <w:t>3</w:t>
      </w:r>
      <w:r w:rsidRPr="00C07CC0">
        <w:rPr>
          <w:b w:val="0"/>
          <w:bCs/>
        </w:rPr>
        <w:fldChar w:fldCharType="end"/>
      </w:r>
      <w:r w:rsidR="00874297" w:rsidRPr="00C07CC0">
        <w:rPr>
          <w:b w:val="0"/>
          <w:bCs/>
        </w:rPr>
        <w:t>. Average Length of Stay</w:t>
      </w:r>
      <w:r w:rsidR="00B12B08" w:rsidRPr="00C07CC0">
        <w:rPr>
          <w:b w:val="0"/>
          <w:bCs/>
        </w:rPr>
        <w:t xml:space="preserve"> (ALOS)</w:t>
      </w:r>
      <w:bookmarkEnd w:id="87"/>
    </w:p>
    <w:p w14:paraId="522D93DB" w14:textId="405F5B63" w:rsidR="004724ED" w:rsidRPr="005629F8" w:rsidRDefault="00B04641">
      <w:r>
        <w:rPr>
          <w:noProof/>
        </w:rPr>
        <w:drawing>
          <wp:inline distT="0" distB="0" distL="0" distR="0" wp14:anchorId="7C374FF6" wp14:editId="2AF97DE4">
            <wp:extent cx="5529580" cy="301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9580" cy="3017520"/>
                    </a:xfrm>
                    <a:prstGeom prst="rect">
                      <a:avLst/>
                    </a:prstGeom>
                    <a:noFill/>
                  </pic:spPr>
                </pic:pic>
              </a:graphicData>
            </a:graphic>
          </wp:inline>
        </w:drawing>
      </w:r>
    </w:p>
    <w:p w14:paraId="61B328E8" w14:textId="402428BB" w:rsidR="00253343" w:rsidRPr="005629F8" w:rsidRDefault="00AE569D" w:rsidP="005629F8">
      <w:pPr>
        <w:rPr>
          <w:highlight w:val="yellow"/>
        </w:rPr>
      </w:pPr>
      <w:r w:rsidRPr="0068730C">
        <w:t>The average length of stay</w:t>
      </w:r>
      <w:r w:rsidR="00B12B08">
        <w:t xml:space="preserve"> (ALOS)</w:t>
      </w:r>
      <w:r w:rsidRPr="0068730C">
        <w:t xml:space="preserve"> for </w:t>
      </w:r>
      <w:r w:rsidR="002F2206">
        <w:t>2021</w:t>
      </w:r>
      <w:r w:rsidRPr="0068730C">
        <w:t>-</w:t>
      </w:r>
      <w:r w:rsidR="002F2206">
        <w:t>22</w:t>
      </w:r>
      <w:r w:rsidR="002F2206" w:rsidRPr="0068730C">
        <w:t xml:space="preserve"> </w:t>
      </w:r>
      <w:r w:rsidR="00F8497C">
        <w:t xml:space="preserve">(2.2 days) </w:t>
      </w:r>
      <w:r w:rsidRPr="0068730C">
        <w:t xml:space="preserve">has </w:t>
      </w:r>
      <w:r w:rsidR="00997765">
        <w:t>remained constant</w:t>
      </w:r>
      <w:r w:rsidRPr="0068730C">
        <w:t xml:space="preserve"> </w:t>
      </w:r>
      <w:r w:rsidR="00CB4778">
        <w:t xml:space="preserve">compared </w:t>
      </w:r>
      <w:r w:rsidRPr="0068730C">
        <w:t>to 20</w:t>
      </w:r>
      <w:r w:rsidR="00997765">
        <w:t>20</w:t>
      </w:r>
      <w:r w:rsidRPr="0068730C">
        <w:t>-2</w:t>
      </w:r>
      <w:r w:rsidR="00997765">
        <w:t>1.</w:t>
      </w:r>
      <w:r w:rsidR="00CB4778">
        <w:t xml:space="preserve"> </w:t>
      </w:r>
      <w:r w:rsidRPr="0068730C">
        <w:t xml:space="preserve">The overnight </w:t>
      </w:r>
      <w:r w:rsidR="007C3C38">
        <w:t>ALOS</w:t>
      </w:r>
      <w:r w:rsidRPr="0068730C">
        <w:t xml:space="preserve"> for </w:t>
      </w:r>
      <w:r w:rsidR="002F2206">
        <w:t>2021</w:t>
      </w:r>
      <w:r w:rsidRPr="0068730C">
        <w:t>-</w:t>
      </w:r>
      <w:r w:rsidR="002F2206">
        <w:t>22</w:t>
      </w:r>
      <w:r w:rsidR="002F2206" w:rsidRPr="0068730C">
        <w:t xml:space="preserve"> </w:t>
      </w:r>
      <w:r w:rsidRPr="0068730C">
        <w:t>has</w:t>
      </w:r>
      <w:r w:rsidR="00997765">
        <w:t xml:space="preserve"> increased </w:t>
      </w:r>
      <w:r w:rsidRPr="0068730C">
        <w:t xml:space="preserve">by 0.1 days </w:t>
      </w:r>
      <w:r w:rsidR="00F8497C">
        <w:t>(0.24</w:t>
      </w:r>
      <w:r w:rsidR="000B694F">
        <w:t>%</w:t>
      </w:r>
      <w:r w:rsidR="00F8497C">
        <w:t xml:space="preserve">) </w:t>
      </w:r>
      <w:r w:rsidRPr="0068730C">
        <w:t>compar</w:t>
      </w:r>
      <w:r w:rsidR="00CB4778">
        <w:t xml:space="preserve">ed to </w:t>
      </w:r>
      <w:r w:rsidR="00997765">
        <w:t>2020</w:t>
      </w:r>
      <w:r w:rsidRPr="0068730C">
        <w:t>-2</w:t>
      </w:r>
      <w:r w:rsidR="00997765">
        <w:t>1</w:t>
      </w:r>
      <w:r w:rsidRPr="0068730C">
        <w:t>.</w:t>
      </w:r>
    </w:p>
    <w:p w14:paraId="5AD2EC35" w14:textId="77777777" w:rsidR="00154FA7" w:rsidRDefault="00154FA7">
      <w:pPr>
        <w:spacing w:line="259" w:lineRule="auto"/>
        <w:rPr>
          <w:rFonts w:eastAsiaTheme="majorEastAsia" w:cstheme="majorBidi"/>
          <w:bCs/>
          <w:iCs/>
          <w:color w:val="008F55" w:themeColor="accent4"/>
        </w:rPr>
      </w:pPr>
      <w:bookmarkStart w:id="88" w:name="_Ref103175746"/>
      <w:bookmarkStart w:id="89" w:name="_Toc129179297"/>
      <w:bookmarkStart w:id="90" w:name="_Toc105084244"/>
      <w:r>
        <w:br w:type="page"/>
      </w:r>
    </w:p>
    <w:p w14:paraId="16921D11" w14:textId="6E3A1D6C" w:rsidR="00052260" w:rsidRDefault="00052260" w:rsidP="00052260">
      <w:r w:rsidRPr="005629F8">
        <w:rPr>
          <w:color w:val="auto"/>
        </w:rPr>
        <w:lastRenderedPageBreak/>
        <w:t xml:space="preserve">In </w:t>
      </w:r>
      <w:r w:rsidRPr="005629F8">
        <w:rPr>
          <w:color w:val="auto"/>
        </w:rPr>
        <w:fldChar w:fldCharType="begin"/>
      </w:r>
      <w:r w:rsidRPr="005629F8">
        <w:rPr>
          <w:color w:val="auto"/>
        </w:rPr>
        <w:instrText xml:space="preserve"> REF _Ref103175746 \h </w:instrText>
      </w:r>
      <w:r w:rsidRPr="005629F8">
        <w:rPr>
          <w:color w:val="auto"/>
        </w:rPr>
      </w:r>
      <w:r w:rsidRPr="005629F8">
        <w:rPr>
          <w:color w:val="auto"/>
        </w:rPr>
        <w:fldChar w:fldCharType="separate"/>
      </w:r>
      <w:r w:rsidRPr="005629F8">
        <w:t xml:space="preserve">Table </w:t>
      </w:r>
      <w:r>
        <w:rPr>
          <w:noProof/>
        </w:rPr>
        <w:t>3</w:t>
      </w:r>
      <w:r w:rsidRPr="005629F8">
        <w:rPr>
          <w:color w:val="auto"/>
        </w:rPr>
        <w:fldChar w:fldCharType="end"/>
      </w:r>
      <w:r w:rsidRPr="005629F8">
        <w:rPr>
          <w:color w:val="auto"/>
        </w:rPr>
        <w:t xml:space="preserve">, percentage </w:t>
      </w:r>
      <w:r w:rsidRPr="00FF0568">
        <w:t>change represents a comparison to the previous NHCDC year.</w:t>
      </w:r>
      <w:r>
        <w:t xml:space="preserve"> T</w:t>
      </w:r>
      <w:r w:rsidRPr="00446F5A">
        <w:t xml:space="preserve">here was a </w:t>
      </w:r>
      <w:r>
        <w:t>1.4</w:t>
      </w:r>
      <w:r w:rsidR="000B694F">
        <w:t>%</w:t>
      </w:r>
      <w:r w:rsidRPr="00446F5A">
        <w:t xml:space="preserve"> </w:t>
      </w:r>
      <w:r>
        <w:t>de</w:t>
      </w:r>
      <w:r w:rsidRPr="00446F5A">
        <w:t>crease in sample separations</w:t>
      </w:r>
      <w:r>
        <w:t xml:space="preserve"> between 2020-21 and 2021-22.</w:t>
      </w:r>
      <w:r w:rsidRPr="00446F5A">
        <w:t xml:space="preserve"> The number of participating hospitals was unchanged, with the </w:t>
      </w:r>
      <w:r>
        <w:t>de</w:t>
      </w:r>
      <w:r w:rsidRPr="00446F5A">
        <w:t xml:space="preserve">crease </w:t>
      </w:r>
      <w:r>
        <w:t xml:space="preserve">in separations </w:t>
      </w:r>
      <w:r w:rsidRPr="00446F5A">
        <w:t xml:space="preserve">driven by </w:t>
      </w:r>
      <w:r>
        <w:t xml:space="preserve">a lower </w:t>
      </w:r>
      <w:r w:rsidRPr="00446F5A">
        <w:t xml:space="preserve">average number of separations per hospital. </w:t>
      </w:r>
      <w:r>
        <w:t>W</w:t>
      </w:r>
      <w:r w:rsidRPr="00F8497C">
        <w:t>hilst it is observed that activity appears to have returned to similar levels prior to COVID</w:t>
      </w:r>
      <w:r>
        <w:t>-19</w:t>
      </w:r>
      <w:r w:rsidRPr="00F8497C">
        <w:t xml:space="preserve">, further analysis on trend data has not been conducted. </w:t>
      </w:r>
    </w:p>
    <w:p w14:paraId="487C05C9" w14:textId="22DA78B2" w:rsidR="00253343" w:rsidRPr="005629F8" w:rsidRDefault="00253343" w:rsidP="00E829BF">
      <w:pPr>
        <w:pStyle w:val="TableFigureheading"/>
      </w:pPr>
      <w:bookmarkStart w:id="91" w:name="_Toc152081871"/>
      <w:r w:rsidRPr="005629F8">
        <w:t xml:space="preserve">Table </w:t>
      </w:r>
      <w:r w:rsidR="00D9779B" w:rsidRPr="005629F8">
        <w:fldChar w:fldCharType="begin"/>
      </w:r>
      <w:r w:rsidR="00D9779B" w:rsidRPr="005629F8">
        <w:instrText xml:space="preserve"> SEQ Table \* ARABIC </w:instrText>
      </w:r>
      <w:r w:rsidR="00D9779B" w:rsidRPr="005629F8">
        <w:fldChar w:fldCharType="separate"/>
      </w:r>
      <w:r w:rsidR="00D3454D">
        <w:rPr>
          <w:noProof/>
        </w:rPr>
        <w:t>3</w:t>
      </w:r>
      <w:r w:rsidR="00D9779B" w:rsidRPr="005629F8">
        <w:rPr>
          <w:noProof/>
        </w:rPr>
        <w:fldChar w:fldCharType="end"/>
      </w:r>
      <w:bookmarkEnd w:id="88"/>
      <w:r w:rsidRPr="005629F8">
        <w:t>.</w:t>
      </w:r>
      <w:r w:rsidRPr="005629F8">
        <w:rPr>
          <w:spacing w:val="-2"/>
        </w:rPr>
        <w:t xml:space="preserve"> </w:t>
      </w:r>
      <w:r w:rsidRPr="005629F8">
        <w:t>Comparison</w:t>
      </w:r>
      <w:r w:rsidRPr="005629F8">
        <w:rPr>
          <w:spacing w:val="-3"/>
        </w:rPr>
        <w:t xml:space="preserve"> </w:t>
      </w:r>
      <w:r w:rsidRPr="005629F8">
        <w:t>of</w:t>
      </w:r>
      <w:r w:rsidRPr="005629F8">
        <w:rPr>
          <w:spacing w:val="-2"/>
        </w:rPr>
        <w:t xml:space="preserve"> </w:t>
      </w:r>
      <w:r w:rsidRPr="005629F8">
        <w:t>separations</w:t>
      </w:r>
      <w:r w:rsidRPr="005629F8">
        <w:rPr>
          <w:spacing w:val="-2"/>
        </w:rPr>
        <w:t xml:space="preserve"> </w:t>
      </w:r>
      <w:r w:rsidRPr="005629F8">
        <w:t>and</w:t>
      </w:r>
      <w:r w:rsidRPr="005629F8">
        <w:rPr>
          <w:spacing w:val="-2"/>
        </w:rPr>
        <w:t xml:space="preserve"> </w:t>
      </w:r>
      <w:r w:rsidRPr="005629F8">
        <w:t>hospitals,</w:t>
      </w:r>
      <w:r w:rsidRPr="005629F8">
        <w:rPr>
          <w:spacing w:val="-1"/>
        </w:rPr>
        <w:t xml:space="preserve"> </w:t>
      </w:r>
      <w:r w:rsidRPr="005629F8">
        <w:t>201</w:t>
      </w:r>
      <w:r w:rsidR="00C04336">
        <w:t>6</w:t>
      </w:r>
      <w:r w:rsidRPr="005629F8">
        <w:t>-1</w:t>
      </w:r>
      <w:r w:rsidR="00C04336">
        <w:t>7</w:t>
      </w:r>
      <w:r w:rsidRPr="005629F8">
        <w:rPr>
          <w:spacing w:val="-1"/>
        </w:rPr>
        <w:t xml:space="preserve"> </w:t>
      </w:r>
      <w:r w:rsidRPr="005629F8">
        <w:t>to</w:t>
      </w:r>
      <w:r w:rsidR="00831484" w:rsidRPr="005629F8">
        <w:t xml:space="preserve"> </w:t>
      </w:r>
      <w:r w:rsidRPr="005629F8">
        <w:t>20</w:t>
      </w:r>
      <w:r w:rsidR="00831484" w:rsidRPr="005629F8">
        <w:t>2</w:t>
      </w:r>
      <w:r w:rsidR="00C04336">
        <w:t>1</w:t>
      </w:r>
      <w:r w:rsidRPr="005629F8">
        <w:t>-</w:t>
      </w:r>
      <w:bookmarkEnd w:id="89"/>
      <w:bookmarkEnd w:id="90"/>
      <w:r w:rsidR="00D84558" w:rsidRPr="005629F8">
        <w:t>2</w:t>
      </w:r>
      <w:r w:rsidR="00C04336">
        <w:t>2</w:t>
      </w:r>
      <w:bookmarkEnd w:id="91"/>
    </w:p>
    <w:tbl>
      <w:tblPr>
        <w:tblW w:w="0" w:type="auto"/>
        <w:tblInd w:w="-30" w:type="dxa"/>
        <w:tblLayout w:type="fixed"/>
        <w:tblLook w:val="0000" w:firstRow="0" w:lastRow="0" w:firstColumn="0" w:lastColumn="0" w:noHBand="0" w:noVBand="0"/>
        <w:tblCaption w:val="Table 2 Comparison of separations and hospitals"/>
        <w:tblDescription w:val="Table 2 contains a more detailed summary of the private hospital participation in the NHCDC. Its columns span the Rounds from Round 17 to Round 24. Its rows are number of sample separations, population separations, participation rate, sample hospitals, population hospitals, average separations per participant, average separation per population hospital, average length of stay and overnight average length of stay."/>
      </w:tblPr>
      <w:tblGrid>
        <w:gridCol w:w="3718"/>
        <w:gridCol w:w="993"/>
        <w:gridCol w:w="989"/>
        <w:gridCol w:w="993"/>
        <w:gridCol w:w="992"/>
        <w:gridCol w:w="992"/>
        <w:gridCol w:w="992"/>
      </w:tblGrid>
      <w:tr w:rsidR="00B04641" w:rsidRPr="0088109E" w14:paraId="266A6D48" w14:textId="77777777" w:rsidTr="00322D32">
        <w:trPr>
          <w:trHeight w:val="305"/>
        </w:trPr>
        <w:tc>
          <w:tcPr>
            <w:tcW w:w="3718" w:type="dxa"/>
            <w:tcBorders>
              <w:top w:val="single" w:sz="6" w:space="0" w:color="auto"/>
              <w:left w:val="nil"/>
              <w:bottom w:val="single" w:sz="6" w:space="0" w:color="auto"/>
              <w:right w:val="single" w:sz="4" w:space="0" w:color="D9D9D9"/>
            </w:tcBorders>
            <w:shd w:val="clear" w:color="auto" w:fill="15272F" w:themeFill="text1"/>
            <w:vAlign w:val="center"/>
          </w:tcPr>
          <w:p w14:paraId="42799919" w14:textId="77777777" w:rsidR="00B04641" w:rsidRPr="005629F8" w:rsidRDefault="00B04641" w:rsidP="00B04641">
            <w:pPr>
              <w:autoSpaceDE w:val="0"/>
              <w:autoSpaceDN w:val="0"/>
              <w:adjustRightInd w:val="0"/>
              <w:spacing w:after="0" w:line="240" w:lineRule="auto"/>
              <w:rPr>
                <w:rFonts w:cs="Arial"/>
                <w:b/>
                <w:bCs/>
                <w:color w:val="FFFFFF" w:themeColor="background2"/>
                <w:sz w:val="16"/>
                <w:szCs w:val="16"/>
              </w:rPr>
            </w:pPr>
            <w:r w:rsidRPr="005629F8">
              <w:rPr>
                <w:rFonts w:cs="Arial"/>
                <w:b/>
                <w:bCs/>
                <w:color w:val="FFFFFF" w:themeColor="background2"/>
                <w:sz w:val="16"/>
                <w:szCs w:val="16"/>
              </w:rPr>
              <w:t>Summary</w:t>
            </w:r>
          </w:p>
        </w:tc>
        <w:tc>
          <w:tcPr>
            <w:tcW w:w="993" w:type="dxa"/>
            <w:tcBorders>
              <w:top w:val="single" w:sz="6" w:space="0" w:color="auto"/>
              <w:left w:val="nil"/>
              <w:bottom w:val="single" w:sz="6" w:space="0" w:color="auto"/>
              <w:right w:val="nil"/>
            </w:tcBorders>
            <w:shd w:val="clear" w:color="auto" w:fill="15272F" w:themeFill="text1"/>
            <w:vAlign w:val="center"/>
          </w:tcPr>
          <w:p w14:paraId="4DF322C2" w14:textId="42328A65"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2016-17</w:t>
            </w:r>
          </w:p>
        </w:tc>
        <w:tc>
          <w:tcPr>
            <w:tcW w:w="989" w:type="dxa"/>
            <w:tcBorders>
              <w:top w:val="single" w:sz="6" w:space="0" w:color="auto"/>
              <w:left w:val="nil"/>
              <w:bottom w:val="single" w:sz="6" w:space="0" w:color="auto"/>
              <w:right w:val="nil"/>
            </w:tcBorders>
            <w:shd w:val="clear" w:color="auto" w:fill="15272F" w:themeFill="text1"/>
            <w:vAlign w:val="center"/>
          </w:tcPr>
          <w:p w14:paraId="03893BAE" w14:textId="5C32AE58"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2017-18</w:t>
            </w:r>
          </w:p>
        </w:tc>
        <w:tc>
          <w:tcPr>
            <w:tcW w:w="993" w:type="dxa"/>
            <w:tcBorders>
              <w:top w:val="single" w:sz="6" w:space="0" w:color="auto"/>
              <w:left w:val="nil"/>
              <w:bottom w:val="single" w:sz="6" w:space="0" w:color="auto"/>
              <w:right w:val="nil"/>
            </w:tcBorders>
            <w:shd w:val="clear" w:color="auto" w:fill="15272F" w:themeFill="text1"/>
            <w:vAlign w:val="center"/>
          </w:tcPr>
          <w:p w14:paraId="42C33576" w14:textId="71A21515"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2018-19</w:t>
            </w:r>
          </w:p>
        </w:tc>
        <w:tc>
          <w:tcPr>
            <w:tcW w:w="992" w:type="dxa"/>
            <w:tcBorders>
              <w:top w:val="single" w:sz="6" w:space="0" w:color="auto"/>
              <w:left w:val="nil"/>
              <w:bottom w:val="single" w:sz="6" w:space="0" w:color="auto"/>
              <w:right w:val="nil"/>
            </w:tcBorders>
            <w:shd w:val="clear" w:color="auto" w:fill="15272F" w:themeFill="text1"/>
            <w:vAlign w:val="center"/>
          </w:tcPr>
          <w:p w14:paraId="55E6D2FF" w14:textId="625FCA4B"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2019-20</w:t>
            </w:r>
          </w:p>
        </w:tc>
        <w:tc>
          <w:tcPr>
            <w:tcW w:w="992" w:type="dxa"/>
            <w:tcBorders>
              <w:top w:val="single" w:sz="6" w:space="0" w:color="auto"/>
              <w:left w:val="nil"/>
              <w:bottom w:val="single" w:sz="6" w:space="0" w:color="auto"/>
              <w:right w:val="nil"/>
            </w:tcBorders>
            <w:shd w:val="clear" w:color="auto" w:fill="15272F" w:themeFill="text1"/>
            <w:vAlign w:val="center"/>
          </w:tcPr>
          <w:p w14:paraId="13396664" w14:textId="35076AD5"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2020-21</w:t>
            </w:r>
          </w:p>
        </w:tc>
        <w:tc>
          <w:tcPr>
            <w:tcW w:w="992" w:type="dxa"/>
            <w:tcBorders>
              <w:top w:val="single" w:sz="6" w:space="0" w:color="auto"/>
              <w:left w:val="nil"/>
              <w:bottom w:val="single" w:sz="6" w:space="0" w:color="auto"/>
              <w:right w:val="nil"/>
            </w:tcBorders>
            <w:shd w:val="clear" w:color="auto" w:fill="15272F" w:themeFill="text1"/>
            <w:vAlign w:val="center"/>
          </w:tcPr>
          <w:p w14:paraId="1C19D76F" w14:textId="1C366B40" w:rsidR="00B04641" w:rsidRPr="005629F8" w:rsidRDefault="00B04641" w:rsidP="0088549E">
            <w:pPr>
              <w:autoSpaceDE w:val="0"/>
              <w:autoSpaceDN w:val="0"/>
              <w:adjustRightInd w:val="0"/>
              <w:spacing w:after="0" w:line="240" w:lineRule="auto"/>
              <w:jc w:val="center"/>
              <w:rPr>
                <w:rFonts w:cs="Arial"/>
                <w:b/>
                <w:bCs/>
                <w:color w:val="FFFFFF" w:themeColor="background2"/>
                <w:sz w:val="16"/>
                <w:szCs w:val="16"/>
              </w:rPr>
            </w:pPr>
            <w:r w:rsidRPr="005629F8">
              <w:rPr>
                <w:rFonts w:cs="Arial"/>
                <w:b/>
                <w:bCs/>
                <w:color w:val="FFFFFF" w:themeColor="background2"/>
                <w:sz w:val="16"/>
                <w:szCs w:val="16"/>
              </w:rPr>
              <w:t>202</w:t>
            </w:r>
            <w:r>
              <w:rPr>
                <w:rFonts w:cs="Arial"/>
                <w:b/>
                <w:bCs/>
                <w:color w:val="FFFFFF" w:themeColor="background2"/>
                <w:sz w:val="16"/>
                <w:szCs w:val="16"/>
              </w:rPr>
              <w:t>1-</w:t>
            </w:r>
            <w:r w:rsidRPr="005629F8">
              <w:rPr>
                <w:rFonts w:cs="Arial"/>
                <w:b/>
                <w:bCs/>
                <w:color w:val="FFFFFF" w:themeColor="background2"/>
                <w:sz w:val="16"/>
                <w:szCs w:val="16"/>
              </w:rPr>
              <w:t>2</w:t>
            </w:r>
            <w:r>
              <w:rPr>
                <w:rFonts w:cs="Arial"/>
                <w:b/>
                <w:bCs/>
                <w:color w:val="FFFFFF" w:themeColor="background2"/>
                <w:sz w:val="16"/>
                <w:szCs w:val="16"/>
              </w:rPr>
              <w:t>2</w:t>
            </w:r>
          </w:p>
        </w:tc>
      </w:tr>
      <w:tr w:rsidR="00B04641" w:rsidRPr="0088109E" w14:paraId="7E005438" w14:textId="77777777" w:rsidTr="001F45C3">
        <w:trPr>
          <w:trHeight w:val="302"/>
        </w:trPr>
        <w:tc>
          <w:tcPr>
            <w:tcW w:w="3718" w:type="dxa"/>
            <w:tcBorders>
              <w:top w:val="single" w:sz="6" w:space="0" w:color="auto"/>
              <w:left w:val="nil"/>
              <w:bottom w:val="single" w:sz="4" w:space="0" w:color="D9D9D9" w:themeColor="background2" w:themeShade="D9"/>
              <w:right w:val="single" w:sz="4" w:space="0" w:color="D9D9D9"/>
            </w:tcBorders>
            <w:vAlign w:val="center"/>
          </w:tcPr>
          <w:p w14:paraId="5BEF2039"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Sample separations</w:t>
            </w:r>
          </w:p>
        </w:tc>
        <w:tc>
          <w:tcPr>
            <w:tcW w:w="993" w:type="dxa"/>
            <w:tcBorders>
              <w:top w:val="nil"/>
              <w:left w:val="nil"/>
              <w:bottom w:val="nil"/>
              <w:right w:val="nil"/>
            </w:tcBorders>
            <w:shd w:val="clear" w:color="auto" w:fill="auto"/>
            <w:vAlign w:val="center"/>
          </w:tcPr>
          <w:p w14:paraId="7FB405F7" w14:textId="277EF9F2"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1,923,310</w:t>
            </w:r>
          </w:p>
        </w:tc>
        <w:tc>
          <w:tcPr>
            <w:tcW w:w="989" w:type="dxa"/>
            <w:tcBorders>
              <w:top w:val="nil"/>
              <w:left w:val="nil"/>
              <w:bottom w:val="nil"/>
              <w:right w:val="nil"/>
            </w:tcBorders>
            <w:shd w:val="clear" w:color="auto" w:fill="auto"/>
            <w:vAlign w:val="center"/>
          </w:tcPr>
          <w:p w14:paraId="3855DE13" w14:textId="49077F23"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2,173,847</w:t>
            </w:r>
          </w:p>
        </w:tc>
        <w:tc>
          <w:tcPr>
            <w:tcW w:w="993" w:type="dxa"/>
            <w:tcBorders>
              <w:top w:val="nil"/>
              <w:left w:val="nil"/>
              <w:bottom w:val="nil"/>
              <w:right w:val="nil"/>
            </w:tcBorders>
            <w:shd w:val="clear" w:color="auto" w:fill="auto"/>
            <w:vAlign w:val="center"/>
          </w:tcPr>
          <w:p w14:paraId="513556CB" w14:textId="40B6CA96"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2,234,143</w:t>
            </w:r>
          </w:p>
        </w:tc>
        <w:tc>
          <w:tcPr>
            <w:tcW w:w="992" w:type="dxa"/>
            <w:tcBorders>
              <w:top w:val="nil"/>
              <w:left w:val="nil"/>
              <w:bottom w:val="nil"/>
              <w:right w:val="nil"/>
            </w:tcBorders>
            <w:shd w:val="clear" w:color="auto" w:fill="auto"/>
            <w:vAlign w:val="center"/>
          </w:tcPr>
          <w:p w14:paraId="064F8610" w14:textId="2D9AB1BA"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2,067,714</w:t>
            </w:r>
          </w:p>
        </w:tc>
        <w:tc>
          <w:tcPr>
            <w:tcW w:w="992" w:type="dxa"/>
            <w:tcBorders>
              <w:top w:val="nil"/>
              <w:left w:val="nil"/>
              <w:bottom w:val="nil"/>
              <w:right w:val="nil"/>
            </w:tcBorders>
            <w:shd w:val="clear" w:color="auto" w:fill="auto"/>
            <w:vAlign w:val="center"/>
          </w:tcPr>
          <w:p w14:paraId="33D6BEE6" w14:textId="1263AB27"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2,277,973</w:t>
            </w:r>
          </w:p>
        </w:tc>
        <w:tc>
          <w:tcPr>
            <w:tcW w:w="992" w:type="dxa"/>
            <w:tcBorders>
              <w:top w:val="nil"/>
              <w:left w:val="nil"/>
              <w:bottom w:val="nil"/>
              <w:right w:val="nil"/>
            </w:tcBorders>
            <w:shd w:val="clear" w:color="000000" w:fill="F2F2F2"/>
            <w:vAlign w:val="center"/>
          </w:tcPr>
          <w:p w14:paraId="5066420A" w14:textId="4DC4B970"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2,244,974</w:t>
            </w:r>
          </w:p>
        </w:tc>
      </w:tr>
      <w:tr w:rsidR="00B04641" w:rsidRPr="0088109E" w14:paraId="61694FA5" w14:textId="77777777" w:rsidTr="001F45C3">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6DABD955"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Change in separations (%)</w:t>
            </w:r>
          </w:p>
        </w:tc>
        <w:tc>
          <w:tcPr>
            <w:tcW w:w="993" w:type="dxa"/>
            <w:tcBorders>
              <w:top w:val="nil"/>
              <w:left w:val="nil"/>
              <w:bottom w:val="nil"/>
              <w:right w:val="nil"/>
            </w:tcBorders>
            <w:shd w:val="clear" w:color="auto" w:fill="auto"/>
            <w:vAlign w:val="center"/>
          </w:tcPr>
          <w:p w14:paraId="74BD8EC8" w14:textId="2F4E5875"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7.9</w:t>
            </w:r>
          </w:p>
        </w:tc>
        <w:tc>
          <w:tcPr>
            <w:tcW w:w="989" w:type="dxa"/>
            <w:tcBorders>
              <w:top w:val="nil"/>
              <w:left w:val="nil"/>
              <w:bottom w:val="nil"/>
              <w:right w:val="nil"/>
            </w:tcBorders>
            <w:shd w:val="clear" w:color="auto" w:fill="auto"/>
            <w:vAlign w:val="center"/>
          </w:tcPr>
          <w:p w14:paraId="271B8711" w14:textId="1736E12B"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13.0</w:t>
            </w:r>
          </w:p>
        </w:tc>
        <w:tc>
          <w:tcPr>
            <w:tcW w:w="993" w:type="dxa"/>
            <w:tcBorders>
              <w:top w:val="nil"/>
              <w:left w:val="nil"/>
              <w:bottom w:val="nil"/>
              <w:right w:val="nil"/>
            </w:tcBorders>
            <w:shd w:val="clear" w:color="auto" w:fill="auto"/>
            <w:vAlign w:val="center"/>
          </w:tcPr>
          <w:p w14:paraId="66196D1E" w14:textId="649737A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2.8</w:t>
            </w:r>
          </w:p>
        </w:tc>
        <w:tc>
          <w:tcPr>
            <w:tcW w:w="992" w:type="dxa"/>
            <w:tcBorders>
              <w:top w:val="nil"/>
              <w:left w:val="nil"/>
              <w:bottom w:val="nil"/>
              <w:right w:val="nil"/>
            </w:tcBorders>
            <w:shd w:val="clear" w:color="auto" w:fill="auto"/>
            <w:vAlign w:val="center"/>
          </w:tcPr>
          <w:p w14:paraId="787BFED9" w14:textId="70A8D9C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-7.4</w:t>
            </w:r>
          </w:p>
        </w:tc>
        <w:tc>
          <w:tcPr>
            <w:tcW w:w="992" w:type="dxa"/>
            <w:tcBorders>
              <w:top w:val="nil"/>
              <w:left w:val="nil"/>
              <w:bottom w:val="nil"/>
              <w:right w:val="nil"/>
            </w:tcBorders>
            <w:shd w:val="clear" w:color="auto" w:fill="auto"/>
            <w:vAlign w:val="center"/>
          </w:tcPr>
          <w:p w14:paraId="47ECBAB3" w14:textId="058B7F95"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10.2</w:t>
            </w:r>
          </w:p>
        </w:tc>
        <w:tc>
          <w:tcPr>
            <w:tcW w:w="992" w:type="dxa"/>
            <w:tcBorders>
              <w:top w:val="nil"/>
              <w:left w:val="nil"/>
              <w:bottom w:val="nil"/>
              <w:right w:val="nil"/>
            </w:tcBorders>
            <w:shd w:val="clear" w:color="000000" w:fill="F2F2F2"/>
            <w:vAlign w:val="center"/>
          </w:tcPr>
          <w:p w14:paraId="5FC34635" w14:textId="44F74E09"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-1.4</w:t>
            </w:r>
          </w:p>
        </w:tc>
      </w:tr>
      <w:tr w:rsidR="00B04641" w:rsidRPr="0088109E" w14:paraId="480B66F0" w14:textId="77777777" w:rsidTr="001F45C3">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20215877" w14:textId="77777777" w:rsidR="00B04641" w:rsidRPr="005629F8" w:rsidRDefault="00B04641" w:rsidP="00B04641">
            <w:pPr>
              <w:autoSpaceDE w:val="0"/>
              <w:autoSpaceDN w:val="0"/>
              <w:adjustRightInd w:val="0"/>
              <w:spacing w:after="0" w:line="240" w:lineRule="auto"/>
              <w:rPr>
                <w:rFonts w:cs="Arial"/>
                <w:color w:val="000000"/>
                <w:sz w:val="16"/>
                <w:szCs w:val="16"/>
              </w:rPr>
            </w:pPr>
            <w:proofErr w:type="spellStart"/>
            <w:r w:rsidRPr="005629F8">
              <w:rPr>
                <w:rFonts w:cs="Arial"/>
                <w:color w:val="000000"/>
                <w:sz w:val="16"/>
                <w:szCs w:val="16"/>
              </w:rPr>
              <w:t>Sameday</w:t>
            </w:r>
            <w:proofErr w:type="spellEnd"/>
            <w:r w:rsidRPr="005629F8">
              <w:rPr>
                <w:rFonts w:cs="Arial"/>
                <w:color w:val="000000"/>
                <w:sz w:val="16"/>
                <w:szCs w:val="16"/>
              </w:rPr>
              <w:t xml:space="preserve"> separations^</w:t>
            </w:r>
          </w:p>
        </w:tc>
        <w:tc>
          <w:tcPr>
            <w:tcW w:w="993" w:type="dxa"/>
            <w:tcBorders>
              <w:top w:val="nil"/>
              <w:left w:val="nil"/>
              <w:bottom w:val="nil"/>
              <w:right w:val="nil"/>
            </w:tcBorders>
            <w:shd w:val="clear" w:color="auto" w:fill="auto"/>
            <w:vAlign w:val="center"/>
          </w:tcPr>
          <w:p w14:paraId="3A4B99CF" w14:textId="7A2B8AB5"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1,145,180</w:t>
            </w:r>
          </w:p>
        </w:tc>
        <w:tc>
          <w:tcPr>
            <w:tcW w:w="989" w:type="dxa"/>
            <w:tcBorders>
              <w:top w:val="nil"/>
              <w:left w:val="nil"/>
              <w:bottom w:val="nil"/>
              <w:right w:val="nil"/>
            </w:tcBorders>
            <w:shd w:val="clear" w:color="auto" w:fill="auto"/>
            <w:vAlign w:val="center"/>
          </w:tcPr>
          <w:p w14:paraId="0158661B" w14:textId="7433C88A"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1,276,764</w:t>
            </w:r>
          </w:p>
        </w:tc>
        <w:tc>
          <w:tcPr>
            <w:tcW w:w="993" w:type="dxa"/>
            <w:tcBorders>
              <w:top w:val="nil"/>
              <w:left w:val="nil"/>
              <w:bottom w:val="nil"/>
              <w:right w:val="nil"/>
            </w:tcBorders>
            <w:shd w:val="clear" w:color="auto" w:fill="auto"/>
            <w:vAlign w:val="center"/>
          </w:tcPr>
          <w:p w14:paraId="3751CD5C" w14:textId="233B0CDB"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1,333,671</w:t>
            </w:r>
          </w:p>
        </w:tc>
        <w:tc>
          <w:tcPr>
            <w:tcW w:w="992" w:type="dxa"/>
            <w:tcBorders>
              <w:top w:val="nil"/>
              <w:left w:val="nil"/>
              <w:bottom w:val="nil"/>
              <w:right w:val="nil"/>
            </w:tcBorders>
            <w:shd w:val="clear" w:color="auto" w:fill="auto"/>
            <w:vAlign w:val="center"/>
          </w:tcPr>
          <w:p w14:paraId="58401B10" w14:textId="7550E81E"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1,240,161</w:t>
            </w:r>
          </w:p>
        </w:tc>
        <w:tc>
          <w:tcPr>
            <w:tcW w:w="992" w:type="dxa"/>
            <w:tcBorders>
              <w:top w:val="nil"/>
              <w:left w:val="nil"/>
              <w:bottom w:val="nil"/>
              <w:right w:val="nil"/>
            </w:tcBorders>
            <w:shd w:val="clear" w:color="auto" w:fill="auto"/>
            <w:vAlign w:val="center"/>
          </w:tcPr>
          <w:p w14:paraId="2E5B158C" w14:textId="75891AF4"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1,381,333</w:t>
            </w:r>
          </w:p>
        </w:tc>
        <w:tc>
          <w:tcPr>
            <w:tcW w:w="992" w:type="dxa"/>
            <w:tcBorders>
              <w:top w:val="nil"/>
              <w:left w:val="nil"/>
              <w:bottom w:val="nil"/>
              <w:right w:val="nil"/>
            </w:tcBorders>
            <w:shd w:val="clear" w:color="000000" w:fill="F2F2F2"/>
            <w:vAlign w:val="center"/>
          </w:tcPr>
          <w:p w14:paraId="77566270" w14:textId="3E3ACC15"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1,381,173</w:t>
            </w:r>
          </w:p>
        </w:tc>
      </w:tr>
      <w:tr w:rsidR="00B04641" w:rsidRPr="0088109E" w14:paraId="4B291C3A" w14:textId="77777777" w:rsidTr="001F45C3">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7878CF97"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 xml:space="preserve">Change in </w:t>
            </w:r>
            <w:proofErr w:type="spellStart"/>
            <w:r w:rsidRPr="005629F8">
              <w:rPr>
                <w:rFonts w:cs="Arial"/>
                <w:color w:val="000000"/>
                <w:sz w:val="16"/>
                <w:szCs w:val="16"/>
              </w:rPr>
              <w:t>sameday</w:t>
            </w:r>
            <w:proofErr w:type="spellEnd"/>
            <w:r w:rsidRPr="005629F8">
              <w:rPr>
                <w:rFonts w:cs="Arial"/>
                <w:color w:val="000000"/>
                <w:sz w:val="16"/>
                <w:szCs w:val="16"/>
              </w:rPr>
              <w:t xml:space="preserve"> separations (%)</w:t>
            </w:r>
          </w:p>
        </w:tc>
        <w:tc>
          <w:tcPr>
            <w:tcW w:w="993" w:type="dxa"/>
            <w:tcBorders>
              <w:top w:val="nil"/>
              <w:left w:val="nil"/>
              <w:bottom w:val="nil"/>
              <w:right w:val="nil"/>
            </w:tcBorders>
            <w:shd w:val="clear" w:color="auto" w:fill="auto"/>
            <w:vAlign w:val="center"/>
          </w:tcPr>
          <w:p w14:paraId="4DC0BBDB" w14:textId="464156C7"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12.1</w:t>
            </w:r>
          </w:p>
        </w:tc>
        <w:tc>
          <w:tcPr>
            <w:tcW w:w="989" w:type="dxa"/>
            <w:tcBorders>
              <w:top w:val="nil"/>
              <w:left w:val="nil"/>
              <w:bottom w:val="nil"/>
              <w:right w:val="nil"/>
            </w:tcBorders>
            <w:shd w:val="clear" w:color="auto" w:fill="auto"/>
            <w:vAlign w:val="center"/>
          </w:tcPr>
          <w:p w14:paraId="75F39EE4" w14:textId="5EF62B3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11.5</w:t>
            </w:r>
          </w:p>
        </w:tc>
        <w:tc>
          <w:tcPr>
            <w:tcW w:w="993" w:type="dxa"/>
            <w:tcBorders>
              <w:top w:val="nil"/>
              <w:left w:val="nil"/>
              <w:bottom w:val="nil"/>
              <w:right w:val="nil"/>
            </w:tcBorders>
            <w:shd w:val="clear" w:color="auto" w:fill="auto"/>
            <w:vAlign w:val="center"/>
          </w:tcPr>
          <w:p w14:paraId="1E2384F8" w14:textId="253E3F7C"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4.5</w:t>
            </w:r>
          </w:p>
        </w:tc>
        <w:tc>
          <w:tcPr>
            <w:tcW w:w="992" w:type="dxa"/>
            <w:tcBorders>
              <w:top w:val="nil"/>
              <w:left w:val="nil"/>
              <w:bottom w:val="nil"/>
              <w:right w:val="nil"/>
            </w:tcBorders>
            <w:shd w:val="clear" w:color="auto" w:fill="auto"/>
            <w:vAlign w:val="center"/>
          </w:tcPr>
          <w:p w14:paraId="53B0E68C" w14:textId="4E093FEB"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-7.0</w:t>
            </w:r>
          </w:p>
        </w:tc>
        <w:tc>
          <w:tcPr>
            <w:tcW w:w="992" w:type="dxa"/>
            <w:tcBorders>
              <w:top w:val="nil"/>
              <w:left w:val="nil"/>
              <w:bottom w:val="nil"/>
              <w:right w:val="nil"/>
            </w:tcBorders>
            <w:shd w:val="clear" w:color="auto" w:fill="auto"/>
            <w:vAlign w:val="center"/>
          </w:tcPr>
          <w:p w14:paraId="44897B80" w14:textId="3A93EDBC"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11.4</w:t>
            </w:r>
          </w:p>
        </w:tc>
        <w:tc>
          <w:tcPr>
            <w:tcW w:w="992" w:type="dxa"/>
            <w:tcBorders>
              <w:top w:val="nil"/>
              <w:left w:val="nil"/>
              <w:bottom w:val="nil"/>
              <w:right w:val="nil"/>
            </w:tcBorders>
            <w:shd w:val="clear" w:color="000000" w:fill="F2F2F2"/>
            <w:vAlign w:val="center"/>
          </w:tcPr>
          <w:p w14:paraId="6953B3E4" w14:textId="15B3A222"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0.0</w:t>
            </w:r>
          </w:p>
        </w:tc>
      </w:tr>
      <w:tr w:rsidR="00B04641" w:rsidRPr="0088109E" w14:paraId="133DEA71" w14:textId="77777777" w:rsidTr="001F45C3">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032CB437"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Population separations</w:t>
            </w:r>
          </w:p>
        </w:tc>
        <w:tc>
          <w:tcPr>
            <w:tcW w:w="993" w:type="dxa"/>
            <w:tcBorders>
              <w:top w:val="nil"/>
              <w:left w:val="nil"/>
              <w:bottom w:val="nil"/>
              <w:right w:val="nil"/>
            </w:tcBorders>
            <w:shd w:val="clear" w:color="auto" w:fill="auto"/>
            <w:vAlign w:val="center"/>
          </w:tcPr>
          <w:p w14:paraId="650A5EF8" w14:textId="1CC2782C"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3,242,411</w:t>
            </w:r>
          </w:p>
        </w:tc>
        <w:tc>
          <w:tcPr>
            <w:tcW w:w="989" w:type="dxa"/>
            <w:tcBorders>
              <w:top w:val="nil"/>
              <w:left w:val="nil"/>
              <w:bottom w:val="nil"/>
              <w:right w:val="nil"/>
            </w:tcBorders>
            <w:shd w:val="clear" w:color="auto" w:fill="auto"/>
            <w:vAlign w:val="center"/>
          </w:tcPr>
          <w:p w14:paraId="59EA4AC1" w14:textId="7E1AB112"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3,297,288</w:t>
            </w:r>
          </w:p>
        </w:tc>
        <w:tc>
          <w:tcPr>
            <w:tcW w:w="993" w:type="dxa"/>
            <w:tcBorders>
              <w:top w:val="nil"/>
              <w:left w:val="nil"/>
              <w:bottom w:val="nil"/>
              <w:right w:val="nil"/>
            </w:tcBorders>
            <w:shd w:val="clear" w:color="auto" w:fill="auto"/>
            <w:vAlign w:val="center"/>
          </w:tcPr>
          <w:p w14:paraId="0C42A5DC" w14:textId="08B7871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3,430,288</w:t>
            </w:r>
          </w:p>
        </w:tc>
        <w:tc>
          <w:tcPr>
            <w:tcW w:w="992" w:type="dxa"/>
            <w:tcBorders>
              <w:top w:val="nil"/>
              <w:left w:val="nil"/>
              <w:bottom w:val="nil"/>
              <w:right w:val="nil"/>
            </w:tcBorders>
            <w:shd w:val="clear" w:color="auto" w:fill="auto"/>
            <w:vAlign w:val="center"/>
          </w:tcPr>
          <w:p w14:paraId="73E190EE" w14:textId="1494AC76"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3,184,312</w:t>
            </w:r>
          </w:p>
        </w:tc>
        <w:tc>
          <w:tcPr>
            <w:tcW w:w="992" w:type="dxa"/>
            <w:tcBorders>
              <w:top w:val="nil"/>
              <w:left w:val="nil"/>
              <w:bottom w:val="nil"/>
              <w:right w:val="nil"/>
            </w:tcBorders>
            <w:shd w:val="clear" w:color="auto" w:fill="auto"/>
            <w:vAlign w:val="center"/>
          </w:tcPr>
          <w:p w14:paraId="2F81FA84" w14:textId="3B0CDD9C"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3,487,127</w:t>
            </w:r>
          </w:p>
        </w:tc>
        <w:tc>
          <w:tcPr>
            <w:tcW w:w="992" w:type="dxa"/>
            <w:tcBorders>
              <w:top w:val="nil"/>
              <w:left w:val="nil"/>
              <w:bottom w:val="nil"/>
              <w:right w:val="nil"/>
            </w:tcBorders>
            <w:shd w:val="clear" w:color="000000" w:fill="F2F2F2"/>
            <w:vAlign w:val="center"/>
          </w:tcPr>
          <w:p w14:paraId="28745DC4" w14:textId="17982539"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3,431,160</w:t>
            </w:r>
          </w:p>
        </w:tc>
      </w:tr>
      <w:tr w:rsidR="00B04641" w:rsidRPr="0088109E" w14:paraId="588DFCEA" w14:textId="77777777" w:rsidTr="001F45C3">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4957BA68"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Participation rate (%)</w:t>
            </w:r>
          </w:p>
        </w:tc>
        <w:tc>
          <w:tcPr>
            <w:tcW w:w="993" w:type="dxa"/>
            <w:tcBorders>
              <w:top w:val="nil"/>
              <w:left w:val="nil"/>
              <w:bottom w:val="nil"/>
              <w:right w:val="nil"/>
            </w:tcBorders>
            <w:shd w:val="clear" w:color="auto" w:fill="auto"/>
            <w:vAlign w:val="center"/>
          </w:tcPr>
          <w:p w14:paraId="4596FAF4" w14:textId="0CA03CF1"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59.3</w:t>
            </w:r>
          </w:p>
        </w:tc>
        <w:tc>
          <w:tcPr>
            <w:tcW w:w="989" w:type="dxa"/>
            <w:tcBorders>
              <w:top w:val="nil"/>
              <w:left w:val="nil"/>
              <w:bottom w:val="nil"/>
              <w:right w:val="nil"/>
            </w:tcBorders>
            <w:shd w:val="clear" w:color="auto" w:fill="auto"/>
            <w:vAlign w:val="center"/>
          </w:tcPr>
          <w:p w14:paraId="4C262DF1" w14:textId="349A6AD6"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65.9</w:t>
            </w:r>
          </w:p>
        </w:tc>
        <w:tc>
          <w:tcPr>
            <w:tcW w:w="993" w:type="dxa"/>
            <w:tcBorders>
              <w:top w:val="nil"/>
              <w:left w:val="nil"/>
              <w:bottom w:val="nil"/>
              <w:right w:val="nil"/>
            </w:tcBorders>
            <w:shd w:val="clear" w:color="auto" w:fill="auto"/>
            <w:vAlign w:val="center"/>
          </w:tcPr>
          <w:p w14:paraId="6FBD6571" w14:textId="08D5BECE"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65.1</w:t>
            </w:r>
          </w:p>
        </w:tc>
        <w:tc>
          <w:tcPr>
            <w:tcW w:w="992" w:type="dxa"/>
            <w:tcBorders>
              <w:top w:val="nil"/>
              <w:left w:val="nil"/>
              <w:bottom w:val="nil"/>
              <w:right w:val="nil"/>
            </w:tcBorders>
            <w:shd w:val="clear" w:color="auto" w:fill="auto"/>
            <w:vAlign w:val="center"/>
          </w:tcPr>
          <w:p w14:paraId="4FE999A9" w14:textId="709FC782"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64.9</w:t>
            </w:r>
          </w:p>
        </w:tc>
        <w:tc>
          <w:tcPr>
            <w:tcW w:w="992" w:type="dxa"/>
            <w:tcBorders>
              <w:top w:val="nil"/>
              <w:left w:val="nil"/>
              <w:bottom w:val="nil"/>
              <w:right w:val="nil"/>
            </w:tcBorders>
            <w:shd w:val="clear" w:color="auto" w:fill="auto"/>
            <w:vAlign w:val="center"/>
          </w:tcPr>
          <w:p w14:paraId="4FB8BABD" w14:textId="226DD406"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65.3</w:t>
            </w:r>
          </w:p>
        </w:tc>
        <w:tc>
          <w:tcPr>
            <w:tcW w:w="992" w:type="dxa"/>
            <w:tcBorders>
              <w:top w:val="nil"/>
              <w:left w:val="nil"/>
              <w:bottom w:val="nil"/>
              <w:right w:val="nil"/>
            </w:tcBorders>
            <w:shd w:val="clear" w:color="000000" w:fill="F2F2F2"/>
            <w:vAlign w:val="center"/>
          </w:tcPr>
          <w:p w14:paraId="7CE0D666" w14:textId="3FA58F85"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65.4</w:t>
            </w:r>
          </w:p>
        </w:tc>
      </w:tr>
      <w:tr w:rsidR="00B04641" w:rsidRPr="0088109E" w14:paraId="290BA920" w14:textId="77777777" w:rsidTr="001F45C3">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5A2C9292"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Sample hospitals</w:t>
            </w:r>
          </w:p>
        </w:tc>
        <w:tc>
          <w:tcPr>
            <w:tcW w:w="993" w:type="dxa"/>
            <w:tcBorders>
              <w:top w:val="nil"/>
              <w:left w:val="nil"/>
              <w:bottom w:val="nil"/>
              <w:right w:val="nil"/>
            </w:tcBorders>
            <w:shd w:val="clear" w:color="auto" w:fill="auto"/>
            <w:vAlign w:val="center"/>
          </w:tcPr>
          <w:p w14:paraId="7AFFC4A6" w14:textId="37A925C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105</w:t>
            </w:r>
          </w:p>
        </w:tc>
        <w:tc>
          <w:tcPr>
            <w:tcW w:w="989" w:type="dxa"/>
            <w:tcBorders>
              <w:top w:val="nil"/>
              <w:left w:val="nil"/>
              <w:bottom w:val="nil"/>
              <w:right w:val="nil"/>
            </w:tcBorders>
            <w:shd w:val="clear" w:color="auto" w:fill="auto"/>
            <w:vAlign w:val="center"/>
          </w:tcPr>
          <w:p w14:paraId="41281DCC" w14:textId="1DA7290B"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112</w:t>
            </w:r>
          </w:p>
        </w:tc>
        <w:tc>
          <w:tcPr>
            <w:tcW w:w="993" w:type="dxa"/>
            <w:tcBorders>
              <w:top w:val="nil"/>
              <w:left w:val="nil"/>
              <w:bottom w:val="nil"/>
              <w:right w:val="nil"/>
            </w:tcBorders>
            <w:shd w:val="clear" w:color="auto" w:fill="auto"/>
            <w:vAlign w:val="center"/>
          </w:tcPr>
          <w:p w14:paraId="3B0C00F0" w14:textId="5AE124A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108</w:t>
            </w:r>
          </w:p>
        </w:tc>
        <w:tc>
          <w:tcPr>
            <w:tcW w:w="992" w:type="dxa"/>
            <w:tcBorders>
              <w:top w:val="nil"/>
              <w:left w:val="nil"/>
              <w:bottom w:val="nil"/>
              <w:right w:val="nil"/>
            </w:tcBorders>
            <w:shd w:val="clear" w:color="auto" w:fill="auto"/>
            <w:vAlign w:val="center"/>
          </w:tcPr>
          <w:p w14:paraId="568CCB42" w14:textId="2B58BCD0"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103</w:t>
            </w:r>
          </w:p>
        </w:tc>
        <w:tc>
          <w:tcPr>
            <w:tcW w:w="992" w:type="dxa"/>
            <w:tcBorders>
              <w:top w:val="nil"/>
              <w:left w:val="nil"/>
              <w:bottom w:val="nil"/>
              <w:right w:val="nil"/>
            </w:tcBorders>
            <w:shd w:val="clear" w:color="auto" w:fill="auto"/>
            <w:vAlign w:val="center"/>
          </w:tcPr>
          <w:p w14:paraId="725E752C" w14:textId="50F0FDDE"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103</w:t>
            </w:r>
          </w:p>
        </w:tc>
        <w:tc>
          <w:tcPr>
            <w:tcW w:w="992" w:type="dxa"/>
            <w:tcBorders>
              <w:top w:val="nil"/>
              <w:left w:val="nil"/>
              <w:bottom w:val="nil"/>
              <w:right w:val="nil"/>
            </w:tcBorders>
            <w:shd w:val="clear" w:color="000000" w:fill="F2F2F2"/>
            <w:vAlign w:val="center"/>
          </w:tcPr>
          <w:p w14:paraId="2CC1FCCA" w14:textId="0EDE11E1"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103</w:t>
            </w:r>
          </w:p>
        </w:tc>
      </w:tr>
      <w:tr w:rsidR="00B04641" w:rsidRPr="0088109E" w14:paraId="370E3CB7" w14:textId="77777777" w:rsidTr="001F45C3">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3F63FF00"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Change in sample hospitals (%)</w:t>
            </w:r>
          </w:p>
        </w:tc>
        <w:tc>
          <w:tcPr>
            <w:tcW w:w="993" w:type="dxa"/>
            <w:tcBorders>
              <w:top w:val="nil"/>
              <w:left w:val="nil"/>
              <w:bottom w:val="nil"/>
              <w:right w:val="nil"/>
            </w:tcBorders>
            <w:shd w:val="clear" w:color="auto" w:fill="auto"/>
            <w:vAlign w:val="center"/>
          </w:tcPr>
          <w:p w14:paraId="7A3A7CB0" w14:textId="2BC512C7"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15.4</w:t>
            </w:r>
          </w:p>
        </w:tc>
        <w:tc>
          <w:tcPr>
            <w:tcW w:w="989" w:type="dxa"/>
            <w:tcBorders>
              <w:top w:val="nil"/>
              <w:left w:val="nil"/>
              <w:bottom w:val="nil"/>
              <w:right w:val="nil"/>
            </w:tcBorders>
            <w:shd w:val="clear" w:color="auto" w:fill="auto"/>
            <w:vAlign w:val="center"/>
          </w:tcPr>
          <w:p w14:paraId="30CE560A" w14:textId="14AD3B3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6.7</w:t>
            </w:r>
          </w:p>
        </w:tc>
        <w:tc>
          <w:tcPr>
            <w:tcW w:w="993" w:type="dxa"/>
            <w:tcBorders>
              <w:top w:val="nil"/>
              <w:left w:val="nil"/>
              <w:bottom w:val="nil"/>
              <w:right w:val="nil"/>
            </w:tcBorders>
            <w:shd w:val="clear" w:color="auto" w:fill="auto"/>
            <w:vAlign w:val="center"/>
          </w:tcPr>
          <w:p w14:paraId="76C778E6" w14:textId="5898C9F8"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-3.6</w:t>
            </w:r>
          </w:p>
        </w:tc>
        <w:tc>
          <w:tcPr>
            <w:tcW w:w="992" w:type="dxa"/>
            <w:tcBorders>
              <w:top w:val="nil"/>
              <w:left w:val="nil"/>
              <w:bottom w:val="nil"/>
              <w:right w:val="nil"/>
            </w:tcBorders>
            <w:shd w:val="clear" w:color="auto" w:fill="auto"/>
            <w:vAlign w:val="center"/>
          </w:tcPr>
          <w:p w14:paraId="5D760364" w14:textId="3C118B88"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-4.6</w:t>
            </w:r>
          </w:p>
        </w:tc>
        <w:tc>
          <w:tcPr>
            <w:tcW w:w="992" w:type="dxa"/>
            <w:tcBorders>
              <w:top w:val="nil"/>
              <w:left w:val="nil"/>
              <w:bottom w:val="nil"/>
              <w:right w:val="nil"/>
            </w:tcBorders>
            <w:shd w:val="clear" w:color="auto" w:fill="auto"/>
            <w:vAlign w:val="center"/>
          </w:tcPr>
          <w:p w14:paraId="136D0CA4" w14:textId="36755E63"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0.0</w:t>
            </w:r>
          </w:p>
        </w:tc>
        <w:tc>
          <w:tcPr>
            <w:tcW w:w="992" w:type="dxa"/>
            <w:tcBorders>
              <w:top w:val="nil"/>
              <w:left w:val="nil"/>
              <w:bottom w:val="nil"/>
              <w:right w:val="nil"/>
            </w:tcBorders>
            <w:shd w:val="clear" w:color="000000" w:fill="F2F2F2"/>
            <w:vAlign w:val="center"/>
          </w:tcPr>
          <w:p w14:paraId="598AA5FA" w14:textId="1BA1476C"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0.0</w:t>
            </w:r>
          </w:p>
        </w:tc>
      </w:tr>
      <w:tr w:rsidR="00B04641" w:rsidRPr="0088109E" w14:paraId="0204EB94" w14:textId="77777777" w:rsidTr="001F45C3">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383C0A9A"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Population hospitals</w:t>
            </w:r>
          </w:p>
        </w:tc>
        <w:tc>
          <w:tcPr>
            <w:tcW w:w="993" w:type="dxa"/>
            <w:tcBorders>
              <w:top w:val="nil"/>
              <w:left w:val="nil"/>
              <w:bottom w:val="nil"/>
              <w:right w:val="nil"/>
            </w:tcBorders>
            <w:shd w:val="clear" w:color="auto" w:fill="auto"/>
            <w:vAlign w:val="center"/>
          </w:tcPr>
          <w:p w14:paraId="726F92C7" w14:textId="7DBEC870"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251</w:t>
            </w:r>
          </w:p>
        </w:tc>
        <w:tc>
          <w:tcPr>
            <w:tcW w:w="989" w:type="dxa"/>
            <w:tcBorders>
              <w:top w:val="nil"/>
              <w:left w:val="nil"/>
              <w:bottom w:val="nil"/>
              <w:right w:val="nil"/>
            </w:tcBorders>
            <w:shd w:val="clear" w:color="auto" w:fill="auto"/>
            <w:vAlign w:val="center"/>
          </w:tcPr>
          <w:p w14:paraId="3D5EDE85" w14:textId="2A1B8F7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260</w:t>
            </w:r>
          </w:p>
        </w:tc>
        <w:tc>
          <w:tcPr>
            <w:tcW w:w="993" w:type="dxa"/>
            <w:tcBorders>
              <w:top w:val="nil"/>
              <w:left w:val="nil"/>
              <w:bottom w:val="nil"/>
              <w:right w:val="nil"/>
            </w:tcBorders>
            <w:shd w:val="clear" w:color="auto" w:fill="auto"/>
            <w:vAlign w:val="center"/>
          </w:tcPr>
          <w:p w14:paraId="7B8B6277" w14:textId="45A36332"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262</w:t>
            </w:r>
          </w:p>
        </w:tc>
        <w:tc>
          <w:tcPr>
            <w:tcW w:w="992" w:type="dxa"/>
            <w:tcBorders>
              <w:top w:val="nil"/>
              <w:left w:val="nil"/>
              <w:bottom w:val="nil"/>
              <w:right w:val="nil"/>
            </w:tcBorders>
            <w:shd w:val="clear" w:color="auto" w:fill="auto"/>
            <w:vAlign w:val="center"/>
          </w:tcPr>
          <w:p w14:paraId="2D4D5A61" w14:textId="23590E96"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255</w:t>
            </w:r>
          </w:p>
        </w:tc>
        <w:tc>
          <w:tcPr>
            <w:tcW w:w="992" w:type="dxa"/>
            <w:tcBorders>
              <w:top w:val="nil"/>
              <w:left w:val="nil"/>
              <w:bottom w:val="nil"/>
              <w:right w:val="nil"/>
            </w:tcBorders>
            <w:shd w:val="clear" w:color="auto" w:fill="auto"/>
            <w:vAlign w:val="center"/>
          </w:tcPr>
          <w:p w14:paraId="0B910B7D" w14:textId="23F47B3B"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246</w:t>
            </w:r>
          </w:p>
        </w:tc>
        <w:tc>
          <w:tcPr>
            <w:tcW w:w="992" w:type="dxa"/>
            <w:tcBorders>
              <w:top w:val="nil"/>
              <w:left w:val="nil"/>
              <w:bottom w:val="nil"/>
              <w:right w:val="nil"/>
            </w:tcBorders>
            <w:shd w:val="clear" w:color="000000" w:fill="F2F2F2"/>
            <w:vAlign w:val="center"/>
          </w:tcPr>
          <w:p w14:paraId="5672827D" w14:textId="25C65459"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249</w:t>
            </w:r>
          </w:p>
        </w:tc>
      </w:tr>
      <w:tr w:rsidR="00B04641" w:rsidRPr="0088109E" w14:paraId="5AFCA788" w14:textId="77777777" w:rsidTr="00052260">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vAlign w:val="center"/>
          </w:tcPr>
          <w:p w14:paraId="11CE2B0A"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Sample hospitals to population hospitals (%)</w:t>
            </w:r>
          </w:p>
        </w:tc>
        <w:tc>
          <w:tcPr>
            <w:tcW w:w="993" w:type="dxa"/>
            <w:tcBorders>
              <w:top w:val="nil"/>
              <w:left w:val="nil"/>
              <w:right w:val="nil"/>
            </w:tcBorders>
            <w:shd w:val="clear" w:color="auto" w:fill="auto"/>
            <w:vAlign w:val="center"/>
          </w:tcPr>
          <w:p w14:paraId="2D55E0CC" w14:textId="170B5251"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41.8</w:t>
            </w:r>
          </w:p>
        </w:tc>
        <w:tc>
          <w:tcPr>
            <w:tcW w:w="989" w:type="dxa"/>
            <w:tcBorders>
              <w:top w:val="nil"/>
              <w:left w:val="nil"/>
              <w:right w:val="nil"/>
            </w:tcBorders>
            <w:shd w:val="clear" w:color="auto" w:fill="auto"/>
            <w:vAlign w:val="center"/>
          </w:tcPr>
          <w:p w14:paraId="529DCB7F" w14:textId="4391D929"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43.1</w:t>
            </w:r>
          </w:p>
        </w:tc>
        <w:tc>
          <w:tcPr>
            <w:tcW w:w="993" w:type="dxa"/>
            <w:tcBorders>
              <w:top w:val="nil"/>
              <w:left w:val="nil"/>
              <w:right w:val="nil"/>
            </w:tcBorders>
            <w:shd w:val="clear" w:color="auto" w:fill="auto"/>
            <w:vAlign w:val="center"/>
          </w:tcPr>
          <w:p w14:paraId="0A94BBBB" w14:textId="641FA91B"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41.2</w:t>
            </w:r>
          </w:p>
        </w:tc>
        <w:tc>
          <w:tcPr>
            <w:tcW w:w="992" w:type="dxa"/>
            <w:tcBorders>
              <w:top w:val="nil"/>
              <w:left w:val="nil"/>
              <w:right w:val="nil"/>
            </w:tcBorders>
            <w:shd w:val="clear" w:color="auto" w:fill="auto"/>
            <w:vAlign w:val="center"/>
          </w:tcPr>
          <w:p w14:paraId="06F29A54" w14:textId="085A37CA"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40.4</w:t>
            </w:r>
          </w:p>
        </w:tc>
        <w:tc>
          <w:tcPr>
            <w:tcW w:w="992" w:type="dxa"/>
            <w:tcBorders>
              <w:top w:val="nil"/>
              <w:left w:val="nil"/>
              <w:right w:val="nil"/>
            </w:tcBorders>
            <w:shd w:val="clear" w:color="auto" w:fill="auto"/>
            <w:vAlign w:val="center"/>
          </w:tcPr>
          <w:p w14:paraId="24172E22" w14:textId="0A91AD0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41.9</w:t>
            </w:r>
          </w:p>
        </w:tc>
        <w:tc>
          <w:tcPr>
            <w:tcW w:w="992" w:type="dxa"/>
            <w:tcBorders>
              <w:top w:val="nil"/>
              <w:left w:val="nil"/>
              <w:right w:val="nil"/>
            </w:tcBorders>
            <w:shd w:val="clear" w:color="000000" w:fill="F2F2F2"/>
            <w:vAlign w:val="center"/>
          </w:tcPr>
          <w:p w14:paraId="285188DF" w14:textId="05F6F24B"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41.4</w:t>
            </w:r>
          </w:p>
        </w:tc>
      </w:tr>
      <w:tr w:rsidR="00B04641" w:rsidRPr="0088109E" w14:paraId="1B728540" w14:textId="77777777" w:rsidTr="00052260">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shd w:val="clear" w:color="auto" w:fill="auto"/>
            <w:vAlign w:val="center"/>
          </w:tcPr>
          <w:p w14:paraId="29B3E20D" w14:textId="476D6402"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 xml:space="preserve">Average </w:t>
            </w:r>
            <w:r>
              <w:rPr>
                <w:rFonts w:cs="Arial"/>
                <w:color w:val="000000"/>
                <w:sz w:val="16"/>
                <w:szCs w:val="16"/>
              </w:rPr>
              <w:t xml:space="preserve">sample </w:t>
            </w:r>
            <w:r w:rsidRPr="005629F8">
              <w:rPr>
                <w:rFonts w:cs="Arial"/>
                <w:color w:val="000000"/>
                <w:sz w:val="16"/>
                <w:szCs w:val="16"/>
              </w:rPr>
              <w:t xml:space="preserve">separations per </w:t>
            </w:r>
            <w:r>
              <w:rPr>
                <w:rFonts w:cs="Arial"/>
                <w:color w:val="000000"/>
                <w:sz w:val="16"/>
                <w:szCs w:val="16"/>
              </w:rPr>
              <w:t>hospital</w:t>
            </w:r>
          </w:p>
        </w:tc>
        <w:tc>
          <w:tcPr>
            <w:tcW w:w="993" w:type="dxa"/>
            <w:tcBorders>
              <w:left w:val="nil"/>
              <w:bottom w:val="nil"/>
              <w:right w:val="nil"/>
            </w:tcBorders>
            <w:shd w:val="clear" w:color="auto" w:fill="auto"/>
            <w:vAlign w:val="center"/>
          </w:tcPr>
          <w:p w14:paraId="74F3D7CC" w14:textId="0D0BC843"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18,317</w:t>
            </w:r>
          </w:p>
        </w:tc>
        <w:tc>
          <w:tcPr>
            <w:tcW w:w="989" w:type="dxa"/>
            <w:tcBorders>
              <w:left w:val="nil"/>
              <w:bottom w:val="nil"/>
              <w:right w:val="nil"/>
            </w:tcBorders>
            <w:shd w:val="clear" w:color="auto" w:fill="auto"/>
            <w:vAlign w:val="center"/>
          </w:tcPr>
          <w:p w14:paraId="49AAAD76" w14:textId="7DF4371C"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19,409</w:t>
            </w:r>
          </w:p>
        </w:tc>
        <w:tc>
          <w:tcPr>
            <w:tcW w:w="993" w:type="dxa"/>
            <w:tcBorders>
              <w:left w:val="nil"/>
              <w:bottom w:val="nil"/>
              <w:right w:val="nil"/>
            </w:tcBorders>
            <w:shd w:val="clear" w:color="auto" w:fill="auto"/>
            <w:vAlign w:val="center"/>
          </w:tcPr>
          <w:p w14:paraId="33CD678D" w14:textId="353AEEF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20,687</w:t>
            </w:r>
          </w:p>
        </w:tc>
        <w:tc>
          <w:tcPr>
            <w:tcW w:w="992" w:type="dxa"/>
            <w:tcBorders>
              <w:left w:val="nil"/>
              <w:bottom w:val="nil"/>
              <w:right w:val="nil"/>
            </w:tcBorders>
            <w:shd w:val="clear" w:color="auto" w:fill="auto"/>
            <w:vAlign w:val="center"/>
          </w:tcPr>
          <w:p w14:paraId="6A0A6456" w14:textId="63DDB40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20,075</w:t>
            </w:r>
          </w:p>
        </w:tc>
        <w:tc>
          <w:tcPr>
            <w:tcW w:w="992" w:type="dxa"/>
            <w:tcBorders>
              <w:left w:val="nil"/>
              <w:bottom w:val="nil"/>
              <w:right w:val="nil"/>
            </w:tcBorders>
            <w:shd w:val="clear" w:color="auto" w:fill="auto"/>
            <w:vAlign w:val="center"/>
          </w:tcPr>
          <w:p w14:paraId="2BB82876" w14:textId="06A0E064"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22,116</w:t>
            </w:r>
          </w:p>
        </w:tc>
        <w:tc>
          <w:tcPr>
            <w:tcW w:w="992" w:type="dxa"/>
            <w:tcBorders>
              <w:left w:val="nil"/>
              <w:bottom w:val="nil"/>
              <w:right w:val="nil"/>
            </w:tcBorders>
            <w:shd w:val="clear" w:color="000000" w:fill="F2F2F2"/>
            <w:vAlign w:val="center"/>
          </w:tcPr>
          <w:p w14:paraId="52F4FBF3" w14:textId="2A2C0047"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21,796</w:t>
            </w:r>
          </w:p>
        </w:tc>
      </w:tr>
      <w:tr w:rsidR="00B04641" w:rsidRPr="0088109E" w14:paraId="7165B55D" w14:textId="77777777" w:rsidTr="00052260">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shd w:val="clear" w:color="auto" w:fill="auto"/>
            <w:vAlign w:val="center"/>
          </w:tcPr>
          <w:p w14:paraId="136EB847" w14:textId="6ACB861F"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 xml:space="preserve">Average </w:t>
            </w:r>
            <w:r>
              <w:rPr>
                <w:rFonts w:cs="Arial"/>
                <w:color w:val="000000"/>
                <w:sz w:val="16"/>
                <w:szCs w:val="16"/>
              </w:rPr>
              <w:t xml:space="preserve">population </w:t>
            </w:r>
            <w:r w:rsidRPr="005629F8">
              <w:rPr>
                <w:rFonts w:cs="Arial"/>
                <w:color w:val="000000"/>
                <w:sz w:val="16"/>
                <w:szCs w:val="16"/>
              </w:rPr>
              <w:t>separations per hospital</w:t>
            </w:r>
          </w:p>
        </w:tc>
        <w:tc>
          <w:tcPr>
            <w:tcW w:w="993" w:type="dxa"/>
            <w:tcBorders>
              <w:top w:val="nil"/>
              <w:left w:val="nil"/>
              <w:right w:val="nil"/>
            </w:tcBorders>
            <w:shd w:val="clear" w:color="auto" w:fill="auto"/>
            <w:vAlign w:val="center"/>
          </w:tcPr>
          <w:p w14:paraId="19A02EF9" w14:textId="03C54FB2"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12,918</w:t>
            </w:r>
          </w:p>
        </w:tc>
        <w:tc>
          <w:tcPr>
            <w:tcW w:w="989" w:type="dxa"/>
            <w:tcBorders>
              <w:top w:val="nil"/>
              <w:left w:val="nil"/>
              <w:right w:val="nil"/>
            </w:tcBorders>
            <w:shd w:val="clear" w:color="auto" w:fill="auto"/>
            <w:vAlign w:val="center"/>
          </w:tcPr>
          <w:p w14:paraId="3136BC42" w14:textId="64D2473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12,682</w:t>
            </w:r>
          </w:p>
        </w:tc>
        <w:tc>
          <w:tcPr>
            <w:tcW w:w="993" w:type="dxa"/>
            <w:tcBorders>
              <w:top w:val="nil"/>
              <w:left w:val="nil"/>
              <w:right w:val="nil"/>
            </w:tcBorders>
            <w:shd w:val="clear" w:color="auto" w:fill="auto"/>
            <w:vAlign w:val="center"/>
          </w:tcPr>
          <w:p w14:paraId="1BE0F37D" w14:textId="23773E96"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13,093</w:t>
            </w:r>
          </w:p>
        </w:tc>
        <w:tc>
          <w:tcPr>
            <w:tcW w:w="992" w:type="dxa"/>
            <w:tcBorders>
              <w:top w:val="nil"/>
              <w:left w:val="nil"/>
              <w:right w:val="nil"/>
            </w:tcBorders>
            <w:shd w:val="clear" w:color="auto" w:fill="auto"/>
            <w:vAlign w:val="center"/>
          </w:tcPr>
          <w:p w14:paraId="1FE9CF24" w14:textId="56DE56CB"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12,487</w:t>
            </w:r>
          </w:p>
        </w:tc>
        <w:tc>
          <w:tcPr>
            <w:tcW w:w="992" w:type="dxa"/>
            <w:tcBorders>
              <w:top w:val="nil"/>
              <w:left w:val="nil"/>
              <w:right w:val="nil"/>
            </w:tcBorders>
            <w:shd w:val="clear" w:color="auto" w:fill="auto"/>
            <w:vAlign w:val="center"/>
          </w:tcPr>
          <w:p w14:paraId="67BC4B8D" w14:textId="6CD50462"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14,175</w:t>
            </w:r>
          </w:p>
        </w:tc>
        <w:tc>
          <w:tcPr>
            <w:tcW w:w="992" w:type="dxa"/>
            <w:tcBorders>
              <w:top w:val="nil"/>
              <w:left w:val="nil"/>
              <w:right w:val="nil"/>
            </w:tcBorders>
            <w:shd w:val="clear" w:color="000000" w:fill="F2F2F2"/>
            <w:vAlign w:val="center"/>
          </w:tcPr>
          <w:p w14:paraId="3DAB5842" w14:textId="40158DD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13,780</w:t>
            </w:r>
          </w:p>
        </w:tc>
      </w:tr>
      <w:tr w:rsidR="00B04641" w:rsidRPr="0088109E" w14:paraId="02E8F1F4" w14:textId="77777777" w:rsidTr="00052260">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shd w:val="clear" w:color="auto" w:fill="auto"/>
            <w:vAlign w:val="center"/>
          </w:tcPr>
          <w:p w14:paraId="65EBA55F"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Average Length of Stay</w:t>
            </w:r>
          </w:p>
        </w:tc>
        <w:tc>
          <w:tcPr>
            <w:tcW w:w="993" w:type="dxa"/>
            <w:tcBorders>
              <w:left w:val="nil"/>
              <w:bottom w:val="nil"/>
              <w:right w:val="nil"/>
            </w:tcBorders>
            <w:shd w:val="clear" w:color="auto" w:fill="auto"/>
            <w:vAlign w:val="center"/>
          </w:tcPr>
          <w:p w14:paraId="1C341FA1" w14:textId="3A688C7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2.3</w:t>
            </w:r>
          </w:p>
        </w:tc>
        <w:tc>
          <w:tcPr>
            <w:tcW w:w="989" w:type="dxa"/>
            <w:tcBorders>
              <w:left w:val="nil"/>
              <w:bottom w:val="nil"/>
              <w:right w:val="nil"/>
            </w:tcBorders>
            <w:shd w:val="clear" w:color="auto" w:fill="auto"/>
            <w:vAlign w:val="center"/>
          </w:tcPr>
          <w:p w14:paraId="16AE2F78" w14:textId="2F8DDDC8"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2.3</w:t>
            </w:r>
          </w:p>
        </w:tc>
        <w:tc>
          <w:tcPr>
            <w:tcW w:w="993" w:type="dxa"/>
            <w:tcBorders>
              <w:left w:val="nil"/>
              <w:bottom w:val="nil"/>
              <w:right w:val="nil"/>
            </w:tcBorders>
            <w:shd w:val="clear" w:color="auto" w:fill="auto"/>
            <w:vAlign w:val="center"/>
          </w:tcPr>
          <w:p w14:paraId="335FC91D" w14:textId="45C27E38"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2.3</w:t>
            </w:r>
          </w:p>
        </w:tc>
        <w:tc>
          <w:tcPr>
            <w:tcW w:w="992" w:type="dxa"/>
            <w:tcBorders>
              <w:left w:val="nil"/>
              <w:bottom w:val="nil"/>
              <w:right w:val="nil"/>
            </w:tcBorders>
            <w:shd w:val="clear" w:color="auto" w:fill="auto"/>
            <w:vAlign w:val="center"/>
          </w:tcPr>
          <w:p w14:paraId="7CB3320D" w14:textId="79C57935"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2.3</w:t>
            </w:r>
          </w:p>
        </w:tc>
        <w:tc>
          <w:tcPr>
            <w:tcW w:w="992" w:type="dxa"/>
            <w:tcBorders>
              <w:left w:val="nil"/>
              <w:bottom w:val="nil"/>
              <w:right w:val="nil"/>
            </w:tcBorders>
            <w:shd w:val="clear" w:color="auto" w:fill="auto"/>
            <w:vAlign w:val="center"/>
          </w:tcPr>
          <w:p w14:paraId="019418BC" w14:textId="37A50D7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2.2</w:t>
            </w:r>
          </w:p>
        </w:tc>
        <w:tc>
          <w:tcPr>
            <w:tcW w:w="992" w:type="dxa"/>
            <w:tcBorders>
              <w:left w:val="nil"/>
              <w:bottom w:val="nil"/>
              <w:right w:val="nil"/>
            </w:tcBorders>
            <w:shd w:val="clear" w:color="000000" w:fill="F2F2F2"/>
            <w:vAlign w:val="center"/>
          </w:tcPr>
          <w:p w14:paraId="29858917" w14:textId="6FFB5360"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2.2</w:t>
            </w:r>
          </w:p>
        </w:tc>
      </w:tr>
      <w:tr w:rsidR="00B04641" w:rsidRPr="0088109E" w14:paraId="3285BDB2" w14:textId="77777777" w:rsidTr="001F45C3">
        <w:trPr>
          <w:trHeight w:val="302"/>
        </w:trPr>
        <w:tc>
          <w:tcPr>
            <w:tcW w:w="3718" w:type="dxa"/>
            <w:tcBorders>
              <w:top w:val="single" w:sz="4" w:space="0" w:color="D9D9D9" w:themeColor="background2" w:themeShade="D9"/>
              <w:left w:val="nil"/>
              <w:bottom w:val="single" w:sz="4" w:space="0" w:color="D9D9D9" w:themeColor="background2" w:themeShade="D9"/>
              <w:right w:val="single" w:sz="4" w:space="0" w:color="D9D9D9"/>
            </w:tcBorders>
            <w:shd w:val="clear" w:color="auto" w:fill="auto"/>
            <w:vAlign w:val="center"/>
          </w:tcPr>
          <w:p w14:paraId="3D96DE44" w14:textId="203AF50D"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 xml:space="preserve">Change </w:t>
            </w:r>
            <w:r>
              <w:rPr>
                <w:rFonts w:cs="Arial"/>
                <w:color w:val="000000"/>
                <w:sz w:val="16"/>
                <w:szCs w:val="16"/>
              </w:rPr>
              <w:t xml:space="preserve">in Average Length of Stay </w:t>
            </w:r>
            <w:r w:rsidRPr="005629F8">
              <w:rPr>
                <w:rFonts w:cs="Arial"/>
                <w:color w:val="000000"/>
                <w:sz w:val="16"/>
                <w:szCs w:val="16"/>
              </w:rPr>
              <w:t>(%)</w:t>
            </w:r>
          </w:p>
        </w:tc>
        <w:tc>
          <w:tcPr>
            <w:tcW w:w="993" w:type="dxa"/>
            <w:tcBorders>
              <w:top w:val="nil"/>
              <w:left w:val="nil"/>
              <w:bottom w:val="nil"/>
              <w:right w:val="nil"/>
            </w:tcBorders>
            <w:shd w:val="clear" w:color="auto" w:fill="auto"/>
            <w:vAlign w:val="center"/>
          </w:tcPr>
          <w:p w14:paraId="5FD9B6E0" w14:textId="6AC5CDA2"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-3.2</w:t>
            </w:r>
          </w:p>
        </w:tc>
        <w:tc>
          <w:tcPr>
            <w:tcW w:w="989" w:type="dxa"/>
            <w:tcBorders>
              <w:top w:val="nil"/>
              <w:left w:val="nil"/>
              <w:bottom w:val="nil"/>
              <w:right w:val="nil"/>
            </w:tcBorders>
            <w:shd w:val="clear" w:color="auto" w:fill="auto"/>
            <w:vAlign w:val="center"/>
          </w:tcPr>
          <w:p w14:paraId="3E499235" w14:textId="4E666674"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0.9</w:t>
            </w:r>
          </w:p>
        </w:tc>
        <w:tc>
          <w:tcPr>
            <w:tcW w:w="993" w:type="dxa"/>
            <w:tcBorders>
              <w:top w:val="nil"/>
              <w:left w:val="nil"/>
              <w:bottom w:val="nil"/>
              <w:right w:val="nil"/>
            </w:tcBorders>
            <w:shd w:val="clear" w:color="auto" w:fill="auto"/>
            <w:vAlign w:val="center"/>
          </w:tcPr>
          <w:p w14:paraId="277AC523" w14:textId="34FA0477"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1.4</w:t>
            </w:r>
          </w:p>
        </w:tc>
        <w:tc>
          <w:tcPr>
            <w:tcW w:w="992" w:type="dxa"/>
            <w:tcBorders>
              <w:top w:val="nil"/>
              <w:left w:val="nil"/>
              <w:bottom w:val="nil"/>
              <w:right w:val="nil"/>
            </w:tcBorders>
            <w:shd w:val="clear" w:color="auto" w:fill="auto"/>
            <w:vAlign w:val="center"/>
          </w:tcPr>
          <w:p w14:paraId="2BE986F0" w14:textId="2D9E0DA2"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-0.2</w:t>
            </w:r>
          </w:p>
        </w:tc>
        <w:tc>
          <w:tcPr>
            <w:tcW w:w="992" w:type="dxa"/>
            <w:tcBorders>
              <w:top w:val="nil"/>
              <w:left w:val="nil"/>
              <w:bottom w:val="nil"/>
              <w:right w:val="nil"/>
            </w:tcBorders>
            <w:shd w:val="clear" w:color="auto" w:fill="auto"/>
            <w:vAlign w:val="center"/>
          </w:tcPr>
          <w:p w14:paraId="38EA7A02" w14:textId="2C6BC01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-3.4</w:t>
            </w:r>
          </w:p>
        </w:tc>
        <w:tc>
          <w:tcPr>
            <w:tcW w:w="992" w:type="dxa"/>
            <w:tcBorders>
              <w:top w:val="nil"/>
              <w:left w:val="nil"/>
              <w:bottom w:val="nil"/>
              <w:right w:val="nil"/>
            </w:tcBorders>
            <w:shd w:val="clear" w:color="000000" w:fill="F2F2F2"/>
            <w:vAlign w:val="center"/>
          </w:tcPr>
          <w:p w14:paraId="165769E2" w14:textId="2A79660D"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-0.2</w:t>
            </w:r>
          </w:p>
        </w:tc>
      </w:tr>
      <w:tr w:rsidR="00B04641" w:rsidRPr="0088109E" w14:paraId="7CB55EB3" w14:textId="77777777" w:rsidTr="001F45C3">
        <w:trPr>
          <w:trHeight w:val="302"/>
        </w:trPr>
        <w:tc>
          <w:tcPr>
            <w:tcW w:w="3718" w:type="dxa"/>
            <w:tcBorders>
              <w:top w:val="single" w:sz="4" w:space="0" w:color="D9D9D9" w:themeColor="background2" w:themeShade="D9"/>
              <w:left w:val="nil"/>
              <w:bottom w:val="single" w:sz="4" w:space="0" w:color="D9D9D9"/>
              <w:right w:val="single" w:sz="4" w:space="0" w:color="D9D9D9"/>
            </w:tcBorders>
            <w:shd w:val="clear" w:color="auto" w:fill="auto"/>
            <w:vAlign w:val="center"/>
          </w:tcPr>
          <w:p w14:paraId="4FCB3127" w14:textId="77777777" w:rsidR="00B04641" w:rsidRPr="005629F8" w:rsidRDefault="00B04641" w:rsidP="00B04641">
            <w:pPr>
              <w:autoSpaceDE w:val="0"/>
              <w:autoSpaceDN w:val="0"/>
              <w:adjustRightInd w:val="0"/>
              <w:spacing w:after="0" w:line="240" w:lineRule="auto"/>
              <w:rPr>
                <w:rFonts w:cs="Arial"/>
                <w:color w:val="000000"/>
                <w:sz w:val="16"/>
                <w:szCs w:val="16"/>
              </w:rPr>
            </w:pPr>
            <w:r w:rsidRPr="005629F8">
              <w:rPr>
                <w:rFonts w:cs="Arial"/>
                <w:color w:val="000000"/>
                <w:sz w:val="16"/>
                <w:szCs w:val="16"/>
              </w:rPr>
              <w:t>Overnight Average Length of Stay</w:t>
            </w:r>
          </w:p>
        </w:tc>
        <w:tc>
          <w:tcPr>
            <w:tcW w:w="993" w:type="dxa"/>
            <w:tcBorders>
              <w:top w:val="nil"/>
              <w:left w:val="nil"/>
              <w:bottom w:val="nil"/>
              <w:right w:val="nil"/>
            </w:tcBorders>
            <w:shd w:val="clear" w:color="auto" w:fill="auto"/>
            <w:vAlign w:val="center"/>
          </w:tcPr>
          <w:p w14:paraId="412976B1" w14:textId="30EBCBB7"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4.1</w:t>
            </w:r>
          </w:p>
        </w:tc>
        <w:tc>
          <w:tcPr>
            <w:tcW w:w="989" w:type="dxa"/>
            <w:tcBorders>
              <w:top w:val="nil"/>
              <w:left w:val="nil"/>
              <w:bottom w:val="nil"/>
              <w:right w:val="nil"/>
            </w:tcBorders>
            <w:shd w:val="clear" w:color="auto" w:fill="auto"/>
            <w:vAlign w:val="center"/>
          </w:tcPr>
          <w:p w14:paraId="6EBB2FC0" w14:textId="65E0AF4E"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4.1</w:t>
            </w:r>
          </w:p>
        </w:tc>
        <w:tc>
          <w:tcPr>
            <w:tcW w:w="993" w:type="dxa"/>
            <w:tcBorders>
              <w:top w:val="nil"/>
              <w:left w:val="nil"/>
              <w:bottom w:val="nil"/>
              <w:right w:val="nil"/>
            </w:tcBorders>
            <w:shd w:val="clear" w:color="auto" w:fill="auto"/>
            <w:vAlign w:val="center"/>
          </w:tcPr>
          <w:p w14:paraId="1E23D595" w14:textId="091B81BF"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4.3</w:t>
            </w:r>
          </w:p>
        </w:tc>
        <w:tc>
          <w:tcPr>
            <w:tcW w:w="992" w:type="dxa"/>
            <w:tcBorders>
              <w:top w:val="nil"/>
              <w:left w:val="nil"/>
              <w:bottom w:val="nil"/>
              <w:right w:val="nil"/>
            </w:tcBorders>
            <w:shd w:val="clear" w:color="auto" w:fill="auto"/>
            <w:vAlign w:val="center"/>
          </w:tcPr>
          <w:p w14:paraId="5FC58048" w14:textId="4D3819B8"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4.3</w:t>
            </w:r>
          </w:p>
        </w:tc>
        <w:tc>
          <w:tcPr>
            <w:tcW w:w="992" w:type="dxa"/>
            <w:tcBorders>
              <w:top w:val="nil"/>
              <w:left w:val="nil"/>
              <w:bottom w:val="nil"/>
              <w:right w:val="nil"/>
            </w:tcBorders>
            <w:shd w:val="clear" w:color="auto" w:fill="auto"/>
            <w:vAlign w:val="center"/>
          </w:tcPr>
          <w:p w14:paraId="36D72B1D" w14:textId="2AC96EF9"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4.1</w:t>
            </w:r>
          </w:p>
        </w:tc>
        <w:tc>
          <w:tcPr>
            <w:tcW w:w="992" w:type="dxa"/>
            <w:tcBorders>
              <w:top w:val="nil"/>
              <w:left w:val="nil"/>
              <w:bottom w:val="nil"/>
              <w:right w:val="nil"/>
            </w:tcBorders>
            <w:shd w:val="clear" w:color="000000" w:fill="F2F2F2"/>
            <w:vAlign w:val="center"/>
          </w:tcPr>
          <w:p w14:paraId="779DD305" w14:textId="4C7DF137" w:rsidR="00B04641" w:rsidRPr="005629F8" w:rsidRDefault="00B04641" w:rsidP="0088549E">
            <w:pPr>
              <w:autoSpaceDE w:val="0"/>
              <w:autoSpaceDN w:val="0"/>
              <w:adjustRightInd w:val="0"/>
              <w:spacing w:after="0" w:line="240" w:lineRule="auto"/>
              <w:jc w:val="center"/>
              <w:rPr>
                <w:rFonts w:cs="Arial"/>
                <w:color w:val="000000"/>
                <w:sz w:val="16"/>
                <w:szCs w:val="16"/>
              </w:rPr>
            </w:pPr>
            <w:r>
              <w:rPr>
                <w:rFonts w:cs="Arial"/>
                <w:color w:val="000000"/>
                <w:sz w:val="16"/>
                <w:szCs w:val="16"/>
              </w:rPr>
              <w:t>4.2</w:t>
            </w:r>
          </w:p>
        </w:tc>
      </w:tr>
    </w:tbl>
    <w:p w14:paraId="1C45ED1C" w14:textId="7902E84C" w:rsidR="003D677B" w:rsidRPr="005629F8" w:rsidRDefault="003D677B" w:rsidP="005739FA">
      <w:pPr>
        <w:spacing w:after="0" w:line="240" w:lineRule="auto"/>
        <w:rPr>
          <w:sz w:val="14"/>
          <w:szCs w:val="14"/>
          <w:highlight w:val="yellow"/>
        </w:rPr>
      </w:pPr>
    </w:p>
    <w:p w14:paraId="0A8F268E" w14:textId="103D9950" w:rsidR="00D84D32" w:rsidRPr="005629F8" w:rsidRDefault="00D84D32" w:rsidP="005739FA">
      <w:pPr>
        <w:spacing w:after="0" w:line="240" w:lineRule="auto"/>
        <w:rPr>
          <w:sz w:val="14"/>
          <w:szCs w:val="14"/>
        </w:rPr>
      </w:pPr>
      <w:r w:rsidRPr="005629F8">
        <w:rPr>
          <w:sz w:val="14"/>
          <w:szCs w:val="14"/>
        </w:rPr>
        <w:t>*</w:t>
      </w:r>
      <w:r w:rsidRPr="005629F8">
        <w:rPr>
          <w:spacing w:val="-1"/>
          <w:sz w:val="14"/>
          <w:szCs w:val="14"/>
        </w:rPr>
        <w:t xml:space="preserve"> </w:t>
      </w:r>
      <w:r w:rsidRPr="005629F8">
        <w:rPr>
          <w:sz w:val="14"/>
          <w:szCs w:val="14"/>
        </w:rPr>
        <w:t>Figures</w:t>
      </w:r>
      <w:r w:rsidRPr="005629F8">
        <w:rPr>
          <w:spacing w:val="-4"/>
          <w:sz w:val="14"/>
          <w:szCs w:val="14"/>
        </w:rPr>
        <w:t xml:space="preserve"> </w:t>
      </w:r>
      <w:r w:rsidRPr="005629F8">
        <w:rPr>
          <w:sz w:val="14"/>
          <w:szCs w:val="14"/>
        </w:rPr>
        <w:t>may</w:t>
      </w:r>
      <w:r w:rsidRPr="005629F8">
        <w:rPr>
          <w:spacing w:val="-2"/>
          <w:sz w:val="14"/>
          <w:szCs w:val="14"/>
        </w:rPr>
        <w:t xml:space="preserve"> </w:t>
      </w:r>
      <w:r w:rsidRPr="005629F8">
        <w:rPr>
          <w:sz w:val="14"/>
          <w:szCs w:val="14"/>
        </w:rPr>
        <w:t>not reconcile</w:t>
      </w:r>
      <w:r w:rsidRPr="005629F8">
        <w:rPr>
          <w:spacing w:val="-2"/>
          <w:sz w:val="14"/>
          <w:szCs w:val="14"/>
        </w:rPr>
        <w:t xml:space="preserve"> </w:t>
      </w:r>
      <w:r w:rsidRPr="005629F8">
        <w:rPr>
          <w:sz w:val="14"/>
          <w:szCs w:val="14"/>
        </w:rPr>
        <w:t>due</w:t>
      </w:r>
      <w:r w:rsidRPr="005629F8">
        <w:rPr>
          <w:spacing w:val="-1"/>
          <w:sz w:val="14"/>
          <w:szCs w:val="14"/>
        </w:rPr>
        <w:t xml:space="preserve"> </w:t>
      </w:r>
      <w:r w:rsidRPr="005629F8">
        <w:rPr>
          <w:sz w:val="14"/>
          <w:szCs w:val="14"/>
        </w:rPr>
        <w:t>to</w:t>
      </w:r>
      <w:r w:rsidRPr="005629F8">
        <w:rPr>
          <w:spacing w:val="-3"/>
          <w:sz w:val="14"/>
          <w:szCs w:val="14"/>
        </w:rPr>
        <w:t xml:space="preserve"> </w:t>
      </w:r>
      <w:r w:rsidRPr="005629F8">
        <w:rPr>
          <w:sz w:val="14"/>
          <w:szCs w:val="14"/>
        </w:rPr>
        <w:t>rounding.</w:t>
      </w:r>
    </w:p>
    <w:p w14:paraId="30C6D9ED" w14:textId="41DD443B" w:rsidR="00D84D32" w:rsidRPr="005629F8" w:rsidRDefault="00D84D32" w:rsidP="005739FA">
      <w:pPr>
        <w:spacing w:after="0" w:line="240" w:lineRule="auto"/>
        <w:rPr>
          <w:sz w:val="14"/>
          <w:szCs w:val="14"/>
        </w:rPr>
      </w:pPr>
      <w:r w:rsidRPr="005629F8">
        <w:rPr>
          <w:sz w:val="14"/>
          <w:szCs w:val="14"/>
        </w:rPr>
        <w:t>^</w:t>
      </w:r>
      <w:r w:rsidRPr="005629F8">
        <w:rPr>
          <w:spacing w:val="-5"/>
          <w:sz w:val="14"/>
          <w:szCs w:val="14"/>
        </w:rPr>
        <w:t xml:space="preserve"> </w:t>
      </w:r>
      <w:proofErr w:type="spellStart"/>
      <w:r w:rsidRPr="005629F8">
        <w:rPr>
          <w:sz w:val="14"/>
          <w:szCs w:val="14"/>
        </w:rPr>
        <w:t>Sameday</w:t>
      </w:r>
      <w:proofErr w:type="spellEnd"/>
      <w:r w:rsidRPr="005629F8">
        <w:rPr>
          <w:spacing w:val="-5"/>
          <w:sz w:val="14"/>
          <w:szCs w:val="14"/>
        </w:rPr>
        <w:t xml:space="preserve"> </w:t>
      </w:r>
      <w:r w:rsidRPr="005629F8">
        <w:rPr>
          <w:sz w:val="14"/>
          <w:szCs w:val="14"/>
        </w:rPr>
        <w:t>separations</w:t>
      </w:r>
      <w:r w:rsidRPr="005629F8">
        <w:rPr>
          <w:spacing w:val="-2"/>
          <w:sz w:val="14"/>
          <w:szCs w:val="14"/>
        </w:rPr>
        <w:t xml:space="preserve"> </w:t>
      </w:r>
      <w:r w:rsidRPr="005629F8">
        <w:rPr>
          <w:sz w:val="14"/>
          <w:szCs w:val="14"/>
        </w:rPr>
        <w:t>are</w:t>
      </w:r>
      <w:r w:rsidRPr="005629F8">
        <w:rPr>
          <w:spacing w:val="-2"/>
          <w:sz w:val="14"/>
          <w:szCs w:val="14"/>
        </w:rPr>
        <w:t xml:space="preserve"> </w:t>
      </w:r>
      <w:r w:rsidRPr="005629F8">
        <w:rPr>
          <w:sz w:val="14"/>
          <w:szCs w:val="14"/>
        </w:rPr>
        <w:t>a</w:t>
      </w:r>
      <w:r w:rsidRPr="005629F8">
        <w:rPr>
          <w:spacing w:val="-3"/>
          <w:sz w:val="14"/>
          <w:szCs w:val="14"/>
        </w:rPr>
        <w:t xml:space="preserve"> </w:t>
      </w:r>
      <w:r w:rsidRPr="005629F8">
        <w:rPr>
          <w:sz w:val="14"/>
          <w:szCs w:val="14"/>
        </w:rPr>
        <w:t>subset</w:t>
      </w:r>
      <w:r w:rsidRPr="005629F8">
        <w:rPr>
          <w:spacing w:val="-3"/>
          <w:sz w:val="14"/>
          <w:szCs w:val="14"/>
        </w:rPr>
        <w:t xml:space="preserve"> </w:t>
      </w:r>
      <w:r w:rsidRPr="005629F8">
        <w:rPr>
          <w:sz w:val="14"/>
          <w:szCs w:val="14"/>
        </w:rPr>
        <w:t>of</w:t>
      </w:r>
      <w:r w:rsidRPr="005629F8">
        <w:rPr>
          <w:spacing w:val="-3"/>
          <w:sz w:val="14"/>
          <w:szCs w:val="14"/>
        </w:rPr>
        <w:t xml:space="preserve"> </w:t>
      </w:r>
      <w:r w:rsidRPr="005629F8">
        <w:rPr>
          <w:sz w:val="14"/>
          <w:szCs w:val="14"/>
        </w:rPr>
        <w:t>sample</w:t>
      </w:r>
      <w:r w:rsidRPr="005629F8">
        <w:rPr>
          <w:spacing w:val="-3"/>
          <w:sz w:val="14"/>
          <w:szCs w:val="14"/>
        </w:rPr>
        <w:t xml:space="preserve"> </w:t>
      </w:r>
      <w:r w:rsidRPr="005629F8">
        <w:rPr>
          <w:sz w:val="14"/>
          <w:szCs w:val="14"/>
        </w:rPr>
        <w:t>separations.</w:t>
      </w:r>
    </w:p>
    <w:p w14:paraId="76B2BBDC" w14:textId="688AD1E5" w:rsidR="00AE569D" w:rsidRDefault="00AE569D" w:rsidP="005629F8"/>
    <w:p w14:paraId="13C62A8A" w14:textId="175D12B3" w:rsidR="00914756" w:rsidRPr="005629F8" w:rsidRDefault="00914756" w:rsidP="00FC4599">
      <w:pPr>
        <w:pStyle w:val="Heading2"/>
      </w:pPr>
      <w:bookmarkStart w:id="92" w:name="_Toc129700680"/>
      <w:bookmarkStart w:id="93" w:name="_Toc129701373"/>
      <w:r w:rsidRPr="005629F8">
        <w:t>Analysis</w:t>
      </w:r>
      <w:r w:rsidRPr="005629F8">
        <w:rPr>
          <w:spacing w:val="-2"/>
        </w:rPr>
        <w:t xml:space="preserve"> </w:t>
      </w:r>
      <w:r w:rsidRPr="005629F8">
        <w:t>by MDC</w:t>
      </w:r>
      <w:bookmarkEnd w:id="92"/>
      <w:bookmarkEnd w:id="93"/>
    </w:p>
    <w:p w14:paraId="52B240A9" w14:textId="3BC5D52F" w:rsidR="00817378" w:rsidRPr="005629F8" w:rsidRDefault="00164DF2">
      <w:r w:rsidRPr="00164DF2">
        <w:t>The 202</w:t>
      </w:r>
      <w:r w:rsidR="00451F8B">
        <w:t>1</w:t>
      </w:r>
      <w:r w:rsidRPr="00164DF2">
        <w:t>-2</w:t>
      </w:r>
      <w:r w:rsidR="00451F8B">
        <w:t>2</w:t>
      </w:r>
      <w:r w:rsidRPr="00164DF2">
        <w:t xml:space="preserve"> NHCDC submission has been analysed by Major Diagnosis Category (MDC)</w:t>
      </w:r>
      <w:r w:rsidR="00015C1F">
        <w:t xml:space="preserve"> </w:t>
      </w:r>
      <w:r w:rsidRPr="00164DF2">
        <w:t>a summarised categorisati</w:t>
      </w:r>
      <w:r>
        <w:t xml:space="preserve">on in the </w:t>
      </w:r>
      <w:r w:rsidR="00405A50">
        <w:t>Australian Refined Diagnosis Related Group</w:t>
      </w:r>
      <w:r w:rsidR="00B901BB">
        <w:t>s</w:t>
      </w:r>
      <w:r w:rsidR="00405A50">
        <w:t xml:space="preserve"> (</w:t>
      </w:r>
      <w:r>
        <w:t>AR-DRG</w:t>
      </w:r>
      <w:r w:rsidR="00405A50">
        <w:t>)</w:t>
      </w:r>
      <w:r>
        <w:t xml:space="preserve"> classification, </w:t>
      </w:r>
      <w:r w:rsidRPr="00164DF2">
        <w:t>broadly aligned to the specialty</w:t>
      </w:r>
      <w:r w:rsidR="001F67FA">
        <w:t xml:space="preserve"> of</w:t>
      </w:r>
      <w:r w:rsidRPr="00164DF2">
        <w:t xml:space="preserve"> provider care.</w:t>
      </w:r>
      <w:r>
        <w:t xml:space="preserve"> </w:t>
      </w:r>
      <w:r w:rsidR="00275A8B" w:rsidRPr="005629F8">
        <w:t xml:space="preserve">Episodes are assigned to </w:t>
      </w:r>
      <w:r w:rsidR="00B80354" w:rsidRPr="005629F8">
        <w:t>an</w:t>
      </w:r>
      <w:r w:rsidR="00275A8B" w:rsidRPr="005629F8">
        <w:t xml:space="preserve"> </w:t>
      </w:r>
      <w:r w:rsidR="00817378" w:rsidRPr="005629F8">
        <w:t xml:space="preserve">MDC </w:t>
      </w:r>
      <w:r w:rsidR="00275A8B" w:rsidRPr="005629F8">
        <w:t>based on their principal diagnosis</w:t>
      </w:r>
      <w:r w:rsidR="00817378" w:rsidRPr="005629F8">
        <w:t>. This se</w:t>
      </w:r>
      <w:r w:rsidR="009D310D" w:rsidRPr="005629F8">
        <w:t>ction of the report provides a breakdown by MDC to highlight trends and drivers of cost</w:t>
      </w:r>
      <w:r>
        <w:t xml:space="preserve"> in different medical specialities.</w:t>
      </w:r>
    </w:p>
    <w:p w14:paraId="6241A912" w14:textId="5CA25CEF" w:rsidR="006A1F5C" w:rsidRPr="005629F8" w:rsidRDefault="006A1F5C" w:rsidP="00194B75">
      <w:pPr>
        <w:pStyle w:val="Heading2"/>
      </w:pPr>
      <w:r w:rsidRPr="005629F8">
        <w:t>Key</w:t>
      </w:r>
      <w:r w:rsidRPr="00194B75">
        <w:t xml:space="preserve"> </w:t>
      </w:r>
      <w:r w:rsidRPr="005629F8">
        <w:t>findings</w:t>
      </w:r>
    </w:p>
    <w:p w14:paraId="5FA3BEF1" w14:textId="4C104B7D" w:rsidR="009D310D" w:rsidRPr="0068730C" w:rsidRDefault="00E91FC1">
      <w:r w:rsidRPr="005629F8">
        <w:rPr>
          <w:color w:val="auto"/>
        </w:rPr>
        <w:fldChar w:fldCharType="begin"/>
      </w:r>
      <w:r w:rsidRPr="005629F8">
        <w:rPr>
          <w:color w:val="auto"/>
        </w:rPr>
        <w:instrText xml:space="preserve"> REF _Ref127861435 \h </w:instrText>
      </w:r>
      <w:r w:rsidR="00A06572" w:rsidRPr="005629F8">
        <w:rPr>
          <w:color w:val="auto"/>
        </w:rPr>
        <w:instrText xml:space="preserve"> \* MERGEFORMAT </w:instrText>
      </w:r>
      <w:r w:rsidRPr="005629F8">
        <w:rPr>
          <w:color w:val="auto"/>
        </w:rPr>
      </w:r>
      <w:r w:rsidRPr="005629F8">
        <w:rPr>
          <w:color w:val="auto"/>
        </w:rPr>
        <w:fldChar w:fldCharType="separate"/>
      </w:r>
      <w:r w:rsidR="00E16820" w:rsidRPr="005629F8">
        <w:rPr>
          <w:color w:val="auto"/>
        </w:rPr>
        <w:t xml:space="preserve">Table </w:t>
      </w:r>
      <w:r w:rsidR="00E16820" w:rsidRPr="005629F8">
        <w:rPr>
          <w:noProof/>
          <w:color w:val="auto"/>
        </w:rPr>
        <w:t>4</w:t>
      </w:r>
      <w:r w:rsidRPr="005629F8">
        <w:rPr>
          <w:color w:val="auto"/>
        </w:rPr>
        <w:fldChar w:fldCharType="end"/>
      </w:r>
      <w:r w:rsidR="006A1F5C" w:rsidRPr="005629F8">
        <w:rPr>
          <w:color w:val="auto"/>
        </w:rPr>
        <w:t xml:space="preserve"> captures </w:t>
      </w:r>
      <w:r w:rsidR="009D310D" w:rsidRPr="005629F8">
        <w:t>data for each MDC</w:t>
      </w:r>
      <w:r w:rsidR="0076585E">
        <w:t>, the key findings observed from analysis conducted</w:t>
      </w:r>
      <w:r w:rsidR="00164DF2">
        <w:t xml:space="preserve"> </w:t>
      </w:r>
      <w:r w:rsidR="003B6747" w:rsidRPr="005629F8">
        <w:t>are</w:t>
      </w:r>
      <w:r w:rsidR="009D310D" w:rsidRPr="005629F8">
        <w:t>:</w:t>
      </w:r>
    </w:p>
    <w:p w14:paraId="29165728" w14:textId="47EC5E4E" w:rsidR="00DE50DA" w:rsidRDefault="00DE50DA" w:rsidP="009D310D">
      <w:pPr>
        <w:pStyle w:val="ListLevel1"/>
      </w:pPr>
      <w:r>
        <w:t xml:space="preserve">MDC </w:t>
      </w:r>
      <w:r w:rsidRPr="00DE50DA">
        <w:t>20: Alcohol/Drug Use and Alcohol/Drug Induced Organic Mental Disorders</w:t>
      </w:r>
      <w:r>
        <w:t xml:space="preserve"> had the greatest percentage increase (33</w:t>
      </w:r>
      <w:r w:rsidR="000B694F">
        <w:t>%</w:t>
      </w:r>
      <w:r>
        <w:t>) in the number of separations in 2021-22. This follows the 19</w:t>
      </w:r>
      <w:r w:rsidR="000B694F">
        <w:t>%</w:t>
      </w:r>
      <w:r>
        <w:t xml:space="preserve"> decrease in the number of separations in 2020-21.</w:t>
      </w:r>
    </w:p>
    <w:p w14:paraId="139D0BE3" w14:textId="65EBFB58" w:rsidR="00163C8C" w:rsidRPr="0068730C" w:rsidRDefault="00163C8C" w:rsidP="009D310D">
      <w:pPr>
        <w:pStyle w:val="ListLevel1"/>
      </w:pPr>
      <w:r w:rsidRPr="0068730C">
        <w:t xml:space="preserve">MDC 00 (Pre MDC) </w:t>
      </w:r>
      <w:r w:rsidR="001F67FA">
        <w:t xml:space="preserve">consists of episodes that relate to critical care and life support and as such </w:t>
      </w:r>
      <w:r w:rsidRPr="0068730C">
        <w:t>has the highest cost weight (</w:t>
      </w:r>
      <w:r w:rsidR="00C34C0B">
        <w:t>23.65)</w:t>
      </w:r>
      <w:r w:rsidRPr="0068730C">
        <w:t xml:space="preserve"> and </w:t>
      </w:r>
      <w:r w:rsidR="007C3C38">
        <w:t>ALOS</w:t>
      </w:r>
      <w:r w:rsidRPr="0068730C">
        <w:t xml:space="preserve"> (</w:t>
      </w:r>
      <w:r w:rsidR="00C34C0B">
        <w:t>29.4</w:t>
      </w:r>
      <w:r w:rsidRPr="0068730C">
        <w:t>)</w:t>
      </w:r>
      <w:r w:rsidR="00263B4F" w:rsidRPr="0068730C">
        <w:t>.</w:t>
      </w:r>
    </w:p>
    <w:p w14:paraId="631C648C" w14:textId="31BDB3CF" w:rsidR="00C90FAC" w:rsidRPr="0068730C" w:rsidRDefault="00263B4F" w:rsidP="009D310D">
      <w:pPr>
        <w:pStyle w:val="ListLevel1"/>
      </w:pPr>
      <w:r w:rsidRPr="0068730C">
        <w:t>MDC 06 (Digestive System) has the highest volume of episodes</w:t>
      </w:r>
      <w:r w:rsidR="00C90FAC" w:rsidRPr="0068730C">
        <w:t xml:space="preserve"> (</w:t>
      </w:r>
      <w:r w:rsidR="00C34C0B" w:rsidRPr="00C34C0B">
        <w:t>578,576</w:t>
      </w:r>
      <w:r w:rsidR="00C34C0B">
        <w:t xml:space="preserve"> </w:t>
      </w:r>
      <w:r w:rsidR="00DB117A">
        <w:t>weighted separations</w:t>
      </w:r>
      <w:r w:rsidR="007858CA" w:rsidRPr="0068730C">
        <w:t xml:space="preserve"> or 1</w:t>
      </w:r>
      <w:r w:rsidR="00C34C0B">
        <w:t>6.9</w:t>
      </w:r>
      <w:r w:rsidR="000B694F">
        <w:t>%</w:t>
      </w:r>
      <w:r w:rsidR="00C90FAC" w:rsidRPr="0068730C">
        <w:t>)</w:t>
      </w:r>
      <w:r w:rsidR="00491E4C" w:rsidRPr="0068730C">
        <w:t xml:space="preserve">. Minor elective </w:t>
      </w:r>
      <w:r w:rsidR="00164DF2">
        <w:t xml:space="preserve">procedures </w:t>
      </w:r>
      <w:r w:rsidR="00491E4C" w:rsidRPr="0068730C">
        <w:t xml:space="preserve">such as endoscopy and colonoscopy </w:t>
      </w:r>
      <w:r w:rsidR="00147E2F">
        <w:lastRenderedPageBreak/>
        <w:t>make up a large volume of the activity</w:t>
      </w:r>
      <w:r w:rsidR="00491E4C" w:rsidRPr="0068730C">
        <w:t xml:space="preserve">, </w:t>
      </w:r>
      <w:r w:rsidR="00F21175">
        <w:t>driving</w:t>
      </w:r>
      <w:r w:rsidR="00491E4C" w:rsidRPr="0068730C">
        <w:t xml:space="preserve"> the</w:t>
      </w:r>
      <w:r w:rsidR="00C90FAC" w:rsidRPr="0068730C">
        <w:t xml:space="preserve"> </w:t>
      </w:r>
      <w:proofErr w:type="gramStart"/>
      <w:r w:rsidR="00C90FAC" w:rsidRPr="0068730C">
        <w:t>l</w:t>
      </w:r>
      <w:r w:rsidR="00DB117A">
        <w:t>ow</w:t>
      </w:r>
      <w:r w:rsidR="005066AC">
        <w:t xml:space="preserve"> </w:t>
      </w:r>
      <w:r w:rsidR="00C90FAC" w:rsidRPr="0068730C">
        <w:t>cost</w:t>
      </w:r>
      <w:proofErr w:type="gramEnd"/>
      <w:r w:rsidR="00C90FAC" w:rsidRPr="0068730C">
        <w:t xml:space="preserve"> weight (0.</w:t>
      </w:r>
      <w:r w:rsidR="00C34C0B">
        <w:t>6</w:t>
      </w:r>
      <w:r w:rsidR="00C90FAC" w:rsidRPr="0068730C">
        <w:t xml:space="preserve">) and short </w:t>
      </w:r>
      <w:r w:rsidR="007C3C38">
        <w:t>ALOS</w:t>
      </w:r>
      <w:r w:rsidR="00C90FAC" w:rsidRPr="0068730C">
        <w:t xml:space="preserve"> (1.7).</w:t>
      </w:r>
    </w:p>
    <w:p w14:paraId="71F296B5" w14:textId="21E0E575" w:rsidR="00263B4F" w:rsidRPr="0068730C" w:rsidRDefault="00864013" w:rsidP="009D310D">
      <w:pPr>
        <w:pStyle w:val="ListLevel1"/>
      </w:pPr>
      <w:r w:rsidRPr="0068730C">
        <w:t>MDC 08</w:t>
      </w:r>
      <w:r w:rsidR="00C90FAC" w:rsidRPr="0068730C">
        <w:t xml:space="preserve"> (Musculoskeletal System and Connective Tissue) </w:t>
      </w:r>
      <w:r w:rsidRPr="0068730C">
        <w:t>has the next highest volume of episodes (</w:t>
      </w:r>
      <w:r w:rsidR="00C34C0B" w:rsidRPr="00C34C0B">
        <w:t>468,580</w:t>
      </w:r>
      <w:r w:rsidR="00C34C0B">
        <w:rPr>
          <w:rFonts w:cs="Arial"/>
          <w:sz w:val="18"/>
          <w:szCs w:val="18"/>
        </w:rPr>
        <w:t xml:space="preserve"> </w:t>
      </w:r>
      <w:r w:rsidR="00DB117A">
        <w:t xml:space="preserve">weighted separations </w:t>
      </w:r>
      <w:r w:rsidR="007858CA" w:rsidRPr="0068730C">
        <w:t xml:space="preserve">or </w:t>
      </w:r>
      <w:r w:rsidR="00C34C0B">
        <w:t>13.7</w:t>
      </w:r>
      <w:r w:rsidR="000B694F">
        <w:t>%</w:t>
      </w:r>
      <w:r w:rsidRPr="0068730C">
        <w:t>)</w:t>
      </w:r>
      <w:r w:rsidR="00C90FAC" w:rsidRPr="0068730C">
        <w:t xml:space="preserve">. </w:t>
      </w:r>
      <w:r w:rsidRPr="0068730C">
        <w:t>Within the private sector, orthopaedic elective surgery is common, however it does attract a higher cost weight (2.0</w:t>
      </w:r>
      <w:r w:rsidR="00C34C0B">
        <w:t>1</w:t>
      </w:r>
      <w:r w:rsidRPr="0068730C">
        <w:t>) and length of stay (2.9). As such it is the MDC with the highest number of cost weighted separations (</w:t>
      </w:r>
      <w:r w:rsidR="00C34C0B" w:rsidRPr="00C34C0B">
        <w:t>941,846</w:t>
      </w:r>
      <w:r w:rsidRPr="0068730C">
        <w:t>).</w:t>
      </w:r>
    </w:p>
    <w:p w14:paraId="77AE1EBD" w14:textId="5F544AFA" w:rsidR="00864013" w:rsidRPr="0068730C" w:rsidRDefault="00864013" w:rsidP="009D310D">
      <w:pPr>
        <w:pStyle w:val="ListLevel1"/>
      </w:pPr>
      <w:r w:rsidRPr="0068730C">
        <w:t xml:space="preserve">MDC 15 (Newborns and Other Neonates) </w:t>
      </w:r>
      <w:r w:rsidR="007C3C38">
        <w:t>and MDC 80 (</w:t>
      </w:r>
      <w:r w:rsidR="007C3C38" w:rsidRPr="007C3C38">
        <w:t>DRGs operational room procedure unrelated to PD</w:t>
      </w:r>
      <w:r w:rsidR="007C3C38">
        <w:t>)</w:t>
      </w:r>
      <w:r w:rsidR="007C3C38" w:rsidRPr="007C3C38">
        <w:t xml:space="preserve"> </w:t>
      </w:r>
      <w:r w:rsidRPr="0068730C">
        <w:t xml:space="preserve">have the </w:t>
      </w:r>
      <w:r w:rsidR="009F4C3C">
        <w:t xml:space="preserve">next </w:t>
      </w:r>
      <w:r w:rsidRPr="0068730C">
        <w:t xml:space="preserve">longest </w:t>
      </w:r>
      <w:r w:rsidR="007C3C38">
        <w:t>ALOS</w:t>
      </w:r>
      <w:r w:rsidRPr="0068730C">
        <w:t xml:space="preserve"> </w:t>
      </w:r>
      <w:r w:rsidR="00C34C0B">
        <w:t>of 7.9 days</w:t>
      </w:r>
      <w:r w:rsidR="007C3C38">
        <w:t xml:space="preserve"> and 7.6 respectively</w:t>
      </w:r>
      <w:r w:rsidR="00C34C0B">
        <w:t>.</w:t>
      </w:r>
    </w:p>
    <w:p w14:paraId="02CA3A38" w14:textId="607DA4FA" w:rsidR="00163C8C" w:rsidRPr="005629F8" w:rsidRDefault="007858CA">
      <w:pPr>
        <w:pStyle w:val="ListLevel1"/>
      </w:pPr>
      <w:r w:rsidRPr="0068730C">
        <w:t xml:space="preserve">MDC 02 (Eye) and MDC </w:t>
      </w:r>
      <w:r w:rsidR="00164DF2">
        <w:t xml:space="preserve">03 </w:t>
      </w:r>
      <w:r w:rsidRPr="0068730C">
        <w:t>(Ear, Nose, Mouth and Throat) have the lowest average length</w:t>
      </w:r>
      <w:r w:rsidR="009F4C3C">
        <w:t>s</w:t>
      </w:r>
      <w:r w:rsidRPr="0068730C">
        <w:t xml:space="preserve"> of stay with 1.1 and 1.2 respectively</w:t>
      </w:r>
      <w:r w:rsidR="00204852">
        <w:t>.</w:t>
      </w:r>
      <w:r w:rsidRPr="0068730C">
        <w:t xml:space="preserve"> </w:t>
      </w:r>
      <w:r w:rsidR="00204852">
        <w:t>T</w:t>
      </w:r>
      <w:r w:rsidR="00015C1F">
        <w:t>his</w:t>
      </w:r>
      <w:r w:rsidRPr="0068730C">
        <w:t xml:space="preserve"> reflects the </w:t>
      </w:r>
      <w:proofErr w:type="spellStart"/>
      <w:r w:rsidRPr="0068730C">
        <w:t>sameday</w:t>
      </w:r>
      <w:proofErr w:type="spellEnd"/>
      <w:r w:rsidRPr="0068730C">
        <w:t xml:space="preserve"> nature of these MDCs.</w:t>
      </w:r>
    </w:p>
    <w:p w14:paraId="5D731E98" w14:textId="491BB32E" w:rsidR="003B127F" w:rsidRPr="005629F8" w:rsidRDefault="003B127F" w:rsidP="005629F8">
      <w:pPr>
        <w:pStyle w:val="ListLevel1"/>
        <w:numPr>
          <w:ilvl w:val="0"/>
          <w:numId w:val="0"/>
        </w:numPr>
      </w:pPr>
    </w:p>
    <w:p w14:paraId="0B73ED2D" w14:textId="1E66F1B7" w:rsidR="00F005E1" w:rsidRPr="005629F8" w:rsidRDefault="00F005E1" w:rsidP="005629F8">
      <w:pPr>
        <w:sectPr w:rsidR="00F005E1" w:rsidRPr="005629F8" w:rsidSect="00522146">
          <w:headerReference w:type="default" r:id="rId21"/>
          <w:footerReference w:type="default" r:id="rId22"/>
          <w:pgSz w:w="11906" w:h="16838" w:code="9"/>
          <w:pgMar w:top="1440" w:right="1080" w:bottom="1440" w:left="1080" w:header="708" w:footer="708" w:gutter="0"/>
          <w:cols w:space="720"/>
          <w:docGrid w:linePitch="360"/>
        </w:sectPr>
      </w:pPr>
    </w:p>
    <w:p w14:paraId="5CDBF65E" w14:textId="1FE43F82" w:rsidR="00E91FC1" w:rsidRPr="001F188B" w:rsidRDefault="00E91FC1" w:rsidP="00E87B16">
      <w:pPr>
        <w:pStyle w:val="TableFigureheading"/>
      </w:pPr>
      <w:bookmarkStart w:id="94" w:name="_Ref127861435"/>
      <w:bookmarkStart w:id="95" w:name="_Toc129179298"/>
      <w:bookmarkStart w:id="96" w:name="_Toc152081872"/>
      <w:r w:rsidRPr="00F2253B">
        <w:lastRenderedPageBreak/>
        <w:t xml:space="preserve">Table </w:t>
      </w:r>
      <w:r w:rsidRPr="002F3010">
        <w:fldChar w:fldCharType="begin"/>
      </w:r>
      <w:r w:rsidRPr="005629F8">
        <w:instrText xml:space="preserve"> SEQ Table \* ARABIC </w:instrText>
      </w:r>
      <w:r w:rsidRPr="002F3010">
        <w:fldChar w:fldCharType="separate"/>
      </w:r>
      <w:r w:rsidR="00D3454D">
        <w:rPr>
          <w:noProof/>
        </w:rPr>
        <w:t>4</w:t>
      </w:r>
      <w:r w:rsidRPr="002F3010">
        <w:fldChar w:fldCharType="end"/>
      </w:r>
      <w:bookmarkEnd w:id="94"/>
      <w:r w:rsidR="003970E8">
        <w:t xml:space="preserve">. </w:t>
      </w:r>
      <w:r w:rsidR="00A94B72">
        <w:t>NHCDC Private Sector Summary by Major Diagnostic Category (AR-DRG v11)</w:t>
      </w:r>
      <w:bookmarkEnd w:id="95"/>
      <w:bookmarkEnd w:id="96"/>
    </w:p>
    <w:tbl>
      <w:tblPr>
        <w:tblpPr w:leftFromText="180" w:rightFromText="180" w:vertAnchor="page" w:horzAnchor="margin" w:tblpY="1567"/>
        <w:tblW w:w="14347" w:type="dxa"/>
        <w:tblBorders>
          <w:top w:val="single" w:sz="4" w:space="0" w:color="auto"/>
          <w:bottom w:val="single" w:sz="6" w:space="0" w:color="auto"/>
          <w:insideH w:val="single" w:sz="4" w:space="0" w:color="D9D9D9"/>
        </w:tblBorders>
        <w:tblLayout w:type="fixed"/>
        <w:tblLook w:val="0000" w:firstRow="0" w:lastRow="0" w:firstColumn="0" w:lastColumn="0" w:noHBand="0" w:noVBand="0"/>
      </w:tblPr>
      <w:tblGrid>
        <w:gridCol w:w="1147"/>
        <w:gridCol w:w="6821"/>
        <w:gridCol w:w="1134"/>
        <w:gridCol w:w="1276"/>
        <w:gridCol w:w="1418"/>
        <w:gridCol w:w="1275"/>
        <w:gridCol w:w="1276"/>
      </w:tblGrid>
      <w:tr w:rsidR="006D4E0B" w:rsidRPr="0088109E" w14:paraId="6C9984C9" w14:textId="77777777" w:rsidTr="005629F8">
        <w:trPr>
          <w:trHeight w:val="691"/>
        </w:trPr>
        <w:tc>
          <w:tcPr>
            <w:tcW w:w="1147" w:type="dxa"/>
            <w:shd w:val="clear" w:color="auto" w:fill="15272F" w:themeFill="text1"/>
            <w:vAlign w:val="center"/>
          </w:tcPr>
          <w:p w14:paraId="51681075" w14:textId="77777777" w:rsidR="006D4E0B" w:rsidRPr="005629F8" w:rsidRDefault="006D4E0B" w:rsidP="000771FC">
            <w:pPr>
              <w:autoSpaceDE w:val="0"/>
              <w:autoSpaceDN w:val="0"/>
              <w:adjustRightInd w:val="0"/>
              <w:spacing w:after="0" w:line="276" w:lineRule="auto"/>
              <w:jc w:val="center"/>
              <w:rPr>
                <w:rFonts w:cs="Arial"/>
                <w:b/>
                <w:bCs/>
                <w:color w:val="FFFFFF" w:themeColor="background2"/>
                <w:sz w:val="18"/>
                <w:szCs w:val="14"/>
              </w:rPr>
            </w:pPr>
            <w:r w:rsidRPr="005629F8">
              <w:rPr>
                <w:rFonts w:cs="Arial"/>
                <w:b/>
                <w:bCs/>
                <w:color w:val="FFFFFF" w:themeColor="background2"/>
                <w:sz w:val="18"/>
                <w:szCs w:val="14"/>
              </w:rPr>
              <w:t>MDC</w:t>
            </w:r>
          </w:p>
        </w:tc>
        <w:tc>
          <w:tcPr>
            <w:tcW w:w="6821" w:type="dxa"/>
            <w:tcBorders>
              <w:right w:val="single" w:sz="4" w:space="0" w:color="D9D9D9"/>
            </w:tcBorders>
            <w:shd w:val="clear" w:color="auto" w:fill="15272F" w:themeFill="text1"/>
            <w:vAlign w:val="center"/>
          </w:tcPr>
          <w:p w14:paraId="204C26BB" w14:textId="77777777" w:rsidR="006D4E0B" w:rsidRPr="005629F8" w:rsidRDefault="006D4E0B" w:rsidP="005629F8">
            <w:pPr>
              <w:autoSpaceDE w:val="0"/>
              <w:autoSpaceDN w:val="0"/>
              <w:adjustRightInd w:val="0"/>
              <w:spacing w:after="0" w:line="276" w:lineRule="auto"/>
              <w:rPr>
                <w:rFonts w:cs="Arial"/>
                <w:b/>
                <w:bCs/>
                <w:color w:val="FFFFFF" w:themeColor="background2"/>
                <w:sz w:val="18"/>
                <w:szCs w:val="14"/>
              </w:rPr>
            </w:pPr>
            <w:r w:rsidRPr="005629F8">
              <w:rPr>
                <w:rFonts w:cs="Arial"/>
                <w:b/>
                <w:bCs/>
                <w:color w:val="FFFFFF" w:themeColor="background2"/>
                <w:sz w:val="18"/>
                <w:szCs w:val="14"/>
              </w:rPr>
              <w:t>MDC Description</w:t>
            </w:r>
          </w:p>
        </w:tc>
        <w:tc>
          <w:tcPr>
            <w:tcW w:w="1134" w:type="dxa"/>
            <w:tcBorders>
              <w:top w:val="single" w:sz="4" w:space="0" w:color="auto"/>
              <w:left w:val="single" w:sz="4" w:space="0" w:color="D9D9D9"/>
              <w:bottom w:val="single" w:sz="4" w:space="0" w:color="D9D9D9"/>
            </w:tcBorders>
            <w:shd w:val="clear" w:color="auto" w:fill="15272F" w:themeFill="text1"/>
            <w:vAlign w:val="center"/>
          </w:tcPr>
          <w:p w14:paraId="24769FB0" w14:textId="77777777" w:rsidR="006D4E0B" w:rsidRPr="005629F8" w:rsidRDefault="006D4E0B" w:rsidP="00E87B16">
            <w:pPr>
              <w:autoSpaceDE w:val="0"/>
              <w:autoSpaceDN w:val="0"/>
              <w:adjustRightInd w:val="0"/>
              <w:spacing w:after="0" w:line="276" w:lineRule="auto"/>
              <w:jc w:val="center"/>
              <w:rPr>
                <w:rFonts w:cs="Arial"/>
                <w:b/>
                <w:bCs/>
                <w:color w:val="FFFFFF" w:themeColor="background2"/>
                <w:sz w:val="18"/>
                <w:szCs w:val="14"/>
              </w:rPr>
            </w:pPr>
            <w:r w:rsidRPr="005629F8">
              <w:rPr>
                <w:rFonts w:cs="Arial"/>
                <w:b/>
                <w:bCs/>
                <w:color w:val="FFFFFF" w:themeColor="background2"/>
                <w:sz w:val="18"/>
                <w:szCs w:val="14"/>
              </w:rPr>
              <w:t>Cost weight</w:t>
            </w:r>
            <w:r w:rsidRPr="005629F8">
              <w:rPr>
                <w:rFonts w:cs="Arial"/>
                <w:b/>
                <w:bCs/>
                <w:color w:val="FFFFFF" w:themeColor="background2"/>
                <w:sz w:val="18"/>
                <w:szCs w:val="14"/>
              </w:rPr>
              <w:br/>
              <w:t>(a)</w:t>
            </w:r>
          </w:p>
        </w:tc>
        <w:tc>
          <w:tcPr>
            <w:tcW w:w="1276" w:type="dxa"/>
            <w:shd w:val="clear" w:color="auto" w:fill="15272F" w:themeFill="text1"/>
            <w:vAlign w:val="center"/>
          </w:tcPr>
          <w:p w14:paraId="75D8EEE9" w14:textId="2068AAB4" w:rsidR="006D4E0B" w:rsidRPr="005629F8" w:rsidRDefault="006D4E0B" w:rsidP="00E87B16">
            <w:pPr>
              <w:autoSpaceDE w:val="0"/>
              <w:autoSpaceDN w:val="0"/>
              <w:adjustRightInd w:val="0"/>
              <w:spacing w:after="0" w:line="276" w:lineRule="auto"/>
              <w:jc w:val="center"/>
              <w:rPr>
                <w:rFonts w:cs="Arial"/>
                <w:b/>
                <w:bCs/>
                <w:color w:val="FFFFFF" w:themeColor="background2"/>
                <w:sz w:val="18"/>
                <w:szCs w:val="14"/>
              </w:rPr>
            </w:pPr>
            <w:r w:rsidRPr="005629F8">
              <w:rPr>
                <w:rFonts w:cs="Arial"/>
                <w:b/>
                <w:bCs/>
                <w:color w:val="FFFFFF" w:themeColor="background2"/>
                <w:sz w:val="18"/>
                <w:szCs w:val="14"/>
              </w:rPr>
              <w:t>No. of weighted seps</w:t>
            </w:r>
            <w:r w:rsidRPr="005629F8">
              <w:rPr>
                <w:rFonts w:cs="Arial"/>
                <w:b/>
                <w:bCs/>
                <w:color w:val="FFFFFF" w:themeColor="background2"/>
                <w:sz w:val="18"/>
                <w:szCs w:val="14"/>
              </w:rPr>
              <w:br/>
              <w:t>(b)</w:t>
            </w:r>
          </w:p>
        </w:tc>
        <w:tc>
          <w:tcPr>
            <w:tcW w:w="1418" w:type="dxa"/>
            <w:shd w:val="clear" w:color="auto" w:fill="15272F" w:themeFill="text1"/>
            <w:vAlign w:val="center"/>
          </w:tcPr>
          <w:p w14:paraId="1E5267E4" w14:textId="77777777" w:rsidR="006D4E0B" w:rsidRPr="005629F8" w:rsidRDefault="006D4E0B" w:rsidP="00E87B16">
            <w:pPr>
              <w:autoSpaceDE w:val="0"/>
              <w:autoSpaceDN w:val="0"/>
              <w:adjustRightInd w:val="0"/>
              <w:spacing w:after="0" w:line="276" w:lineRule="auto"/>
              <w:jc w:val="center"/>
              <w:rPr>
                <w:rFonts w:cs="Arial"/>
                <w:b/>
                <w:bCs/>
                <w:color w:val="FFFFFF" w:themeColor="background2"/>
                <w:sz w:val="18"/>
                <w:szCs w:val="14"/>
              </w:rPr>
            </w:pPr>
            <w:r w:rsidRPr="005629F8">
              <w:rPr>
                <w:rFonts w:cs="Arial"/>
                <w:b/>
                <w:bCs/>
                <w:color w:val="FFFFFF" w:themeColor="background2"/>
                <w:sz w:val="18"/>
                <w:szCs w:val="14"/>
              </w:rPr>
              <w:t>Cost weighted seps</w:t>
            </w:r>
            <w:r w:rsidRPr="005629F8">
              <w:rPr>
                <w:rFonts w:cs="Arial"/>
                <w:b/>
                <w:bCs/>
                <w:color w:val="FFFFFF" w:themeColor="background2"/>
                <w:sz w:val="18"/>
                <w:szCs w:val="14"/>
              </w:rPr>
              <w:br/>
              <w:t>(c)=(a)x(b)</w:t>
            </w:r>
          </w:p>
        </w:tc>
        <w:tc>
          <w:tcPr>
            <w:tcW w:w="1275" w:type="dxa"/>
            <w:shd w:val="clear" w:color="auto" w:fill="15272F" w:themeFill="text1"/>
            <w:vAlign w:val="center"/>
          </w:tcPr>
          <w:p w14:paraId="5A686A6C" w14:textId="77777777" w:rsidR="006D4E0B" w:rsidRPr="005629F8" w:rsidRDefault="006D4E0B" w:rsidP="00E87B16">
            <w:pPr>
              <w:autoSpaceDE w:val="0"/>
              <w:autoSpaceDN w:val="0"/>
              <w:adjustRightInd w:val="0"/>
              <w:spacing w:after="0" w:line="276" w:lineRule="auto"/>
              <w:jc w:val="center"/>
              <w:rPr>
                <w:rFonts w:cs="Arial"/>
                <w:b/>
                <w:bCs/>
                <w:color w:val="FFFFFF" w:themeColor="background2"/>
                <w:sz w:val="18"/>
                <w:szCs w:val="14"/>
              </w:rPr>
            </w:pPr>
            <w:r w:rsidRPr="005629F8">
              <w:rPr>
                <w:rFonts w:cs="Arial"/>
                <w:b/>
                <w:bCs/>
                <w:color w:val="FFFFFF" w:themeColor="background2"/>
                <w:sz w:val="18"/>
                <w:szCs w:val="14"/>
              </w:rPr>
              <w:t>Number of days</w:t>
            </w:r>
            <w:r w:rsidRPr="005629F8">
              <w:rPr>
                <w:rFonts w:cs="Arial"/>
                <w:b/>
                <w:bCs/>
                <w:color w:val="FFFFFF" w:themeColor="background2"/>
                <w:sz w:val="18"/>
                <w:szCs w:val="14"/>
              </w:rPr>
              <w:br/>
              <w:t>(d)</w:t>
            </w:r>
          </w:p>
        </w:tc>
        <w:tc>
          <w:tcPr>
            <w:tcW w:w="1276" w:type="dxa"/>
            <w:shd w:val="clear" w:color="auto" w:fill="15272F" w:themeFill="text1"/>
            <w:vAlign w:val="center"/>
          </w:tcPr>
          <w:p w14:paraId="72C78DD8" w14:textId="77777777" w:rsidR="006D4E0B" w:rsidRPr="005629F8" w:rsidRDefault="006D4E0B" w:rsidP="00E87B16">
            <w:pPr>
              <w:autoSpaceDE w:val="0"/>
              <w:autoSpaceDN w:val="0"/>
              <w:adjustRightInd w:val="0"/>
              <w:spacing w:after="0" w:line="276" w:lineRule="auto"/>
              <w:jc w:val="center"/>
              <w:rPr>
                <w:rFonts w:cs="Arial"/>
                <w:b/>
                <w:bCs/>
                <w:color w:val="FFFFFF" w:themeColor="background2"/>
                <w:sz w:val="18"/>
                <w:szCs w:val="14"/>
              </w:rPr>
            </w:pPr>
            <w:r w:rsidRPr="005629F8">
              <w:rPr>
                <w:rFonts w:cs="Arial"/>
                <w:b/>
                <w:bCs/>
                <w:color w:val="FFFFFF" w:themeColor="background2"/>
                <w:sz w:val="18"/>
                <w:szCs w:val="14"/>
              </w:rPr>
              <w:t>ALOS (days)</w:t>
            </w:r>
            <w:r w:rsidRPr="005629F8">
              <w:rPr>
                <w:rFonts w:cs="Arial"/>
                <w:b/>
                <w:bCs/>
                <w:color w:val="FFFFFF" w:themeColor="background2"/>
                <w:sz w:val="18"/>
                <w:szCs w:val="14"/>
              </w:rPr>
              <w:br/>
              <w:t>(e)=(d)/(b)</w:t>
            </w:r>
          </w:p>
        </w:tc>
      </w:tr>
      <w:tr w:rsidR="00B04641" w:rsidRPr="0088109E" w14:paraId="15E9024B" w14:textId="77777777" w:rsidTr="00246127">
        <w:trPr>
          <w:trHeight w:val="274"/>
        </w:trPr>
        <w:tc>
          <w:tcPr>
            <w:tcW w:w="1147" w:type="dxa"/>
            <w:vAlign w:val="center"/>
          </w:tcPr>
          <w:p w14:paraId="588813D2"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00</w:t>
            </w:r>
          </w:p>
        </w:tc>
        <w:tc>
          <w:tcPr>
            <w:tcW w:w="6821" w:type="dxa"/>
            <w:tcBorders>
              <w:right w:val="single" w:sz="4" w:space="0" w:color="D9D9D9"/>
            </w:tcBorders>
            <w:vAlign w:val="center"/>
          </w:tcPr>
          <w:p w14:paraId="776D426B" w14:textId="5A3443AE"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Pre MDC</w:t>
            </w:r>
          </w:p>
        </w:tc>
        <w:tc>
          <w:tcPr>
            <w:tcW w:w="1134" w:type="dxa"/>
            <w:tcBorders>
              <w:top w:val="single" w:sz="4" w:space="0" w:color="D9D9D9"/>
              <w:left w:val="single" w:sz="4" w:space="0" w:color="D9D9D9"/>
              <w:bottom w:val="single" w:sz="4" w:space="0" w:color="D9D9D9"/>
            </w:tcBorders>
          </w:tcPr>
          <w:p w14:paraId="3599E8A0" w14:textId="38B5D38B"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23.65</w:t>
            </w:r>
          </w:p>
        </w:tc>
        <w:tc>
          <w:tcPr>
            <w:tcW w:w="1276" w:type="dxa"/>
          </w:tcPr>
          <w:p w14:paraId="6C7E0F60" w14:textId="276B8DA4"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1,177</w:t>
            </w:r>
          </w:p>
        </w:tc>
        <w:tc>
          <w:tcPr>
            <w:tcW w:w="1418" w:type="dxa"/>
          </w:tcPr>
          <w:p w14:paraId="3B20BA21" w14:textId="0E552343"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27,836</w:t>
            </w:r>
          </w:p>
        </w:tc>
        <w:tc>
          <w:tcPr>
            <w:tcW w:w="1275" w:type="dxa"/>
          </w:tcPr>
          <w:p w14:paraId="71915F53" w14:textId="09C7D7A3"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34,634</w:t>
            </w:r>
          </w:p>
        </w:tc>
        <w:tc>
          <w:tcPr>
            <w:tcW w:w="1276" w:type="dxa"/>
          </w:tcPr>
          <w:p w14:paraId="7102DD19" w14:textId="1CD2B248"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29.4</w:t>
            </w:r>
          </w:p>
        </w:tc>
      </w:tr>
      <w:tr w:rsidR="00B04641" w:rsidRPr="0088109E" w14:paraId="3AFF6F82" w14:textId="77777777" w:rsidTr="00246127">
        <w:trPr>
          <w:trHeight w:val="274"/>
        </w:trPr>
        <w:tc>
          <w:tcPr>
            <w:tcW w:w="1147" w:type="dxa"/>
            <w:vAlign w:val="center"/>
          </w:tcPr>
          <w:p w14:paraId="2709B49D"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01</w:t>
            </w:r>
          </w:p>
        </w:tc>
        <w:tc>
          <w:tcPr>
            <w:tcW w:w="6821" w:type="dxa"/>
            <w:tcBorders>
              <w:right w:val="single" w:sz="4" w:space="0" w:color="D9D9D9"/>
            </w:tcBorders>
            <w:vAlign w:val="center"/>
          </w:tcPr>
          <w:p w14:paraId="3A62BBCF" w14:textId="25D1ED88"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Nervous System</w:t>
            </w:r>
          </w:p>
        </w:tc>
        <w:tc>
          <w:tcPr>
            <w:tcW w:w="1134" w:type="dxa"/>
            <w:tcBorders>
              <w:top w:val="single" w:sz="4" w:space="0" w:color="D9D9D9"/>
              <w:left w:val="single" w:sz="4" w:space="0" w:color="D9D9D9"/>
              <w:bottom w:val="single" w:sz="4" w:space="0" w:color="D9D9D9"/>
            </w:tcBorders>
          </w:tcPr>
          <w:p w14:paraId="78CBC6B1" w14:textId="70ADCE7F"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1.19</w:t>
            </w:r>
          </w:p>
        </w:tc>
        <w:tc>
          <w:tcPr>
            <w:tcW w:w="1276" w:type="dxa"/>
          </w:tcPr>
          <w:p w14:paraId="3C9273FB" w14:textId="322904F9"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105,569</w:t>
            </w:r>
          </w:p>
        </w:tc>
        <w:tc>
          <w:tcPr>
            <w:tcW w:w="1418" w:type="dxa"/>
          </w:tcPr>
          <w:p w14:paraId="59782B70" w14:textId="15BB2F84"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125,627</w:t>
            </w:r>
          </w:p>
        </w:tc>
        <w:tc>
          <w:tcPr>
            <w:tcW w:w="1275" w:type="dxa"/>
          </w:tcPr>
          <w:p w14:paraId="72275DEC" w14:textId="1C10358A"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353,106</w:t>
            </w:r>
          </w:p>
        </w:tc>
        <w:tc>
          <w:tcPr>
            <w:tcW w:w="1276" w:type="dxa"/>
          </w:tcPr>
          <w:p w14:paraId="6B4B18B3" w14:textId="772019D9"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3.3</w:t>
            </w:r>
          </w:p>
        </w:tc>
      </w:tr>
      <w:tr w:rsidR="00B04641" w:rsidRPr="0088109E" w14:paraId="4E2A7FA0" w14:textId="77777777" w:rsidTr="00246127">
        <w:trPr>
          <w:trHeight w:val="274"/>
        </w:trPr>
        <w:tc>
          <w:tcPr>
            <w:tcW w:w="1147" w:type="dxa"/>
            <w:vAlign w:val="center"/>
          </w:tcPr>
          <w:p w14:paraId="74659807"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02</w:t>
            </w:r>
          </w:p>
        </w:tc>
        <w:tc>
          <w:tcPr>
            <w:tcW w:w="6821" w:type="dxa"/>
            <w:tcBorders>
              <w:right w:val="single" w:sz="4" w:space="0" w:color="D9D9D9"/>
            </w:tcBorders>
            <w:vAlign w:val="center"/>
          </w:tcPr>
          <w:p w14:paraId="78864185" w14:textId="019252E7"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Eye</w:t>
            </w:r>
          </w:p>
        </w:tc>
        <w:tc>
          <w:tcPr>
            <w:tcW w:w="1134" w:type="dxa"/>
            <w:tcBorders>
              <w:top w:val="single" w:sz="4" w:space="0" w:color="D9D9D9"/>
              <w:left w:val="single" w:sz="4" w:space="0" w:color="D9D9D9"/>
              <w:bottom w:val="single" w:sz="4" w:space="0" w:color="D9D9D9"/>
            </w:tcBorders>
          </w:tcPr>
          <w:p w14:paraId="518C8A9E" w14:textId="1BD915A5"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0.50</w:t>
            </w:r>
          </w:p>
        </w:tc>
        <w:tc>
          <w:tcPr>
            <w:tcW w:w="1276" w:type="dxa"/>
          </w:tcPr>
          <w:p w14:paraId="17AEC09E" w14:textId="55BE6F0C"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71,689</w:t>
            </w:r>
          </w:p>
        </w:tc>
        <w:tc>
          <w:tcPr>
            <w:tcW w:w="1418" w:type="dxa"/>
          </w:tcPr>
          <w:p w14:paraId="2620327C" w14:textId="587A2013"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35,845</w:t>
            </w:r>
          </w:p>
        </w:tc>
        <w:tc>
          <w:tcPr>
            <w:tcW w:w="1275" w:type="dxa"/>
          </w:tcPr>
          <w:p w14:paraId="3C3D84A8" w14:textId="4A1BE309"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75,502</w:t>
            </w:r>
          </w:p>
        </w:tc>
        <w:tc>
          <w:tcPr>
            <w:tcW w:w="1276" w:type="dxa"/>
          </w:tcPr>
          <w:p w14:paraId="1F16F10F" w14:textId="2CC6972D"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1.1</w:t>
            </w:r>
          </w:p>
        </w:tc>
      </w:tr>
      <w:tr w:rsidR="00B04641" w:rsidRPr="0088109E" w14:paraId="3DA97928" w14:textId="77777777" w:rsidTr="00246127">
        <w:trPr>
          <w:trHeight w:val="274"/>
        </w:trPr>
        <w:tc>
          <w:tcPr>
            <w:tcW w:w="1147" w:type="dxa"/>
            <w:vAlign w:val="center"/>
          </w:tcPr>
          <w:p w14:paraId="4F6EF949"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03</w:t>
            </w:r>
          </w:p>
        </w:tc>
        <w:tc>
          <w:tcPr>
            <w:tcW w:w="6821" w:type="dxa"/>
            <w:tcBorders>
              <w:right w:val="single" w:sz="4" w:space="0" w:color="D9D9D9"/>
            </w:tcBorders>
            <w:vAlign w:val="center"/>
          </w:tcPr>
          <w:p w14:paraId="6F5E4F64" w14:textId="658308E2"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Ear, Nose, Mouth and Throat</w:t>
            </w:r>
          </w:p>
        </w:tc>
        <w:tc>
          <w:tcPr>
            <w:tcW w:w="1134" w:type="dxa"/>
            <w:tcBorders>
              <w:top w:val="single" w:sz="4" w:space="0" w:color="D9D9D9"/>
              <w:left w:val="single" w:sz="4" w:space="0" w:color="D9D9D9"/>
              <w:bottom w:val="single" w:sz="4" w:space="0" w:color="D9D9D9"/>
            </w:tcBorders>
          </w:tcPr>
          <w:p w14:paraId="1018A26C" w14:textId="449D72FA"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0.71</w:t>
            </w:r>
          </w:p>
        </w:tc>
        <w:tc>
          <w:tcPr>
            <w:tcW w:w="1276" w:type="dxa"/>
          </w:tcPr>
          <w:p w14:paraId="1C1BBCB6" w14:textId="1EB3FB77"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192,657</w:t>
            </w:r>
          </w:p>
        </w:tc>
        <w:tc>
          <w:tcPr>
            <w:tcW w:w="1418" w:type="dxa"/>
          </w:tcPr>
          <w:p w14:paraId="6F2363C9" w14:textId="41BD4202"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136,786</w:t>
            </w:r>
          </w:p>
        </w:tc>
        <w:tc>
          <w:tcPr>
            <w:tcW w:w="1275" w:type="dxa"/>
          </w:tcPr>
          <w:p w14:paraId="3BB815C6" w14:textId="767BBC62"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234,039</w:t>
            </w:r>
          </w:p>
        </w:tc>
        <w:tc>
          <w:tcPr>
            <w:tcW w:w="1276" w:type="dxa"/>
          </w:tcPr>
          <w:p w14:paraId="20281B3B" w14:textId="312D4D5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1.2</w:t>
            </w:r>
          </w:p>
        </w:tc>
      </w:tr>
      <w:tr w:rsidR="00B04641" w:rsidRPr="0088109E" w14:paraId="3002A38C" w14:textId="77777777" w:rsidTr="00246127">
        <w:trPr>
          <w:trHeight w:val="274"/>
        </w:trPr>
        <w:tc>
          <w:tcPr>
            <w:tcW w:w="1147" w:type="dxa"/>
            <w:vAlign w:val="center"/>
          </w:tcPr>
          <w:p w14:paraId="2999BB64"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04</w:t>
            </w:r>
          </w:p>
        </w:tc>
        <w:tc>
          <w:tcPr>
            <w:tcW w:w="6821" w:type="dxa"/>
            <w:tcBorders>
              <w:right w:val="single" w:sz="4" w:space="0" w:color="D9D9D9"/>
            </w:tcBorders>
            <w:vAlign w:val="center"/>
          </w:tcPr>
          <w:p w14:paraId="09B6A63A" w14:textId="6EF8C34E"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Respiratory System</w:t>
            </w:r>
          </w:p>
        </w:tc>
        <w:tc>
          <w:tcPr>
            <w:tcW w:w="1134" w:type="dxa"/>
            <w:tcBorders>
              <w:top w:val="single" w:sz="4" w:space="0" w:color="D9D9D9"/>
              <w:left w:val="single" w:sz="4" w:space="0" w:color="D9D9D9"/>
              <w:bottom w:val="single" w:sz="4" w:space="0" w:color="D9D9D9"/>
            </w:tcBorders>
          </w:tcPr>
          <w:p w14:paraId="3F13A9B4" w14:textId="704298BB"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1.14</w:t>
            </w:r>
          </w:p>
        </w:tc>
        <w:tc>
          <w:tcPr>
            <w:tcW w:w="1276" w:type="dxa"/>
          </w:tcPr>
          <w:p w14:paraId="706245CA" w14:textId="472AAD5B"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102,950</w:t>
            </w:r>
          </w:p>
        </w:tc>
        <w:tc>
          <w:tcPr>
            <w:tcW w:w="1418" w:type="dxa"/>
          </w:tcPr>
          <w:p w14:paraId="051C49B4" w14:textId="55DBDC76"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117,363</w:t>
            </w:r>
          </w:p>
        </w:tc>
        <w:tc>
          <w:tcPr>
            <w:tcW w:w="1275" w:type="dxa"/>
          </w:tcPr>
          <w:p w14:paraId="2944207C" w14:textId="5D416C80"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387,333</w:t>
            </w:r>
          </w:p>
        </w:tc>
        <w:tc>
          <w:tcPr>
            <w:tcW w:w="1276" w:type="dxa"/>
          </w:tcPr>
          <w:p w14:paraId="359F0153" w14:textId="535968FF"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3.8</w:t>
            </w:r>
          </w:p>
        </w:tc>
      </w:tr>
      <w:tr w:rsidR="00B04641" w:rsidRPr="0088109E" w14:paraId="149F1260" w14:textId="77777777" w:rsidTr="00246127">
        <w:trPr>
          <w:trHeight w:val="274"/>
        </w:trPr>
        <w:tc>
          <w:tcPr>
            <w:tcW w:w="1147" w:type="dxa"/>
            <w:vAlign w:val="center"/>
          </w:tcPr>
          <w:p w14:paraId="7048F5E4"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05</w:t>
            </w:r>
          </w:p>
        </w:tc>
        <w:tc>
          <w:tcPr>
            <w:tcW w:w="6821" w:type="dxa"/>
            <w:tcBorders>
              <w:right w:val="single" w:sz="4" w:space="0" w:color="D9D9D9"/>
            </w:tcBorders>
            <w:vAlign w:val="center"/>
          </w:tcPr>
          <w:p w14:paraId="3A0E2955" w14:textId="586980A5"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Circulatory System</w:t>
            </w:r>
          </w:p>
        </w:tc>
        <w:tc>
          <w:tcPr>
            <w:tcW w:w="1134" w:type="dxa"/>
            <w:tcBorders>
              <w:top w:val="single" w:sz="4" w:space="0" w:color="D9D9D9"/>
              <w:left w:val="single" w:sz="4" w:space="0" w:color="D9D9D9"/>
              <w:bottom w:val="single" w:sz="4" w:space="0" w:color="D9D9D9"/>
            </w:tcBorders>
          </w:tcPr>
          <w:p w14:paraId="4C54854F" w14:textId="1D204552"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2.26</w:t>
            </w:r>
          </w:p>
        </w:tc>
        <w:tc>
          <w:tcPr>
            <w:tcW w:w="1276" w:type="dxa"/>
          </w:tcPr>
          <w:p w14:paraId="618B02F6" w14:textId="57A679DA"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220,289</w:t>
            </w:r>
          </w:p>
        </w:tc>
        <w:tc>
          <w:tcPr>
            <w:tcW w:w="1418" w:type="dxa"/>
          </w:tcPr>
          <w:p w14:paraId="2CFD7A59" w14:textId="400E5286"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497,853</w:t>
            </w:r>
          </w:p>
        </w:tc>
        <w:tc>
          <w:tcPr>
            <w:tcW w:w="1275" w:type="dxa"/>
          </w:tcPr>
          <w:p w14:paraId="134B8027" w14:textId="63C96848"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751,828</w:t>
            </w:r>
          </w:p>
        </w:tc>
        <w:tc>
          <w:tcPr>
            <w:tcW w:w="1276" w:type="dxa"/>
          </w:tcPr>
          <w:p w14:paraId="52800726" w14:textId="1AE8501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3.4</w:t>
            </w:r>
          </w:p>
        </w:tc>
      </w:tr>
      <w:tr w:rsidR="00B04641" w:rsidRPr="0088109E" w14:paraId="0EE10FB9" w14:textId="77777777" w:rsidTr="00246127">
        <w:trPr>
          <w:trHeight w:val="274"/>
        </w:trPr>
        <w:tc>
          <w:tcPr>
            <w:tcW w:w="1147" w:type="dxa"/>
            <w:vAlign w:val="center"/>
          </w:tcPr>
          <w:p w14:paraId="3590B0FC"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06</w:t>
            </w:r>
          </w:p>
        </w:tc>
        <w:tc>
          <w:tcPr>
            <w:tcW w:w="6821" w:type="dxa"/>
            <w:tcBorders>
              <w:right w:val="single" w:sz="4" w:space="0" w:color="D9D9D9"/>
            </w:tcBorders>
            <w:vAlign w:val="center"/>
          </w:tcPr>
          <w:p w14:paraId="0AE291A9" w14:textId="627916C7"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Digestive System</w:t>
            </w:r>
          </w:p>
        </w:tc>
        <w:tc>
          <w:tcPr>
            <w:tcW w:w="1134" w:type="dxa"/>
            <w:tcBorders>
              <w:top w:val="single" w:sz="4" w:space="0" w:color="D9D9D9"/>
              <w:left w:val="single" w:sz="4" w:space="0" w:color="D9D9D9"/>
              <w:bottom w:val="single" w:sz="4" w:space="0" w:color="D9D9D9"/>
            </w:tcBorders>
          </w:tcPr>
          <w:p w14:paraId="30FAB944" w14:textId="512ECF31"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0.60</w:t>
            </w:r>
          </w:p>
        </w:tc>
        <w:tc>
          <w:tcPr>
            <w:tcW w:w="1276" w:type="dxa"/>
          </w:tcPr>
          <w:p w14:paraId="1DA23A60" w14:textId="3159F676"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578,576</w:t>
            </w:r>
          </w:p>
        </w:tc>
        <w:tc>
          <w:tcPr>
            <w:tcW w:w="1418" w:type="dxa"/>
          </w:tcPr>
          <w:p w14:paraId="73A63217" w14:textId="32369959"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347,146</w:t>
            </w:r>
          </w:p>
        </w:tc>
        <w:tc>
          <w:tcPr>
            <w:tcW w:w="1275" w:type="dxa"/>
          </w:tcPr>
          <w:p w14:paraId="49DC858E" w14:textId="3930DEAB"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960,705</w:t>
            </w:r>
          </w:p>
        </w:tc>
        <w:tc>
          <w:tcPr>
            <w:tcW w:w="1276" w:type="dxa"/>
          </w:tcPr>
          <w:p w14:paraId="2BFC7353" w14:textId="477D9F0B"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1.7</w:t>
            </w:r>
          </w:p>
        </w:tc>
      </w:tr>
      <w:tr w:rsidR="00B04641" w:rsidRPr="0088109E" w14:paraId="42B058F9" w14:textId="77777777" w:rsidTr="00246127">
        <w:trPr>
          <w:trHeight w:val="274"/>
        </w:trPr>
        <w:tc>
          <w:tcPr>
            <w:tcW w:w="1147" w:type="dxa"/>
            <w:vAlign w:val="center"/>
          </w:tcPr>
          <w:p w14:paraId="6B24D424"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07</w:t>
            </w:r>
          </w:p>
        </w:tc>
        <w:tc>
          <w:tcPr>
            <w:tcW w:w="6821" w:type="dxa"/>
            <w:tcBorders>
              <w:right w:val="single" w:sz="4" w:space="0" w:color="D9D9D9"/>
            </w:tcBorders>
            <w:vAlign w:val="center"/>
          </w:tcPr>
          <w:p w14:paraId="7EEB6229" w14:textId="5A6BAC27"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Hepatobiliary System and Pancreas</w:t>
            </w:r>
          </w:p>
        </w:tc>
        <w:tc>
          <w:tcPr>
            <w:tcW w:w="1134" w:type="dxa"/>
            <w:tcBorders>
              <w:top w:val="single" w:sz="4" w:space="0" w:color="D9D9D9"/>
              <w:left w:val="single" w:sz="4" w:space="0" w:color="D9D9D9"/>
              <w:bottom w:val="single" w:sz="4" w:space="0" w:color="D9D9D9"/>
            </w:tcBorders>
          </w:tcPr>
          <w:p w14:paraId="2721AD1E" w14:textId="197204D8"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1.41</w:t>
            </w:r>
          </w:p>
        </w:tc>
        <w:tc>
          <w:tcPr>
            <w:tcW w:w="1276" w:type="dxa"/>
          </w:tcPr>
          <w:p w14:paraId="51FB12DE" w14:textId="51E2404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48,950</w:t>
            </w:r>
          </w:p>
        </w:tc>
        <w:tc>
          <w:tcPr>
            <w:tcW w:w="1418" w:type="dxa"/>
          </w:tcPr>
          <w:p w14:paraId="280FA69E" w14:textId="2C77A559"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69,020</w:t>
            </w:r>
          </w:p>
        </w:tc>
        <w:tc>
          <w:tcPr>
            <w:tcW w:w="1275" w:type="dxa"/>
          </w:tcPr>
          <w:p w14:paraId="7B77B850" w14:textId="2D5F0A5A"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151,559</w:t>
            </w:r>
          </w:p>
        </w:tc>
        <w:tc>
          <w:tcPr>
            <w:tcW w:w="1276" w:type="dxa"/>
          </w:tcPr>
          <w:p w14:paraId="3AE6C8C1" w14:textId="1A60C980"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3.1</w:t>
            </w:r>
          </w:p>
        </w:tc>
      </w:tr>
      <w:tr w:rsidR="00B04641" w:rsidRPr="0088109E" w14:paraId="55795A2C" w14:textId="77777777" w:rsidTr="00246127">
        <w:trPr>
          <w:trHeight w:val="274"/>
        </w:trPr>
        <w:tc>
          <w:tcPr>
            <w:tcW w:w="1147" w:type="dxa"/>
            <w:vAlign w:val="center"/>
          </w:tcPr>
          <w:p w14:paraId="02521F87"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08</w:t>
            </w:r>
          </w:p>
        </w:tc>
        <w:tc>
          <w:tcPr>
            <w:tcW w:w="6821" w:type="dxa"/>
            <w:tcBorders>
              <w:right w:val="single" w:sz="4" w:space="0" w:color="D9D9D9"/>
            </w:tcBorders>
            <w:vAlign w:val="center"/>
          </w:tcPr>
          <w:p w14:paraId="23903411" w14:textId="6FB84887"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Musculoskeletal System and Connective Tissue</w:t>
            </w:r>
          </w:p>
        </w:tc>
        <w:tc>
          <w:tcPr>
            <w:tcW w:w="1134" w:type="dxa"/>
            <w:tcBorders>
              <w:top w:val="single" w:sz="4" w:space="0" w:color="D9D9D9"/>
              <w:left w:val="single" w:sz="4" w:space="0" w:color="D9D9D9"/>
              <w:bottom w:val="single" w:sz="4" w:space="0" w:color="D9D9D9"/>
            </w:tcBorders>
          </w:tcPr>
          <w:p w14:paraId="6E2A4897" w14:textId="5261D890"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2.01</w:t>
            </w:r>
          </w:p>
        </w:tc>
        <w:tc>
          <w:tcPr>
            <w:tcW w:w="1276" w:type="dxa"/>
          </w:tcPr>
          <w:p w14:paraId="672FC695" w14:textId="24840B3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468,580</w:t>
            </w:r>
          </w:p>
        </w:tc>
        <w:tc>
          <w:tcPr>
            <w:tcW w:w="1418" w:type="dxa"/>
          </w:tcPr>
          <w:p w14:paraId="2EE23A8A" w14:textId="131F33F3"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941,846</w:t>
            </w:r>
          </w:p>
        </w:tc>
        <w:tc>
          <w:tcPr>
            <w:tcW w:w="1275" w:type="dxa"/>
          </w:tcPr>
          <w:p w14:paraId="37EC9600" w14:textId="61CB36E2"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1,381,255</w:t>
            </w:r>
          </w:p>
        </w:tc>
        <w:tc>
          <w:tcPr>
            <w:tcW w:w="1276" w:type="dxa"/>
          </w:tcPr>
          <w:p w14:paraId="0A435DFD" w14:textId="0773658D"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2.9</w:t>
            </w:r>
          </w:p>
        </w:tc>
      </w:tr>
      <w:tr w:rsidR="00B04641" w:rsidRPr="0088109E" w14:paraId="300C5FA4" w14:textId="77777777" w:rsidTr="00246127">
        <w:trPr>
          <w:trHeight w:val="274"/>
        </w:trPr>
        <w:tc>
          <w:tcPr>
            <w:tcW w:w="1147" w:type="dxa"/>
            <w:vAlign w:val="center"/>
          </w:tcPr>
          <w:p w14:paraId="2B852AB8"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09</w:t>
            </w:r>
          </w:p>
        </w:tc>
        <w:tc>
          <w:tcPr>
            <w:tcW w:w="6821" w:type="dxa"/>
            <w:tcBorders>
              <w:right w:val="single" w:sz="4" w:space="0" w:color="D9D9D9"/>
            </w:tcBorders>
            <w:vAlign w:val="center"/>
          </w:tcPr>
          <w:p w14:paraId="2EC49B6D" w14:textId="0BC3669F"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 xml:space="preserve">Diseases and Disorders of the Skin, Subcutaneous </w:t>
            </w:r>
            <w:proofErr w:type="gramStart"/>
            <w:r w:rsidRPr="005629F8">
              <w:rPr>
                <w:rFonts w:cs="Arial"/>
                <w:bCs/>
                <w:color w:val="000000"/>
                <w:sz w:val="18"/>
                <w:szCs w:val="14"/>
              </w:rPr>
              <w:t>Tissue</w:t>
            </w:r>
            <w:proofErr w:type="gramEnd"/>
            <w:r w:rsidRPr="005629F8">
              <w:rPr>
                <w:rFonts w:cs="Arial"/>
                <w:bCs/>
                <w:color w:val="000000"/>
                <w:sz w:val="18"/>
                <w:szCs w:val="14"/>
              </w:rPr>
              <w:t xml:space="preserve"> and Breast</w:t>
            </w:r>
          </w:p>
        </w:tc>
        <w:tc>
          <w:tcPr>
            <w:tcW w:w="1134" w:type="dxa"/>
            <w:tcBorders>
              <w:top w:val="single" w:sz="4" w:space="0" w:color="D9D9D9"/>
              <w:left w:val="single" w:sz="4" w:space="0" w:color="D9D9D9"/>
              <w:bottom w:val="single" w:sz="4" w:space="0" w:color="D9D9D9"/>
            </w:tcBorders>
          </w:tcPr>
          <w:p w14:paraId="478B827C" w14:textId="5F6E9438"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1.00</w:t>
            </w:r>
          </w:p>
        </w:tc>
        <w:tc>
          <w:tcPr>
            <w:tcW w:w="1276" w:type="dxa"/>
          </w:tcPr>
          <w:p w14:paraId="4E199960" w14:textId="180F7FFD"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157,199</w:t>
            </w:r>
          </w:p>
        </w:tc>
        <w:tc>
          <w:tcPr>
            <w:tcW w:w="1418" w:type="dxa"/>
          </w:tcPr>
          <w:p w14:paraId="471DD8E8" w14:textId="16332235"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157,199</w:t>
            </w:r>
          </w:p>
        </w:tc>
        <w:tc>
          <w:tcPr>
            <w:tcW w:w="1275" w:type="dxa"/>
          </w:tcPr>
          <w:p w14:paraId="5F171EBC" w14:textId="10FD7E0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347,207</w:t>
            </w:r>
          </w:p>
        </w:tc>
        <w:tc>
          <w:tcPr>
            <w:tcW w:w="1276" w:type="dxa"/>
          </w:tcPr>
          <w:p w14:paraId="15030610" w14:textId="1F90BEBB"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2.2</w:t>
            </w:r>
          </w:p>
        </w:tc>
      </w:tr>
      <w:tr w:rsidR="00B04641" w:rsidRPr="0088109E" w14:paraId="2E93C642" w14:textId="77777777" w:rsidTr="00246127">
        <w:trPr>
          <w:trHeight w:val="274"/>
        </w:trPr>
        <w:tc>
          <w:tcPr>
            <w:tcW w:w="1147" w:type="dxa"/>
            <w:vAlign w:val="center"/>
          </w:tcPr>
          <w:p w14:paraId="65BDE986"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10</w:t>
            </w:r>
          </w:p>
        </w:tc>
        <w:tc>
          <w:tcPr>
            <w:tcW w:w="6821" w:type="dxa"/>
            <w:tcBorders>
              <w:right w:val="single" w:sz="4" w:space="0" w:color="D9D9D9"/>
            </w:tcBorders>
            <w:vAlign w:val="center"/>
          </w:tcPr>
          <w:p w14:paraId="41B49671" w14:textId="624493BD"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Endocrine, Nutritional and Metabolic Diseases and Disorders</w:t>
            </w:r>
          </w:p>
        </w:tc>
        <w:tc>
          <w:tcPr>
            <w:tcW w:w="1134" w:type="dxa"/>
            <w:tcBorders>
              <w:top w:val="single" w:sz="4" w:space="0" w:color="D9D9D9"/>
              <w:left w:val="single" w:sz="4" w:space="0" w:color="D9D9D9"/>
              <w:bottom w:val="single" w:sz="4" w:space="0" w:color="D9D9D9"/>
            </w:tcBorders>
          </w:tcPr>
          <w:p w14:paraId="47FC41F2" w14:textId="6CA1E14B"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1.28</w:t>
            </w:r>
          </w:p>
        </w:tc>
        <w:tc>
          <w:tcPr>
            <w:tcW w:w="1276" w:type="dxa"/>
          </w:tcPr>
          <w:p w14:paraId="337AB309" w14:textId="39C0990F"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90,481</w:t>
            </w:r>
          </w:p>
        </w:tc>
        <w:tc>
          <w:tcPr>
            <w:tcW w:w="1418" w:type="dxa"/>
          </w:tcPr>
          <w:p w14:paraId="05333D1C" w14:textId="5C4F0BE0"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115,816</w:t>
            </w:r>
          </w:p>
        </w:tc>
        <w:tc>
          <w:tcPr>
            <w:tcW w:w="1275" w:type="dxa"/>
          </w:tcPr>
          <w:p w14:paraId="19BC10AC" w14:textId="69502E29"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192,400</w:t>
            </w:r>
          </w:p>
        </w:tc>
        <w:tc>
          <w:tcPr>
            <w:tcW w:w="1276" w:type="dxa"/>
          </w:tcPr>
          <w:p w14:paraId="5ED8647C" w14:textId="772EBC25"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2.1</w:t>
            </w:r>
          </w:p>
        </w:tc>
      </w:tr>
      <w:tr w:rsidR="00B04641" w:rsidRPr="0088109E" w14:paraId="7C73C7E6" w14:textId="77777777" w:rsidTr="00246127">
        <w:trPr>
          <w:trHeight w:val="274"/>
        </w:trPr>
        <w:tc>
          <w:tcPr>
            <w:tcW w:w="1147" w:type="dxa"/>
            <w:vAlign w:val="center"/>
          </w:tcPr>
          <w:p w14:paraId="7629AA50"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11</w:t>
            </w:r>
          </w:p>
        </w:tc>
        <w:tc>
          <w:tcPr>
            <w:tcW w:w="6821" w:type="dxa"/>
            <w:tcBorders>
              <w:right w:val="single" w:sz="4" w:space="0" w:color="D9D9D9"/>
            </w:tcBorders>
            <w:vAlign w:val="center"/>
          </w:tcPr>
          <w:p w14:paraId="3777C52F" w14:textId="7BE4996A"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Kidney and Urinary Tract</w:t>
            </w:r>
          </w:p>
        </w:tc>
        <w:tc>
          <w:tcPr>
            <w:tcW w:w="1134" w:type="dxa"/>
            <w:tcBorders>
              <w:top w:val="single" w:sz="4" w:space="0" w:color="D9D9D9"/>
              <w:left w:val="single" w:sz="4" w:space="0" w:color="D9D9D9"/>
              <w:bottom w:val="single" w:sz="4" w:space="0" w:color="D9D9D9"/>
            </w:tcBorders>
          </w:tcPr>
          <w:p w14:paraId="08D47B50" w14:textId="0AE4BC8D"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0.44</w:t>
            </w:r>
          </w:p>
        </w:tc>
        <w:tc>
          <w:tcPr>
            <w:tcW w:w="1276" w:type="dxa"/>
          </w:tcPr>
          <w:p w14:paraId="5A8B5A5E" w14:textId="2B86EDA0"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307,890</w:t>
            </w:r>
          </w:p>
        </w:tc>
        <w:tc>
          <w:tcPr>
            <w:tcW w:w="1418" w:type="dxa"/>
          </w:tcPr>
          <w:p w14:paraId="2F16ABBB" w14:textId="085B191C"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135,472</w:t>
            </w:r>
          </w:p>
        </w:tc>
        <w:tc>
          <w:tcPr>
            <w:tcW w:w="1275" w:type="dxa"/>
          </w:tcPr>
          <w:p w14:paraId="13C6E7C6" w14:textId="6A14860B"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480,280</w:t>
            </w:r>
          </w:p>
        </w:tc>
        <w:tc>
          <w:tcPr>
            <w:tcW w:w="1276" w:type="dxa"/>
          </w:tcPr>
          <w:p w14:paraId="50B64B4E" w14:textId="0566CD9A"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1.6</w:t>
            </w:r>
          </w:p>
        </w:tc>
      </w:tr>
      <w:tr w:rsidR="00B04641" w:rsidRPr="0088109E" w14:paraId="63921A80" w14:textId="77777777" w:rsidTr="00246127">
        <w:trPr>
          <w:trHeight w:val="274"/>
        </w:trPr>
        <w:tc>
          <w:tcPr>
            <w:tcW w:w="1147" w:type="dxa"/>
            <w:vAlign w:val="center"/>
          </w:tcPr>
          <w:p w14:paraId="00C8B739"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12</w:t>
            </w:r>
          </w:p>
        </w:tc>
        <w:tc>
          <w:tcPr>
            <w:tcW w:w="6821" w:type="dxa"/>
            <w:tcBorders>
              <w:right w:val="single" w:sz="4" w:space="0" w:color="D9D9D9"/>
            </w:tcBorders>
            <w:vAlign w:val="center"/>
          </w:tcPr>
          <w:p w14:paraId="2F29B224" w14:textId="0BDE7CF5"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Male Reproductive System</w:t>
            </w:r>
          </w:p>
        </w:tc>
        <w:tc>
          <w:tcPr>
            <w:tcW w:w="1134" w:type="dxa"/>
            <w:tcBorders>
              <w:top w:val="single" w:sz="4" w:space="0" w:color="D9D9D9"/>
              <w:left w:val="single" w:sz="4" w:space="0" w:color="D9D9D9"/>
              <w:bottom w:val="single" w:sz="4" w:space="0" w:color="D9D9D9"/>
            </w:tcBorders>
          </w:tcPr>
          <w:p w14:paraId="6DA3DDE7" w14:textId="5D4BBA2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0.91</w:t>
            </w:r>
          </w:p>
        </w:tc>
        <w:tc>
          <w:tcPr>
            <w:tcW w:w="1276" w:type="dxa"/>
          </w:tcPr>
          <w:p w14:paraId="4284CF8E" w14:textId="50992841"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86,320</w:t>
            </w:r>
          </w:p>
        </w:tc>
        <w:tc>
          <w:tcPr>
            <w:tcW w:w="1418" w:type="dxa"/>
          </w:tcPr>
          <w:p w14:paraId="7C1B5AB7" w14:textId="7EB6801F"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78,551</w:t>
            </w:r>
          </w:p>
        </w:tc>
        <w:tc>
          <w:tcPr>
            <w:tcW w:w="1275" w:type="dxa"/>
          </w:tcPr>
          <w:p w14:paraId="40742068" w14:textId="4737EA57"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129,987</w:t>
            </w:r>
          </w:p>
        </w:tc>
        <w:tc>
          <w:tcPr>
            <w:tcW w:w="1276" w:type="dxa"/>
          </w:tcPr>
          <w:p w14:paraId="420C0E6C" w14:textId="164FDC06"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1.5</w:t>
            </w:r>
          </w:p>
        </w:tc>
      </w:tr>
      <w:tr w:rsidR="00B04641" w:rsidRPr="0088109E" w14:paraId="23A095B5" w14:textId="77777777" w:rsidTr="00246127">
        <w:trPr>
          <w:trHeight w:val="274"/>
        </w:trPr>
        <w:tc>
          <w:tcPr>
            <w:tcW w:w="1147" w:type="dxa"/>
            <w:vAlign w:val="center"/>
          </w:tcPr>
          <w:p w14:paraId="770F9576"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13</w:t>
            </w:r>
          </w:p>
        </w:tc>
        <w:tc>
          <w:tcPr>
            <w:tcW w:w="6821" w:type="dxa"/>
            <w:tcBorders>
              <w:right w:val="single" w:sz="4" w:space="0" w:color="D9D9D9"/>
            </w:tcBorders>
            <w:vAlign w:val="center"/>
          </w:tcPr>
          <w:p w14:paraId="2BE5BE77" w14:textId="716C89CF"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Female Reproductive System</w:t>
            </w:r>
          </w:p>
        </w:tc>
        <w:tc>
          <w:tcPr>
            <w:tcW w:w="1134" w:type="dxa"/>
            <w:tcBorders>
              <w:top w:val="single" w:sz="4" w:space="0" w:color="D9D9D9"/>
              <w:left w:val="single" w:sz="4" w:space="0" w:color="D9D9D9"/>
              <w:bottom w:val="single" w:sz="4" w:space="0" w:color="D9D9D9"/>
            </w:tcBorders>
          </w:tcPr>
          <w:p w14:paraId="27C8929B" w14:textId="15D1C2D4"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0.78</w:t>
            </w:r>
          </w:p>
        </w:tc>
        <w:tc>
          <w:tcPr>
            <w:tcW w:w="1276" w:type="dxa"/>
          </w:tcPr>
          <w:p w14:paraId="54AD00B3" w14:textId="541BCE3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155,058</w:t>
            </w:r>
          </w:p>
        </w:tc>
        <w:tc>
          <w:tcPr>
            <w:tcW w:w="1418" w:type="dxa"/>
          </w:tcPr>
          <w:p w14:paraId="0C00BC4E" w14:textId="7D23C211"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120,945</w:t>
            </w:r>
          </w:p>
        </w:tc>
        <w:tc>
          <w:tcPr>
            <w:tcW w:w="1275" w:type="dxa"/>
          </w:tcPr>
          <w:p w14:paraId="1344B7AF" w14:textId="24916082"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222,602</w:t>
            </w:r>
          </w:p>
        </w:tc>
        <w:tc>
          <w:tcPr>
            <w:tcW w:w="1276" w:type="dxa"/>
          </w:tcPr>
          <w:p w14:paraId="4E4762A8" w14:textId="66B980AC"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1.4</w:t>
            </w:r>
          </w:p>
        </w:tc>
      </w:tr>
      <w:tr w:rsidR="00B04641" w:rsidRPr="0088109E" w14:paraId="0C87C2B0" w14:textId="77777777" w:rsidTr="00246127">
        <w:trPr>
          <w:trHeight w:val="274"/>
        </w:trPr>
        <w:tc>
          <w:tcPr>
            <w:tcW w:w="1147" w:type="dxa"/>
            <w:vAlign w:val="center"/>
          </w:tcPr>
          <w:p w14:paraId="629C0FF4"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14</w:t>
            </w:r>
          </w:p>
        </w:tc>
        <w:tc>
          <w:tcPr>
            <w:tcW w:w="6821" w:type="dxa"/>
            <w:tcBorders>
              <w:right w:val="single" w:sz="4" w:space="0" w:color="D9D9D9"/>
            </w:tcBorders>
            <w:vAlign w:val="center"/>
          </w:tcPr>
          <w:p w14:paraId="181CDD42" w14:textId="6BEFBCFD"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 xml:space="preserve">Pregnancy, </w:t>
            </w:r>
            <w:proofErr w:type="gramStart"/>
            <w:r w:rsidRPr="005629F8">
              <w:rPr>
                <w:rFonts w:cs="Arial"/>
                <w:bCs/>
                <w:color w:val="000000"/>
                <w:sz w:val="18"/>
                <w:szCs w:val="14"/>
              </w:rPr>
              <w:t>Childbirth</w:t>
            </w:r>
            <w:proofErr w:type="gramEnd"/>
            <w:r w:rsidRPr="005629F8">
              <w:rPr>
                <w:rFonts w:cs="Arial"/>
                <w:bCs/>
                <w:color w:val="000000"/>
                <w:sz w:val="18"/>
                <w:szCs w:val="14"/>
              </w:rPr>
              <w:t xml:space="preserve"> and the Puerperium</w:t>
            </w:r>
          </w:p>
        </w:tc>
        <w:tc>
          <w:tcPr>
            <w:tcW w:w="1134" w:type="dxa"/>
            <w:tcBorders>
              <w:top w:val="single" w:sz="4" w:space="0" w:color="D9D9D9"/>
              <w:left w:val="single" w:sz="4" w:space="0" w:color="D9D9D9"/>
              <w:bottom w:val="single" w:sz="4" w:space="0" w:color="D9D9D9"/>
            </w:tcBorders>
          </w:tcPr>
          <w:p w14:paraId="2660E9BF" w14:textId="52DDF598"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1.46</w:t>
            </w:r>
          </w:p>
        </w:tc>
        <w:tc>
          <w:tcPr>
            <w:tcW w:w="1276" w:type="dxa"/>
          </w:tcPr>
          <w:p w14:paraId="6EF403C6" w14:textId="7B7CDA90"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116,676</w:t>
            </w:r>
          </w:p>
        </w:tc>
        <w:tc>
          <w:tcPr>
            <w:tcW w:w="1418" w:type="dxa"/>
          </w:tcPr>
          <w:p w14:paraId="2241B665" w14:textId="620037EC"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170,347</w:t>
            </w:r>
          </w:p>
        </w:tc>
        <w:tc>
          <w:tcPr>
            <w:tcW w:w="1275" w:type="dxa"/>
          </w:tcPr>
          <w:p w14:paraId="4DFF1715" w14:textId="47F8BEAD"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421,160</w:t>
            </w:r>
          </w:p>
        </w:tc>
        <w:tc>
          <w:tcPr>
            <w:tcW w:w="1276" w:type="dxa"/>
          </w:tcPr>
          <w:p w14:paraId="4E256B07" w14:textId="2422B75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3.6</w:t>
            </w:r>
          </w:p>
        </w:tc>
      </w:tr>
      <w:tr w:rsidR="00B04641" w:rsidRPr="0088109E" w14:paraId="71469689" w14:textId="77777777" w:rsidTr="00246127">
        <w:trPr>
          <w:trHeight w:val="274"/>
        </w:trPr>
        <w:tc>
          <w:tcPr>
            <w:tcW w:w="1147" w:type="dxa"/>
            <w:vAlign w:val="center"/>
          </w:tcPr>
          <w:p w14:paraId="4F4496EE"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15</w:t>
            </w:r>
          </w:p>
        </w:tc>
        <w:tc>
          <w:tcPr>
            <w:tcW w:w="6821" w:type="dxa"/>
            <w:tcBorders>
              <w:right w:val="single" w:sz="4" w:space="0" w:color="D9D9D9"/>
            </w:tcBorders>
            <w:vAlign w:val="center"/>
          </w:tcPr>
          <w:p w14:paraId="155EFCC2" w14:textId="67321A3D"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Newborns and Other Neonates</w:t>
            </w:r>
          </w:p>
        </w:tc>
        <w:tc>
          <w:tcPr>
            <w:tcW w:w="1134" w:type="dxa"/>
            <w:tcBorders>
              <w:top w:val="single" w:sz="4" w:space="0" w:color="D9D9D9"/>
              <w:left w:val="single" w:sz="4" w:space="0" w:color="D9D9D9"/>
              <w:bottom w:val="single" w:sz="4" w:space="0" w:color="D9D9D9"/>
            </w:tcBorders>
          </w:tcPr>
          <w:p w14:paraId="78135F36" w14:textId="7A039DE9"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3.34</w:t>
            </w:r>
          </w:p>
        </w:tc>
        <w:tc>
          <w:tcPr>
            <w:tcW w:w="1276" w:type="dxa"/>
          </w:tcPr>
          <w:p w14:paraId="1A38986D" w14:textId="322AA7ED"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7,204</w:t>
            </w:r>
          </w:p>
        </w:tc>
        <w:tc>
          <w:tcPr>
            <w:tcW w:w="1418" w:type="dxa"/>
          </w:tcPr>
          <w:p w14:paraId="083C402E" w14:textId="21FFC061"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24,061</w:t>
            </w:r>
          </w:p>
        </w:tc>
        <w:tc>
          <w:tcPr>
            <w:tcW w:w="1275" w:type="dxa"/>
          </w:tcPr>
          <w:p w14:paraId="0A76C921" w14:textId="46904FF5"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56,696</w:t>
            </w:r>
          </w:p>
        </w:tc>
        <w:tc>
          <w:tcPr>
            <w:tcW w:w="1276" w:type="dxa"/>
          </w:tcPr>
          <w:p w14:paraId="0A0EB51C" w14:textId="382A1E6C"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7.9</w:t>
            </w:r>
          </w:p>
        </w:tc>
      </w:tr>
      <w:tr w:rsidR="00B04641" w:rsidRPr="0088109E" w14:paraId="56DB6471" w14:textId="77777777" w:rsidTr="00246127">
        <w:trPr>
          <w:trHeight w:val="274"/>
        </w:trPr>
        <w:tc>
          <w:tcPr>
            <w:tcW w:w="1147" w:type="dxa"/>
            <w:vAlign w:val="center"/>
          </w:tcPr>
          <w:p w14:paraId="3C09FBC8"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16</w:t>
            </w:r>
          </w:p>
        </w:tc>
        <w:tc>
          <w:tcPr>
            <w:tcW w:w="6821" w:type="dxa"/>
            <w:tcBorders>
              <w:right w:val="single" w:sz="4" w:space="0" w:color="D9D9D9"/>
            </w:tcBorders>
            <w:vAlign w:val="center"/>
          </w:tcPr>
          <w:p w14:paraId="660D04CA" w14:textId="08257865"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Diseases and Disorders of the Blood and Blood Forming Organs and Immunological Disorders</w:t>
            </w:r>
          </w:p>
        </w:tc>
        <w:tc>
          <w:tcPr>
            <w:tcW w:w="1134" w:type="dxa"/>
            <w:tcBorders>
              <w:top w:val="single" w:sz="4" w:space="0" w:color="D9D9D9"/>
              <w:left w:val="single" w:sz="4" w:space="0" w:color="D9D9D9"/>
              <w:bottom w:val="single" w:sz="4" w:space="0" w:color="D9D9D9"/>
            </w:tcBorders>
          </w:tcPr>
          <w:p w14:paraId="1C7DB11F" w14:textId="5346EA52"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0.40</w:t>
            </w:r>
          </w:p>
        </w:tc>
        <w:tc>
          <w:tcPr>
            <w:tcW w:w="1276" w:type="dxa"/>
          </w:tcPr>
          <w:p w14:paraId="1D00AFC8" w14:textId="02CE58D1"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59,890</w:t>
            </w:r>
          </w:p>
        </w:tc>
        <w:tc>
          <w:tcPr>
            <w:tcW w:w="1418" w:type="dxa"/>
          </w:tcPr>
          <w:p w14:paraId="3E644401" w14:textId="3817CFF8"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23,956</w:t>
            </w:r>
          </w:p>
        </w:tc>
        <w:tc>
          <w:tcPr>
            <w:tcW w:w="1275" w:type="dxa"/>
          </w:tcPr>
          <w:p w14:paraId="2791A49E" w14:textId="77AE67DD"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101,303</w:t>
            </w:r>
          </w:p>
        </w:tc>
        <w:tc>
          <w:tcPr>
            <w:tcW w:w="1276" w:type="dxa"/>
          </w:tcPr>
          <w:p w14:paraId="19651B77" w14:textId="66F22AB5"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1.7</w:t>
            </w:r>
          </w:p>
        </w:tc>
      </w:tr>
      <w:tr w:rsidR="00B04641" w:rsidRPr="0088109E" w14:paraId="369B4A5A" w14:textId="77777777" w:rsidTr="00246127">
        <w:trPr>
          <w:trHeight w:val="274"/>
        </w:trPr>
        <w:tc>
          <w:tcPr>
            <w:tcW w:w="1147" w:type="dxa"/>
            <w:vAlign w:val="center"/>
          </w:tcPr>
          <w:p w14:paraId="39A93671"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17</w:t>
            </w:r>
          </w:p>
        </w:tc>
        <w:tc>
          <w:tcPr>
            <w:tcW w:w="6821" w:type="dxa"/>
            <w:tcBorders>
              <w:right w:val="single" w:sz="4" w:space="0" w:color="D9D9D9"/>
            </w:tcBorders>
            <w:vAlign w:val="center"/>
          </w:tcPr>
          <w:p w14:paraId="2B9A5C67" w14:textId="20887331"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Neoplastic Disorders (Haematological and Solid Neoplasms)</w:t>
            </w:r>
          </w:p>
        </w:tc>
        <w:tc>
          <w:tcPr>
            <w:tcW w:w="1134" w:type="dxa"/>
            <w:tcBorders>
              <w:top w:val="single" w:sz="4" w:space="0" w:color="D9D9D9"/>
              <w:left w:val="single" w:sz="4" w:space="0" w:color="D9D9D9"/>
              <w:bottom w:val="single" w:sz="4" w:space="0" w:color="D9D9D9"/>
            </w:tcBorders>
          </w:tcPr>
          <w:p w14:paraId="5BD79C9B" w14:textId="5FC04E78"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0.31</w:t>
            </w:r>
          </w:p>
        </w:tc>
        <w:tc>
          <w:tcPr>
            <w:tcW w:w="1276" w:type="dxa"/>
          </w:tcPr>
          <w:p w14:paraId="799FC132" w14:textId="6436FF56"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326,215</w:t>
            </w:r>
          </w:p>
        </w:tc>
        <w:tc>
          <w:tcPr>
            <w:tcW w:w="1418" w:type="dxa"/>
          </w:tcPr>
          <w:p w14:paraId="00C381AC" w14:textId="53BA2B54"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101,127</w:t>
            </w:r>
          </w:p>
        </w:tc>
        <w:tc>
          <w:tcPr>
            <w:tcW w:w="1275" w:type="dxa"/>
          </w:tcPr>
          <w:p w14:paraId="6752432D" w14:textId="008F08F4"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409,839</w:t>
            </w:r>
          </w:p>
        </w:tc>
        <w:tc>
          <w:tcPr>
            <w:tcW w:w="1276" w:type="dxa"/>
          </w:tcPr>
          <w:p w14:paraId="59E80F2E" w14:textId="4FB130A3"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1.3</w:t>
            </w:r>
          </w:p>
        </w:tc>
      </w:tr>
      <w:tr w:rsidR="00B04641" w:rsidRPr="0088109E" w14:paraId="0496052F" w14:textId="77777777" w:rsidTr="00246127">
        <w:trPr>
          <w:trHeight w:val="274"/>
        </w:trPr>
        <w:tc>
          <w:tcPr>
            <w:tcW w:w="1147" w:type="dxa"/>
            <w:vAlign w:val="center"/>
          </w:tcPr>
          <w:p w14:paraId="7E803516"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18</w:t>
            </w:r>
          </w:p>
        </w:tc>
        <w:tc>
          <w:tcPr>
            <w:tcW w:w="6821" w:type="dxa"/>
            <w:tcBorders>
              <w:right w:val="single" w:sz="4" w:space="0" w:color="D9D9D9"/>
            </w:tcBorders>
            <w:vAlign w:val="center"/>
          </w:tcPr>
          <w:p w14:paraId="17817765" w14:textId="2DB7D0A1"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Infectious and Parasitic Diseases</w:t>
            </w:r>
          </w:p>
        </w:tc>
        <w:tc>
          <w:tcPr>
            <w:tcW w:w="1134" w:type="dxa"/>
            <w:tcBorders>
              <w:top w:val="single" w:sz="4" w:space="0" w:color="D9D9D9"/>
              <w:left w:val="single" w:sz="4" w:space="0" w:color="D9D9D9"/>
              <w:bottom w:val="single" w:sz="4" w:space="0" w:color="D9D9D9"/>
            </w:tcBorders>
          </w:tcPr>
          <w:p w14:paraId="5CCE0E78" w14:textId="332F702C"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2.01</w:t>
            </w:r>
          </w:p>
        </w:tc>
        <w:tc>
          <w:tcPr>
            <w:tcW w:w="1276" w:type="dxa"/>
          </w:tcPr>
          <w:p w14:paraId="680DF4F2" w14:textId="168794A4"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16,650</w:t>
            </w:r>
          </w:p>
        </w:tc>
        <w:tc>
          <w:tcPr>
            <w:tcW w:w="1418" w:type="dxa"/>
          </w:tcPr>
          <w:p w14:paraId="7A7AE292" w14:textId="388F7F15"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33,467</w:t>
            </w:r>
          </w:p>
        </w:tc>
        <w:tc>
          <w:tcPr>
            <w:tcW w:w="1275" w:type="dxa"/>
          </w:tcPr>
          <w:p w14:paraId="5752E224" w14:textId="678FC5C9"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122,463</w:t>
            </w:r>
          </w:p>
        </w:tc>
        <w:tc>
          <w:tcPr>
            <w:tcW w:w="1276" w:type="dxa"/>
          </w:tcPr>
          <w:p w14:paraId="21BA5686" w14:textId="4BE677D5"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7.4</w:t>
            </w:r>
          </w:p>
        </w:tc>
      </w:tr>
      <w:tr w:rsidR="00B04641" w:rsidRPr="0088109E" w14:paraId="07F7433C" w14:textId="77777777" w:rsidTr="00246127">
        <w:trPr>
          <w:trHeight w:val="274"/>
        </w:trPr>
        <w:tc>
          <w:tcPr>
            <w:tcW w:w="1147" w:type="dxa"/>
            <w:vAlign w:val="center"/>
          </w:tcPr>
          <w:p w14:paraId="0A519FE3"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19</w:t>
            </w:r>
          </w:p>
        </w:tc>
        <w:tc>
          <w:tcPr>
            <w:tcW w:w="6821" w:type="dxa"/>
            <w:tcBorders>
              <w:right w:val="single" w:sz="4" w:space="0" w:color="D9D9D9"/>
            </w:tcBorders>
            <w:vAlign w:val="center"/>
          </w:tcPr>
          <w:p w14:paraId="786F89B3" w14:textId="7FCB824E"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Mental Diseases and Disorders</w:t>
            </w:r>
          </w:p>
        </w:tc>
        <w:tc>
          <w:tcPr>
            <w:tcW w:w="1134" w:type="dxa"/>
            <w:tcBorders>
              <w:top w:val="single" w:sz="4" w:space="0" w:color="D9D9D9"/>
              <w:left w:val="single" w:sz="4" w:space="0" w:color="D9D9D9"/>
              <w:bottom w:val="single" w:sz="4" w:space="0" w:color="D9D9D9"/>
            </w:tcBorders>
          </w:tcPr>
          <w:p w14:paraId="6A0287BE" w14:textId="26DDF096"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0.71</w:t>
            </w:r>
          </w:p>
        </w:tc>
        <w:tc>
          <w:tcPr>
            <w:tcW w:w="1276" w:type="dxa"/>
          </w:tcPr>
          <w:p w14:paraId="7E1E7DA1" w14:textId="20D62536"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95,575</w:t>
            </w:r>
          </w:p>
        </w:tc>
        <w:tc>
          <w:tcPr>
            <w:tcW w:w="1418" w:type="dxa"/>
          </w:tcPr>
          <w:p w14:paraId="72C6821F" w14:textId="08AC42EC"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67,858</w:t>
            </w:r>
          </w:p>
        </w:tc>
        <w:tc>
          <w:tcPr>
            <w:tcW w:w="1275" w:type="dxa"/>
          </w:tcPr>
          <w:p w14:paraId="447ACA2F" w14:textId="5963D8C5"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415,822</w:t>
            </w:r>
          </w:p>
        </w:tc>
        <w:tc>
          <w:tcPr>
            <w:tcW w:w="1276" w:type="dxa"/>
          </w:tcPr>
          <w:p w14:paraId="35AB4EB5" w14:textId="52073BFC"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4.4</w:t>
            </w:r>
          </w:p>
        </w:tc>
      </w:tr>
      <w:tr w:rsidR="00B04641" w:rsidRPr="0088109E" w14:paraId="0254CDC0" w14:textId="77777777" w:rsidTr="00246127">
        <w:trPr>
          <w:trHeight w:val="274"/>
        </w:trPr>
        <w:tc>
          <w:tcPr>
            <w:tcW w:w="1147" w:type="dxa"/>
            <w:vAlign w:val="center"/>
          </w:tcPr>
          <w:p w14:paraId="33DB013B"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20</w:t>
            </w:r>
          </w:p>
        </w:tc>
        <w:tc>
          <w:tcPr>
            <w:tcW w:w="6821" w:type="dxa"/>
            <w:tcBorders>
              <w:right w:val="single" w:sz="4" w:space="0" w:color="D9D9D9"/>
            </w:tcBorders>
            <w:vAlign w:val="center"/>
          </w:tcPr>
          <w:p w14:paraId="73CB0341" w14:textId="3D52F807"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Alcohol /Drug Use and Alcohol /Drug Induced Organic Mental Disorder</w:t>
            </w:r>
          </w:p>
        </w:tc>
        <w:tc>
          <w:tcPr>
            <w:tcW w:w="1134" w:type="dxa"/>
            <w:tcBorders>
              <w:top w:val="single" w:sz="4" w:space="0" w:color="D9D9D9"/>
              <w:left w:val="single" w:sz="4" w:space="0" w:color="D9D9D9"/>
              <w:bottom w:val="single" w:sz="4" w:space="0" w:color="D9D9D9"/>
            </w:tcBorders>
          </w:tcPr>
          <w:p w14:paraId="4E48D81D" w14:textId="46955AC5"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0.56</w:t>
            </w:r>
          </w:p>
        </w:tc>
        <w:tc>
          <w:tcPr>
            <w:tcW w:w="1276" w:type="dxa"/>
          </w:tcPr>
          <w:p w14:paraId="5B97A1FB" w14:textId="1895915A"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19,566</w:t>
            </w:r>
          </w:p>
        </w:tc>
        <w:tc>
          <w:tcPr>
            <w:tcW w:w="1418" w:type="dxa"/>
          </w:tcPr>
          <w:p w14:paraId="632E0508" w14:textId="4194173D"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10,957</w:t>
            </w:r>
          </w:p>
        </w:tc>
        <w:tc>
          <w:tcPr>
            <w:tcW w:w="1275" w:type="dxa"/>
          </w:tcPr>
          <w:p w14:paraId="7783DE7E" w14:textId="323B5872"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74,418</w:t>
            </w:r>
          </w:p>
        </w:tc>
        <w:tc>
          <w:tcPr>
            <w:tcW w:w="1276" w:type="dxa"/>
          </w:tcPr>
          <w:p w14:paraId="18FB78C5" w14:textId="4FFD6EE7"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3.8</w:t>
            </w:r>
          </w:p>
        </w:tc>
      </w:tr>
      <w:tr w:rsidR="00B04641" w:rsidRPr="0088109E" w14:paraId="3627F12B" w14:textId="77777777" w:rsidTr="00246127">
        <w:trPr>
          <w:trHeight w:val="274"/>
        </w:trPr>
        <w:tc>
          <w:tcPr>
            <w:tcW w:w="1147" w:type="dxa"/>
            <w:vAlign w:val="center"/>
          </w:tcPr>
          <w:p w14:paraId="0A65EA5D"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21</w:t>
            </w:r>
          </w:p>
        </w:tc>
        <w:tc>
          <w:tcPr>
            <w:tcW w:w="6821" w:type="dxa"/>
            <w:tcBorders>
              <w:right w:val="single" w:sz="4" w:space="0" w:color="D9D9D9"/>
            </w:tcBorders>
            <w:vAlign w:val="center"/>
          </w:tcPr>
          <w:p w14:paraId="02DC9A54" w14:textId="3301EA9A"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Injuries, Poisoning and Toxic Effects of Drugs: Multiple Trauma</w:t>
            </w:r>
          </w:p>
        </w:tc>
        <w:tc>
          <w:tcPr>
            <w:tcW w:w="1134" w:type="dxa"/>
            <w:tcBorders>
              <w:top w:val="single" w:sz="4" w:space="0" w:color="D9D9D9"/>
              <w:left w:val="single" w:sz="4" w:space="0" w:color="D9D9D9"/>
              <w:bottom w:val="single" w:sz="4" w:space="0" w:color="D9D9D9"/>
            </w:tcBorders>
          </w:tcPr>
          <w:p w14:paraId="641936E3" w14:textId="045719B8"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1.08</w:t>
            </w:r>
          </w:p>
        </w:tc>
        <w:tc>
          <w:tcPr>
            <w:tcW w:w="1276" w:type="dxa"/>
          </w:tcPr>
          <w:p w14:paraId="365B7DC2" w14:textId="4D66C7F2"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29,845</w:t>
            </w:r>
          </w:p>
        </w:tc>
        <w:tc>
          <w:tcPr>
            <w:tcW w:w="1418" w:type="dxa"/>
          </w:tcPr>
          <w:p w14:paraId="6EF45683" w14:textId="68AFA5F8"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32,233</w:t>
            </w:r>
          </w:p>
        </w:tc>
        <w:tc>
          <w:tcPr>
            <w:tcW w:w="1275" w:type="dxa"/>
          </w:tcPr>
          <w:p w14:paraId="2EA7D408" w14:textId="65C32140"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100,033</w:t>
            </w:r>
          </w:p>
        </w:tc>
        <w:tc>
          <w:tcPr>
            <w:tcW w:w="1276" w:type="dxa"/>
          </w:tcPr>
          <w:p w14:paraId="777DF4DE" w14:textId="5BD9F6AA"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3.4</w:t>
            </w:r>
          </w:p>
        </w:tc>
      </w:tr>
      <w:tr w:rsidR="00B04641" w:rsidRPr="0088109E" w14:paraId="11E26C35" w14:textId="77777777" w:rsidTr="00246127">
        <w:trPr>
          <w:trHeight w:val="274"/>
        </w:trPr>
        <w:tc>
          <w:tcPr>
            <w:tcW w:w="1147" w:type="dxa"/>
            <w:vAlign w:val="center"/>
          </w:tcPr>
          <w:p w14:paraId="355BD6AA"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22</w:t>
            </w:r>
          </w:p>
        </w:tc>
        <w:tc>
          <w:tcPr>
            <w:tcW w:w="6821" w:type="dxa"/>
            <w:tcBorders>
              <w:right w:val="single" w:sz="4" w:space="0" w:color="D9D9D9"/>
            </w:tcBorders>
            <w:vAlign w:val="center"/>
          </w:tcPr>
          <w:p w14:paraId="1F46FBA5" w14:textId="6B91E96A"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Burns</w:t>
            </w:r>
          </w:p>
        </w:tc>
        <w:tc>
          <w:tcPr>
            <w:tcW w:w="1134" w:type="dxa"/>
            <w:tcBorders>
              <w:top w:val="single" w:sz="4" w:space="0" w:color="D9D9D9"/>
              <w:left w:val="single" w:sz="4" w:space="0" w:color="D9D9D9"/>
              <w:bottom w:val="single" w:sz="4" w:space="0" w:color="D9D9D9"/>
            </w:tcBorders>
          </w:tcPr>
          <w:p w14:paraId="0130B227" w14:textId="3C417F52"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1.12</w:t>
            </w:r>
          </w:p>
        </w:tc>
        <w:tc>
          <w:tcPr>
            <w:tcW w:w="1276" w:type="dxa"/>
          </w:tcPr>
          <w:p w14:paraId="442F210A" w14:textId="1B128FD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230</w:t>
            </w:r>
          </w:p>
        </w:tc>
        <w:tc>
          <w:tcPr>
            <w:tcW w:w="1418" w:type="dxa"/>
          </w:tcPr>
          <w:p w14:paraId="5F13502D" w14:textId="7654DE4A"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258</w:t>
            </w:r>
          </w:p>
        </w:tc>
        <w:tc>
          <w:tcPr>
            <w:tcW w:w="1275" w:type="dxa"/>
          </w:tcPr>
          <w:p w14:paraId="02F7C7F6" w14:textId="39248258"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901</w:t>
            </w:r>
          </w:p>
        </w:tc>
        <w:tc>
          <w:tcPr>
            <w:tcW w:w="1276" w:type="dxa"/>
          </w:tcPr>
          <w:p w14:paraId="76BED446" w14:textId="1DD52DD1"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3.9</w:t>
            </w:r>
          </w:p>
        </w:tc>
      </w:tr>
      <w:tr w:rsidR="00B04641" w:rsidRPr="0088109E" w14:paraId="4634A085" w14:textId="77777777" w:rsidTr="00246127">
        <w:trPr>
          <w:trHeight w:val="274"/>
        </w:trPr>
        <w:tc>
          <w:tcPr>
            <w:tcW w:w="1147" w:type="dxa"/>
            <w:vAlign w:val="center"/>
          </w:tcPr>
          <w:p w14:paraId="365DF184"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23</w:t>
            </w:r>
          </w:p>
        </w:tc>
        <w:tc>
          <w:tcPr>
            <w:tcW w:w="6821" w:type="dxa"/>
            <w:tcBorders>
              <w:right w:val="single" w:sz="4" w:space="0" w:color="D9D9D9"/>
            </w:tcBorders>
            <w:vAlign w:val="center"/>
          </w:tcPr>
          <w:p w14:paraId="4D071AA3" w14:textId="57B46EAF"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Factors Influencing Health Status and Other Contacts with Health Services</w:t>
            </w:r>
          </w:p>
        </w:tc>
        <w:tc>
          <w:tcPr>
            <w:tcW w:w="1134" w:type="dxa"/>
            <w:tcBorders>
              <w:top w:val="single" w:sz="4" w:space="0" w:color="D9D9D9"/>
              <w:left w:val="single" w:sz="4" w:space="0" w:color="D9D9D9"/>
              <w:bottom w:val="single" w:sz="4" w:space="0" w:color="D9D9D9"/>
            </w:tcBorders>
          </w:tcPr>
          <w:p w14:paraId="2495B635" w14:textId="6770E48F"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0.32</w:t>
            </w:r>
          </w:p>
        </w:tc>
        <w:tc>
          <w:tcPr>
            <w:tcW w:w="1276" w:type="dxa"/>
          </w:tcPr>
          <w:p w14:paraId="1E7BE4AD" w14:textId="3AE331C0"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168,628</w:t>
            </w:r>
          </w:p>
        </w:tc>
        <w:tc>
          <w:tcPr>
            <w:tcW w:w="1418" w:type="dxa"/>
          </w:tcPr>
          <w:p w14:paraId="12007706" w14:textId="2E22A640"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53,961</w:t>
            </w:r>
          </w:p>
        </w:tc>
        <w:tc>
          <w:tcPr>
            <w:tcW w:w="1275" w:type="dxa"/>
          </w:tcPr>
          <w:p w14:paraId="36E2E12B" w14:textId="6F665F86"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214,653</w:t>
            </w:r>
          </w:p>
        </w:tc>
        <w:tc>
          <w:tcPr>
            <w:tcW w:w="1276" w:type="dxa"/>
          </w:tcPr>
          <w:p w14:paraId="38E50D1B" w14:textId="4A4A31D0"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1.3</w:t>
            </w:r>
          </w:p>
        </w:tc>
      </w:tr>
      <w:tr w:rsidR="00B04641" w:rsidRPr="0088109E" w14:paraId="1CD9FB79" w14:textId="77777777" w:rsidTr="00246127">
        <w:trPr>
          <w:trHeight w:val="274"/>
        </w:trPr>
        <w:tc>
          <w:tcPr>
            <w:tcW w:w="1147" w:type="dxa"/>
            <w:vAlign w:val="center"/>
          </w:tcPr>
          <w:p w14:paraId="6BFEF4BE"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80</w:t>
            </w:r>
          </w:p>
        </w:tc>
        <w:tc>
          <w:tcPr>
            <w:tcW w:w="6821" w:type="dxa"/>
            <w:tcBorders>
              <w:right w:val="single" w:sz="4" w:space="0" w:color="D9D9D9"/>
            </w:tcBorders>
            <w:vAlign w:val="center"/>
          </w:tcPr>
          <w:p w14:paraId="2F00027A" w14:textId="40070E0F"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DRGs operational room procedure unrelated to PD</w:t>
            </w:r>
          </w:p>
        </w:tc>
        <w:tc>
          <w:tcPr>
            <w:tcW w:w="1134" w:type="dxa"/>
            <w:tcBorders>
              <w:top w:val="single" w:sz="4" w:space="0" w:color="D9D9D9"/>
              <w:left w:val="single" w:sz="4" w:space="0" w:color="D9D9D9"/>
              <w:bottom w:val="single" w:sz="4" w:space="0" w:color="D9D9D9"/>
            </w:tcBorders>
          </w:tcPr>
          <w:p w14:paraId="2E6BDA10" w14:textId="2CAFE64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2.89</w:t>
            </w:r>
          </w:p>
        </w:tc>
        <w:tc>
          <w:tcPr>
            <w:tcW w:w="1276" w:type="dxa"/>
          </w:tcPr>
          <w:p w14:paraId="7A99662F" w14:textId="2477671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3,179</w:t>
            </w:r>
          </w:p>
        </w:tc>
        <w:tc>
          <w:tcPr>
            <w:tcW w:w="1418" w:type="dxa"/>
          </w:tcPr>
          <w:p w14:paraId="69F21920" w14:textId="20EFEDC5"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9,187</w:t>
            </w:r>
          </w:p>
        </w:tc>
        <w:tc>
          <w:tcPr>
            <w:tcW w:w="1275" w:type="dxa"/>
          </w:tcPr>
          <w:p w14:paraId="07BACACD" w14:textId="14488737"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24,200</w:t>
            </w:r>
          </w:p>
        </w:tc>
        <w:tc>
          <w:tcPr>
            <w:tcW w:w="1276" w:type="dxa"/>
          </w:tcPr>
          <w:p w14:paraId="2402DCB6" w14:textId="419B0977"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7.6</w:t>
            </w:r>
          </w:p>
        </w:tc>
      </w:tr>
      <w:tr w:rsidR="00B04641" w:rsidRPr="0088109E" w14:paraId="3900C8E4" w14:textId="77777777" w:rsidTr="00246127">
        <w:trPr>
          <w:trHeight w:val="274"/>
        </w:trPr>
        <w:tc>
          <w:tcPr>
            <w:tcW w:w="1147" w:type="dxa"/>
            <w:tcBorders>
              <w:bottom w:val="single" w:sz="4" w:space="0" w:color="D9D9D9"/>
            </w:tcBorders>
            <w:vAlign w:val="center"/>
          </w:tcPr>
          <w:p w14:paraId="71912420" w14:textId="77777777" w:rsidR="00B04641" w:rsidRPr="005629F8" w:rsidRDefault="00B04641" w:rsidP="00B04641">
            <w:pPr>
              <w:autoSpaceDE w:val="0"/>
              <w:autoSpaceDN w:val="0"/>
              <w:adjustRightInd w:val="0"/>
              <w:spacing w:after="0" w:line="276" w:lineRule="auto"/>
              <w:jc w:val="center"/>
              <w:rPr>
                <w:rFonts w:cs="Arial"/>
                <w:bCs/>
                <w:color w:val="000000"/>
                <w:sz w:val="18"/>
                <w:szCs w:val="14"/>
              </w:rPr>
            </w:pPr>
            <w:r w:rsidRPr="005629F8">
              <w:rPr>
                <w:rFonts w:cs="Arial"/>
                <w:bCs/>
                <w:color w:val="000000"/>
                <w:sz w:val="18"/>
                <w:szCs w:val="14"/>
              </w:rPr>
              <w:t>96</w:t>
            </w:r>
          </w:p>
        </w:tc>
        <w:tc>
          <w:tcPr>
            <w:tcW w:w="6821" w:type="dxa"/>
            <w:tcBorders>
              <w:bottom w:val="single" w:sz="4" w:space="0" w:color="D9D9D9"/>
              <w:right w:val="single" w:sz="4" w:space="0" w:color="D9D9D9"/>
            </w:tcBorders>
            <w:vAlign w:val="center"/>
          </w:tcPr>
          <w:p w14:paraId="6823D14A" w14:textId="69B33129" w:rsidR="00B04641" w:rsidRPr="005629F8" w:rsidRDefault="00B04641" w:rsidP="00B04641">
            <w:pPr>
              <w:autoSpaceDE w:val="0"/>
              <w:autoSpaceDN w:val="0"/>
              <w:adjustRightInd w:val="0"/>
              <w:spacing w:after="0" w:line="276" w:lineRule="auto"/>
              <w:rPr>
                <w:rFonts w:cs="Arial"/>
                <w:bCs/>
                <w:color w:val="000000"/>
                <w:sz w:val="18"/>
                <w:szCs w:val="14"/>
              </w:rPr>
            </w:pPr>
            <w:r w:rsidRPr="005629F8">
              <w:rPr>
                <w:rFonts w:cs="Arial"/>
                <w:bCs/>
                <w:color w:val="000000"/>
                <w:sz w:val="18"/>
                <w:szCs w:val="14"/>
              </w:rPr>
              <w:t>Error DRGs</w:t>
            </w:r>
          </w:p>
        </w:tc>
        <w:tc>
          <w:tcPr>
            <w:tcW w:w="1134" w:type="dxa"/>
            <w:tcBorders>
              <w:top w:val="single" w:sz="4" w:space="0" w:color="D9D9D9"/>
              <w:left w:val="single" w:sz="4" w:space="0" w:color="D9D9D9"/>
              <w:bottom w:val="single" w:sz="4" w:space="0" w:color="D9D9D9"/>
            </w:tcBorders>
          </w:tcPr>
          <w:p w14:paraId="4120F2DA" w14:textId="335D1EE7"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0.62</w:t>
            </w:r>
          </w:p>
        </w:tc>
        <w:tc>
          <w:tcPr>
            <w:tcW w:w="1276" w:type="dxa"/>
            <w:tcBorders>
              <w:bottom w:val="single" w:sz="4" w:space="0" w:color="D9D9D9"/>
            </w:tcBorders>
          </w:tcPr>
          <w:p w14:paraId="28116F69" w14:textId="78105E4A"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118</w:t>
            </w:r>
          </w:p>
        </w:tc>
        <w:tc>
          <w:tcPr>
            <w:tcW w:w="1418" w:type="dxa"/>
            <w:tcBorders>
              <w:bottom w:val="single" w:sz="4" w:space="0" w:color="D9D9D9"/>
            </w:tcBorders>
          </w:tcPr>
          <w:p w14:paraId="3FEBDD4C" w14:textId="0160936B"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73</w:t>
            </w:r>
          </w:p>
        </w:tc>
        <w:tc>
          <w:tcPr>
            <w:tcW w:w="1275" w:type="dxa"/>
            <w:tcBorders>
              <w:bottom w:val="single" w:sz="4" w:space="0" w:color="D9D9D9"/>
            </w:tcBorders>
          </w:tcPr>
          <w:p w14:paraId="56957164" w14:textId="450F530D"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199</w:t>
            </w:r>
          </w:p>
        </w:tc>
        <w:tc>
          <w:tcPr>
            <w:tcW w:w="1276" w:type="dxa"/>
            <w:tcBorders>
              <w:bottom w:val="single" w:sz="4" w:space="0" w:color="D9D9D9"/>
            </w:tcBorders>
          </w:tcPr>
          <w:p w14:paraId="3E2BFFCA" w14:textId="17C370DE" w:rsidR="00B04641" w:rsidRPr="00B04641" w:rsidRDefault="00B04641" w:rsidP="00B04641">
            <w:pPr>
              <w:autoSpaceDE w:val="0"/>
              <w:autoSpaceDN w:val="0"/>
              <w:adjustRightInd w:val="0"/>
              <w:spacing w:after="0" w:line="276" w:lineRule="auto"/>
              <w:jc w:val="center"/>
              <w:rPr>
                <w:rFonts w:cs="Arial"/>
                <w:color w:val="000000"/>
                <w:sz w:val="18"/>
                <w:szCs w:val="18"/>
              </w:rPr>
            </w:pPr>
            <w:r w:rsidRPr="00B04641">
              <w:rPr>
                <w:rFonts w:cs="Arial"/>
                <w:sz w:val="18"/>
                <w:szCs w:val="18"/>
              </w:rPr>
              <w:t>1.7</w:t>
            </w:r>
          </w:p>
        </w:tc>
      </w:tr>
      <w:tr w:rsidR="00B04641" w:rsidRPr="0088109E" w14:paraId="5AD6B6C2" w14:textId="77777777" w:rsidTr="00246127">
        <w:trPr>
          <w:trHeight w:val="274"/>
        </w:trPr>
        <w:tc>
          <w:tcPr>
            <w:tcW w:w="1147" w:type="dxa"/>
            <w:tcBorders>
              <w:top w:val="single" w:sz="4" w:space="0" w:color="D9D9D9"/>
              <w:bottom w:val="single" w:sz="4" w:space="0" w:color="D9D9D9"/>
            </w:tcBorders>
            <w:shd w:val="clear" w:color="auto" w:fill="DFEBF1" w:themeFill="text2" w:themeFillTint="1A"/>
            <w:vAlign w:val="center"/>
          </w:tcPr>
          <w:p w14:paraId="6E27AADE" w14:textId="77777777" w:rsidR="00B04641" w:rsidRPr="005629F8" w:rsidRDefault="00B04641" w:rsidP="00B04641">
            <w:pPr>
              <w:autoSpaceDE w:val="0"/>
              <w:autoSpaceDN w:val="0"/>
              <w:adjustRightInd w:val="0"/>
              <w:spacing w:after="0" w:line="276" w:lineRule="auto"/>
              <w:jc w:val="center"/>
              <w:rPr>
                <w:rFonts w:cs="Arial"/>
                <w:b/>
                <w:bCs/>
                <w:color w:val="000000"/>
                <w:sz w:val="18"/>
                <w:szCs w:val="14"/>
              </w:rPr>
            </w:pPr>
            <w:r w:rsidRPr="005629F8">
              <w:rPr>
                <w:rFonts w:cs="Arial"/>
                <w:b/>
                <w:bCs/>
                <w:color w:val="000000"/>
                <w:sz w:val="18"/>
                <w:szCs w:val="14"/>
              </w:rPr>
              <w:t>All MDCs</w:t>
            </w:r>
          </w:p>
        </w:tc>
        <w:tc>
          <w:tcPr>
            <w:tcW w:w="6821" w:type="dxa"/>
            <w:tcBorders>
              <w:top w:val="single" w:sz="4" w:space="0" w:color="D9D9D9"/>
              <w:bottom w:val="single" w:sz="4" w:space="0" w:color="D9D9D9"/>
              <w:right w:val="single" w:sz="4" w:space="0" w:color="D9D9D9"/>
            </w:tcBorders>
            <w:shd w:val="clear" w:color="auto" w:fill="DFEBF1" w:themeFill="text2" w:themeFillTint="1A"/>
            <w:vAlign w:val="center"/>
          </w:tcPr>
          <w:p w14:paraId="02D2F0E7" w14:textId="77777777" w:rsidR="00B04641" w:rsidRPr="005629F8" w:rsidRDefault="00B04641" w:rsidP="00B04641">
            <w:pPr>
              <w:autoSpaceDE w:val="0"/>
              <w:autoSpaceDN w:val="0"/>
              <w:adjustRightInd w:val="0"/>
              <w:spacing w:after="0" w:line="276" w:lineRule="auto"/>
              <w:rPr>
                <w:rFonts w:cs="Arial"/>
                <w:b/>
                <w:bCs/>
                <w:color w:val="000000"/>
                <w:sz w:val="18"/>
                <w:szCs w:val="14"/>
              </w:rPr>
            </w:pPr>
          </w:p>
        </w:tc>
        <w:tc>
          <w:tcPr>
            <w:tcW w:w="1134" w:type="dxa"/>
            <w:tcBorders>
              <w:top w:val="single" w:sz="4" w:space="0" w:color="D9D9D9"/>
              <w:left w:val="single" w:sz="4" w:space="0" w:color="D9D9D9"/>
              <w:bottom w:val="single" w:sz="4" w:space="0" w:color="D9D9D9"/>
            </w:tcBorders>
            <w:shd w:val="clear" w:color="auto" w:fill="DFEBF1" w:themeFill="text2" w:themeFillTint="1A"/>
          </w:tcPr>
          <w:p w14:paraId="717070E8" w14:textId="50EE1754" w:rsidR="00B04641" w:rsidRPr="00B04641" w:rsidRDefault="00B04641" w:rsidP="00B04641">
            <w:pPr>
              <w:autoSpaceDE w:val="0"/>
              <w:autoSpaceDN w:val="0"/>
              <w:adjustRightInd w:val="0"/>
              <w:spacing w:after="0" w:line="276" w:lineRule="auto"/>
              <w:jc w:val="center"/>
              <w:rPr>
                <w:rFonts w:cs="Arial"/>
                <w:b/>
                <w:bCs/>
                <w:color w:val="000000"/>
                <w:sz w:val="18"/>
                <w:szCs w:val="18"/>
              </w:rPr>
            </w:pPr>
            <w:r w:rsidRPr="00B04641">
              <w:rPr>
                <w:rFonts w:cs="Arial"/>
                <w:sz w:val="18"/>
                <w:szCs w:val="18"/>
              </w:rPr>
              <w:t>1.00</w:t>
            </w:r>
          </w:p>
        </w:tc>
        <w:tc>
          <w:tcPr>
            <w:tcW w:w="1276" w:type="dxa"/>
            <w:tcBorders>
              <w:top w:val="single" w:sz="4" w:space="0" w:color="D9D9D9"/>
              <w:bottom w:val="single" w:sz="4" w:space="0" w:color="D9D9D9"/>
            </w:tcBorders>
            <w:shd w:val="clear" w:color="auto" w:fill="DFEBF1" w:themeFill="text2" w:themeFillTint="1A"/>
          </w:tcPr>
          <w:p w14:paraId="01A86DD2" w14:textId="371C5A20" w:rsidR="00B04641" w:rsidRPr="00B04641" w:rsidRDefault="00B04641" w:rsidP="00B04641">
            <w:pPr>
              <w:autoSpaceDE w:val="0"/>
              <w:autoSpaceDN w:val="0"/>
              <w:adjustRightInd w:val="0"/>
              <w:spacing w:after="0" w:line="276" w:lineRule="auto"/>
              <w:jc w:val="center"/>
              <w:rPr>
                <w:rFonts w:cs="Arial"/>
                <w:b/>
                <w:bCs/>
                <w:color w:val="000000"/>
                <w:sz w:val="18"/>
                <w:szCs w:val="18"/>
              </w:rPr>
            </w:pPr>
            <w:r w:rsidRPr="00B04641">
              <w:rPr>
                <w:rFonts w:cs="Arial"/>
                <w:sz w:val="18"/>
                <w:szCs w:val="18"/>
              </w:rPr>
              <w:t>3,431,160</w:t>
            </w:r>
          </w:p>
        </w:tc>
        <w:tc>
          <w:tcPr>
            <w:tcW w:w="1418" w:type="dxa"/>
            <w:tcBorders>
              <w:top w:val="single" w:sz="4" w:space="0" w:color="D9D9D9"/>
              <w:bottom w:val="single" w:sz="4" w:space="0" w:color="D9D9D9"/>
            </w:tcBorders>
            <w:shd w:val="clear" w:color="auto" w:fill="DFEBF1" w:themeFill="text2" w:themeFillTint="1A"/>
          </w:tcPr>
          <w:p w14:paraId="3589CD4F" w14:textId="671C5486" w:rsidR="00B04641" w:rsidRPr="00B04641" w:rsidRDefault="00B04641" w:rsidP="00B04641">
            <w:pPr>
              <w:autoSpaceDE w:val="0"/>
              <w:autoSpaceDN w:val="0"/>
              <w:adjustRightInd w:val="0"/>
              <w:spacing w:after="0" w:line="276" w:lineRule="auto"/>
              <w:jc w:val="center"/>
              <w:rPr>
                <w:rFonts w:cs="Arial"/>
                <w:b/>
                <w:bCs/>
                <w:color w:val="000000"/>
                <w:sz w:val="18"/>
                <w:szCs w:val="18"/>
              </w:rPr>
            </w:pPr>
            <w:r w:rsidRPr="00B04641">
              <w:rPr>
                <w:rFonts w:cs="Arial"/>
                <w:sz w:val="18"/>
                <w:szCs w:val="18"/>
              </w:rPr>
              <w:t>3,434,788</w:t>
            </w:r>
          </w:p>
        </w:tc>
        <w:tc>
          <w:tcPr>
            <w:tcW w:w="1275" w:type="dxa"/>
            <w:tcBorders>
              <w:top w:val="single" w:sz="4" w:space="0" w:color="D9D9D9"/>
              <w:bottom w:val="single" w:sz="4" w:space="0" w:color="D9D9D9"/>
            </w:tcBorders>
            <w:shd w:val="clear" w:color="auto" w:fill="DFEBF1" w:themeFill="text2" w:themeFillTint="1A"/>
          </w:tcPr>
          <w:p w14:paraId="02961623" w14:textId="674DCBB9" w:rsidR="00B04641" w:rsidRPr="00B04641" w:rsidRDefault="00B04641" w:rsidP="00B04641">
            <w:pPr>
              <w:autoSpaceDE w:val="0"/>
              <w:autoSpaceDN w:val="0"/>
              <w:adjustRightInd w:val="0"/>
              <w:spacing w:after="0" w:line="276" w:lineRule="auto"/>
              <w:jc w:val="center"/>
              <w:rPr>
                <w:rFonts w:cs="Arial"/>
                <w:b/>
                <w:bCs/>
                <w:color w:val="000000"/>
                <w:sz w:val="18"/>
                <w:szCs w:val="18"/>
              </w:rPr>
            </w:pPr>
            <w:r w:rsidRPr="00B04641">
              <w:rPr>
                <w:rFonts w:cs="Arial"/>
                <w:sz w:val="18"/>
                <w:szCs w:val="18"/>
              </w:rPr>
              <w:t>7,644,124</w:t>
            </w:r>
          </w:p>
        </w:tc>
        <w:tc>
          <w:tcPr>
            <w:tcW w:w="1276" w:type="dxa"/>
            <w:tcBorders>
              <w:top w:val="single" w:sz="4" w:space="0" w:color="D9D9D9"/>
              <w:bottom w:val="single" w:sz="4" w:space="0" w:color="D9D9D9"/>
            </w:tcBorders>
            <w:shd w:val="clear" w:color="auto" w:fill="DFEBF1" w:themeFill="text2" w:themeFillTint="1A"/>
          </w:tcPr>
          <w:p w14:paraId="52DBF1C3" w14:textId="0376AFA6" w:rsidR="00B04641" w:rsidRPr="00B04641" w:rsidRDefault="00B04641" w:rsidP="00B04641">
            <w:pPr>
              <w:autoSpaceDE w:val="0"/>
              <w:autoSpaceDN w:val="0"/>
              <w:adjustRightInd w:val="0"/>
              <w:spacing w:after="0" w:line="276" w:lineRule="auto"/>
              <w:jc w:val="center"/>
              <w:rPr>
                <w:rFonts w:cs="Arial"/>
                <w:b/>
                <w:bCs/>
                <w:color w:val="000000"/>
                <w:sz w:val="18"/>
                <w:szCs w:val="18"/>
              </w:rPr>
            </w:pPr>
            <w:r w:rsidRPr="00B04641">
              <w:rPr>
                <w:rFonts w:cs="Arial"/>
                <w:sz w:val="18"/>
                <w:szCs w:val="18"/>
              </w:rPr>
              <w:t>2.2</w:t>
            </w:r>
          </w:p>
        </w:tc>
      </w:tr>
    </w:tbl>
    <w:p w14:paraId="6213FE23" w14:textId="2BEA90A0" w:rsidR="002810BD" w:rsidRPr="002810BD" w:rsidRDefault="002810BD" w:rsidP="002810BD">
      <w:pPr>
        <w:tabs>
          <w:tab w:val="left" w:pos="5160"/>
        </w:tabs>
        <w:sectPr w:rsidR="002810BD" w:rsidRPr="002810BD" w:rsidSect="00522146">
          <w:pgSz w:w="16838" w:h="11906" w:orient="landscape" w:code="9"/>
          <w:pgMar w:top="1077" w:right="1440" w:bottom="1077" w:left="1440" w:header="709" w:footer="709" w:gutter="0"/>
          <w:cols w:space="720"/>
          <w:docGrid w:linePitch="360"/>
        </w:sectPr>
      </w:pPr>
      <w:r>
        <w:tab/>
      </w:r>
    </w:p>
    <w:p w14:paraId="388B678A" w14:textId="77777777" w:rsidR="00EC7E6D" w:rsidRPr="005629F8" w:rsidRDefault="00EC7E6D" w:rsidP="00EC7E6D">
      <w:pPr>
        <w:pStyle w:val="Heading4"/>
      </w:pPr>
      <w:r w:rsidRPr="005629F8">
        <w:lastRenderedPageBreak/>
        <w:t>Comparison with previous years</w:t>
      </w:r>
    </w:p>
    <w:p w14:paraId="3DD19FB2" w14:textId="4BCF86FB" w:rsidR="00DA4165" w:rsidRPr="0068730C" w:rsidRDefault="007F40C7" w:rsidP="005629F8">
      <w:pPr>
        <w:pStyle w:val="ListLevel1"/>
        <w:numPr>
          <w:ilvl w:val="0"/>
          <w:numId w:val="0"/>
        </w:numPr>
      </w:pPr>
      <w:r w:rsidRPr="005629F8">
        <w:t xml:space="preserve">This section of the report </w:t>
      </w:r>
      <w:r w:rsidR="002C543D">
        <w:t xml:space="preserve">analyses </w:t>
      </w:r>
      <w:r w:rsidR="00B23A76">
        <w:t>3</w:t>
      </w:r>
      <w:r w:rsidR="002C543D">
        <w:t xml:space="preserve"> </w:t>
      </w:r>
      <w:r w:rsidRPr="005629F8">
        <w:t xml:space="preserve">MDCs and </w:t>
      </w:r>
      <w:r w:rsidR="002C543D">
        <w:t xml:space="preserve">looks at </w:t>
      </w:r>
      <w:r w:rsidRPr="005629F8">
        <w:t xml:space="preserve">how their sample separations and totals costs </w:t>
      </w:r>
      <w:r w:rsidR="00147E2F">
        <w:t>for 202</w:t>
      </w:r>
      <w:r w:rsidR="00D0259F">
        <w:t>1</w:t>
      </w:r>
      <w:r w:rsidR="00147E2F">
        <w:t>-2</w:t>
      </w:r>
      <w:r w:rsidR="00D0259F">
        <w:t>2</w:t>
      </w:r>
      <w:r w:rsidRPr="005629F8">
        <w:t xml:space="preserve"> compare with </w:t>
      </w:r>
      <w:r w:rsidR="00D0259F">
        <w:t>2020-21</w:t>
      </w:r>
      <w:r w:rsidR="00D0259F" w:rsidRPr="005629F8">
        <w:t xml:space="preserve"> </w:t>
      </w:r>
      <w:r w:rsidRPr="005629F8">
        <w:t xml:space="preserve">and </w:t>
      </w:r>
      <w:r w:rsidR="00D0259F" w:rsidRPr="005629F8">
        <w:t>2019-20</w:t>
      </w:r>
      <w:r w:rsidRPr="005629F8">
        <w:t>.</w:t>
      </w:r>
      <w:r w:rsidR="001F4974" w:rsidRPr="0068730C">
        <w:t xml:space="preserve"> The MDCs that have been selected are:</w:t>
      </w:r>
    </w:p>
    <w:p w14:paraId="376D7338" w14:textId="21CF886D" w:rsidR="001F4974" w:rsidRPr="005629F8" w:rsidRDefault="001F4974" w:rsidP="00DB117A">
      <w:pPr>
        <w:pStyle w:val="ListLevel1"/>
      </w:pPr>
      <w:r w:rsidRPr="00696D29">
        <w:t xml:space="preserve">MDC 06 (Digestive System), </w:t>
      </w:r>
      <w:r w:rsidRPr="005629F8">
        <w:t xml:space="preserve">shown in </w:t>
      </w:r>
      <w:r w:rsidR="00E16820">
        <w:fldChar w:fldCharType="begin"/>
      </w:r>
      <w:r w:rsidR="00E16820">
        <w:instrText xml:space="preserve"> REF _Ref129182172 \h </w:instrText>
      </w:r>
      <w:r w:rsidR="00E16820">
        <w:fldChar w:fldCharType="separate"/>
      </w:r>
      <w:r w:rsidR="006A1E25" w:rsidRPr="006C68DC">
        <w:t xml:space="preserve">Figure </w:t>
      </w:r>
      <w:r w:rsidR="006A1E25">
        <w:rPr>
          <w:noProof/>
        </w:rPr>
        <w:t>4</w:t>
      </w:r>
      <w:r w:rsidR="00E16820">
        <w:fldChar w:fldCharType="end"/>
      </w:r>
      <w:r w:rsidR="00E729F0">
        <w:t>,</w:t>
      </w:r>
      <w:r w:rsidR="00CB12C4" w:rsidRPr="005629F8">
        <w:fldChar w:fldCharType="begin"/>
      </w:r>
      <w:r w:rsidR="00CB12C4" w:rsidRPr="005629F8">
        <w:instrText xml:space="preserve"> REF _Ref128410007 \h  \* MERGEFORMAT </w:instrText>
      </w:r>
      <w:r w:rsidR="00CB12C4" w:rsidRPr="005629F8">
        <w:fldChar w:fldCharType="end"/>
      </w:r>
      <w:r w:rsidR="00CB12C4" w:rsidRPr="005629F8">
        <w:t xml:space="preserve"> </w:t>
      </w:r>
      <w:r w:rsidR="0054164F">
        <w:t>was selected</w:t>
      </w:r>
      <w:r w:rsidR="00BB5B8B">
        <w:t xml:space="preserve"> as it </w:t>
      </w:r>
      <w:r w:rsidR="00015C1F">
        <w:t>has</w:t>
      </w:r>
      <w:r w:rsidR="00363733">
        <w:t xml:space="preserve"> </w:t>
      </w:r>
      <w:r w:rsidRPr="005629F8">
        <w:t>the highest number of sample separations.</w:t>
      </w:r>
    </w:p>
    <w:p w14:paraId="2F2E321B" w14:textId="3F9874ED" w:rsidR="001F4974" w:rsidRPr="005629F8" w:rsidRDefault="001F4974" w:rsidP="005629F8">
      <w:pPr>
        <w:pStyle w:val="ListLevel1"/>
        <w:rPr>
          <w:color w:val="auto"/>
        </w:rPr>
      </w:pPr>
      <w:r w:rsidRPr="005629F8">
        <w:rPr>
          <w:color w:val="auto"/>
        </w:rPr>
        <w:t>MDC 04 (Respiratory System), shown</w:t>
      </w:r>
      <w:r w:rsidR="00E16820">
        <w:rPr>
          <w:color w:val="auto"/>
        </w:rPr>
        <w:t xml:space="preserve"> in </w:t>
      </w:r>
      <w:r w:rsidR="00E16820">
        <w:rPr>
          <w:color w:val="auto"/>
        </w:rPr>
        <w:fldChar w:fldCharType="begin"/>
      </w:r>
      <w:r w:rsidR="00E16820">
        <w:rPr>
          <w:color w:val="auto"/>
        </w:rPr>
        <w:instrText xml:space="preserve"> REF _Ref129182145 \h </w:instrText>
      </w:r>
      <w:r w:rsidR="00E16820">
        <w:rPr>
          <w:color w:val="auto"/>
        </w:rPr>
      </w:r>
      <w:r w:rsidR="00E16820">
        <w:rPr>
          <w:color w:val="auto"/>
        </w:rPr>
        <w:fldChar w:fldCharType="separate"/>
      </w:r>
      <w:r w:rsidR="006A1E25" w:rsidRPr="006C68DC">
        <w:t xml:space="preserve">Figure </w:t>
      </w:r>
      <w:r w:rsidR="006A1E25">
        <w:rPr>
          <w:noProof/>
        </w:rPr>
        <w:t>5</w:t>
      </w:r>
      <w:r w:rsidR="00E16820">
        <w:rPr>
          <w:color w:val="auto"/>
        </w:rPr>
        <w:fldChar w:fldCharType="end"/>
      </w:r>
      <w:r w:rsidRPr="005629F8">
        <w:rPr>
          <w:color w:val="auto"/>
        </w:rPr>
        <w:t xml:space="preserve">, </w:t>
      </w:r>
      <w:r w:rsidR="00BB5B8B">
        <w:rPr>
          <w:color w:val="auto"/>
        </w:rPr>
        <w:t xml:space="preserve">was selected </w:t>
      </w:r>
      <w:r w:rsidRPr="005629F8">
        <w:rPr>
          <w:color w:val="auto"/>
        </w:rPr>
        <w:t xml:space="preserve">to observe </w:t>
      </w:r>
      <w:r w:rsidR="00015C1F">
        <w:rPr>
          <w:color w:val="auto"/>
        </w:rPr>
        <w:t>if there have been any</w:t>
      </w:r>
      <w:r w:rsidRPr="005629F8">
        <w:rPr>
          <w:color w:val="auto"/>
        </w:rPr>
        <w:t xml:space="preserve"> impacts resulting from COVID-19 on respiratory AR-DRGs.</w:t>
      </w:r>
    </w:p>
    <w:p w14:paraId="7FEA0244" w14:textId="390EF4EB" w:rsidR="00696D29" w:rsidRPr="005629F8" w:rsidRDefault="001F4974" w:rsidP="005629F8">
      <w:pPr>
        <w:pStyle w:val="ListLevel1"/>
      </w:pPr>
      <w:r w:rsidRPr="005629F8">
        <w:rPr>
          <w:color w:val="auto"/>
        </w:rPr>
        <w:t>MDC 19 (Mental Diseases and Disorders), shown in</w:t>
      </w:r>
      <w:r w:rsidR="006D4BCA" w:rsidRPr="005629F8">
        <w:rPr>
          <w:color w:val="auto"/>
        </w:rPr>
        <w:t xml:space="preserve"> </w:t>
      </w:r>
      <w:r w:rsidR="00E16820">
        <w:rPr>
          <w:color w:val="auto"/>
        </w:rPr>
        <w:fldChar w:fldCharType="begin"/>
      </w:r>
      <w:r w:rsidR="00E16820">
        <w:rPr>
          <w:color w:val="auto"/>
        </w:rPr>
        <w:instrText xml:space="preserve"> REF _Ref129182160 \h </w:instrText>
      </w:r>
      <w:r w:rsidR="00E16820">
        <w:rPr>
          <w:color w:val="auto"/>
        </w:rPr>
      </w:r>
      <w:r w:rsidR="00E16820">
        <w:rPr>
          <w:color w:val="auto"/>
        </w:rPr>
        <w:fldChar w:fldCharType="separate"/>
      </w:r>
      <w:r w:rsidR="006A1E25" w:rsidRPr="006C68DC">
        <w:t xml:space="preserve">Figure </w:t>
      </w:r>
      <w:r w:rsidR="006A1E25">
        <w:rPr>
          <w:noProof/>
        </w:rPr>
        <w:t>6</w:t>
      </w:r>
      <w:r w:rsidR="00E16820">
        <w:rPr>
          <w:color w:val="auto"/>
        </w:rPr>
        <w:fldChar w:fldCharType="end"/>
      </w:r>
      <w:r w:rsidR="006D4BCA" w:rsidRPr="005629F8">
        <w:rPr>
          <w:color w:val="auto"/>
        </w:rPr>
        <w:fldChar w:fldCharType="begin"/>
      </w:r>
      <w:r w:rsidR="006D4BCA" w:rsidRPr="005629F8">
        <w:rPr>
          <w:color w:val="auto"/>
        </w:rPr>
        <w:instrText xml:space="preserve"> REF _Ref128648318 \h </w:instrText>
      </w:r>
      <w:r w:rsidR="0068730C" w:rsidRPr="005629F8">
        <w:rPr>
          <w:color w:val="auto"/>
        </w:rPr>
        <w:instrText xml:space="preserve"> \* MERGEFORMAT </w:instrText>
      </w:r>
      <w:r w:rsidR="006D4BCA" w:rsidRPr="005629F8">
        <w:rPr>
          <w:color w:val="auto"/>
        </w:rPr>
      </w:r>
      <w:r w:rsidR="006D4BCA" w:rsidRPr="005629F8">
        <w:rPr>
          <w:color w:val="auto"/>
        </w:rPr>
        <w:fldChar w:fldCharType="end"/>
      </w:r>
      <w:r w:rsidRPr="00696D29">
        <w:t>,</w:t>
      </w:r>
      <w:r w:rsidR="002C543D">
        <w:t xml:space="preserve"> </w:t>
      </w:r>
      <w:r w:rsidR="00BB5B8B">
        <w:t xml:space="preserve">was selected as it </w:t>
      </w:r>
      <w:r w:rsidRPr="00696D29">
        <w:t>has</w:t>
      </w:r>
      <w:r w:rsidR="00080925" w:rsidRPr="00696D29">
        <w:t xml:space="preserve"> seen a large decrease in activity </w:t>
      </w:r>
      <w:r w:rsidR="00BB5B8B">
        <w:t>since</w:t>
      </w:r>
      <w:r w:rsidR="00BB5B8B" w:rsidRPr="00696D29">
        <w:t xml:space="preserve"> </w:t>
      </w:r>
      <w:r w:rsidR="00080925" w:rsidRPr="00696D29">
        <w:t>2019</w:t>
      </w:r>
      <w:r w:rsidR="00080925" w:rsidRPr="00696D29">
        <w:noBreakHyphen/>
        <w:t>20</w:t>
      </w:r>
      <w:r w:rsidRPr="00696D29">
        <w:t>.</w:t>
      </w:r>
    </w:p>
    <w:p w14:paraId="3090A465" w14:textId="37225C5C" w:rsidR="00874297" w:rsidRPr="006C68DC" w:rsidRDefault="006C68DC" w:rsidP="006C68DC">
      <w:pPr>
        <w:pStyle w:val="TableFigureheading"/>
      </w:pPr>
      <w:bookmarkStart w:id="97" w:name="_Ref129182172"/>
      <w:bookmarkStart w:id="98" w:name="_Toc152081847"/>
      <w:r w:rsidRPr="006C68DC">
        <w:t xml:space="preserve">Figure </w:t>
      </w:r>
      <w:r w:rsidRPr="006C68DC">
        <w:fldChar w:fldCharType="begin"/>
      </w:r>
      <w:r w:rsidRPr="006C68DC">
        <w:instrText xml:space="preserve"> SEQ Figure \* ARABIC </w:instrText>
      </w:r>
      <w:r w:rsidRPr="006C68DC">
        <w:fldChar w:fldCharType="separate"/>
      </w:r>
      <w:r>
        <w:rPr>
          <w:noProof/>
        </w:rPr>
        <w:t>4</w:t>
      </w:r>
      <w:r w:rsidRPr="006C68DC">
        <w:fldChar w:fldCharType="end"/>
      </w:r>
      <w:bookmarkEnd w:id="97"/>
      <w:r w:rsidR="00874297" w:rsidRPr="006C68DC">
        <w:t xml:space="preserve">. Separations and </w:t>
      </w:r>
      <w:r w:rsidR="003617C9" w:rsidRPr="006C68DC">
        <w:t>c</w:t>
      </w:r>
      <w:r w:rsidR="00874297" w:rsidRPr="006C68DC">
        <w:t>ost for MDC 06: Diseases and Disorders of the Digestive System</w:t>
      </w:r>
      <w:bookmarkEnd w:id="98"/>
    </w:p>
    <w:p w14:paraId="614882C7" w14:textId="28B64730" w:rsidR="00696D29" w:rsidRDefault="00B04641" w:rsidP="005629F8">
      <w:pPr>
        <w:pStyle w:val="ListLevel1"/>
        <w:numPr>
          <w:ilvl w:val="0"/>
          <w:numId w:val="0"/>
        </w:numPr>
        <w:rPr>
          <w:highlight w:val="cyan"/>
        </w:rPr>
      </w:pPr>
      <w:r w:rsidRPr="00B04641">
        <w:rPr>
          <w:noProof/>
        </w:rPr>
        <w:drawing>
          <wp:inline distT="0" distB="0" distL="0" distR="0" wp14:anchorId="3B1CAFF4" wp14:editId="390FA83F">
            <wp:extent cx="5212715" cy="27495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715" cy="2749550"/>
                    </a:xfrm>
                    <a:prstGeom prst="rect">
                      <a:avLst/>
                    </a:prstGeom>
                    <a:noFill/>
                  </pic:spPr>
                </pic:pic>
              </a:graphicData>
            </a:graphic>
          </wp:inline>
        </w:drawing>
      </w:r>
    </w:p>
    <w:p w14:paraId="35E1B6F8" w14:textId="77777777" w:rsidR="00147E2F" w:rsidRPr="005629F8" w:rsidRDefault="00147E2F" w:rsidP="005629F8">
      <w:pPr>
        <w:pStyle w:val="ListLevel1"/>
        <w:numPr>
          <w:ilvl w:val="0"/>
          <w:numId w:val="0"/>
        </w:numPr>
        <w:rPr>
          <w:highlight w:val="cyan"/>
        </w:rPr>
      </w:pPr>
    </w:p>
    <w:p w14:paraId="6CDB78B6" w14:textId="2E9769CE" w:rsidR="00ED5802" w:rsidRDefault="00F974CB" w:rsidP="002A6ADF">
      <w:r w:rsidRPr="005629F8">
        <w:t xml:space="preserve">Total costs </w:t>
      </w:r>
      <w:r w:rsidR="00080925">
        <w:t xml:space="preserve">in MDC 06 </w:t>
      </w:r>
      <w:r w:rsidRPr="005629F8">
        <w:t>hav</w:t>
      </w:r>
      <w:r w:rsidR="00E64667" w:rsidRPr="005629F8">
        <w:t xml:space="preserve">e increased over the </w:t>
      </w:r>
      <w:proofErr w:type="gramStart"/>
      <w:r w:rsidR="00B23A76">
        <w:t>3</w:t>
      </w:r>
      <w:r w:rsidR="00613C21">
        <w:t xml:space="preserve"> </w:t>
      </w:r>
      <w:r w:rsidR="00E64667" w:rsidRPr="005629F8">
        <w:t>year</w:t>
      </w:r>
      <w:proofErr w:type="gramEnd"/>
      <w:r w:rsidRPr="005629F8">
        <w:t xml:space="preserve"> period</w:t>
      </w:r>
      <w:r w:rsidR="00080925">
        <w:t xml:space="preserve"> from 201</w:t>
      </w:r>
      <w:r w:rsidR="00D0259F">
        <w:t>9</w:t>
      </w:r>
      <w:r w:rsidR="00080925">
        <w:noBreakHyphen/>
      </w:r>
      <w:r w:rsidR="00D0259F">
        <w:t>20</w:t>
      </w:r>
      <w:r w:rsidR="00080925">
        <w:t xml:space="preserve"> to 202</w:t>
      </w:r>
      <w:r w:rsidR="00D0259F">
        <w:t>1</w:t>
      </w:r>
      <w:r w:rsidR="00080925">
        <w:noBreakHyphen/>
        <w:t>2</w:t>
      </w:r>
      <w:r w:rsidR="00D0259F">
        <w:t>2</w:t>
      </w:r>
      <w:r w:rsidRPr="005629F8">
        <w:t xml:space="preserve">. </w:t>
      </w:r>
      <w:r w:rsidR="002A6ADF">
        <w:t xml:space="preserve">In </w:t>
      </w:r>
      <w:r w:rsidR="00D0259F">
        <w:t>2021</w:t>
      </w:r>
      <w:r w:rsidR="002A6ADF">
        <w:noBreakHyphen/>
        <w:t>2</w:t>
      </w:r>
      <w:r w:rsidR="00D0259F">
        <w:t>2</w:t>
      </w:r>
      <w:r w:rsidR="002A6ADF">
        <w:t xml:space="preserve">, there was a slight </w:t>
      </w:r>
      <w:r w:rsidR="002A6ADF" w:rsidRPr="00C0693F">
        <w:t xml:space="preserve">decrease in separations despite the total costs increasing. This decrease occurred </w:t>
      </w:r>
      <w:r w:rsidR="00C0693F" w:rsidRPr="00C0693F">
        <w:t xml:space="preserve">predominantly in </w:t>
      </w:r>
      <w:r w:rsidR="002A6ADF" w:rsidRPr="00C0693F">
        <w:t xml:space="preserve">intervention </w:t>
      </w:r>
      <w:r w:rsidR="00C0693F" w:rsidRPr="00C0693F">
        <w:t>type episodes rather than</w:t>
      </w:r>
      <w:r w:rsidR="002A6ADF" w:rsidRPr="00C0693F">
        <w:t xml:space="preserve"> medical type episodes</w:t>
      </w:r>
      <w:r w:rsidR="00C0693F" w:rsidRPr="00C0693F">
        <w:t xml:space="preserve"> </w:t>
      </w:r>
      <w:r w:rsidR="00F21175">
        <w:t>that</w:t>
      </w:r>
      <w:r w:rsidR="00F21175" w:rsidRPr="00C0693F">
        <w:t xml:space="preserve"> </w:t>
      </w:r>
      <w:r w:rsidR="00C0693F" w:rsidRPr="00C0693F">
        <w:t>saw a slight increase</w:t>
      </w:r>
      <w:r w:rsidR="002A6ADF" w:rsidRPr="00C0693F">
        <w:t>, with</w:t>
      </w:r>
      <w:r w:rsidR="002A6ADF">
        <w:t xml:space="preserve"> intervention episodes comprising the majority of MDC 06</w:t>
      </w:r>
      <w:r w:rsidR="00D0259F">
        <w:t>.</w:t>
      </w:r>
      <w:r w:rsidR="002A6ADF">
        <w:t xml:space="preserve"> </w:t>
      </w:r>
      <w:r w:rsidR="00356C4B">
        <w:t>The average cost increased by 8.3</w:t>
      </w:r>
      <w:r w:rsidR="00B23A76">
        <w:t>%</w:t>
      </w:r>
      <w:r w:rsidR="00356C4B">
        <w:t xml:space="preserve"> </w:t>
      </w:r>
      <w:r w:rsidR="008A5002">
        <w:t xml:space="preserve">which </w:t>
      </w:r>
      <w:r w:rsidR="00356C4B">
        <w:t>exceeded the overall average cost increase</w:t>
      </w:r>
      <w:r w:rsidR="00810C40">
        <w:t xml:space="preserve"> of 5.7</w:t>
      </w:r>
      <w:r w:rsidR="00B23A76">
        <w:t>%</w:t>
      </w:r>
      <w:r w:rsidR="00356C4B">
        <w:t xml:space="preserve">. </w:t>
      </w:r>
    </w:p>
    <w:p w14:paraId="0A9DD181" w14:textId="25639062" w:rsidR="002A6ADF" w:rsidRDefault="002A6ADF" w:rsidP="002A6ADF">
      <w:r>
        <w:t>The fo</w:t>
      </w:r>
      <w:r w:rsidR="00ED5802">
        <w:t xml:space="preserve">llowing </w:t>
      </w:r>
      <w:r w:rsidR="00B23A76">
        <w:t>3</w:t>
      </w:r>
      <w:r w:rsidR="00ED5802">
        <w:t xml:space="preserve"> intervention type </w:t>
      </w:r>
      <w:r>
        <w:t>AR</w:t>
      </w:r>
      <w:r>
        <w:noBreakHyphen/>
        <w:t xml:space="preserve">DRGs alone comprise </w:t>
      </w:r>
      <w:r w:rsidR="00ED5802">
        <w:t xml:space="preserve">almost </w:t>
      </w:r>
      <w:r w:rsidR="00C0693F">
        <w:t>65</w:t>
      </w:r>
      <w:r w:rsidR="00B23A76">
        <w:t>%</w:t>
      </w:r>
      <w:r>
        <w:t xml:space="preserve"> of MDC 06: </w:t>
      </w:r>
    </w:p>
    <w:p w14:paraId="238668B0" w14:textId="7A728D50" w:rsidR="00ED5802" w:rsidRDefault="00ED5802" w:rsidP="00ED5802">
      <w:pPr>
        <w:pStyle w:val="ListLevel1"/>
      </w:pPr>
      <w:r w:rsidRPr="0068730C">
        <w:t>G46B: Complex Endoscopy, Minor Complexity</w:t>
      </w:r>
    </w:p>
    <w:p w14:paraId="4E43A147" w14:textId="77777777" w:rsidR="00ED5802" w:rsidRPr="00ED5802" w:rsidRDefault="00ED5802" w:rsidP="00ED5802">
      <w:pPr>
        <w:pStyle w:val="ListLevel1"/>
      </w:pPr>
      <w:r w:rsidRPr="00ED5802">
        <w:t>G47C: Gastroscopy, Minor Complexity</w:t>
      </w:r>
    </w:p>
    <w:p w14:paraId="766AE9F2" w14:textId="5E8942A5" w:rsidR="00ED5802" w:rsidRPr="0068730C" w:rsidRDefault="00ED5802" w:rsidP="00ED5802">
      <w:pPr>
        <w:pStyle w:val="ListLevel1"/>
        <w:ind w:left="1077" w:hanging="357"/>
        <w:contextualSpacing w:val="0"/>
      </w:pPr>
      <w:r w:rsidRPr="0068730C">
        <w:t>G48B: Colonoscopy, Minor Complexity</w:t>
      </w:r>
      <w:r w:rsidR="003A709A">
        <w:t>.</w:t>
      </w:r>
    </w:p>
    <w:p w14:paraId="3FBA1E39" w14:textId="77777777" w:rsidR="004724ED" w:rsidRDefault="004724ED">
      <w:pPr>
        <w:spacing w:line="259" w:lineRule="auto"/>
        <w:rPr>
          <w:rFonts w:eastAsia="Arial" w:cs="Arial"/>
          <w:b/>
          <w:iCs/>
          <w:color w:val="008F55" w:themeColor="accent4"/>
          <w:szCs w:val="18"/>
        </w:rPr>
      </w:pPr>
      <w:r>
        <w:br w:type="page"/>
      </w:r>
    </w:p>
    <w:p w14:paraId="752454EA" w14:textId="77BE033C" w:rsidR="00874297" w:rsidRPr="006C68DC" w:rsidRDefault="006C68DC" w:rsidP="006C68DC">
      <w:pPr>
        <w:pStyle w:val="TableFigureheading"/>
      </w:pPr>
      <w:bookmarkStart w:id="99" w:name="_Ref129182145"/>
      <w:bookmarkStart w:id="100" w:name="_Toc152081848"/>
      <w:r w:rsidRPr="006C68DC">
        <w:lastRenderedPageBreak/>
        <w:t xml:space="preserve">Figure </w:t>
      </w:r>
      <w:r w:rsidRPr="006C68DC">
        <w:fldChar w:fldCharType="begin"/>
      </w:r>
      <w:r w:rsidRPr="006C68DC">
        <w:instrText xml:space="preserve"> SEQ Figure \* ARABIC </w:instrText>
      </w:r>
      <w:r w:rsidRPr="006C68DC">
        <w:fldChar w:fldCharType="separate"/>
      </w:r>
      <w:r>
        <w:rPr>
          <w:noProof/>
        </w:rPr>
        <w:t>5</w:t>
      </w:r>
      <w:r w:rsidRPr="006C68DC">
        <w:fldChar w:fldCharType="end"/>
      </w:r>
      <w:bookmarkEnd w:id="99"/>
      <w:r w:rsidR="00874297" w:rsidRPr="006C68DC">
        <w:t>. Separations and Cost for MDC 04: Diseases and Disorders of the Respiratory System</w:t>
      </w:r>
      <w:bookmarkEnd w:id="100"/>
    </w:p>
    <w:p w14:paraId="7E492DF3" w14:textId="32F7E4D7" w:rsidR="00692415" w:rsidRPr="005629F8" w:rsidRDefault="00B04641">
      <w:r>
        <w:rPr>
          <w:noProof/>
        </w:rPr>
        <w:drawing>
          <wp:inline distT="0" distB="0" distL="0" distR="0" wp14:anchorId="10BCB856" wp14:editId="62780F82">
            <wp:extent cx="5218430" cy="268859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8430" cy="2688590"/>
                    </a:xfrm>
                    <a:prstGeom prst="rect">
                      <a:avLst/>
                    </a:prstGeom>
                    <a:noFill/>
                  </pic:spPr>
                </pic:pic>
              </a:graphicData>
            </a:graphic>
          </wp:inline>
        </w:drawing>
      </w:r>
    </w:p>
    <w:p w14:paraId="61EED04F" w14:textId="17CC641A" w:rsidR="00AF1A8D" w:rsidRDefault="006B3F89" w:rsidP="00AF1A8D">
      <w:r w:rsidRPr="00C0693F">
        <w:t xml:space="preserve">In 2021-22, MDC 04 </w:t>
      </w:r>
      <w:r w:rsidR="0088109E" w:rsidRPr="00C0693F">
        <w:t xml:space="preserve">sample separations </w:t>
      </w:r>
      <w:r w:rsidR="00AF1A8D">
        <w:t xml:space="preserve">were </w:t>
      </w:r>
      <w:r w:rsidR="00345C21">
        <w:t>1</w:t>
      </w:r>
      <w:r w:rsidR="00B23A76">
        <w:t>%</w:t>
      </w:r>
      <w:r w:rsidR="00E5323E">
        <w:t xml:space="preserve"> </w:t>
      </w:r>
      <w:r w:rsidR="00345C21">
        <w:t>higher than</w:t>
      </w:r>
      <w:r w:rsidR="00AF1A8D" w:rsidRPr="00356C4B">
        <w:t xml:space="preserve"> 2020</w:t>
      </w:r>
      <w:r w:rsidR="00AF1A8D">
        <w:t xml:space="preserve">-21, </w:t>
      </w:r>
      <w:r w:rsidR="00C0693F" w:rsidRPr="00C0693F">
        <w:t>remain</w:t>
      </w:r>
      <w:r w:rsidR="00AF1A8D">
        <w:t>ing</w:t>
      </w:r>
      <w:r w:rsidR="00C0693F" w:rsidRPr="00C0693F">
        <w:t xml:space="preserve"> 4.4</w:t>
      </w:r>
      <w:r w:rsidR="00B23A76">
        <w:t>%</w:t>
      </w:r>
      <w:r w:rsidR="00C0693F" w:rsidRPr="00C0693F">
        <w:t xml:space="preserve"> below</w:t>
      </w:r>
      <w:r w:rsidR="00696D29" w:rsidRPr="00C0693F">
        <w:t xml:space="preserve"> </w:t>
      </w:r>
      <w:r w:rsidR="002A6ADF" w:rsidRPr="00C0693F">
        <w:t>201</w:t>
      </w:r>
      <w:r w:rsidRPr="00C0693F">
        <w:t>9</w:t>
      </w:r>
      <w:r w:rsidR="002A6ADF" w:rsidRPr="00C0693F">
        <w:t>-</w:t>
      </w:r>
      <w:r w:rsidRPr="00C0693F">
        <w:t>20</w:t>
      </w:r>
      <w:r w:rsidR="002A6ADF" w:rsidRPr="00C0693F">
        <w:t xml:space="preserve"> </w:t>
      </w:r>
      <w:r w:rsidRPr="00C0693F">
        <w:t>levels</w:t>
      </w:r>
      <w:r w:rsidR="002A6ADF" w:rsidRPr="00C0693F">
        <w:t>.</w:t>
      </w:r>
      <w:r w:rsidR="00377CC8" w:rsidRPr="00C0693F">
        <w:t xml:space="preserve"> </w:t>
      </w:r>
      <w:r w:rsidR="00AF1A8D" w:rsidRPr="00C0693F">
        <w:t>This trend indicates there is less respiratory support being accessed through private hospitals with the decrease consistent across most AR-DRGs within this MDC.</w:t>
      </w:r>
    </w:p>
    <w:p w14:paraId="6F9B31D6" w14:textId="3FBE562A" w:rsidR="00854DBE" w:rsidRPr="00C0693F" w:rsidRDefault="00377CC8">
      <w:r w:rsidRPr="00C0693F">
        <w:t xml:space="preserve">Total cost </w:t>
      </w:r>
      <w:r w:rsidR="00AF1A8D">
        <w:t xml:space="preserve">increased in 2021-22 by </w:t>
      </w:r>
      <w:r w:rsidR="00356C4B">
        <w:t>15</w:t>
      </w:r>
      <w:r w:rsidR="00B23A76">
        <w:t>%</w:t>
      </w:r>
      <w:r w:rsidR="00AF1A8D">
        <w:t xml:space="preserve">, following a decrease in 2020-21. The resulting </w:t>
      </w:r>
      <w:r w:rsidR="00356C4B">
        <w:t>14</w:t>
      </w:r>
      <w:r w:rsidR="00B23A76">
        <w:t>%</w:t>
      </w:r>
      <w:r w:rsidR="00345C21">
        <w:t xml:space="preserve"> </w:t>
      </w:r>
      <w:r w:rsidR="00AF1A8D">
        <w:t xml:space="preserve">increase in average cost </w:t>
      </w:r>
      <w:r w:rsidR="00AF1A8D" w:rsidRPr="00356C4B">
        <w:t>was higher than the overall</w:t>
      </w:r>
      <w:r w:rsidR="00AF1A8D">
        <w:t xml:space="preserve"> </w:t>
      </w:r>
      <w:r w:rsidR="00A63222">
        <w:t>population</w:t>
      </w:r>
      <w:r w:rsidR="00AF1A8D">
        <w:t xml:space="preserve"> change in average cost. </w:t>
      </w:r>
    </w:p>
    <w:p w14:paraId="47ED14E1" w14:textId="2F1CFC6C" w:rsidR="00E5323E" w:rsidRDefault="00DD0195">
      <w:r w:rsidRPr="00C0693F">
        <w:t>MDC 04 was examined to understand whether COVID</w:t>
      </w:r>
      <w:r w:rsidRPr="00C0693F">
        <w:noBreakHyphen/>
        <w:t xml:space="preserve">19 had any impact on respiratory admissions in the private sector. There were only a small number of episodes in the </w:t>
      </w:r>
      <w:r w:rsidR="00FE00FF">
        <w:t>2021</w:t>
      </w:r>
      <w:r w:rsidRPr="00C0693F">
        <w:noBreakHyphen/>
      </w:r>
      <w:r w:rsidR="00FE00FF">
        <w:t>22</w:t>
      </w:r>
      <w:r w:rsidRPr="00C0693F">
        <w:t xml:space="preserve"> NHCDC submission with a COVID-19 diagnosis code. These episodes were more commonly assigned to MDC 23: Factors Influencing Health Status and Other Contacts with Health Services.</w:t>
      </w:r>
      <w:r w:rsidR="00E5323E">
        <w:t xml:space="preserve"> MDC 23 sample separations were 1</w:t>
      </w:r>
      <w:r w:rsidR="008E6496">
        <w:t>%</w:t>
      </w:r>
      <w:r w:rsidR="00E5323E">
        <w:t xml:space="preserve"> lower than 2020-21. However, there was a 3</w:t>
      </w:r>
      <w:proofErr w:type="gramStart"/>
      <w:r w:rsidR="008E6496">
        <w:t>%</w:t>
      </w:r>
      <w:r w:rsidR="00E5323E">
        <w:t xml:space="preserve">  increase</w:t>
      </w:r>
      <w:proofErr w:type="gramEnd"/>
      <w:r w:rsidR="00E5323E">
        <w:t xml:space="preserve"> in total cost leading to a 4</w:t>
      </w:r>
      <w:r w:rsidR="008E6496">
        <w:t>%</w:t>
      </w:r>
      <w:r w:rsidR="00E5323E">
        <w:t xml:space="preserve"> increase in the average cost across the MDC.</w:t>
      </w:r>
    </w:p>
    <w:p w14:paraId="36BA3F0A" w14:textId="65416F7C" w:rsidR="00874297" w:rsidRPr="006C68DC" w:rsidRDefault="006C68DC" w:rsidP="006C68DC">
      <w:pPr>
        <w:pStyle w:val="TableFigureheading"/>
      </w:pPr>
      <w:bookmarkStart w:id="101" w:name="_Ref129182160"/>
      <w:bookmarkStart w:id="102" w:name="_Toc152081849"/>
      <w:r w:rsidRPr="006C68DC">
        <w:t xml:space="preserve">Figure </w:t>
      </w:r>
      <w:r w:rsidRPr="006C68DC">
        <w:fldChar w:fldCharType="begin"/>
      </w:r>
      <w:r w:rsidRPr="006C68DC">
        <w:instrText xml:space="preserve"> SEQ Figure \* ARABIC </w:instrText>
      </w:r>
      <w:r w:rsidRPr="006C68DC">
        <w:fldChar w:fldCharType="separate"/>
      </w:r>
      <w:r>
        <w:rPr>
          <w:noProof/>
        </w:rPr>
        <w:t>6</w:t>
      </w:r>
      <w:r w:rsidRPr="006C68DC">
        <w:fldChar w:fldCharType="end"/>
      </w:r>
      <w:bookmarkEnd w:id="101"/>
      <w:r w:rsidR="00874297" w:rsidRPr="006C68DC">
        <w:t>. Separations and Cost for MDC 19: Mental Diseases and Disorders</w:t>
      </w:r>
      <w:bookmarkEnd w:id="102"/>
    </w:p>
    <w:p w14:paraId="19B1AD94" w14:textId="123B3B2F" w:rsidR="00787078" w:rsidRDefault="00B04641">
      <w:r>
        <w:rPr>
          <w:noProof/>
        </w:rPr>
        <w:drawing>
          <wp:inline distT="0" distB="0" distL="0" distR="0" wp14:anchorId="270EB409" wp14:editId="68D5C56E">
            <wp:extent cx="5141344" cy="26694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5775" cy="2671700"/>
                    </a:xfrm>
                    <a:prstGeom prst="rect">
                      <a:avLst/>
                    </a:prstGeom>
                    <a:noFill/>
                  </pic:spPr>
                </pic:pic>
              </a:graphicData>
            </a:graphic>
          </wp:inline>
        </w:drawing>
      </w:r>
    </w:p>
    <w:p w14:paraId="1493F202" w14:textId="284D5347" w:rsidR="00883437" w:rsidRPr="0068730C" w:rsidRDefault="008A0CCE">
      <w:r w:rsidRPr="0068730C">
        <w:lastRenderedPageBreak/>
        <w:t xml:space="preserve">Total costs </w:t>
      </w:r>
      <w:r w:rsidR="00772A1E">
        <w:t xml:space="preserve">in MDC </w:t>
      </w:r>
      <w:r w:rsidR="00696D29">
        <w:t xml:space="preserve">19 </w:t>
      </w:r>
      <w:r w:rsidR="00772A1E">
        <w:t>increased</w:t>
      </w:r>
      <w:r w:rsidR="003755F6" w:rsidRPr="0068730C">
        <w:t xml:space="preserve"> in </w:t>
      </w:r>
      <w:r w:rsidR="006B3F89">
        <w:t>2021</w:t>
      </w:r>
      <w:r w:rsidR="003755F6" w:rsidRPr="0068730C">
        <w:t>-2</w:t>
      </w:r>
      <w:r w:rsidR="006B3F89">
        <w:t>2</w:t>
      </w:r>
      <w:r w:rsidRPr="0068730C">
        <w:t>, while</w:t>
      </w:r>
      <w:r w:rsidR="004E7352" w:rsidRPr="005629F8">
        <w:t xml:space="preserve"> </w:t>
      </w:r>
      <w:r w:rsidRPr="0068730C">
        <w:t>sam</w:t>
      </w:r>
      <w:r w:rsidR="00883437" w:rsidRPr="0068730C">
        <w:t>ple separations have decreased</w:t>
      </w:r>
      <w:r w:rsidR="003755F6" w:rsidRPr="0068730C">
        <w:t xml:space="preserve"> across the </w:t>
      </w:r>
      <w:r w:rsidR="008E6496">
        <w:t>3</w:t>
      </w:r>
      <w:r w:rsidR="003755F6" w:rsidRPr="0068730C">
        <w:t>year period</w:t>
      </w:r>
      <w:r w:rsidR="00883437" w:rsidRPr="0068730C">
        <w:t>.</w:t>
      </w:r>
    </w:p>
    <w:p w14:paraId="74FBC174" w14:textId="3980A35C" w:rsidR="00883437" w:rsidRPr="00725A6D" w:rsidRDefault="00883437" w:rsidP="005629F8">
      <w:pPr>
        <w:contextualSpacing/>
      </w:pPr>
      <w:r w:rsidRPr="00725A6D">
        <w:t xml:space="preserve">The decrease in separations in </w:t>
      </w:r>
      <w:r w:rsidR="00FE00FF">
        <w:t>2021</w:t>
      </w:r>
      <w:r w:rsidRPr="00725A6D">
        <w:t>-</w:t>
      </w:r>
      <w:r w:rsidR="00FE00FF">
        <w:t>22</w:t>
      </w:r>
      <w:r w:rsidRPr="00725A6D">
        <w:t xml:space="preserve"> is primarily driven by the </w:t>
      </w:r>
      <w:r w:rsidR="008E6496">
        <w:t>2</w:t>
      </w:r>
      <w:r w:rsidRPr="00725A6D">
        <w:t xml:space="preserve"> AR-DRGs</w:t>
      </w:r>
      <w:r w:rsidR="005E3548" w:rsidRPr="00725A6D">
        <w:t xml:space="preserve"> with the largest volume of separations</w:t>
      </w:r>
      <w:r w:rsidRPr="00725A6D">
        <w:t>:</w:t>
      </w:r>
    </w:p>
    <w:p w14:paraId="0EC23F72" w14:textId="560B650F" w:rsidR="00883437" w:rsidRPr="00725A6D" w:rsidRDefault="001167F4" w:rsidP="005629F8">
      <w:pPr>
        <w:pStyle w:val="ListLevel1"/>
      </w:pPr>
      <w:r w:rsidRPr="00725A6D">
        <w:t>U</w:t>
      </w:r>
      <w:r w:rsidR="00883437" w:rsidRPr="00725A6D">
        <w:t>60Z: Mental Health Treatment</w:t>
      </w:r>
      <w:r w:rsidR="00430A3B" w:rsidRPr="00725A6D">
        <w:t xml:space="preserve"> W</w:t>
      </w:r>
      <w:r w:rsidR="00883437" w:rsidRPr="00725A6D">
        <w:t>/O ECT</w:t>
      </w:r>
      <w:r w:rsidR="00DC5CE9" w:rsidRPr="00725A6D">
        <w:t xml:space="preserve">, </w:t>
      </w:r>
      <w:proofErr w:type="spellStart"/>
      <w:r w:rsidR="00DC5CE9" w:rsidRPr="00725A6D">
        <w:t>Sameday</w:t>
      </w:r>
      <w:proofErr w:type="spellEnd"/>
    </w:p>
    <w:p w14:paraId="75408E3D" w14:textId="52CE8F6E" w:rsidR="00692415" w:rsidRPr="00725A6D" w:rsidRDefault="00883437" w:rsidP="005629F8">
      <w:pPr>
        <w:pStyle w:val="ListLevel1"/>
        <w:ind w:left="1066" w:hanging="357"/>
        <w:contextualSpacing w:val="0"/>
      </w:pPr>
      <w:r w:rsidRPr="00725A6D">
        <w:t>U</w:t>
      </w:r>
      <w:r w:rsidR="001167F4" w:rsidRPr="00725A6D">
        <w:t>63B: Major Affective Disorders, Minor Complexity</w:t>
      </w:r>
      <w:r w:rsidR="003A709A">
        <w:t>.</w:t>
      </w:r>
    </w:p>
    <w:p w14:paraId="3E146F91" w14:textId="5CB5C96E" w:rsidR="00883437" w:rsidRDefault="00883437" w:rsidP="005629F8">
      <w:pPr>
        <w:pStyle w:val="ListLevel1"/>
        <w:numPr>
          <w:ilvl w:val="0"/>
          <w:numId w:val="0"/>
        </w:numPr>
      </w:pPr>
      <w:r w:rsidRPr="00725A6D">
        <w:t xml:space="preserve">Both </w:t>
      </w:r>
      <w:r w:rsidR="00E047B2" w:rsidRPr="00725A6D">
        <w:t>AR-DRGs have maintained a similar level of total cost despite</w:t>
      </w:r>
      <w:r w:rsidR="00E047B2">
        <w:t xml:space="preserve"> the decrease in separations. As evidenced in the chart, the decrease in separations occurred in </w:t>
      </w:r>
      <w:r w:rsidR="006B3F89">
        <w:t>2020</w:t>
      </w:r>
      <w:r w:rsidR="006B3F89">
        <w:noBreakHyphen/>
        <w:t xml:space="preserve">21 </w:t>
      </w:r>
      <w:r w:rsidR="00E3200F">
        <w:t xml:space="preserve">and </w:t>
      </w:r>
      <w:r w:rsidR="00BD57D8">
        <w:t>continued</w:t>
      </w:r>
      <w:r w:rsidR="00E047B2">
        <w:t xml:space="preserve"> into 2020</w:t>
      </w:r>
      <w:r w:rsidR="00C82F8C">
        <w:noBreakHyphen/>
      </w:r>
      <w:r w:rsidR="00E047B2">
        <w:t>2</w:t>
      </w:r>
      <w:r w:rsidR="006B3F89">
        <w:t>2</w:t>
      </w:r>
      <w:r w:rsidR="00E047B2">
        <w:t>.</w:t>
      </w:r>
    </w:p>
    <w:p w14:paraId="296653A1" w14:textId="35DFC333" w:rsidR="00E94BF0" w:rsidRPr="005629F8" w:rsidRDefault="00E94BF0" w:rsidP="00FC4599">
      <w:pPr>
        <w:pStyle w:val="Heading2"/>
      </w:pPr>
      <w:bookmarkStart w:id="103" w:name="_bookmark8"/>
      <w:bookmarkStart w:id="104" w:name="_Ref103175255"/>
      <w:bookmarkStart w:id="105" w:name="_Toc129700681"/>
      <w:bookmarkStart w:id="106" w:name="_Toc129701374"/>
      <w:bookmarkEnd w:id="103"/>
      <w:r w:rsidRPr="005629F8">
        <w:t>Analysis</w:t>
      </w:r>
      <w:r w:rsidRPr="005629F8">
        <w:rPr>
          <w:spacing w:val="-2"/>
        </w:rPr>
        <w:t xml:space="preserve"> </w:t>
      </w:r>
      <w:r w:rsidRPr="005629F8">
        <w:t>of</w:t>
      </w:r>
      <w:r w:rsidRPr="005629F8">
        <w:rPr>
          <w:spacing w:val="-1"/>
        </w:rPr>
        <w:t xml:space="preserve"> </w:t>
      </w:r>
      <w:r w:rsidRPr="005629F8">
        <w:t>Top</w:t>
      </w:r>
      <w:r w:rsidRPr="005629F8">
        <w:rPr>
          <w:spacing w:val="-3"/>
        </w:rPr>
        <w:t xml:space="preserve"> </w:t>
      </w:r>
      <w:r w:rsidR="003C3B21" w:rsidRPr="005629F8">
        <w:t>1</w:t>
      </w:r>
      <w:r w:rsidRPr="005629F8">
        <w:t>0</w:t>
      </w:r>
      <w:r w:rsidRPr="005629F8">
        <w:rPr>
          <w:spacing w:val="-2"/>
        </w:rPr>
        <w:t xml:space="preserve"> </w:t>
      </w:r>
      <w:r w:rsidRPr="005629F8">
        <w:t>AR-DRGs</w:t>
      </w:r>
      <w:bookmarkEnd w:id="104"/>
      <w:bookmarkEnd w:id="105"/>
      <w:bookmarkEnd w:id="106"/>
    </w:p>
    <w:p w14:paraId="55A3188F" w14:textId="6133B207" w:rsidR="00E94BF0" w:rsidRPr="005629F8" w:rsidRDefault="00E94BF0" w:rsidP="00E94BF0">
      <w:r w:rsidRPr="005629F8">
        <w:t xml:space="preserve">Analysing the top </w:t>
      </w:r>
      <w:r w:rsidR="003C3B21" w:rsidRPr="005629F8">
        <w:t>1</w:t>
      </w:r>
      <w:r w:rsidRPr="005629F8">
        <w:t xml:space="preserve">0 AR-DRGs provides insight into the consistency between </w:t>
      </w:r>
      <w:r w:rsidR="007164B7" w:rsidRPr="005629F8">
        <w:t>years</w:t>
      </w:r>
      <w:r w:rsidR="0058551D">
        <w:t>,</w:t>
      </w:r>
      <w:r w:rsidR="00696D29">
        <w:t xml:space="preserve"> </w:t>
      </w:r>
      <w:r w:rsidRPr="005629F8">
        <w:t xml:space="preserve">facilitates the identification of </w:t>
      </w:r>
      <w:r w:rsidR="00582B54" w:rsidRPr="005629F8">
        <w:t>trends and</w:t>
      </w:r>
      <w:r w:rsidRPr="005629F8">
        <w:t xml:space="preserve"> highlights the AR-DRGs that are driving costs. This section of the report provides an analysis of the top </w:t>
      </w:r>
      <w:r w:rsidR="003C3B21" w:rsidRPr="005629F8">
        <w:t>1</w:t>
      </w:r>
      <w:r w:rsidRPr="005629F8">
        <w:t>0 AR-DRGs by the following categories:</w:t>
      </w:r>
    </w:p>
    <w:p w14:paraId="6CF21451" w14:textId="31AA1338" w:rsidR="00E94BF0" w:rsidRPr="005629F8" w:rsidRDefault="00E94BF0" w:rsidP="003A538E">
      <w:pPr>
        <w:pStyle w:val="ListLevel1"/>
      </w:pPr>
      <w:r w:rsidRPr="005629F8">
        <w:t>cost weight</w:t>
      </w:r>
    </w:p>
    <w:p w14:paraId="1E02569F" w14:textId="449BF208" w:rsidR="00E94BF0" w:rsidRPr="005629F8" w:rsidRDefault="00E94BF0" w:rsidP="003A538E">
      <w:pPr>
        <w:pStyle w:val="ListLevel1"/>
      </w:pPr>
      <w:r w:rsidRPr="005629F8">
        <w:t>number of population-adjusted separations</w:t>
      </w:r>
    </w:p>
    <w:p w14:paraId="59E8E21A" w14:textId="53EF6039" w:rsidR="00E94BF0" w:rsidRPr="005629F8" w:rsidRDefault="00E94BF0">
      <w:pPr>
        <w:pStyle w:val="ListLevel1"/>
      </w:pPr>
      <w:r w:rsidRPr="005629F8">
        <w:t>cost weighted separations</w:t>
      </w:r>
      <w:r w:rsidR="001E0E68">
        <w:t>.</w:t>
      </w:r>
    </w:p>
    <w:p w14:paraId="4D6F4937" w14:textId="7A849EE3" w:rsidR="00A869FB" w:rsidRPr="005629F8" w:rsidRDefault="00A869FB" w:rsidP="00E829BF">
      <w:pPr>
        <w:pStyle w:val="Heading3"/>
      </w:pPr>
      <w:bookmarkStart w:id="107" w:name="_Toc129700682"/>
      <w:bookmarkStart w:id="108" w:name="_Toc129701375"/>
      <w:r w:rsidRPr="005629F8">
        <w:t xml:space="preserve">Top </w:t>
      </w:r>
      <w:r w:rsidR="003C3B21" w:rsidRPr="005629F8">
        <w:t>1</w:t>
      </w:r>
      <w:r w:rsidRPr="005629F8">
        <w:t xml:space="preserve">0 AR-DRGs ranked by highest cost </w:t>
      </w:r>
      <w:proofErr w:type="gramStart"/>
      <w:r w:rsidRPr="005629F8">
        <w:t>weight</w:t>
      </w:r>
      <w:bookmarkEnd w:id="107"/>
      <w:bookmarkEnd w:id="108"/>
      <w:proofErr w:type="gramEnd"/>
    </w:p>
    <w:p w14:paraId="4158A789" w14:textId="6F3F8AE3" w:rsidR="00A869FB" w:rsidRPr="005629F8" w:rsidRDefault="00A869FB" w:rsidP="00A869FB">
      <w:pPr>
        <w:pStyle w:val="Heading4"/>
      </w:pPr>
      <w:r w:rsidRPr="005629F8">
        <w:t>Key</w:t>
      </w:r>
      <w:r w:rsidRPr="005629F8">
        <w:rPr>
          <w:spacing w:val="-3"/>
        </w:rPr>
        <w:t xml:space="preserve"> </w:t>
      </w:r>
      <w:r w:rsidRPr="005629F8">
        <w:t>findings</w:t>
      </w:r>
    </w:p>
    <w:p w14:paraId="099E057A" w14:textId="219261EE" w:rsidR="00AE551C" w:rsidRDefault="00A869FB" w:rsidP="00A869FB">
      <w:pPr>
        <w:rPr>
          <w:color w:val="auto"/>
        </w:rPr>
      </w:pPr>
      <w:r w:rsidRPr="005629F8">
        <w:t xml:space="preserve">As shown </w:t>
      </w:r>
      <w:r w:rsidRPr="005629F8">
        <w:rPr>
          <w:color w:val="auto"/>
        </w:rPr>
        <w:t xml:space="preserve">in </w:t>
      </w:r>
      <w:r w:rsidR="00B86139">
        <w:rPr>
          <w:color w:val="auto"/>
        </w:rPr>
        <w:t>Figure</w:t>
      </w:r>
      <w:r w:rsidR="006A1E25">
        <w:rPr>
          <w:color w:val="auto"/>
        </w:rPr>
        <w:t xml:space="preserve"> 7</w:t>
      </w:r>
      <w:r w:rsidR="00692415" w:rsidRPr="005629F8">
        <w:rPr>
          <w:color w:val="auto"/>
        </w:rPr>
        <w:fldChar w:fldCharType="begin"/>
      </w:r>
      <w:r w:rsidR="00692415" w:rsidRPr="005629F8">
        <w:rPr>
          <w:color w:val="auto"/>
        </w:rPr>
        <w:instrText xml:space="preserve"> REF _Ref126749102 \h  \* MERGEFORMAT </w:instrText>
      </w:r>
      <w:r w:rsidR="00692415" w:rsidRPr="005629F8">
        <w:rPr>
          <w:color w:val="auto"/>
        </w:rPr>
      </w:r>
      <w:r w:rsidR="00692415" w:rsidRPr="005629F8">
        <w:rPr>
          <w:color w:val="auto"/>
        </w:rPr>
        <w:fldChar w:fldCharType="end"/>
      </w:r>
      <w:r w:rsidR="00692415" w:rsidRPr="005629F8">
        <w:rPr>
          <w:color w:val="auto"/>
        </w:rPr>
        <w:t xml:space="preserve"> </w:t>
      </w:r>
      <w:r w:rsidRPr="005629F8">
        <w:rPr>
          <w:color w:val="auto"/>
        </w:rPr>
        <w:t>below, the highest cost weight AR-DRG was A13A: Ventilation &gt;=336</w:t>
      </w:r>
      <w:r w:rsidR="008A5002">
        <w:rPr>
          <w:color w:val="auto"/>
        </w:rPr>
        <w:t xml:space="preserve"> </w:t>
      </w:r>
      <w:r w:rsidRPr="005629F8">
        <w:rPr>
          <w:color w:val="auto"/>
        </w:rPr>
        <w:t xml:space="preserve">hours, Major Complexity. </w:t>
      </w:r>
      <w:r w:rsidR="009B5880" w:rsidRPr="005629F8">
        <w:rPr>
          <w:color w:val="auto"/>
        </w:rPr>
        <w:t>T</w:t>
      </w:r>
      <w:r w:rsidRPr="005629F8">
        <w:rPr>
          <w:color w:val="auto"/>
        </w:rPr>
        <w:t xml:space="preserve">his was also the AR-DRG with the highest cost weight in </w:t>
      </w:r>
      <w:r w:rsidR="003C3B21" w:rsidRPr="005629F8">
        <w:rPr>
          <w:color w:val="auto"/>
        </w:rPr>
        <w:t>the previous year</w:t>
      </w:r>
      <w:r w:rsidR="00E03F55" w:rsidRPr="005629F8">
        <w:rPr>
          <w:color w:val="auto"/>
        </w:rPr>
        <w:t xml:space="preserve"> and has had the highest cost weight since 2015-16.</w:t>
      </w:r>
      <w:r w:rsidRPr="005629F8">
        <w:rPr>
          <w:color w:val="auto"/>
        </w:rPr>
        <w:t xml:space="preserve"> Of the </w:t>
      </w:r>
      <w:r w:rsidR="00016D6B">
        <w:rPr>
          <w:color w:val="auto"/>
        </w:rPr>
        <w:t>10</w:t>
      </w:r>
      <w:r w:rsidR="009B5880" w:rsidRPr="005629F8">
        <w:rPr>
          <w:color w:val="auto"/>
        </w:rPr>
        <w:t xml:space="preserve"> </w:t>
      </w:r>
      <w:r w:rsidRPr="005629F8">
        <w:rPr>
          <w:color w:val="auto"/>
        </w:rPr>
        <w:t xml:space="preserve">highest cost weight AR-DRGs, </w:t>
      </w:r>
      <w:r w:rsidR="00016D6B">
        <w:rPr>
          <w:color w:val="auto"/>
        </w:rPr>
        <w:t>7</w:t>
      </w:r>
      <w:r w:rsidR="009B5880" w:rsidRPr="005629F8">
        <w:rPr>
          <w:color w:val="auto"/>
        </w:rPr>
        <w:t xml:space="preserve"> belong to the MDC 00 (Pre MDC)</w:t>
      </w:r>
      <w:r w:rsidR="00E3200F">
        <w:rPr>
          <w:color w:val="auto"/>
        </w:rPr>
        <w:t>.</w:t>
      </w:r>
      <w:r w:rsidR="00AE551C">
        <w:rPr>
          <w:color w:val="auto"/>
        </w:rPr>
        <w:t xml:space="preserve"> </w:t>
      </w:r>
    </w:p>
    <w:p w14:paraId="4431DE1F" w14:textId="0BB26F90" w:rsidR="00A869FB" w:rsidRPr="005629F8" w:rsidRDefault="00A869FB" w:rsidP="00A869FB">
      <w:r w:rsidRPr="005629F8">
        <w:rPr>
          <w:color w:val="auto"/>
        </w:rPr>
        <w:t xml:space="preserve">The AR-DRGs in </w:t>
      </w:r>
      <w:r w:rsidR="001D1D30" w:rsidRPr="005629F8">
        <w:rPr>
          <w:color w:val="auto"/>
        </w:rPr>
        <w:fldChar w:fldCharType="begin"/>
      </w:r>
      <w:r w:rsidR="001D1D30" w:rsidRPr="005629F8">
        <w:rPr>
          <w:color w:val="auto"/>
        </w:rPr>
        <w:instrText xml:space="preserve"> REF _Ref103175712 \h  \* MERGEFORMAT </w:instrText>
      </w:r>
      <w:r w:rsidR="001D1D30" w:rsidRPr="005629F8">
        <w:rPr>
          <w:color w:val="auto"/>
        </w:rPr>
      </w:r>
      <w:r w:rsidR="001D1D30" w:rsidRPr="005629F8">
        <w:rPr>
          <w:color w:val="auto"/>
        </w:rPr>
        <w:fldChar w:fldCharType="separate"/>
      </w:r>
      <w:r w:rsidR="00E16820" w:rsidRPr="005629F8">
        <w:rPr>
          <w:color w:val="auto"/>
        </w:rPr>
        <w:t xml:space="preserve">Table </w:t>
      </w:r>
      <w:r w:rsidR="00E16820" w:rsidRPr="005629F8">
        <w:rPr>
          <w:iCs/>
          <w:noProof/>
          <w:color w:val="auto"/>
        </w:rPr>
        <w:t>5</w:t>
      </w:r>
      <w:r w:rsidR="001D1D30" w:rsidRPr="005629F8">
        <w:rPr>
          <w:color w:val="auto"/>
        </w:rPr>
        <w:fldChar w:fldCharType="end"/>
      </w:r>
      <w:hyperlink w:anchor="_bookmark10" w:history="1">
        <w:r w:rsidRPr="005629F8">
          <w:rPr>
            <w:color w:val="auto"/>
          </w:rPr>
          <w:t xml:space="preserve"> </w:t>
        </w:r>
      </w:hyperlink>
      <w:r w:rsidR="008C6CEA">
        <w:t>h</w:t>
      </w:r>
      <w:r w:rsidR="008C6CEA">
        <w:rPr>
          <w:color w:val="auto"/>
        </w:rPr>
        <w:t>ave been ranked by highest cost weight comparing 2021-22 to 2020-21.</w:t>
      </w:r>
    </w:p>
    <w:p w14:paraId="55D80E20" w14:textId="03BC9715" w:rsidR="00874297" w:rsidRPr="006C68DC" w:rsidRDefault="006C68DC" w:rsidP="006C68DC">
      <w:pPr>
        <w:pStyle w:val="TableFigureheading"/>
      </w:pPr>
      <w:bookmarkStart w:id="109" w:name="_Toc152081850"/>
      <w:r w:rsidRPr="006C68DC">
        <w:t xml:space="preserve">Figure </w:t>
      </w:r>
      <w:r w:rsidRPr="006C68DC">
        <w:fldChar w:fldCharType="begin"/>
      </w:r>
      <w:r w:rsidRPr="006C68DC">
        <w:instrText xml:space="preserve"> SEQ Figure \* ARABIC </w:instrText>
      </w:r>
      <w:r w:rsidRPr="006C68DC">
        <w:fldChar w:fldCharType="separate"/>
      </w:r>
      <w:r>
        <w:rPr>
          <w:noProof/>
        </w:rPr>
        <w:t>7</w:t>
      </w:r>
      <w:r w:rsidRPr="006C68DC">
        <w:fldChar w:fldCharType="end"/>
      </w:r>
      <w:r w:rsidR="00874297" w:rsidRPr="006C68DC">
        <w:t xml:space="preserve">. </w:t>
      </w:r>
      <w:bookmarkStart w:id="110" w:name="_Hlk150854095"/>
      <w:r w:rsidR="00874297" w:rsidRPr="006C68DC">
        <w:t xml:space="preserve">Comparison </w:t>
      </w:r>
      <w:r w:rsidR="00B86139" w:rsidRPr="006C68DC">
        <w:t>of</w:t>
      </w:r>
      <w:r w:rsidR="00874297" w:rsidRPr="006C68DC">
        <w:t xml:space="preserve"> top 10 AR-DRGs ranked by highest cost weight, 20</w:t>
      </w:r>
      <w:r w:rsidR="006B3F89" w:rsidRPr="006C68DC">
        <w:t>19</w:t>
      </w:r>
      <w:r w:rsidR="00874297" w:rsidRPr="006C68DC">
        <w:t>-</w:t>
      </w:r>
      <w:r w:rsidR="006B3F89" w:rsidRPr="006C68DC">
        <w:t>20</w:t>
      </w:r>
      <w:r w:rsidR="00874297" w:rsidRPr="006C68DC">
        <w:t xml:space="preserve"> to 202</w:t>
      </w:r>
      <w:r w:rsidR="006B3F89" w:rsidRPr="006C68DC">
        <w:t>1</w:t>
      </w:r>
      <w:r w:rsidR="00874297" w:rsidRPr="006C68DC">
        <w:t>-2</w:t>
      </w:r>
      <w:r w:rsidR="006B3F89" w:rsidRPr="006C68DC">
        <w:t>2</w:t>
      </w:r>
      <w:bookmarkEnd w:id="109"/>
      <w:bookmarkEnd w:id="110"/>
    </w:p>
    <w:p w14:paraId="2B802A2F" w14:textId="50F95DEA" w:rsidR="005002C6" w:rsidRDefault="00E16CCC" w:rsidP="00A869FB">
      <w:r>
        <w:rPr>
          <w:noProof/>
        </w:rPr>
        <w:drawing>
          <wp:inline distT="0" distB="0" distL="0" distR="0" wp14:anchorId="16372C16" wp14:editId="1A4C8B4D">
            <wp:extent cx="5900468" cy="257326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50049" cy="2594883"/>
                    </a:xfrm>
                    <a:prstGeom prst="rect">
                      <a:avLst/>
                    </a:prstGeom>
                  </pic:spPr>
                </pic:pic>
              </a:graphicData>
            </a:graphic>
          </wp:inline>
        </w:drawing>
      </w:r>
    </w:p>
    <w:p w14:paraId="3A817AD7" w14:textId="7948DD7F" w:rsidR="00A869FB" w:rsidRPr="008A18D9" w:rsidRDefault="0080160A" w:rsidP="00A869FB">
      <w:pPr>
        <w:rPr>
          <w:color w:val="000000"/>
          <w:szCs w:val="14"/>
        </w:rPr>
      </w:pPr>
      <w:r w:rsidRPr="0080160A">
        <w:rPr>
          <w:color w:val="000000"/>
          <w:szCs w:val="14"/>
        </w:rPr>
        <w:lastRenderedPageBreak/>
        <w:t xml:space="preserve">It should be noted that the typically small number of separations </w:t>
      </w:r>
      <w:r>
        <w:rPr>
          <w:color w:val="000000"/>
          <w:szCs w:val="14"/>
        </w:rPr>
        <w:t>in</w:t>
      </w:r>
      <w:r w:rsidRPr="0080160A">
        <w:rPr>
          <w:color w:val="000000"/>
          <w:szCs w:val="14"/>
        </w:rPr>
        <w:t xml:space="preserve"> these AR-DRGs means that variation in cost weights between years is not unexpected. </w:t>
      </w:r>
      <w:r w:rsidR="00A869FB" w:rsidRPr="008A18D9">
        <w:rPr>
          <w:color w:val="000000"/>
          <w:szCs w:val="14"/>
        </w:rPr>
        <w:t xml:space="preserve">There were </w:t>
      </w:r>
      <w:r w:rsidR="006B2409" w:rsidRPr="008A18D9">
        <w:rPr>
          <w:color w:val="000000"/>
          <w:szCs w:val="14"/>
        </w:rPr>
        <w:t xml:space="preserve">three </w:t>
      </w:r>
      <w:r w:rsidR="00A869FB" w:rsidRPr="008A18D9">
        <w:rPr>
          <w:color w:val="000000"/>
          <w:szCs w:val="14"/>
        </w:rPr>
        <w:t xml:space="preserve">new AR-DRGs in the top </w:t>
      </w:r>
      <w:r w:rsidR="00696D29" w:rsidRPr="008A18D9">
        <w:rPr>
          <w:color w:val="000000"/>
          <w:szCs w:val="14"/>
        </w:rPr>
        <w:t>10</w:t>
      </w:r>
      <w:r w:rsidR="00A869FB" w:rsidRPr="008A18D9">
        <w:rPr>
          <w:color w:val="000000"/>
          <w:szCs w:val="14"/>
        </w:rPr>
        <w:t xml:space="preserve"> </w:t>
      </w:r>
      <w:r w:rsidR="003617C9">
        <w:rPr>
          <w:color w:val="000000"/>
          <w:szCs w:val="14"/>
        </w:rPr>
        <w:t xml:space="preserve">by cost weight </w:t>
      </w:r>
      <w:r w:rsidR="006B2409" w:rsidRPr="008A18D9">
        <w:rPr>
          <w:color w:val="000000"/>
          <w:szCs w:val="14"/>
        </w:rPr>
        <w:t>for</w:t>
      </w:r>
      <w:r w:rsidR="00A869FB" w:rsidRPr="008A18D9">
        <w:rPr>
          <w:color w:val="000000"/>
          <w:szCs w:val="14"/>
        </w:rPr>
        <w:t xml:space="preserve"> </w:t>
      </w:r>
      <w:r w:rsidR="006B2409" w:rsidRPr="008A18D9">
        <w:rPr>
          <w:color w:val="000000"/>
          <w:szCs w:val="14"/>
        </w:rPr>
        <w:t>202</w:t>
      </w:r>
      <w:r w:rsidR="006B3F89" w:rsidRPr="008A18D9">
        <w:rPr>
          <w:color w:val="000000"/>
          <w:szCs w:val="14"/>
        </w:rPr>
        <w:t>1</w:t>
      </w:r>
      <w:r w:rsidR="006B2409" w:rsidRPr="008A18D9">
        <w:rPr>
          <w:color w:val="000000"/>
          <w:szCs w:val="14"/>
        </w:rPr>
        <w:t>-2</w:t>
      </w:r>
      <w:r w:rsidR="006B3F89" w:rsidRPr="008A18D9">
        <w:rPr>
          <w:color w:val="000000"/>
          <w:szCs w:val="14"/>
        </w:rPr>
        <w:t>2</w:t>
      </w:r>
      <w:r w:rsidR="00A869FB" w:rsidRPr="008A18D9">
        <w:rPr>
          <w:color w:val="000000"/>
          <w:szCs w:val="14"/>
        </w:rPr>
        <w:t>:</w:t>
      </w:r>
    </w:p>
    <w:p w14:paraId="14525EED" w14:textId="5700041B" w:rsidR="00A869FB" w:rsidRPr="005629F8" w:rsidRDefault="006B3F89" w:rsidP="003A538E">
      <w:pPr>
        <w:pStyle w:val="ListLevel1"/>
      </w:pPr>
      <w:r>
        <w:rPr>
          <w:color w:val="000000"/>
          <w:szCs w:val="14"/>
        </w:rPr>
        <w:t>I02A</w:t>
      </w:r>
      <w:r w:rsidR="00A869FB" w:rsidRPr="005629F8">
        <w:t xml:space="preserve">: </w:t>
      </w:r>
      <w:r>
        <w:rPr>
          <w:color w:val="000000"/>
          <w:szCs w:val="14"/>
        </w:rPr>
        <w:t>Microvascular Tissue Transfers or Skin Grafts, Excluding Hand, Major Complexity</w:t>
      </w:r>
    </w:p>
    <w:p w14:paraId="4AEA9264" w14:textId="5C27A673" w:rsidR="00B1554C" w:rsidRPr="005629F8" w:rsidRDefault="006B3F89" w:rsidP="00B1554C">
      <w:pPr>
        <w:pStyle w:val="ListLevel1"/>
      </w:pPr>
      <w:r>
        <w:rPr>
          <w:color w:val="000000"/>
          <w:szCs w:val="14"/>
        </w:rPr>
        <w:t>F03A</w:t>
      </w:r>
      <w:r w:rsidR="00A869FB" w:rsidRPr="005629F8">
        <w:t>:</w:t>
      </w:r>
      <w:r w:rsidRPr="006B3F89">
        <w:rPr>
          <w:color w:val="000000"/>
          <w:szCs w:val="14"/>
        </w:rPr>
        <w:t xml:space="preserve"> </w:t>
      </w:r>
      <w:r>
        <w:rPr>
          <w:color w:val="000000"/>
          <w:szCs w:val="14"/>
        </w:rPr>
        <w:t>Cardiac Valve Interventions with CPB Pump with Invasive Cardiac Investigation, Major Complexity</w:t>
      </w:r>
    </w:p>
    <w:p w14:paraId="2E3ADD27" w14:textId="5961407B" w:rsidR="00B1554C" w:rsidRPr="007A6703" w:rsidRDefault="006B3F89" w:rsidP="00B1554C">
      <w:pPr>
        <w:pStyle w:val="ListLevel1"/>
      </w:pPr>
      <w:r>
        <w:rPr>
          <w:color w:val="000000"/>
          <w:szCs w:val="14"/>
        </w:rPr>
        <w:t>P64B</w:t>
      </w:r>
      <w:r w:rsidR="00B1554C" w:rsidRPr="005629F8">
        <w:t xml:space="preserve">: </w:t>
      </w:r>
      <w:r>
        <w:rPr>
          <w:color w:val="000000"/>
          <w:szCs w:val="14"/>
        </w:rPr>
        <w:t>Neonate, Admission Weight 1250-1499g without Significant GI or Ventilation &gt;= 96 Hours, Minor Complexity</w:t>
      </w:r>
      <w:r w:rsidR="003A709A">
        <w:rPr>
          <w:color w:val="000000"/>
          <w:szCs w:val="14"/>
        </w:rPr>
        <w:t>.</w:t>
      </w:r>
    </w:p>
    <w:p w14:paraId="0FE3E606" w14:textId="6DB2AFAE" w:rsidR="00F005E1" w:rsidRPr="005629F8" w:rsidRDefault="00F005E1" w:rsidP="007D0DDE">
      <w:pPr>
        <w:pStyle w:val="ListLevel1"/>
        <w:numPr>
          <w:ilvl w:val="0"/>
          <w:numId w:val="0"/>
        </w:numPr>
        <w:rPr>
          <w:highlight w:val="yellow"/>
        </w:rPr>
        <w:sectPr w:rsidR="00F005E1" w:rsidRPr="005629F8" w:rsidSect="00522146">
          <w:pgSz w:w="11906" w:h="16838" w:code="9"/>
          <w:pgMar w:top="1440" w:right="1080" w:bottom="1440" w:left="1080" w:header="708" w:footer="708" w:gutter="0"/>
          <w:cols w:space="720"/>
          <w:docGrid w:linePitch="360"/>
        </w:sectPr>
      </w:pPr>
    </w:p>
    <w:p w14:paraId="05205A4E" w14:textId="79454344" w:rsidR="0074083D" w:rsidRPr="005629F8" w:rsidRDefault="003A16D1" w:rsidP="00E829BF">
      <w:pPr>
        <w:pStyle w:val="TableFigureheading"/>
        <w:rPr>
          <w:highlight w:val="yellow"/>
        </w:rPr>
      </w:pPr>
      <w:bookmarkStart w:id="111" w:name="_Ref103175712"/>
      <w:bookmarkStart w:id="112" w:name="_Toc105084245"/>
      <w:bookmarkStart w:id="113" w:name="_Ref127862901"/>
      <w:bookmarkStart w:id="114" w:name="_Toc129179299"/>
      <w:bookmarkStart w:id="115" w:name="_Toc152081873"/>
      <w:r w:rsidRPr="005629F8">
        <w:lastRenderedPageBreak/>
        <w:t xml:space="preserve">Table </w:t>
      </w:r>
      <w:r w:rsidR="00D9779B" w:rsidRPr="005629F8">
        <w:fldChar w:fldCharType="begin"/>
      </w:r>
      <w:r w:rsidR="00D9779B" w:rsidRPr="005629F8">
        <w:instrText xml:space="preserve"> SEQ Table \* ARABIC </w:instrText>
      </w:r>
      <w:r w:rsidR="00D9779B" w:rsidRPr="005629F8">
        <w:fldChar w:fldCharType="separate"/>
      </w:r>
      <w:r w:rsidR="006C68DC">
        <w:rPr>
          <w:noProof/>
        </w:rPr>
        <w:t>5</w:t>
      </w:r>
      <w:r w:rsidR="00D9779B" w:rsidRPr="005629F8">
        <w:fldChar w:fldCharType="end"/>
      </w:r>
      <w:bookmarkEnd w:id="111"/>
      <w:r w:rsidRPr="005629F8">
        <w:t>.</w:t>
      </w:r>
      <w:r w:rsidRPr="005629F8">
        <w:rPr>
          <w:spacing w:val="-1"/>
        </w:rPr>
        <w:t xml:space="preserve"> </w:t>
      </w:r>
      <w:r w:rsidRPr="005629F8">
        <w:t>Top</w:t>
      </w:r>
      <w:r w:rsidRPr="005629F8">
        <w:rPr>
          <w:spacing w:val="-3"/>
        </w:rPr>
        <w:t xml:space="preserve"> </w:t>
      </w:r>
      <w:r w:rsidR="003C3B21" w:rsidRPr="005629F8">
        <w:t>1</w:t>
      </w:r>
      <w:r w:rsidRPr="005629F8">
        <w:t>0</w:t>
      </w:r>
      <w:r w:rsidRPr="005629F8">
        <w:rPr>
          <w:spacing w:val="-1"/>
        </w:rPr>
        <w:t xml:space="preserve"> </w:t>
      </w:r>
      <w:r w:rsidRPr="005629F8">
        <w:t>AR-DRGs ranked</w:t>
      </w:r>
      <w:r w:rsidRPr="005629F8">
        <w:rPr>
          <w:spacing w:val="-1"/>
        </w:rPr>
        <w:t xml:space="preserve"> </w:t>
      </w:r>
      <w:r w:rsidRPr="005629F8">
        <w:t>by</w:t>
      </w:r>
      <w:r w:rsidRPr="005629F8">
        <w:rPr>
          <w:spacing w:val="-8"/>
        </w:rPr>
        <w:t xml:space="preserve"> </w:t>
      </w:r>
      <w:r w:rsidRPr="005629F8">
        <w:t>highest</w:t>
      </w:r>
      <w:r w:rsidRPr="005629F8">
        <w:rPr>
          <w:spacing w:val="-1"/>
        </w:rPr>
        <w:t xml:space="preserve"> </w:t>
      </w:r>
      <w:r w:rsidRPr="005629F8">
        <w:t>cost</w:t>
      </w:r>
      <w:r w:rsidRPr="005629F8">
        <w:rPr>
          <w:spacing w:val="-3"/>
        </w:rPr>
        <w:t xml:space="preserve"> </w:t>
      </w:r>
      <w:r w:rsidRPr="005629F8">
        <w:t xml:space="preserve">weight, </w:t>
      </w:r>
      <w:r w:rsidR="008C6CEA">
        <w:t>2021-22</w:t>
      </w:r>
      <w:r w:rsidRPr="005629F8">
        <w:rPr>
          <w:spacing w:val="-3"/>
        </w:rPr>
        <w:t xml:space="preserve"> </w:t>
      </w:r>
      <w:r w:rsidRPr="005629F8">
        <w:t>compared</w:t>
      </w:r>
      <w:r w:rsidRPr="005629F8">
        <w:rPr>
          <w:spacing w:val="-1"/>
        </w:rPr>
        <w:t xml:space="preserve"> </w:t>
      </w:r>
      <w:r w:rsidRPr="005629F8">
        <w:t>to</w:t>
      </w:r>
      <w:r w:rsidRPr="005629F8">
        <w:rPr>
          <w:spacing w:val="-1"/>
        </w:rPr>
        <w:t xml:space="preserve"> </w:t>
      </w:r>
      <w:bookmarkEnd w:id="112"/>
      <w:bookmarkEnd w:id="113"/>
      <w:bookmarkEnd w:id="114"/>
      <w:r w:rsidR="008C6CEA">
        <w:t>2020-21</w:t>
      </w:r>
      <w:bookmarkEnd w:id="115"/>
    </w:p>
    <w:tbl>
      <w:tblPr>
        <w:tblStyle w:val="IHACPATable"/>
        <w:tblW w:w="14742" w:type="dxa"/>
        <w:tblLayout w:type="fixed"/>
        <w:tblLook w:val="06A0" w:firstRow="1" w:lastRow="0" w:firstColumn="1" w:lastColumn="0" w:noHBand="1" w:noVBand="1"/>
      </w:tblPr>
      <w:tblGrid>
        <w:gridCol w:w="851"/>
        <w:gridCol w:w="850"/>
        <w:gridCol w:w="851"/>
        <w:gridCol w:w="2977"/>
        <w:gridCol w:w="708"/>
        <w:gridCol w:w="851"/>
        <w:gridCol w:w="992"/>
        <w:gridCol w:w="851"/>
        <w:gridCol w:w="992"/>
        <w:gridCol w:w="567"/>
        <w:gridCol w:w="709"/>
        <w:gridCol w:w="708"/>
        <w:gridCol w:w="851"/>
        <w:gridCol w:w="850"/>
        <w:gridCol w:w="1134"/>
      </w:tblGrid>
      <w:tr w:rsidR="00363733" w:rsidRPr="0088109E" w14:paraId="234FA3FC" w14:textId="77777777" w:rsidTr="00DB117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15272F" w:themeFill="text1"/>
            <w:vAlign w:val="center"/>
          </w:tcPr>
          <w:p w14:paraId="57350947" w14:textId="77777777" w:rsidR="00DB117A" w:rsidRPr="005629F8" w:rsidRDefault="00DB117A" w:rsidP="0074083D">
            <w:pPr>
              <w:pStyle w:val="TableParagraph"/>
              <w:jc w:val="center"/>
              <w:rPr>
                <w:b/>
                <w:bCs/>
                <w:color w:val="FFFFFF" w:themeColor="background2"/>
                <w:szCs w:val="14"/>
              </w:rPr>
            </w:pPr>
          </w:p>
        </w:tc>
        <w:tc>
          <w:tcPr>
            <w:tcW w:w="850" w:type="dxa"/>
            <w:tcBorders>
              <w:top w:val="single" w:sz="4" w:space="0" w:color="auto"/>
              <w:left w:val="nil"/>
              <w:bottom w:val="single" w:sz="4" w:space="0" w:color="auto"/>
              <w:right w:val="nil"/>
            </w:tcBorders>
            <w:shd w:val="clear" w:color="auto" w:fill="15272F" w:themeFill="text1"/>
            <w:vAlign w:val="center"/>
          </w:tcPr>
          <w:p w14:paraId="28B1BAD7" w14:textId="77777777" w:rsidR="00DB117A" w:rsidRPr="005629F8" w:rsidRDefault="00DB117A" w:rsidP="0074083D">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851" w:type="dxa"/>
            <w:tcBorders>
              <w:top w:val="single" w:sz="4" w:space="0" w:color="auto"/>
              <w:left w:val="nil"/>
              <w:bottom w:val="single" w:sz="4" w:space="0" w:color="auto"/>
              <w:right w:val="nil"/>
            </w:tcBorders>
            <w:shd w:val="clear" w:color="auto" w:fill="15272F" w:themeFill="text1"/>
            <w:vAlign w:val="center"/>
          </w:tcPr>
          <w:p w14:paraId="45599FF9" w14:textId="77777777" w:rsidR="00DB117A" w:rsidRDefault="00DB117A" w:rsidP="0074083D">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2977" w:type="dxa"/>
            <w:tcBorders>
              <w:top w:val="single" w:sz="4" w:space="0" w:color="auto"/>
              <w:left w:val="nil"/>
              <w:bottom w:val="single" w:sz="4" w:space="0" w:color="auto"/>
              <w:right w:val="single" w:sz="4" w:space="0" w:color="FFFFFF" w:themeColor="accent6"/>
            </w:tcBorders>
            <w:shd w:val="clear" w:color="auto" w:fill="15272F" w:themeFill="text1"/>
            <w:vAlign w:val="center"/>
          </w:tcPr>
          <w:p w14:paraId="1A5AF371" w14:textId="77777777" w:rsidR="00DB117A" w:rsidRDefault="00DB117A" w:rsidP="0074083D">
            <w:pPr>
              <w:pStyle w:val="TableParagraph"/>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6378" w:type="dxa"/>
            <w:gridSpan w:val="8"/>
            <w:tcBorders>
              <w:top w:val="single" w:sz="4" w:space="0" w:color="auto"/>
              <w:left w:val="single" w:sz="4" w:space="0" w:color="FFFFFF" w:themeColor="accent6"/>
              <w:bottom w:val="single" w:sz="4" w:space="0" w:color="auto"/>
              <w:right w:val="single" w:sz="4" w:space="0" w:color="FFFFFF" w:themeColor="accent6"/>
            </w:tcBorders>
            <w:shd w:val="clear" w:color="auto" w:fill="15272F" w:themeFill="text1"/>
            <w:vAlign w:val="center"/>
          </w:tcPr>
          <w:p w14:paraId="2F23EAE5" w14:textId="154784CF" w:rsidR="00DB117A" w:rsidRPr="005629F8" w:rsidRDefault="00DB117A"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202</w:t>
            </w:r>
            <w:r w:rsidR="00E16CCC">
              <w:rPr>
                <w:b/>
                <w:bCs/>
                <w:color w:val="FFFFFF" w:themeColor="background2"/>
                <w:szCs w:val="14"/>
              </w:rPr>
              <w:t>1-22</w:t>
            </w:r>
          </w:p>
        </w:tc>
        <w:tc>
          <w:tcPr>
            <w:tcW w:w="2835" w:type="dxa"/>
            <w:gridSpan w:val="3"/>
            <w:tcBorders>
              <w:top w:val="single" w:sz="4" w:space="0" w:color="auto"/>
              <w:left w:val="single" w:sz="4" w:space="0" w:color="FFFFFF" w:themeColor="accent6"/>
              <w:bottom w:val="single" w:sz="4" w:space="0" w:color="auto"/>
              <w:right w:val="nil"/>
            </w:tcBorders>
            <w:shd w:val="clear" w:color="auto" w:fill="15272F" w:themeFill="text1"/>
            <w:vAlign w:val="center"/>
          </w:tcPr>
          <w:p w14:paraId="7F19FEC4" w14:textId="2820F8F2" w:rsidR="00DB117A" w:rsidRPr="005629F8" w:rsidRDefault="00DB117A"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w:t>
            </w:r>
            <w:r w:rsidR="00E16CCC">
              <w:rPr>
                <w:b/>
                <w:bCs/>
                <w:color w:val="FFFFFF" w:themeColor="background2"/>
                <w:szCs w:val="14"/>
              </w:rPr>
              <w:t>20-21</w:t>
            </w:r>
          </w:p>
        </w:tc>
      </w:tr>
      <w:tr w:rsidR="001112A9" w:rsidRPr="0088109E" w14:paraId="7AFF324A" w14:textId="77777777" w:rsidTr="00DB117A">
        <w:trPr>
          <w:trHeight w:val="6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4535088D" w14:textId="6D3AA128" w:rsidR="0074083D" w:rsidRPr="00E87B16" w:rsidRDefault="0074083D" w:rsidP="0074083D">
            <w:pPr>
              <w:pStyle w:val="TableParagraph"/>
              <w:jc w:val="center"/>
              <w:rPr>
                <w:b/>
                <w:bCs/>
                <w:highlight w:val="yellow"/>
                <w:lang w:eastAsia="en-AU"/>
              </w:rPr>
            </w:pPr>
            <w:r w:rsidRPr="00E87B16">
              <w:rPr>
                <w:b/>
                <w:bCs/>
                <w:szCs w:val="14"/>
              </w:rPr>
              <w:t>Top 10 20</w:t>
            </w:r>
            <w:r w:rsidR="00F67D44">
              <w:rPr>
                <w:b/>
                <w:bCs/>
                <w:szCs w:val="14"/>
              </w:rPr>
              <w:t>20</w:t>
            </w:r>
            <w:r w:rsidRPr="00E87B16">
              <w:rPr>
                <w:b/>
                <w:bCs/>
                <w:szCs w:val="14"/>
              </w:rPr>
              <w:t>-2</w:t>
            </w:r>
            <w:r w:rsidR="00F67D44">
              <w:rPr>
                <w:b/>
                <w:bCs/>
                <w:szCs w:val="14"/>
              </w:rPr>
              <w:t>1</w:t>
            </w:r>
          </w:p>
        </w:tc>
        <w:tc>
          <w:tcPr>
            <w:tcW w:w="850"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1E95D521" w14:textId="5B74F715" w:rsidR="0074083D" w:rsidRPr="00E87B16" w:rsidRDefault="0074083D" w:rsidP="0074083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Rank 202</w:t>
            </w:r>
            <w:r w:rsidR="00F67D44">
              <w:rPr>
                <w:b/>
                <w:bCs/>
                <w:szCs w:val="14"/>
              </w:rPr>
              <w:t>1</w:t>
            </w:r>
            <w:r w:rsidRPr="00E87B16">
              <w:rPr>
                <w:b/>
                <w:bCs/>
                <w:szCs w:val="14"/>
              </w:rPr>
              <w:t>-2</w:t>
            </w:r>
            <w:r w:rsidR="00F67D44">
              <w:rPr>
                <w:b/>
                <w:bCs/>
                <w:szCs w:val="14"/>
              </w:rPr>
              <w:t>2</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751E0689" w14:textId="05002099" w:rsidR="0074083D" w:rsidRPr="00E87B16" w:rsidRDefault="00BA31E0" w:rsidP="0074083D">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w:t>
            </w:r>
            <w:r w:rsidR="0074083D" w:rsidRPr="00E87B16">
              <w:rPr>
                <w:b/>
                <w:bCs/>
                <w:szCs w:val="14"/>
              </w:rPr>
              <w:t>DRG</w:t>
            </w:r>
          </w:p>
        </w:tc>
        <w:tc>
          <w:tcPr>
            <w:tcW w:w="2977"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1BEDB4C7" w14:textId="29041F19" w:rsidR="0074083D" w:rsidRPr="00E87B16" w:rsidRDefault="00BA31E0" w:rsidP="0074083D">
            <w:pPr>
              <w:pStyle w:val="TableParagraph"/>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w:t>
            </w:r>
            <w:r w:rsidR="0074083D" w:rsidRPr="00E87B16">
              <w:rPr>
                <w:b/>
                <w:bCs/>
                <w:szCs w:val="14"/>
              </w:rPr>
              <w:t>DRG Description</w:t>
            </w:r>
          </w:p>
        </w:tc>
        <w:tc>
          <w:tcPr>
            <w:tcW w:w="708"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093CE547"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r w:rsidRPr="00E87B16">
              <w:rPr>
                <w:b/>
                <w:bCs/>
                <w:szCs w:val="14"/>
              </w:rPr>
              <w:br/>
              <w:t>(a)</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00348401"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r w:rsidRPr="00E87B16">
              <w:rPr>
                <w:b/>
                <w:bCs/>
                <w:szCs w:val="14"/>
              </w:rPr>
              <w:br/>
              <w:t>(b)</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79B8B81B"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weighted seps</w:t>
            </w:r>
            <w:r w:rsidRPr="00E87B16">
              <w:rPr>
                <w:b/>
                <w:bCs/>
                <w:szCs w:val="14"/>
              </w:rPr>
              <w:br/>
              <w:t>(c)=(a)x(b)</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3E7BE849"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Number of days</w:t>
            </w:r>
            <w:r w:rsidRPr="00E87B16">
              <w:rPr>
                <w:b/>
                <w:bCs/>
                <w:szCs w:val="14"/>
              </w:rPr>
              <w:br/>
              <w:t>(d)</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328AFFC7"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ALOS (days)</w:t>
            </w:r>
            <w:r w:rsidRPr="00E87B16">
              <w:rPr>
                <w:b/>
                <w:bCs/>
                <w:szCs w:val="14"/>
              </w:rPr>
              <w:br/>
              <w:t>(e)=(d)/(b)</w:t>
            </w:r>
          </w:p>
        </w:tc>
        <w:tc>
          <w:tcPr>
            <w:tcW w:w="567"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1983452B"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Std error</w:t>
            </w:r>
          </w:p>
        </w:tc>
        <w:tc>
          <w:tcPr>
            <w:tcW w:w="709"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5C014E39"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of total seps</w:t>
            </w:r>
          </w:p>
        </w:tc>
        <w:tc>
          <w:tcPr>
            <w:tcW w:w="708"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3922C51D" w14:textId="77777777"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of CW seps</w:t>
            </w:r>
          </w:p>
        </w:tc>
        <w:tc>
          <w:tcPr>
            <w:tcW w:w="851"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05F0AC4D" w14:textId="40B99D9C"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p>
        </w:tc>
        <w:tc>
          <w:tcPr>
            <w:tcW w:w="850"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7D0EB360" w14:textId="2BE02E9C"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Rank</w:t>
            </w:r>
          </w:p>
        </w:tc>
        <w:tc>
          <w:tcPr>
            <w:tcW w:w="1134"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38046CED" w14:textId="5268CE58" w:rsidR="0074083D" w:rsidRPr="00E87B16" w:rsidRDefault="0074083D"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p>
        </w:tc>
      </w:tr>
      <w:tr w:rsidR="00E16CCC" w:rsidRPr="0088109E" w14:paraId="1DD01179" w14:textId="77777777" w:rsidTr="004671AB">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2B393F97" w14:textId="6485BD28" w:rsidR="00E16CCC" w:rsidRPr="0088109E" w:rsidRDefault="00E16CCC" w:rsidP="00E16CCC">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4E493D53" w14:textId="6EFA4CB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w:t>
            </w:r>
          </w:p>
        </w:tc>
        <w:tc>
          <w:tcPr>
            <w:tcW w:w="851" w:type="dxa"/>
            <w:tcBorders>
              <w:top w:val="nil"/>
              <w:left w:val="nil"/>
              <w:bottom w:val="nil"/>
              <w:right w:val="nil"/>
            </w:tcBorders>
            <w:shd w:val="clear" w:color="auto" w:fill="auto"/>
            <w:noWrap/>
            <w:vAlign w:val="center"/>
            <w:hideMark/>
          </w:tcPr>
          <w:p w14:paraId="6AC27F34" w14:textId="1A1B2C5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A13A</w:t>
            </w:r>
          </w:p>
        </w:tc>
        <w:tc>
          <w:tcPr>
            <w:tcW w:w="2977" w:type="dxa"/>
            <w:tcBorders>
              <w:top w:val="nil"/>
              <w:left w:val="nil"/>
              <w:bottom w:val="nil"/>
              <w:right w:val="nil"/>
            </w:tcBorders>
            <w:shd w:val="clear" w:color="auto" w:fill="auto"/>
            <w:noWrap/>
            <w:vAlign w:val="center"/>
            <w:hideMark/>
          </w:tcPr>
          <w:p w14:paraId="4296D6DE" w14:textId="2A6873DC"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Ventilation &gt;= 336 Hours, Major Complexity</w:t>
            </w:r>
          </w:p>
        </w:tc>
        <w:tc>
          <w:tcPr>
            <w:tcW w:w="708" w:type="dxa"/>
            <w:tcBorders>
              <w:top w:val="nil"/>
              <w:left w:val="nil"/>
              <w:bottom w:val="nil"/>
              <w:right w:val="nil"/>
            </w:tcBorders>
            <w:shd w:val="clear" w:color="auto" w:fill="auto"/>
            <w:noWrap/>
            <w:vAlign w:val="center"/>
            <w:hideMark/>
          </w:tcPr>
          <w:p w14:paraId="2FBDC87C" w14:textId="7BEF775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b/>
                <w:bCs/>
                <w:color w:val="000000"/>
                <w:szCs w:val="14"/>
              </w:rPr>
              <w:t>50.82</w:t>
            </w:r>
          </w:p>
        </w:tc>
        <w:tc>
          <w:tcPr>
            <w:tcW w:w="851" w:type="dxa"/>
            <w:tcBorders>
              <w:top w:val="nil"/>
              <w:left w:val="nil"/>
              <w:bottom w:val="nil"/>
              <w:right w:val="nil"/>
            </w:tcBorders>
            <w:shd w:val="clear" w:color="auto" w:fill="auto"/>
            <w:noWrap/>
            <w:vAlign w:val="center"/>
            <w:hideMark/>
          </w:tcPr>
          <w:p w14:paraId="1EC0FB9D" w14:textId="24381EC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24</w:t>
            </w:r>
          </w:p>
        </w:tc>
        <w:tc>
          <w:tcPr>
            <w:tcW w:w="992" w:type="dxa"/>
            <w:tcBorders>
              <w:top w:val="nil"/>
              <w:left w:val="nil"/>
              <w:bottom w:val="nil"/>
              <w:right w:val="nil"/>
            </w:tcBorders>
            <w:shd w:val="clear" w:color="auto" w:fill="auto"/>
            <w:noWrap/>
            <w:vAlign w:val="center"/>
            <w:hideMark/>
          </w:tcPr>
          <w:p w14:paraId="6C818335" w14:textId="7AAF819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color w:val="000000"/>
                <w:szCs w:val="14"/>
              </w:rPr>
              <w:t>1,220</w:t>
            </w:r>
          </w:p>
        </w:tc>
        <w:tc>
          <w:tcPr>
            <w:tcW w:w="851" w:type="dxa"/>
            <w:tcBorders>
              <w:top w:val="nil"/>
              <w:left w:val="nil"/>
              <w:bottom w:val="nil"/>
              <w:right w:val="nil"/>
            </w:tcBorders>
            <w:shd w:val="clear" w:color="auto" w:fill="auto"/>
            <w:noWrap/>
            <w:vAlign w:val="center"/>
            <w:hideMark/>
          </w:tcPr>
          <w:p w14:paraId="3F938BE7" w14:textId="67CA21C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1,589</w:t>
            </w:r>
          </w:p>
        </w:tc>
        <w:tc>
          <w:tcPr>
            <w:tcW w:w="992" w:type="dxa"/>
            <w:tcBorders>
              <w:top w:val="nil"/>
              <w:left w:val="nil"/>
              <w:bottom w:val="nil"/>
              <w:right w:val="nil"/>
            </w:tcBorders>
            <w:shd w:val="clear" w:color="auto" w:fill="auto"/>
            <w:noWrap/>
            <w:vAlign w:val="center"/>
            <w:hideMark/>
          </w:tcPr>
          <w:p w14:paraId="1A6AFC4E" w14:textId="2D6F1B5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67.3</w:t>
            </w:r>
          </w:p>
        </w:tc>
        <w:tc>
          <w:tcPr>
            <w:tcW w:w="567" w:type="dxa"/>
            <w:tcBorders>
              <w:top w:val="nil"/>
              <w:left w:val="nil"/>
              <w:bottom w:val="nil"/>
              <w:right w:val="nil"/>
            </w:tcBorders>
            <w:shd w:val="clear" w:color="auto" w:fill="auto"/>
            <w:noWrap/>
            <w:vAlign w:val="center"/>
            <w:hideMark/>
          </w:tcPr>
          <w:p w14:paraId="155DF895" w14:textId="31ADCC7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8.08</w:t>
            </w:r>
          </w:p>
        </w:tc>
        <w:tc>
          <w:tcPr>
            <w:tcW w:w="709" w:type="dxa"/>
            <w:tcBorders>
              <w:top w:val="nil"/>
              <w:left w:val="nil"/>
              <w:bottom w:val="nil"/>
              <w:right w:val="nil"/>
            </w:tcBorders>
            <w:shd w:val="clear" w:color="auto" w:fill="auto"/>
            <w:noWrap/>
            <w:vAlign w:val="center"/>
            <w:hideMark/>
          </w:tcPr>
          <w:p w14:paraId="5116211A" w14:textId="786299F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8" w:type="dxa"/>
            <w:tcBorders>
              <w:top w:val="nil"/>
              <w:left w:val="nil"/>
              <w:bottom w:val="nil"/>
              <w:right w:val="nil"/>
            </w:tcBorders>
            <w:shd w:val="clear" w:color="auto" w:fill="auto"/>
            <w:noWrap/>
            <w:vAlign w:val="center"/>
            <w:hideMark/>
          </w:tcPr>
          <w:p w14:paraId="5900CC65" w14:textId="4226746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0.04%</w:t>
            </w:r>
          </w:p>
        </w:tc>
        <w:tc>
          <w:tcPr>
            <w:tcW w:w="851" w:type="dxa"/>
            <w:tcBorders>
              <w:top w:val="nil"/>
              <w:left w:val="nil"/>
              <w:bottom w:val="nil"/>
              <w:right w:val="nil"/>
            </w:tcBorders>
            <w:shd w:val="clear" w:color="auto" w:fill="auto"/>
            <w:noWrap/>
            <w:vAlign w:val="center"/>
            <w:hideMark/>
          </w:tcPr>
          <w:p w14:paraId="0EAE1264" w14:textId="72707BD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50.54</w:t>
            </w:r>
          </w:p>
        </w:tc>
        <w:tc>
          <w:tcPr>
            <w:tcW w:w="850" w:type="dxa"/>
            <w:tcBorders>
              <w:top w:val="nil"/>
              <w:left w:val="nil"/>
              <w:bottom w:val="nil"/>
              <w:right w:val="nil"/>
            </w:tcBorders>
            <w:shd w:val="clear" w:color="auto" w:fill="auto"/>
            <w:noWrap/>
            <w:vAlign w:val="center"/>
            <w:hideMark/>
          </w:tcPr>
          <w:p w14:paraId="470435AF" w14:textId="49B65A1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w:t>
            </w:r>
          </w:p>
        </w:tc>
        <w:tc>
          <w:tcPr>
            <w:tcW w:w="1134" w:type="dxa"/>
            <w:tcBorders>
              <w:top w:val="nil"/>
              <w:left w:val="nil"/>
              <w:bottom w:val="nil"/>
              <w:right w:val="nil"/>
            </w:tcBorders>
            <w:shd w:val="clear" w:color="auto" w:fill="auto"/>
            <w:noWrap/>
            <w:vAlign w:val="center"/>
            <w:hideMark/>
          </w:tcPr>
          <w:p w14:paraId="078C4CA0" w14:textId="02E0AA9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74</w:t>
            </w:r>
          </w:p>
        </w:tc>
      </w:tr>
      <w:tr w:rsidR="00E16CCC" w:rsidRPr="0088109E" w14:paraId="63FE18EC" w14:textId="77777777" w:rsidTr="004671AB">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523B1C95" w14:textId="29436418" w:rsidR="00E16CCC" w:rsidRPr="0088109E" w:rsidRDefault="00E16CCC" w:rsidP="00E16CCC">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40C460DD" w14:textId="1ED4668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w:t>
            </w:r>
          </w:p>
        </w:tc>
        <w:tc>
          <w:tcPr>
            <w:tcW w:w="851" w:type="dxa"/>
            <w:tcBorders>
              <w:top w:val="nil"/>
              <w:left w:val="nil"/>
              <w:bottom w:val="nil"/>
              <w:right w:val="nil"/>
            </w:tcBorders>
            <w:shd w:val="clear" w:color="auto" w:fill="auto"/>
            <w:noWrap/>
            <w:vAlign w:val="center"/>
            <w:hideMark/>
          </w:tcPr>
          <w:p w14:paraId="48C4C4DE" w14:textId="78F2FB2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A13B</w:t>
            </w:r>
          </w:p>
        </w:tc>
        <w:tc>
          <w:tcPr>
            <w:tcW w:w="2977" w:type="dxa"/>
            <w:tcBorders>
              <w:top w:val="nil"/>
              <w:left w:val="nil"/>
              <w:bottom w:val="nil"/>
              <w:right w:val="nil"/>
            </w:tcBorders>
            <w:shd w:val="clear" w:color="auto" w:fill="auto"/>
            <w:noWrap/>
            <w:vAlign w:val="center"/>
            <w:hideMark/>
          </w:tcPr>
          <w:p w14:paraId="3FC15689" w14:textId="78FACCA1"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Ventilation &gt;= 336 Hours, Minor Complexity</w:t>
            </w:r>
          </w:p>
        </w:tc>
        <w:tc>
          <w:tcPr>
            <w:tcW w:w="708" w:type="dxa"/>
            <w:tcBorders>
              <w:top w:val="nil"/>
              <w:left w:val="nil"/>
              <w:bottom w:val="nil"/>
              <w:right w:val="nil"/>
            </w:tcBorders>
            <w:shd w:val="clear" w:color="auto" w:fill="auto"/>
            <w:noWrap/>
            <w:vAlign w:val="center"/>
            <w:hideMark/>
          </w:tcPr>
          <w:p w14:paraId="77219018" w14:textId="533ACC0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b/>
                <w:bCs/>
                <w:color w:val="000000"/>
                <w:szCs w:val="14"/>
              </w:rPr>
              <w:t>43.13</w:t>
            </w:r>
          </w:p>
        </w:tc>
        <w:tc>
          <w:tcPr>
            <w:tcW w:w="851" w:type="dxa"/>
            <w:tcBorders>
              <w:top w:val="nil"/>
              <w:left w:val="nil"/>
              <w:bottom w:val="nil"/>
              <w:right w:val="nil"/>
            </w:tcBorders>
            <w:shd w:val="clear" w:color="auto" w:fill="auto"/>
            <w:noWrap/>
            <w:vAlign w:val="center"/>
            <w:hideMark/>
          </w:tcPr>
          <w:p w14:paraId="5DA1F01D" w14:textId="5D866A7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102</w:t>
            </w:r>
          </w:p>
        </w:tc>
        <w:tc>
          <w:tcPr>
            <w:tcW w:w="992" w:type="dxa"/>
            <w:tcBorders>
              <w:top w:val="nil"/>
              <w:left w:val="nil"/>
              <w:bottom w:val="nil"/>
              <w:right w:val="nil"/>
            </w:tcBorders>
            <w:shd w:val="clear" w:color="auto" w:fill="auto"/>
            <w:noWrap/>
            <w:vAlign w:val="center"/>
            <w:hideMark/>
          </w:tcPr>
          <w:p w14:paraId="28856B11" w14:textId="4B2CDE50"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color w:val="000000"/>
                <w:szCs w:val="14"/>
              </w:rPr>
              <w:t>4,399</w:t>
            </w:r>
          </w:p>
        </w:tc>
        <w:tc>
          <w:tcPr>
            <w:tcW w:w="851" w:type="dxa"/>
            <w:tcBorders>
              <w:top w:val="nil"/>
              <w:left w:val="nil"/>
              <w:bottom w:val="nil"/>
              <w:right w:val="nil"/>
            </w:tcBorders>
            <w:shd w:val="clear" w:color="auto" w:fill="auto"/>
            <w:noWrap/>
            <w:vAlign w:val="center"/>
            <w:hideMark/>
          </w:tcPr>
          <w:p w14:paraId="21693F8C" w14:textId="6BDA12E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4,699</w:t>
            </w:r>
          </w:p>
        </w:tc>
        <w:tc>
          <w:tcPr>
            <w:tcW w:w="992" w:type="dxa"/>
            <w:tcBorders>
              <w:top w:val="nil"/>
              <w:left w:val="nil"/>
              <w:bottom w:val="nil"/>
              <w:right w:val="nil"/>
            </w:tcBorders>
            <w:shd w:val="clear" w:color="auto" w:fill="auto"/>
            <w:noWrap/>
            <w:vAlign w:val="center"/>
            <w:hideMark/>
          </w:tcPr>
          <w:p w14:paraId="5DB7A590" w14:textId="43DF21B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46.0</w:t>
            </w:r>
          </w:p>
        </w:tc>
        <w:tc>
          <w:tcPr>
            <w:tcW w:w="567" w:type="dxa"/>
            <w:tcBorders>
              <w:top w:val="nil"/>
              <w:left w:val="nil"/>
              <w:bottom w:val="nil"/>
              <w:right w:val="nil"/>
            </w:tcBorders>
            <w:shd w:val="clear" w:color="auto" w:fill="auto"/>
            <w:noWrap/>
            <w:vAlign w:val="center"/>
            <w:hideMark/>
          </w:tcPr>
          <w:p w14:paraId="69577EFE" w14:textId="7DB3BD9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2.58</w:t>
            </w:r>
          </w:p>
        </w:tc>
        <w:tc>
          <w:tcPr>
            <w:tcW w:w="709" w:type="dxa"/>
            <w:tcBorders>
              <w:top w:val="nil"/>
              <w:left w:val="nil"/>
              <w:bottom w:val="nil"/>
              <w:right w:val="nil"/>
            </w:tcBorders>
            <w:shd w:val="clear" w:color="auto" w:fill="auto"/>
            <w:noWrap/>
            <w:vAlign w:val="center"/>
            <w:hideMark/>
          </w:tcPr>
          <w:p w14:paraId="5CAFD5E0" w14:textId="256CF73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8" w:type="dxa"/>
            <w:tcBorders>
              <w:top w:val="nil"/>
              <w:left w:val="nil"/>
              <w:bottom w:val="nil"/>
              <w:right w:val="nil"/>
            </w:tcBorders>
            <w:shd w:val="clear" w:color="auto" w:fill="auto"/>
            <w:noWrap/>
            <w:vAlign w:val="center"/>
            <w:hideMark/>
          </w:tcPr>
          <w:p w14:paraId="60ACD906" w14:textId="1FAFDD3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0.13%</w:t>
            </w:r>
          </w:p>
        </w:tc>
        <w:tc>
          <w:tcPr>
            <w:tcW w:w="851" w:type="dxa"/>
            <w:tcBorders>
              <w:top w:val="nil"/>
              <w:left w:val="nil"/>
              <w:bottom w:val="nil"/>
              <w:right w:val="nil"/>
            </w:tcBorders>
            <w:shd w:val="clear" w:color="auto" w:fill="auto"/>
            <w:noWrap/>
            <w:vAlign w:val="center"/>
            <w:hideMark/>
          </w:tcPr>
          <w:p w14:paraId="620EB589" w14:textId="0BC7EE3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38.11</w:t>
            </w:r>
          </w:p>
        </w:tc>
        <w:tc>
          <w:tcPr>
            <w:tcW w:w="850" w:type="dxa"/>
            <w:tcBorders>
              <w:top w:val="nil"/>
              <w:left w:val="nil"/>
              <w:bottom w:val="nil"/>
              <w:right w:val="nil"/>
            </w:tcBorders>
            <w:shd w:val="clear" w:color="auto" w:fill="auto"/>
            <w:noWrap/>
            <w:vAlign w:val="center"/>
            <w:hideMark/>
          </w:tcPr>
          <w:p w14:paraId="69573A5C" w14:textId="65E2AEFF"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w:t>
            </w:r>
          </w:p>
        </w:tc>
        <w:tc>
          <w:tcPr>
            <w:tcW w:w="1134" w:type="dxa"/>
            <w:tcBorders>
              <w:top w:val="nil"/>
              <w:left w:val="nil"/>
              <w:bottom w:val="nil"/>
              <w:right w:val="nil"/>
            </w:tcBorders>
            <w:shd w:val="clear" w:color="auto" w:fill="auto"/>
            <w:noWrap/>
            <w:vAlign w:val="center"/>
            <w:hideMark/>
          </w:tcPr>
          <w:p w14:paraId="5266C359" w14:textId="3DAD3A4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83</w:t>
            </w:r>
          </w:p>
        </w:tc>
      </w:tr>
      <w:tr w:rsidR="00E16CCC" w:rsidRPr="0088109E" w14:paraId="3DAAC53B" w14:textId="77777777" w:rsidTr="004671AB">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260F0408" w14:textId="0F45217B" w:rsidR="00E16CCC" w:rsidRPr="0088109E" w:rsidRDefault="00E16CCC" w:rsidP="00E16CCC">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291A68C5" w14:textId="3982800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w:t>
            </w:r>
          </w:p>
        </w:tc>
        <w:tc>
          <w:tcPr>
            <w:tcW w:w="851" w:type="dxa"/>
            <w:tcBorders>
              <w:top w:val="nil"/>
              <w:left w:val="nil"/>
              <w:bottom w:val="nil"/>
              <w:right w:val="nil"/>
            </w:tcBorders>
            <w:shd w:val="clear" w:color="auto" w:fill="auto"/>
            <w:noWrap/>
            <w:vAlign w:val="center"/>
            <w:hideMark/>
          </w:tcPr>
          <w:p w14:paraId="75321A71" w14:textId="0713354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A14A</w:t>
            </w:r>
          </w:p>
        </w:tc>
        <w:tc>
          <w:tcPr>
            <w:tcW w:w="2977" w:type="dxa"/>
            <w:tcBorders>
              <w:top w:val="nil"/>
              <w:left w:val="nil"/>
              <w:bottom w:val="nil"/>
              <w:right w:val="nil"/>
            </w:tcBorders>
            <w:shd w:val="clear" w:color="auto" w:fill="auto"/>
            <w:noWrap/>
            <w:vAlign w:val="center"/>
            <w:hideMark/>
          </w:tcPr>
          <w:p w14:paraId="1E2D48D4" w14:textId="20B9D8A4"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Ventilation &gt;= 96 Hours and &lt; 336 Hours, Major Complexity</w:t>
            </w:r>
          </w:p>
        </w:tc>
        <w:tc>
          <w:tcPr>
            <w:tcW w:w="708" w:type="dxa"/>
            <w:tcBorders>
              <w:top w:val="nil"/>
              <w:left w:val="nil"/>
              <w:bottom w:val="nil"/>
              <w:right w:val="nil"/>
            </w:tcBorders>
            <w:shd w:val="clear" w:color="auto" w:fill="auto"/>
            <w:noWrap/>
            <w:vAlign w:val="center"/>
            <w:hideMark/>
          </w:tcPr>
          <w:p w14:paraId="4A4FB685" w14:textId="12CA9C9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b/>
                <w:bCs/>
                <w:color w:val="000000"/>
                <w:szCs w:val="14"/>
              </w:rPr>
              <w:t>31.65</w:t>
            </w:r>
          </w:p>
        </w:tc>
        <w:tc>
          <w:tcPr>
            <w:tcW w:w="851" w:type="dxa"/>
            <w:tcBorders>
              <w:top w:val="nil"/>
              <w:left w:val="nil"/>
              <w:bottom w:val="nil"/>
              <w:right w:val="nil"/>
            </w:tcBorders>
            <w:shd w:val="clear" w:color="auto" w:fill="auto"/>
            <w:noWrap/>
            <w:vAlign w:val="center"/>
            <w:hideMark/>
          </w:tcPr>
          <w:p w14:paraId="6F19ED6C" w14:textId="18DCF3ED"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206</w:t>
            </w:r>
          </w:p>
        </w:tc>
        <w:tc>
          <w:tcPr>
            <w:tcW w:w="992" w:type="dxa"/>
            <w:tcBorders>
              <w:top w:val="nil"/>
              <w:left w:val="nil"/>
              <w:bottom w:val="nil"/>
              <w:right w:val="nil"/>
            </w:tcBorders>
            <w:shd w:val="clear" w:color="auto" w:fill="auto"/>
            <w:noWrap/>
            <w:vAlign w:val="center"/>
            <w:hideMark/>
          </w:tcPr>
          <w:p w14:paraId="50B631A8" w14:textId="1A02846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color w:val="000000"/>
                <w:szCs w:val="14"/>
              </w:rPr>
              <w:t>6,520</w:t>
            </w:r>
          </w:p>
        </w:tc>
        <w:tc>
          <w:tcPr>
            <w:tcW w:w="851" w:type="dxa"/>
            <w:tcBorders>
              <w:top w:val="nil"/>
              <w:left w:val="nil"/>
              <w:bottom w:val="nil"/>
              <w:right w:val="nil"/>
            </w:tcBorders>
            <w:shd w:val="clear" w:color="auto" w:fill="auto"/>
            <w:noWrap/>
            <w:vAlign w:val="center"/>
            <w:hideMark/>
          </w:tcPr>
          <w:p w14:paraId="789BE9BF" w14:textId="7EC5B6A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8,513</w:t>
            </w:r>
          </w:p>
        </w:tc>
        <w:tc>
          <w:tcPr>
            <w:tcW w:w="992" w:type="dxa"/>
            <w:tcBorders>
              <w:top w:val="nil"/>
              <w:left w:val="nil"/>
              <w:bottom w:val="nil"/>
              <w:right w:val="nil"/>
            </w:tcBorders>
            <w:shd w:val="clear" w:color="auto" w:fill="auto"/>
            <w:noWrap/>
            <w:vAlign w:val="center"/>
            <w:hideMark/>
          </w:tcPr>
          <w:p w14:paraId="10633DEC" w14:textId="4C5009B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41.3</w:t>
            </w:r>
          </w:p>
        </w:tc>
        <w:tc>
          <w:tcPr>
            <w:tcW w:w="567" w:type="dxa"/>
            <w:tcBorders>
              <w:top w:val="nil"/>
              <w:left w:val="nil"/>
              <w:bottom w:val="nil"/>
              <w:right w:val="nil"/>
            </w:tcBorders>
            <w:shd w:val="clear" w:color="auto" w:fill="auto"/>
            <w:noWrap/>
            <w:vAlign w:val="center"/>
            <w:hideMark/>
          </w:tcPr>
          <w:p w14:paraId="4A4B5230" w14:textId="3D9A822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1.73</w:t>
            </w:r>
          </w:p>
        </w:tc>
        <w:tc>
          <w:tcPr>
            <w:tcW w:w="709" w:type="dxa"/>
            <w:tcBorders>
              <w:top w:val="nil"/>
              <w:left w:val="nil"/>
              <w:bottom w:val="nil"/>
              <w:right w:val="nil"/>
            </w:tcBorders>
            <w:shd w:val="clear" w:color="auto" w:fill="auto"/>
            <w:noWrap/>
            <w:vAlign w:val="center"/>
            <w:hideMark/>
          </w:tcPr>
          <w:p w14:paraId="469CD1E8" w14:textId="28BE35A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0.01%</w:t>
            </w:r>
          </w:p>
        </w:tc>
        <w:tc>
          <w:tcPr>
            <w:tcW w:w="708" w:type="dxa"/>
            <w:tcBorders>
              <w:top w:val="nil"/>
              <w:left w:val="nil"/>
              <w:bottom w:val="nil"/>
              <w:right w:val="nil"/>
            </w:tcBorders>
            <w:shd w:val="clear" w:color="auto" w:fill="auto"/>
            <w:noWrap/>
            <w:vAlign w:val="center"/>
            <w:hideMark/>
          </w:tcPr>
          <w:p w14:paraId="092D7C4A" w14:textId="266320F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0.19%</w:t>
            </w:r>
          </w:p>
        </w:tc>
        <w:tc>
          <w:tcPr>
            <w:tcW w:w="851" w:type="dxa"/>
            <w:tcBorders>
              <w:top w:val="nil"/>
              <w:left w:val="nil"/>
              <w:bottom w:val="nil"/>
              <w:right w:val="nil"/>
            </w:tcBorders>
            <w:shd w:val="clear" w:color="auto" w:fill="auto"/>
            <w:noWrap/>
            <w:vAlign w:val="center"/>
            <w:hideMark/>
          </w:tcPr>
          <w:p w14:paraId="3105CF8B" w14:textId="1781C4B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30.82</w:t>
            </w:r>
          </w:p>
        </w:tc>
        <w:tc>
          <w:tcPr>
            <w:tcW w:w="850" w:type="dxa"/>
            <w:tcBorders>
              <w:top w:val="nil"/>
              <w:left w:val="nil"/>
              <w:bottom w:val="nil"/>
              <w:right w:val="nil"/>
            </w:tcBorders>
            <w:shd w:val="clear" w:color="auto" w:fill="auto"/>
            <w:noWrap/>
            <w:vAlign w:val="center"/>
            <w:hideMark/>
          </w:tcPr>
          <w:p w14:paraId="46F7C4DD" w14:textId="4E73838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w:t>
            </w:r>
          </w:p>
        </w:tc>
        <w:tc>
          <w:tcPr>
            <w:tcW w:w="1134" w:type="dxa"/>
            <w:tcBorders>
              <w:top w:val="nil"/>
              <w:left w:val="nil"/>
              <w:bottom w:val="nil"/>
              <w:right w:val="nil"/>
            </w:tcBorders>
            <w:shd w:val="clear" w:color="auto" w:fill="auto"/>
            <w:noWrap/>
            <w:vAlign w:val="center"/>
            <w:hideMark/>
          </w:tcPr>
          <w:p w14:paraId="2A48230F" w14:textId="1541F28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248</w:t>
            </w:r>
          </w:p>
        </w:tc>
      </w:tr>
      <w:tr w:rsidR="00E16CCC" w:rsidRPr="0088109E" w14:paraId="3E6CDBFF" w14:textId="77777777" w:rsidTr="004671AB">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5B5D2FB0" w14:textId="3BA4C4B2" w:rsidR="00E16CCC" w:rsidRPr="0088109E" w:rsidRDefault="00E16CCC" w:rsidP="00E16CCC">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20FB692D" w14:textId="0AA8819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w:t>
            </w:r>
          </w:p>
        </w:tc>
        <w:tc>
          <w:tcPr>
            <w:tcW w:w="851" w:type="dxa"/>
            <w:tcBorders>
              <w:top w:val="nil"/>
              <w:left w:val="nil"/>
              <w:bottom w:val="nil"/>
              <w:right w:val="nil"/>
            </w:tcBorders>
            <w:shd w:val="clear" w:color="auto" w:fill="auto"/>
            <w:noWrap/>
            <w:vAlign w:val="center"/>
            <w:hideMark/>
          </w:tcPr>
          <w:p w14:paraId="67FEAEF3" w14:textId="3CDCB9ED"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A14B</w:t>
            </w:r>
          </w:p>
        </w:tc>
        <w:tc>
          <w:tcPr>
            <w:tcW w:w="2977" w:type="dxa"/>
            <w:tcBorders>
              <w:top w:val="nil"/>
              <w:left w:val="nil"/>
              <w:bottom w:val="nil"/>
              <w:right w:val="nil"/>
            </w:tcBorders>
            <w:shd w:val="clear" w:color="auto" w:fill="auto"/>
            <w:noWrap/>
            <w:vAlign w:val="center"/>
            <w:hideMark/>
          </w:tcPr>
          <w:p w14:paraId="308A84AF" w14:textId="6ECECEB8"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Ventilation &gt;= 96 Hours and &lt; 336 Hours, Intermediate Complexity</w:t>
            </w:r>
          </w:p>
        </w:tc>
        <w:tc>
          <w:tcPr>
            <w:tcW w:w="708" w:type="dxa"/>
            <w:tcBorders>
              <w:top w:val="nil"/>
              <w:left w:val="nil"/>
              <w:bottom w:val="nil"/>
              <w:right w:val="nil"/>
            </w:tcBorders>
            <w:shd w:val="clear" w:color="auto" w:fill="auto"/>
            <w:noWrap/>
            <w:vAlign w:val="center"/>
            <w:hideMark/>
          </w:tcPr>
          <w:p w14:paraId="4D10F056" w14:textId="5C84609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b/>
                <w:bCs/>
                <w:color w:val="000000"/>
                <w:szCs w:val="14"/>
              </w:rPr>
              <w:t>22.27</w:t>
            </w:r>
          </w:p>
        </w:tc>
        <w:tc>
          <w:tcPr>
            <w:tcW w:w="851" w:type="dxa"/>
            <w:tcBorders>
              <w:top w:val="nil"/>
              <w:left w:val="nil"/>
              <w:bottom w:val="nil"/>
              <w:right w:val="nil"/>
            </w:tcBorders>
            <w:shd w:val="clear" w:color="auto" w:fill="auto"/>
            <w:noWrap/>
            <w:vAlign w:val="center"/>
            <w:hideMark/>
          </w:tcPr>
          <w:p w14:paraId="1DE0E704" w14:textId="3DC4A47F"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370</w:t>
            </w:r>
          </w:p>
        </w:tc>
        <w:tc>
          <w:tcPr>
            <w:tcW w:w="992" w:type="dxa"/>
            <w:tcBorders>
              <w:top w:val="nil"/>
              <w:left w:val="nil"/>
              <w:bottom w:val="nil"/>
              <w:right w:val="nil"/>
            </w:tcBorders>
            <w:shd w:val="clear" w:color="auto" w:fill="auto"/>
            <w:noWrap/>
            <w:vAlign w:val="center"/>
            <w:hideMark/>
          </w:tcPr>
          <w:p w14:paraId="580B3AC6" w14:textId="373045D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color w:val="000000"/>
                <w:szCs w:val="14"/>
              </w:rPr>
              <w:t>8,240</w:t>
            </w:r>
          </w:p>
        </w:tc>
        <w:tc>
          <w:tcPr>
            <w:tcW w:w="851" w:type="dxa"/>
            <w:tcBorders>
              <w:top w:val="nil"/>
              <w:left w:val="nil"/>
              <w:bottom w:val="nil"/>
              <w:right w:val="nil"/>
            </w:tcBorders>
            <w:shd w:val="clear" w:color="auto" w:fill="auto"/>
            <w:noWrap/>
            <w:vAlign w:val="center"/>
            <w:hideMark/>
          </w:tcPr>
          <w:p w14:paraId="41DAB238" w14:textId="78A33D1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10,285</w:t>
            </w:r>
          </w:p>
        </w:tc>
        <w:tc>
          <w:tcPr>
            <w:tcW w:w="992" w:type="dxa"/>
            <w:tcBorders>
              <w:top w:val="nil"/>
              <w:left w:val="nil"/>
              <w:bottom w:val="nil"/>
              <w:right w:val="nil"/>
            </w:tcBorders>
            <w:shd w:val="clear" w:color="auto" w:fill="auto"/>
            <w:noWrap/>
            <w:vAlign w:val="center"/>
            <w:hideMark/>
          </w:tcPr>
          <w:p w14:paraId="7DF3E495" w14:textId="07B888F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27.8</w:t>
            </w:r>
          </w:p>
        </w:tc>
        <w:tc>
          <w:tcPr>
            <w:tcW w:w="567" w:type="dxa"/>
            <w:tcBorders>
              <w:top w:val="nil"/>
              <w:left w:val="nil"/>
              <w:bottom w:val="nil"/>
              <w:right w:val="nil"/>
            </w:tcBorders>
            <w:shd w:val="clear" w:color="auto" w:fill="auto"/>
            <w:noWrap/>
            <w:vAlign w:val="center"/>
            <w:hideMark/>
          </w:tcPr>
          <w:p w14:paraId="10952AF5" w14:textId="01EC12C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0.80</w:t>
            </w:r>
          </w:p>
        </w:tc>
        <w:tc>
          <w:tcPr>
            <w:tcW w:w="709" w:type="dxa"/>
            <w:tcBorders>
              <w:top w:val="nil"/>
              <w:left w:val="nil"/>
              <w:bottom w:val="nil"/>
              <w:right w:val="nil"/>
            </w:tcBorders>
            <w:shd w:val="clear" w:color="auto" w:fill="auto"/>
            <w:noWrap/>
            <w:vAlign w:val="center"/>
            <w:hideMark/>
          </w:tcPr>
          <w:p w14:paraId="459DB22D" w14:textId="666573A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0.01%</w:t>
            </w:r>
          </w:p>
        </w:tc>
        <w:tc>
          <w:tcPr>
            <w:tcW w:w="708" w:type="dxa"/>
            <w:tcBorders>
              <w:top w:val="nil"/>
              <w:left w:val="nil"/>
              <w:bottom w:val="nil"/>
              <w:right w:val="nil"/>
            </w:tcBorders>
            <w:shd w:val="clear" w:color="auto" w:fill="auto"/>
            <w:noWrap/>
            <w:vAlign w:val="center"/>
            <w:hideMark/>
          </w:tcPr>
          <w:p w14:paraId="4DC93287" w14:textId="140BF64D"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0.24%</w:t>
            </w:r>
          </w:p>
        </w:tc>
        <w:tc>
          <w:tcPr>
            <w:tcW w:w="851" w:type="dxa"/>
            <w:tcBorders>
              <w:top w:val="nil"/>
              <w:left w:val="nil"/>
              <w:bottom w:val="nil"/>
              <w:right w:val="nil"/>
            </w:tcBorders>
            <w:shd w:val="clear" w:color="auto" w:fill="auto"/>
            <w:noWrap/>
            <w:vAlign w:val="center"/>
            <w:hideMark/>
          </w:tcPr>
          <w:p w14:paraId="3AA43824" w14:textId="2AA2BDE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21.33</w:t>
            </w:r>
          </w:p>
        </w:tc>
        <w:tc>
          <w:tcPr>
            <w:tcW w:w="850" w:type="dxa"/>
            <w:tcBorders>
              <w:top w:val="nil"/>
              <w:left w:val="nil"/>
              <w:bottom w:val="nil"/>
              <w:right w:val="nil"/>
            </w:tcBorders>
            <w:shd w:val="clear" w:color="auto" w:fill="auto"/>
            <w:noWrap/>
            <w:vAlign w:val="center"/>
            <w:hideMark/>
          </w:tcPr>
          <w:p w14:paraId="490A816A" w14:textId="4F890CB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w:t>
            </w:r>
          </w:p>
        </w:tc>
        <w:tc>
          <w:tcPr>
            <w:tcW w:w="1134" w:type="dxa"/>
            <w:tcBorders>
              <w:top w:val="nil"/>
              <w:left w:val="nil"/>
              <w:bottom w:val="nil"/>
              <w:right w:val="nil"/>
            </w:tcBorders>
            <w:shd w:val="clear" w:color="auto" w:fill="auto"/>
            <w:noWrap/>
            <w:vAlign w:val="center"/>
            <w:hideMark/>
          </w:tcPr>
          <w:p w14:paraId="33138C29" w14:textId="7068006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325</w:t>
            </w:r>
          </w:p>
        </w:tc>
      </w:tr>
      <w:tr w:rsidR="00E16CCC" w:rsidRPr="0088109E" w14:paraId="0F8429FA" w14:textId="77777777" w:rsidTr="004671AB">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71409EA6" w14:textId="1DECD4C5" w:rsidR="00E16CCC" w:rsidRPr="0088109E" w:rsidRDefault="00E16CCC" w:rsidP="00E16CCC">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57133E6A" w14:textId="42F26DE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w:t>
            </w:r>
          </w:p>
        </w:tc>
        <w:tc>
          <w:tcPr>
            <w:tcW w:w="851" w:type="dxa"/>
            <w:tcBorders>
              <w:top w:val="nil"/>
              <w:left w:val="nil"/>
              <w:bottom w:val="nil"/>
              <w:right w:val="nil"/>
            </w:tcBorders>
            <w:shd w:val="clear" w:color="auto" w:fill="auto"/>
            <w:noWrap/>
            <w:vAlign w:val="center"/>
            <w:hideMark/>
          </w:tcPr>
          <w:p w14:paraId="184E48F1" w14:textId="7880723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P03B</w:t>
            </w:r>
          </w:p>
        </w:tc>
        <w:tc>
          <w:tcPr>
            <w:tcW w:w="2977" w:type="dxa"/>
            <w:tcBorders>
              <w:top w:val="nil"/>
              <w:left w:val="nil"/>
              <w:bottom w:val="nil"/>
              <w:right w:val="nil"/>
            </w:tcBorders>
            <w:shd w:val="clear" w:color="auto" w:fill="auto"/>
            <w:noWrap/>
            <w:vAlign w:val="center"/>
            <w:hideMark/>
          </w:tcPr>
          <w:p w14:paraId="0E5116A0" w14:textId="141D71A0"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Neonate, Admission Weight 1000-1499g with Significant GI or Ventilation &gt;= 96 Hours, Minor Complexity</w:t>
            </w:r>
          </w:p>
        </w:tc>
        <w:tc>
          <w:tcPr>
            <w:tcW w:w="708" w:type="dxa"/>
            <w:tcBorders>
              <w:top w:val="nil"/>
              <w:left w:val="nil"/>
              <w:bottom w:val="nil"/>
              <w:right w:val="nil"/>
            </w:tcBorders>
            <w:shd w:val="clear" w:color="auto" w:fill="auto"/>
            <w:noWrap/>
            <w:vAlign w:val="center"/>
            <w:hideMark/>
          </w:tcPr>
          <w:p w14:paraId="57DDC021" w14:textId="4136660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b/>
                <w:bCs/>
                <w:color w:val="000000"/>
                <w:szCs w:val="14"/>
              </w:rPr>
              <w:t>20.21</w:t>
            </w:r>
          </w:p>
        </w:tc>
        <w:tc>
          <w:tcPr>
            <w:tcW w:w="851" w:type="dxa"/>
            <w:tcBorders>
              <w:top w:val="nil"/>
              <w:left w:val="nil"/>
              <w:bottom w:val="nil"/>
              <w:right w:val="nil"/>
            </w:tcBorders>
            <w:shd w:val="clear" w:color="auto" w:fill="auto"/>
            <w:noWrap/>
            <w:vAlign w:val="center"/>
            <w:hideMark/>
          </w:tcPr>
          <w:p w14:paraId="7120A12E" w14:textId="787DCC2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57</w:t>
            </w:r>
          </w:p>
        </w:tc>
        <w:tc>
          <w:tcPr>
            <w:tcW w:w="992" w:type="dxa"/>
            <w:tcBorders>
              <w:top w:val="nil"/>
              <w:left w:val="nil"/>
              <w:bottom w:val="nil"/>
              <w:right w:val="nil"/>
            </w:tcBorders>
            <w:shd w:val="clear" w:color="auto" w:fill="auto"/>
            <w:noWrap/>
            <w:vAlign w:val="center"/>
            <w:hideMark/>
          </w:tcPr>
          <w:p w14:paraId="0BD450D5" w14:textId="147D58E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color w:val="000000"/>
                <w:szCs w:val="14"/>
              </w:rPr>
              <w:t>1,152</w:t>
            </w:r>
          </w:p>
        </w:tc>
        <w:tc>
          <w:tcPr>
            <w:tcW w:w="851" w:type="dxa"/>
            <w:tcBorders>
              <w:top w:val="nil"/>
              <w:left w:val="nil"/>
              <w:bottom w:val="nil"/>
              <w:right w:val="nil"/>
            </w:tcBorders>
            <w:shd w:val="clear" w:color="auto" w:fill="auto"/>
            <w:noWrap/>
            <w:vAlign w:val="center"/>
            <w:hideMark/>
          </w:tcPr>
          <w:p w14:paraId="6B2DBD3D" w14:textId="71FB497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2,306</w:t>
            </w:r>
          </w:p>
        </w:tc>
        <w:tc>
          <w:tcPr>
            <w:tcW w:w="992" w:type="dxa"/>
            <w:tcBorders>
              <w:top w:val="nil"/>
              <w:left w:val="nil"/>
              <w:bottom w:val="nil"/>
              <w:right w:val="nil"/>
            </w:tcBorders>
            <w:shd w:val="clear" w:color="auto" w:fill="auto"/>
            <w:noWrap/>
            <w:vAlign w:val="center"/>
            <w:hideMark/>
          </w:tcPr>
          <w:p w14:paraId="54C1C066" w14:textId="06F459E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40.2</w:t>
            </w:r>
          </w:p>
        </w:tc>
        <w:tc>
          <w:tcPr>
            <w:tcW w:w="567" w:type="dxa"/>
            <w:tcBorders>
              <w:top w:val="nil"/>
              <w:left w:val="nil"/>
              <w:bottom w:val="nil"/>
              <w:right w:val="nil"/>
            </w:tcBorders>
            <w:shd w:val="clear" w:color="auto" w:fill="auto"/>
            <w:noWrap/>
            <w:vAlign w:val="center"/>
            <w:hideMark/>
          </w:tcPr>
          <w:p w14:paraId="27FEF0FB" w14:textId="402F8CE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1.83</w:t>
            </w:r>
          </w:p>
        </w:tc>
        <w:tc>
          <w:tcPr>
            <w:tcW w:w="709" w:type="dxa"/>
            <w:tcBorders>
              <w:top w:val="nil"/>
              <w:left w:val="nil"/>
              <w:bottom w:val="nil"/>
              <w:right w:val="nil"/>
            </w:tcBorders>
            <w:shd w:val="clear" w:color="auto" w:fill="auto"/>
            <w:noWrap/>
            <w:vAlign w:val="center"/>
            <w:hideMark/>
          </w:tcPr>
          <w:p w14:paraId="7A6FA48C" w14:textId="082850D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8" w:type="dxa"/>
            <w:tcBorders>
              <w:top w:val="nil"/>
              <w:left w:val="nil"/>
              <w:bottom w:val="nil"/>
              <w:right w:val="nil"/>
            </w:tcBorders>
            <w:shd w:val="clear" w:color="auto" w:fill="auto"/>
            <w:noWrap/>
            <w:vAlign w:val="center"/>
            <w:hideMark/>
          </w:tcPr>
          <w:p w14:paraId="2808871F" w14:textId="275A102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0.03%</w:t>
            </w:r>
          </w:p>
        </w:tc>
        <w:tc>
          <w:tcPr>
            <w:tcW w:w="851" w:type="dxa"/>
            <w:tcBorders>
              <w:top w:val="nil"/>
              <w:left w:val="nil"/>
              <w:bottom w:val="nil"/>
              <w:right w:val="nil"/>
            </w:tcBorders>
            <w:shd w:val="clear" w:color="auto" w:fill="auto"/>
            <w:noWrap/>
            <w:vAlign w:val="center"/>
            <w:hideMark/>
          </w:tcPr>
          <w:p w14:paraId="6A347844" w14:textId="165B133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20.04</w:t>
            </w:r>
          </w:p>
        </w:tc>
        <w:tc>
          <w:tcPr>
            <w:tcW w:w="850" w:type="dxa"/>
            <w:tcBorders>
              <w:top w:val="nil"/>
              <w:left w:val="nil"/>
              <w:bottom w:val="nil"/>
              <w:right w:val="nil"/>
            </w:tcBorders>
            <w:shd w:val="clear" w:color="auto" w:fill="auto"/>
            <w:noWrap/>
            <w:vAlign w:val="center"/>
            <w:hideMark/>
          </w:tcPr>
          <w:p w14:paraId="79F6B7E5" w14:textId="6A44067D"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7</w:t>
            </w:r>
          </w:p>
        </w:tc>
        <w:tc>
          <w:tcPr>
            <w:tcW w:w="1134" w:type="dxa"/>
            <w:tcBorders>
              <w:top w:val="nil"/>
              <w:left w:val="nil"/>
              <w:bottom w:val="nil"/>
              <w:right w:val="nil"/>
            </w:tcBorders>
            <w:shd w:val="clear" w:color="auto" w:fill="auto"/>
            <w:noWrap/>
            <w:vAlign w:val="center"/>
            <w:hideMark/>
          </w:tcPr>
          <w:p w14:paraId="08F9BB50" w14:textId="47FCFA7D"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37</w:t>
            </w:r>
          </w:p>
        </w:tc>
      </w:tr>
      <w:tr w:rsidR="00E16CCC" w:rsidRPr="0088109E" w14:paraId="6901F68F" w14:textId="77777777" w:rsidTr="004671AB">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5C4B1D62" w14:textId="789D345D" w:rsidR="00E16CCC" w:rsidRPr="0088109E" w:rsidRDefault="00E16CCC" w:rsidP="00E16CCC">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48B30FF8" w14:textId="00FFB16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w:t>
            </w:r>
          </w:p>
        </w:tc>
        <w:tc>
          <w:tcPr>
            <w:tcW w:w="851" w:type="dxa"/>
            <w:tcBorders>
              <w:top w:val="nil"/>
              <w:left w:val="nil"/>
              <w:bottom w:val="nil"/>
              <w:right w:val="nil"/>
            </w:tcBorders>
            <w:shd w:val="clear" w:color="auto" w:fill="auto"/>
            <w:noWrap/>
            <w:vAlign w:val="center"/>
            <w:hideMark/>
          </w:tcPr>
          <w:p w14:paraId="18786EFE" w14:textId="4146BA5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A15A</w:t>
            </w:r>
          </w:p>
        </w:tc>
        <w:tc>
          <w:tcPr>
            <w:tcW w:w="2977" w:type="dxa"/>
            <w:tcBorders>
              <w:top w:val="nil"/>
              <w:left w:val="nil"/>
              <w:bottom w:val="nil"/>
              <w:right w:val="nil"/>
            </w:tcBorders>
            <w:shd w:val="clear" w:color="auto" w:fill="auto"/>
            <w:noWrap/>
            <w:vAlign w:val="center"/>
            <w:hideMark/>
          </w:tcPr>
          <w:p w14:paraId="5F46CE34" w14:textId="68EE9A37"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Tracheostomy, Major Complexity</w:t>
            </w:r>
          </w:p>
        </w:tc>
        <w:tc>
          <w:tcPr>
            <w:tcW w:w="708" w:type="dxa"/>
            <w:tcBorders>
              <w:top w:val="nil"/>
              <w:left w:val="nil"/>
              <w:bottom w:val="nil"/>
              <w:right w:val="nil"/>
            </w:tcBorders>
            <w:shd w:val="clear" w:color="auto" w:fill="auto"/>
            <w:noWrap/>
            <w:vAlign w:val="center"/>
            <w:hideMark/>
          </w:tcPr>
          <w:p w14:paraId="3A61891E" w14:textId="06C0F28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b/>
                <w:bCs/>
                <w:color w:val="000000"/>
                <w:szCs w:val="14"/>
              </w:rPr>
              <w:t>19.73</w:t>
            </w:r>
          </w:p>
        </w:tc>
        <w:tc>
          <w:tcPr>
            <w:tcW w:w="851" w:type="dxa"/>
            <w:tcBorders>
              <w:top w:val="nil"/>
              <w:left w:val="nil"/>
              <w:bottom w:val="nil"/>
              <w:right w:val="nil"/>
            </w:tcBorders>
            <w:shd w:val="clear" w:color="auto" w:fill="auto"/>
            <w:noWrap/>
            <w:vAlign w:val="center"/>
            <w:hideMark/>
          </w:tcPr>
          <w:p w14:paraId="4AD610C6" w14:textId="129F6950"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19</w:t>
            </w:r>
          </w:p>
        </w:tc>
        <w:tc>
          <w:tcPr>
            <w:tcW w:w="992" w:type="dxa"/>
            <w:tcBorders>
              <w:top w:val="nil"/>
              <w:left w:val="nil"/>
              <w:bottom w:val="nil"/>
              <w:right w:val="nil"/>
            </w:tcBorders>
            <w:shd w:val="clear" w:color="auto" w:fill="auto"/>
            <w:noWrap/>
            <w:vAlign w:val="center"/>
            <w:hideMark/>
          </w:tcPr>
          <w:p w14:paraId="114E63B5" w14:textId="466BC3D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color w:val="000000"/>
                <w:szCs w:val="14"/>
              </w:rPr>
              <w:t>375</w:t>
            </w:r>
          </w:p>
        </w:tc>
        <w:tc>
          <w:tcPr>
            <w:tcW w:w="851" w:type="dxa"/>
            <w:tcBorders>
              <w:top w:val="nil"/>
              <w:left w:val="nil"/>
              <w:bottom w:val="nil"/>
              <w:right w:val="nil"/>
            </w:tcBorders>
            <w:shd w:val="clear" w:color="auto" w:fill="auto"/>
            <w:noWrap/>
            <w:vAlign w:val="center"/>
            <w:hideMark/>
          </w:tcPr>
          <w:p w14:paraId="0753E030" w14:textId="7B7C64B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554</w:t>
            </w:r>
          </w:p>
        </w:tc>
        <w:tc>
          <w:tcPr>
            <w:tcW w:w="992" w:type="dxa"/>
            <w:tcBorders>
              <w:top w:val="nil"/>
              <w:left w:val="nil"/>
              <w:bottom w:val="nil"/>
              <w:right w:val="nil"/>
            </w:tcBorders>
            <w:shd w:val="clear" w:color="auto" w:fill="auto"/>
            <w:noWrap/>
            <w:vAlign w:val="center"/>
            <w:hideMark/>
          </w:tcPr>
          <w:p w14:paraId="37CC4537" w14:textId="5A0488E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29.7</w:t>
            </w:r>
          </w:p>
        </w:tc>
        <w:tc>
          <w:tcPr>
            <w:tcW w:w="567" w:type="dxa"/>
            <w:tcBorders>
              <w:top w:val="nil"/>
              <w:left w:val="nil"/>
              <w:bottom w:val="nil"/>
              <w:right w:val="nil"/>
            </w:tcBorders>
            <w:shd w:val="clear" w:color="auto" w:fill="auto"/>
            <w:noWrap/>
            <w:vAlign w:val="center"/>
            <w:hideMark/>
          </w:tcPr>
          <w:p w14:paraId="3288162A" w14:textId="644AE04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2.69</w:t>
            </w:r>
          </w:p>
        </w:tc>
        <w:tc>
          <w:tcPr>
            <w:tcW w:w="709" w:type="dxa"/>
            <w:tcBorders>
              <w:top w:val="nil"/>
              <w:left w:val="nil"/>
              <w:bottom w:val="nil"/>
              <w:right w:val="nil"/>
            </w:tcBorders>
            <w:shd w:val="clear" w:color="auto" w:fill="auto"/>
            <w:noWrap/>
            <w:vAlign w:val="center"/>
            <w:hideMark/>
          </w:tcPr>
          <w:p w14:paraId="29C7122A" w14:textId="7FBF5AD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8" w:type="dxa"/>
            <w:tcBorders>
              <w:top w:val="nil"/>
              <w:left w:val="nil"/>
              <w:bottom w:val="nil"/>
              <w:right w:val="nil"/>
            </w:tcBorders>
            <w:shd w:val="clear" w:color="auto" w:fill="auto"/>
            <w:noWrap/>
            <w:vAlign w:val="center"/>
            <w:hideMark/>
          </w:tcPr>
          <w:p w14:paraId="5510A4FB" w14:textId="06D418E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0.01%</w:t>
            </w:r>
          </w:p>
        </w:tc>
        <w:tc>
          <w:tcPr>
            <w:tcW w:w="851" w:type="dxa"/>
            <w:tcBorders>
              <w:top w:val="nil"/>
              <w:left w:val="nil"/>
              <w:bottom w:val="nil"/>
              <w:right w:val="nil"/>
            </w:tcBorders>
            <w:shd w:val="clear" w:color="auto" w:fill="auto"/>
            <w:noWrap/>
            <w:vAlign w:val="center"/>
            <w:hideMark/>
          </w:tcPr>
          <w:p w14:paraId="7A961536" w14:textId="65EB821F"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22.49</w:t>
            </w:r>
          </w:p>
        </w:tc>
        <w:tc>
          <w:tcPr>
            <w:tcW w:w="850" w:type="dxa"/>
            <w:tcBorders>
              <w:top w:val="nil"/>
              <w:left w:val="nil"/>
              <w:bottom w:val="nil"/>
              <w:right w:val="nil"/>
            </w:tcBorders>
            <w:shd w:val="clear" w:color="auto" w:fill="auto"/>
            <w:noWrap/>
            <w:vAlign w:val="center"/>
            <w:hideMark/>
          </w:tcPr>
          <w:p w14:paraId="6AB8A543" w14:textId="71982D8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w:t>
            </w:r>
          </w:p>
        </w:tc>
        <w:tc>
          <w:tcPr>
            <w:tcW w:w="1134" w:type="dxa"/>
            <w:tcBorders>
              <w:top w:val="nil"/>
              <w:left w:val="nil"/>
              <w:bottom w:val="nil"/>
              <w:right w:val="nil"/>
            </w:tcBorders>
            <w:shd w:val="clear" w:color="auto" w:fill="auto"/>
            <w:noWrap/>
            <w:vAlign w:val="center"/>
            <w:hideMark/>
          </w:tcPr>
          <w:p w14:paraId="48A8E3DD" w14:textId="7619CB5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21</w:t>
            </w:r>
          </w:p>
        </w:tc>
      </w:tr>
      <w:tr w:rsidR="00E16CCC" w:rsidRPr="0088109E" w14:paraId="53F215FF" w14:textId="77777777" w:rsidTr="004671AB">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0B5CBD3F" w14:textId="6AD132A0" w:rsidR="00E16CCC" w:rsidRPr="0088109E" w:rsidRDefault="00E16CCC" w:rsidP="00E16CCC">
            <w:pPr>
              <w:pStyle w:val="TableParagraph"/>
              <w:jc w:val="center"/>
              <w:rPr>
                <w:highlight w:val="yellow"/>
                <w:lang w:eastAsia="en-AU"/>
              </w:rPr>
            </w:pPr>
            <w:r>
              <w:rPr>
                <w:color w:val="000000"/>
                <w:szCs w:val="14"/>
              </w:rPr>
              <w:t>No</w:t>
            </w:r>
          </w:p>
        </w:tc>
        <w:tc>
          <w:tcPr>
            <w:tcW w:w="850" w:type="dxa"/>
            <w:tcBorders>
              <w:top w:val="nil"/>
              <w:left w:val="nil"/>
              <w:bottom w:val="nil"/>
              <w:right w:val="nil"/>
            </w:tcBorders>
            <w:shd w:val="clear" w:color="auto" w:fill="auto"/>
            <w:noWrap/>
            <w:vAlign w:val="center"/>
            <w:hideMark/>
          </w:tcPr>
          <w:p w14:paraId="7FD4BF92" w14:textId="123BE2C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7</w:t>
            </w:r>
          </w:p>
        </w:tc>
        <w:tc>
          <w:tcPr>
            <w:tcW w:w="851" w:type="dxa"/>
            <w:tcBorders>
              <w:top w:val="nil"/>
              <w:left w:val="nil"/>
              <w:bottom w:val="nil"/>
              <w:right w:val="nil"/>
            </w:tcBorders>
            <w:shd w:val="clear" w:color="auto" w:fill="auto"/>
            <w:noWrap/>
            <w:vAlign w:val="center"/>
            <w:hideMark/>
          </w:tcPr>
          <w:p w14:paraId="1FC65241" w14:textId="7C6A76C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I02A</w:t>
            </w:r>
          </w:p>
        </w:tc>
        <w:tc>
          <w:tcPr>
            <w:tcW w:w="2977" w:type="dxa"/>
            <w:tcBorders>
              <w:top w:val="nil"/>
              <w:left w:val="nil"/>
              <w:bottom w:val="nil"/>
              <w:right w:val="nil"/>
            </w:tcBorders>
            <w:shd w:val="clear" w:color="auto" w:fill="auto"/>
            <w:noWrap/>
            <w:vAlign w:val="center"/>
            <w:hideMark/>
          </w:tcPr>
          <w:p w14:paraId="164E582A" w14:textId="178042D3"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Microvascular Tissue Transfers or Skin Grafts, Excluding Hand, Major Complexity</w:t>
            </w:r>
          </w:p>
        </w:tc>
        <w:tc>
          <w:tcPr>
            <w:tcW w:w="708" w:type="dxa"/>
            <w:tcBorders>
              <w:top w:val="nil"/>
              <w:left w:val="nil"/>
              <w:bottom w:val="nil"/>
              <w:right w:val="nil"/>
            </w:tcBorders>
            <w:shd w:val="clear" w:color="auto" w:fill="auto"/>
            <w:noWrap/>
            <w:vAlign w:val="center"/>
            <w:hideMark/>
          </w:tcPr>
          <w:p w14:paraId="569900D9" w14:textId="6F864E0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b/>
                <w:bCs/>
                <w:color w:val="000000"/>
                <w:szCs w:val="14"/>
              </w:rPr>
              <w:t>17.95</w:t>
            </w:r>
          </w:p>
        </w:tc>
        <w:tc>
          <w:tcPr>
            <w:tcW w:w="851" w:type="dxa"/>
            <w:tcBorders>
              <w:top w:val="nil"/>
              <w:left w:val="nil"/>
              <w:bottom w:val="nil"/>
              <w:right w:val="nil"/>
            </w:tcBorders>
            <w:shd w:val="clear" w:color="auto" w:fill="auto"/>
            <w:noWrap/>
            <w:vAlign w:val="center"/>
            <w:hideMark/>
          </w:tcPr>
          <w:p w14:paraId="46C26A82" w14:textId="5794B9E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52</w:t>
            </w:r>
          </w:p>
        </w:tc>
        <w:tc>
          <w:tcPr>
            <w:tcW w:w="992" w:type="dxa"/>
            <w:tcBorders>
              <w:top w:val="nil"/>
              <w:left w:val="nil"/>
              <w:bottom w:val="nil"/>
              <w:right w:val="nil"/>
            </w:tcBorders>
            <w:shd w:val="clear" w:color="auto" w:fill="auto"/>
            <w:noWrap/>
            <w:vAlign w:val="center"/>
            <w:hideMark/>
          </w:tcPr>
          <w:p w14:paraId="2B7CE9B9" w14:textId="087E7CB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color w:val="000000"/>
                <w:szCs w:val="14"/>
              </w:rPr>
              <w:t>933</w:t>
            </w:r>
          </w:p>
        </w:tc>
        <w:tc>
          <w:tcPr>
            <w:tcW w:w="851" w:type="dxa"/>
            <w:tcBorders>
              <w:top w:val="nil"/>
              <w:left w:val="nil"/>
              <w:bottom w:val="nil"/>
              <w:right w:val="nil"/>
            </w:tcBorders>
            <w:shd w:val="clear" w:color="auto" w:fill="auto"/>
            <w:noWrap/>
            <w:vAlign w:val="center"/>
            <w:hideMark/>
          </w:tcPr>
          <w:p w14:paraId="721F38A5" w14:textId="0E3D2F4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2,522</w:t>
            </w:r>
          </w:p>
        </w:tc>
        <w:tc>
          <w:tcPr>
            <w:tcW w:w="992" w:type="dxa"/>
            <w:tcBorders>
              <w:top w:val="nil"/>
              <w:left w:val="nil"/>
              <w:bottom w:val="nil"/>
              <w:right w:val="nil"/>
            </w:tcBorders>
            <w:shd w:val="clear" w:color="auto" w:fill="auto"/>
            <w:noWrap/>
            <w:vAlign w:val="center"/>
            <w:hideMark/>
          </w:tcPr>
          <w:p w14:paraId="32CCF4FF" w14:textId="3C1A408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48.3</w:t>
            </w:r>
          </w:p>
        </w:tc>
        <w:tc>
          <w:tcPr>
            <w:tcW w:w="567" w:type="dxa"/>
            <w:tcBorders>
              <w:top w:val="nil"/>
              <w:left w:val="nil"/>
              <w:bottom w:val="nil"/>
              <w:right w:val="nil"/>
            </w:tcBorders>
            <w:shd w:val="clear" w:color="auto" w:fill="auto"/>
            <w:noWrap/>
            <w:vAlign w:val="center"/>
            <w:hideMark/>
          </w:tcPr>
          <w:p w14:paraId="7BDFB991" w14:textId="353A436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2.65</w:t>
            </w:r>
          </w:p>
        </w:tc>
        <w:tc>
          <w:tcPr>
            <w:tcW w:w="709" w:type="dxa"/>
            <w:tcBorders>
              <w:top w:val="nil"/>
              <w:left w:val="nil"/>
              <w:bottom w:val="nil"/>
              <w:right w:val="nil"/>
            </w:tcBorders>
            <w:shd w:val="clear" w:color="auto" w:fill="auto"/>
            <w:noWrap/>
            <w:vAlign w:val="center"/>
            <w:hideMark/>
          </w:tcPr>
          <w:p w14:paraId="50DEF533" w14:textId="77149FD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8" w:type="dxa"/>
            <w:tcBorders>
              <w:top w:val="nil"/>
              <w:left w:val="nil"/>
              <w:bottom w:val="nil"/>
              <w:right w:val="nil"/>
            </w:tcBorders>
            <w:shd w:val="clear" w:color="auto" w:fill="auto"/>
            <w:noWrap/>
            <w:vAlign w:val="center"/>
            <w:hideMark/>
          </w:tcPr>
          <w:p w14:paraId="14717361" w14:textId="11E4415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0.03%</w:t>
            </w:r>
          </w:p>
        </w:tc>
        <w:tc>
          <w:tcPr>
            <w:tcW w:w="851" w:type="dxa"/>
            <w:tcBorders>
              <w:top w:val="nil"/>
              <w:left w:val="nil"/>
              <w:bottom w:val="nil"/>
              <w:right w:val="nil"/>
            </w:tcBorders>
            <w:shd w:val="clear" w:color="auto" w:fill="auto"/>
            <w:noWrap/>
            <w:vAlign w:val="center"/>
            <w:hideMark/>
          </w:tcPr>
          <w:p w14:paraId="5F641F83" w14:textId="35CACCF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15.67</w:t>
            </w:r>
          </w:p>
        </w:tc>
        <w:tc>
          <w:tcPr>
            <w:tcW w:w="850" w:type="dxa"/>
            <w:tcBorders>
              <w:top w:val="nil"/>
              <w:left w:val="nil"/>
              <w:bottom w:val="nil"/>
              <w:right w:val="nil"/>
            </w:tcBorders>
            <w:shd w:val="clear" w:color="auto" w:fill="auto"/>
            <w:noWrap/>
            <w:vAlign w:val="center"/>
            <w:hideMark/>
          </w:tcPr>
          <w:p w14:paraId="1F19C52D" w14:textId="716FD86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12</w:t>
            </w:r>
          </w:p>
        </w:tc>
        <w:tc>
          <w:tcPr>
            <w:tcW w:w="1134" w:type="dxa"/>
            <w:tcBorders>
              <w:top w:val="nil"/>
              <w:left w:val="nil"/>
              <w:bottom w:val="nil"/>
              <w:right w:val="nil"/>
            </w:tcBorders>
            <w:shd w:val="clear" w:color="auto" w:fill="auto"/>
            <w:noWrap/>
            <w:vAlign w:val="center"/>
            <w:hideMark/>
          </w:tcPr>
          <w:p w14:paraId="3AAE07FE" w14:textId="72E90DC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67</w:t>
            </w:r>
          </w:p>
        </w:tc>
      </w:tr>
      <w:tr w:rsidR="00E16CCC" w:rsidRPr="0088109E" w14:paraId="0366F19E" w14:textId="77777777" w:rsidTr="004671AB">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0942BFB7" w14:textId="7830C36D" w:rsidR="00E16CCC" w:rsidRPr="0088109E" w:rsidRDefault="00E16CCC" w:rsidP="00E16CCC">
            <w:pPr>
              <w:pStyle w:val="TableParagraph"/>
              <w:jc w:val="center"/>
              <w:rPr>
                <w:highlight w:val="yellow"/>
                <w:lang w:eastAsia="en-AU"/>
              </w:rPr>
            </w:pPr>
            <w:r>
              <w:rPr>
                <w:color w:val="000000"/>
                <w:szCs w:val="14"/>
              </w:rPr>
              <w:t>No</w:t>
            </w:r>
          </w:p>
        </w:tc>
        <w:tc>
          <w:tcPr>
            <w:tcW w:w="850" w:type="dxa"/>
            <w:tcBorders>
              <w:top w:val="nil"/>
              <w:left w:val="nil"/>
              <w:bottom w:val="nil"/>
              <w:right w:val="nil"/>
            </w:tcBorders>
            <w:shd w:val="clear" w:color="auto" w:fill="auto"/>
            <w:noWrap/>
            <w:vAlign w:val="center"/>
            <w:hideMark/>
          </w:tcPr>
          <w:p w14:paraId="60C18E6B" w14:textId="2C04B6F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8</w:t>
            </w:r>
          </w:p>
        </w:tc>
        <w:tc>
          <w:tcPr>
            <w:tcW w:w="851" w:type="dxa"/>
            <w:tcBorders>
              <w:top w:val="nil"/>
              <w:left w:val="nil"/>
              <w:bottom w:val="nil"/>
              <w:right w:val="nil"/>
            </w:tcBorders>
            <w:shd w:val="clear" w:color="auto" w:fill="auto"/>
            <w:noWrap/>
            <w:vAlign w:val="center"/>
            <w:hideMark/>
          </w:tcPr>
          <w:p w14:paraId="7C818EE3" w14:textId="2E76BC6D"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F03A</w:t>
            </w:r>
          </w:p>
        </w:tc>
        <w:tc>
          <w:tcPr>
            <w:tcW w:w="2977" w:type="dxa"/>
            <w:tcBorders>
              <w:top w:val="nil"/>
              <w:left w:val="nil"/>
              <w:bottom w:val="nil"/>
              <w:right w:val="nil"/>
            </w:tcBorders>
            <w:shd w:val="clear" w:color="auto" w:fill="auto"/>
            <w:noWrap/>
            <w:vAlign w:val="center"/>
            <w:hideMark/>
          </w:tcPr>
          <w:p w14:paraId="11538983" w14:textId="2F44A58E"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Cardiac Valve Interventions with CPB Pump with Invasive Cardiac Investigation, Major Complexity</w:t>
            </w:r>
          </w:p>
        </w:tc>
        <w:tc>
          <w:tcPr>
            <w:tcW w:w="708" w:type="dxa"/>
            <w:tcBorders>
              <w:top w:val="nil"/>
              <w:left w:val="nil"/>
              <w:bottom w:val="nil"/>
              <w:right w:val="nil"/>
            </w:tcBorders>
            <w:shd w:val="clear" w:color="auto" w:fill="auto"/>
            <w:noWrap/>
            <w:vAlign w:val="center"/>
            <w:hideMark/>
          </w:tcPr>
          <w:p w14:paraId="4CCF218F" w14:textId="69B5D89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b/>
                <w:bCs/>
                <w:color w:val="000000"/>
                <w:szCs w:val="14"/>
              </w:rPr>
              <w:t>17.45</w:t>
            </w:r>
          </w:p>
        </w:tc>
        <w:tc>
          <w:tcPr>
            <w:tcW w:w="851" w:type="dxa"/>
            <w:tcBorders>
              <w:top w:val="nil"/>
              <w:left w:val="nil"/>
              <w:bottom w:val="nil"/>
              <w:right w:val="nil"/>
            </w:tcBorders>
            <w:shd w:val="clear" w:color="auto" w:fill="auto"/>
            <w:noWrap/>
            <w:vAlign w:val="center"/>
            <w:hideMark/>
          </w:tcPr>
          <w:p w14:paraId="414742EA" w14:textId="1BA041D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91</w:t>
            </w:r>
          </w:p>
        </w:tc>
        <w:tc>
          <w:tcPr>
            <w:tcW w:w="992" w:type="dxa"/>
            <w:tcBorders>
              <w:top w:val="nil"/>
              <w:left w:val="nil"/>
              <w:bottom w:val="nil"/>
              <w:right w:val="nil"/>
            </w:tcBorders>
            <w:shd w:val="clear" w:color="auto" w:fill="auto"/>
            <w:noWrap/>
            <w:vAlign w:val="center"/>
            <w:hideMark/>
          </w:tcPr>
          <w:p w14:paraId="65DEEE49" w14:textId="1B844B2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color w:val="000000"/>
                <w:szCs w:val="14"/>
              </w:rPr>
              <w:t>1,588</w:t>
            </w:r>
          </w:p>
        </w:tc>
        <w:tc>
          <w:tcPr>
            <w:tcW w:w="851" w:type="dxa"/>
            <w:tcBorders>
              <w:top w:val="nil"/>
              <w:left w:val="nil"/>
              <w:bottom w:val="nil"/>
              <w:right w:val="nil"/>
            </w:tcBorders>
            <w:shd w:val="clear" w:color="auto" w:fill="auto"/>
            <w:noWrap/>
            <w:vAlign w:val="center"/>
            <w:hideMark/>
          </w:tcPr>
          <w:p w14:paraId="34685A36" w14:textId="6CEFEB8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2,384</w:t>
            </w:r>
          </w:p>
        </w:tc>
        <w:tc>
          <w:tcPr>
            <w:tcW w:w="992" w:type="dxa"/>
            <w:tcBorders>
              <w:top w:val="nil"/>
              <w:left w:val="nil"/>
              <w:bottom w:val="nil"/>
              <w:right w:val="nil"/>
            </w:tcBorders>
            <w:shd w:val="clear" w:color="auto" w:fill="auto"/>
            <w:noWrap/>
            <w:vAlign w:val="center"/>
            <w:hideMark/>
          </w:tcPr>
          <w:p w14:paraId="22598E7A" w14:textId="75951C2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26.2</w:t>
            </w:r>
          </w:p>
        </w:tc>
        <w:tc>
          <w:tcPr>
            <w:tcW w:w="567" w:type="dxa"/>
            <w:tcBorders>
              <w:top w:val="nil"/>
              <w:left w:val="nil"/>
              <w:bottom w:val="nil"/>
              <w:right w:val="nil"/>
            </w:tcBorders>
            <w:shd w:val="clear" w:color="auto" w:fill="auto"/>
            <w:noWrap/>
            <w:vAlign w:val="center"/>
            <w:hideMark/>
          </w:tcPr>
          <w:p w14:paraId="60BBB563" w14:textId="73C0542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0.94</w:t>
            </w:r>
          </w:p>
        </w:tc>
        <w:tc>
          <w:tcPr>
            <w:tcW w:w="709" w:type="dxa"/>
            <w:tcBorders>
              <w:top w:val="nil"/>
              <w:left w:val="nil"/>
              <w:bottom w:val="nil"/>
              <w:right w:val="nil"/>
            </w:tcBorders>
            <w:shd w:val="clear" w:color="auto" w:fill="auto"/>
            <w:noWrap/>
            <w:vAlign w:val="center"/>
            <w:hideMark/>
          </w:tcPr>
          <w:p w14:paraId="1C2A735B" w14:textId="43273E0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8" w:type="dxa"/>
            <w:tcBorders>
              <w:top w:val="nil"/>
              <w:left w:val="nil"/>
              <w:bottom w:val="nil"/>
              <w:right w:val="nil"/>
            </w:tcBorders>
            <w:shd w:val="clear" w:color="auto" w:fill="auto"/>
            <w:noWrap/>
            <w:vAlign w:val="center"/>
            <w:hideMark/>
          </w:tcPr>
          <w:p w14:paraId="23981C1D" w14:textId="70C5811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0.05%</w:t>
            </w:r>
          </w:p>
        </w:tc>
        <w:tc>
          <w:tcPr>
            <w:tcW w:w="851" w:type="dxa"/>
            <w:tcBorders>
              <w:top w:val="nil"/>
              <w:left w:val="nil"/>
              <w:bottom w:val="nil"/>
              <w:right w:val="nil"/>
            </w:tcBorders>
            <w:shd w:val="clear" w:color="auto" w:fill="auto"/>
            <w:noWrap/>
            <w:vAlign w:val="center"/>
            <w:hideMark/>
          </w:tcPr>
          <w:p w14:paraId="1D7B44E7" w14:textId="7F9E215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15.85</w:t>
            </w:r>
          </w:p>
        </w:tc>
        <w:tc>
          <w:tcPr>
            <w:tcW w:w="850" w:type="dxa"/>
            <w:tcBorders>
              <w:top w:val="nil"/>
              <w:left w:val="nil"/>
              <w:bottom w:val="nil"/>
              <w:right w:val="nil"/>
            </w:tcBorders>
            <w:shd w:val="clear" w:color="auto" w:fill="auto"/>
            <w:noWrap/>
            <w:vAlign w:val="center"/>
            <w:hideMark/>
          </w:tcPr>
          <w:p w14:paraId="1D0F0685" w14:textId="6794DEC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11</w:t>
            </w:r>
          </w:p>
        </w:tc>
        <w:tc>
          <w:tcPr>
            <w:tcW w:w="1134" w:type="dxa"/>
            <w:tcBorders>
              <w:top w:val="nil"/>
              <w:left w:val="nil"/>
              <w:bottom w:val="nil"/>
              <w:right w:val="nil"/>
            </w:tcBorders>
            <w:shd w:val="clear" w:color="auto" w:fill="auto"/>
            <w:noWrap/>
            <w:vAlign w:val="center"/>
            <w:hideMark/>
          </w:tcPr>
          <w:p w14:paraId="6479E36C" w14:textId="49C3E76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284</w:t>
            </w:r>
          </w:p>
        </w:tc>
      </w:tr>
      <w:tr w:rsidR="00E16CCC" w:rsidRPr="0088109E" w14:paraId="6EF6E690" w14:textId="77777777" w:rsidTr="004671AB">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1F4FF7B1" w14:textId="05142FC9" w:rsidR="00E16CCC" w:rsidRPr="0088109E" w:rsidRDefault="00E16CCC" w:rsidP="00E16CCC">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59DE0B1B" w14:textId="46B429D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9</w:t>
            </w:r>
          </w:p>
        </w:tc>
        <w:tc>
          <w:tcPr>
            <w:tcW w:w="851" w:type="dxa"/>
            <w:tcBorders>
              <w:top w:val="nil"/>
              <w:left w:val="nil"/>
              <w:bottom w:val="nil"/>
              <w:right w:val="nil"/>
            </w:tcBorders>
            <w:shd w:val="clear" w:color="auto" w:fill="auto"/>
            <w:noWrap/>
            <w:vAlign w:val="center"/>
            <w:hideMark/>
          </w:tcPr>
          <w:p w14:paraId="365CE16D" w14:textId="52017E2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A14C</w:t>
            </w:r>
          </w:p>
        </w:tc>
        <w:tc>
          <w:tcPr>
            <w:tcW w:w="2977" w:type="dxa"/>
            <w:tcBorders>
              <w:top w:val="nil"/>
              <w:left w:val="nil"/>
              <w:bottom w:val="nil"/>
              <w:right w:val="nil"/>
            </w:tcBorders>
            <w:shd w:val="clear" w:color="auto" w:fill="auto"/>
            <w:noWrap/>
            <w:vAlign w:val="center"/>
            <w:hideMark/>
          </w:tcPr>
          <w:p w14:paraId="2440EB8A" w14:textId="3ECA9670"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Ventilation &gt;= 96 Hours and &lt; 336 Hours, Minor Complexity</w:t>
            </w:r>
          </w:p>
        </w:tc>
        <w:tc>
          <w:tcPr>
            <w:tcW w:w="708" w:type="dxa"/>
            <w:tcBorders>
              <w:top w:val="nil"/>
              <w:left w:val="nil"/>
              <w:bottom w:val="nil"/>
              <w:right w:val="nil"/>
            </w:tcBorders>
            <w:shd w:val="clear" w:color="auto" w:fill="auto"/>
            <w:noWrap/>
            <w:vAlign w:val="center"/>
            <w:hideMark/>
          </w:tcPr>
          <w:p w14:paraId="6998D7E9" w14:textId="245C9A1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b/>
                <w:bCs/>
                <w:color w:val="000000"/>
                <w:szCs w:val="14"/>
              </w:rPr>
              <w:t>17.43</w:t>
            </w:r>
          </w:p>
        </w:tc>
        <w:tc>
          <w:tcPr>
            <w:tcW w:w="851" w:type="dxa"/>
            <w:tcBorders>
              <w:top w:val="nil"/>
              <w:left w:val="nil"/>
              <w:bottom w:val="nil"/>
              <w:right w:val="nil"/>
            </w:tcBorders>
            <w:shd w:val="clear" w:color="auto" w:fill="auto"/>
            <w:noWrap/>
            <w:vAlign w:val="center"/>
            <w:hideMark/>
          </w:tcPr>
          <w:p w14:paraId="279FEA20" w14:textId="2EB1332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288</w:t>
            </w:r>
          </w:p>
        </w:tc>
        <w:tc>
          <w:tcPr>
            <w:tcW w:w="992" w:type="dxa"/>
            <w:tcBorders>
              <w:top w:val="nil"/>
              <w:left w:val="nil"/>
              <w:bottom w:val="nil"/>
              <w:right w:val="nil"/>
            </w:tcBorders>
            <w:shd w:val="clear" w:color="auto" w:fill="auto"/>
            <w:noWrap/>
            <w:vAlign w:val="center"/>
            <w:hideMark/>
          </w:tcPr>
          <w:p w14:paraId="3CE5975B" w14:textId="63AF78E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color w:val="000000"/>
                <w:szCs w:val="14"/>
              </w:rPr>
              <w:t>5,020</w:t>
            </w:r>
          </w:p>
        </w:tc>
        <w:tc>
          <w:tcPr>
            <w:tcW w:w="851" w:type="dxa"/>
            <w:tcBorders>
              <w:top w:val="nil"/>
              <w:left w:val="nil"/>
              <w:bottom w:val="nil"/>
              <w:right w:val="nil"/>
            </w:tcBorders>
            <w:shd w:val="clear" w:color="auto" w:fill="auto"/>
            <w:noWrap/>
            <w:vAlign w:val="center"/>
            <w:hideMark/>
          </w:tcPr>
          <w:p w14:paraId="4EEC4DB5" w14:textId="769C4C3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6,613</w:t>
            </w:r>
          </w:p>
        </w:tc>
        <w:tc>
          <w:tcPr>
            <w:tcW w:w="992" w:type="dxa"/>
            <w:tcBorders>
              <w:top w:val="nil"/>
              <w:left w:val="nil"/>
              <w:bottom w:val="nil"/>
              <w:right w:val="nil"/>
            </w:tcBorders>
            <w:shd w:val="clear" w:color="auto" w:fill="auto"/>
            <w:noWrap/>
            <w:vAlign w:val="center"/>
            <w:hideMark/>
          </w:tcPr>
          <w:p w14:paraId="5A6DF5D0" w14:textId="535FBCF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23.0</w:t>
            </w:r>
          </w:p>
        </w:tc>
        <w:tc>
          <w:tcPr>
            <w:tcW w:w="567" w:type="dxa"/>
            <w:tcBorders>
              <w:top w:val="nil"/>
              <w:left w:val="nil"/>
              <w:bottom w:val="nil"/>
              <w:right w:val="nil"/>
            </w:tcBorders>
            <w:shd w:val="clear" w:color="auto" w:fill="auto"/>
            <w:noWrap/>
            <w:vAlign w:val="center"/>
            <w:hideMark/>
          </w:tcPr>
          <w:p w14:paraId="477C1D54" w14:textId="5880DC6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0.87</w:t>
            </w:r>
          </w:p>
        </w:tc>
        <w:tc>
          <w:tcPr>
            <w:tcW w:w="709" w:type="dxa"/>
            <w:tcBorders>
              <w:top w:val="nil"/>
              <w:left w:val="nil"/>
              <w:bottom w:val="nil"/>
              <w:right w:val="nil"/>
            </w:tcBorders>
            <w:shd w:val="clear" w:color="auto" w:fill="auto"/>
            <w:noWrap/>
            <w:vAlign w:val="center"/>
            <w:hideMark/>
          </w:tcPr>
          <w:p w14:paraId="7F7E0783" w14:textId="59675EF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0.01%</w:t>
            </w:r>
          </w:p>
        </w:tc>
        <w:tc>
          <w:tcPr>
            <w:tcW w:w="708" w:type="dxa"/>
            <w:tcBorders>
              <w:top w:val="nil"/>
              <w:left w:val="nil"/>
              <w:bottom w:val="nil"/>
              <w:right w:val="nil"/>
            </w:tcBorders>
            <w:shd w:val="clear" w:color="auto" w:fill="auto"/>
            <w:noWrap/>
            <w:vAlign w:val="center"/>
            <w:hideMark/>
          </w:tcPr>
          <w:p w14:paraId="20F3314A" w14:textId="15528BCF"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0.15%</w:t>
            </w:r>
          </w:p>
        </w:tc>
        <w:tc>
          <w:tcPr>
            <w:tcW w:w="851" w:type="dxa"/>
            <w:tcBorders>
              <w:top w:val="nil"/>
              <w:left w:val="nil"/>
              <w:bottom w:val="nil"/>
              <w:right w:val="nil"/>
            </w:tcBorders>
            <w:shd w:val="clear" w:color="auto" w:fill="auto"/>
            <w:noWrap/>
            <w:vAlign w:val="center"/>
            <w:hideMark/>
          </w:tcPr>
          <w:p w14:paraId="2CB6B1BC" w14:textId="59C9C4E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16.77</w:t>
            </w:r>
          </w:p>
        </w:tc>
        <w:tc>
          <w:tcPr>
            <w:tcW w:w="850" w:type="dxa"/>
            <w:tcBorders>
              <w:top w:val="nil"/>
              <w:left w:val="nil"/>
              <w:bottom w:val="nil"/>
              <w:right w:val="nil"/>
            </w:tcBorders>
            <w:shd w:val="clear" w:color="auto" w:fill="auto"/>
            <w:noWrap/>
            <w:vAlign w:val="center"/>
            <w:hideMark/>
          </w:tcPr>
          <w:p w14:paraId="77CD4891" w14:textId="34FAE82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w:t>
            </w:r>
          </w:p>
        </w:tc>
        <w:tc>
          <w:tcPr>
            <w:tcW w:w="1134" w:type="dxa"/>
            <w:tcBorders>
              <w:top w:val="nil"/>
              <w:left w:val="nil"/>
              <w:bottom w:val="nil"/>
              <w:right w:val="nil"/>
            </w:tcBorders>
            <w:shd w:val="clear" w:color="auto" w:fill="auto"/>
            <w:noWrap/>
            <w:vAlign w:val="center"/>
            <w:hideMark/>
          </w:tcPr>
          <w:p w14:paraId="1965E9A0" w14:textId="0CE38C6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178</w:t>
            </w:r>
          </w:p>
        </w:tc>
      </w:tr>
      <w:tr w:rsidR="00E16CCC" w:rsidRPr="0088109E" w14:paraId="7D867C13" w14:textId="77777777" w:rsidTr="004671AB">
        <w:trPr>
          <w:trHeight w:val="369"/>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10F80E23" w14:textId="31D1B05E" w:rsidR="00E16CCC" w:rsidRPr="0088109E" w:rsidRDefault="00E16CCC" w:rsidP="00E16CCC">
            <w:pPr>
              <w:pStyle w:val="TableParagraph"/>
              <w:jc w:val="center"/>
              <w:rPr>
                <w:highlight w:val="yellow"/>
                <w:lang w:eastAsia="en-AU"/>
              </w:rPr>
            </w:pPr>
            <w:r>
              <w:rPr>
                <w:color w:val="000000"/>
                <w:szCs w:val="14"/>
              </w:rPr>
              <w:t>No</w:t>
            </w:r>
          </w:p>
        </w:tc>
        <w:tc>
          <w:tcPr>
            <w:tcW w:w="850" w:type="dxa"/>
            <w:tcBorders>
              <w:top w:val="nil"/>
              <w:left w:val="nil"/>
              <w:bottom w:val="nil"/>
              <w:right w:val="nil"/>
            </w:tcBorders>
            <w:shd w:val="clear" w:color="auto" w:fill="auto"/>
            <w:noWrap/>
            <w:vAlign w:val="center"/>
            <w:hideMark/>
          </w:tcPr>
          <w:p w14:paraId="174316E1" w14:textId="2B8AF250"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w:t>
            </w:r>
          </w:p>
        </w:tc>
        <w:tc>
          <w:tcPr>
            <w:tcW w:w="851" w:type="dxa"/>
            <w:tcBorders>
              <w:top w:val="nil"/>
              <w:left w:val="nil"/>
              <w:bottom w:val="nil"/>
              <w:right w:val="nil"/>
            </w:tcBorders>
            <w:shd w:val="clear" w:color="auto" w:fill="auto"/>
            <w:noWrap/>
            <w:vAlign w:val="center"/>
            <w:hideMark/>
          </w:tcPr>
          <w:p w14:paraId="03D17821" w14:textId="757BF26F"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P64B</w:t>
            </w:r>
          </w:p>
        </w:tc>
        <w:tc>
          <w:tcPr>
            <w:tcW w:w="2977" w:type="dxa"/>
            <w:tcBorders>
              <w:top w:val="nil"/>
              <w:left w:val="nil"/>
              <w:bottom w:val="nil"/>
              <w:right w:val="nil"/>
            </w:tcBorders>
            <w:shd w:val="clear" w:color="auto" w:fill="auto"/>
            <w:noWrap/>
            <w:vAlign w:val="center"/>
            <w:hideMark/>
          </w:tcPr>
          <w:p w14:paraId="15FA3AEB" w14:textId="253193BA"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Neonate, Admission Weight 1250-1499g without Significant GI or Ventilation &gt;= 96 Hours, Minor Complexity</w:t>
            </w:r>
          </w:p>
        </w:tc>
        <w:tc>
          <w:tcPr>
            <w:tcW w:w="708" w:type="dxa"/>
            <w:tcBorders>
              <w:top w:val="nil"/>
              <w:left w:val="nil"/>
              <w:bottom w:val="nil"/>
              <w:right w:val="nil"/>
            </w:tcBorders>
            <w:shd w:val="clear" w:color="auto" w:fill="auto"/>
            <w:noWrap/>
            <w:vAlign w:val="center"/>
            <w:hideMark/>
          </w:tcPr>
          <w:p w14:paraId="3BB3144D" w14:textId="7DDCD8C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b/>
                <w:bCs/>
                <w:color w:val="000000"/>
                <w:szCs w:val="14"/>
              </w:rPr>
              <w:t>17.28</w:t>
            </w:r>
          </w:p>
        </w:tc>
        <w:tc>
          <w:tcPr>
            <w:tcW w:w="851" w:type="dxa"/>
            <w:tcBorders>
              <w:top w:val="nil"/>
              <w:left w:val="nil"/>
              <w:bottom w:val="nil"/>
              <w:right w:val="nil"/>
            </w:tcBorders>
            <w:shd w:val="clear" w:color="auto" w:fill="auto"/>
            <w:noWrap/>
            <w:vAlign w:val="center"/>
            <w:hideMark/>
          </w:tcPr>
          <w:p w14:paraId="601E9A06" w14:textId="03A8245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12</w:t>
            </w:r>
          </w:p>
        </w:tc>
        <w:tc>
          <w:tcPr>
            <w:tcW w:w="992" w:type="dxa"/>
            <w:tcBorders>
              <w:top w:val="nil"/>
              <w:left w:val="nil"/>
              <w:bottom w:val="nil"/>
              <w:right w:val="nil"/>
            </w:tcBorders>
            <w:shd w:val="clear" w:color="auto" w:fill="auto"/>
            <w:noWrap/>
            <w:vAlign w:val="center"/>
            <w:hideMark/>
          </w:tcPr>
          <w:p w14:paraId="1107C009" w14:textId="487C954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color w:val="000000"/>
                <w:szCs w:val="14"/>
              </w:rPr>
              <w:t>207</w:t>
            </w:r>
          </w:p>
        </w:tc>
        <w:tc>
          <w:tcPr>
            <w:tcW w:w="851" w:type="dxa"/>
            <w:tcBorders>
              <w:top w:val="nil"/>
              <w:left w:val="nil"/>
              <w:bottom w:val="nil"/>
              <w:right w:val="nil"/>
            </w:tcBorders>
            <w:shd w:val="clear" w:color="auto" w:fill="auto"/>
            <w:noWrap/>
            <w:vAlign w:val="center"/>
            <w:hideMark/>
          </w:tcPr>
          <w:p w14:paraId="715EC34D" w14:textId="6106ECD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426</w:t>
            </w:r>
          </w:p>
        </w:tc>
        <w:tc>
          <w:tcPr>
            <w:tcW w:w="992" w:type="dxa"/>
            <w:tcBorders>
              <w:top w:val="nil"/>
              <w:left w:val="nil"/>
              <w:bottom w:val="nil"/>
              <w:right w:val="nil"/>
            </w:tcBorders>
            <w:shd w:val="clear" w:color="auto" w:fill="auto"/>
            <w:noWrap/>
            <w:vAlign w:val="center"/>
            <w:hideMark/>
          </w:tcPr>
          <w:p w14:paraId="5B775D5A" w14:textId="7C64E87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34.2</w:t>
            </w:r>
          </w:p>
        </w:tc>
        <w:tc>
          <w:tcPr>
            <w:tcW w:w="567" w:type="dxa"/>
            <w:tcBorders>
              <w:top w:val="nil"/>
              <w:left w:val="nil"/>
              <w:bottom w:val="nil"/>
              <w:right w:val="nil"/>
            </w:tcBorders>
            <w:shd w:val="clear" w:color="auto" w:fill="auto"/>
            <w:noWrap/>
            <w:vAlign w:val="center"/>
            <w:hideMark/>
          </w:tcPr>
          <w:p w14:paraId="0D45339E" w14:textId="6167801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1.50</w:t>
            </w:r>
          </w:p>
        </w:tc>
        <w:tc>
          <w:tcPr>
            <w:tcW w:w="709" w:type="dxa"/>
            <w:tcBorders>
              <w:top w:val="nil"/>
              <w:left w:val="nil"/>
              <w:bottom w:val="nil"/>
              <w:right w:val="nil"/>
            </w:tcBorders>
            <w:shd w:val="clear" w:color="auto" w:fill="auto"/>
            <w:noWrap/>
            <w:vAlign w:val="center"/>
            <w:hideMark/>
          </w:tcPr>
          <w:p w14:paraId="32D9F9C8" w14:textId="5C17BD4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8" w:type="dxa"/>
            <w:tcBorders>
              <w:top w:val="nil"/>
              <w:left w:val="nil"/>
              <w:bottom w:val="nil"/>
              <w:right w:val="nil"/>
            </w:tcBorders>
            <w:shd w:val="clear" w:color="auto" w:fill="auto"/>
            <w:noWrap/>
            <w:vAlign w:val="center"/>
            <w:hideMark/>
          </w:tcPr>
          <w:p w14:paraId="6F504F23" w14:textId="3C69C52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0.01%</w:t>
            </w:r>
          </w:p>
        </w:tc>
        <w:tc>
          <w:tcPr>
            <w:tcW w:w="851" w:type="dxa"/>
            <w:tcBorders>
              <w:top w:val="nil"/>
              <w:left w:val="nil"/>
              <w:bottom w:val="nil"/>
              <w:right w:val="nil"/>
            </w:tcBorders>
            <w:shd w:val="clear" w:color="auto" w:fill="auto"/>
            <w:noWrap/>
            <w:vAlign w:val="center"/>
            <w:hideMark/>
          </w:tcPr>
          <w:p w14:paraId="76F8D79D" w14:textId="1BE4D64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10.52</w:t>
            </w:r>
          </w:p>
        </w:tc>
        <w:tc>
          <w:tcPr>
            <w:tcW w:w="850" w:type="dxa"/>
            <w:tcBorders>
              <w:top w:val="nil"/>
              <w:left w:val="nil"/>
              <w:bottom w:val="nil"/>
              <w:right w:val="nil"/>
            </w:tcBorders>
            <w:shd w:val="clear" w:color="auto" w:fill="auto"/>
            <w:noWrap/>
            <w:vAlign w:val="center"/>
            <w:hideMark/>
          </w:tcPr>
          <w:p w14:paraId="4374A370" w14:textId="5249D39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40</w:t>
            </w:r>
          </w:p>
        </w:tc>
        <w:tc>
          <w:tcPr>
            <w:tcW w:w="1134" w:type="dxa"/>
            <w:tcBorders>
              <w:top w:val="nil"/>
              <w:left w:val="nil"/>
              <w:bottom w:val="nil"/>
              <w:right w:val="nil"/>
            </w:tcBorders>
            <w:shd w:val="clear" w:color="auto" w:fill="auto"/>
            <w:noWrap/>
            <w:vAlign w:val="center"/>
            <w:hideMark/>
          </w:tcPr>
          <w:p w14:paraId="6CAECDD6" w14:textId="30160AF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40</w:t>
            </w:r>
          </w:p>
        </w:tc>
      </w:tr>
      <w:tr w:rsidR="001112A9" w:rsidRPr="0088109E" w14:paraId="2800B67C" w14:textId="77777777" w:rsidTr="00E437B3">
        <w:trPr>
          <w:trHeight w:val="283"/>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single" w:sz="4" w:space="0" w:color="D9D9D9" w:themeColor="background2" w:themeShade="D9"/>
              <w:left w:val="nil"/>
              <w:right w:val="nil"/>
            </w:tcBorders>
            <w:shd w:val="clear" w:color="auto" w:fill="DFEBF1" w:themeFill="text2" w:themeFillTint="1A"/>
            <w:noWrap/>
            <w:vAlign w:val="center"/>
          </w:tcPr>
          <w:p w14:paraId="65676740" w14:textId="5D274DE0" w:rsidR="00E16CCC" w:rsidRPr="005629F8" w:rsidRDefault="00E16CCC" w:rsidP="00E16CCC">
            <w:pPr>
              <w:pStyle w:val="TableParagraph"/>
              <w:jc w:val="center"/>
              <w:rPr>
                <w:color w:val="000000"/>
                <w:szCs w:val="14"/>
              </w:rPr>
            </w:pPr>
            <w:r w:rsidRPr="004D1ACD">
              <w:rPr>
                <w:color w:val="000000"/>
                <w:szCs w:val="14"/>
              </w:rPr>
              <w:t>7</w:t>
            </w:r>
            <w:r>
              <w:rPr>
                <w:color w:val="000000"/>
                <w:szCs w:val="14"/>
              </w:rPr>
              <w:t xml:space="preserve"> </w:t>
            </w:r>
            <w:r w:rsidRPr="004D1ACD">
              <w:rPr>
                <w:color w:val="000000"/>
                <w:szCs w:val="14"/>
              </w:rPr>
              <w:t>in</w:t>
            </w:r>
          </w:p>
          <w:p w14:paraId="2B52D359" w14:textId="78E1C227" w:rsidR="00E16CCC" w:rsidRPr="005629F8" w:rsidRDefault="00E16CCC" w:rsidP="00E16CCC">
            <w:pPr>
              <w:pStyle w:val="TableParagraph"/>
              <w:jc w:val="center"/>
              <w:rPr>
                <w:color w:val="000000"/>
                <w:szCs w:val="14"/>
              </w:rPr>
            </w:pPr>
            <w:r>
              <w:rPr>
                <w:color w:val="000000"/>
                <w:szCs w:val="14"/>
              </w:rPr>
              <w:t>t</w:t>
            </w:r>
            <w:r w:rsidRPr="004D1ACD">
              <w:rPr>
                <w:color w:val="000000"/>
                <w:szCs w:val="14"/>
              </w:rPr>
              <w:t>op 10</w:t>
            </w:r>
          </w:p>
        </w:tc>
        <w:tc>
          <w:tcPr>
            <w:tcW w:w="4678" w:type="dxa"/>
            <w:gridSpan w:val="3"/>
            <w:tcBorders>
              <w:top w:val="single" w:sz="4" w:space="0" w:color="D9D9D9" w:themeColor="background2" w:themeShade="D9"/>
              <w:left w:val="nil"/>
              <w:bottom w:val="nil"/>
              <w:right w:val="single" w:sz="4" w:space="0" w:color="FFFFFF" w:themeColor="accent6"/>
            </w:tcBorders>
            <w:shd w:val="clear" w:color="auto" w:fill="DFEBF1" w:themeFill="text2" w:themeFillTint="1A"/>
            <w:noWrap/>
            <w:vAlign w:val="center"/>
          </w:tcPr>
          <w:p w14:paraId="2382CD48" w14:textId="3D78D41E" w:rsidR="00E16CCC" w:rsidRPr="005629F8"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Sub-total, top 10 highest cost weight</w:t>
            </w:r>
          </w:p>
        </w:tc>
        <w:tc>
          <w:tcPr>
            <w:tcW w:w="708" w:type="dxa"/>
            <w:tcBorders>
              <w:top w:val="single" w:sz="4" w:space="0" w:color="D9D9D9" w:themeColor="background2" w:themeShade="D9"/>
              <w:left w:val="single" w:sz="4" w:space="0" w:color="FFFFFF" w:themeColor="accent6"/>
              <w:bottom w:val="nil"/>
              <w:right w:val="nil"/>
            </w:tcBorders>
            <w:shd w:val="clear" w:color="auto" w:fill="DFEBF1" w:themeFill="text2" w:themeFillTint="1A"/>
            <w:noWrap/>
          </w:tcPr>
          <w:p w14:paraId="6C0A15BA" w14:textId="027B3075"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24.27</w:t>
            </w:r>
          </w:p>
        </w:tc>
        <w:tc>
          <w:tcPr>
            <w:tcW w:w="851" w:type="dxa"/>
            <w:tcBorders>
              <w:top w:val="single" w:sz="4" w:space="0" w:color="D9D9D9" w:themeColor="background2" w:themeShade="D9"/>
              <w:left w:val="nil"/>
              <w:bottom w:val="nil"/>
              <w:right w:val="nil"/>
            </w:tcBorders>
            <w:shd w:val="clear" w:color="auto" w:fill="DFEBF1" w:themeFill="text2" w:themeFillTint="1A"/>
            <w:noWrap/>
          </w:tcPr>
          <w:p w14:paraId="59F060DA" w14:textId="250A8587"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1,222</w:t>
            </w:r>
          </w:p>
        </w:tc>
        <w:tc>
          <w:tcPr>
            <w:tcW w:w="992" w:type="dxa"/>
            <w:tcBorders>
              <w:top w:val="single" w:sz="4" w:space="0" w:color="D9D9D9" w:themeColor="background2" w:themeShade="D9"/>
              <w:left w:val="nil"/>
              <w:bottom w:val="nil"/>
              <w:right w:val="nil"/>
            </w:tcBorders>
            <w:shd w:val="clear" w:color="auto" w:fill="DFEBF1" w:themeFill="text2" w:themeFillTint="1A"/>
            <w:noWrap/>
          </w:tcPr>
          <w:p w14:paraId="75C074C4" w14:textId="6F48D2B1"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29,654</w:t>
            </w:r>
          </w:p>
        </w:tc>
        <w:tc>
          <w:tcPr>
            <w:tcW w:w="851" w:type="dxa"/>
            <w:tcBorders>
              <w:top w:val="single" w:sz="4" w:space="0" w:color="D9D9D9" w:themeColor="background2" w:themeShade="D9"/>
              <w:left w:val="nil"/>
              <w:bottom w:val="nil"/>
              <w:right w:val="nil"/>
            </w:tcBorders>
            <w:shd w:val="clear" w:color="auto" w:fill="DFEBF1" w:themeFill="text2" w:themeFillTint="1A"/>
            <w:noWrap/>
          </w:tcPr>
          <w:p w14:paraId="734C80C8" w14:textId="2471DAD3"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39,892</w:t>
            </w:r>
          </w:p>
        </w:tc>
        <w:tc>
          <w:tcPr>
            <w:tcW w:w="992" w:type="dxa"/>
            <w:tcBorders>
              <w:top w:val="single" w:sz="4" w:space="0" w:color="D9D9D9" w:themeColor="background2" w:themeShade="D9"/>
              <w:left w:val="nil"/>
              <w:bottom w:val="nil"/>
              <w:right w:val="nil"/>
            </w:tcBorders>
            <w:shd w:val="clear" w:color="auto" w:fill="DFEBF1" w:themeFill="text2" w:themeFillTint="1A"/>
            <w:noWrap/>
          </w:tcPr>
          <w:p w14:paraId="58F562FA" w14:textId="611AC73C"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32.7</w:t>
            </w:r>
          </w:p>
        </w:tc>
        <w:tc>
          <w:tcPr>
            <w:tcW w:w="567" w:type="dxa"/>
            <w:tcBorders>
              <w:top w:val="single" w:sz="4" w:space="0" w:color="D9D9D9" w:themeColor="background2" w:themeShade="D9"/>
              <w:right w:val="single" w:sz="4" w:space="0" w:color="FFFFFF" w:themeColor="accent6"/>
            </w:tcBorders>
            <w:shd w:val="clear" w:color="auto" w:fill="DFEBF1" w:themeFill="text2" w:themeFillTint="1A"/>
            <w:noWrap/>
          </w:tcPr>
          <w:p w14:paraId="58E3076E" w14:textId="77777777"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709" w:type="dxa"/>
            <w:tcBorders>
              <w:top w:val="single" w:sz="4" w:space="0" w:color="D9D9D9" w:themeColor="background2" w:themeShade="D9"/>
              <w:left w:val="single" w:sz="4" w:space="0" w:color="FFFFFF" w:themeColor="accent6"/>
              <w:right w:val="nil"/>
            </w:tcBorders>
            <w:shd w:val="clear" w:color="auto" w:fill="DFEBF1" w:themeFill="text2" w:themeFillTint="1A"/>
            <w:noWrap/>
          </w:tcPr>
          <w:p w14:paraId="18A0F568" w14:textId="2DEC61FF"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0.04%</w:t>
            </w:r>
          </w:p>
        </w:tc>
        <w:tc>
          <w:tcPr>
            <w:tcW w:w="708" w:type="dxa"/>
            <w:tcBorders>
              <w:top w:val="single" w:sz="4" w:space="0" w:color="D9D9D9" w:themeColor="background2" w:themeShade="D9"/>
              <w:left w:val="nil"/>
              <w:bottom w:val="nil"/>
              <w:right w:val="single" w:sz="4" w:space="0" w:color="FFFFFF" w:themeColor="accent6"/>
            </w:tcBorders>
            <w:shd w:val="clear" w:color="auto" w:fill="DFEBF1" w:themeFill="text2" w:themeFillTint="1A"/>
            <w:noWrap/>
          </w:tcPr>
          <w:p w14:paraId="71F36694" w14:textId="021BB4AD"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0.86%</w:t>
            </w:r>
          </w:p>
        </w:tc>
        <w:tc>
          <w:tcPr>
            <w:tcW w:w="851" w:type="dxa"/>
            <w:tcBorders>
              <w:top w:val="single" w:sz="4" w:space="0" w:color="D9D9D9" w:themeColor="background2" w:themeShade="D9"/>
              <w:left w:val="single" w:sz="4" w:space="0" w:color="FFFFFF" w:themeColor="accent6"/>
            </w:tcBorders>
            <w:shd w:val="clear" w:color="auto" w:fill="DFEBF1" w:themeFill="text2" w:themeFillTint="1A"/>
            <w:noWrap/>
          </w:tcPr>
          <w:p w14:paraId="21B326C4" w14:textId="77777777"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tcBorders>
              <w:top w:val="single" w:sz="4" w:space="0" w:color="D9D9D9" w:themeColor="background2" w:themeShade="D9"/>
            </w:tcBorders>
            <w:shd w:val="clear" w:color="auto" w:fill="DFEBF1" w:themeFill="text2" w:themeFillTint="1A"/>
            <w:noWrap/>
          </w:tcPr>
          <w:p w14:paraId="70E2EF5D" w14:textId="77777777"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tcBorders>
              <w:top w:val="single" w:sz="4" w:space="0" w:color="D9D9D9" w:themeColor="background2" w:themeShade="D9"/>
            </w:tcBorders>
            <w:shd w:val="clear" w:color="auto" w:fill="DFEBF1" w:themeFill="text2" w:themeFillTint="1A"/>
            <w:noWrap/>
          </w:tcPr>
          <w:p w14:paraId="4D05AB89" w14:textId="77777777"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1112A9" w:rsidRPr="0088109E" w14:paraId="704EACDF" w14:textId="77777777" w:rsidTr="00E437B3">
        <w:trPr>
          <w:trHeight w:val="246"/>
        </w:trPr>
        <w:tc>
          <w:tcPr>
            <w:cnfStyle w:val="001000000000" w:firstRow="0" w:lastRow="0" w:firstColumn="1" w:lastColumn="0" w:oddVBand="0" w:evenVBand="0" w:oddHBand="0" w:evenHBand="0" w:firstRowFirstColumn="0" w:firstRowLastColumn="0" w:lastRowFirstColumn="0" w:lastRowLastColumn="0"/>
            <w:tcW w:w="851" w:type="dxa"/>
            <w:vMerge/>
            <w:tcBorders>
              <w:left w:val="nil"/>
              <w:right w:val="nil"/>
            </w:tcBorders>
            <w:shd w:val="clear" w:color="auto" w:fill="DFEBF1" w:themeFill="text2" w:themeFillTint="1A"/>
            <w:noWrap/>
            <w:vAlign w:val="center"/>
          </w:tcPr>
          <w:p w14:paraId="3E657702" w14:textId="57A34058" w:rsidR="00E16CCC" w:rsidRPr="005629F8" w:rsidRDefault="00E16CCC" w:rsidP="00E16CCC">
            <w:pPr>
              <w:pStyle w:val="TableParagraph"/>
              <w:jc w:val="center"/>
              <w:rPr>
                <w:color w:val="000000"/>
                <w:szCs w:val="14"/>
              </w:rPr>
            </w:pPr>
          </w:p>
        </w:tc>
        <w:tc>
          <w:tcPr>
            <w:tcW w:w="4678" w:type="dxa"/>
            <w:gridSpan w:val="3"/>
            <w:tcBorders>
              <w:top w:val="nil"/>
              <w:left w:val="nil"/>
              <w:bottom w:val="nil"/>
              <w:right w:val="single" w:sz="4" w:space="0" w:color="FFFFFF" w:themeColor="accent6"/>
            </w:tcBorders>
            <w:shd w:val="clear" w:color="auto" w:fill="DFEBF1" w:themeFill="text2" w:themeFillTint="1A"/>
            <w:noWrap/>
            <w:vAlign w:val="center"/>
          </w:tcPr>
          <w:p w14:paraId="559357E6" w14:textId="0C248DB5" w:rsidR="00E16CCC" w:rsidRPr="005629F8"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 xml:space="preserve">All </w:t>
            </w:r>
            <w:r>
              <w:rPr>
                <w:b/>
                <w:bCs/>
                <w:color w:val="000000"/>
                <w:szCs w:val="14"/>
              </w:rPr>
              <w:t>AR-</w:t>
            </w:r>
            <w:r w:rsidRPr="0088109E">
              <w:rPr>
                <w:b/>
                <w:bCs/>
                <w:color w:val="000000"/>
                <w:szCs w:val="14"/>
              </w:rPr>
              <w:t>DRGs</w:t>
            </w:r>
          </w:p>
        </w:tc>
        <w:tc>
          <w:tcPr>
            <w:tcW w:w="708" w:type="dxa"/>
            <w:tcBorders>
              <w:top w:val="nil"/>
              <w:left w:val="single" w:sz="4" w:space="0" w:color="FFFFFF" w:themeColor="accent6"/>
              <w:bottom w:val="nil"/>
              <w:right w:val="nil"/>
            </w:tcBorders>
            <w:shd w:val="clear" w:color="auto" w:fill="DFEBF1" w:themeFill="text2" w:themeFillTint="1A"/>
            <w:noWrap/>
          </w:tcPr>
          <w:p w14:paraId="109FFA09" w14:textId="1DBBFC5A"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1.00</w:t>
            </w:r>
          </w:p>
        </w:tc>
        <w:tc>
          <w:tcPr>
            <w:tcW w:w="851" w:type="dxa"/>
            <w:tcBorders>
              <w:top w:val="nil"/>
              <w:left w:val="nil"/>
              <w:bottom w:val="nil"/>
              <w:right w:val="nil"/>
            </w:tcBorders>
            <w:shd w:val="clear" w:color="auto" w:fill="DFEBF1" w:themeFill="text2" w:themeFillTint="1A"/>
            <w:noWrap/>
          </w:tcPr>
          <w:p w14:paraId="6447D8D3" w14:textId="7ECE5976"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3,431,160</w:t>
            </w:r>
          </w:p>
        </w:tc>
        <w:tc>
          <w:tcPr>
            <w:tcW w:w="992" w:type="dxa"/>
            <w:tcBorders>
              <w:top w:val="nil"/>
              <w:left w:val="nil"/>
              <w:bottom w:val="nil"/>
              <w:right w:val="nil"/>
            </w:tcBorders>
            <w:shd w:val="clear" w:color="auto" w:fill="DFEBF1" w:themeFill="text2" w:themeFillTint="1A"/>
            <w:noWrap/>
          </w:tcPr>
          <w:p w14:paraId="33560147" w14:textId="4F6F94BD"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3,431,160</w:t>
            </w:r>
          </w:p>
        </w:tc>
        <w:tc>
          <w:tcPr>
            <w:tcW w:w="851" w:type="dxa"/>
            <w:tcBorders>
              <w:top w:val="nil"/>
              <w:left w:val="nil"/>
              <w:bottom w:val="nil"/>
              <w:right w:val="nil"/>
            </w:tcBorders>
            <w:shd w:val="clear" w:color="auto" w:fill="DFEBF1" w:themeFill="text2" w:themeFillTint="1A"/>
            <w:noWrap/>
          </w:tcPr>
          <w:p w14:paraId="057BC67B" w14:textId="3F59DD3C"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7,644,124</w:t>
            </w:r>
          </w:p>
        </w:tc>
        <w:tc>
          <w:tcPr>
            <w:tcW w:w="992" w:type="dxa"/>
            <w:tcBorders>
              <w:top w:val="nil"/>
              <w:left w:val="nil"/>
              <w:bottom w:val="nil"/>
              <w:right w:val="nil"/>
            </w:tcBorders>
            <w:shd w:val="clear" w:color="auto" w:fill="DFEBF1" w:themeFill="text2" w:themeFillTint="1A"/>
            <w:noWrap/>
          </w:tcPr>
          <w:p w14:paraId="787A0D4F" w14:textId="27C7499F"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2.2</w:t>
            </w:r>
          </w:p>
        </w:tc>
        <w:tc>
          <w:tcPr>
            <w:tcW w:w="567" w:type="dxa"/>
            <w:tcBorders>
              <w:right w:val="single" w:sz="4" w:space="0" w:color="FFFFFF" w:themeColor="accent6"/>
            </w:tcBorders>
            <w:shd w:val="clear" w:color="auto" w:fill="DFEBF1" w:themeFill="text2" w:themeFillTint="1A"/>
            <w:noWrap/>
          </w:tcPr>
          <w:p w14:paraId="7D5D8B7A" w14:textId="77777777"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709" w:type="dxa"/>
            <w:tcBorders>
              <w:top w:val="nil"/>
              <w:left w:val="single" w:sz="4" w:space="0" w:color="FFFFFF" w:themeColor="accent6"/>
              <w:bottom w:val="nil"/>
              <w:right w:val="nil"/>
            </w:tcBorders>
            <w:shd w:val="clear" w:color="auto" w:fill="DFEBF1" w:themeFill="text2" w:themeFillTint="1A"/>
            <w:noWrap/>
          </w:tcPr>
          <w:p w14:paraId="08BCCA39" w14:textId="3BF815D3"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100%</w:t>
            </w:r>
          </w:p>
        </w:tc>
        <w:tc>
          <w:tcPr>
            <w:tcW w:w="708" w:type="dxa"/>
            <w:tcBorders>
              <w:top w:val="nil"/>
              <w:left w:val="nil"/>
              <w:right w:val="single" w:sz="4" w:space="0" w:color="FFFFFF" w:themeColor="accent6"/>
            </w:tcBorders>
            <w:shd w:val="clear" w:color="auto" w:fill="DFEBF1" w:themeFill="text2" w:themeFillTint="1A"/>
            <w:noWrap/>
          </w:tcPr>
          <w:p w14:paraId="4DA6ACC5" w14:textId="7D357EDF"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100%</w:t>
            </w:r>
          </w:p>
        </w:tc>
        <w:tc>
          <w:tcPr>
            <w:tcW w:w="851" w:type="dxa"/>
            <w:tcBorders>
              <w:left w:val="single" w:sz="4" w:space="0" w:color="FFFFFF" w:themeColor="accent6"/>
            </w:tcBorders>
            <w:shd w:val="clear" w:color="auto" w:fill="DFEBF1" w:themeFill="text2" w:themeFillTint="1A"/>
            <w:noWrap/>
          </w:tcPr>
          <w:p w14:paraId="0E3EE706" w14:textId="77777777"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shd w:val="clear" w:color="auto" w:fill="DFEBF1" w:themeFill="text2" w:themeFillTint="1A"/>
            <w:noWrap/>
          </w:tcPr>
          <w:p w14:paraId="1E318269" w14:textId="77777777"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shd w:val="clear" w:color="auto" w:fill="DFEBF1" w:themeFill="text2" w:themeFillTint="1A"/>
            <w:noWrap/>
          </w:tcPr>
          <w:p w14:paraId="6C64B695" w14:textId="77777777"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1112A9" w:rsidRPr="0088109E" w14:paraId="322F5DED" w14:textId="77777777" w:rsidTr="00E437B3">
        <w:trPr>
          <w:trHeight w:val="283"/>
        </w:trPr>
        <w:tc>
          <w:tcPr>
            <w:cnfStyle w:val="001000000000" w:firstRow="0" w:lastRow="0" w:firstColumn="1" w:lastColumn="0" w:oddVBand="0" w:evenVBand="0" w:oddHBand="0" w:evenHBand="0" w:firstRowFirstColumn="0" w:firstRowLastColumn="0" w:lastRowFirstColumn="0" w:lastRowLastColumn="0"/>
            <w:tcW w:w="851" w:type="dxa"/>
            <w:vMerge/>
            <w:tcBorders>
              <w:left w:val="nil"/>
              <w:bottom w:val="single" w:sz="4" w:space="0" w:color="D9D9D9" w:themeColor="background2" w:themeShade="D9"/>
              <w:right w:val="nil"/>
            </w:tcBorders>
            <w:shd w:val="clear" w:color="auto" w:fill="DFEBF1" w:themeFill="text2" w:themeFillTint="1A"/>
            <w:noWrap/>
            <w:vAlign w:val="center"/>
          </w:tcPr>
          <w:p w14:paraId="154AD6BC" w14:textId="3218B66D" w:rsidR="00E16CCC" w:rsidRPr="005629F8" w:rsidRDefault="00E16CCC" w:rsidP="00E16CCC">
            <w:pPr>
              <w:pStyle w:val="TableParagraph"/>
              <w:jc w:val="center"/>
              <w:rPr>
                <w:color w:val="000000"/>
                <w:szCs w:val="14"/>
              </w:rPr>
            </w:pPr>
          </w:p>
        </w:tc>
        <w:tc>
          <w:tcPr>
            <w:tcW w:w="4678" w:type="dxa"/>
            <w:gridSpan w:val="3"/>
            <w:tcBorders>
              <w:top w:val="nil"/>
              <w:left w:val="nil"/>
              <w:bottom w:val="single" w:sz="4" w:space="0" w:color="D9D9D9" w:themeColor="background2" w:themeShade="D9"/>
              <w:right w:val="single" w:sz="4" w:space="0" w:color="FFFFFF" w:themeColor="accent6"/>
            </w:tcBorders>
            <w:shd w:val="clear" w:color="auto" w:fill="DFEBF1" w:themeFill="text2" w:themeFillTint="1A"/>
            <w:noWrap/>
            <w:vAlign w:val="center"/>
          </w:tcPr>
          <w:p w14:paraId="731C972D" w14:textId="6AA23408" w:rsidR="00E16CCC" w:rsidRPr="005629F8"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 xml:space="preserve">Top 10 highest cost weight, % of all </w:t>
            </w:r>
            <w:r>
              <w:rPr>
                <w:b/>
                <w:bCs/>
                <w:color w:val="000000"/>
                <w:szCs w:val="14"/>
              </w:rPr>
              <w:t>AR-</w:t>
            </w:r>
            <w:r w:rsidRPr="0088109E">
              <w:rPr>
                <w:b/>
                <w:bCs/>
                <w:color w:val="000000"/>
                <w:szCs w:val="14"/>
              </w:rPr>
              <w:t>DRGs</w:t>
            </w:r>
          </w:p>
        </w:tc>
        <w:tc>
          <w:tcPr>
            <w:tcW w:w="708" w:type="dxa"/>
            <w:tcBorders>
              <w:left w:val="single" w:sz="4" w:space="0" w:color="FFFFFF" w:themeColor="accent6"/>
              <w:bottom w:val="single" w:sz="4" w:space="0" w:color="D9D9D9" w:themeColor="background2" w:themeShade="D9"/>
            </w:tcBorders>
            <w:shd w:val="clear" w:color="auto" w:fill="DFEBF1" w:themeFill="text2" w:themeFillTint="1A"/>
            <w:noWrap/>
          </w:tcPr>
          <w:p w14:paraId="2AE091FC" w14:textId="77777777"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851" w:type="dxa"/>
            <w:tcBorders>
              <w:top w:val="nil"/>
              <w:left w:val="nil"/>
              <w:bottom w:val="single" w:sz="4" w:space="0" w:color="D9D9D9" w:themeColor="background2" w:themeShade="D9"/>
              <w:right w:val="nil"/>
            </w:tcBorders>
            <w:shd w:val="clear" w:color="auto" w:fill="DFEBF1" w:themeFill="text2" w:themeFillTint="1A"/>
            <w:noWrap/>
          </w:tcPr>
          <w:p w14:paraId="044D351C" w14:textId="2E135A24"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0.0%</w:t>
            </w:r>
          </w:p>
        </w:tc>
        <w:tc>
          <w:tcPr>
            <w:tcW w:w="992" w:type="dxa"/>
            <w:tcBorders>
              <w:top w:val="nil"/>
              <w:left w:val="nil"/>
              <w:bottom w:val="single" w:sz="4" w:space="0" w:color="D9D9D9" w:themeColor="background2" w:themeShade="D9"/>
              <w:right w:val="nil"/>
            </w:tcBorders>
            <w:shd w:val="clear" w:color="auto" w:fill="DFEBF1" w:themeFill="text2" w:themeFillTint="1A"/>
            <w:noWrap/>
          </w:tcPr>
          <w:p w14:paraId="20FB2E5E" w14:textId="42C7D79F"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0.9%</w:t>
            </w:r>
          </w:p>
        </w:tc>
        <w:tc>
          <w:tcPr>
            <w:tcW w:w="851" w:type="dxa"/>
            <w:tcBorders>
              <w:top w:val="nil"/>
              <w:left w:val="nil"/>
              <w:bottom w:val="single" w:sz="4" w:space="0" w:color="D9D9D9" w:themeColor="background2" w:themeShade="D9"/>
              <w:right w:val="nil"/>
            </w:tcBorders>
            <w:shd w:val="clear" w:color="auto" w:fill="DFEBF1" w:themeFill="text2" w:themeFillTint="1A"/>
            <w:noWrap/>
          </w:tcPr>
          <w:p w14:paraId="5F2E92A8" w14:textId="49AAFA6C"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E16CCC">
              <w:rPr>
                <w:b/>
                <w:bCs/>
                <w:color w:val="000000"/>
                <w:szCs w:val="14"/>
              </w:rPr>
              <w:t>0.5%</w:t>
            </w:r>
          </w:p>
        </w:tc>
        <w:tc>
          <w:tcPr>
            <w:tcW w:w="992" w:type="dxa"/>
            <w:tcBorders>
              <w:bottom w:val="single" w:sz="4" w:space="0" w:color="D9D9D9" w:themeColor="background2" w:themeShade="D9"/>
            </w:tcBorders>
            <w:shd w:val="clear" w:color="auto" w:fill="DFEBF1" w:themeFill="text2" w:themeFillTint="1A"/>
            <w:noWrap/>
          </w:tcPr>
          <w:p w14:paraId="18BD0DF3" w14:textId="77777777"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567" w:type="dxa"/>
            <w:tcBorders>
              <w:bottom w:val="single" w:sz="4" w:space="0" w:color="D9D9D9" w:themeColor="background2" w:themeShade="D9"/>
              <w:right w:val="single" w:sz="4" w:space="0" w:color="FFFFFF" w:themeColor="accent6"/>
            </w:tcBorders>
            <w:shd w:val="clear" w:color="auto" w:fill="DFEBF1" w:themeFill="text2" w:themeFillTint="1A"/>
            <w:noWrap/>
          </w:tcPr>
          <w:p w14:paraId="27CCF1BB" w14:textId="77777777"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709" w:type="dxa"/>
            <w:tcBorders>
              <w:left w:val="single" w:sz="4" w:space="0" w:color="FFFFFF" w:themeColor="accent6"/>
              <w:bottom w:val="single" w:sz="4" w:space="0" w:color="D9D9D9" w:themeColor="background2" w:themeShade="D9"/>
            </w:tcBorders>
            <w:shd w:val="clear" w:color="auto" w:fill="DFEBF1" w:themeFill="text2" w:themeFillTint="1A"/>
            <w:noWrap/>
          </w:tcPr>
          <w:p w14:paraId="7C624D39" w14:textId="77777777"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708" w:type="dxa"/>
            <w:tcBorders>
              <w:bottom w:val="single" w:sz="4" w:space="0" w:color="D9D9D9" w:themeColor="background2" w:themeShade="D9"/>
              <w:right w:val="single" w:sz="4" w:space="0" w:color="FFFFFF" w:themeColor="accent6"/>
            </w:tcBorders>
            <w:shd w:val="clear" w:color="auto" w:fill="DFEBF1" w:themeFill="text2" w:themeFillTint="1A"/>
            <w:noWrap/>
          </w:tcPr>
          <w:p w14:paraId="6239900C" w14:textId="77777777" w:rsidR="00E16CCC" w:rsidRPr="00E16CCC"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851" w:type="dxa"/>
            <w:tcBorders>
              <w:left w:val="single" w:sz="4" w:space="0" w:color="FFFFFF" w:themeColor="accent6"/>
              <w:bottom w:val="single" w:sz="4" w:space="0" w:color="D9D9D9" w:themeColor="background2" w:themeShade="D9"/>
            </w:tcBorders>
            <w:shd w:val="clear" w:color="auto" w:fill="DFEBF1" w:themeFill="text2" w:themeFillTint="1A"/>
            <w:noWrap/>
          </w:tcPr>
          <w:p w14:paraId="5557FE71" w14:textId="77777777"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0" w:type="dxa"/>
            <w:tcBorders>
              <w:bottom w:val="single" w:sz="4" w:space="0" w:color="D9D9D9" w:themeColor="background2" w:themeShade="D9"/>
            </w:tcBorders>
            <w:shd w:val="clear" w:color="auto" w:fill="DFEBF1" w:themeFill="text2" w:themeFillTint="1A"/>
            <w:noWrap/>
          </w:tcPr>
          <w:p w14:paraId="2BC905FA" w14:textId="77777777"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tcBorders>
              <w:bottom w:val="single" w:sz="4" w:space="0" w:color="D9D9D9" w:themeColor="background2" w:themeShade="D9"/>
            </w:tcBorders>
            <w:shd w:val="clear" w:color="auto" w:fill="DFEBF1" w:themeFill="text2" w:themeFillTint="1A"/>
            <w:noWrap/>
          </w:tcPr>
          <w:p w14:paraId="59F701E3" w14:textId="77777777" w:rsidR="00E16CCC" w:rsidRPr="005629F8"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bl>
    <w:p w14:paraId="39411F1F" w14:textId="202DF015" w:rsidR="00E81F86" w:rsidRPr="005629F8" w:rsidRDefault="00E81F86" w:rsidP="00582B54">
      <w:pPr>
        <w:spacing w:after="0" w:line="240" w:lineRule="auto"/>
        <w:rPr>
          <w:highlight w:val="yellow"/>
        </w:rPr>
      </w:pPr>
    </w:p>
    <w:p w14:paraId="463B14D8" w14:textId="78CF7084" w:rsidR="00582B54" w:rsidRPr="005629F8" w:rsidRDefault="00582B54" w:rsidP="00582B54">
      <w:pPr>
        <w:spacing w:after="0" w:line="240" w:lineRule="auto"/>
        <w:rPr>
          <w:b/>
          <w:bCs/>
          <w:sz w:val="16"/>
          <w:szCs w:val="16"/>
        </w:rPr>
      </w:pPr>
      <w:r w:rsidRPr="005629F8">
        <w:rPr>
          <w:b/>
          <w:bCs/>
          <w:sz w:val="16"/>
          <w:szCs w:val="16"/>
        </w:rPr>
        <w:t>Notes</w:t>
      </w:r>
    </w:p>
    <w:p w14:paraId="13A793C1" w14:textId="28438108" w:rsidR="00582B54" w:rsidRPr="005629F8" w:rsidRDefault="00582B54" w:rsidP="000C38AE">
      <w:pPr>
        <w:pStyle w:val="ListParagraph"/>
        <w:widowControl w:val="0"/>
        <w:numPr>
          <w:ilvl w:val="2"/>
          <w:numId w:val="16"/>
        </w:numPr>
        <w:autoSpaceDE w:val="0"/>
        <w:autoSpaceDN w:val="0"/>
        <w:spacing w:after="0" w:line="240" w:lineRule="auto"/>
        <w:ind w:left="284" w:firstLine="0"/>
        <w:contextualSpacing w:val="0"/>
        <w:rPr>
          <w:sz w:val="14"/>
        </w:rPr>
      </w:pPr>
      <w:r w:rsidRPr="005629F8">
        <w:rPr>
          <w:sz w:val="14"/>
        </w:rPr>
        <w:t>For</w:t>
      </w:r>
      <w:r w:rsidRPr="005629F8">
        <w:rPr>
          <w:spacing w:val="-3"/>
          <w:sz w:val="14"/>
        </w:rPr>
        <w:t xml:space="preserve"> </w:t>
      </w:r>
      <w:r w:rsidRPr="005629F8">
        <w:rPr>
          <w:sz w:val="14"/>
        </w:rPr>
        <w:t>cost weight (cost</w:t>
      </w:r>
      <w:r w:rsidRPr="005629F8">
        <w:rPr>
          <w:spacing w:val="-2"/>
          <w:sz w:val="14"/>
        </w:rPr>
        <w:t xml:space="preserve"> </w:t>
      </w:r>
      <w:r w:rsidRPr="005629F8">
        <w:rPr>
          <w:sz w:val="14"/>
        </w:rPr>
        <w:t>bucket</w:t>
      </w:r>
      <w:r w:rsidRPr="005629F8">
        <w:rPr>
          <w:spacing w:val="-2"/>
          <w:sz w:val="14"/>
        </w:rPr>
        <w:t xml:space="preserve"> </w:t>
      </w:r>
      <w:r w:rsidRPr="005629F8">
        <w:rPr>
          <w:sz w:val="14"/>
        </w:rPr>
        <w:t>specific)</w:t>
      </w:r>
      <w:r w:rsidRPr="005629F8">
        <w:rPr>
          <w:spacing w:val="-2"/>
          <w:sz w:val="14"/>
        </w:rPr>
        <w:t xml:space="preserve"> </w:t>
      </w:r>
      <w:r w:rsidRPr="005629F8">
        <w:rPr>
          <w:sz w:val="14"/>
        </w:rPr>
        <w:t>calculations</w:t>
      </w:r>
      <w:r w:rsidRPr="005629F8">
        <w:rPr>
          <w:spacing w:val="-2"/>
          <w:sz w:val="14"/>
        </w:rPr>
        <w:t xml:space="preserve"> </w:t>
      </w:r>
      <w:r w:rsidRPr="005629F8">
        <w:rPr>
          <w:sz w:val="14"/>
        </w:rPr>
        <w:t>please</w:t>
      </w:r>
      <w:r w:rsidRPr="005629F8">
        <w:rPr>
          <w:spacing w:val="-2"/>
          <w:sz w:val="14"/>
        </w:rPr>
        <w:t xml:space="preserve"> </w:t>
      </w:r>
      <w:r w:rsidRPr="005629F8">
        <w:rPr>
          <w:sz w:val="14"/>
        </w:rPr>
        <w:t>refer</w:t>
      </w:r>
      <w:r w:rsidRPr="005629F8">
        <w:rPr>
          <w:spacing w:val="-3"/>
          <w:sz w:val="14"/>
        </w:rPr>
        <w:t xml:space="preserve"> </w:t>
      </w:r>
      <w:r w:rsidRPr="005629F8">
        <w:rPr>
          <w:sz w:val="14"/>
        </w:rPr>
        <w:t xml:space="preserve">to </w:t>
      </w:r>
      <w:r w:rsidRPr="005629F8">
        <w:rPr>
          <w:sz w:val="14"/>
          <w:szCs w:val="14"/>
        </w:rPr>
        <w:fldChar w:fldCharType="begin"/>
      </w:r>
      <w:r w:rsidRPr="005629F8">
        <w:rPr>
          <w:sz w:val="14"/>
          <w:szCs w:val="14"/>
        </w:rPr>
        <w:instrText xml:space="preserve"> REF _Ref103175315 \h  \* MERGEFORMAT </w:instrText>
      </w:r>
      <w:r w:rsidRPr="005629F8">
        <w:rPr>
          <w:sz w:val="14"/>
          <w:szCs w:val="14"/>
        </w:rPr>
      </w:r>
      <w:r w:rsidRPr="005629F8">
        <w:rPr>
          <w:sz w:val="14"/>
          <w:szCs w:val="14"/>
        </w:rPr>
        <w:fldChar w:fldCharType="separate"/>
      </w:r>
      <w:r w:rsidR="00BF088F" w:rsidRPr="005629F8">
        <w:rPr>
          <w:sz w:val="14"/>
          <w:szCs w:val="14"/>
        </w:rPr>
        <w:t>Appendix</w:t>
      </w:r>
      <w:r w:rsidR="00BF088F" w:rsidRPr="005629F8">
        <w:rPr>
          <w:spacing w:val="-2"/>
          <w:sz w:val="14"/>
          <w:szCs w:val="14"/>
        </w:rPr>
        <w:t xml:space="preserve"> </w:t>
      </w:r>
      <w:r w:rsidR="00BF088F" w:rsidRPr="005629F8">
        <w:rPr>
          <w:sz w:val="14"/>
          <w:szCs w:val="14"/>
        </w:rPr>
        <w:t>D:</w:t>
      </w:r>
      <w:r w:rsidR="00BF088F" w:rsidRPr="005629F8">
        <w:rPr>
          <w:spacing w:val="1"/>
          <w:sz w:val="14"/>
          <w:szCs w:val="14"/>
        </w:rPr>
        <w:t xml:space="preserve"> </w:t>
      </w:r>
      <w:r w:rsidR="00BF088F" w:rsidRPr="005629F8">
        <w:rPr>
          <w:sz w:val="14"/>
          <w:szCs w:val="14"/>
        </w:rPr>
        <w:t>Cost</w:t>
      </w:r>
      <w:r w:rsidR="00BF088F" w:rsidRPr="005629F8">
        <w:rPr>
          <w:spacing w:val="1"/>
          <w:sz w:val="14"/>
          <w:szCs w:val="14"/>
        </w:rPr>
        <w:t xml:space="preserve"> </w:t>
      </w:r>
      <w:r w:rsidR="00BF088F" w:rsidRPr="005629F8">
        <w:rPr>
          <w:sz w:val="14"/>
          <w:szCs w:val="14"/>
        </w:rPr>
        <w:t>weight</w:t>
      </w:r>
      <w:r w:rsidR="00BF088F" w:rsidRPr="005629F8">
        <w:rPr>
          <w:spacing w:val="1"/>
          <w:sz w:val="14"/>
          <w:szCs w:val="14"/>
        </w:rPr>
        <w:t xml:space="preserve"> </w:t>
      </w:r>
      <w:r w:rsidR="00BF088F" w:rsidRPr="005629F8">
        <w:rPr>
          <w:sz w:val="14"/>
          <w:szCs w:val="14"/>
        </w:rPr>
        <w:t>tables by AR-DRG Version 10.0</w:t>
      </w:r>
      <w:r w:rsidRPr="005629F8">
        <w:rPr>
          <w:sz w:val="14"/>
          <w:szCs w:val="14"/>
        </w:rPr>
        <w:fldChar w:fldCharType="end"/>
      </w:r>
    </w:p>
    <w:p w14:paraId="097A15F6" w14:textId="77777777" w:rsidR="00582B54" w:rsidRPr="005629F8" w:rsidRDefault="00582B54" w:rsidP="000C38AE">
      <w:pPr>
        <w:pStyle w:val="ListParagraph"/>
        <w:widowControl w:val="0"/>
        <w:numPr>
          <w:ilvl w:val="2"/>
          <w:numId w:val="16"/>
        </w:numPr>
        <w:autoSpaceDE w:val="0"/>
        <w:autoSpaceDN w:val="0"/>
        <w:spacing w:after="0" w:line="240" w:lineRule="auto"/>
        <w:ind w:left="284" w:firstLine="0"/>
        <w:contextualSpacing w:val="0"/>
        <w:rPr>
          <w:sz w:val="14"/>
        </w:rPr>
      </w:pPr>
      <w:r w:rsidRPr="005629F8">
        <w:rPr>
          <w:sz w:val="14"/>
        </w:rPr>
        <w:t>Separations</w:t>
      </w:r>
      <w:r w:rsidRPr="005629F8">
        <w:rPr>
          <w:spacing w:val="-4"/>
          <w:sz w:val="14"/>
        </w:rPr>
        <w:t xml:space="preserve"> </w:t>
      </w:r>
      <w:r w:rsidRPr="005629F8">
        <w:rPr>
          <w:sz w:val="14"/>
        </w:rPr>
        <w:t>shown</w:t>
      </w:r>
      <w:r w:rsidRPr="005629F8">
        <w:rPr>
          <w:spacing w:val="-3"/>
          <w:sz w:val="14"/>
        </w:rPr>
        <w:t xml:space="preserve"> </w:t>
      </w:r>
      <w:r w:rsidRPr="005629F8">
        <w:rPr>
          <w:sz w:val="14"/>
        </w:rPr>
        <w:t>are</w:t>
      </w:r>
      <w:r w:rsidRPr="005629F8">
        <w:rPr>
          <w:spacing w:val="-1"/>
          <w:sz w:val="14"/>
        </w:rPr>
        <w:t xml:space="preserve"> </w:t>
      </w:r>
      <w:r w:rsidRPr="005629F8">
        <w:rPr>
          <w:sz w:val="14"/>
        </w:rPr>
        <w:t>strata</w:t>
      </w:r>
      <w:r w:rsidRPr="005629F8">
        <w:rPr>
          <w:spacing w:val="1"/>
          <w:sz w:val="14"/>
        </w:rPr>
        <w:t xml:space="preserve"> </w:t>
      </w:r>
      <w:proofErr w:type="gramStart"/>
      <w:r w:rsidRPr="005629F8">
        <w:rPr>
          <w:sz w:val="14"/>
        </w:rPr>
        <w:t>weighted</w:t>
      </w:r>
      <w:proofErr w:type="gramEnd"/>
    </w:p>
    <w:p w14:paraId="79B9433D" w14:textId="50989ADE" w:rsidR="00582B54" w:rsidRPr="005629F8" w:rsidRDefault="00582B54" w:rsidP="000C38AE">
      <w:pPr>
        <w:pStyle w:val="ListParagraph"/>
        <w:widowControl w:val="0"/>
        <w:numPr>
          <w:ilvl w:val="2"/>
          <w:numId w:val="16"/>
        </w:numPr>
        <w:autoSpaceDE w:val="0"/>
        <w:autoSpaceDN w:val="0"/>
        <w:spacing w:after="0" w:line="240" w:lineRule="auto"/>
        <w:ind w:left="284" w:firstLine="0"/>
        <w:contextualSpacing w:val="0"/>
        <w:rPr>
          <w:sz w:val="14"/>
        </w:rPr>
      </w:pPr>
      <w:r w:rsidRPr="005629F8">
        <w:rPr>
          <w:sz w:val="14"/>
        </w:rPr>
        <w:t>ALOS</w:t>
      </w:r>
      <w:r w:rsidRPr="005629F8">
        <w:rPr>
          <w:spacing w:val="-2"/>
          <w:sz w:val="14"/>
        </w:rPr>
        <w:t xml:space="preserve"> </w:t>
      </w:r>
      <w:r w:rsidRPr="005629F8">
        <w:rPr>
          <w:sz w:val="14"/>
        </w:rPr>
        <w:t>means Average Length</w:t>
      </w:r>
      <w:r w:rsidRPr="005629F8">
        <w:rPr>
          <w:spacing w:val="-3"/>
          <w:sz w:val="14"/>
        </w:rPr>
        <w:t xml:space="preserve"> </w:t>
      </w:r>
      <w:r w:rsidRPr="005629F8">
        <w:rPr>
          <w:sz w:val="14"/>
        </w:rPr>
        <w:t>of</w:t>
      </w:r>
      <w:r w:rsidRPr="005629F8">
        <w:rPr>
          <w:spacing w:val="-1"/>
          <w:sz w:val="14"/>
        </w:rPr>
        <w:t xml:space="preserve"> </w:t>
      </w:r>
      <w:r w:rsidRPr="005629F8">
        <w:rPr>
          <w:sz w:val="14"/>
        </w:rPr>
        <w:t>Stay</w:t>
      </w:r>
    </w:p>
    <w:p w14:paraId="6EE29013" w14:textId="77777777" w:rsidR="00F91893" w:rsidRPr="005629F8" w:rsidRDefault="00F91893" w:rsidP="00AF30D0">
      <w:pPr>
        <w:rPr>
          <w:highlight w:val="yellow"/>
        </w:rPr>
        <w:sectPr w:rsidR="00F91893" w:rsidRPr="005629F8" w:rsidSect="00522146">
          <w:footerReference w:type="default" r:id="rId27"/>
          <w:pgSz w:w="16838" w:h="11906" w:orient="landscape" w:code="9"/>
          <w:pgMar w:top="1077" w:right="567" w:bottom="1077" w:left="567" w:header="709" w:footer="709" w:gutter="0"/>
          <w:cols w:space="720"/>
          <w:docGrid w:linePitch="360"/>
        </w:sectPr>
      </w:pPr>
    </w:p>
    <w:p w14:paraId="2F24CA53" w14:textId="6EF4EE1F" w:rsidR="00F91893" w:rsidRPr="005629F8" w:rsidRDefault="00F91893" w:rsidP="00E829BF">
      <w:pPr>
        <w:pStyle w:val="Heading3"/>
      </w:pPr>
      <w:bookmarkStart w:id="116" w:name="_Toc129700683"/>
      <w:bookmarkStart w:id="117" w:name="_Toc129701376"/>
      <w:r w:rsidRPr="005629F8">
        <w:lastRenderedPageBreak/>
        <w:t xml:space="preserve">Top </w:t>
      </w:r>
      <w:r w:rsidR="00517FEF" w:rsidRPr="005629F8">
        <w:t>1</w:t>
      </w:r>
      <w:r w:rsidRPr="005629F8">
        <w:t xml:space="preserve">0 AR-DRGs ranked by highest volume of population-adjusted </w:t>
      </w:r>
      <w:proofErr w:type="gramStart"/>
      <w:r w:rsidRPr="005629F8">
        <w:t>separations</w:t>
      </w:r>
      <w:bookmarkEnd w:id="116"/>
      <w:bookmarkEnd w:id="117"/>
      <w:proofErr w:type="gramEnd"/>
    </w:p>
    <w:p w14:paraId="3172A1BA" w14:textId="77777777" w:rsidR="00F91893" w:rsidRPr="005629F8" w:rsidRDefault="00F91893" w:rsidP="00F91893">
      <w:pPr>
        <w:pStyle w:val="Heading4"/>
      </w:pPr>
      <w:r w:rsidRPr="005629F8">
        <w:t>Key</w:t>
      </w:r>
      <w:r w:rsidRPr="005629F8">
        <w:rPr>
          <w:spacing w:val="-2"/>
        </w:rPr>
        <w:t xml:space="preserve"> </w:t>
      </w:r>
      <w:r w:rsidRPr="005629F8">
        <w:t>findings</w:t>
      </w:r>
    </w:p>
    <w:p w14:paraId="15B332AA" w14:textId="77A44E80" w:rsidR="00F91893" w:rsidRPr="005629F8" w:rsidRDefault="006D4E0B" w:rsidP="00F91893">
      <w:pPr>
        <w:rPr>
          <w:color w:val="auto"/>
          <w:highlight w:val="yellow"/>
        </w:rPr>
      </w:pPr>
      <w:r w:rsidRPr="005629F8">
        <w:rPr>
          <w:color w:val="auto"/>
        </w:rPr>
        <w:fldChar w:fldCharType="begin"/>
      </w:r>
      <w:r w:rsidRPr="005629F8">
        <w:rPr>
          <w:color w:val="auto"/>
        </w:rPr>
        <w:instrText xml:space="preserve"> REF _Ref103175681 \h </w:instrText>
      </w:r>
      <w:r w:rsidRPr="005629F8">
        <w:rPr>
          <w:color w:val="auto"/>
        </w:rPr>
      </w:r>
      <w:r w:rsidRPr="005629F8">
        <w:rPr>
          <w:color w:val="auto"/>
        </w:rPr>
        <w:fldChar w:fldCharType="separate"/>
      </w:r>
      <w:r w:rsidR="003B188F" w:rsidRPr="005629F8">
        <w:t xml:space="preserve">Table </w:t>
      </w:r>
      <w:r w:rsidR="003B188F">
        <w:rPr>
          <w:noProof/>
        </w:rPr>
        <w:t>6</w:t>
      </w:r>
      <w:r w:rsidRPr="005629F8">
        <w:rPr>
          <w:color w:val="auto"/>
        </w:rPr>
        <w:fldChar w:fldCharType="end"/>
      </w:r>
      <w:r w:rsidRPr="005629F8">
        <w:rPr>
          <w:color w:val="auto"/>
        </w:rPr>
        <w:t xml:space="preserve"> and </w:t>
      </w:r>
      <w:r w:rsidR="000A22E9">
        <w:rPr>
          <w:color w:val="auto"/>
        </w:rPr>
        <w:fldChar w:fldCharType="begin"/>
      </w:r>
      <w:r w:rsidR="000A22E9">
        <w:rPr>
          <w:color w:val="auto"/>
        </w:rPr>
        <w:instrText xml:space="preserve"> REF _Ref129181296 \h </w:instrText>
      </w:r>
      <w:r w:rsidR="000A22E9">
        <w:rPr>
          <w:color w:val="auto"/>
        </w:rPr>
      </w:r>
      <w:r w:rsidR="000A22E9">
        <w:rPr>
          <w:color w:val="auto"/>
        </w:rPr>
        <w:fldChar w:fldCharType="separate"/>
      </w:r>
      <w:r w:rsidR="007E1234">
        <w:t xml:space="preserve">Figure </w:t>
      </w:r>
      <w:r w:rsidR="007E1234">
        <w:rPr>
          <w:noProof/>
        </w:rPr>
        <w:t>9</w:t>
      </w:r>
      <w:r w:rsidR="000A22E9">
        <w:rPr>
          <w:color w:val="auto"/>
        </w:rPr>
        <w:fldChar w:fldCharType="end"/>
      </w:r>
      <w:hyperlink w:anchor="_bookmark12" w:history="1">
        <w:r w:rsidR="00F91893" w:rsidRPr="005629F8">
          <w:rPr>
            <w:color w:val="auto"/>
          </w:rPr>
          <w:t xml:space="preserve"> </w:t>
        </w:r>
      </w:hyperlink>
      <w:r w:rsidR="00F91893" w:rsidRPr="005629F8">
        <w:rPr>
          <w:color w:val="auto"/>
        </w:rPr>
        <w:t xml:space="preserve">show the AR-DRGs with the highest population-adjusted separations for </w:t>
      </w:r>
      <w:r w:rsidR="007164B7" w:rsidRPr="005629F8">
        <w:rPr>
          <w:color w:val="auto"/>
        </w:rPr>
        <w:t>20</w:t>
      </w:r>
      <w:r w:rsidR="001C45A9" w:rsidRPr="005629F8">
        <w:rPr>
          <w:color w:val="auto"/>
        </w:rPr>
        <w:t>2</w:t>
      </w:r>
      <w:r w:rsidR="00E2626E">
        <w:rPr>
          <w:color w:val="auto"/>
        </w:rPr>
        <w:t>1</w:t>
      </w:r>
      <w:r w:rsidR="007164B7" w:rsidRPr="005629F8">
        <w:rPr>
          <w:color w:val="auto"/>
        </w:rPr>
        <w:t>-2</w:t>
      </w:r>
      <w:r w:rsidR="00E2626E">
        <w:rPr>
          <w:color w:val="auto"/>
        </w:rPr>
        <w:t>2</w:t>
      </w:r>
      <w:r w:rsidR="00F91893" w:rsidRPr="005629F8">
        <w:rPr>
          <w:color w:val="auto"/>
        </w:rPr>
        <w:t xml:space="preserve">. This is a measure of the volume of separations in the entire overnight private hospital population (the separations in the </w:t>
      </w:r>
      <w:r w:rsidR="001C45A9" w:rsidRPr="005629F8">
        <w:rPr>
          <w:color w:val="auto"/>
        </w:rPr>
        <w:t>202</w:t>
      </w:r>
      <w:r w:rsidR="00E2626E">
        <w:rPr>
          <w:color w:val="auto"/>
        </w:rPr>
        <w:t>1</w:t>
      </w:r>
      <w:r w:rsidR="001C45A9" w:rsidRPr="005629F8">
        <w:rPr>
          <w:color w:val="auto"/>
        </w:rPr>
        <w:t>-2</w:t>
      </w:r>
      <w:r w:rsidR="00E2626E">
        <w:rPr>
          <w:color w:val="auto"/>
        </w:rPr>
        <w:t>2</w:t>
      </w:r>
      <w:r w:rsidR="00F91893" w:rsidRPr="005629F8">
        <w:rPr>
          <w:color w:val="auto"/>
        </w:rPr>
        <w:t xml:space="preserve"> sample, adjusted using weights to reflect the whole population).</w:t>
      </w:r>
    </w:p>
    <w:p w14:paraId="16AB7249" w14:textId="42EFF984" w:rsidR="00F91893" w:rsidRPr="005629F8" w:rsidRDefault="006D4E0B" w:rsidP="00F91893">
      <w:r w:rsidRPr="005629F8">
        <w:rPr>
          <w:color w:val="auto"/>
        </w:rPr>
        <w:fldChar w:fldCharType="begin"/>
      </w:r>
      <w:r w:rsidRPr="005629F8">
        <w:rPr>
          <w:color w:val="auto"/>
        </w:rPr>
        <w:instrText xml:space="preserve"> REF _Ref103175681 \h </w:instrText>
      </w:r>
      <w:r w:rsidRPr="005629F8">
        <w:rPr>
          <w:color w:val="auto"/>
        </w:rPr>
      </w:r>
      <w:r w:rsidRPr="005629F8">
        <w:rPr>
          <w:color w:val="auto"/>
        </w:rPr>
        <w:fldChar w:fldCharType="separate"/>
      </w:r>
      <w:r w:rsidR="00F2253B" w:rsidRPr="005629F8">
        <w:t xml:space="preserve">Table </w:t>
      </w:r>
      <w:r w:rsidR="00F2253B">
        <w:rPr>
          <w:noProof/>
        </w:rPr>
        <w:t>6</w:t>
      </w:r>
      <w:r w:rsidRPr="005629F8">
        <w:rPr>
          <w:color w:val="auto"/>
        </w:rPr>
        <w:fldChar w:fldCharType="end"/>
      </w:r>
      <w:r w:rsidRPr="005629F8">
        <w:rPr>
          <w:color w:val="auto"/>
        </w:rPr>
        <w:t xml:space="preserve"> </w:t>
      </w:r>
      <w:r w:rsidR="00F91893" w:rsidRPr="005629F8">
        <w:rPr>
          <w:color w:val="auto"/>
        </w:rPr>
        <w:t xml:space="preserve">shows that for </w:t>
      </w:r>
      <w:r w:rsidR="001C45A9" w:rsidRPr="005629F8">
        <w:rPr>
          <w:color w:val="auto"/>
        </w:rPr>
        <w:t>2020-21</w:t>
      </w:r>
      <w:r w:rsidR="00F91893" w:rsidRPr="005629F8">
        <w:rPr>
          <w:color w:val="auto"/>
        </w:rPr>
        <w:t xml:space="preserve">, R63Z: </w:t>
      </w:r>
      <w:r w:rsidR="00E2626E" w:rsidRPr="00E2626E">
        <w:rPr>
          <w:color w:val="auto"/>
        </w:rPr>
        <w:t>Pharmacotherapy for Neoplastic Disorders</w:t>
      </w:r>
      <w:r w:rsidR="00F91893" w:rsidRPr="005629F8">
        <w:rPr>
          <w:color w:val="auto"/>
        </w:rPr>
        <w:t xml:space="preserve"> was ranked as having the most population-adjusted separations, consistent</w:t>
      </w:r>
      <w:r w:rsidR="00517FEF" w:rsidRPr="005629F8">
        <w:rPr>
          <w:color w:val="auto"/>
        </w:rPr>
        <w:t xml:space="preserve"> with its ranking in the previous year</w:t>
      </w:r>
      <w:r w:rsidR="00F91893" w:rsidRPr="005629F8">
        <w:rPr>
          <w:color w:val="auto"/>
        </w:rPr>
        <w:t>.</w:t>
      </w:r>
      <w:r w:rsidR="00B02B00" w:rsidRPr="005629F8">
        <w:rPr>
          <w:color w:val="auto"/>
        </w:rPr>
        <w:t xml:space="preserve"> This is expected given the high</w:t>
      </w:r>
      <w:r w:rsidR="005E3347">
        <w:rPr>
          <w:color w:val="auto"/>
        </w:rPr>
        <w:t>-</w:t>
      </w:r>
      <w:r w:rsidR="00B02B00" w:rsidRPr="005629F8">
        <w:rPr>
          <w:color w:val="auto"/>
        </w:rPr>
        <w:t>frequency</w:t>
      </w:r>
      <w:r w:rsidR="009C10A4" w:rsidRPr="005629F8">
        <w:rPr>
          <w:color w:val="auto"/>
        </w:rPr>
        <w:t xml:space="preserve">, </w:t>
      </w:r>
      <w:proofErr w:type="spellStart"/>
      <w:r w:rsidR="009C10A4" w:rsidRPr="005629F8">
        <w:rPr>
          <w:color w:val="auto"/>
        </w:rPr>
        <w:t>sameday</w:t>
      </w:r>
      <w:proofErr w:type="spellEnd"/>
      <w:r w:rsidR="009C10A4" w:rsidRPr="005629F8">
        <w:rPr>
          <w:color w:val="auto"/>
        </w:rPr>
        <w:t xml:space="preserve"> nature</w:t>
      </w:r>
      <w:r w:rsidR="00B02B00" w:rsidRPr="005629F8">
        <w:rPr>
          <w:color w:val="auto"/>
        </w:rPr>
        <w:t xml:space="preserve"> of treatments required for R63Z.</w:t>
      </w:r>
      <w:r w:rsidR="00F91893" w:rsidRPr="005629F8">
        <w:rPr>
          <w:color w:val="auto"/>
        </w:rPr>
        <w:t xml:space="preserve"> </w:t>
      </w:r>
      <w:r w:rsidRPr="005629F8">
        <w:rPr>
          <w:color w:val="auto"/>
        </w:rPr>
        <w:fldChar w:fldCharType="begin"/>
      </w:r>
      <w:r w:rsidRPr="005629F8">
        <w:rPr>
          <w:color w:val="auto"/>
        </w:rPr>
        <w:instrText xml:space="preserve"> REF _Ref103175681 \h </w:instrText>
      </w:r>
      <w:r w:rsidRPr="005629F8">
        <w:rPr>
          <w:color w:val="auto"/>
        </w:rPr>
      </w:r>
      <w:r w:rsidRPr="005629F8">
        <w:rPr>
          <w:color w:val="auto"/>
        </w:rPr>
        <w:fldChar w:fldCharType="separate"/>
      </w:r>
      <w:r w:rsidR="00F2253B" w:rsidRPr="005629F8">
        <w:t xml:space="preserve">Table </w:t>
      </w:r>
      <w:r w:rsidR="00F2253B">
        <w:rPr>
          <w:noProof/>
        </w:rPr>
        <w:t>6</w:t>
      </w:r>
      <w:r w:rsidRPr="005629F8">
        <w:rPr>
          <w:color w:val="auto"/>
        </w:rPr>
        <w:fldChar w:fldCharType="end"/>
      </w:r>
      <w:r w:rsidRPr="005629F8">
        <w:rPr>
          <w:color w:val="auto"/>
        </w:rPr>
        <w:t xml:space="preserve"> </w:t>
      </w:r>
      <w:hyperlink w:anchor="_bookmark12" w:history="1"/>
      <w:r w:rsidR="00F91893" w:rsidRPr="005629F8">
        <w:rPr>
          <w:color w:val="auto"/>
        </w:rPr>
        <w:t xml:space="preserve">also shows that the top </w:t>
      </w:r>
      <w:r w:rsidR="009C10A4" w:rsidRPr="005629F8">
        <w:rPr>
          <w:color w:val="auto"/>
        </w:rPr>
        <w:t xml:space="preserve">10 </w:t>
      </w:r>
      <w:r w:rsidR="00F91893" w:rsidRPr="005629F8">
        <w:rPr>
          <w:color w:val="auto"/>
        </w:rPr>
        <w:t xml:space="preserve">AR-DRGs represented </w:t>
      </w:r>
      <w:r w:rsidR="00741861">
        <w:rPr>
          <w:color w:val="auto"/>
        </w:rPr>
        <w:t>33.</w:t>
      </w:r>
      <w:r w:rsidR="00E2626E">
        <w:rPr>
          <w:color w:val="auto"/>
        </w:rPr>
        <w:t>3</w:t>
      </w:r>
      <w:r w:rsidR="00436BEB">
        <w:rPr>
          <w:color w:val="auto"/>
        </w:rPr>
        <w:t>%</w:t>
      </w:r>
      <w:r w:rsidR="00F91893" w:rsidRPr="005629F8">
        <w:rPr>
          <w:color w:val="auto"/>
        </w:rPr>
        <w:t xml:space="preserve"> of the total population-adjusted separations (</w:t>
      </w:r>
      <w:r w:rsidR="00517FEF" w:rsidRPr="005629F8">
        <w:rPr>
          <w:color w:val="auto"/>
        </w:rPr>
        <w:t>1</w:t>
      </w:r>
      <w:r w:rsidR="00F91893" w:rsidRPr="005629F8">
        <w:rPr>
          <w:color w:val="auto"/>
        </w:rPr>
        <w:t>,</w:t>
      </w:r>
      <w:r w:rsidR="00E2626E">
        <w:rPr>
          <w:color w:val="auto"/>
        </w:rPr>
        <w:t>142</w:t>
      </w:r>
      <w:r w:rsidR="00F91893" w:rsidRPr="005629F8">
        <w:rPr>
          <w:color w:val="auto"/>
        </w:rPr>
        <w:t>,</w:t>
      </w:r>
      <w:r w:rsidR="00741861">
        <w:rPr>
          <w:color w:val="auto"/>
        </w:rPr>
        <w:t>8</w:t>
      </w:r>
      <w:r w:rsidR="00E2626E">
        <w:rPr>
          <w:color w:val="auto"/>
        </w:rPr>
        <w:t>86</w:t>
      </w:r>
      <w:r w:rsidR="00F91893" w:rsidRPr="005629F8">
        <w:rPr>
          <w:color w:val="auto"/>
        </w:rPr>
        <w:t xml:space="preserve"> population-adjusted separations out of 3,</w:t>
      </w:r>
      <w:r w:rsidR="00517FEF" w:rsidRPr="005629F8">
        <w:rPr>
          <w:color w:val="auto"/>
        </w:rPr>
        <w:t>4</w:t>
      </w:r>
      <w:r w:rsidR="00E2626E">
        <w:rPr>
          <w:color w:val="auto"/>
        </w:rPr>
        <w:t>31</w:t>
      </w:r>
      <w:r w:rsidR="00517FEF" w:rsidRPr="005629F8">
        <w:rPr>
          <w:color w:val="auto"/>
        </w:rPr>
        <w:t>,1</w:t>
      </w:r>
      <w:r w:rsidR="00E2626E">
        <w:rPr>
          <w:color w:val="auto"/>
        </w:rPr>
        <w:t>60</w:t>
      </w:r>
      <w:r w:rsidR="00517FEF" w:rsidRPr="005629F8">
        <w:rPr>
          <w:color w:val="auto"/>
        </w:rPr>
        <w:t xml:space="preserve"> </w:t>
      </w:r>
      <w:r w:rsidR="00F91893" w:rsidRPr="005629F8">
        <w:rPr>
          <w:color w:val="auto"/>
        </w:rPr>
        <w:t>total separations). However</w:t>
      </w:r>
      <w:r w:rsidR="00F91893" w:rsidRPr="005629F8">
        <w:t>, these AR-DRGs represented only 8.</w:t>
      </w:r>
      <w:r w:rsidR="00E2626E">
        <w:t>2</w:t>
      </w:r>
      <w:r w:rsidR="00436BEB">
        <w:t>%</w:t>
      </w:r>
      <w:r w:rsidR="00F91893" w:rsidRPr="005629F8">
        <w:t xml:space="preserve"> (</w:t>
      </w:r>
      <w:r w:rsidR="00E2626E">
        <w:t>281</w:t>
      </w:r>
      <w:r w:rsidR="00741861">
        <w:t>,</w:t>
      </w:r>
      <w:r w:rsidR="00E2626E">
        <w:t>717</w:t>
      </w:r>
      <w:r w:rsidR="00F91893" w:rsidRPr="005629F8">
        <w:t xml:space="preserve">) of the total population cost weighted separations. This indicates that these AR-DRGs were </w:t>
      </w:r>
      <w:r w:rsidR="00BC2B5C">
        <w:t xml:space="preserve">predominantly </w:t>
      </w:r>
      <w:r w:rsidR="00F91893" w:rsidRPr="005629F8">
        <w:t>high</w:t>
      </w:r>
      <w:r w:rsidR="00B26CCE">
        <w:t>-</w:t>
      </w:r>
      <w:r w:rsidR="00F91893" w:rsidRPr="005629F8">
        <w:t>volume and low</w:t>
      </w:r>
      <w:r w:rsidR="00B26CCE">
        <w:t>-</w:t>
      </w:r>
      <w:r w:rsidR="00F91893" w:rsidRPr="005629F8">
        <w:t>cost.</w:t>
      </w:r>
    </w:p>
    <w:p w14:paraId="4A4C1BC8" w14:textId="586F87A0" w:rsidR="00F91893" w:rsidRPr="005629F8" w:rsidRDefault="00F91893" w:rsidP="00F91893">
      <w:r w:rsidRPr="005629F8">
        <w:t xml:space="preserve">The ALOS for </w:t>
      </w:r>
      <w:r w:rsidR="009C10A4">
        <w:t>the</w:t>
      </w:r>
      <w:r w:rsidR="009C10A4" w:rsidRPr="005629F8">
        <w:t xml:space="preserve"> </w:t>
      </w:r>
      <w:r w:rsidRPr="005629F8">
        <w:t xml:space="preserve">top </w:t>
      </w:r>
      <w:r w:rsidR="00517FEF" w:rsidRPr="005629F8">
        <w:t>1</w:t>
      </w:r>
      <w:r w:rsidRPr="005629F8">
        <w:t>0 AR-DRGs is 1.</w:t>
      </w:r>
      <w:r w:rsidR="00741861">
        <w:t>0</w:t>
      </w:r>
      <w:r w:rsidRPr="005629F8">
        <w:t xml:space="preserve"> days compared to the population average of 2.</w:t>
      </w:r>
      <w:r w:rsidR="00517FEF" w:rsidRPr="005629F8">
        <w:t>2</w:t>
      </w:r>
      <w:r w:rsidRPr="005629F8">
        <w:t xml:space="preserve"> days, as the majority of these AR-DRGs were </w:t>
      </w:r>
      <w:proofErr w:type="spellStart"/>
      <w:r w:rsidRPr="005629F8">
        <w:t>sameday</w:t>
      </w:r>
      <w:proofErr w:type="spellEnd"/>
      <w:r w:rsidRPr="005629F8">
        <w:t xml:space="preserve"> procedures.</w:t>
      </w:r>
      <w:r w:rsidR="00BC2B5C">
        <w:t xml:space="preserve"> </w:t>
      </w:r>
    </w:p>
    <w:p w14:paraId="4A652CB4" w14:textId="45AA7E71" w:rsidR="001C45A9" w:rsidRPr="005629F8" w:rsidRDefault="001C45A9" w:rsidP="001C45A9">
      <w:pPr>
        <w:pStyle w:val="Heading4"/>
      </w:pPr>
      <w:r w:rsidRPr="005629F8">
        <w:t>C</w:t>
      </w:r>
      <w:r w:rsidR="00EC7E6D" w:rsidRPr="005629F8">
        <w:t>omparison with previous years</w:t>
      </w:r>
    </w:p>
    <w:p w14:paraId="2EB1B933" w14:textId="6B8A2227" w:rsidR="00874297" w:rsidRDefault="006C68DC" w:rsidP="006C68DC">
      <w:pPr>
        <w:pStyle w:val="TableFigureheading"/>
      </w:pPr>
      <w:bookmarkStart w:id="118" w:name="_Ref129181347"/>
      <w:bookmarkStart w:id="119" w:name="_Toc152081851"/>
      <w:r>
        <w:t xml:space="preserve">Figure </w:t>
      </w:r>
      <w:r>
        <w:fldChar w:fldCharType="begin"/>
      </w:r>
      <w:r>
        <w:instrText xml:space="preserve"> SEQ Figure \* ARABIC </w:instrText>
      </w:r>
      <w:r>
        <w:fldChar w:fldCharType="separate"/>
      </w:r>
      <w:r>
        <w:rPr>
          <w:noProof/>
        </w:rPr>
        <w:t>8</w:t>
      </w:r>
      <w:r>
        <w:fldChar w:fldCharType="end"/>
      </w:r>
      <w:bookmarkEnd w:id="118"/>
      <w:r w:rsidR="00874297">
        <w:t>. Total Weighted Separations and ALOS</w:t>
      </w:r>
      <w:bookmarkEnd w:id="119"/>
    </w:p>
    <w:p w14:paraId="238185D5" w14:textId="7E55A248" w:rsidR="005002C6" w:rsidRPr="005002C6" w:rsidRDefault="00E16CCC">
      <w:pPr>
        <w:rPr>
          <w:highlight w:val="cyan"/>
        </w:rPr>
      </w:pPr>
      <w:r w:rsidRPr="00676F3C">
        <w:rPr>
          <w:noProof/>
        </w:rPr>
        <w:drawing>
          <wp:inline distT="0" distB="0" distL="0" distR="0" wp14:anchorId="0A0BFB07" wp14:editId="3875128E">
            <wp:extent cx="5090795" cy="2731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0795" cy="2731135"/>
                    </a:xfrm>
                    <a:prstGeom prst="rect">
                      <a:avLst/>
                    </a:prstGeom>
                    <a:noFill/>
                  </pic:spPr>
                </pic:pic>
              </a:graphicData>
            </a:graphic>
          </wp:inline>
        </w:drawing>
      </w:r>
    </w:p>
    <w:p w14:paraId="3E0F86DC" w14:textId="617A3CD7" w:rsidR="006A50BB" w:rsidRPr="005629F8" w:rsidRDefault="000A22E9" w:rsidP="00336476">
      <w:r>
        <w:rPr>
          <w:color w:val="auto"/>
        </w:rPr>
        <w:fldChar w:fldCharType="begin"/>
      </w:r>
      <w:r>
        <w:rPr>
          <w:color w:val="auto"/>
        </w:rPr>
        <w:instrText xml:space="preserve"> REF _Ref129181347 \h </w:instrText>
      </w:r>
      <w:r>
        <w:rPr>
          <w:color w:val="auto"/>
        </w:rPr>
      </w:r>
      <w:r>
        <w:rPr>
          <w:color w:val="auto"/>
        </w:rPr>
        <w:fldChar w:fldCharType="separate"/>
      </w:r>
      <w:r w:rsidR="006B145F">
        <w:t xml:space="preserve">Figure </w:t>
      </w:r>
      <w:r w:rsidR="006B145F">
        <w:rPr>
          <w:noProof/>
        </w:rPr>
        <w:t>8</w:t>
      </w:r>
      <w:r>
        <w:rPr>
          <w:color w:val="auto"/>
        </w:rPr>
        <w:fldChar w:fldCharType="end"/>
      </w:r>
      <w:r>
        <w:rPr>
          <w:color w:val="auto"/>
        </w:rPr>
        <w:t xml:space="preserve"> </w:t>
      </w:r>
      <w:r w:rsidR="00F46108" w:rsidRPr="005629F8">
        <w:rPr>
          <w:color w:val="auto"/>
        </w:rPr>
        <w:t>shows</w:t>
      </w:r>
      <w:r w:rsidR="00336476" w:rsidRPr="005629F8">
        <w:rPr>
          <w:color w:val="auto"/>
        </w:rPr>
        <w:t xml:space="preserve"> the change in total </w:t>
      </w:r>
      <w:r w:rsidR="006A0BD7" w:rsidRPr="005629F8">
        <w:rPr>
          <w:color w:val="auto"/>
        </w:rPr>
        <w:t>population-adjusted</w:t>
      </w:r>
      <w:r w:rsidR="00336476" w:rsidRPr="005629F8">
        <w:rPr>
          <w:color w:val="auto"/>
        </w:rPr>
        <w:t xml:space="preserve"> separations and ALOS for the top 10 AR</w:t>
      </w:r>
      <w:r w:rsidR="00E41DDF">
        <w:rPr>
          <w:color w:val="auto"/>
        </w:rPr>
        <w:noBreakHyphen/>
      </w:r>
      <w:r w:rsidR="00336476" w:rsidRPr="005629F8">
        <w:rPr>
          <w:color w:val="auto"/>
        </w:rPr>
        <w:t xml:space="preserve">DRGs in </w:t>
      </w:r>
      <w:r w:rsidR="002A0EF4">
        <w:rPr>
          <w:color w:val="auto"/>
        </w:rPr>
        <w:t xml:space="preserve">the period from </w:t>
      </w:r>
      <w:r w:rsidR="00E2626E">
        <w:rPr>
          <w:color w:val="auto"/>
        </w:rPr>
        <w:t>2019</w:t>
      </w:r>
      <w:r w:rsidR="002A0EF4">
        <w:rPr>
          <w:color w:val="auto"/>
        </w:rPr>
        <w:t>-</w:t>
      </w:r>
      <w:r w:rsidR="00E2626E">
        <w:rPr>
          <w:color w:val="auto"/>
        </w:rPr>
        <w:t>20</w:t>
      </w:r>
      <w:r w:rsidR="002A0EF4">
        <w:rPr>
          <w:color w:val="auto"/>
        </w:rPr>
        <w:t xml:space="preserve"> to </w:t>
      </w:r>
      <w:r w:rsidR="00E2626E">
        <w:rPr>
          <w:color w:val="auto"/>
        </w:rPr>
        <w:t>2021</w:t>
      </w:r>
      <w:r w:rsidR="002A0EF4">
        <w:rPr>
          <w:color w:val="auto"/>
        </w:rPr>
        <w:t>-</w:t>
      </w:r>
      <w:r w:rsidR="00E2626E">
        <w:rPr>
          <w:color w:val="auto"/>
        </w:rPr>
        <w:t>22</w:t>
      </w:r>
      <w:r w:rsidR="00336476" w:rsidRPr="005629F8">
        <w:rPr>
          <w:color w:val="auto"/>
        </w:rPr>
        <w:t>. The change in ALOS has been minimal over the years, since these AR</w:t>
      </w:r>
      <w:r w:rsidR="00E41DDF">
        <w:rPr>
          <w:color w:val="auto"/>
        </w:rPr>
        <w:noBreakHyphen/>
      </w:r>
      <w:r w:rsidR="00336476" w:rsidRPr="005629F8">
        <w:rPr>
          <w:color w:val="auto"/>
        </w:rPr>
        <w:t xml:space="preserve">DRGs are generally </w:t>
      </w:r>
      <w:r w:rsidR="00336476" w:rsidRPr="005629F8">
        <w:t>high</w:t>
      </w:r>
      <w:r w:rsidR="00B26CCE">
        <w:t>-</w:t>
      </w:r>
      <w:r w:rsidR="00336476" w:rsidRPr="005629F8">
        <w:t>volume</w:t>
      </w:r>
      <w:r w:rsidR="009C10A4" w:rsidRPr="0068730C">
        <w:t>,</w:t>
      </w:r>
      <w:r w:rsidR="00336476" w:rsidRPr="005629F8">
        <w:t xml:space="preserve"> </w:t>
      </w:r>
      <w:proofErr w:type="spellStart"/>
      <w:r w:rsidR="00336476" w:rsidRPr="005629F8">
        <w:t>sameday</w:t>
      </w:r>
      <w:proofErr w:type="spellEnd"/>
      <w:r w:rsidR="00336476" w:rsidRPr="005629F8">
        <w:t xml:space="preserve"> </w:t>
      </w:r>
      <w:r w:rsidR="009C10A4" w:rsidRPr="0068730C">
        <w:t>separations</w:t>
      </w:r>
      <w:r w:rsidR="00336476" w:rsidRPr="005629F8">
        <w:t xml:space="preserve">. </w:t>
      </w:r>
      <w:r w:rsidR="006A50BB" w:rsidRPr="005629F8">
        <w:t xml:space="preserve">For total cost weighted separations, the increase in 2020-21 (compared to 2019-20) reflects the </w:t>
      </w:r>
      <w:r w:rsidR="001E476E" w:rsidRPr="005629F8">
        <w:t>increase</w:t>
      </w:r>
      <w:r w:rsidR="006A50BB" w:rsidRPr="005629F8">
        <w:t xml:space="preserve"> in activity as COVID-19 restrictions </w:t>
      </w:r>
      <w:r w:rsidR="009C10A4" w:rsidRPr="0068730C">
        <w:t>were lifted</w:t>
      </w:r>
      <w:r w:rsidR="006A50BB" w:rsidRPr="005629F8">
        <w:t>.</w:t>
      </w:r>
    </w:p>
    <w:p w14:paraId="0231646D" w14:textId="02F3A081" w:rsidR="00B90AAB" w:rsidRDefault="00B90AAB" w:rsidP="007D0DDE">
      <w:pPr>
        <w:spacing w:line="259" w:lineRule="auto"/>
      </w:pPr>
    </w:p>
    <w:p w14:paraId="3BE64F23" w14:textId="7CF0B663" w:rsidR="00B90AAB" w:rsidRDefault="006C68DC" w:rsidP="006C68DC">
      <w:pPr>
        <w:pStyle w:val="TableFigureheading"/>
      </w:pPr>
      <w:bookmarkStart w:id="120" w:name="_Ref129181296"/>
      <w:bookmarkStart w:id="121" w:name="_Toc152081852"/>
      <w:r>
        <w:lastRenderedPageBreak/>
        <w:t xml:space="preserve">Figure </w:t>
      </w:r>
      <w:r>
        <w:fldChar w:fldCharType="begin"/>
      </w:r>
      <w:r>
        <w:instrText xml:space="preserve"> SEQ Figure \* ARABIC </w:instrText>
      </w:r>
      <w:r>
        <w:fldChar w:fldCharType="separate"/>
      </w:r>
      <w:r>
        <w:rPr>
          <w:noProof/>
        </w:rPr>
        <w:t>9</w:t>
      </w:r>
      <w:r>
        <w:fldChar w:fldCharType="end"/>
      </w:r>
      <w:bookmarkEnd w:id="120"/>
      <w:r w:rsidR="00B90AAB">
        <w:t>. Comparison of top 10 AR-DRGs by highest volume of population-adjusted separations, 2018-19 to 202</w:t>
      </w:r>
      <w:r w:rsidR="00DA79AF">
        <w:t>1</w:t>
      </w:r>
      <w:r w:rsidR="00B90AAB">
        <w:t>-2</w:t>
      </w:r>
      <w:r w:rsidR="00DA79AF">
        <w:t>2</w:t>
      </w:r>
      <w:bookmarkEnd w:id="121"/>
    </w:p>
    <w:p w14:paraId="1D749202" w14:textId="300B53D5" w:rsidR="005002C6" w:rsidRDefault="00E16CCC">
      <w:r>
        <w:rPr>
          <w:noProof/>
        </w:rPr>
        <w:drawing>
          <wp:inline distT="0" distB="0" distL="0" distR="0" wp14:anchorId="2A87815A" wp14:editId="0ABF39CA">
            <wp:extent cx="5991586" cy="258991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9025" cy="2593134"/>
                    </a:xfrm>
                    <a:prstGeom prst="rect">
                      <a:avLst/>
                    </a:prstGeom>
                    <a:noFill/>
                  </pic:spPr>
                </pic:pic>
              </a:graphicData>
            </a:graphic>
          </wp:inline>
        </w:drawing>
      </w:r>
    </w:p>
    <w:p w14:paraId="382D0B0D" w14:textId="39B44DE4" w:rsidR="00550AEB" w:rsidRPr="005629F8" w:rsidRDefault="00B02B00" w:rsidP="00550AEB">
      <w:r w:rsidRPr="005629F8">
        <w:t>There ha</w:t>
      </w:r>
      <w:r w:rsidR="00E41DDF">
        <w:t>ve</w:t>
      </w:r>
      <w:r w:rsidRPr="005629F8">
        <w:t xml:space="preserve"> been </w:t>
      </w:r>
      <w:r w:rsidR="009C10A4">
        <w:t>minor movement</w:t>
      </w:r>
      <w:r w:rsidR="00E41DDF">
        <w:t>s</w:t>
      </w:r>
      <w:r w:rsidR="009C10A4">
        <w:t xml:space="preserve"> within the top 10 AR-DRGs with the highest population</w:t>
      </w:r>
      <w:r w:rsidR="00E672C9">
        <w:t>-</w:t>
      </w:r>
      <w:r w:rsidR="009C10A4">
        <w:t>adjusted separations, however there were no changes to the composition</w:t>
      </w:r>
      <w:r w:rsidR="0096327D">
        <w:t xml:space="preserve">. </w:t>
      </w:r>
    </w:p>
    <w:p w14:paraId="527BED74" w14:textId="38D85E54" w:rsidR="00550AEB" w:rsidRPr="005629F8" w:rsidRDefault="00550AEB" w:rsidP="00550AEB">
      <w:pPr>
        <w:sectPr w:rsidR="00550AEB" w:rsidRPr="005629F8" w:rsidSect="00522146">
          <w:footerReference w:type="default" r:id="rId30"/>
          <w:pgSz w:w="11906" w:h="16838" w:code="9"/>
          <w:pgMar w:top="1440" w:right="1080" w:bottom="1440" w:left="1080" w:header="709" w:footer="709" w:gutter="0"/>
          <w:cols w:space="720"/>
          <w:docGrid w:linePitch="360"/>
        </w:sectPr>
      </w:pPr>
    </w:p>
    <w:p w14:paraId="6AE07F0B" w14:textId="1B828096" w:rsidR="0039264C" w:rsidRPr="005629F8" w:rsidRDefault="0039264C" w:rsidP="00E829BF">
      <w:pPr>
        <w:pStyle w:val="TableFigureheading"/>
      </w:pPr>
      <w:bookmarkStart w:id="122" w:name="_Ref103175681"/>
      <w:bookmarkStart w:id="123" w:name="_Toc105084246"/>
      <w:bookmarkStart w:id="124" w:name="_Toc129179300"/>
      <w:bookmarkStart w:id="125" w:name="_Toc152081874"/>
      <w:r w:rsidRPr="005629F8">
        <w:lastRenderedPageBreak/>
        <w:t xml:space="preserve">Table </w:t>
      </w:r>
      <w:r w:rsidR="00D9779B" w:rsidRPr="005629F8">
        <w:fldChar w:fldCharType="begin"/>
      </w:r>
      <w:r w:rsidR="00D9779B" w:rsidRPr="005629F8">
        <w:instrText xml:space="preserve"> SEQ Table \* ARABIC </w:instrText>
      </w:r>
      <w:r w:rsidR="00D9779B" w:rsidRPr="005629F8">
        <w:fldChar w:fldCharType="separate"/>
      </w:r>
      <w:r w:rsidR="00D3454D">
        <w:rPr>
          <w:noProof/>
        </w:rPr>
        <w:t>6</w:t>
      </w:r>
      <w:r w:rsidR="00D9779B" w:rsidRPr="005629F8">
        <w:rPr>
          <w:noProof/>
        </w:rPr>
        <w:fldChar w:fldCharType="end"/>
      </w:r>
      <w:bookmarkEnd w:id="122"/>
      <w:r w:rsidRPr="005629F8">
        <w:t>.</w:t>
      </w:r>
      <w:r w:rsidRPr="005629F8">
        <w:rPr>
          <w:spacing w:val="-1"/>
        </w:rPr>
        <w:t xml:space="preserve"> </w:t>
      </w:r>
      <w:r w:rsidRPr="005629F8">
        <w:t>Top</w:t>
      </w:r>
      <w:r w:rsidRPr="005629F8">
        <w:rPr>
          <w:spacing w:val="-3"/>
        </w:rPr>
        <w:t xml:space="preserve"> </w:t>
      </w:r>
      <w:r w:rsidR="00EC7E6D" w:rsidRPr="005629F8">
        <w:t>1</w:t>
      </w:r>
      <w:r w:rsidRPr="005629F8">
        <w:t>0</w:t>
      </w:r>
      <w:r w:rsidRPr="005629F8">
        <w:rPr>
          <w:spacing w:val="-2"/>
        </w:rPr>
        <w:t xml:space="preserve"> AR-</w:t>
      </w:r>
      <w:r w:rsidRPr="005629F8">
        <w:t>DRGs</w:t>
      </w:r>
      <w:r w:rsidRPr="005629F8">
        <w:rPr>
          <w:spacing w:val="-1"/>
        </w:rPr>
        <w:t xml:space="preserve"> </w:t>
      </w:r>
      <w:r w:rsidRPr="005629F8">
        <w:t>ranked</w:t>
      </w:r>
      <w:r w:rsidRPr="005629F8">
        <w:rPr>
          <w:spacing w:val="-1"/>
        </w:rPr>
        <w:t xml:space="preserve"> </w:t>
      </w:r>
      <w:r w:rsidRPr="005629F8">
        <w:t>by</w:t>
      </w:r>
      <w:r w:rsidRPr="005629F8">
        <w:rPr>
          <w:spacing w:val="-9"/>
        </w:rPr>
        <w:t xml:space="preserve"> </w:t>
      </w:r>
      <w:r w:rsidRPr="005629F8">
        <w:t>highest</w:t>
      </w:r>
      <w:r w:rsidRPr="005629F8">
        <w:rPr>
          <w:spacing w:val="-1"/>
        </w:rPr>
        <w:t xml:space="preserve"> </w:t>
      </w:r>
      <w:r w:rsidRPr="005629F8">
        <w:t>volume</w:t>
      </w:r>
      <w:r w:rsidRPr="005629F8">
        <w:rPr>
          <w:spacing w:val="-1"/>
        </w:rPr>
        <w:t xml:space="preserve"> </w:t>
      </w:r>
      <w:r w:rsidRPr="005629F8">
        <w:t>of</w:t>
      </w:r>
      <w:r w:rsidRPr="005629F8">
        <w:rPr>
          <w:spacing w:val="-4"/>
        </w:rPr>
        <w:t xml:space="preserve"> </w:t>
      </w:r>
      <w:r w:rsidRPr="005629F8">
        <w:t>population</w:t>
      </w:r>
      <w:r w:rsidR="00F46108">
        <w:rPr>
          <w:spacing w:val="-1"/>
        </w:rPr>
        <w:t>-</w:t>
      </w:r>
      <w:r w:rsidRPr="005629F8">
        <w:t>adjusted</w:t>
      </w:r>
      <w:r w:rsidRPr="005629F8">
        <w:rPr>
          <w:spacing w:val="-1"/>
        </w:rPr>
        <w:t xml:space="preserve"> </w:t>
      </w:r>
      <w:proofErr w:type="gramStart"/>
      <w:r w:rsidRPr="005629F8">
        <w:t>separations</w:t>
      </w:r>
      <w:bookmarkEnd w:id="123"/>
      <w:bookmarkEnd w:id="124"/>
      <w:bookmarkEnd w:id="125"/>
      <w:proofErr w:type="gramEnd"/>
    </w:p>
    <w:tbl>
      <w:tblPr>
        <w:tblStyle w:val="IHACPATable"/>
        <w:tblW w:w="15019" w:type="dxa"/>
        <w:tblInd w:w="-142" w:type="dxa"/>
        <w:tblLayout w:type="fixed"/>
        <w:tblLook w:val="06A0" w:firstRow="1" w:lastRow="0" w:firstColumn="1" w:lastColumn="0" w:noHBand="1" w:noVBand="1"/>
      </w:tblPr>
      <w:tblGrid>
        <w:gridCol w:w="851"/>
        <w:gridCol w:w="220"/>
        <w:gridCol w:w="631"/>
        <w:gridCol w:w="567"/>
        <w:gridCol w:w="1842"/>
        <w:gridCol w:w="678"/>
        <w:gridCol w:w="1165"/>
        <w:gridCol w:w="992"/>
        <w:gridCol w:w="851"/>
        <w:gridCol w:w="992"/>
        <w:gridCol w:w="650"/>
        <w:gridCol w:w="930"/>
        <w:gridCol w:w="930"/>
        <w:gridCol w:w="930"/>
        <w:gridCol w:w="930"/>
        <w:gridCol w:w="930"/>
        <w:gridCol w:w="930"/>
      </w:tblGrid>
      <w:tr w:rsidR="002D4202" w:rsidRPr="0088109E" w14:paraId="688B570E" w14:textId="4709C125" w:rsidTr="009B094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auto"/>
              <w:left w:val="nil"/>
              <w:bottom w:val="single" w:sz="4" w:space="0" w:color="auto"/>
              <w:right w:val="nil"/>
            </w:tcBorders>
            <w:shd w:val="clear" w:color="auto" w:fill="15272F" w:themeFill="text1"/>
            <w:vAlign w:val="center"/>
          </w:tcPr>
          <w:p w14:paraId="25B26BB7" w14:textId="77777777" w:rsidR="00AD1CBB" w:rsidRPr="005629F8" w:rsidRDefault="00AD1CBB" w:rsidP="00DB117A">
            <w:pPr>
              <w:pStyle w:val="TableParagraph"/>
              <w:jc w:val="center"/>
              <w:rPr>
                <w:b/>
                <w:bCs/>
                <w:color w:val="FFFFFF" w:themeColor="background2"/>
                <w:szCs w:val="14"/>
              </w:rPr>
            </w:pPr>
          </w:p>
        </w:tc>
        <w:tc>
          <w:tcPr>
            <w:tcW w:w="631" w:type="dxa"/>
            <w:tcBorders>
              <w:top w:val="single" w:sz="4" w:space="0" w:color="auto"/>
              <w:left w:val="nil"/>
              <w:bottom w:val="single" w:sz="4" w:space="0" w:color="auto"/>
              <w:right w:val="nil"/>
            </w:tcBorders>
            <w:shd w:val="clear" w:color="auto" w:fill="15272F" w:themeFill="text1"/>
            <w:vAlign w:val="center"/>
          </w:tcPr>
          <w:p w14:paraId="48DB22D9" w14:textId="77777777" w:rsidR="00AD1CBB" w:rsidRPr="005629F8" w:rsidRDefault="00AD1CBB" w:rsidP="00DB117A">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567" w:type="dxa"/>
            <w:tcBorders>
              <w:top w:val="single" w:sz="4" w:space="0" w:color="auto"/>
              <w:left w:val="nil"/>
              <w:bottom w:val="single" w:sz="4" w:space="0" w:color="auto"/>
              <w:right w:val="nil"/>
            </w:tcBorders>
            <w:shd w:val="clear" w:color="auto" w:fill="15272F" w:themeFill="text1"/>
            <w:vAlign w:val="center"/>
          </w:tcPr>
          <w:p w14:paraId="19D4B0BB" w14:textId="77777777" w:rsidR="00AD1CBB" w:rsidRDefault="00AD1CBB" w:rsidP="00DB117A">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1842" w:type="dxa"/>
            <w:tcBorders>
              <w:top w:val="single" w:sz="4" w:space="0" w:color="auto"/>
              <w:left w:val="nil"/>
              <w:bottom w:val="single" w:sz="4" w:space="0" w:color="auto"/>
              <w:right w:val="single" w:sz="4" w:space="0" w:color="FFFFFF" w:themeColor="accent6"/>
            </w:tcBorders>
            <w:shd w:val="clear" w:color="auto" w:fill="15272F" w:themeFill="text1"/>
            <w:vAlign w:val="center"/>
          </w:tcPr>
          <w:p w14:paraId="0F8CBDDE" w14:textId="77777777" w:rsidR="00AD1CBB" w:rsidRDefault="00AD1CBB" w:rsidP="00DB117A">
            <w:pPr>
              <w:pStyle w:val="TableParagraph"/>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7188" w:type="dxa"/>
            <w:gridSpan w:val="8"/>
            <w:tcBorders>
              <w:top w:val="single" w:sz="4" w:space="0" w:color="auto"/>
              <w:left w:val="single" w:sz="4" w:space="0" w:color="FFFFFF" w:themeColor="accent6"/>
              <w:bottom w:val="single" w:sz="4" w:space="0" w:color="auto"/>
              <w:right w:val="single" w:sz="4" w:space="0" w:color="FFFFFF" w:themeColor="accent6"/>
            </w:tcBorders>
            <w:shd w:val="clear" w:color="auto" w:fill="15272F" w:themeFill="text1"/>
            <w:vAlign w:val="center"/>
          </w:tcPr>
          <w:p w14:paraId="02A4CDA4" w14:textId="61FE2E65" w:rsidR="00AD1CBB" w:rsidRPr="005629F8" w:rsidRDefault="00AD1CBB"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202</w:t>
            </w:r>
            <w:r w:rsidR="00E16CCC">
              <w:rPr>
                <w:b/>
                <w:bCs/>
                <w:color w:val="FFFFFF" w:themeColor="background2"/>
                <w:szCs w:val="14"/>
              </w:rPr>
              <w:t>1-22</w:t>
            </w:r>
          </w:p>
        </w:tc>
        <w:tc>
          <w:tcPr>
            <w:tcW w:w="3720" w:type="dxa"/>
            <w:gridSpan w:val="4"/>
            <w:tcBorders>
              <w:top w:val="single" w:sz="4" w:space="0" w:color="auto"/>
              <w:left w:val="single" w:sz="4" w:space="0" w:color="FFFFFF" w:themeColor="accent6"/>
              <w:bottom w:val="single" w:sz="4" w:space="0" w:color="auto"/>
              <w:right w:val="nil"/>
            </w:tcBorders>
            <w:shd w:val="clear" w:color="auto" w:fill="15272F" w:themeFill="text1"/>
            <w:vAlign w:val="center"/>
          </w:tcPr>
          <w:p w14:paraId="05FD7C04" w14:textId="3A6F464C" w:rsidR="00AD1CBB" w:rsidRPr="005629F8" w:rsidRDefault="00AD1CBB"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w:t>
            </w:r>
            <w:r w:rsidR="00E16CCC">
              <w:rPr>
                <w:b/>
                <w:bCs/>
                <w:color w:val="FFFFFF" w:themeColor="background2"/>
                <w:szCs w:val="14"/>
              </w:rPr>
              <w:t>20</w:t>
            </w:r>
            <w:r>
              <w:rPr>
                <w:b/>
                <w:bCs/>
                <w:color w:val="FFFFFF" w:themeColor="background2"/>
                <w:szCs w:val="14"/>
              </w:rPr>
              <w:t>-2</w:t>
            </w:r>
            <w:r w:rsidR="00E16CCC">
              <w:rPr>
                <w:b/>
                <w:bCs/>
                <w:color w:val="FFFFFF" w:themeColor="background2"/>
                <w:szCs w:val="14"/>
              </w:rPr>
              <w:t>1</w:t>
            </w:r>
          </w:p>
        </w:tc>
      </w:tr>
      <w:tr w:rsidR="001112A9" w:rsidRPr="0088109E" w14:paraId="4468AE20" w14:textId="273FBAEE" w:rsidTr="009B094F">
        <w:trPr>
          <w:trHeight w:val="6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6A0E0362" w14:textId="4BC172CE" w:rsidR="00AD1CBB" w:rsidRPr="00E87B16" w:rsidRDefault="00AD1CBB" w:rsidP="00AD1CBB">
            <w:pPr>
              <w:pStyle w:val="TableParagraph"/>
              <w:jc w:val="center"/>
              <w:rPr>
                <w:b/>
                <w:bCs/>
                <w:highlight w:val="yellow"/>
                <w:lang w:eastAsia="en-AU"/>
              </w:rPr>
            </w:pPr>
            <w:r w:rsidRPr="00E87B16">
              <w:rPr>
                <w:b/>
                <w:bCs/>
                <w:szCs w:val="14"/>
              </w:rPr>
              <w:t>Top 10 20</w:t>
            </w:r>
            <w:r w:rsidR="00F67D44">
              <w:rPr>
                <w:b/>
                <w:bCs/>
                <w:szCs w:val="14"/>
              </w:rPr>
              <w:t>20</w:t>
            </w:r>
            <w:r w:rsidRPr="00E87B16">
              <w:rPr>
                <w:b/>
                <w:bCs/>
                <w:szCs w:val="14"/>
              </w:rPr>
              <w:t>-2</w:t>
            </w:r>
            <w:r w:rsidR="00F67D44">
              <w:rPr>
                <w:b/>
                <w:bCs/>
                <w:szCs w:val="14"/>
              </w:rPr>
              <w:t>1</w:t>
            </w:r>
          </w:p>
        </w:tc>
        <w:tc>
          <w:tcPr>
            <w:tcW w:w="851" w:type="dxa"/>
            <w:gridSpan w:val="2"/>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36A4C0E3" w14:textId="495E2946"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Rank 202</w:t>
            </w:r>
            <w:r w:rsidR="00F67D44">
              <w:rPr>
                <w:b/>
                <w:bCs/>
                <w:szCs w:val="14"/>
              </w:rPr>
              <w:t>1</w:t>
            </w:r>
            <w:r w:rsidRPr="00E87B16">
              <w:rPr>
                <w:b/>
                <w:bCs/>
                <w:szCs w:val="14"/>
              </w:rPr>
              <w:t>-2</w:t>
            </w:r>
            <w:r w:rsidR="00F67D44">
              <w:rPr>
                <w:b/>
                <w:bCs/>
                <w:szCs w:val="14"/>
              </w:rPr>
              <w:t>2</w:t>
            </w:r>
          </w:p>
        </w:tc>
        <w:tc>
          <w:tcPr>
            <w:tcW w:w="567"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698888B9" w14:textId="4268A4F9"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AR-DRG</w:t>
            </w:r>
          </w:p>
        </w:tc>
        <w:tc>
          <w:tcPr>
            <w:tcW w:w="1842"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35F20D41" w14:textId="27FB608E" w:rsidR="00AD1CBB" w:rsidRPr="00E87B16" w:rsidRDefault="00AD1CBB" w:rsidP="00AD1CBB">
            <w:pPr>
              <w:pStyle w:val="TableParagraph"/>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AR-DRG Description</w:t>
            </w:r>
          </w:p>
        </w:tc>
        <w:tc>
          <w:tcPr>
            <w:tcW w:w="678"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21F34D9B" w14:textId="77777777"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r w:rsidRPr="00E87B16">
              <w:rPr>
                <w:b/>
                <w:bCs/>
                <w:szCs w:val="14"/>
              </w:rPr>
              <w:br/>
              <w:t>(a)</w:t>
            </w:r>
          </w:p>
        </w:tc>
        <w:tc>
          <w:tcPr>
            <w:tcW w:w="1165"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0DF508BB" w14:textId="77777777"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r w:rsidRPr="00E87B16">
              <w:rPr>
                <w:b/>
                <w:bCs/>
                <w:szCs w:val="14"/>
              </w:rPr>
              <w:br/>
              <w:t>(b)</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0C5CA41C" w14:textId="77777777"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weighted seps</w:t>
            </w:r>
            <w:r w:rsidRPr="00E87B16">
              <w:rPr>
                <w:b/>
                <w:bCs/>
                <w:szCs w:val="14"/>
              </w:rPr>
              <w:br/>
              <w:t>(c)=(a)x(b)</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59108629" w14:textId="77777777"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Number of days</w:t>
            </w:r>
            <w:r w:rsidRPr="00E87B16">
              <w:rPr>
                <w:b/>
                <w:bCs/>
                <w:szCs w:val="14"/>
              </w:rPr>
              <w:br/>
              <w:t>(d)</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69F7B160" w14:textId="77777777"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ALOS (days)</w:t>
            </w:r>
            <w:r w:rsidRPr="00E87B16">
              <w:rPr>
                <w:b/>
                <w:bCs/>
                <w:szCs w:val="14"/>
              </w:rPr>
              <w:br/>
              <w:t>(e)=(d)/(b)</w:t>
            </w:r>
          </w:p>
        </w:tc>
        <w:tc>
          <w:tcPr>
            <w:tcW w:w="650"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5E5CB1F3" w14:textId="77777777"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Std error</w:t>
            </w:r>
          </w:p>
        </w:tc>
        <w:tc>
          <w:tcPr>
            <w:tcW w:w="930"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25239DB5" w14:textId="77777777"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of total seps</w:t>
            </w:r>
          </w:p>
        </w:tc>
        <w:tc>
          <w:tcPr>
            <w:tcW w:w="930"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6265E7D7" w14:textId="77777777"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of CW seps</w:t>
            </w:r>
          </w:p>
        </w:tc>
        <w:tc>
          <w:tcPr>
            <w:tcW w:w="930"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tcPr>
          <w:p w14:paraId="7A7C210F" w14:textId="43C26040"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szCs w:val="14"/>
              </w:rPr>
              <w:t>Cost weighted seps</w:t>
            </w:r>
          </w:p>
        </w:tc>
        <w:tc>
          <w:tcPr>
            <w:tcW w:w="930"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070D2341" w14:textId="34B32C69"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Rank</w:t>
            </w:r>
          </w:p>
        </w:tc>
        <w:tc>
          <w:tcPr>
            <w:tcW w:w="930" w:type="dxa"/>
            <w:tcBorders>
              <w:top w:val="single" w:sz="4" w:space="0" w:color="auto"/>
              <w:left w:val="nil"/>
              <w:bottom w:val="single" w:sz="4" w:space="0" w:color="D9D9D9" w:themeColor="background2" w:themeShade="D9"/>
              <w:right w:val="nil"/>
            </w:tcBorders>
            <w:shd w:val="clear" w:color="auto" w:fill="DFEBF1" w:themeFill="text1" w:themeFillTint="1A"/>
            <w:vAlign w:val="center"/>
          </w:tcPr>
          <w:p w14:paraId="1E0E302F" w14:textId="5AAF73F1" w:rsidR="00AD1CBB" w:rsidRPr="00E87B16" w:rsidRDefault="00AD1CBB"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szCs w:val="14"/>
              </w:rPr>
              <w:t>No. Of weighted seps</w:t>
            </w:r>
          </w:p>
        </w:tc>
        <w:tc>
          <w:tcPr>
            <w:tcW w:w="930" w:type="dxa"/>
            <w:tcBorders>
              <w:top w:val="single" w:sz="4" w:space="0" w:color="auto"/>
              <w:left w:val="nil"/>
              <w:bottom w:val="single" w:sz="4" w:space="0" w:color="D9D9D9" w:themeColor="background2" w:themeShade="D9"/>
              <w:right w:val="nil"/>
            </w:tcBorders>
            <w:shd w:val="clear" w:color="auto" w:fill="DFEBF1" w:themeFill="text1" w:themeFillTint="1A"/>
            <w:vAlign w:val="center"/>
          </w:tcPr>
          <w:p w14:paraId="215B3E10" w14:textId="63E741EA" w:rsidR="00AD1CBB" w:rsidRPr="00E87B16" w:rsidRDefault="00E16CCC" w:rsidP="00AD1CBB">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p>
        </w:tc>
      </w:tr>
      <w:tr w:rsidR="001112A9" w:rsidRPr="0088109E" w14:paraId="52031F2A" w14:textId="50A0312E"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7EECD1F2" w14:textId="6EA0C52F" w:rsidR="00E16CCC" w:rsidRPr="0088109E" w:rsidRDefault="00E16CCC" w:rsidP="00E16CCC">
            <w:pPr>
              <w:pStyle w:val="TableParagraph"/>
              <w:jc w:val="center"/>
              <w:rPr>
                <w:highlight w:val="yellow"/>
                <w:lang w:eastAsia="en-AU"/>
              </w:rPr>
            </w:pPr>
            <w:r w:rsidRPr="00333758">
              <w:t>Yes</w:t>
            </w:r>
          </w:p>
        </w:tc>
        <w:tc>
          <w:tcPr>
            <w:tcW w:w="631"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5E3F2653" w14:textId="6F04372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w:t>
            </w:r>
          </w:p>
        </w:tc>
        <w:tc>
          <w:tcPr>
            <w:tcW w:w="567"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37AE3045" w14:textId="6DB3BCF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R63Z</w:t>
            </w:r>
          </w:p>
        </w:tc>
        <w:tc>
          <w:tcPr>
            <w:tcW w:w="1842"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hideMark/>
          </w:tcPr>
          <w:p w14:paraId="307E930C" w14:textId="1DFE247F"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Pharmacotherapy for Neoplastic Disorders</w:t>
            </w:r>
          </w:p>
        </w:tc>
        <w:tc>
          <w:tcPr>
            <w:tcW w:w="67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02DBEDE2" w14:textId="364917A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0.22</w:t>
            </w:r>
          </w:p>
        </w:tc>
        <w:tc>
          <w:tcPr>
            <w:tcW w:w="1165"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4A41A542" w14:textId="62F1811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290,171</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536DAA9F" w14:textId="1E35F7D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333758">
              <w:t>63,838</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313777D8" w14:textId="13A25B5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290,176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37FD6A64" w14:textId="1DFEBA0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1.0</w:t>
            </w:r>
          </w:p>
        </w:tc>
        <w:tc>
          <w:tcPr>
            <w:tcW w:w="65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0FE75EC4" w14:textId="5D8AA83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0.001</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3A2B2FEA" w14:textId="40CB6BE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8.46%</w:t>
            </w:r>
          </w:p>
        </w:tc>
        <w:tc>
          <w:tcPr>
            <w:tcW w:w="93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25D9EC04" w14:textId="750580B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1.9%</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tcPr>
          <w:p w14:paraId="34401E49" w14:textId="4415188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275,269</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1AD69F47" w14:textId="32550F9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36A92895" w14:textId="53DF100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0.20</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1286A20A" w14:textId="79D7CCE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 263,801 </w:t>
            </w:r>
          </w:p>
        </w:tc>
      </w:tr>
      <w:tr w:rsidR="001112A9" w:rsidRPr="0088109E" w14:paraId="266F0164" w14:textId="038ECE34"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5CCF7DAD" w14:textId="4115D862" w:rsidR="00E16CCC" w:rsidRPr="0088109E" w:rsidRDefault="00E16CCC" w:rsidP="00E16CCC">
            <w:pPr>
              <w:pStyle w:val="TableParagraph"/>
              <w:jc w:val="center"/>
              <w:rPr>
                <w:highlight w:val="yellow"/>
                <w:lang w:eastAsia="en-AU"/>
              </w:rPr>
            </w:pPr>
            <w:r w:rsidRPr="00333758">
              <w:t>Yes</w:t>
            </w:r>
          </w:p>
        </w:tc>
        <w:tc>
          <w:tcPr>
            <w:tcW w:w="631"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1F153383" w14:textId="6BCE4C5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2</w:t>
            </w:r>
          </w:p>
        </w:tc>
        <w:tc>
          <w:tcPr>
            <w:tcW w:w="567"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0B65DE04" w14:textId="6D4B03D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G48B</w:t>
            </w:r>
          </w:p>
        </w:tc>
        <w:tc>
          <w:tcPr>
            <w:tcW w:w="1842"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hideMark/>
          </w:tcPr>
          <w:p w14:paraId="5E03067C" w14:textId="19A87849"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Colonoscopy, Minor Complexity</w:t>
            </w:r>
          </w:p>
        </w:tc>
        <w:tc>
          <w:tcPr>
            <w:tcW w:w="67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351CA461" w14:textId="0637D08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0.32</w:t>
            </w:r>
          </w:p>
        </w:tc>
        <w:tc>
          <w:tcPr>
            <w:tcW w:w="1165"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26DAF535" w14:textId="0D355C2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162,242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38FDAF2C" w14:textId="1E62CC6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333758">
              <w:t>51,917</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7735F84F" w14:textId="3C5AF51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167,051</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6C83D9EB" w14:textId="0FF200A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1.0</w:t>
            </w:r>
          </w:p>
        </w:tc>
        <w:tc>
          <w:tcPr>
            <w:tcW w:w="65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194C09E1" w14:textId="4CCA605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0.001</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1523B9CF" w14:textId="1B81A62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4.73%</w:t>
            </w:r>
          </w:p>
        </w:tc>
        <w:tc>
          <w:tcPr>
            <w:tcW w:w="93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169BEF1A" w14:textId="05C4FDF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1.5%</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tcPr>
          <w:p w14:paraId="7730750F" w14:textId="22C5988D"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171,739</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1907BEA2" w14:textId="128AFD9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2</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5928FBD5" w14:textId="322BD7F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0.30</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1451EFF3" w14:textId="0AED707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 155,803 </w:t>
            </w:r>
          </w:p>
        </w:tc>
      </w:tr>
      <w:tr w:rsidR="001112A9" w:rsidRPr="0088109E" w14:paraId="147FE56D" w14:textId="696A9551"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0B951114" w14:textId="00D6AB40" w:rsidR="00E16CCC" w:rsidRPr="0088109E" w:rsidRDefault="00E16CCC" w:rsidP="00E16CCC">
            <w:pPr>
              <w:pStyle w:val="TableParagraph"/>
              <w:jc w:val="center"/>
              <w:rPr>
                <w:highlight w:val="yellow"/>
                <w:lang w:eastAsia="en-AU"/>
              </w:rPr>
            </w:pPr>
            <w:r w:rsidRPr="00333758">
              <w:t>Yes</w:t>
            </w:r>
          </w:p>
        </w:tc>
        <w:tc>
          <w:tcPr>
            <w:tcW w:w="631"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70BCE522" w14:textId="77CCFB7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3</w:t>
            </w:r>
          </w:p>
        </w:tc>
        <w:tc>
          <w:tcPr>
            <w:tcW w:w="567"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19AF4463" w14:textId="51382E3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L61Z</w:t>
            </w:r>
          </w:p>
        </w:tc>
        <w:tc>
          <w:tcPr>
            <w:tcW w:w="1842"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hideMark/>
          </w:tcPr>
          <w:p w14:paraId="73DF4754" w14:textId="0D4FEBF4"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Haemodialysis</w:t>
            </w:r>
          </w:p>
        </w:tc>
        <w:tc>
          <w:tcPr>
            <w:tcW w:w="67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57C058A7" w14:textId="15DD411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0.10</w:t>
            </w:r>
          </w:p>
        </w:tc>
        <w:tc>
          <w:tcPr>
            <w:tcW w:w="1165"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0915D151" w14:textId="72C8855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152,009</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250BD151" w14:textId="1919112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333758">
              <w:t>15,201</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5169CF71" w14:textId="3DE100E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152,018</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6347F2AC" w14:textId="48D2715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1.0</w:t>
            </w:r>
          </w:p>
        </w:tc>
        <w:tc>
          <w:tcPr>
            <w:tcW w:w="65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5A359B68" w14:textId="1CEBF2A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0.000</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5597C656" w14:textId="068D2E4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4.43%</w:t>
            </w:r>
          </w:p>
        </w:tc>
        <w:tc>
          <w:tcPr>
            <w:tcW w:w="93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3AA0BE1D" w14:textId="13633CC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0.4%</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tcPr>
          <w:p w14:paraId="43AA3574" w14:textId="189C96F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140,690</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73D17196" w14:textId="187E8C2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3</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44FF8E83" w14:textId="57938B0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0.11</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1B0B1DB8" w14:textId="514AD28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 135,126 </w:t>
            </w:r>
          </w:p>
        </w:tc>
      </w:tr>
      <w:tr w:rsidR="001112A9" w:rsidRPr="0088109E" w14:paraId="1BDD5EFE" w14:textId="4A1DD4B8"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09914850" w14:textId="19AF86EB" w:rsidR="00E16CCC" w:rsidRPr="0088109E" w:rsidRDefault="00E16CCC" w:rsidP="00E16CCC">
            <w:pPr>
              <w:pStyle w:val="TableParagraph"/>
              <w:jc w:val="center"/>
              <w:rPr>
                <w:highlight w:val="yellow"/>
                <w:lang w:eastAsia="en-AU"/>
              </w:rPr>
            </w:pPr>
            <w:r w:rsidRPr="00333758">
              <w:t>Yes</w:t>
            </w:r>
          </w:p>
        </w:tc>
        <w:tc>
          <w:tcPr>
            <w:tcW w:w="631"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258FE401" w14:textId="57B598F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4</w:t>
            </w:r>
          </w:p>
        </w:tc>
        <w:tc>
          <w:tcPr>
            <w:tcW w:w="567"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1C2AC405" w14:textId="371173C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G46B</w:t>
            </w:r>
          </w:p>
        </w:tc>
        <w:tc>
          <w:tcPr>
            <w:tcW w:w="1842"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hideMark/>
          </w:tcPr>
          <w:p w14:paraId="2FAEBC80" w14:textId="4417C4E8"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Complex Endoscopy, Minor Complexity</w:t>
            </w:r>
          </w:p>
        </w:tc>
        <w:tc>
          <w:tcPr>
            <w:tcW w:w="67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5D823551" w14:textId="4C3CF4C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0.36</w:t>
            </w:r>
          </w:p>
        </w:tc>
        <w:tc>
          <w:tcPr>
            <w:tcW w:w="1165"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674454D1" w14:textId="3679014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120,602</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4376C173" w14:textId="37C0D0E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333758">
              <w:t>43,417</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3DE8255B" w14:textId="613779B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128,305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0DEDDFF7" w14:textId="0B5C2A3F"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1.1</w:t>
            </w:r>
          </w:p>
        </w:tc>
        <w:tc>
          <w:tcPr>
            <w:tcW w:w="65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79B5BA47" w14:textId="083E8B10"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0.001</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4BB834CC" w14:textId="09F28A50"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3.51%</w:t>
            </w:r>
          </w:p>
        </w:tc>
        <w:tc>
          <w:tcPr>
            <w:tcW w:w="93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74CE4B73" w14:textId="757AE7E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1.3%</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tcPr>
          <w:p w14:paraId="293176B6" w14:textId="75F53D7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123,236</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69A3E860" w14:textId="5E671A4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4</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501696EC" w14:textId="25A2ADB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0.35</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0DA8B2BB" w14:textId="422EC58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 99,888 </w:t>
            </w:r>
          </w:p>
        </w:tc>
      </w:tr>
      <w:tr w:rsidR="001112A9" w:rsidRPr="0088109E" w14:paraId="099186C1" w14:textId="59D991BF"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1691EC73" w14:textId="3CC0DE66" w:rsidR="00E16CCC" w:rsidRPr="0088109E" w:rsidRDefault="00E16CCC" w:rsidP="00E16CCC">
            <w:pPr>
              <w:pStyle w:val="TableParagraph"/>
              <w:jc w:val="center"/>
              <w:rPr>
                <w:highlight w:val="yellow"/>
                <w:lang w:eastAsia="en-AU"/>
              </w:rPr>
            </w:pPr>
            <w:r w:rsidRPr="00333758">
              <w:t>Yes</w:t>
            </w:r>
          </w:p>
        </w:tc>
        <w:tc>
          <w:tcPr>
            <w:tcW w:w="631"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7728B7C3" w14:textId="59B9970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5</w:t>
            </w:r>
          </w:p>
        </w:tc>
        <w:tc>
          <w:tcPr>
            <w:tcW w:w="567"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701EB8AF" w14:textId="147D9D0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G47C</w:t>
            </w:r>
          </w:p>
        </w:tc>
        <w:tc>
          <w:tcPr>
            <w:tcW w:w="1842"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hideMark/>
          </w:tcPr>
          <w:p w14:paraId="65A013B9" w14:textId="60578BCD"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Gastroscopy, Minor Complexity</w:t>
            </w:r>
          </w:p>
        </w:tc>
        <w:tc>
          <w:tcPr>
            <w:tcW w:w="67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49218DAD" w14:textId="705DD46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0.24</w:t>
            </w:r>
          </w:p>
        </w:tc>
        <w:tc>
          <w:tcPr>
            <w:tcW w:w="1165"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27450E26" w14:textId="6B4A4FE0"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85,373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1F3C9BA7" w14:textId="6EB7998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333758">
              <w:t>20,490</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732C12F5" w14:textId="6F3E791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90,607</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7CE0312B" w14:textId="3831AD5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1.1</w:t>
            </w:r>
          </w:p>
        </w:tc>
        <w:tc>
          <w:tcPr>
            <w:tcW w:w="65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3FCB3BAD" w14:textId="37003CA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0.001</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72BD3BD4" w14:textId="5F2F55A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2.49%</w:t>
            </w:r>
          </w:p>
        </w:tc>
        <w:tc>
          <w:tcPr>
            <w:tcW w:w="93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60AD2801" w14:textId="23D316B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0.6%</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tcPr>
          <w:p w14:paraId="6DE48F18" w14:textId="71AC665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87,435</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745278A9" w14:textId="5957D530"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5</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1AEBEFCC" w14:textId="54B72BC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0.22</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685B1716" w14:textId="1E6B99E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 72,820 </w:t>
            </w:r>
          </w:p>
        </w:tc>
      </w:tr>
      <w:tr w:rsidR="001112A9" w:rsidRPr="0088109E" w14:paraId="3F97C862" w14:textId="7FE4A3BC"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2EEB52D6" w14:textId="09ABD69F" w:rsidR="00E16CCC" w:rsidRPr="0088109E" w:rsidRDefault="00E16CCC" w:rsidP="00E16CCC">
            <w:pPr>
              <w:pStyle w:val="TableParagraph"/>
              <w:jc w:val="center"/>
              <w:rPr>
                <w:highlight w:val="yellow"/>
                <w:lang w:eastAsia="en-AU"/>
              </w:rPr>
            </w:pPr>
            <w:r w:rsidRPr="00333758">
              <w:t>Yes</w:t>
            </w:r>
          </w:p>
        </w:tc>
        <w:tc>
          <w:tcPr>
            <w:tcW w:w="631"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14D5A27A" w14:textId="0436B0D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6</w:t>
            </w:r>
          </w:p>
        </w:tc>
        <w:tc>
          <w:tcPr>
            <w:tcW w:w="567"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62C6E7C7" w14:textId="33E3804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Z40Z</w:t>
            </w:r>
          </w:p>
        </w:tc>
        <w:tc>
          <w:tcPr>
            <w:tcW w:w="1842"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hideMark/>
          </w:tcPr>
          <w:p w14:paraId="03B6A5BF" w14:textId="0B844893"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Other Contacts with Health Services with Endoscopy</w:t>
            </w:r>
          </w:p>
        </w:tc>
        <w:tc>
          <w:tcPr>
            <w:tcW w:w="67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11014BCF" w14:textId="0D35835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0.26</w:t>
            </w:r>
          </w:p>
        </w:tc>
        <w:tc>
          <w:tcPr>
            <w:tcW w:w="1165"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79C5F93F" w14:textId="6537E40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81,596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3AF7D6CE" w14:textId="4FC2AC8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333758">
              <w:t>21,215</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50F86C7C" w14:textId="6FE2439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82,860</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6566AE1B" w14:textId="3320E41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1.0</w:t>
            </w:r>
          </w:p>
        </w:tc>
        <w:tc>
          <w:tcPr>
            <w:tcW w:w="65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2F323294" w14:textId="7851AAC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0.001</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33CB1967" w14:textId="08C0C3A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2.38%</w:t>
            </w:r>
          </w:p>
        </w:tc>
        <w:tc>
          <w:tcPr>
            <w:tcW w:w="93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119A62C1" w14:textId="664D367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0.6%</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tcPr>
          <w:p w14:paraId="6ACB53E3" w14:textId="2996D68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87,119</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155E1A23" w14:textId="0AD68DF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6</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561D6F21" w14:textId="66270A6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0.25</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423D2A97" w14:textId="073862D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 82,864 </w:t>
            </w:r>
          </w:p>
        </w:tc>
      </w:tr>
      <w:tr w:rsidR="001112A9" w:rsidRPr="0088109E" w14:paraId="0DD2E766" w14:textId="6733515E"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3CEF3629" w14:textId="00F7EEF0" w:rsidR="00E16CCC" w:rsidRPr="0088109E" w:rsidRDefault="00E16CCC" w:rsidP="00E16CCC">
            <w:pPr>
              <w:pStyle w:val="TableParagraph"/>
              <w:jc w:val="center"/>
              <w:rPr>
                <w:highlight w:val="yellow"/>
                <w:lang w:eastAsia="en-AU"/>
              </w:rPr>
            </w:pPr>
            <w:r w:rsidRPr="00333758">
              <w:t>Yes</w:t>
            </w:r>
          </w:p>
        </w:tc>
        <w:tc>
          <w:tcPr>
            <w:tcW w:w="631"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3FFDA593" w14:textId="15996E0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7</w:t>
            </w:r>
          </w:p>
        </w:tc>
        <w:tc>
          <w:tcPr>
            <w:tcW w:w="567"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00C5DAB6" w14:textId="67D2580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U60Z</w:t>
            </w:r>
          </w:p>
        </w:tc>
        <w:tc>
          <w:tcPr>
            <w:tcW w:w="1842"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hideMark/>
          </w:tcPr>
          <w:p w14:paraId="41643795" w14:textId="1F7B2E55"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Mental Health Treatment without ECT, </w:t>
            </w:r>
            <w:proofErr w:type="spellStart"/>
            <w:r w:rsidRPr="00333758">
              <w:t>Sameday</w:t>
            </w:r>
            <w:proofErr w:type="spellEnd"/>
          </w:p>
        </w:tc>
        <w:tc>
          <w:tcPr>
            <w:tcW w:w="67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3CB52333" w14:textId="357CD90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0.09</w:t>
            </w:r>
          </w:p>
        </w:tc>
        <w:tc>
          <w:tcPr>
            <w:tcW w:w="1165"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0C143931" w14:textId="16E2929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72,276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7EE2C239" w14:textId="5FA2E53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333758">
              <w:t>6,505</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5C41F21A" w14:textId="6412111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72,276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68F1B0C6" w14:textId="06FDFEC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1.0</w:t>
            </w:r>
          </w:p>
        </w:tc>
        <w:tc>
          <w:tcPr>
            <w:tcW w:w="65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1B179A43" w14:textId="4124024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0.000</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7385B941" w14:textId="4699D2D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2.11%</w:t>
            </w:r>
          </w:p>
        </w:tc>
        <w:tc>
          <w:tcPr>
            <w:tcW w:w="93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6C20E64D" w14:textId="696D3AB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0.2%</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tcPr>
          <w:p w14:paraId="45300332" w14:textId="19F123D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85,985</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5DF76C4E" w14:textId="34F2C500"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7</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7802CFB0" w14:textId="1CAED33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0.10</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1EE68D99" w14:textId="215CBBF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 83,814 </w:t>
            </w:r>
          </w:p>
        </w:tc>
      </w:tr>
      <w:tr w:rsidR="001112A9" w:rsidRPr="0088109E" w14:paraId="17FE4A7B" w14:textId="518C597F"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6F03EC19" w14:textId="024FEB75" w:rsidR="00E16CCC" w:rsidRPr="0088109E" w:rsidRDefault="00E16CCC" w:rsidP="00E16CCC">
            <w:pPr>
              <w:pStyle w:val="TableParagraph"/>
              <w:jc w:val="center"/>
              <w:rPr>
                <w:highlight w:val="yellow"/>
                <w:lang w:eastAsia="en-AU"/>
              </w:rPr>
            </w:pPr>
            <w:r w:rsidRPr="00333758">
              <w:t>Yes</w:t>
            </w:r>
          </w:p>
        </w:tc>
        <w:tc>
          <w:tcPr>
            <w:tcW w:w="631"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04857631" w14:textId="1942547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8</w:t>
            </w:r>
          </w:p>
        </w:tc>
        <w:tc>
          <w:tcPr>
            <w:tcW w:w="567"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0F13FA10" w14:textId="5B5DE64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D40Z</w:t>
            </w:r>
          </w:p>
        </w:tc>
        <w:tc>
          <w:tcPr>
            <w:tcW w:w="1842"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hideMark/>
          </w:tcPr>
          <w:p w14:paraId="0C6CFD80" w14:textId="069B08A6"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Dental Extractions and Restorations</w:t>
            </w:r>
          </w:p>
        </w:tc>
        <w:tc>
          <w:tcPr>
            <w:tcW w:w="67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4C45C821" w14:textId="267B6DE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0.42</w:t>
            </w:r>
          </w:p>
        </w:tc>
        <w:tc>
          <w:tcPr>
            <w:tcW w:w="1165"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2C1B6F68" w14:textId="1F99164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67,156</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338DC552" w14:textId="1DBCDF0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333758">
              <w:t>28,206</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60D79AC7" w14:textId="3823A60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67,343</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4A59A2C7" w14:textId="4F7B659D"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1.0</w:t>
            </w:r>
          </w:p>
        </w:tc>
        <w:tc>
          <w:tcPr>
            <w:tcW w:w="65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6BC68801" w14:textId="38E21E0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0.001</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3A5C74CA" w14:textId="6760BF13"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1.96%</w:t>
            </w:r>
          </w:p>
        </w:tc>
        <w:tc>
          <w:tcPr>
            <w:tcW w:w="93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07F94EEA" w14:textId="6066C77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0.8%</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tcPr>
          <w:p w14:paraId="02551F35" w14:textId="2A06D11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73,591</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169AF093" w14:textId="4BC7CBB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8</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510BF359" w14:textId="5C87BA7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0.43</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528373CC" w14:textId="1DF6679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 59,153 </w:t>
            </w:r>
          </w:p>
        </w:tc>
      </w:tr>
      <w:tr w:rsidR="001112A9" w:rsidRPr="0088109E" w14:paraId="4BA74EBA" w14:textId="3CF1680B"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117BFD58" w14:textId="5EDD22A5" w:rsidR="00E16CCC" w:rsidRPr="0088109E" w:rsidRDefault="00E16CCC" w:rsidP="00E16CCC">
            <w:pPr>
              <w:pStyle w:val="TableParagraph"/>
              <w:jc w:val="center"/>
              <w:rPr>
                <w:highlight w:val="yellow"/>
                <w:lang w:eastAsia="en-AU"/>
              </w:rPr>
            </w:pPr>
            <w:r w:rsidRPr="00333758">
              <w:t>Yes</w:t>
            </w:r>
          </w:p>
        </w:tc>
        <w:tc>
          <w:tcPr>
            <w:tcW w:w="631"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5CB2D655" w14:textId="2AA43D9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9</w:t>
            </w:r>
          </w:p>
        </w:tc>
        <w:tc>
          <w:tcPr>
            <w:tcW w:w="567"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53D57204" w14:textId="55779BB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Z64B</w:t>
            </w:r>
          </w:p>
        </w:tc>
        <w:tc>
          <w:tcPr>
            <w:tcW w:w="1842"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hideMark/>
          </w:tcPr>
          <w:p w14:paraId="3E83D5F3" w14:textId="7F7947D7"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Other Factors Influencing Health Status, Minor Complexity</w:t>
            </w:r>
          </w:p>
        </w:tc>
        <w:tc>
          <w:tcPr>
            <w:tcW w:w="67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62B3A497" w14:textId="4643A46F"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0.15</w:t>
            </w:r>
          </w:p>
        </w:tc>
        <w:tc>
          <w:tcPr>
            <w:tcW w:w="1165"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20BE227A" w14:textId="4BC5B3EA"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64,094</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393D7232" w14:textId="177B717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333758">
              <w:t>9,614</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0552B3C5" w14:textId="6DB166A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66,445</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50C74A9B" w14:textId="73E65D3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1.0</w:t>
            </w:r>
          </w:p>
        </w:tc>
        <w:tc>
          <w:tcPr>
            <w:tcW w:w="65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08860570" w14:textId="184397C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0.002</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188B4719" w14:textId="61668B1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1.87%</w:t>
            </w:r>
          </w:p>
        </w:tc>
        <w:tc>
          <w:tcPr>
            <w:tcW w:w="93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32334068" w14:textId="4A4B460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0.3%</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tcPr>
          <w:p w14:paraId="733AA3B4" w14:textId="0643BA1B"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62,195</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2BA72CFF" w14:textId="20F74D4F"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9</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47760F2C" w14:textId="0557EF28"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0.15</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1730F157" w14:textId="235A4B1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 60,445 </w:t>
            </w:r>
          </w:p>
        </w:tc>
      </w:tr>
      <w:tr w:rsidR="001112A9" w:rsidRPr="0088109E" w14:paraId="50E31F23" w14:textId="4335DC0D"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tcBorders>
              <w:top w:val="single" w:sz="4" w:space="0" w:color="D9D9D9" w:themeColor="background2" w:themeShade="D9"/>
              <w:left w:val="nil"/>
              <w:right w:val="nil"/>
            </w:tcBorders>
            <w:shd w:val="clear" w:color="auto" w:fill="auto"/>
            <w:noWrap/>
            <w:hideMark/>
          </w:tcPr>
          <w:p w14:paraId="6C841148" w14:textId="246A5940" w:rsidR="00E16CCC" w:rsidRPr="0088109E" w:rsidRDefault="00E16CCC" w:rsidP="00E16CCC">
            <w:pPr>
              <w:pStyle w:val="TableParagraph"/>
              <w:jc w:val="center"/>
              <w:rPr>
                <w:highlight w:val="yellow"/>
                <w:lang w:eastAsia="en-AU"/>
              </w:rPr>
            </w:pPr>
            <w:r w:rsidRPr="00333758">
              <w:t>Yes</w:t>
            </w:r>
          </w:p>
        </w:tc>
        <w:tc>
          <w:tcPr>
            <w:tcW w:w="631"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2197DD96" w14:textId="450AA1E1"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10</w:t>
            </w:r>
          </w:p>
        </w:tc>
        <w:tc>
          <w:tcPr>
            <w:tcW w:w="567"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5A1C82A8" w14:textId="10422707"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C16Z</w:t>
            </w:r>
          </w:p>
        </w:tc>
        <w:tc>
          <w:tcPr>
            <w:tcW w:w="1842"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auto"/>
            <w:noWrap/>
            <w:hideMark/>
          </w:tcPr>
          <w:p w14:paraId="12CD4598" w14:textId="30B788EA" w:rsidR="00E16CCC" w:rsidRPr="0088109E" w:rsidRDefault="00E16CCC" w:rsidP="00E16CCC">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Lens Interventions</w:t>
            </w:r>
          </w:p>
        </w:tc>
        <w:tc>
          <w:tcPr>
            <w:tcW w:w="678"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67F39489" w14:textId="507F98BE"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0.45</w:t>
            </w:r>
          </w:p>
        </w:tc>
        <w:tc>
          <w:tcPr>
            <w:tcW w:w="1165"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06962E14" w14:textId="6DE22E00"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47,367</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4A7274BB" w14:textId="7211B25C"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333758">
              <w:t>21,315</w:t>
            </w:r>
          </w:p>
        </w:tc>
        <w:tc>
          <w:tcPr>
            <w:tcW w:w="851"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23F4FE01" w14:textId="57F6E1A2"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47,490</w:t>
            </w:r>
          </w:p>
        </w:tc>
        <w:tc>
          <w:tcPr>
            <w:tcW w:w="992" w:type="dxa"/>
            <w:tcBorders>
              <w:top w:val="single" w:sz="4" w:space="0" w:color="D9D9D9" w:themeColor="background2" w:themeShade="D9"/>
              <w:left w:val="nil"/>
              <w:bottom w:val="single" w:sz="4" w:space="0" w:color="D9D9D9" w:themeColor="background2" w:themeShade="D9"/>
              <w:right w:val="nil"/>
            </w:tcBorders>
            <w:shd w:val="clear" w:color="auto" w:fill="F2F2F2" w:themeFill="accent6" w:themeFillShade="F2"/>
            <w:noWrap/>
            <w:hideMark/>
          </w:tcPr>
          <w:p w14:paraId="08C13E90" w14:textId="2F18384F"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1.0</w:t>
            </w:r>
          </w:p>
        </w:tc>
        <w:tc>
          <w:tcPr>
            <w:tcW w:w="65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7889D7C0" w14:textId="3F61D5A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0.001</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F2F2F2" w:themeFill="accent6" w:themeFillShade="F2"/>
            <w:noWrap/>
            <w:hideMark/>
          </w:tcPr>
          <w:p w14:paraId="5B26DEDA" w14:textId="71BAB099"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1.38%</w:t>
            </w:r>
          </w:p>
        </w:tc>
        <w:tc>
          <w:tcPr>
            <w:tcW w:w="930" w:type="dxa"/>
            <w:tcBorders>
              <w:top w:val="single" w:sz="4" w:space="0" w:color="D9D9D9" w:themeColor="background2" w:themeShade="D9"/>
              <w:left w:val="nil"/>
              <w:bottom w:val="single" w:sz="4" w:space="0" w:color="D9D9D9" w:themeColor="background2" w:themeShade="D9"/>
              <w:right w:val="single" w:sz="4" w:space="0" w:color="FFFFFF" w:themeColor="accent6"/>
            </w:tcBorders>
            <w:shd w:val="clear" w:color="auto" w:fill="F2F2F2" w:themeFill="accent6" w:themeFillShade="F2"/>
            <w:noWrap/>
            <w:hideMark/>
          </w:tcPr>
          <w:p w14:paraId="7D404601" w14:textId="38C83DC6"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0.6%</w:t>
            </w:r>
          </w:p>
        </w:tc>
        <w:tc>
          <w:tcPr>
            <w:tcW w:w="930" w:type="dxa"/>
            <w:tcBorders>
              <w:top w:val="single" w:sz="4" w:space="0" w:color="D9D9D9" w:themeColor="background2" w:themeShade="D9"/>
              <w:left w:val="single" w:sz="4" w:space="0" w:color="FFFFFF" w:themeColor="accent6"/>
              <w:bottom w:val="single" w:sz="4" w:space="0" w:color="D9D9D9" w:themeColor="background2" w:themeShade="D9"/>
              <w:right w:val="nil"/>
            </w:tcBorders>
            <w:shd w:val="clear" w:color="auto" w:fill="auto"/>
            <w:noWrap/>
          </w:tcPr>
          <w:p w14:paraId="25CA9B63" w14:textId="365F2FF4"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50,548</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hideMark/>
          </w:tcPr>
          <w:p w14:paraId="68B7E4BA" w14:textId="5AA7D90F"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10</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71CEA383" w14:textId="2FE3408D"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0.44</w:t>
            </w:r>
          </w:p>
        </w:tc>
        <w:tc>
          <w:tcPr>
            <w:tcW w:w="930" w:type="dxa"/>
            <w:tcBorders>
              <w:top w:val="single" w:sz="4" w:space="0" w:color="D9D9D9" w:themeColor="background2" w:themeShade="D9"/>
              <w:left w:val="nil"/>
              <w:bottom w:val="single" w:sz="4" w:space="0" w:color="D9D9D9" w:themeColor="background2" w:themeShade="D9"/>
              <w:right w:val="nil"/>
            </w:tcBorders>
            <w:shd w:val="clear" w:color="auto" w:fill="auto"/>
            <w:noWrap/>
          </w:tcPr>
          <w:p w14:paraId="1F63C0AB" w14:textId="21BE21D5" w:rsidR="00E16CCC" w:rsidRPr="0088109E" w:rsidRDefault="00E16CCC" w:rsidP="00E16CCC">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sidRPr="00333758">
              <w:t xml:space="preserve"> 41,653 </w:t>
            </w:r>
          </w:p>
        </w:tc>
      </w:tr>
      <w:tr w:rsidR="001112A9" w:rsidRPr="0088109E" w14:paraId="79D6CB45" w14:textId="4CF94F92"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vMerge w:val="restart"/>
            <w:tcBorders>
              <w:left w:val="nil"/>
              <w:right w:val="nil"/>
            </w:tcBorders>
            <w:shd w:val="clear" w:color="auto" w:fill="DFEBF1" w:themeFill="text2" w:themeFillTint="1A"/>
            <w:noWrap/>
            <w:vAlign w:val="center"/>
          </w:tcPr>
          <w:p w14:paraId="616FAB7B" w14:textId="45CCCBB1" w:rsidR="00E2626E" w:rsidRPr="005629F8" w:rsidRDefault="00E2626E" w:rsidP="00E2626E">
            <w:pPr>
              <w:pStyle w:val="TableParagraph"/>
              <w:jc w:val="center"/>
              <w:rPr>
                <w:color w:val="000000"/>
                <w:szCs w:val="14"/>
              </w:rPr>
            </w:pPr>
            <w:r w:rsidRPr="0088109E">
              <w:rPr>
                <w:color w:val="000000"/>
                <w:szCs w:val="14"/>
              </w:rPr>
              <w:t>10</w:t>
            </w:r>
            <w:r>
              <w:rPr>
                <w:color w:val="000000"/>
                <w:szCs w:val="14"/>
              </w:rPr>
              <w:t xml:space="preserve"> i</w:t>
            </w:r>
            <w:r w:rsidRPr="0088109E">
              <w:rPr>
                <w:color w:val="000000"/>
                <w:szCs w:val="14"/>
              </w:rPr>
              <w:t>n</w:t>
            </w:r>
          </w:p>
          <w:p w14:paraId="342E5257" w14:textId="18F525B1" w:rsidR="00E2626E" w:rsidRPr="005629F8" w:rsidRDefault="00E2626E" w:rsidP="00E2626E">
            <w:pPr>
              <w:pStyle w:val="TableParagraph"/>
              <w:jc w:val="center"/>
              <w:rPr>
                <w:color w:val="000000"/>
                <w:szCs w:val="14"/>
              </w:rPr>
            </w:pPr>
            <w:r>
              <w:rPr>
                <w:color w:val="000000"/>
                <w:szCs w:val="14"/>
              </w:rPr>
              <w:t>t</w:t>
            </w:r>
            <w:r w:rsidRPr="0088109E">
              <w:rPr>
                <w:color w:val="000000"/>
                <w:szCs w:val="14"/>
              </w:rPr>
              <w:t>op 10</w:t>
            </w:r>
          </w:p>
        </w:tc>
        <w:tc>
          <w:tcPr>
            <w:tcW w:w="3040" w:type="dxa"/>
            <w:gridSpan w:val="3"/>
            <w:tcBorders>
              <w:top w:val="single" w:sz="4" w:space="0" w:color="D9D9D9" w:themeColor="background2" w:themeShade="D9"/>
              <w:left w:val="nil"/>
              <w:bottom w:val="nil"/>
              <w:right w:val="single" w:sz="4" w:space="0" w:color="FFFFFF" w:themeColor="accent6"/>
            </w:tcBorders>
            <w:shd w:val="clear" w:color="auto" w:fill="DFEBF1" w:themeFill="text2" w:themeFillTint="1A"/>
            <w:noWrap/>
            <w:vAlign w:val="center"/>
          </w:tcPr>
          <w:p w14:paraId="7019982A" w14:textId="5FC0C625" w:rsidR="00E2626E" w:rsidRPr="005629F8" w:rsidRDefault="00E2626E" w:rsidP="00E2626E">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Sub-total, top 10 highest volume of population-adjusted separations</w:t>
            </w:r>
          </w:p>
        </w:tc>
        <w:tc>
          <w:tcPr>
            <w:tcW w:w="678" w:type="dxa"/>
            <w:tcBorders>
              <w:top w:val="single" w:sz="4" w:space="0" w:color="D9D9D9" w:themeColor="background2" w:themeShade="D9"/>
              <w:left w:val="single" w:sz="4" w:space="0" w:color="FFFFFF" w:themeColor="accent6"/>
              <w:bottom w:val="nil"/>
              <w:right w:val="nil"/>
            </w:tcBorders>
            <w:shd w:val="clear" w:color="auto" w:fill="DFEBF1" w:themeFill="text2" w:themeFillTint="1A"/>
            <w:noWrap/>
          </w:tcPr>
          <w:p w14:paraId="20EF64D1" w14:textId="3F4B8E9D"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0.25</w:t>
            </w:r>
          </w:p>
        </w:tc>
        <w:tc>
          <w:tcPr>
            <w:tcW w:w="1165" w:type="dxa"/>
            <w:tcBorders>
              <w:top w:val="single" w:sz="4" w:space="0" w:color="D9D9D9" w:themeColor="background2" w:themeShade="D9"/>
              <w:left w:val="nil"/>
              <w:bottom w:val="nil"/>
              <w:right w:val="nil"/>
            </w:tcBorders>
            <w:shd w:val="clear" w:color="auto" w:fill="DFEBF1" w:themeFill="text2" w:themeFillTint="1A"/>
            <w:noWrap/>
          </w:tcPr>
          <w:p w14:paraId="1AFB6C96" w14:textId="49FE9ED9"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1,142,886</w:t>
            </w:r>
          </w:p>
        </w:tc>
        <w:tc>
          <w:tcPr>
            <w:tcW w:w="992" w:type="dxa"/>
            <w:tcBorders>
              <w:top w:val="single" w:sz="4" w:space="0" w:color="D9D9D9" w:themeColor="background2" w:themeShade="D9"/>
              <w:left w:val="nil"/>
              <w:bottom w:val="nil"/>
              <w:right w:val="nil"/>
            </w:tcBorders>
            <w:shd w:val="clear" w:color="auto" w:fill="DFEBF1" w:themeFill="text2" w:themeFillTint="1A"/>
            <w:noWrap/>
          </w:tcPr>
          <w:p w14:paraId="3A8174FC" w14:textId="2D14616C"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281,717</w:t>
            </w:r>
          </w:p>
        </w:tc>
        <w:tc>
          <w:tcPr>
            <w:tcW w:w="851" w:type="dxa"/>
            <w:tcBorders>
              <w:top w:val="single" w:sz="4" w:space="0" w:color="D9D9D9" w:themeColor="background2" w:themeShade="D9"/>
              <w:left w:val="nil"/>
              <w:bottom w:val="nil"/>
              <w:right w:val="nil"/>
            </w:tcBorders>
            <w:shd w:val="clear" w:color="auto" w:fill="DFEBF1" w:themeFill="text2" w:themeFillTint="1A"/>
            <w:noWrap/>
          </w:tcPr>
          <w:p w14:paraId="1371ADC2" w14:textId="13F973CB"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1,164,571</w:t>
            </w:r>
          </w:p>
        </w:tc>
        <w:tc>
          <w:tcPr>
            <w:tcW w:w="992" w:type="dxa"/>
            <w:tcBorders>
              <w:top w:val="single" w:sz="4" w:space="0" w:color="D9D9D9" w:themeColor="background2" w:themeShade="D9"/>
              <w:left w:val="nil"/>
              <w:bottom w:val="nil"/>
              <w:right w:val="nil"/>
            </w:tcBorders>
            <w:shd w:val="clear" w:color="auto" w:fill="DFEBF1" w:themeFill="text2" w:themeFillTint="1A"/>
            <w:noWrap/>
          </w:tcPr>
          <w:p w14:paraId="0B23A686" w14:textId="0630207B"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1.0</w:t>
            </w:r>
          </w:p>
        </w:tc>
        <w:tc>
          <w:tcPr>
            <w:tcW w:w="650" w:type="dxa"/>
            <w:tcBorders>
              <w:top w:val="single" w:sz="4" w:space="0" w:color="D9D9D9" w:themeColor="background2" w:themeShade="D9"/>
              <w:right w:val="single" w:sz="4" w:space="0" w:color="FFFFFF" w:themeColor="accent6"/>
            </w:tcBorders>
            <w:shd w:val="clear" w:color="auto" w:fill="DFEBF1" w:themeFill="text2" w:themeFillTint="1A"/>
            <w:noWrap/>
          </w:tcPr>
          <w:p w14:paraId="71B81B3F" w14:textId="77777777"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p>
        </w:tc>
        <w:tc>
          <w:tcPr>
            <w:tcW w:w="930" w:type="dxa"/>
            <w:tcBorders>
              <w:top w:val="single" w:sz="4" w:space="0" w:color="D9D9D9" w:themeColor="background2" w:themeShade="D9"/>
              <w:left w:val="single" w:sz="4" w:space="0" w:color="FFFFFF" w:themeColor="accent6"/>
              <w:bottom w:val="nil"/>
              <w:right w:val="nil"/>
            </w:tcBorders>
            <w:shd w:val="clear" w:color="auto" w:fill="DFEBF1" w:themeFill="text2" w:themeFillTint="1A"/>
            <w:noWrap/>
          </w:tcPr>
          <w:p w14:paraId="3EFA4569" w14:textId="57D77091"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33.31%</w:t>
            </w:r>
          </w:p>
        </w:tc>
        <w:tc>
          <w:tcPr>
            <w:tcW w:w="930" w:type="dxa"/>
            <w:tcBorders>
              <w:top w:val="single" w:sz="4" w:space="0" w:color="D9D9D9" w:themeColor="background2" w:themeShade="D9"/>
              <w:left w:val="nil"/>
              <w:bottom w:val="nil"/>
              <w:right w:val="single" w:sz="4" w:space="0" w:color="FFFFFF" w:themeColor="accent6"/>
            </w:tcBorders>
            <w:shd w:val="clear" w:color="auto" w:fill="DFEBF1" w:themeFill="text2" w:themeFillTint="1A"/>
            <w:noWrap/>
          </w:tcPr>
          <w:p w14:paraId="22459AFF" w14:textId="2E73CE25"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8.2%</w:t>
            </w:r>
          </w:p>
        </w:tc>
        <w:tc>
          <w:tcPr>
            <w:tcW w:w="930" w:type="dxa"/>
            <w:tcBorders>
              <w:top w:val="single" w:sz="4" w:space="0" w:color="D9D9D9" w:themeColor="background2" w:themeShade="D9"/>
              <w:left w:val="single" w:sz="4" w:space="0" w:color="FFFFFF" w:themeColor="accent6"/>
              <w:bottom w:val="nil"/>
              <w:right w:val="nil"/>
            </w:tcBorders>
            <w:shd w:val="clear" w:color="auto" w:fill="DFEBF1" w:themeFill="text2" w:themeFillTint="1A"/>
            <w:noWrap/>
          </w:tcPr>
          <w:p w14:paraId="6357F7E9" w14:textId="227BCD86"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30" w:type="dxa"/>
            <w:tcBorders>
              <w:top w:val="single" w:sz="4" w:space="0" w:color="D9D9D9" w:themeColor="background2" w:themeShade="D9"/>
            </w:tcBorders>
            <w:shd w:val="clear" w:color="auto" w:fill="DFEBF1" w:themeFill="text2" w:themeFillTint="1A"/>
            <w:noWrap/>
          </w:tcPr>
          <w:p w14:paraId="40CE863A"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30" w:type="dxa"/>
            <w:tcBorders>
              <w:top w:val="single" w:sz="4" w:space="0" w:color="D9D9D9" w:themeColor="background2" w:themeShade="D9"/>
            </w:tcBorders>
            <w:shd w:val="clear" w:color="auto" w:fill="DFEBF1" w:themeFill="text2" w:themeFillTint="1A"/>
            <w:noWrap/>
          </w:tcPr>
          <w:p w14:paraId="4E003E14"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30" w:type="dxa"/>
            <w:tcBorders>
              <w:top w:val="single" w:sz="4" w:space="0" w:color="D9D9D9" w:themeColor="background2" w:themeShade="D9"/>
            </w:tcBorders>
            <w:shd w:val="clear" w:color="auto" w:fill="DFEBF1" w:themeFill="text2" w:themeFillTint="1A"/>
            <w:noWrap/>
          </w:tcPr>
          <w:p w14:paraId="7A5A6B64"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1112A9" w:rsidRPr="0088109E" w14:paraId="716D3958" w14:textId="11E9BAD7" w:rsidTr="009B094F">
        <w:trPr>
          <w:trHeight w:val="246"/>
        </w:trPr>
        <w:tc>
          <w:tcPr>
            <w:cnfStyle w:val="001000000000" w:firstRow="0" w:lastRow="0" w:firstColumn="1" w:lastColumn="0" w:oddVBand="0" w:evenVBand="0" w:oddHBand="0" w:evenHBand="0" w:firstRowFirstColumn="0" w:firstRowLastColumn="0" w:lastRowFirstColumn="0" w:lastRowLastColumn="0"/>
            <w:tcW w:w="1071" w:type="dxa"/>
            <w:gridSpan w:val="2"/>
            <w:vMerge/>
            <w:tcBorders>
              <w:left w:val="nil"/>
              <w:right w:val="nil"/>
            </w:tcBorders>
            <w:shd w:val="clear" w:color="auto" w:fill="DFEBF1" w:themeFill="text2" w:themeFillTint="1A"/>
            <w:noWrap/>
            <w:vAlign w:val="center"/>
          </w:tcPr>
          <w:p w14:paraId="4040FE4B" w14:textId="5D364D3A" w:rsidR="00E2626E" w:rsidRPr="005629F8" w:rsidRDefault="00E2626E" w:rsidP="00E2626E">
            <w:pPr>
              <w:pStyle w:val="TableParagraph"/>
              <w:jc w:val="center"/>
              <w:rPr>
                <w:color w:val="000000"/>
                <w:szCs w:val="14"/>
              </w:rPr>
            </w:pPr>
          </w:p>
        </w:tc>
        <w:tc>
          <w:tcPr>
            <w:tcW w:w="3040" w:type="dxa"/>
            <w:gridSpan w:val="3"/>
            <w:tcBorders>
              <w:top w:val="nil"/>
              <w:left w:val="nil"/>
              <w:bottom w:val="nil"/>
              <w:right w:val="single" w:sz="4" w:space="0" w:color="FFFFFF" w:themeColor="accent6"/>
            </w:tcBorders>
            <w:shd w:val="clear" w:color="auto" w:fill="DFEBF1" w:themeFill="text2" w:themeFillTint="1A"/>
            <w:noWrap/>
            <w:vAlign w:val="center"/>
          </w:tcPr>
          <w:p w14:paraId="18685033" w14:textId="61E31D7C" w:rsidR="00E2626E" w:rsidRPr="005629F8" w:rsidRDefault="00E2626E" w:rsidP="00E2626E">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 xml:space="preserve">All </w:t>
            </w:r>
            <w:r>
              <w:rPr>
                <w:b/>
                <w:bCs/>
                <w:color w:val="000000"/>
                <w:szCs w:val="14"/>
              </w:rPr>
              <w:t>AR-</w:t>
            </w:r>
            <w:r w:rsidRPr="0088109E">
              <w:rPr>
                <w:b/>
                <w:bCs/>
                <w:color w:val="000000"/>
                <w:szCs w:val="14"/>
              </w:rPr>
              <w:t>DRGs</w:t>
            </w:r>
          </w:p>
        </w:tc>
        <w:tc>
          <w:tcPr>
            <w:tcW w:w="678" w:type="dxa"/>
            <w:tcBorders>
              <w:top w:val="nil"/>
              <w:left w:val="single" w:sz="4" w:space="0" w:color="FFFFFF" w:themeColor="accent6"/>
              <w:bottom w:val="nil"/>
              <w:right w:val="nil"/>
            </w:tcBorders>
            <w:shd w:val="clear" w:color="auto" w:fill="DFEBF1" w:themeFill="text2" w:themeFillTint="1A"/>
            <w:noWrap/>
          </w:tcPr>
          <w:p w14:paraId="74D97CE8" w14:textId="5274311C"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1.00</w:t>
            </w:r>
          </w:p>
        </w:tc>
        <w:tc>
          <w:tcPr>
            <w:tcW w:w="1165" w:type="dxa"/>
            <w:tcBorders>
              <w:top w:val="nil"/>
              <w:left w:val="nil"/>
              <w:bottom w:val="nil"/>
              <w:right w:val="nil"/>
            </w:tcBorders>
            <w:shd w:val="clear" w:color="auto" w:fill="DFEBF1" w:themeFill="text2" w:themeFillTint="1A"/>
            <w:noWrap/>
          </w:tcPr>
          <w:p w14:paraId="5699BBF4" w14:textId="0B31E7FE"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3,431,160</w:t>
            </w:r>
          </w:p>
        </w:tc>
        <w:tc>
          <w:tcPr>
            <w:tcW w:w="992" w:type="dxa"/>
            <w:tcBorders>
              <w:top w:val="nil"/>
              <w:left w:val="nil"/>
              <w:bottom w:val="nil"/>
              <w:right w:val="nil"/>
            </w:tcBorders>
            <w:shd w:val="clear" w:color="auto" w:fill="DFEBF1" w:themeFill="text2" w:themeFillTint="1A"/>
            <w:noWrap/>
          </w:tcPr>
          <w:p w14:paraId="62CC5A3A" w14:textId="7F265A5A"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3,431,160</w:t>
            </w:r>
          </w:p>
        </w:tc>
        <w:tc>
          <w:tcPr>
            <w:tcW w:w="851" w:type="dxa"/>
            <w:tcBorders>
              <w:top w:val="nil"/>
              <w:left w:val="nil"/>
              <w:bottom w:val="nil"/>
              <w:right w:val="nil"/>
            </w:tcBorders>
            <w:shd w:val="clear" w:color="auto" w:fill="DFEBF1" w:themeFill="text2" w:themeFillTint="1A"/>
            <w:noWrap/>
          </w:tcPr>
          <w:p w14:paraId="54AE5410" w14:textId="2C385126"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7,644,124</w:t>
            </w:r>
          </w:p>
        </w:tc>
        <w:tc>
          <w:tcPr>
            <w:tcW w:w="992" w:type="dxa"/>
            <w:tcBorders>
              <w:top w:val="nil"/>
              <w:left w:val="nil"/>
              <w:bottom w:val="nil"/>
              <w:right w:val="nil"/>
            </w:tcBorders>
            <w:shd w:val="clear" w:color="auto" w:fill="DFEBF1" w:themeFill="text2" w:themeFillTint="1A"/>
            <w:noWrap/>
          </w:tcPr>
          <w:p w14:paraId="3EDBC05B" w14:textId="6C82E3DF"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2.2</w:t>
            </w:r>
          </w:p>
        </w:tc>
        <w:tc>
          <w:tcPr>
            <w:tcW w:w="650" w:type="dxa"/>
            <w:tcBorders>
              <w:right w:val="single" w:sz="4" w:space="0" w:color="FFFFFF" w:themeColor="accent6"/>
            </w:tcBorders>
            <w:shd w:val="clear" w:color="auto" w:fill="DFEBF1" w:themeFill="text2" w:themeFillTint="1A"/>
            <w:noWrap/>
          </w:tcPr>
          <w:p w14:paraId="0F6F3509" w14:textId="77777777"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p>
        </w:tc>
        <w:tc>
          <w:tcPr>
            <w:tcW w:w="930" w:type="dxa"/>
            <w:tcBorders>
              <w:top w:val="nil"/>
              <w:left w:val="single" w:sz="4" w:space="0" w:color="FFFFFF" w:themeColor="accent6"/>
              <w:bottom w:val="nil"/>
              <w:right w:val="nil"/>
            </w:tcBorders>
            <w:shd w:val="clear" w:color="auto" w:fill="DFEBF1" w:themeFill="text2" w:themeFillTint="1A"/>
            <w:noWrap/>
          </w:tcPr>
          <w:p w14:paraId="385242CE" w14:textId="0B9A5E7F"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100%</w:t>
            </w:r>
          </w:p>
        </w:tc>
        <w:tc>
          <w:tcPr>
            <w:tcW w:w="930" w:type="dxa"/>
            <w:tcBorders>
              <w:top w:val="nil"/>
              <w:left w:val="nil"/>
              <w:bottom w:val="nil"/>
              <w:right w:val="single" w:sz="4" w:space="0" w:color="FFFFFF" w:themeColor="accent6"/>
            </w:tcBorders>
            <w:shd w:val="clear" w:color="auto" w:fill="DFEBF1" w:themeFill="text2" w:themeFillTint="1A"/>
            <w:noWrap/>
          </w:tcPr>
          <w:p w14:paraId="46D9BCF1" w14:textId="610715B5"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100%</w:t>
            </w:r>
          </w:p>
        </w:tc>
        <w:tc>
          <w:tcPr>
            <w:tcW w:w="930" w:type="dxa"/>
            <w:tcBorders>
              <w:left w:val="single" w:sz="4" w:space="0" w:color="FFFFFF" w:themeColor="accent6"/>
            </w:tcBorders>
            <w:shd w:val="clear" w:color="auto" w:fill="DFEBF1" w:themeFill="text2" w:themeFillTint="1A"/>
            <w:noWrap/>
          </w:tcPr>
          <w:p w14:paraId="2A3236CE"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30" w:type="dxa"/>
            <w:shd w:val="clear" w:color="auto" w:fill="DFEBF1" w:themeFill="text2" w:themeFillTint="1A"/>
            <w:noWrap/>
          </w:tcPr>
          <w:p w14:paraId="636D3ABA"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30" w:type="dxa"/>
            <w:shd w:val="clear" w:color="auto" w:fill="DFEBF1" w:themeFill="text2" w:themeFillTint="1A"/>
            <w:noWrap/>
          </w:tcPr>
          <w:p w14:paraId="7072CCC1"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30" w:type="dxa"/>
            <w:shd w:val="clear" w:color="auto" w:fill="DFEBF1" w:themeFill="text2" w:themeFillTint="1A"/>
            <w:noWrap/>
          </w:tcPr>
          <w:p w14:paraId="7F260A7C"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1112A9" w:rsidRPr="0088109E" w14:paraId="1BE899F8" w14:textId="0AD8070B" w:rsidTr="009B094F">
        <w:trPr>
          <w:trHeight w:val="283"/>
        </w:trPr>
        <w:tc>
          <w:tcPr>
            <w:cnfStyle w:val="001000000000" w:firstRow="0" w:lastRow="0" w:firstColumn="1" w:lastColumn="0" w:oddVBand="0" w:evenVBand="0" w:oddHBand="0" w:evenHBand="0" w:firstRowFirstColumn="0" w:firstRowLastColumn="0" w:lastRowFirstColumn="0" w:lastRowLastColumn="0"/>
            <w:tcW w:w="1071" w:type="dxa"/>
            <w:gridSpan w:val="2"/>
            <w:vMerge/>
            <w:tcBorders>
              <w:left w:val="nil"/>
              <w:bottom w:val="single" w:sz="4" w:space="0" w:color="D9D9D9"/>
              <w:right w:val="nil"/>
            </w:tcBorders>
            <w:shd w:val="clear" w:color="auto" w:fill="DFEBF1" w:themeFill="text2" w:themeFillTint="1A"/>
            <w:noWrap/>
            <w:vAlign w:val="center"/>
          </w:tcPr>
          <w:p w14:paraId="063DE061" w14:textId="57883DF3" w:rsidR="00E2626E" w:rsidRPr="005629F8" w:rsidRDefault="00E2626E" w:rsidP="00E2626E">
            <w:pPr>
              <w:pStyle w:val="TableParagraph"/>
              <w:jc w:val="center"/>
              <w:rPr>
                <w:color w:val="000000"/>
                <w:szCs w:val="14"/>
              </w:rPr>
            </w:pPr>
          </w:p>
        </w:tc>
        <w:tc>
          <w:tcPr>
            <w:tcW w:w="3040" w:type="dxa"/>
            <w:gridSpan w:val="3"/>
            <w:tcBorders>
              <w:top w:val="nil"/>
              <w:left w:val="nil"/>
              <w:bottom w:val="single" w:sz="4" w:space="0" w:color="D9D9D9"/>
              <w:right w:val="single" w:sz="4" w:space="0" w:color="FFFFFF" w:themeColor="accent6"/>
            </w:tcBorders>
            <w:shd w:val="clear" w:color="auto" w:fill="DFEBF1" w:themeFill="text2" w:themeFillTint="1A"/>
            <w:noWrap/>
            <w:vAlign w:val="center"/>
          </w:tcPr>
          <w:p w14:paraId="0ED5A303" w14:textId="74C34D37" w:rsidR="00E2626E" w:rsidRPr="005629F8" w:rsidRDefault="00E2626E" w:rsidP="00E2626E">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88109E">
              <w:rPr>
                <w:b/>
                <w:bCs/>
                <w:color w:val="000000"/>
                <w:szCs w:val="14"/>
              </w:rPr>
              <w:t xml:space="preserve">Top 10 highest volume of population-adjusted separations, % of all </w:t>
            </w:r>
            <w:r>
              <w:rPr>
                <w:b/>
                <w:bCs/>
                <w:color w:val="000000"/>
                <w:szCs w:val="14"/>
              </w:rPr>
              <w:t>AR-</w:t>
            </w:r>
            <w:r w:rsidRPr="0088109E">
              <w:rPr>
                <w:b/>
                <w:bCs/>
                <w:color w:val="000000"/>
                <w:szCs w:val="14"/>
              </w:rPr>
              <w:t>DRGs</w:t>
            </w:r>
          </w:p>
        </w:tc>
        <w:tc>
          <w:tcPr>
            <w:tcW w:w="678" w:type="dxa"/>
            <w:tcBorders>
              <w:left w:val="single" w:sz="4" w:space="0" w:color="FFFFFF" w:themeColor="accent6"/>
              <w:bottom w:val="single" w:sz="4" w:space="0" w:color="D9D9D9"/>
            </w:tcBorders>
            <w:shd w:val="clear" w:color="auto" w:fill="DFEBF1" w:themeFill="text2" w:themeFillTint="1A"/>
            <w:noWrap/>
          </w:tcPr>
          <w:p w14:paraId="34DB5F4A" w14:textId="77777777"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p>
        </w:tc>
        <w:tc>
          <w:tcPr>
            <w:tcW w:w="1165" w:type="dxa"/>
            <w:tcBorders>
              <w:top w:val="nil"/>
              <w:left w:val="nil"/>
              <w:bottom w:val="single" w:sz="4" w:space="0" w:color="D9D9D9"/>
              <w:right w:val="nil"/>
            </w:tcBorders>
            <w:shd w:val="clear" w:color="auto" w:fill="DFEBF1" w:themeFill="text2" w:themeFillTint="1A"/>
            <w:noWrap/>
          </w:tcPr>
          <w:p w14:paraId="5EE3725F" w14:textId="7B9E4BAA"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33.3%</w:t>
            </w:r>
          </w:p>
        </w:tc>
        <w:tc>
          <w:tcPr>
            <w:tcW w:w="992" w:type="dxa"/>
            <w:tcBorders>
              <w:top w:val="nil"/>
              <w:left w:val="nil"/>
              <w:bottom w:val="single" w:sz="4" w:space="0" w:color="D9D9D9"/>
              <w:right w:val="nil"/>
            </w:tcBorders>
            <w:shd w:val="clear" w:color="auto" w:fill="DFEBF1" w:themeFill="text2" w:themeFillTint="1A"/>
            <w:noWrap/>
          </w:tcPr>
          <w:p w14:paraId="56A79435" w14:textId="0DAD1F6E"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8.2%</w:t>
            </w:r>
          </w:p>
        </w:tc>
        <w:tc>
          <w:tcPr>
            <w:tcW w:w="851" w:type="dxa"/>
            <w:tcBorders>
              <w:top w:val="nil"/>
              <w:left w:val="nil"/>
              <w:bottom w:val="single" w:sz="4" w:space="0" w:color="D9D9D9"/>
              <w:right w:val="nil"/>
            </w:tcBorders>
            <w:shd w:val="clear" w:color="auto" w:fill="DFEBF1" w:themeFill="text2" w:themeFillTint="1A"/>
            <w:noWrap/>
          </w:tcPr>
          <w:p w14:paraId="75ED8C18" w14:textId="799BA32D"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r w:rsidRPr="00E2626E">
              <w:rPr>
                <w:b/>
                <w:bCs/>
              </w:rPr>
              <w:t>15.2%</w:t>
            </w:r>
          </w:p>
        </w:tc>
        <w:tc>
          <w:tcPr>
            <w:tcW w:w="992" w:type="dxa"/>
            <w:tcBorders>
              <w:bottom w:val="single" w:sz="4" w:space="0" w:color="D9D9D9"/>
            </w:tcBorders>
            <w:shd w:val="clear" w:color="auto" w:fill="DFEBF1" w:themeFill="text2" w:themeFillTint="1A"/>
            <w:noWrap/>
          </w:tcPr>
          <w:p w14:paraId="35246291" w14:textId="77777777"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p>
        </w:tc>
        <w:tc>
          <w:tcPr>
            <w:tcW w:w="650" w:type="dxa"/>
            <w:tcBorders>
              <w:bottom w:val="single" w:sz="4" w:space="0" w:color="D9D9D9"/>
              <w:right w:val="single" w:sz="4" w:space="0" w:color="FFFFFF" w:themeColor="accent6"/>
            </w:tcBorders>
            <w:shd w:val="clear" w:color="auto" w:fill="DFEBF1" w:themeFill="text2" w:themeFillTint="1A"/>
            <w:noWrap/>
          </w:tcPr>
          <w:p w14:paraId="4FE6133E" w14:textId="77777777"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p>
        </w:tc>
        <w:tc>
          <w:tcPr>
            <w:tcW w:w="930" w:type="dxa"/>
            <w:tcBorders>
              <w:left w:val="single" w:sz="4" w:space="0" w:color="FFFFFF" w:themeColor="accent6"/>
              <w:bottom w:val="single" w:sz="4" w:space="0" w:color="D9D9D9"/>
            </w:tcBorders>
            <w:shd w:val="clear" w:color="auto" w:fill="DFEBF1" w:themeFill="text2" w:themeFillTint="1A"/>
            <w:noWrap/>
          </w:tcPr>
          <w:p w14:paraId="487CFEB3" w14:textId="77777777"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p>
        </w:tc>
        <w:tc>
          <w:tcPr>
            <w:tcW w:w="930" w:type="dxa"/>
            <w:tcBorders>
              <w:bottom w:val="single" w:sz="4" w:space="0" w:color="D9D9D9"/>
              <w:right w:val="single" w:sz="4" w:space="0" w:color="FFFFFF" w:themeColor="accent6"/>
            </w:tcBorders>
            <w:shd w:val="clear" w:color="auto" w:fill="DFEBF1" w:themeFill="text2" w:themeFillTint="1A"/>
            <w:noWrap/>
          </w:tcPr>
          <w:p w14:paraId="7E43F64F" w14:textId="77777777" w:rsidR="00E2626E" w:rsidRPr="00E2626E"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rPr>
            </w:pPr>
          </w:p>
        </w:tc>
        <w:tc>
          <w:tcPr>
            <w:tcW w:w="930" w:type="dxa"/>
            <w:tcBorders>
              <w:left w:val="single" w:sz="4" w:space="0" w:color="FFFFFF" w:themeColor="accent6"/>
              <w:bottom w:val="single" w:sz="4" w:space="0" w:color="D9D9D9"/>
            </w:tcBorders>
            <w:shd w:val="clear" w:color="auto" w:fill="DFEBF1" w:themeFill="text2" w:themeFillTint="1A"/>
            <w:noWrap/>
          </w:tcPr>
          <w:p w14:paraId="104D3A60"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30" w:type="dxa"/>
            <w:tcBorders>
              <w:bottom w:val="single" w:sz="4" w:space="0" w:color="D9D9D9"/>
            </w:tcBorders>
            <w:shd w:val="clear" w:color="auto" w:fill="DFEBF1" w:themeFill="text2" w:themeFillTint="1A"/>
            <w:noWrap/>
          </w:tcPr>
          <w:p w14:paraId="7DC52A25"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30" w:type="dxa"/>
            <w:tcBorders>
              <w:bottom w:val="single" w:sz="4" w:space="0" w:color="D9D9D9"/>
            </w:tcBorders>
            <w:shd w:val="clear" w:color="auto" w:fill="DFEBF1" w:themeFill="text2" w:themeFillTint="1A"/>
            <w:noWrap/>
          </w:tcPr>
          <w:p w14:paraId="0FEED344"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930" w:type="dxa"/>
            <w:tcBorders>
              <w:bottom w:val="single" w:sz="4" w:space="0" w:color="D9D9D9"/>
            </w:tcBorders>
            <w:shd w:val="clear" w:color="auto" w:fill="DFEBF1" w:themeFill="text2" w:themeFillTint="1A"/>
            <w:noWrap/>
          </w:tcPr>
          <w:p w14:paraId="582B9B10" w14:textId="77777777" w:rsidR="00E2626E" w:rsidRPr="005629F8" w:rsidRDefault="00E2626E" w:rsidP="00E2626E">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bl>
    <w:p w14:paraId="6C584636" w14:textId="638ECDBD" w:rsidR="008D092D" w:rsidRPr="005629F8" w:rsidRDefault="008D092D" w:rsidP="008D092D">
      <w:pPr>
        <w:spacing w:after="0" w:line="240" w:lineRule="auto"/>
        <w:rPr>
          <w:b/>
          <w:bCs/>
          <w:sz w:val="16"/>
          <w:szCs w:val="16"/>
        </w:rPr>
      </w:pPr>
      <w:r w:rsidRPr="005629F8">
        <w:rPr>
          <w:b/>
          <w:bCs/>
          <w:sz w:val="16"/>
          <w:szCs w:val="16"/>
        </w:rPr>
        <w:t>Notes</w:t>
      </w:r>
    </w:p>
    <w:p w14:paraId="118A6561" w14:textId="6823B277" w:rsidR="008D092D" w:rsidRPr="005629F8" w:rsidRDefault="008D092D" w:rsidP="000C38AE">
      <w:pPr>
        <w:pStyle w:val="ListParagraph"/>
        <w:numPr>
          <w:ilvl w:val="0"/>
          <w:numId w:val="19"/>
        </w:numPr>
        <w:spacing w:after="0" w:line="240" w:lineRule="auto"/>
        <w:ind w:left="328" w:hanging="44"/>
        <w:rPr>
          <w:sz w:val="14"/>
          <w:szCs w:val="14"/>
        </w:rPr>
      </w:pPr>
      <w:r w:rsidRPr="005629F8">
        <w:rPr>
          <w:sz w:val="14"/>
          <w:szCs w:val="14"/>
        </w:rPr>
        <w:t xml:space="preserve">For cost weight (cost bucket specific) calculations please refer to </w:t>
      </w:r>
      <w:r w:rsidRPr="005629F8">
        <w:rPr>
          <w:sz w:val="14"/>
          <w:szCs w:val="14"/>
        </w:rPr>
        <w:fldChar w:fldCharType="begin"/>
      </w:r>
      <w:r w:rsidRPr="005629F8">
        <w:rPr>
          <w:sz w:val="14"/>
          <w:szCs w:val="14"/>
        </w:rPr>
        <w:instrText xml:space="preserve"> REF _Ref103175315 \h  \* MERGEFORMAT </w:instrText>
      </w:r>
      <w:r w:rsidRPr="005629F8">
        <w:rPr>
          <w:sz w:val="14"/>
          <w:szCs w:val="14"/>
        </w:rPr>
      </w:r>
      <w:r w:rsidRPr="005629F8">
        <w:rPr>
          <w:sz w:val="14"/>
          <w:szCs w:val="14"/>
        </w:rPr>
        <w:fldChar w:fldCharType="separate"/>
      </w:r>
      <w:r w:rsidR="00BF088F" w:rsidRPr="005629F8">
        <w:rPr>
          <w:sz w:val="14"/>
          <w:szCs w:val="14"/>
        </w:rPr>
        <w:t>Appendix D: Cost weight tables by AR-DRG Version 10.0</w:t>
      </w:r>
      <w:r w:rsidRPr="005629F8">
        <w:rPr>
          <w:sz w:val="14"/>
          <w:szCs w:val="14"/>
        </w:rPr>
        <w:fldChar w:fldCharType="end"/>
      </w:r>
    </w:p>
    <w:p w14:paraId="055FF31D" w14:textId="77777777" w:rsidR="008D092D" w:rsidRPr="005629F8" w:rsidRDefault="008D092D" w:rsidP="000C38AE">
      <w:pPr>
        <w:pStyle w:val="ListParagraph"/>
        <w:numPr>
          <w:ilvl w:val="0"/>
          <w:numId w:val="19"/>
        </w:numPr>
        <w:spacing w:after="0" w:line="240" w:lineRule="auto"/>
        <w:ind w:left="328" w:hanging="44"/>
        <w:rPr>
          <w:sz w:val="14"/>
          <w:szCs w:val="14"/>
        </w:rPr>
      </w:pPr>
      <w:r w:rsidRPr="005629F8">
        <w:rPr>
          <w:sz w:val="14"/>
          <w:szCs w:val="14"/>
        </w:rPr>
        <w:t xml:space="preserve">Separations shown are strata </w:t>
      </w:r>
      <w:proofErr w:type="gramStart"/>
      <w:r w:rsidRPr="005629F8">
        <w:rPr>
          <w:sz w:val="14"/>
          <w:szCs w:val="14"/>
        </w:rPr>
        <w:t>weighted</w:t>
      </w:r>
      <w:proofErr w:type="gramEnd"/>
    </w:p>
    <w:p w14:paraId="4CFE4DD7" w14:textId="1A20F09B" w:rsidR="008D092D" w:rsidRPr="005629F8" w:rsidRDefault="008D092D" w:rsidP="000C38AE">
      <w:pPr>
        <w:pStyle w:val="ListParagraph"/>
        <w:numPr>
          <w:ilvl w:val="0"/>
          <w:numId w:val="19"/>
        </w:numPr>
        <w:spacing w:after="0" w:line="240" w:lineRule="auto"/>
        <w:ind w:left="328" w:hanging="44"/>
        <w:rPr>
          <w:sz w:val="14"/>
          <w:szCs w:val="14"/>
        </w:rPr>
      </w:pPr>
      <w:r w:rsidRPr="005629F8">
        <w:rPr>
          <w:sz w:val="14"/>
          <w:szCs w:val="14"/>
        </w:rPr>
        <w:t>ALOS means Average Length of Stay</w:t>
      </w:r>
    </w:p>
    <w:p w14:paraId="759A4D7C" w14:textId="77777777" w:rsidR="00A73952" w:rsidRPr="005629F8" w:rsidRDefault="00A73952" w:rsidP="00AF30D0">
      <w:pPr>
        <w:rPr>
          <w:highlight w:val="yellow"/>
        </w:rPr>
        <w:sectPr w:rsidR="00A73952" w:rsidRPr="005629F8" w:rsidSect="00522146">
          <w:footerReference w:type="default" r:id="rId31"/>
          <w:pgSz w:w="16838" w:h="11906" w:orient="landscape" w:code="9"/>
          <w:pgMar w:top="1077" w:right="567" w:bottom="1077" w:left="567" w:header="709" w:footer="709" w:gutter="0"/>
          <w:cols w:space="720"/>
          <w:docGrid w:linePitch="360"/>
        </w:sectPr>
      </w:pPr>
    </w:p>
    <w:p w14:paraId="67AA1C38" w14:textId="6318A632" w:rsidR="00550AEB" w:rsidRPr="005629F8" w:rsidRDefault="00550AEB" w:rsidP="00E829BF">
      <w:pPr>
        <w:pStyle w:val="Heading3"/>
      </w:pPr>
      <w:bookmarkStart w:id="126" w:name="_Toc129700684"/>
      <w:bookmarkStart w:id="127" w:name="_Toc129701377"/>
      <w:r w:rsidRPr="005629F8">
        <w:lastRenderedPageBreak/>
        <w:t xml:space="preserve">Top </w:t>
      </w:r>
      <w:r w:rsidR="001E476E" w:rsidRPr="005629F8">
        <w:t>1</w:t>
      </w:r>
      <w:r w:rsidRPr="005629F8">
        <w:t>0 AR-DRGs ranked by highest cost</w:t>
      </w:r>
      <w:r w:rsidR="00776F4D">
        <w:t xml:space="preserve"> </w:t>
      </w:r>
      <w:r w:rsidRPr="005629F8">
        <w:t xml:space="preserve">weighted </w:t>
      </w:r>
      <w:proofErr w:type="gramStart"/>
      <w:r w:rsidRPr="005629F8">
        <w:t>separations</w:t>
      </w:r>
      <w:bookmarkEnd w:id="126"/>
      <w:bookmarkEnd w:id="127"/>
      <w:proofErr w:type="gramEnd"/>
    </w:p>
    <w:p w14:paraId="04098948" w14:textId="77777777" w:rsidR="00550AEB" w:rsidRPr="005629F8" w:rsidRDefault="00550AEB" w:rsidP="00550AEB">
      <w:pPr>
        <w:pStyle w:val="Heading4"/>
      </w:pPr>
      <w:r w:rsidRPr="005629F8">
        <w:t>Key</w:t>
      </w:r>
      <w:r w:rsidRPr="005629F8">
        <w:rPr>
          <w:spacing w:val="-3"/>
        </w:rPr>
        <w:t xml:space="preserve"> </w:t>
      </w:r>
      <w:r w:rsidRPr="005629F8">
        <w:t>findings</w:t>
      </w:r>
    </w:p>
    <w:p w14:paraId="7CE44913" w14:textId="055F575B" w:rsidR="00550AEB" w:rsidRPr="005629F8" w:rsidRDefault="00CA5779" w:rsidP="00550AEB">
      <w:pPr>
        <w:rPr>
          <w:color w:val="auto"/>
        </w:rPr>
      </w:pPr>
      <w:r w:rsidRPr="005629F8">
        <w:rPr>
          <w:color w:val="auto"/>
        </w:rPr>
        <w:fldChar w:fldCharType="begin"/>
      </w:r>
      <w:r w:rsidRPr="005629F8">
        <w:rPr>
          <w:color w:val="auto"/>
        </w:rPr>
        <w:instrText xml:space="preserve"> REF _Ref103175617 \h  \* MERGEFORMAT </w:instrText>
      </w:r>
      <w:r w:rsidRPr="005629F8">
        <w:rPr>
          <w:color w:val="auto"/>
        </w:rPr>
      </w:r>
      <w:r w:rsidRPr="005629F8">
        <w:rPr>
          <w:color w:val="auto"/>
        </w:rPr>
        <w:fldChar w:fldCharType="separate"/>
      </w:r>
      <w:r w:rsidR="00F2253B" w:rsidRPr="005629F8">
        <w:rPr>
          <w:color w:val="auto"/>
        </w:rPr>
        <w:t xml:space="preserve">Table </w:t>
      </w:r>
      <w:r w:rsidR="00F2253B" w:rsidRPr="005629F8">
        <w:rPr>
          <w:noProof/>
          <w:color w:val="auto"/>
        </w:rPr>
        <w:t>7</w:t>
      </w:r>
      <w:r w:rsidRPr="005629F8">
        <w:rPr>
          <w:color w:val="auto"/>
        </w:rPr>
        <w:fldChar w:fldCharType="end"/>
      </w:r>
      <w:r w:rsidRPr="005629F8">
        <w:rPr>
          <w:color w:val="auto"/>
        </w:rPr>
        <w:t xml:space="preserve"> </w:t>
      </w:r>
      <w:r w:rsidR="00550AEB" w:rsidRPr="005629F8">
        <w:rPr>
          <w:color w:val="auto"/>
        </w:rPr>
        <w:t xml:space="preserve">and </w:t>
      </w:r>
      <w:r w:rsidR="00F2253B">
        <w:rPr>
          <w:color w:val="auto"/>
        </w:rPr>
        <w:fldChar w:fldCharType="begin"/>
      </w:r>
      <w:r w:rsidR="00F2253B">
        <w:rPr>
          <w:color w:val="auto"/>
        </w:rPr>
        <w:instrText xml:space="preserve"> REF _Ref129182324 \h  \* MERGEFORMAT </w:instrText>
      </w:r>
      <w:r w:rsidR="00F2253B">
        <w:rPr>
          <w:color w:val="auto"/>
        </w:rPr>
      </w:r>
      <w:r w:rsidR="00F2253B">
        <w:rPr>
          <w:color w:val="auto"/>
        </w:rPr>
        <w:fldChar w:fldCharType="separate"/>
      </w:r>
      <w:r w:rsidR="006B145F">
        <w:t>Figure 10</w:t>
      </w:r>
      <w:r w:rsidR="00F2253B">
        <w:rPr>
          <w:color w:val="auto"/>
        </w:rPr>
        <w:fldChar w:fldCharType="end"/>
      </w:r>
      <w:r w:rsidR="00D61BAD" w:rsidRPr="005629F8">
        <w:rPr>
          <w:color w:val="auto"/>
        </w:rPr>
        <w:fldChar w:fldCharType="begin"/>
      </w:r>
      <w:r w:rsidR="00D61BAD" w:rsidRPr="005629F8">
        <w:rPr>
          <w:color w:val="auto"/>
        </w:rPr>
        <w:instrText xml:space="preserve"> REF _Ref127868587 \h  \* MERGEFORMAT </w:instrText>
      </w:r>
      <w:r w:rsidR="00D61BAD" w:rsidRPr="005629F8">
        <w:rPr>
          <w:color w:val="auto"/>
        </w:rPr>
      </w:r>
      <w:r w:rsidR="00D61BAD" w:rsidRPr="005629F8">
        <w:rPr>
          <w:color w:val="auto"/>
        </w:rPr>
        <w:fldChar w:fldCharType="end"/>
      </w:r>
      <w:r w:rsidR="00D61BAD" w:rsidRPr="005629F8">
        <w:rPr>
          <w:color w:val="auto"/>
        </w:rPr>
        <w:t xml:space="preserve"> </w:t>
      </w:r>
      <w:r w:rsidR="00550AEB" w:rsidRPr="005629F8">
        <w:rPr>
          <w:color w:val="auto"/>
        </w:rPr>
        <w:t xml:space="preserve">present the top </w:t>
      </w:r>
      <w:r w:rsidR="001E476E" w:rsidRPr="005629F8">
        <w:rPr>
          <w:color w:val="auto"/>
        </w:rPr>
        <w:t>1</w:t>
      </w:r>
      <w:r w:rsidR="00550AEB" w:rsidRPr="005629F8">
        <w:rPr>
          <w:color w:val="auto"/>
        </w:rPr>
        <w:t>0 AR-DRGs ranked by highest cost</w:t>
      </w:r>
      <w:r w:rsidR="00776F4D" w:rsidRPr="005629F8">
        <w:rPr>
          <w:color w:val="auto"/>
        </w:rPr>
        <w:t xml:space="preserve"> </w:t>
      </w:r>
      <w:r w:rsidR="00550AEB" w:rsidRPr="005629F8">
        <w:rPr>
          <w:color w:val="auto"/>
        </w:rPr>
        <w:t>weighted separations. A cost</w:t>
      </w:r>
      <w:r w:rsidR="00976970">
        <w:rPr>
          <w:color w:val="auto"/>
        </w:rPr>
        <w:t xml:space="preserve"> </w:t>
      </w:r>
      <w:r w:rsidR="00550AEB" w:rsidRPr="005629F8">
        <w:rPr>
          <w:color w:val="auto"/>
        </w:rPr>
        <w:t>weighted separation refers to the number of population-adjusted separations multiplied by the cost weight for that AR-DRG. It measures the total cost, or resource utilisation, associated with that AR-DRG.</w:t>
      </w:r>
    </w:p>
    <w:p w14:paraId="5CD44766" w14:textId="74878879" w:rsidR="00550AEB" w:rsidRPr="005629F8" w:rsidRDefault="00F2253B" w:rsidP="00550AEB">
      <w:pPr>
        <w:rPr>
          <w:color w:val="auto"/>
        </w:rPr>
      </w:pPr>
      <w:r w:rsidRPr="00BE3CCD">
        <w:rPr>
          <w:color w:val="auto"/>
        </w:rPr>
        <w:fldChar w:fldCharType="begin"/>
      </w:r>
      <w:r w:rsidRPr="00F2253B">
        <w:rPr>
          <w:color w:val="auto"/>
        </w:rPr>
        <w:instrText xml:space="preserve"> REF _Ref129182324 \h </w:instrText>
      </w:r>
      <w:r w:rsidRPr="005629F8">
        <w:rPr>
          <w:color w:val="auto"/>
        </w:rPr>
        <w:instrText xml:space="preserve"> \* MERGEFORMAT </w:instrText>
      </w:r>
      <w:r w:rsidRPr="00BE3CCD">
        <w:rPr>
          <w:color w:val="auto"/>
        </w:rPr>
      </w:r>
      <w:r w:rsidRPr="00BE3CCD">
        <w:rPr>
          <w:color w:val="auto"/>
        </w:rPr>
        <w:fldChar w:fldCharType="separate"/>
      </w:r>
      <w:r w:rsidR="006B145F">
        <w:t>Figure 10</w:t>
      </w:r>
      <w:r w:rsidRPr="00BE3CCD">
        <w:rPr>
          <w:color w:val="auto"/>
        </w:rPr>
        <w:fldChar w:fldCharType="end"/>
      </w:r>
      <w:r w:rsidRPr="00F2253B">
        <w:rPr>
          <w:color w:val="auto"/>
        </w:rPr>
        <w:t xml:space="preserve"> </w:t>
      </w:r>
      <w:r w:rsidR="00550AEB" w:rsidRPr="005629F8">
        <w:rPr>
          <w:color w:val="auto"/>
        </w:rPr>
        <w:t>shows that the highest cost weight AR-DRG was I04B: Knee Replacement, Minor Complexity, and is consistent with its ranking</w:t>
      </w:r>
      <w:r w:rsidR="001E476E" w:rsidRPr="005629F8">
        <w:rPr>
          <w:color w:val="auto"/>
        </w:rPr>
        <w:t xml:space="preserve"> in the previous year</w:t>
      </w:r>
      <w:r w:rsidR="00550AEB" w:rsidRPr="005629F8">
        <w:rPr>
          <w:color w:val="auto"/>
        </w:rPr>
        <w:t>. This procedure is a common procedure within the private sector, and it is frequently ranked amongst the highest cost weighted AR-DRGs.</w:t>
      </w:r>
    </w:p>
    <w:p w14:paraId="56C40AAA" w14:textId="0B4410E0" w:rsidR="00550AEB" w:rsidRPr="005629F8" w:rsidRDefault="00CA5779" w:rsidP="00550AEB">
      <w:pPr>
        <w:rPr>
          <w:color w:val="auto"/>
        </w:rPr>
      </w:pPr>
      <w:r w:rsidRPr="005629F8">
        <w:rPr>
          <w:color w:val="auto"/>
        </w:rPr>
        <w:fldChar w:fldCharType="begin"/>
      </w:r>
      <w:r w:rsidRPr="005629F8">
        <w:rPr>
          <w:color w:val="auto"/>
        </w:rPr>
        <w:instrText xml:space="preserve"> REF _Ref103175617 \h  \* MERGEFORMAT </w:instrText>
      </w:r>
      <w:r w:rsidRPr="005629F8">
        <w:rPr>
          <w:color w:val="auto"/>
        </w:rPr>
      </w:r>
      <w:r w:rsidRPr="005629F8">
        <w:rPr>
          <w:color w:val="auto"/>
        </w:rPr>
        <w:fldChar w:fldCharType="separate"/>
      </w:r>
      <w:r w:rsidR="00F2253B" w:rsidRPr="005629F8">
        <w:rPr>
          <w:color w:val="auto"/>
        </w:rPr>
        <w:t xml:space="preserve">Table </w:t>
      </w:r>
      <w:r w:rsidR="00F2253B" w:rsidRPr="005629F8">
        <w:rPr>
          <w:noProof/>
          <w:color w:val="auto"/>
        </w:rPr>
        <w:t>7</w:t>
      </w:r>
      <w:r w:rsidRPr="005629F8">
        <w:rPr>
          <w:color w:val="auto"/>
        </w:rPr>
        <w:fldChar w:fldCharType="end"/>
      </w:r>
      <w:r w:rsidRPr="005629F8">
        <w:rPr>
          <w:color w:val="auto"/>
        </w:rPr>
        <w:t xml:space="preserve"> </w:t>
      </w:r>
      <w:r w:rsidR="00550AEB" w:rsidRPr="005629F8">
        <w:rPr>
          <w:color w:val="auto"/>
        </w:rPr>
        <w:t xml:space="preserve">sets out the top </w:t>
      </w:r>
      <w:r w:rsidR="004828A1" w:rsidRPr="005629F8">
        <w:rPr>
          <w:color w:val="auto"/>
        </w:rPr>
        <w:t>1</w:t>
      </w:r>
      <w:r w:rsidR="00550AEB" w:rsidRPr="005629F8">
        <w:rPr>
          <w:color w:val="auto"/>
        </w:rPr>
        <w:t xml:space="preserve">0 AR-DRGs by highest cost weighted separations. These predominantly fall into </w:t>
      </w:r>
      <w:r w:rsidR="00436BEB">
        <w:rPr>
          <w:color w:val="auto"/>
        </w:rPr>
        <w:t>2</w:t>
      </w:r>
      <w:r w:rsidR="00550AEB" w:rsidRPr="005629F8">
        <w:rPr>
          <w:color w:val="auto"/>
        </w:rPr>
        <w:t xml:space="preserve"> groups: procedures requiring high</w:t>
      </w:r>
      <w:r w:rsidR="00B26CCE">
        <w:rPr>
          <w:color w:val="auto"/>
        </w:rPr>
        <w:t>-</w:t>
      </w:r>
      <w:r w:rsidR="00550AEB" w:rsidRPr="005629F8">
        <w:rPr>
          <w:color w:val="auto"/>
        </w:rPr>
        <w:t>cost prostheses (such as orthopaedic</w:t>
      </w:r>
      <w:r w:rsidR="004828A1" w:rsidRPr="005629F8">
        <w:rPr>
          <w:color w:val="auto"/>
        </w:rPr>
        <w:t xml:space="preserve"> </w:t>
      </w:r>
      <w:r w:rsidR="00550AEB" w:rsidRPr="005629F8">
        <w:rPr>
          <w:color w:val="auto"/>
        </w:rPr>
        <w:t>or cardiac procedures) and high</w:t>
      </w:r>
      <w:r w:rsidR="00B26CCE">
        <w:rPr>
          <w:color w:val="auto"/>
        </w:rPr>
        <w:t>-</w:t>
      </w:r>
      <w:r w:rsidR="00550AEB" w:rsidRPr="005629F8">
        <w:rPr>
          <w:color w:val="auto"/>
        </w:rPr>
        <w:t>volume procedures (such as colonoscopy or chemotherapy</w:t>
      </w:r>
      <w:r w:rsidR="00711AED" w:rsidRPr="005629F8">
        <w:rPr>
          <w:color w:val="auto"/>
        </w:rPr>
        <w:t>, are also in</w:t>
      </w:r>
      <w:r w:rsidR="00E02904" w:rsidRPr="005629F8">
        <w:rPr>
          <w:color w:val="auto"/>
        </w:rPr>
        <w:t xml:space="preserve"> </w:t>
      </w:r>
      <w:r w:rsidR="00E02904" w:rsidRPr="005629F8">
        <w:rPr>
          <w:color w:val="auto"/>
        </w:rPr>
        <w:fldChar w:fldCharType="begin"/>
      </w:r>
      <w:r w:rsidR="00E02904" w:rsidRPr="005629F8">
        <w:rPr>
          <w:color w:val="auto"/>
        </w:rPr>
        <w:instrText xml:space="preserve"> REF _Ref103175681 \h </w:instrText>
      </w:r>
      <w:r w:rsidR="00E02904" w:rsidRPr="005629F8">
        <w:rPr>
          <w:color w:val="auto"/>
        </w:rPr>
      </w:r>
      <w:r w:rsidR="00E02904" w:rsidRPr="005629F8">
        <w:rPr>
          <w:color w:val="auto"/>
        </w:rPr>
        <w:fldChar w:fldCharType="separate"/>
      </w:r>
      <w:r w:rsidR="00F2253B" w:rsidRPr="005629F8">
        <w:t xml:space="preserve">Table </w:t>
      </w:r>
      <w:r w:rsidR="00F2253B">
        <w:rPr>
          <w:noProof/>
        </w:rPr>
        <w:t>6</w:t>
      </w:r>
      <w:r w:rsidR="00E02904" w:rsidRPr="005629F8">
        <w:rPr>
          <w:color w:val="auto"/>
        </w:rPr>
        <w:fldChar w:fldCharType="end"/>
      </w:r>
      <w:r w:rsidR="00550AEB" w:rsidRPr="005629F8">
        <w:rPr>
          <w:color w:val="auto"/>
        </w:rPr>
        <w:t>).</w:t>
      </w:r>
    </w:p>
    <w:p w14:paraId="39DA0A34" w14:textId="73542146" w:rsidR="00550AEB" w:rsidRPr="005629F8" w:rsidRDefault="00550AEB" w:rsidP="00550AEB">
      <w:r w:rsidRPr="005629F8">
        <w:rPr>
          <w:color w:val="auto"/>
        </w:rPr>
        <w:t xml:space="preserve">The top </w:t>
      </w:r>
      <w:r w:rsidR="004828A1" w:rsidRPr="005629F8">
        <w:rPr>
          <w:color w:val="auto"/>
        </w:rPr>
        <w:t>1</w:t>
      </w:r>
      <w:r w:rsidRPr="005629F8">
        <w:rPr>
          <w:color w:val="auto"/>
        </w:rPr>
        <w:t xml:space="preserve">0 AR-DRGs by cost weighted separations represented </w:t>
      </w:r>
      <w:r w:rsidR="004828A1" w:rsidRPr="005629F8">
        <w:rPr>
          <w:color w:val="auto"/>
        </w:rPr>
        <w:t>2</w:t>
      </w:r>
      <w:r w:rsidRPr="005629F8">
        <w:rPr>
          <w:color w:val="auto"/>
        </w:rPr>
        <w:t>0.</w:t>
      </w:r>
      <w:r w:rsidR="00A2150E">
        <w:rPr>
          <w:color w:val="auto"/>
        </w:rPr>
        <w:t>3</w:t>
      </w:r>
      <w:r w:rsidR="00436BEB">
        <w:rPr>
          <w:color w:val="auto"/>
        </w:rPr>
        <w:t>%</w:t>
      </w:r>
      <w:r w:rsidRPr="005629F8">
        <w:rPr>
          <w:color w:val="auto"/>
        </w:rPr>
        <w:t xml:space="preserve"> of the total population cost</w:t>
      </w:r>
      <w:r w:rsidR="00804C25">
        <w:rPr>
          <w:color w:val="auto"/>
        </w:rPr>
        <w:t xml:space="preserve"> </w:t>
      </w:r>
      <w:r w:rsidRPr="005629F8">
        <w:rPr>
          <w:color w:val="auto"/>
        </w:rPr>
        <w:t>weighted separ</w:t>
      </w:r>
      <w:r w:rsidRPr="005629F8">
        <w:t>ations (</w:t>
      </w:r>
      <w:r w:rsidR="00A2150E">
        <w:t>695</w:t>
      </w:r>
      <w:r w:rsidR="004828A1" w:rsidRPr="005629F8">
        <w:t>,</w:t>
      </w:r>
      <w:r w:rsidR="00A2150E">
        <w:t>058</w:t>
      </w:r>
      <w:r w:rsidRPr="005629F8">
        <w:t xml:space="preserve"> cost</w:t>
      </w:r>
      <w:r w:rsidR="00776F4D">
        <w:t xml:space="preserve"> </w:t>
      </w:r>
      <w:r w:rsidRPr="005629F8">
        <w:t>weighted separations out of 3</w:t>
      </w:r>
      <w:r w:rsidR="004828A1" w:rsidRPr="005629F8">
        <w:t>,</w:t>
      </w:r>
      <w:r w:rsidR="00A2150E">
        <w:t>431</w:t>
      </w:r>
      <w:r w:rsidR="004828A1" w:rsidRPr="005629F8">
        <w:t>,</w:t>
      </w:r>
      <w:r w:rsidR="00A2150E">
        <w:t>160</w:t>
      </w:r>
      <w:r w:rsidRPr="005629F8">
        <w:t xml:space="preserve"> total separations). These AR-DRGs represented</w:t>
      </w:r>
      <w:r w:rsidR="00A2150E">
        <w:t xml:space="preserve"> 21</w:t>
      </w:r>
      <w:r w:rsidRPr="005629F8">
        <w:t>.</w:t>
      </w:r>
      <w:r w:rsidR="00A2150E">
        <w:t>8</w:t>
      </w:r>
      <w:r w:rsidR="00436BEB">
        <w:t>%</w:t>
      </w:r>
      <w:r w:rsidRPr="005629F8">
        <w:t xml:space="preserve"> of the total population-adjusted separations, reflecting the combination of high</w:t>
      </w:r>
      <w:r w:rsidR="00B26CCE">
        <w:t>-</w:t>
      </w:r>
      <w:r w:rsidRPr="005629F8">
        <w:t>volume and high</w:t>
      </w:r>
      <w:r w:rsidR="00B26CCE">
        <w:t>-</w:t>
      </w:r>
      <w:r w:rsidRPr="005629F8">
        <w:t>cost AR-DRGs.</w:t>
      </w:r>
    </w:p>
    <w:p w14:paraId="6EB586D0" w14:textId="5E8D5B1A" w:rsidR="00FC4599" w:rsidRPr="00052260" w:rsidRDefault="00EC7E6D" w:rsidP="00E87B16">
      <w:pPr>
        <w:pStyle w:val="Heading4"/>
      </w:pPr>
      <w:r w:rsidRPr="00052260">
        <w:t>Comparison with previous years</w:t>
      </w:r>
      <w:bookmarkStart w:id="128" w:name="_Ref129182436"/>
    </w:p>
    <w:p w14:paraId="0EE3E26A" w14:textId="4579F2CF" w:rsidR="005002C6" w:rsidRPr="000C38AE" w:rsidRDefault="006C68DC" w:rsidP="006C68DC">
      <w:pPr>
        <w:pStyle w:val="TableFigureheading"/>
      </w:pPr>
      <w:bookmarkStart w:id="129" w:name="_Ref129182324"/>
      <w:bookmarkStart w:id="130" w:name="_Toc152081853"/>
      <w:bookmarkEnd w:id="128"/>
      <w:r>
        <w:t xml:space="preserve">Figure </w:t>
      </w:r>
      <w:r>
        <w:fldChar w:fldCharType="begin"/>
      </w:r>
      <w:r>
        <w:instrText xml:space="preserve"> SEQ Figure \* ARABIC </w:instrText>
      </w:r>
      <w:r>
        <w:fldChar w:fldCharType="separate"/>
      </w:r>
      <w:r>
        <w:rPr>
          <w:noProof/>
        </w:rPr>
        <w:t>10</w:t>
      </w:r>
      <w:r>
        <w:fldChar w:fldCharType="end"/>
      </w:r>
      <w:bookmarkEnd w:id="129"/>
      <w:r w:rsidR="005002C6" w:rsidRPr="005629F8">
        <w:t>. Comparison of top 10 AR-DRGs by highest cost</w:t>
      </w:r>
      <w:r w:rsidR="00804C25">
        <w:t xml:space="preserve"> </w:t>
      </w:r>
      <w:r w:rsidR="005002C6" w:rsidRPr="005629F8">
        <w:t xml:space="preserve">weighted separations, </w:t>
      </w:r>
      <w:r w:rsidR="00B90AAB">
        <w:t>20</w:t>
      </w:r>
      <w:r w:rsidR="00A2150E">
        <w:t>19</w:t>
      </w:r>
      <w:r w:rsidR="00B90AAB">
        <w:t>-</w:t>
      </w:r>
      <w:r w:rsidR="00A2150E">
        <w:t>20</w:t>
      </w:r>
      <w:r w:rsidR="00B90AAB">
        <w:t xml:space="preserve"> to </w:t>
      </w:r>
      <w:r w:rsidR="00A2150E">
        <w:t>2021</w:t>
      </w:r>
      <w:r w:rsidR="00B90AAB">
        <w:t>-</w:t>
      </w:r>
      <w:r w:rsidR="00A2150E">
        <w:t>22</w:t>
      </w:r>
      <w:bookmarkEnd w:id="130"/>
    </w:p>
    <w:p w14:paraId="6402D647" w14:textId="0305DBD3" w:rsidR="005002C6" w:rsidRPr="005629F8" w:rsidRDefault="00F67D44" w:rsidP="005629F8">
      <w:r>
        <w:rPr>
          <w:noProof/>
        </w:rPr>
        <w:drawing>
          <wp:inline distT="0" distB="0" distL="0" distR="0" wp14:anchorId="7462825C" wp14:editId="53190C9E">
            <wp:extent cx="5688330" cy="28651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8330" cy="2865120"/>
                    </a:xfrm>
                    <a:prstGeom prst="rect">
                      <a:avLst/>
                    </a:prstGeom>
                    <a:noFill/>
                  </pic:spPr>
                </pic:pic>
              </a:graphicData>
            </a:graphic>
          </wp:inline>
        </w:drawing>
      </w:r>
    </w:p>
    <w:p w14:paraId="59E6EDA3" w14:textId="7CCD2857" w:rsidR="00DF244A" w:rsidRPr="005629F8" w:rsidRDefault="00DF244A" w:rsidP="00DF244A">
      <w:pPr>
        <w:tabs>
          <w:tab w:val="center" w:pos="5386"/>
        </w:tabs>
        <w:rPr>
          <w:highlight w:val="yellow"/>
        </w:rPr>
        <w:sectPr w:rsidR="00DF244A" w:rsidRPr="005629F8" w:rsidSect="00522146">
          <w:footerReference w:type="default" r:id="rId33"/>
          <w:pgSz w:w="11906" w:h="16838" w:code="9"/>
          <w:pgMar w:top="1440" w:right="1080" w:bottom="1440" w:left="1080" w:header="709" w:footer="709" w:gutter="0"/>
          <w:cols w:space="720"/>
          <w:docGrid w:linePitch="360"/>
        </w:sectPr>
      </w:pPr>
    </w:p>
    <w:bookmarkStart w:id="131" w:name="_Ref103175617"/>
    <w:bookmarkStart w:id="132" w:name="_Toc106888134"/>
    <w:bookmarkStart w:id="133" w:name="_Toc129179301"/>
    <w:p w14:paraId="404D5A64" w14:textId="083B3415" w:rsidR="009A5C6C" w:rsidRDefault="009A5C6C" w:rsidP="00052260">
      <w:pPr>
        <w:spacing w:line="259" w:lineRule="auto"/>
      </w:pPr>
      <w:r>
        <w:lastRenderedPageBreak/>
        <w:fldChar w:fldCharType="begin"/>
      </w:r>
      <w:r>
        <w:instrText xml:space="preserve"> REF _Ref103175617 \h </w:instrText>
      </w:r>
      <w:r>
        <w:fldChar w:fldCharType="separate"/>
      </w:r>
      <w:r w:rsidRPr="005629F8">
        <w:t xml:space="preserve">Table </w:t>
      </w:r>
      <w:r>
        <w:t>7</w:t>
      </w:r>
      <w:r>
        <w:fldChar w:fldCharType="end"/>
      </w:r>
      <w:r>
        <w:t xml:space="preserve"> shows</w:t>
      </w:r>
      <w:r w:rsidRPr="005629F8">
        <w:t xml:space="preserve"> there has been </w:t>
      </w:r>
      <w:r>
        <w:t xml:space="preserve">minimal </w:t>
      </w:r>
      <w:r w:rsidRPr="005629F8">
        <w:t xml:space="preserve">movement in the rank of individual AR-DRGs, </w:t>
      </w:r>
      <w:r>
        <w:t>with</w:t>
      </w:r>
      <w:r w:rsidRPr="005629F8">
        <w:t xml:space="preserve"> no new AR-DRGs enter</w:t>
      </w:r>
      <w:r>
        <w:t>ing</w:t>
      </w:r>
      <w:r w:rsidRPr="005629F8">
        <w:t xml:space="preserve"> the top 10 list in </w:t>
      </w:r>
      <w:r>
        <w:t>2021</w:t>
      </w:r>
      <w:r w:rsidRPr="005629F8">
        <w:t>-</w:t>
      </w:r>
      <w:r>
        <w:t>22</w:t>
      </w:r>
      <w:r w:rsidRPr="005629F8">
        <w:t xml:space="preserve">. </w:t>
      </w:r>
      <w:r>
        <w:t xml:space="preserve">Both I04B: </w:t>
      </w:r>
      <w:r w:rsidRPr="00E15731">
        <w:rPr>
          <w:color w:val="000000"/>
          <w:szCs w:val="14"/>
        </w:rPr>
        <w:t>Knee Replacement, Minor Complexity</w:t>
      </w:r>
      <w:r>
        <w:t xml:space="preserve"> and I33B: </w:t>
      </w:r>
      <w:r w:rsidRPr="00E15731">
        <w:rPr>
          <w:color w:val="000000"/>
          <w:szCs w:val="14"/>
        </w:rPr>
        <w:t>Hip Replacement for Non-Trauma, Minor Complexity</w:t>
      </w:r>
      <w:r>
        <w:t xml:space="preserve"> have seen decreases in cost weighted separations </w:t>
      </w:r>
      <w:r w:rsidRPr="002B244A">
        <w:t>of 12.35</w:t>
      </w:r>
      <w:proofErr w:type="gramStart"/>
      <w:r w:rsidR="00436BEB">
        <w:t>%</w:t>
      </w:r>
      <w:r w:rsidRPr="002B244A">
        <w:t xml:space="preserve">  and</w:t>
      </w:r>
      <w:proofErr w:type="gramEnd"/>
      <w:r w:rsidRPr="002B244A">
        <w:t xml:space="preserve"> 5.81</w:t>
      </w:r>
      <w:r w:rsidR="00436BEB">
        <w:t>%</w:t>
      </w:r>
      <w:r>
        <w:t xml:space="preserve"> respectively.</w:t>
      </w:r>
    </w:p>
    <w:p w14:paraId="0E7EA999" w14:textId="66482B09" w:rsidR="0026702E" w:rsidRPr="005629F8" w:rsidRDefault="0026702E" w:rsidP="00E87B16">
      <w:pPr>
        <w:pStyle w:val="TableFigureheading"/>
      </w:pPr>
      <w:bookmarkStart w:id="134" w:name="_Toc152081875"/>
      <w:r w:rsidRPr="005629F8">
        <w:t xml:space="preserve">Table </w:t>
      </w:r>
      <w:r w:rsidR="00D9779B" w:rsidRPr="005629F8">
        <w:fldChar w:fldCharType="begin"/>
      </w:r>
      <w:r w:rsidR="00D9779B" w:rsidRPr="005629F8">
        <w:instrText xml:space="preserve"> SEQ Table \* ARABIC </w:instrText>
      </w:r>
      <w:r w:rsidR="00D9779B" w:rsidRPr="005629F8">
        <w:fldChar w:fldCharType="separate"/>
      </w:r>
      <w:r w:rsidR="00D3454D">
        <w:rPr>
          <w:noProof/>
        </w:rPr>
        <w:t>7</w:t>
      </w:r>
      <w:r w:rsidR="00D9779B" w:rsidRPr="005629F8">
        <w:fldChar w:fldCharType="end"/>
      </w:r>
      <w:bookmarkEnd w:id="131"/>
      <w:r w:rsidRPr="005629F8">
        <w:t xml:space="preserve">. Top </w:t>
      </w:r>
      <w:r w:rsidR="00EC7E6D" w:rsidRPr="00996578">
        <w:t>1</w:t>
      </w:r>
      <w:r w:rsidRPr="005629F8">
        <w:t xml:space="preserve">0 AR-DRGs ranked by highest cost weighted </w:t>
      </w:r>
      <w:proofErr w:type="gramStart"/>
      <w:r w:rsidRPr="005629F8">
        <w:t>separations</w:t>
      </w:r>
      <w:bookmarkEnd w:id="132"/>
      <w:bookmarkEnd w:id="133"/>
      <w:bookmarkEnd w:id="134"/>
      <w:proofErr w:type="gramEnd"/>
    </w:p>
    <w:tbl>
      <w:tblPr>
        <w:tblStyle w:val="IHACPATable"/>
        <w:tblW w:w="15608" w:type="dxa"/>
        <w:tblLayout w:type="fixed"/>
        <w:tblLook w:val="06A0" w:firstRow="1" w:lastRow="0" w:firstColumn="1" w:lastColumn="0" w:noHBand="1" w:noVBand="1"/>
      </w:tblPr>
      <w:tblGrid>
        <w:gridCol w:w="851"/>
        <w:gridCol w:w="850"/>
        <w:gridCol w:w="851"/>
        <w:gridCol w:w="2410"/>
        <w:gridCol w:w="708"/>
        <w:gridCol w:w="851"/>
        <w:gridCol w:w="992"/>
        <w:gridCol w:w="1134"/>
        <w:gridCol w:w="992"/>
        <w:gridCol w:w="567"/>
        <w:gridCol w:w="709"/>
        <w:gridCol w:w="709"/>
        <w:gridCol w:w="992"/>
        <w:gridCol w:w="851"/>
        <w:gridCol w:w="1134"/>
        <w:gridCol w:w="1007"/>
      </w:tblGrid>
      <w:tr w:rsidR="00363733" w:rsidRPr="0088109E" w14:paraId="1E3D827A" w14:textId="77777777" w:rsidTr="00DB117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auto"/>
              <w:right w:val="nil"/>
            </w:tcBorders>
            <w:shd w:val="clear" w:color="auto" w:fill="15272F" w:themeFill="text1"/>
            <w:vAlign w:val="center"/>
          </w:tcPr>
          <w:p w14:paraId="1E0EBE07" w14:textId="77777777" w:rsidR="00DB117A" w:rsidRPr="005629F8" w:rsidRDefault="00DB117A" w:rsidP="005629F8">
            <w:pPr>
              <w:pStyle w:val="TableParagraph"/>
              <w:rPr>
                <w:b/>
                <w:bCs/>
                <w:color w:val="FFFFFF" w:themeColor="background2"/>
                <w:szCs w:val="14"/>
              </w:rPr>
            </w:pPr>
          </w:p>
        </w:tc>
        <w:tc>
          <w:tcPr>
            <w:tcW w:w="850" w:type="dxa"/>
            <w:tcBorders>
              <w:top w:val="single" w:sz="4" w:space="0" w:color="auto"/>
              <w:left w:val="nil"/>
              <w:bottom w:val="single" w:sz="4" w:space="0" w:color="auto"/>
              <w:right w:val="nil"/>
            </w:tcBorders>
            <w:shd w:val="clear" w:color="auto" w:fill="15272F" w:themeFill="text1"/>
            <w:vAlign w:val="center"/>
          </w:tcPr>
          <w:p w14:paraId="369CCA97" w14:textId="77777777" w:rsidR="00DB117A" w:rsidRPr="005629F8" w:rsidRDefault="00DB117A" w:rsidP="005629F8">
            <w:pPr>
              <w:pStyle w:val="TableParagraph"/>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851" w:type="dxa"/>
            <w:tcBorders>
              <w:top w:val="single" w:sz="4" w:space="0" w:color="auto"/>
              <w:left w:val="nil"/>
              <w:bottom w:val="single" w:sz="4" w:space="0" w:color="auto"/>
              <w:right w:val="nil"/>
            </w:tcBorders>
            <w:shd w:val="clear" w:color="auto" w:fill="15272F" w:themeFill="text1"/>
            <w:vAlign w:val="center"/>
          </w:tcPr>
          <w:p w14:paraId="3814D79A" w14:textId="77777777" w:rsidR="00DB117A" w:rsidRDefault="00DB117A" w:rsidP="005629F8">
            <w:pPr>
              <w:pStyle w:val="TableParagraph"/>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2410" w:type="dxa"/>
            <w:tcBorders>
              <w:top w:val="single" w:sz="4" w:space="0" w:color="auto"/>
              <w:left w:val="nil"/>
              <w:bottom w:val="single" w:sz="4" w:space="0" w:color="auto"/>
              <w:right w:val="single" w:sz="4" w:space="0" w:color="FFFFFF" w:themeColor="accent6"/>
            </w:tcBorders>
            <w:shd w:val="clear" w:color="auto" w:fill="15272F" w:themeFill="text1"/>
            <w:vAlign w:val="center"/>
          </w:tcPr>
          <w:p w14:paraId="129FF322" w14:textId="77777777" w:rsidR="00DB117A" w:rsidRDefault="00DB117A">
            <w:pPr>
              <w:pStyle w:val="TableParagraph"/>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p>
        </w:tc>
        <w:tc>
          <w:tcPr>
            <w:tcW w:w="6662" w:type="dxa"/>
            <w:gridSpan w:val="8"/>
            <w:tcBorders>
              <w:top w:val="single" w:sz="4" w:space="0" w:color="auto"/>
              <w:left w:val="single" w:sz="4" w:space="0" w:color="FFFFFF" w:themeColor="accent6"/>
              <w:bottom w:val="single" w:sz="4" w:space="0" w:color="auto"/>
              <w:right w:val="single" w:sz="4" w:space="0" w:color="FFFFFF" w:themeColor="accent6"/>
            </w:tcBorders>
            <w:shd w:val="clear" w:color="auto" w:fill="15272F" w:themeFill="text1"/>
            <w:vAlign w:val="center"/>
          </w:tcPr>
          <w:p w14:paraId="101B7744" w14:textId="16648415" w:rsidR="00DB117A" w:rsidRPr="005629F8" w:rsidRDefault="00DB117A"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202</w:t>
            </w:r>
            <w:r w:rsidR="00F67D44">
              <w:rPr>
                <w:b/>
                <w:bCs/>
                <w:color w:val="FFFFFF" w:themeColor="background2"/>
                <w:szCs w:val="14"/>
              </w:rPr>
              <w:t>1-22</w:t>
            </w:r>
          </w:p>
        </w:tc>
        <w:tc>
          <w:tcPr>
            <w:tcW w:w="3984" w:type="dxa"/>
            <w:gridSpan w:val="4"/>
            <w:tcBorders>
              <w:top w:val="single" w:sz="4" w:space="0" w:color="auto"/>
              <w:left w:val="single" w:sz="4" w:space="0" w:color="FFFFFF" w:themeColor="accent6"/>
              <w:bottom w:val="single" w:sz="4" w:space="0" w:color="auto"/>
              <w:right w:val="nil"/>
            </w:tcBorders>
            <w:shd w:val="clear" w:color="auto" w:fill="15272F" w:themeFill="text1"/>
            <w:vAlign w:val="center"/>
          </w:tcPr>
          <w:p w14:paraId="700C2D94" w14:textId="2E29A0E1" w:rsidR="00DB117A" w:rsidRPr="005629F8" w:rsidRDefault="00DB117A" w:rsidP="00E87B16">
            <w:pPr>
              <w:pStyle w:val="TableParagraph"/>
              <w:jc w:val="center"/>
              <w:cnfStyle w:val="100000000000" w:firstRow="1" w:lastRow="0" w:firstColumn="0" w:lastColumn="0" w:oddVBand="0" w:evenVBand="0" w:oddHBand="0" w:evenHBand="0" w:firstRowFirstColumn="0" w:firstRowLastColumn="0" w:lastRowFirstColumn="0" w:lastRowLastColumn="0"/>
              <w:rPr>
                <w:b/>
                <w:bCs/>
                <w:color w:val="FFFFFF" w:themeColor="background2"/>
                <w:szCs w:val="14"/>
              </w:rPr>
            </w:pPr>
            <w:r>
              <w:rPr>
                <w:b/>
                <w:bCs/>
                <w:color w:val="FFFFFF" w:themeColor="background2"/>
                <w:szCs w:val="14"/>
              </w:rPr>
              <w:t>20</w:t>
            </w:r>
            <w:r w:rsidR="00F67D44">
              <w:rPr>
                <w:b/>
                <w:bCs/>
                <w:color w:val="FFFFFF" w:themeColor="background2"/>
                <w:szCs w:val="14"/>
              </w:rPr>
              <w:t>20-21</w:t>
            </w:r>
          </w:p>
        </w:tc>
      </w:tr>
      <w:tr w:rsidR="001112A9" w:rsidRPr="0088109E" w14:paraId="6C809A61" w14:textId="77777777" w:rsidTr="00DB117A">
        <w:trPr>
          <w:trHeight w:val="6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664C28CB" w14:textId="1AC41BC5" w:rsidR="001B63DC" w:rsidRPr="00E87B16" w:rsidRDefault="001B63DC" w:rsidP="008E4DA3">
            <w:pPr>
              <w:pStyle w:val="TableParagraph"/>
              <w:jc w:val="center"/>
              <w:rPr>
                <w:b/>
                <w:bCs/>
                <w:highlight w:val="yellow"/>
                <w:lang w:eastAsia="en-AU"/>
              </w:rPr>
            </w:pPr>
            <w:r w:rsidRPr="00E87B16">
              <w:rPr>
                <w:b/>
                <w:bCs/>
                <w:szCs w:val="14"/>
              </w:rPr>
              <w:t>Top 10 20</w:t>
            </w:r>
            <w:r w:rsidR="00F67D44">
              <w:rPr>
                <w:b/>
                <w:bCs/>
                <w:szCs w:val="14"/>
              </w:rPr>
              <w:t>20-21</w:t>
            </w:r>
          </w:p>
        </w:tc>
        <w:tc>
          <w:tcPr>
            <w:tcW w:w="850"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12C5F467" w14:textId="7F5BC21E" w:rsidR="001B63DC" w:rsidRPr="00E87B16" w:rsidRDefault="001B63DC" w:rsidP="008E4DA3">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Rank 202</w:t>
            </w:r>
            <w:r w:rsidR="00F67D44">
              <w:rPr>
                <w:b/>
                <w:bCs/>
                <w:szCs w:val="14"/>
              </w:rPr>
              <w:t>1</w:t>
            </w:r>
            <w:r w:rsidRPr="00E87B16">
              <w:rPr>
                <w:b/>
                <w:bCs/>
                <w:szCs w:val="14"/>
              </w:rPr>
              <w:t>-2</w:t>
            </w:r>
            <w:r w:rsidR="00F67D44">
              <w:rPr>
                <w:b/>
                <w:bCs/>
                <w:szCs w:val="14"/>
              </w:rPr>
              <w:t>2</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4F3DC22C" w14:textId="6070F2D6" w:rsidR="001B63DC" w:rsidRPr="00E87B16" w:rsidRDefault="00A97711" w:rsidP="008E4DA3">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w:t>
            </w:r>
            <w:r w:rsidR="001B63DC" w:rsidRPr="00E87B16">
              <w:rPr>
                <w:b/>
                <w:bCs/>
                <w:szCs w:val="14"/>
              </w:rPr>
              <w:t>DRG</w:t>
            </w:r>
          </w:p>
        </w:tc>
        <w:tc>
          <w:tcPr>
            <w:tcW w:w="2410"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0F4EF904" w14:textId="555DAF8D" w:rsidR="001B63DC" w:rsidRPr="00E87B16" w:rsidRDefault="00A97711">
            <w:pPr>
              <w:pStyle w:val="TableParagraph"/>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AR-</w:t>
            </w:r>
            <w:r w:rsidR="001B63DC" w:rsidRPr="00E87B16">
              <w:rPr>
                <w:b/>
                <w:bCs/>
                <w:szCs w:val="14"/>
              </w:rPr>
              <w:t>DRG Description</w:t>
            </w:r>
          </w:p>
        </w:tc>
        <w:tc>
          <w:tcPr>
            <w:tcW w:w="708"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63B3B890" w14:textId="6EFA13E4"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r w:rsidRPr="00E87B16">
              <w:rPr>
                <w:b/>
                <w:bCs/>
                <w:szCs w:val="14"/>
              </w:rPr>
              <w:br/>
              <w:t>(a)</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00BC494D" w14:textId="0ADA00F3"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r w:rsidRPr="00E87B16">
              <w:rPr>
                <w:b/>
                <w:bCs/>
                <w:szCs w:val="14"/>
              </w:rPr>
              <w:br/>
              <w:t>(b)</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5254D268" w14:textId="3FA12DF4"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weighted seps</w:t>
            </w:r>
            <w:r w:rsidRPr="00E87B16">
              <w:rPr>
                <w:b/>
                <w:bCs/>
                <w:szCs w:val="14"/>
              </w:rPr>
              <w:br/>
              <w:t>(c)=(a)x(b)</w:t>
            </w:r>
          </w:p>
        </w:tc>
        <w:tc>
          <w:tcPr>
            <w:tcW w:w="1134"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1B18CBE8" w14:textId="256CD16B"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Number of days</w:t>
            </w:r>
            <w:r w:rsidRPr="00E87B16">
              <w:rPr>
                <w:b/>
                <w:bCs/>
                <w:szCs w:val="14"/>
              </w:rPr>
              <w:br/>
              <w:t>(d)</w:t>
            </w:r>
          </w:p>
        </w:tc>
        <w:tc>
          <w:tcPr>
            <w:tcW w:w="992"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21534658" w14:textId="5AAABF4D"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ALOS (days)</w:t>
            </w:r>
            <w:r w:rsidRPr="00E87B16">
              <w:rPr>
                <w:b/>
                <w:bCs/>
                <w:szCs w:val="14"/>
              </w:rPr>
              <w:br/>
              <w:t>(e)=(d)/(b)</w:t>
            </w:r>
          </w:p>
        </w:tc>
        <w:tc>
          <w:tcPr>
            <w:tcW w:w="567"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12BE6740" w14:textId="6379C71C"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Std error</w:t>
            </w:r>
          </w:p>
        </w:tc>
        <w:tc>
          <w:tcPr>
            <w:tcW w:w="709"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2D8BCE74" w14:textId="51D86AB7"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of total seps</w:t>
            </w:r>
          </w:p>
        </w:tc>
        <w:tc>
          <w:tcPr>
            <w:tcW w:w="709" w:type="dxa"/>
            <w:tcBorders>
              <w:top w:val="single" w:sz="4" w:space="0" w:color="auto"/>
              <w:left w:val="nil"/>
              <w:bottom w:val="single" w:sz="4" w:space="0" w:color="D9D9D9" w:themeColor="background2" w:themeShade="D9"/>
              <w:right w:val="single" w:sz="4" w:space="0" w:color="FFFFFF" w:themeColor="accent6"/>
            </w:tcBorders>
            <w:shd w:val="clear" w:color="auto" w:fill="DFEBF1" w:themeFill="text1" w:themeFillTint="1A"/>
            <w:vAlign w:val="center"/>
            <w:hideMark/>
          </w:tcPr>
          <w:p w14:paraId="677C0790" w14:textId="7682DDBF"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of CW seps</w:t>
            </w:r>
          </w:p>
        </w:tc>
        <w:tc>
          <w:tcPr>
            <w:tcW w:w="992" w:type="dxa"/>
            <w:tcBorders>
              <w:top w:val="single" w:sz="4" w:space="0" w:color="auto"/>
              <w:left w:val="single" w:sz="4" w:space="0" w:color="FFFFFF" w:themeColor="accent6"/>
              <w:bottom w:val="single" w:sz="4" w:space="0" w:color="D9D9D9" w:themeColor="background2" w:themeShade="D9"/>
              <w:right w:val="nil"/>
            </w:tcBorders>
            <w:shd w:val="clear" w:color="auto" w:fill="DFEBF1" w:themeFill="text1" w:themeFillTint="1A"/>
            <w:vAlign w:val="center"/>
            <w:hideMark/>
          </w:tcPr>
          <w:p w14:paraId="1C3B0DD6" w14:textId="7D04775E"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weighted seps</w:t>
            </w:r>
          </w:p>
        </w:tc>
        <w:tc>
          <w:tcPr>
            <w:tcW w:w="851"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208E7B26" w14:textId="2F643B19"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 xml:space="preserve">Rank </w:t>
            </w:r>
          </w:p>
        </w:tc>
        <w:tc>
          <w:tcPr>
            <w:tcW w:w="1134"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15172152" w14:textId="333C01EE"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No. of weighted seps</w:t>
            </w:r>
          </w:p>
        </w:tc>
        <w:tc>
          <w:tcPr>
            <w:tcW w:w="1007" w:type="dxa"/>
            <w:tcBorders>
              <w:top w:val="single" w:sz="4" w:space="0" w:color="auto"/>
              <w:left w:val="nil"/>
              <w:bottom w:val="single" w:sz="4" w:space="0" w:color="D9D9D9" w:themeColor="background2" w:themeShade="D9"/>
              <w:right w:val="nil"/>
            </w:tcBorders>
            <w:shd w:val="clear" w:color="auto" w:fill="DFEBF1" w:themeFill="text1" w:themeFillTint="1A"/>
            <w:vAlign w:val="center"/>
            <w:hideMark/>
          </w:tcPr>
          <w:p w14:paraId="33660954" w14:textId="2022C4C1" w:rsidR="001B63DC" w:rsidRPr="00E87B16" w:rsidRDefault="001B63DC" w:rsidP="00E87B16">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sidRPr="00E87B16">
              <w:rPr>
                <w:b/>
                <w:bCs/>
                <w:szCs w:val="14"/>
              </w:rPr>
              <w:t>Cost weight</w:t>
            </w:r>
          </w:p>
        </w:tc>
      </w:tr>
      <w:tr w:rsidR="002D01B9" w:rsidRPr="0088109E" w14:paraId="131CF3CC" w14:textId="77777777" w:rsidTr="00294D0B">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1CAF644A" w14:textId="3D93866A" w:rsidR="002D01B9" w:rsidRPr="0088109E" w:rsidRDefault="002D01B9" w:rsidP="002D01B9">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0FA737D6" w14:textId="728E4886"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w:t>
            </w:r>
          </w:p>
        </w:tc>
        <w:tc>
          <w:tcPr>
            <w:tcW w:w="851" w:type="dxa"/>
            <w:tcBorders>
              <w:top w:val="nil"/>
              <w:left w:val="nil"/>
              <w:bottom w:val="nil"/>
              <w:right w:val="nil"/>
            </w:tcBorders>
            <w:shd w:val="clear" w:color="auto" w:fill="auto"/>
            <w:noWrap/>
            <w:vAlign w:val="center"/>
            <w:hideMark/>
          </w:tcPr>
          <w:p w14:paraId="1D15D520" w14:textId="103DE790"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I04B</w:t>
            </w:r>
          </w:p>
        </w:tc>
        <w:tc>
          <w:tcPr>
            <w:tcW w:w="2410" w:type="dxa"/>
            <w:tcBorders>
              <w:top w:val="nil"/>
              <w:left w:val="nil"/>
              <w:bottom w:val="nil"/>
              <w:right w:val="nil"/>
            </w:tcBorders>
            <w:shd w:val="clear" w:color="auto" w:fill="auto"/>
            <w:noWrap/>
            <w:vAlign w:val="center"/>
            <w:hideMark/>
          </w:tcPr>
          <w:p w14:paraId="699DF1EE" w14:textId="5D0E815E" w:rsidR="002D01B9" w:rsidRPr="0088109E"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Knee Replacement, Minor Complexity</w:t>
            </w:r>
          </w:p>
        </w:tc>
        <w:tc>
          <w:tcPr>
            <w:tcW w:w="708" w:type="dxa"/>
            <w:tcBorders>
              <w:top w:val="nil"/>
              <w:left w:val="nil"/>
              <w:bottom w:val="nil"/>
              <w:right w:val="nil"/>
            </w:tcBorders>
            <w:shd w:val="clear" w:color="auto" w:fill="auto"/>
            <w:noWrap/>
            <w:vAlign w:val="center"/>
            <w:hideMark/>
          </w:tcPr>
          <w:p w14:paraId="6B573856" w14:textId="7BEFCB38"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3.66</w:t>
            </w:r>
          </w:p>
        </w:tc>
        <w:tc>
          <w:tcPr>
            <w:tcW w:w="851" w:type="dxa"/>
            <w:tcBorders>
              <w:top w:val="nil"/>
              <w:left w:val="nil"/>
              <w:bottom w:val="nil"/>
              <w:right w:val="nil"/>
            </w:tcBorders>
            <w:shd w:val="clear" w:color="auto" w:fill="auto"/>
            <w:noWrap/>
            <w:vAlign w:val="center"/>
            <w:hideMark/>
          </w:tcPr>
          <w:p w14:paraId="0C192545" w14:textId="6CB65A1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37,759</w:t>
            </w:r>
          </w:p>
        </w:tc>
        <w:tc>
          <w:tcPr>
            <w:tcW w:w="992" w:type="dxa"/>
            <w:tcBorders>
              <w:top w:val="nil"/>
              <w:left w:val="nil"/>
              <w:bottom w:val="nil"/>
              <w:right w:val="nil"/>
            </w:tcBorders>
            <w:shd w:val="clear" w:color="auto" w:fill="auto"/>
            <w:noWrap/>
            <w:vAlign w:val="center"/>
            <w:hideMark/>
          </w:tcPr>
          <w:p w14:paraId="3BB77C71" w14:textId="7DBE2C48"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color w:val="000000"/>
                <w:szCs w:val="14"/>
              </w:rPr>
              <w:t>138,198</w:t>
            </w:r>
          </w:p>
        </w:tc>
        <w:tc>
          <w:tcPr>
            <w:tcW w:w="1134" w:type="dxa"/>
            <w:tcBorders>
              <w:top w:val="nil"/>
              <w:left w:val="nil"/>
              <w:bottom w:val="nil"/>
              <w:right w:val="nil"/>
            </w:tcBorders>
            <w:shd w:val="clear" w:color="auto" w:fill="auto"/>
            <w:noWrap/>
            <w:vAlign w:val="center"/>
            <w:hideMark/>
          </w:tcPr>
          <w:p w14:paraId="092DD39F" w14:textId="713995B6"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160,786</w:t>
            </w:r>
          </w:p>
        </w:tc>
        <w:tc>
          <w:tcPr>
            <w:tcW w:w="992" w:type="dxa"/>
            <w:tcBorders>
              <w:top w:val="nil"/>
              <w:left w:val="nil"/>
              <w:bottom w:val="nil"/>
              <w:right w:val="nil"/>
            </w:tcBorders>
            <w:shd w:val="clear" w:color="auto" w:fill="auto"/>
            <w:noWrap/>
            <w:vAlign w:val="center"/>
            <w:hideMark/>
          </w:tcPr>
          <w:p w14:paraId="3E1C22B3" w14:textId="08161DF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4.3</w:t>
            </w:r>
          </w:p>
        </w:tc>
        <w:tc>
          <w:tcPr>
            <w:tcW w:w="567" w:type="dxa"/>
            <w:tcBorders>
              <w:top w:val="nil"/>
              <w:left w:val="nil"/>
              <w:bottom w:val="nil"/>
              <w:right w:val="nil"/>
            </w:tcBorders>
            <w:shd w:val="clear" w:color="auto" w:fill="auto"/>
            <w:noWrap/>
            <w:vAlign w:val="center"/>
            <w:hideMark/>
          </w:tcPr>
          <w:p w14:paraId="586BFFBF" w14:textId="16F82192"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0.01</w:t>
            </w:r>
          </w:p>
        </w:tc>
        <w:tc>
          <w:tcPr>
            <w:tcW w:w="709" w:type="dxa"/>
            <w:tcBorders>
              <w:top w:val="nil"/>
              <w:left w:val="nil"/>
              <w:bottom w:val="nil"/>
              <w:right w:val="nil"/>
            </w:tcBorders>
            <w:shd w:val="clear" w:color="auto" w:fill="auto"/>
            <w:noWrap/>
            <w:vAlign w:val="center"/>
            <w:hideMark/>
          </w:tcPr>
          <w:p w14:paraId="423F309B" w14:textId="73BA056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1.10%</w:t>
            </w:r>
          </w:p>
        </w:tc>
        <w:tc>
          <w:tcPr>
            <w:tcW w:w="709" w:type="dxa"/>
            <w:tcBorders>
              <w:top w:val="nil"/>
              <w:left w:val="nil"/>
              <w:bottom w:val="nil"/>
              <w:right w:val="nil"/>
            </w:tcBorders>
            <w:shd w:val="clear" w:color="auto" w:fill="auto"/>
            <w:noWrap/>
            <w:vAlign w:val="center"/>
            <w:hideMark/>
          </w:tcPr>
          <w:p w14:paraId="0D388B92" w14:textId="0023B77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4.0%</w:t>
            </w:r>
          </w:p>
        </w:tc>
        <w:tc>
          <w:tcPr>
            <w:tcW w:w="992" w:type="dxa"/>
            <w:tcBorders>
              <w:top w:val="nil"/>
              <w:left w:val="nil"/>
              <w:bottom w:val="nil"/>
              <w:right w:val="nil"/>
            </w:tcBorders>
            <w:shd w:val="clear" w:color="auto" w:fill="auto"/>
            <w:noWrap/>
            <w:vAlign w:val="center"/>
            <w:hideMark/>
          </w:tcPr>
          <w:p w14:paraId="4D4F0AAC" w14:textId="60699AF2"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157,665</w:t>
            </w:r>
          </w:p>
        </w:tc>
        <w:tc>
          <w:tcPr>
            <w:tcW w:w="851" w:type="dxa"/>
            <w:tcBorders>
              <w:top w:val="nil"/>
              <w:left w:val="nil"/>
              <w:bottom w:val="nil"/>
              <w:right w:val="nil"/>
            </w:tcBorders>
            <w:shd w:val="clear" w:color="auto" w:fill="auto"/>
            <w:noWrap/>
            <w:vAlign w:val="center"/>
            <w:hideMark/>
          </w:tcPr>
          <w:p w14:paraId="6C594FE2" w14:textId="56A8E840"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w:t>
            </w:r>
          </w:p>
        </w:tc>
        <w:tc>
          <w:tcPr>
            <w:tcW w:w="1134" w:type="dxa"/>
            <w:tcBorders>
              <w:top w:val="nil"/>
              <w:left w:val="nil"/>
              <w:bottom w:val="nil"/>
              <w:right w:val="nil"/>
            </w:tcBorders>
            <w:shd w:val="clear" w:color="auto" w:fill="auto"/>
            <w:noWrap/>
            <w:vAlign w:val="center"/>
            <w:hideMark/>
          </w:tcPr>
          <w:p w14:paraId="395A846B" w14:textId="1C4DFFC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41,821</w:t>
            </w:r>
          </w:p>
        </w:tc>
        <w:tc>
          <w:tcPr>
            <w:tcW w:w="1007" w:type="dxa"/>
            <w:tcBorders>
              <w:top w:val="nil"/>
              <w:left w:val="nil"/>
              <w:bottom w:val="nil"/>
              <w:right w:val="nil"/>
            </w:tcBorders>
            <w:shd w:val="clear" w:color="auto" w:fill="auto"/>
            <w:noWrap/>
            <w:vAlign w:val="center"/>
            <w:hideMark/>
          </w:tcPr>
          <w:p w14:paraId="6096C553" w14:textId="39A98682"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3.77</w:t>
            </w:r>
          </w:p>
        </w:tc>
      </w:tr>
      <w:tr w:rsidR="002D01B9" w:rsidRPr="0088109E" w14:paraId="00620D75" w14:textId="77777777" w:rsidTr="00294D0B">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58C18923" w14:textId="270A9C2A" w:rsidR="002D01B9" w:rsidRPr="0088109E" w:rsidRDefault="002D01B9" w:rsidP="002D01B9">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13B6EE1E" w14:textId="26F8554B"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w:t>
            </w:r>
          </w:p>
        </w:tc>
        <w:tc>
          <w:tcPr>
            <w:tcW w:w="851" w:type="dxa"/>
            <w:tcBorders>
              <w:top w:val="nil"/>
              <w:left w:val="nil"/>
              <w:bottom w:val="nil"/>
              <w:right w:val="nil"/>
            </w:tcBorders>
            <w:shd w:val="clear" w:color="auto" w:fill="auto"/>
            <w:noWrap/>
            <w:vAlign w:val="center"/>
            <w:hideMark/>
          </w:tcPr>
          <w:p w14:paraId="6BD9A5AD" w14:textId="5E4FD42F"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I33B</w:t>
            </w:r>
          </w:p>
        </w:tc>
        <w:tc>
          <w:tcPr>
            <w:tcW w:w="2410" w:type="dxa"/>
            <w:tcBorders>
              <w:top w:val="nil"/>
              <w:left w:val="nil"/>
              <w:bottom w:val="nil"/>
              <w:right w:val="nil"/>
            </w:tcBorders>
            <w:shd w:val="clear" w:color="auto" w:fill="auto"/>
            <w:noWrap/>
            <w:vAlign w:val="center"/>
            <w:hideMark/>
          </w:tcPr>
          <w:p w14:paraId="17B5C135" w14:textId="0F67542E" w:rsidR="002D01B9" w:rsidRPr="0088109E"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Hip Replacement for Non-Trauma, Minor Complexity</w:t>
            </w:r>
          </w:p>
        </w:tc>
        <w:tc>
          <w:tcPr>
            <w:tcW w:w="708" w:type="dxa"/>
            <w:tcBorders>
              <w:top w:val="nil"/>
              <w:left w:val="nil"/>
              <w:bottom w:val="nil"/>
              <w:right w:val="nil"/>
            </w:tcBorders>
            <w:shd w:val="clear" w:color="auto" w:fill="auto"/>
            <w:noWrap/>
            <w:vAlign w:val="center"/>
            <w:hideMark/>
          </w:tcPr>
          <w:p w14:paraId="32C1BC56" w14:textId="689C1B7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4.08</w:t>
            </w:r>
          </w:p>
        </w:tc>
        <w:tc>
          <w:tcPr>
            <w:tcW w:w="851" w:type="dxa"/>
            <w:tcBorders>
              <w:top w:val="nil"/>
              <w:left w:val="nil"/>
              <w:bottom w:val="nil"/>
              <w:right w:val="nil"/>
            </w:tcBorders>
            <w:shd w:val="clear" w:color="auto" w:fill="auto"/>
            <w:noWrap/>
            <w:vAlign w:val="center"/>
            <w:hideMark/>
          </w:tcPr>
          <w:p w14:paraId="4D62FDEB" w14:textId="777BE75B"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28,610</w:t>
            </w:r>
          </w:p>
        </w:tc>
        <w:tc>
          <w:tcPr>
            <w:tcW w:w="992" w:type="dxa"/>
            <w:tcBorders>
              <w:top w:val="nil"/>
              <w:left w:val="nil"/>
              <w:bottom w:val="nil"/>
              <w:right w:val="nil"/>
            </w:tcBorders>
            <w:shd w:val="clear" w:color="auto" w:fill="auto"/>
            <w:noWrap/>
            <w:vAlign w:val="center"/>
            <w:hideMark/>
          </w:tcPr>
          <w:p w14:paraId="69B3EF91" w14:textId="08F2074D"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color w:val="000000"/>
                <w:szCs w:val="14"/>
              </w:rPr>
              <w:t>116,729</w:t>
            </w:r>
          </w:p>
        </w:tc>
        <w:tc>
          <w:tcPr>
            <w:tcW w:w="1134" w:type="dxa"/>
            <w:tcBorders>
              <w:top w:val="nil"/>
              <w:left w:val="nil"/>
              <w:bottom w:val="nil"/>
              <w:right w:val="nil"/>
            </w:tcBorders>
            <w:shd w:val="clear" w:color="auto" w:fill="auto"/>
            <w:noWrap/>
            <w:vAlign w:val="center"/>
            <w:hideMark/>
          </w:tcPr>
          <w:p w14:paraId="36FA8DA7" w14:textId="78F3638B"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113,443</w:t>
            </w:r>
          </w:p>
        </w:tc>
        <w:tc>
          <w:tcPr>
            <w:tcW w:w="992" w:type="dxa"/>
            <w:tcBorders>
              <w:top w:val="nil"/>
              <w:left w:val="nil"/>
              <w:bottom w:val="nil"/>
              <w:right w:val="nil"/>
            </w:tcBorders>
            <w:shd w:val="clear" w:color="auto" w:fill="auto"/>
            <w:noWrap/>
            <w:vAlign w:val="center"/>
            <w:hideMark/>
          </w:tcPr>
          <w:p w14:paraId="451922CC" w14:textId="7E5BD7B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4.0</w:t>
            </w:r>
          </w:p>
        </w:tc>
        <w:tc>
          <w:tcPr>
            <w:tcW w:w="567" w:type="dxa"/>
            <w:tcBorders>
              <w:top w:val="nil"/>
              <w:left w:val="nil"/>
              <w:bottom w:val="nil"/>
              <w:right w:val="nil"/>
            </w:tcBorders>
            <w:shd w:val="clear" w:color="auto" w:fill="auto"/>
            <w:noWrap/>
            <w:vAlign w:val="center"/>
            <w:hideMark/>
          </w:tcPr>
          <w:p w14:paraId="7058D1DC" w14:textId="0BDF7ED2"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0.01</w:t>
            </w:r>
          </w:p>
        </w:tc>
        <w:tc>
          <w:tcPr>
            <w:tcW w:w="709" w:type="dxa"/>
            <w:tcBorders>
              <w:top w:val="nil"/>
              <w:left w:val="nil"/>
              <w:bottom w:val="nil"/>
              <w:right w:val="nil"/>
            </w:tcBorders>
            <w:shd w:val="clear" w:color="auto" w:fill="auto"/>
            <w:noWrap/>
            <w:vAlign w:val="center"/>
            <w:hideMark/>
          </w:tcPr>
          <w:p w14:paraId="1A77D864" w14:textId="5E624F00"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0.83%</w:t>
            </w:r>
          </w:p>
        </w:tc>
        <w:tc>
          <w:tcPr>
            <w:tcW w:w="709" w:type="dxa"/>
            <w:tcBorders>
              <w:top w:val="nil"/>
              <w:left w:val="nil"/>
              <w:bottom w:val="nil"/>
              <w:right w:val="nil"/>
            </w:tcBorders>
            <w:shd w:val="clear" w:color="auto" w:fill="auto"/>
            <w:noWrap/>
            <w:vAlign w:val="center"/>
            <w:hideMark/>
          </w:tcPr>
          <w:p w14:paraId="02B5245C" w14:textId="7B371BB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3.4%</w:t>
            </w:r>
          </w:p>
        </w:tc>
        <w:tc>
          <w:tcPr>
            <w:tcW w:w="992" w:type="dxa"/>
            <w:tcBorders>
              <w:top w:val="nil"/>
              <w:left w:val="nil"/>
              <w:bottom w:val="nil"/>
              <w:right w:val="nil"/>
            </w:tcBorders>
            <w:shd w:val="clear" w:color="auto" w:fill="auto"/>
            <w:noWrap/>
            <w:vAlign w:val="center"/>
            <w:hideMark/>
          </w:tcPr>
          <w:p w14:paraId="7A40A174" w14:textId="33C2A5A5"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123,929</w:t>
            </w:r>
          </w:p>
        </w:tc>
        <w:tc>
          <w:tcPr>
            <w:tcW w:w="851" w:type="dxa"/>
            <w:tcBorders>
              <w:top w:val="nil"/>
              <w:left w:val="nil"/>
              <w:bottom w:val="nil"/>
              <w:right w:val="nil"/>
            </w:tcBorders>
            <w:shd w:val="clear" w:color="auto" w:fill="auto"/>
            <w:noWrap/>
            <w:vAlign w:val="center"/>
            <w:hideMark/>
          </w:tcPr>
          <w:p w14:paraId="1C7EDCA6" w14:textId="7D8CE6BB"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w:t>
            </w:r>
          </w:p>
        </w:tc>
        <w:tc>
          <w:tcPr>
            <w:tcW w:w="1134" w:type="dxa"/>
            <w:tcBorders>
              <w:top w:val="nil"/>
              <w:left w:val="nil"/>
              <w:bottom w:val="nil"/>
              <w:right w:val="nil"/>
            </w:tcBorders>
            <w:shd w:val="clear" w:color="auto" w:fill="auto"/>
            <w:noWrap/>
            <w:vAlign w:val="center"/>
            <w:hideMark/>
          </w:tcPr>
          <w:p w14:paraId="49E3A04D" w14:textId="4320B654"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29,648</w:t>
            </w:r>
          </w:p>
        </w:tc>
        <w:tc>
          <w:tcPr>
            <w:tcW w:w="1007" w:type="dxa"/>
            <w:tcBorders>
              <w:top w:val="nil"/>
              <w:left w:val="nil"/>
              <w:bottom w:val="nil"/>
              <w:right w:val="nil"/>
            </w:tcBorders>
            <w:shd w:val="clear" w:color="auto" w:fill="auto"/>
            <w:noWrap/>
            <w:vAlign w:val="center"/>
            <w:hideMark/>
          </w:tcPr>
          <w:p w14:paraId="3C897534" w14:textId="5CB7C53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4.18</w:t>
            </w:r>
          </w:p>
        </w:tc>
      </w:tr>
      <w:tr w:rsidR="002D01B9" w:rsidRPr="0088109E" w14:paraId="0B9CBB5E" w14:textId="77777777" w:rsidTr="00294D0B">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4CAAF282" w14:textId="2F46E1D0" w:rsidR="002D01B9" w:rsidRPr="0088109E" w:rsidRDefault="002D01B9" w:rsidP="002D01B9">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55263720" w14:textId="5173FF6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w:t>
            </w:r>
          </w:p>
        </w:tc>
        <w:tc>
          <w:tcPr>
            <w:tcW w:w="851" w:type="dxa"/>
            <w:tcBorders>
              <w:top w:val="nil"/>
              <w:left w:val="nil"/>
              <w:bottom w:val="nil"/>
              <w:right w:val="nil"/>
            </w:tcBorders>
            <w:shd w:val="clear" w:color="auto" w:fill="auto"/>
            <w:noWrap/>
            <w:vAlign w:val="center"/>
            <w:hideMark/>
          </w:tcPr>
          <w:p w14:paraId="361D9CF1" w14:textId="28C776A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R63Z</w:t>
            </w:r>
          </w:p>
        </w:tc>
        <w:tc>
          <w:tcPr>
            <w:tcW w:w="2410" w:type="dxa"/>
            <w:tcBorders>
              <w:top w:val="nil"/>
              <w:left w:val="nil"/>
              <w:bottom w:val="nil"/>
              <w:right w:val="nil"/>
            </w:tcBorders>
            <w:shd w:val="clear" w:color="auto" w:fill="auto"/>
            <w:noWrap/>
            <w:vAlign w:val="center"/>
            <w:hideMark/>
          </w:tcPr>
          <w:p w14:paraId="291AACFB" w14:textId="4D9321A6" w:rsidR="002D01B9" w:rsidRPr="0088109E"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Pharmacotherapy for Neoplastic Disorders</w:t>
            </w:r>
          </w:p>
        </w:tc>
        <w:tc>
          <w:tcPr>
            <w:tcW w:w="708" w:type="dxa"/>
            <w:tcBorders>
              <w:top w:val="nil"/>
              <w:left w:val="nil"/>
              <w:bottom w:val="nil"/>
              <w:right w:val="nil"/>
            </w:tcBorders>
            <w:shd w:val="clear" w:color="auto" w:fill="auto"/>
            <w:noWrap/>
            <w:vAlign w:val="center"/>
            <w:hideMark/>
          </w:tcPr>
          <w:p w14:paraId="7F6AF471" w14:textId="3AEE197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0.22</w:t>
            </w:r>
          </w:p>
        </w:tc>
        <w:tc>
          <w:tcPr>
            <w:tcW w:w="851" w:type="dxa"/>
            <w:tcBorders>
              <w:top w:val="nil"/>
              <w:left w:val="nil"/>
              <w:bottom w:val="nil"/>
              <w:right w:val="nil"/>
            </w:tcBorders>
            <w:shd w:val="clear" w:color="auto" w:fill="auto"/>
            <w:noWrap/>
            <w:vAlign w:val="center"/>
            <w:hideMark/>
          </w:tcPr>
          <w:p w14:paraId="45309C65" w14:textId="34E0F76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290,171</w:t>
            </w:r>
          </w:p>
        </w:tc>
        <w:tc>
          <w:tcPr>
            <w:tcW w:w="992" w:type="dxa"/>
            <w:tcBorders>
              <w:top w:val="nil"/>
              <w:left w:val="nil"/>
              <w:bottom w:val="nil"/>
              <w:right w:val="nil"/>
            </w:tcBorders>
            <w:shd w:val="clear" w:color="auto" w:fill="auto"/>
            <w:noWrap/>
            <w:vAlign w:val="center"/>
            <w:hideMark/>
          </w:tcPr>
          <w:p w14:paraId="74ECA694" w14:textId="67FC9F15"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color w:val="000000"/>
                <w:szCs w:val="14"/>
              </w:rPr>
              <w:t>63,838</w:t>
            </w:r>
          </w:p>
        </w:tc>
        <w:tc>
          <w:tcPr>
            <w:tcW w:w="1134" w:type="dxa"/>
            <w:tcBorders>
              <w:top w:val="nil"/>
              <w:left w:val="nil"/>
              <w:bottom w:val="nil"/>
              <w:right w:val="nil"/>
            </w:tcBorders>
            <w:shd w:val="clear" w:color="auto" w:fill="auto"/>
            <w:noWrap/>
            <w:vAlign w:val="center"/>
            <w:hideMark/>
          </w:tcPr>
          <w:p w14:paraId="35BF7E71" w14:textId="1BDCB538"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290,176</w:t>
            </w:r>
          </w:p>
        </w:tc>
        <w:tc>
          <w:tcPr>
            <w:tcW w:w="992" w:type="dxa"/>
            <w:tcBorders>
              <w:top w:val="nil"/>
              <w:left w:val="nil"/>
              <w:bottom w:val="nil"/>
              <w:right w:val="nil"/>
            </w:tcBorders>
            <w:shd w:val="clear" w:color="auto" w:fill="auto"/>
            <w:noWrap/>
            <w:vAlign w:val="center"/>
            <w:hideMark/>
          </w:tcPr>
          <w:p w14:paraId="0E628680" w14:textId="728F0669"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w:t>
            </w:r>
          </w:p>
        </w:tc>
        <w:tc>
          <w:tcPr>
            <w:tcW w:w="567" w:type="dxa"/>
            <w:tcBorders>
              <w:top w:val="nil"/>
              <w:left w:val="nil"/>
              <w:bottom w:val="nil"/>
              <w:right w:val="nil"/>
            </w:tcBorders>
            <w:shd w:val="clear" w:color="auto" w:fill="auto"/>
            <w:noWrap/>
            <w:vAlign w:val="center"/>
            <w:hideMark/>
          </w:tcPr>
          <w:p w14:paraId="74CEA0FB" w14:textId="3CCD22D6"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9" w:type="dxa"/>
            <w:tcBorders>
              <w:top w:val="nil"/>
              <w:left w:val="nil"/>
              <w:bottom w:val="nil"/>
              <w:right w:val="nil"/>
            </w:tcBorders>
            <w:shd w:val="clear" w:color="auto" w:fill="auto"/>
            <w:noWrap/>
            <w:vAlign w:val="center"/>
            <w:hideMark/>
          </w:tcPr>
          <w:p w14:paraId="3602BE23" w14:textId="33662C75"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8.46%</w:t>
            </w:r>
          </w:p>
        </w:tc>
        <w:tc>
          <w:tcPr>
            <w:tcW w:w="709" w:type="dxa"/>
            <w:tcBorders>
              <w:top w:val="nil"/>
              <w:left w:val="nil"/>
              <w:bottom w:val="nil"/>
              <w:right w:val="nil"/>
            </w:tcBorders>
            <w:shd w:val="clear" w:color="auto" w:fill="auto"/>
            <w:noWrap/>
            <w:vAlign w:val="center"/>
            <w:hideMark/>
          </w:tcPr>
          <w:p w14:paraId="22450F6C" w14:textId="11E90FB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1.9%</w:t>
            </w:r>
          </w:p>
        </w:tc>
        <w:tc>
          <w:tcPr>
            <w:tcW w:w="992" w:type="dxa"/>
            <w:tcBorders>
              <w:top w:val="nil"/>
              <w:left w:val="nil"/>
              <w:bottom w:val="nil"/>
              <w:right w:val="nil"/>
            </w:tcBorders>
            <w:shd w:val="clear" w:color="auto" w:fill="auto"/>
            <w:noWrap/>
            <w:vAlign w:val="center"/>
            <w:hideMark/>
          </w:tcPr>
          <w:p w14:paraId="4E6D5962" w14:textId="5CD6B476"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55,054</w:t>
            </w:r>
          </w:p>
        </w:tc>
        <w:tc>
          <w:tcPr>
            <w:tcW w:w="851" w:type="dxa"/>
            <w:tcBorders>
              <w:top w:val="nil"/>
              <w:left w:val="nil"/>
              <w:bottom w:val="nil"/>
              <w:right w:val="nil"/>
            </w:tcBorders>
            <w:shd w:val="clear" w:color="auto" w:fill="auto"/>
            <w:noWrap/>
            <w:vAlign w:val="center"/>
            <w:hideMark/>
          </w:tcPr>
          <w:p w14:paraId="540AD273" w14:textId="316AE77A"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w:t>
            </w:r>
          </w:p>
        </w:tc>
        <w:tc>
          <w:tcPr>
            <w:tcW w:w="1134" w:type="dxa"/>
            <w:tcBorders>
              <w:top w:val="nil"/>
              <w:left w:val="nil"/>
              <w:bottom w:val="nil"/>
              <w:right w:val="nil"/>
            </w:tcBorders>
            <w:shd w:val="clear" w:color="auto" w:fill="auto"/>
            <w:noWrap/>
            <w:vAlign w:val="center"/>
            <w:hideMark/>
          </w:tcPr>
          <w:p w14:paraId="3E387B6A" w14:textId="272DAC7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275,269</w:t>
            </w:r>
          </w:p>
        </w:tc>
        <w:tc>
          <w:tcPr>
            <w:tcW w:w="1007" w:type="dxa"/>
            <w:tcBorders>
              <w:top w:val="nil"/>
              <w:left w:val="nil"/>
              <w:bottom w:val="nil"/>
              <w:right w:val="nil"/>
            </w:tcBorders>
            <w:shd w:val="clear" w:color="auto" w:fill="auto"/>
            <w:noWrap/>
            <w:vAlign w:val="center"/>
            <w:hideMark/>
          </w:tcPr>
          <w:p w14:paraId="17E37218" w14:textId="4EA8CA02"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0.20</w:t>
            </w:r>
          </w:p>
        </w:tc>
      </w:tr>
      <w:tr w:rsidR="002D01B9" w:rsidRPr="0088109E" w14:paraId="09FCF7DA" w14:textId="77777777" w:rsidTr="00294D0B">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16CCC4EA" w14:textId="7972261E" w:rsidR="002D01B9" w:rsidRPr="0088109E" w:rsidRDefault="002D01B9" w:rsidP="002D01B9">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48AB0E96" w14:textId="04F0A4D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w:t>
            </w:r>
          </w:p>
        </w:tc>
        <w:tc>
          <w:tcPr>
            <w:tcW w:w="851" w:type="dxa"/>
            <w:tcBorders>
              <w:top w:val="nil"/>
              <w:left w:val="nil"/>
              <w:bottom w:val="nil"/>
              <w:right w:val="nil"/>
            </w:tcBorders>
            <w:shd w:val="clear" w:color="auto" w:fill="auto"/>
            <w:noWrap/>
            <w:vAlign w:val="center"/>
            <w:hideMark/>
          </w:tcPr>
          <w:p w14:paraId="655B7891" w14:textId="673C08D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I09C</w:t>
            </w:r>
          </w:p>
        </w:tc>
        <w:tc>
          <w:tcPr>
            <w:tcW w:w="2410" w:type="dxa"/>
            <w:tcBorders>
              <w:top w:val="nil"/>
              <w:left w:val="nil"/>
              <w:bottom w:val="nil"/>
              <w:right w:val="nil"/>
            </w:tcBorders>
            <w:shd w:val="clear" w:color="auto" w:fill="auto"/>
            <w:noWrap/>
            <w:vAlign w:val="center"/>
            <w:hideMark/>
          </w:tcPr>
          <w:p w14:paraId="012D37FC" w14:textId="065F4537" w:rsidR="002D01B9" w:rsidRPr="0088109E"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Spinal Fusion, Minor Complexity</w:t>
            </w:r>
          </w:p>
        </w:tc>
        <w:tc>
          <w:tcPr>
            <w:tcW w:w="708" w:type="dxa"/>
            <w:tcBorders>
              <w:top w:val="nil"/>
              <w:left w:val="nil"/>
              <w:bottom w:val="nil"/>
              <w:right w:val="nil"/>
            </w:tcBorders>
            <w:shd w:val="clear" w:color="auto" w:fill="auto"/>
            <w:noWrap/>
            <w:vAlign w:val="center"/>
            <w:hideMark/>
          </w:tcPr>
          <w:p w14:paraId="3EC961D7" w14:textId="5EEAB7ED"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6.24</w:t>
            </w:r>
          </w:p>
        </w:tc>
        <w:tc>
          <w:tcPr>
            <w:tcW w:w="851" w:type="dxa"/>
            <w:tcBorders>
              <w:top w:val="nil"/>
              <w:left w:val="nil"/>
              <w:bottom w:val="nil"/>
              <w:right w:val="nil"/>
            </w:tcBorders>
            <w:shd w:val="clear" w:color="auto" w:fill="auto"/>
            <w:noWrap/>
            <w:vAlign w:val="center"/>
            <w:hideMark/>
          </w:tcPr>
          <w:p w14:paraId="4EBB3DC9" w14:textId="028D9A02"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9,966</w:t>
            </w:r>
          </w:p>
        </w:tc>
        <w:tc>
          <w:tcPr>
            <w:tcW w:w="992" w:type="dxa"/>
            <w:tcBorders>
              <w:top w:val="nil"/>
              <w:left w:val="nil"/>
              <w:bottom w:val="nil"/>
              <w:right w:val="nil"/>
            </w:tcBorders>
            <w:shd w:val="clear" w:color="auto" w:fill="auto"/>
            <w:noWrap/>
            <w:vAlign w:val="center"/>
            <w:hideMark/>
          </w:tcPr>
          <w:p w14:paraId="003E34AB" w14:textId="506272E8"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color w:val="000000"/>
                <w:szCs w:val="14"/>
              </w:rPr>
              <w:t>62,188</w:t>
            </w:r>
          </w:p>
        </w:tc>
        <w:tc>
          <w:tcPr>
            <w:tcW w:w="1134" w:type="dxa"/>
            <w:tcBorders>
              <w:top w:val="nil"/>
              <w:left w:val="nil"/>
              <w:bottom w:val="nil"/>
              <w:right w:val="nil"/>
            </w:tcBorders>
            <w:shd w:val="clear" w:color="auto" w:fill="auto"/>
            <w:noWrap/>
            <w:vAlign w:val="center"/>
            <w:hideMark/>
          </w:tcPr>
          <w:p w14:paraId="6D774621" w14:textId="67C5ADBB"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46,893</w:t>
            </w:r>
          </w:p>
        </w:tc>
        <w:tc>
          <w:tcPr>
            <w:tcW w:w="992" w:type="dxa"/>
            <w:tcBorders>
              <w:top w:val="nil"/>
              <w:left w:val="nil"/>
              <w:bottom w:val="nil"/>
              <w:right w:val="nil"/>
            </w:tcBorders>
            <w:shd w:val="clear" w:color="auto" w:fill="auto"/>
            <w:noWrap/>
            <w:vAlign w:val="center"/>
            <w:hideMark/>
          </w:tcPr>
          <w:p w14:paraId="13CA612B" w14:textId="0C16270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4.7</w:t>
            </w:r>
          </w:p>
        </w:tc>
        <w:tc>
          <w:tcPr>
            <w:tcW w:w="567" w:type="dxa"/>
            <w:tcBorders>
              <w:top w:val="nil"/>
              <w:left w:val="nil"/>
              <w:bottom w:val="nil"/>
              <w:right w:val="nil"/>
            </w:tcBorders>
            <w:shd w:val="clear" w:color="auto" w:fill="auto"/>
            <w:noWrap/>
            <w:vAlign w:val="center"/>
            <w:hideMark/>
          </w:tcPr>
          <w:p w14:paraId="55FE762D" w14:textId="094C5078"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0.04</w:t>
            </w:r>
          </w:p>
        </w:tc>
        <w:tc>
          <w:tcPr>
            <w:tcW w:w="709" w:type="dxa"/>
            <w:tcBorders>
              <w:top w:val="nil"/>
              <w:left w:val="nil"/>
              <w:bottom w:val="nil"/>
              <w:right w:val="nil"/>
            </w:tcBorders>
            <w:shd w:val="clear" w:color="auto" w:fill="auto"/>
            <w:noWrap/>
            <w:vAlign w:val="center"/>
            <w:hideMark/>
          </w:tcPr>
          <w:p w14:paraId="1E088819" w14:textId="54C882A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0.29%</w:t>
            </w:r>
          </w:p>
        </w:tc>
        <w:tc>
          <w:tcPr>
            <w:tcW w:w="709" w:type="dxa"/>
            <w:tcBorders>
              <w:top w:val="nil"/>
              <w:left w:val="nil"/>
              <w:bottom w:val="nil"/>
              <w:right w:val="nil"/>
            </w:tcBorders>
            <w:shd w:val="clear" w:color="auto" w:fill="auto"/>
            <w:noWrap/>
            <w:vAlign w:val="center"/>
            <w:hideMark/>
          </w:tcPr>
          <w:p w14:paraId="4859E233" w14:textId="0AAD9BF8"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1.8%</w:t>
            </w:r>
          </w:p>
        </w:tc>
        <w:tc>
          <w:tcPr>
            <w:tcW w:w="992" w:type="dxa"/>
            <w:tcBorders>
              <w:top w:val="nil"/>
              <w:left w:val="nil"/>
              <w:bottom w:val="nil"/>
              <w:right w:val="nil"/>
            </w:tcBorders>
            <w:shd w:val="clear" w:color="auto" w:fill="auto"/>
            <w:noWrap/>
            <w:vAlign w:val="center"/>
            <w:hideMark/>
          </w:tcPr>
          <w:p w14:paraId="3B47A46E" w14:textId="1655A882"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68,552</w:t>
            </w:r>
          </w:p>
        </w:tc>
        <w:tc>
          <w:tcPr>
            <w:tcW w:w="851" w:type="dxa"/>
            <w:tcBorders>
              <w:top w:val="nil"/>
              <w:left w:val="nil"/>
              <w:bottom w:val="nil"/>
              <w:right w:val="nil"/>
            </w:tcBorders>
            <w:shd w:val="clear" w:color="auto" w:fill="auto"/>
            <w:noWrap/>
            <w:vAlign w:val="center"/>
            <w:hideMark/>
          </w:tcPr>
          <w:p w14:paraId="467BEB00" w14:textId="59FE342F"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w:t>
            </w:r>
          </w:p>
        </w:tc>
        <w:tc>
          <w:tcPr>
            <w:tcW w:w="1134" w:type="dxa"/>
            <w:tcBorders>
              <w:top w:val="nil"/>
              <w:left w:val="nil"/>
              <w:bottom w:val="nil"/>
              <w:right w:val="nil"/>
            </w:tcBorders>
            <w:shd w:val="clear" w:color="auto" w:fill="auto"/>
            <w:noWrap/>
            <w:vAlign w:val="center"/>
            <w:hideMark/>
          </w:tcPr>
          <w:p w14:paraId="1AF32D14" w14:textId="0789FBA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10,728</w:t>
            </w:r>
          </w:p>
        </w:tc>
        <w:tc>
          <w:tcPr>
            <w:tcW w:w="1007" w:type="dxa"/>
            <w:tcBorders>
              <w:top w:val="nil"/>
              <w:left w:val="nil"/>
              <w:bottom w:val="nil"/>
              <w:right w:val="nil"/>
            </w:tcBorders>
            <w:shd w:val="clear" w:color="auto" w:fill="auto"/>
            <w:noWrap/>
            <w:vAlign w:val="center"/>
            <w:hideMark/>
          </w:tcPr>
          <w:p w14:paraId="7E151614" w14:textId="4B4E4FB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6.39</w:t>
            </w:r>
          </w:p>
        </w:tc>
      </w:tr>
      <w:tr w:rsidR="002D01B9" w:rsidRPr="0088109E" w14:paraId="429DBC6D" w14:textId="77777777" w:rsidTr="00294D0B">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48BD1FF7" w14:textId="32581EC9" w:rsidR="002D01B9" w:rsidRPr="0088109E" w:rsidRDefault="002D01B9" w:rsidP="002D01B9">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1A80224C" w14:textId="510F39A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w:t>
            </w:r>
          </w:p>
        </w:tc>
        <w:tc>
          <w:tcPr>
            <w:tcW w:w="851" w:type="dxa"/>
            <w:tcBorders>
              <w:top w:val="nil"/>
              <w:left w:val="nil"/>
              <w:bottom w:val="nil"/>
              <w:right w:val="nil"/>
            </w:tcBorders>
            <w:shd w:val="clear" w:color="auto" w:fill="auto"/>
            <w:noWrap/>
            <w:vAlign w:val="center"/>
            <w:hideMark/>
          </w:tcPr>
          <w:p w14:paraId="40B06FBD" w14:textId="2A860615"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O01C</w:t>
            </w:r>
          </w:p>
        </w:tc>
        <w:tc>
          <w:tcPr>
            <w:tcW w:w="2410" w:type="dxa"/>
            <w:tcBorders>
              <w:top w:val="nil"/>
              <w:left w:val="nil"/>
              <w:bottom w:val="nil"/>
              <w:right w:val="nil"/>
            </w:tcBorders>
            <w:shd w:val="clear" w:color="auto" w:fill="auto"/>
            <w:noWrap/>
            <w:vAlign w:val="center"/>
            <w:hideMark/>
          </w:tcPr>
          <w:p w14:paraId="4BBB6CFE" w14:textId="1E4073FA" w:rsidR="002D01B9" w:rsidRPr="0088109E"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Caesarean Delivery, Minor Complexity</w:t>
            </w:r>
          </w:p>
        </w:tc>
        <w:tc>
          <w:tcPr>
            <w:tcW w:w="708" w:type="dxa"/>
            <w:tcBorders>
              <w:top w:val="nil"/>
              <w:left w:val="nil"/>
              <w:bottom w:val="nil"/>
              <w:right w:val="nil"/>
            </w:tcBorders>
            <w:shd w:val="clear" w:color="auto" w:fill="auto"/>
            <w:noWrap/>
            <w:vAlign w:val="center"/>
            <w:hideMark/>
          </w:tcPr>
          <w:p w14:paraId="7051231D" w14:textId="1336A974"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2.00</w:t>
            </w:r>
          </w:p>
        </w:tc>
        <w:tc>
          <w:tcPr>
            <w:tcW w:w="851" w:type="dxa"/>
            <w:tcBorders>
              <w:top w:val="nil"/>
              <w:left w:val="nil"/>
              <w:bottom w:val="nil"/>
              <w:right w:val="nil"/>
            </w:tcBorders>
            <w:shd w:val="clear" w:color="auto" w:fill="auto"/>
            <w:noWrap/>
            <w:vAlign w:val="center"/>
            <w:hideMark/>
          </w:tcPr>
          <w:p w14:paraId="73BCFD61" w14:textId="75F6790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30,489</w:t>
            </w:r>
          </w:p>
        </w:tc>
        <w:tc>
          <w:tcPr>
            <w:tcW w:w="992" w:type="dxa"/>
            <w:tcBorders>
              <w:top w:val="nil"/>
              <w:left w:val="nil"/>
              <w:bottom w:val="nil"/>
              <w:right w:val="nil"/>
            </w:tcBorders>
            <w:shd w:val="clear" w:color="auto" w:fill="auto"/>
            <w:noWrap/>
            <w:vAlign w:val="center"/>
            <w:hideMark/>
          </w:tcPr>
          <w:p w14:paraId="3451572B" w14:textId="4AF2567A"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color w:val="000000"/>
                <w:szCs w:val="14"/>
              </w:rPr>
              <w:t>60,978</w:t>
            </w:r>
          </w:p>
        </w:tc>
        <w:tc>
          <w:tcPr>
            <w:tcW w:w="1134" w:type="dxa"/>
            <w:tcBorders>
              <w:top w:val="nil"/>
              <w:left w:val="nil"/>
              <w:bottom w:val="nil"/>
              <w:right w:val="nil"/>
            </w:tcBorders>
            <w:shd w:val="clear" w:color="auto" w:fill="auto"/>
            <w:noWrap/>
            <w:vAlign w:val="center"/>
            <w:hideMark/>
          </w:tcPr>
          <w:p w14:paraId="2F89D9E0" w14:textId="7EB387C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131,175</w:t>
            </w:r>
          </w:p>
        </w:tc>
        <w:tc>
          <w:tcPr>
            <w:tcW w:w="992" w:type="dxa"/>
            <w:tcBorders>
              <w:top w:val="nil"/>
              <w:left w:val="nil"/>
              <w:bottom w:val="nil"/>
              <w:right w:val="nil"/>
            </w:tcBorders>
            <w:shd w:val="clear" w:color="auto" w:fill="auto"/>
            <w:noWrap/>
            <w:vAlign w:val="center"/>
            <w:hideMark/>
          </w:tcPr>
          <w:p w14:paraId="56782444" w14:textId="7E10796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4.3</w:t>
            </w:r>
          </w:p>
        </w:tc>
        <w:tc>
          <w:tcPr>
            <w:tcW w:w="567" w:type="dxa"/>
            <w:tcBorders>
              <w:top w:val="nil"/>
              <w:left w:val="nil"/>
              <w:bottom w:val="nil"/>
              <w:right w:val="nil"/>
            </w:tcBorders>
            <w:shd w:val="clear" w:color="auto" w:fill="auto"/>
            <w:noWrap/>
            <w:vAlign w:val="center"/>
            <w:hideMark/>
          </w:tcPr>
          <w:p w14:paraId="5A141FE4" w14:textId="3F8C548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9" w:type="dxa"/>
            <w:tcBorders>
              <w:top w:val="nil"/>
              <w:left w:val="nil"/>
              <w:bottom w:val="nil"/>
              <w:right w:val="nil"/>
            </w:tcBorders>
            <w:shd w:val="clear" w:color="auto" w:fill="auto"/>
            <w:noWrap/>
            <w:vAlign w:val="center"/>
            <w:hideMark/>
          </w:tcPr>
          <w:p w14:paraId="511849D7" w14:textId="32E8B4C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0.89%</w:t>
            </w:r>
          </w:p>
        </w:tc>
        <w:tc>
          <w:tcPr>
            <w:tcW w:w="709" w:type="dxa"/>
            <w:tcBorders>
              <w:top w:val="nil"/>
              <w:left w:val="nil"/>
              <w:bottom w:val="nil"/>
              <w:right w:val="nil"/>
            </w:tcBorders>
            <w:shd w:val="clear" w:color="auto" w:fill="auto"/>
            <w:noWrap/>
            <w:vAlign w:val="center"/>
            <w:hideMark/>
          </w:tcPr>
          <w:p w14:paraId="2BD5990B" w14:textId="61351434"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1.8%</w:t>
            </w:r>
          </w:p>
        </w:tc>
        <w:tc>
          <w:tcPr>
            <w:tcW w:w="992" w:type="dxa"/>
            <w:tcBorders>
              <w:top w:val="nil"/>
              <w:left w:val="nil"/>
              <w:bottom w:val="nil"/>
              <w:right w:val="nil"/>
            </w:tcBorders>
            <w:shd w:val="clear" w:color="auto" w:fill="auto"/>
            <w:noWrap/>
            <w:vAlign w:val="center"/>
            <w:hideMark/>
          </w:tcPr>
          <w:p w14:paraId="3C5D0FF7" w14:textId="7154356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54,050</w:t>
            </w:r>
          </w:p>
        </w:tc>
        <w:tc>
          <w:tcPr>
            <w:tcW w:w="851" w:type="dxa"/>
            <w:tcBorders>
              <w:top w:val="nil"/>
              <w:left w:val="nil"/>
              <w:bottom w:val="nil"/>
              <w:right w:val="nil"/>
            </w:tcBorders>
            <w:shd w:val="clear" w:color="auto" w:fill="auto"/>
            <w:noWrap/>
            <w:vAlign w:val="center"/>
            <w:hideMark/>
          </w:tcPr>
          <w:p w14:paraId="593A4FD2" w14:textId="44559F45"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7</w:t>
            </w:r>
          </w:p>
        </w:tc>
        <w:tc>
          <w:tcPr>
            <w:tcW w:w="1134" w:type="dxa"/>
            <w:tcBorders>
              <w:top w:val="nil"/>
              <w:left w:val="nil"/>
              <w:bottom w:val="nil"/>
              <w:right w:val="nil"/>
            </w:tcBorders>
            <w:shd w:val="clear" w:color="auto" w:fill="auto"/>
            <w:noWrap/>
            <w:vAlign w:val="center"/>
            <w:hideMark/>
          </w:tcPr>
          <w:p w14:paraId="2D150401" w14:textId="648963B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27,718</w:t>
            </w:r>
          </w:p>
        </w:tc>
        <w:tc>
          <w:tcPr>
            <w:tcW w:w="1007" w:type="dxa"/>
            <w:tcBorders>
              <w:top w:val="nil"/>
              <w:left w:val="nil"/>
              <w:bottom w:val="nil"/>
              <w:right w:val="nil"/>
            </w:tcBorders>
            <w:shd w:val="clear" w:color="auto" w:fill="auto"/>
            <w:noWrap/>
            <w:vAlign w:val="center"/>
            <w:hideMark/>
          </w:tcPr>
          <w:p w14:paraId="1A47769A" w14:textId="4B0F56A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1.95</w:t>
            </w:r>
          </w:p>
        </w:tc>
      </w:tr>
      <w:tr w:rsidR="002D01B9" w:rsidRPr="0088109E" w14:paraId="73CE9145" w14:textId="77777777" w:rsidTr="00294D0B">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38526A34" w14:textId="1DE0198B" w:rsidR="002D01B9" w:rsidRPr="0088109E" w:rsidRDefault="002D01B9" w:rsidP="002D01B9">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4CC1271B" w14:textId="02E07F72"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w:t>
            </w:r>
          </w:p>
        </w:tc>
        <w:tc>
          <w:tcPr>
            <w:tcW w:w="851" w:type="dxa"/>
            <w:tcBorders>
              <w:top w:val="nil"/>
              <w:left w:val="nil"/>
              <w:bottom w:val="nil"/>
              <w:right w:val="nil"/>
            </w:tcBorders>
            <w:shd w:val="clear" w:color="auto" w:fill="auto"/>
            <w:noWrap/>
            <w:vAlign w:val="center"/>
            <w:hideMark/>
          </w:tcPr>
          <w:p w14:paraId="290604F6" w14:textId="22EAEDAB"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F24B</w:t>
            </w:r>
          </w:p>
        </w:tc>
        <w:tc>
          <w:tcPr>
            <w:tcW w:w="2410" w:type="dxa"/>
            <w:tcBorders>
              <w:top w:val="nil"/>
              <w:left w:val="nil"/>
              <w:bottom w:val="nil"/>
              <w:right w:val="nil"/>
            </w:tcBorders>
            <w:shd w:val="clear" w:color="auto" w:fill="auto"/>
            <w:noWrap/>
            <w:vAlign w:val="center"/>
            <w:hideMark/>
          </w:tcPr>
          <w:p w14:paraId="66F91626" w14:textId="5758F50C" w:rsidR="002D01B9" w:rsidRPr="0088109E"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Interventional Coronary Procedures, Not Admitted for AMI, Minor Complexity</w:t>
            </w:r>
          </w:p>
        </w:tc>
        <w:tc>
          <w:tcPr>
            <w:tcW w:w="708" w:type="dxa"/>
            <w:tcBorders>
              <w:top w:val="nil"/>
              <w:left w:val="nil"/>
              <w:bottom w:val="nil"/>
              <w:right w:val="nil"/>
            </w:tcBorders>
            <w:shd w:val="clear" w:color="auto" w:fill="auto"/>
            <w:noWrap/>
            <w:vAlign w:val="center"/>
            <w:hideMark/>
          </w:tcPr>
          <w:p w14:paraId="7CD3A643" w14:textId="27CCEC5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2.48</w:t>
            </w:r>
          </w:p>
        </w:tc>
        <w:tc>
          <w:tcPr>
            <w:tcW w:w="851" w:type="dxa"/>
            <w:tcBorders>
              <w:top w:val="nil"/>
              <w:left w:val="nil"/>
              <w:bottom w:val="nil"/>
              <w:right w:val="nil"/>
            </w:tcBorders>
            <w:shd w:val="clear" w:color="auto" w:fill="auto"/>
            <w:noWrap/>
            <w:vAlign w:val="center"/>
            <w:hideMark/>
          </w:tcPr>
          <w:p w14:paraId="5E9E5F36" w14:textId="4DE76628"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24,052</w:t>
            </w:r>
          </w:p>
        </w:tc>
        <w:tc>
          <w:tcPr>
            <w:tcW w:w="992" w:type="dxa"/>
            <w:tcBorders>
              <w:top w:val="nil"/>
              <w:left w:val="nil"/>
              <w:bottom w:val="nil"/>
              <w:right w:val="nil"/>
            </w:tcBorders>
            <w:shd w:val="clear" w:color="auto" w:fill="auto"/>
            <w:noWrap/>
            <w:vAlign w:val="center"/>
            <w:hideMark/>
          </w:tcPr>
          <w:p w14:paraId="7CB772A8" w14:textId="5B0E790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color w:val="000000"/>
                <w:szCs w:val="14"/>
              </w:rPr>
              <w:t>59,649</w:t>
            </w:r>
          </w:p>
        </w:tc>
        <w:tc>
          <w:tcPr>
            <w:tcW w:w="1134" w:type="dxa"/>
            <w:tcBorders>
              <w:top w:val="nil"/>
              <w:left w:val="nil"/>
              <w:bottom w:val="nil"/>
              <w:right w:val="nil"/>
            </w:tcBorders>
            <w:shd w:val="clear" w:color="auto" w:fill="auto"/>
            <w:noWrap/>
            <w:vAlign w:val="center"/>
            <w:hideMark/>
          </w:tcPr>
          <w:p w14:paraId="24B68148" w14:textId="55EC2A9B"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34,637</w:t>
            </w:r>
          </w:p>
        </w:tc>
        <w:tc>
          <w:tcPr>
            <w:tcW w:w="992" w:type="dxa"/>
            <w:tcBorders>
              <w:top w:val="nil"/>
              <w:left w:val="nil"/>
              <w:bottom w:val="nil"/>
              <w:right w:val="nil"/>
            </w:tcBorders>
            <w:shd w:val="clear" w:color="auto" w:fill="auto"/>
            <w:noWrap/>
            <w:vAlign w:val="center"/>
            <w:hideMark/>
          </w:tcPr>
          <w:p w14:paraId="088A7084" w14:textId="7D66158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1.4</w:t>
            </w:r>
          </w:p>
        </w:tc>
        <w:tc>
          <w:tcPr>
            <w:tcW w:w="567" w:type="dxa"/>
            <w:tcBorders>
              <w:top w:val="nil"/>
              <w:left w:val="nil"/>
              <w:bottom w:val="nil"/>
              <w:right w:val="nil"/>
            </w:tcBorders>
            <w:shd w:val="clear" w:color="auto" w:fill="auto"/>
            <w:noWrap/>
            <w:vAlign w:val="center"/>
            <w:hideMark/>
          </w:tcPr>
          <w:p w14:paraId="420B24C3" w14:textId="3D001F5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0.01</w:t>
            </w:r>
          </w:p>
        </w:tc>
        <w:tc>
          <w:tcPr>
            <w:tcW w:w="709" w:type="dxa"/>
            <w:tcBorders>
              <w:top w:val="nil"/>
              <w:left w:val="nil"/>
              <w:bottom w:val="nil"/>
              <w:right w:val="nil"/>
            </w:tcBorders>
            <w:shd w:val="clear" w:color="auto" w:fill="auto"/>
            <w:noWrap/>
            <w:vAlign w:val="center"/>
            <w:hideMark/>
          </w:tcPr>
          <w:p w14:paraId="408E1825" w14:textId="02A9E445"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0.70%</w:t>
            </w:r>
          </w:p>
        </w:tc>
        <w:tc>
          <w:tcPr>
            <w:tcW w:w="709" w:type="dxa"/>
            <w:tcBorders>
              <w:top w:val="nil"/>
              <w:left w:val="nil"/>
              <w:bottom w:val="nil"/>
              <w:right w:val="nil"/>
            </w:tcBorders>
            <w:shd w:val="clear" w:color="auto" w:fill="auto"/>
            <w:noWrap/>
            <w:vAlign w:val="center"/>
            <w:hideMark/>
          </w:tcPr>
          <w:p w14:paraId="26410BF9" w14:textId="7D8679BF"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1.7%</w:t>
            </w:r>
          </w:p>
        </w:tc>
        <w:tc>
          <w:tcPr>
            <w:tcW w:w="992" w:type="dxa"/>
            <w:tcBorders>
              <w:top w:val="nil"/>
              <w:left w:val="nil"/>
              <w:bottom w:val="nil"/>
              <w:right w:val="nil"/>
            </w:tcBorders>
            <w:shd w:val="clear" w:color="auto" w:fill="auto"/>
            <w:noWrap/>
            <w:vAlign w:val="center"/>
            <w:hideMark/>
          </w:tcPr>
          <w:p w14:paraId="287522B4" w14:textId="4302BF66"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64,474</w:t>
            </w:r>
          </w:p>
        </w:tc>
        <w:tc>
          <w:tcPr>
            <w:tcW w:w="851" w:type="dxa"/>
            <w:tcBorders>
              <w:top w:val="nil"/>
              <w:left w:val="nil"/>
              <w:bottom w:val="nil"/>
              <w:right w:val="nil"/>
            </w:tcBorders>
            <w:shd w:val="clear" w:color="auto" w:fill="auto"/>
            <w:noWrap/>
            <w:vAlign w:val="center"/>
            <w:hideMark/>
          </w:tcPr>
          <w:p w14:paraId="30C125AA" w14:textId="439936A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w:t>
            </w:r>
          </w:p>
        </w:tc>
        <w:tc>
          <w:tcPr>
            <w:tcW w:w="1134" w:type="dxa"/>
            <w:tcBorders>
              <w:top w:val="nil"/>
              <w:left w:val="nil"/>
              <w:bottom w:val="nil"/>
              <w:right w:val="nil"/>
            </w:tcBorders>
            <w:shd w:val="clear" w:color="auto" w:fill="auto"/>
            <w:noWrap/>
            <w:vAlign w:val="center"/>
            <w:hideMark/>
          </w:tcPr>
          <w:p w14:paraId="7CCEAF2A" w14:textId="10A27A88"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26,209</w:t>
            </w:r>
          </w:p>
        </w:tc>
        <w:tc>
          <w:tcPr>
            <w:tcW w:w="1007" w:type="dxa"/>
            <w:tcBorders>
              <w:top w:val="nil"/>
              <w:left w:val="nil"/>
              <w:bottom w:val="nil"/>
              <w:right w:val="nil"/>
            </w:tcBorders>
            <w:shd w:val="clear" w:color="auto" w:fill="auto"/>
            <w:noWrap/>
            <w:vAlign w:val="center"/>
            <w:hideMark/>
          </w:tcPr>
          <w:p w14:paraId="2022D83E" w14:textId="6AAEC82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2.46</w:t>
            </w:r>
          </w:p>
        </w:tc>
      </w:tr>
      <w:tr w:rsidR="002D01B9" w:rsidRPr="0088109E" w14:paraId="5FE8EF25" w14:textId="77777777" w:rsidTr="00294D0B">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56A80099" w14:textId="5EED1FE0" w:rsidR="002D01B9" w:rsidRPr="0088109E" w:rsidRDefault="002D01B9" w:rsidP="002D01B9">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062BC33B" w14:textId="19A1D19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7</w:t>
            </w:r>
          </w:p>
        </w:tc>
        <w:tc>
          <w:tcPr>
            <w:tcW w:w="851" w:type="dxa"/>
            <w:tcBorders>
              <w:top w:val="nil"/>
              <w:left w:val="nil"/>
              <w:bottom w:val="nil"/>
              <w:right w:val="nil"/>
            </w:tcBorders>
            <w:shd w:val="clear" w:color="auto" w:fill="auto"/>
            <w:noWrap/>
            <w:vAlign w:val="center"/>
            <w:hideMark/>
          </w:tcPr>
          <w:p w14:paraId="57ED5326" w14:textId="5A712A1A"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G48B</w:t>
            </w:r>
          </w:p>
        </w:tc>
        <w:tc>
          <w:tcPr>
            <w:tcW w:w="2410" w:type="dxa"/>
            <w:tcBorders>
              <w:top w:val="nil"/>
              <w:left w:val="nil"/>
              <w:bottom w:val="nil"/>
              <w:right w:val="nil"/>
            </w:tcBorders>
            <w:shd w:val="clear" w:color="auto" w:fill="auto"/>
            <w:noWrap/>
            <w:vAlign w:val="center"/>
            <w:hideMark/>
          </w:tcPr>
          <w:p w14:paraId="469BB2CB" w14:textId="53B9044A" w:rsidR="002D01B9" w:rsidRPr="0088109E"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Colonoscopy, Minor Complexity</w:t>
            </w:r>
          </w:p>
        </w:tc>
        <w:tc>
          <w:tcPr>
            <w:tcW w:w="708" w:type="dxa"/>
            <w:tcBorders>
              <w:top w:val="nil"/>
              <w:left w:val="nil"/>
              <w:bottom w:val="nil"/>
              <w:right w:val="nil"/>
            </w:tcBorders>
            <w:shd w:val="clear" w:color="auto" w:fill="auto"/>
            <w:noWrap/>
            <w:vAlign w:val="center"/>
            <w:hideMark/>
          </w:tcPr>
          <w:p w14:paraId="5E26F55A" w14:textId="5467743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0.32</w:t>
            </w:r>
          </w:p>
        </w:tc>
        <w:tc>
          <w:tcPr>
            <w:tcW w:w="851" w:type="dxa"/>
            <w:tcBorders>
              <w:top w:val="nil"/>
              <w:left w:val="nil"/>
              <w:bottom w:val="nil"/>
              <w:right w:val="nil"/>
            </w:tcBorders>
            <w:shd w:val="clear" w:color="auto" w:fill="auto"/>
            <w:noWrap/>
            <w:vAlign w:val="center"/>
            <w:hideMark/>
          </w:tcPr>
          <w:p w14:paraId="179F7535" w14:textId="31381E2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162,242</w:t>
            </w:r>
          </w:p>
        </w:tc>
        <w:tc>
          <w:tcPr>
            <w:tcW w:w="992" w:type="dxa"/>
            <w:tcBorders>
              <w:top w:val="nil"/>
              <w:left w:val="nil"/>
              <w:bottom w:val="nil"/>
              <w:right w:val="nil"/>
            </w:tcBorders>
            <w:shd w:val="clear" w:color="auto" w:fill="auto"/>
            <w:noWrap/>
            <w:vAlign w:val="center"/>
            <w:hideMark/>
          </w:tcPr>
          <w:p w14:paraId="5B60413A" w14:textId="062F4F6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color w:val="000000"/>
                <w:szCs w:val="14"/>
              </w:rPr>
              <w:t>51,917</w:t>
            </w:r>
          </w:p>
        </w:tc>
        <w:tc>
          <w:tcPr>
            <w:tcW w:w="1134" w:type="dxa"/>
            <w:tcBorders>
              <w:top w:val="nil"/>
              <w:left w:val="nil"/>
              <w:bottom w:val="nil"/>
              <w:right w:val="nil"/>
            </w:tcBorders>
            <w:shd w:val="clear" w:color="auto" w:fill="auto"/>
            <w:noWrap/>
            <w:vAlign w:val="center"/>
            <w:hideMark/>
          </w:tcPr>
          <w:p w14:paraId="16B33925" w14:textId="5CA07034"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167,051</w:t>
            </w:r>
          </w:p>
        </w:tc>
        <w:tc>
          <w:tcPr>
            <w:tcW w:w="992" w:type="dxa"/>
            <w:tcBorders>
              <w:top w:val="nil"/>
              <w:left w:val="nil"/>
              <w:bottom w:val="nil"/>
              <w:right w:val="nil"/>
            </w:tcBorders>
            <w:shd w:val="clear" w:color="auto" w:fill="auto"/>
            <w:noWrap/>
            <w:vAlign w:val="center"/>
            <w:hideMark/>
          </w:tcPr>
          <w:p w14:paraId="74A40992" w14:textId="4273EFE5"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w:t>
            </w:r>
          </w:p>
        </w:tc>
        <w:tc>
          <w:tcPr>
            <w:tcW w:w="567" w:type="dxa"/>
            <w:tcBorders>
              <w:top w:val="nil"/>
              <w:left w:val="nil"/>
              <w:bottom w:val="nil"/>
              <w:right w:val="nil"/>
            </w:tcBorders>
            <w:shd w:val="clear" w:color="auto" w:fill="auto"/>
            <w:noWrap/>
            <w:vAlign w:val="center"/>
            <w:hideMark/>
          </w:tcPr>
          <w:p w14:paraId="54100AAB" w14:textId="0F34DFCA"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9" w:type="dxa"/>
            <w:tcBorders>
              <w:top w:val="nil"/>
              <w:left w:val="nil"/>
              <w:bottom w:val="nil"/>
              <w:right w:val="nil"/>
            </w:tcBorders>
            <w:shd w:val="clear" w:color="auto" w:fill="auto"/>
            <w:noWrap/>
            <w:vAlign w:val="center"/>
            <w:hideMark/>
          </w:tcPr>
          <w:p w14:paraId="067619DE" w14:textId="3840D03F"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4.73%</w:t>
            </w:r>
          </w:p>
        </w:tc>
        <w:tc>
          <w:tcPr>
            <w:tcW w:w="709" w:type="dxa"/>
            <w:tcBorders>
              <w:top w:val="nil"/>
              <w:left w:val="nil"/>
              <w:bottom w:val="nil"/>
              <w:right w:val="nil"/>
            </w:tcBorders>
            <w:shd w:val="clear" w:color="auto" w:fill="auto"/>
            <w:noWrap/>
            <w:vAlign w:val="center"/>
            <w:hideMark/>
          </w:tcPr>
          <w:p w14:paraId="7BCB01A8" w14:textId="72AE85E6"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1.5%</w:t>
            </w:r>
          </w:p>
        </w:tc>
        <w:tc>
          <w:tcPr>
            <w:tcW w:w="992" w:type="dxa"/>
            <w:tcBorders>
              <w:top w:val="nil"/>
              <w:left w:val="nil"/>
              <w:bottom w:val="nil"/>
              <w:right w:val="nil"/>
            </w:tcBorders>
            <w:shd w:val="clear" w:color="auto" w:fill="auto"/>
            <w:noWrap/>
            <w:vAlign w:val="center"/>
            <w:hideMark/>
          </w:tcPr>
          <w:p w14:paraId="360B8A16" w14:textId="2401DAF8"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51,522</w:t>
            </w:r>
          </w:p>
        </w:tc>
        <w:tc>
          <w:tcPr>
            <w:tcW w:w="851" w:type="dxa"/>
            <w:tcBorders>
              <w:top w:val="nil"/>
              <w:left w:val="nil"/>
              <w:bottom w:val="nil"/>
              <w:right w:val="nil"/>
            </w:tcBorders>
            <w:shd w:val="clear" w:color="auto" w:fill="auto"/>
            <w:noWrap/>
            <w:vAlign w:val="center"/>
            <w:hideMark/>
          </w:tcPr>
          <w:p w14:paraId="73BD31CD" w14:textId="2ED86A2A"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8</w:t>
            </w:r>
          </w:p>
        </w:tc>
        <w:tc>
          <w:tcPr>
            <w:tcW w:w="1134" w:type="dxa"/>
            <w:tcBorders>
              <w:top w:val="nil"/>
              <w:left w:val="nil"/>
              <w:bottom w:val="nil"/>
              <w:right w:val="nil"/>
            </w:tcBorders>
            <w:shd w:val="clear" w:color="auto" w:fill="auto"/>
            <w:noWrap/>
            <w:vAlign w:val="center"/>
            <w:hideMark/>
          </w:tcPr>
          <w:p w14:paraId="3C2C6E13" w14:textId="6D513482"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171,739</w:t>
            </w:r>
          </w:p>
        </w:tc>
        <w:tc>
          <w:tcPr>
            <w:tcW w:w="1007" w:type="dxa"/>
            <w:tcBorders>
              <w:top w:val="nil"/>
              <w:left w:val="nil"/>
              <w:bottom w:val="nil"/>
              <w:right w:val="nil"/>
            </w:tcBorders>
            <w:shd w:val="clear" w:color="auto" w:fill="auto"/>
            <w:noWrap/>
            <w:vAlign w:val="center"/>
            <w:hideMark/>
          </w:tcPr>
          <w:p w14:paraId="0F879843" w14:textId="5C299284"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0.30</w:t>
            </w:r>
          </w:p>
        </w:tc>
      </w:tr>
      <w:tr w:rsidR="002D01B9" w:rsidRPr="0088109E" w14:paraId="66A66992" w14:textId="77777777" w:rsidTr="00294D0B">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062B501D" w14:textId="4D390FCD" w:rsidR="002D01B9" w:rsidRPr="0088109E" w:rsidRDefault="002D01B9" w:rsidP="002D01B9">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46AD0AB4" w14:textId="640E4484"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8</w:t>
            </w:r>
          </w:p>
        </w:tc>
        <w:tc>
          <w:tcPr>
            <w:tcW w:w="851" w:type="dxa"/>
            <w:tcBorders>
              <w:top w:val="nil"/>
              <w:left w:val="nil"/>
              <w:bottom w:val="nil"/>
              <w:right w:val="nil"/>
            </w:tcBorders>
            <w:shd w:val="clear" w:color="auto" w:fill="auto"/>
            <w:noWrap/>
            <w:vAlign w:val="center"/>
            <w:hideMark/>
          </w:tcPr>
          <w:p w14:paraId="77806EA2" w14:textId="26DC3EAA"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K11B</w:t>
            </w:r>
          </w:p>
        </w:tc>
        <w:tc>
          <w:tcPr>
            <w:tcW w:w="2410" w:type="dxa"/>
            <w:tcBorders>
              <w:top w:val="nil"/>
              <w:left w:val="nil"/>
              <w:bottom w:val="nil"/>
              <w:right w:val="nil"/>
            </w:tcBorders>
            <w:shd w:val="clear" w:color="auto" w:fill="auto"/>
            <w:noWrap/>
            <w:vAlign w:val="center"/>
            <w:hideMark/>
          </w:tcPr>
          <w:p w14:paraId="1521357D" w14:textId="017FF488" w:rsidR="002D01B9" w:rsidRPr="0088109E"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Major Laparoscopic Interventions for Obesity, Minor Complexity</w:t>
            </w:r>
          </w:p>
        </w:tc>
        <w:tc>
          <w:tcPr>
            <w:tcW w:w="708" w:type="dxa"/>
            <w:tcBorders>
              <w:top w:val="nil"/>
              <w:left w:val="nil"/>
              <w:bottom w:val="nil"/>
              <w:right w:val="nil"/>
            </w:tcBorders>
            <w:shd w:val="clear" w:color="auto" w:fill="auto"/>
            <w:noWrap/>
            <w:vAlign w:val="center"/>
            <w:hideMark/>
          </w:tcPr>
          <w:p w14:paraId="360DC0F8" w14:textId="11F04ED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2.09</w:t>
            </w:r>
          </w:p>
        </w:tc>
        <w:tc>
          <w:tcPr>
            <w:tcW w:w="851" w:type="dxa"/>
            <w:tcBorders>
              <w:top w:val="nil"/>
              <w:left w:val="nil"/>
              <w:bottom w:val="nil"/>
              <w:right w:val="nil"/>
            </w:tcBorders>
            <w:shd w:val="clear" w:color="auto" w:fill="auto"/>
            <w:noWrap/>
            <w:vAlign w:val="center"/>
            <w:hideMark/>
          </w:tcPr>
          <w:p w14:paraId="48B0CBA6" w14:textId="374D1B4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24,079</w:t>
            </w:r>
          </w:p>
        </w:tc>
        <w:tc>
          <w:tcPr>
            <w:tcW w:w="992" w:type="dxa"/>
            <w:tcBorders>
              <w:top w:val="nil"/>
              <w:left w:val="nil"/>
              <w:bottom w:val="nil"/>
              <w:right w:val="nil"/>
            </w:tcBorders>
            <w:shd w:val="clear" w:color="auto" w:fill="auto"/>
            <w:noWrap/>
            <w:vAlign w:val="center"/>
            <w:hideMark/>
          </w:tcPr>
          <w:p w14:paraId="41818C2D" w14:textId="09090E3D"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color w:val="000000"/>
                <w:szCs w:val="14"/>
              </w:rPr>
              <w:t>50,325</w:t>
            </w:r>
          </w:p>
        </w:tc>
        <w:tc>
          <w:tcPr>
            <w:tcW w:w="1134" w:type="dxa"/>
            <w:tcBorders>
              <w:top w:val="nil"/>
              <w:left w:val="nil"/>
              <w:bottom w:val="nil"/>
              <w:right w:val="nil"/>
            </w:tcBorders>
            <w:shd w:val="clear" w:color="auto" w:fill="auto"/>
            <w:noWrap/>
            <w:vAlign w:val="center"/>
            <w:hideMark/>
          </w:tcPr>
          <w:p w14:paraId="21EB7144" w14:textId="6939BA5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48,611</w:t>
            </w:r>
          </w:p>
        </w:tc>
        <w:tc>
          <w:tcPr>
            <w:tcW w:w="992" w:type="dxa"/>
            <w:tcBorders>
              <w:top w:val="nil"/>
              <w:left w:val="nil"/>
              <w:bottom w:val="nil"/>
              <w:right w:val="nil"/>
            </w:tcBorders>
            <w:shd w:val="clear" w:color="auto" w:fill="auto"/>
            <w:noWrap/>
            <w:vAlign w:val="center"/>
            <w:hideMark/>
          </w:tcPr>
          <w:p w14:paraId="60650C27" w14:textId="53C743E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2.0</w:t>
            </w:r>
          </w:p>
        </w:tc>
        <w:tc>
          <w:tcPr>
            <w:tcW w:w="567" w:type="dxa"/>
            <w:tcBorders>
              <w:top w:val="nil"/>
              <w:left w:val="nil"/>
              <w:bottom w:val="nil"/>
              <w:right w:val="nil"/>
            </w:tcBorders>
            <w:shd w:val="clear" w:color="auto" w:fill="auto"/>
            <w:noWrap/>
            <w:vAlign w:val="center"/>
            <w:hideMark/>
          </w:tcPr>
          <w:p w14:paraId="1F9014D4" w14:textId="1265B1B0"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0.01</w:t>
            </w:r>
          </w:p>
        </w:tc>
        <w:tc>
          <w:tcPr>
            <w:tcW w:w="709" w:type="dxa"/>
            <w:tcBorders>
              <w:top w:val="nil"/>
              <w:left w:val="nil"/>
              <w:bottom w:val="nil"/>
              <w:right w:val="nil"/>
            </w:tcBorders>
            <w:shd w:val="clear" w:color="auto" w:fill="auto"/>
            <w:noWrap/>
            <w:vAlign w:val="center"/>
            <w:hideMark/>
          </w:tcPr>
          <w:p w14:paraId="757BC8A0" w14:textId="5B1E233D"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0.70%</w:t>
            </w:r>
          </w:p>
        </w:tc>
        <w:tc>
          <w:tcPr>
            <w:tcW w:w="709" w:type="dxa"/>
            <w:tcBorders>
              <w:top w:val="nil"/>
              <w:left w:val="nil"/>
              <w:bottom w:val="nil"/>
              <w:right w:val="nil"/>
            </w:tcBorders>
            <w:shd w:val="clear" w:color="auto" w:fill="auto"/>
            <w:noWrap/>
            <w:vAlign w:val="center"/>
            <w:hideMark/>
          </w:tcPr>
          <w:p w14:paraId="28CCAA7F" w14:textId="1CC2F83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1.5%</w:t>
            </w:r>
          </w:p>
        </w:tc>
        <w:tc>
          <w:tcPr>
            <w:tcW w:w="992" w:type="dxa"/>
            <w:tcBorders>
              <w:top w:val="nil"/>
              <w:left w:val="nil"/>
              <w:bottom w:val="nil"/>
              <w:right w:val="nil"/>
            </w:tcBorders>
            <w:shd w:val="clear" w:color="auto" w:fill="auto"/>
            <w:noWrap/>
            <w:vAlign w:val="center"/>
            <w:hideMark/>
          </w:tcPr>
          <w:p w14:paraId="4EB59417" w14:textId="3BE94BE2"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54,330</w:t>
            </w:r>
          </w:p>
        </w:tc>
        <w:tc>
          <w:tcPr>
            <w:tcW w:w="851" w:type="dxa"/>
            <w:tcBorders>
              <w:top w:val="nil"/>
              <w:left w:val="nil"/>
              <w:bottom w:val="nil"/>
              <w:right w:val="nil"/>
            </w:tcBorders>
            <w:shd w:val="clear" w:color="auto" w:fill="auto"/>
            <w:noWrap/>
            <w:vAlign w:val="center"/>
            <w:hideMark/>
          </w:tcPr>
          <w:p w14:paraId="26FF1AE9" w14:textId="237728E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w:t>
            </w:r>
          </w:p>
        </w:tc>
        <w:tc>
          <w:tcPr>
            <w:tcW w:w="1134" w:type="dxa"/>
            <w:tcBorders>
              <w:top w:val="nil"/>
              <w:left w:val="nil"/>
              <w:bottom w:val="nil"/>
              <w:right w:val="nil"/>
            </w:tcBorders>
            <w:shd w:val="clear" w:color="auto" w:fill="auto"/>
            <w:noWrap/>
            <w:vAlign w:val="center"/>
            <w:hideMark/>
          </w:tcPr>
          <w:p w14:paraId="23B82D58" w14:textId="2A46588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26,120</w:t>
            </w:r>
          </w:p>
        </w:tc>
        <w:tc>
          <w:tcPr>
            <w:tcW w:w="1007" w:type="dxa"/>
            <w:tcBorders>
              <w:top w:val="nil"/>
              <w:left w:val="nil"/>
              <w:bottom w:val="nil"/>
              <w:right w:val="nil"/>
            </w:tcBorders>
            <w:shd w:val="clear" w:color="auto" w:fill="auto"/>
            <w:noWrap/>
            <w:vAlign w:val="center"/>
            <w:hideMark/>
          </w:tcPr>
          <w:p w14:paraId="6BB0547E" w14:textId="4BCAE83D"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2.08</w:t>
            </w:r>
          </w:p>
        </w:tc>
      </w:tr>
      <w:tr w:rsidR="002D01B9" w:rsidRPr="0088109E" w14:paraId="77F449B8" w14:textId="77777777" w:rsidTr="00294D0B">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192CF35D" w14:textId="20475DCA" w:rsidR="002D01B9" w:rsidRPr="0088109E" w:rsidRDefault="002D01B9" w:rsidP="002D01B9">
            <w:pPr>
              <w:pStyle w:val="TableParagraph"/>
              <w:jc w:val="center"/>
              <w:rPr>
                <w:highlight w:val="yellow"/>
                <w:lang w:eastAsia="en-AU"/>
              </w:rPr>
            </w:pPr>
            <w:r>
              <w:rPr>
                <w:color w:val="000000"/>
                <w:szCs w:val="14"/>
              </w:rPr>
              <w:t>Yes</w:t>
            </w:r>
          </w:p>
        </w:tc>
        <w:tc>
          <w:tcPr>
            <w:tcW w:w="850" w:type="dxa"/>
            <w:tcBorders>
              <w:top w:val="nil"/>
              <w:left w:val="nil"/>
              <w:bottom w:val="nil"/>
              <w:right w:val="nil"/>
            </w:tcBorders>
            <w:shd w:val="clear" w:color="auto" w:fill="auto"/>
            <w:noWrap/>
            <w:vAlign w:val="center"/>
            <w:hideMark/>
          </w:tcPr>
          <w:p w14:paraId="6C80EAC8" w14:textId="4A24AEBA"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9</w:t>
            </w:r>
          </w:p>
        </w:tc>
        <w:tc>
          <w:tcPr>
            <w:tcW w:w="851" w:type="dxa"/>
            <w:tcBorders>
              <w:top w:val="nil"/>
              <w:left w:val="nil"/>
              <w:bottom w:val="nil"/>
              <w:right w:val="nil"/>
            </w:tcBorders>
            <w:shd w:val="clear" w:color="auto" w:fill="auto"/>
            <w:noWrap/>
            <w:vAlign w:val="center"/>
            <w:hideMark/>
          </w:tcPr>
          <w:p w14:paraId="28BBFD1C" w14:textId="1F3EFC3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I10B</w:t>
            </w:r>
          </w:p>
        </w:tc>
        <w:tc>
          <w:tcPr>
            <w:tcW w:w="2410" w:type="dxa"/>
            <w:tcBorders>
              <w:top w:val="nil"/>
              <w:left w:val="nil"/>
              <w:bottom w:val="nil"/>
              <w:right w:val="nil"/>
            </w:tcBorders>
            <w:shd w:val="clear" w:color="auto" w:fill="auto"/>
            <w:noWrap/>
            <w:vAlign w:val="center"/>
            <w:hideMark/>
          </w:tcPr>
          <w:p w14:paraId="4EE9D7CA" w14:textId="3B254568" w:rsidR="002D01B9" w:rsidRPr="0088109E"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Other Back and Neck Interventions, Minor Complexity</w:t>
            </w:r>
          </w:p>
        </w:tc>
        <w:tc>
          <w:tcPr>
            <w:tcW w:w="708" w:type="dxa"/>
            <w:tcBorders>
              <w:top w:val="nil"/>
              <w:left w:val="nil"/>
              <w:bottom w:val="nil"/>
              <w:right w:val="nil"/>
            </w:tcBorders>
            <w:shd w:val="clear" w:color="auto" w:fill="auto"/>
            <w:noWrap/>
            <w:vAlign w:val="center"/>
            <w:hideMark/>
          </w:tcPr>
          <w:p w14:paraId="7C083832" w14:textId="1B74ED74"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2.24</w:t>
            </w:r>
          </w:p>
        </w:tc>
        <w:tc>
          <w:tcPr>
            <w:tcW w:w="851" w:type="dxa"/>
            <w:tcBorders>
              <w:top w:val="nil"/>
              <w:left w:val="nil"/>
              <w:bottom w:val="nil"/>
              <w:right w:val="nil"/>
            </w:tcBorders>
            <w:shd w:val="clear" w:color="auto" w:fill="auto"/>
            <w:noWrap/>
            <w:vAlign w:val="center"/>
            <w:hideMark/>
          </w:tcPr>
          <w:p w14:paraId="6260D1DE" w14:textId="24B18A2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21,348</w:t>
            </w:r>
          </w:p>
        </w:tc>
        <w:tc>
          <w:tcPr>
            <w:tcW w:w="992" w:type="dxa"/>
            <w:tcBorders>
              <w:top w:val="nil"/>
              <w:left w:val="nil"/>
              <w:bottom w:val="nil"/>
              <w:right w:val="nil"/>
            </w:tcBorders>
            <w:shd w:val="clear" w:color="auto" w:fill="auto"/>
            <w:noWrap/>
            <w:vAlign w:val="center"/>
            <w:hideMark/>
          </w:tcPr>
          <w:p w14:paraId="37602DA8" w14:textId="74AF57B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color w:val="000000"/>
                <w:szCs w:val="14"/>
              </w:rPr>
              <w:t>47,820</w:t>
            </w:r>
          </w:p>
        </w:tc>
        <w:tc>
          <w:tcPr>
            <w:tcW w:w="1134" w:type="dxa"/>
            <w:tcBorders>
              <w:top w:val="nil"/>
              <w:left w:val="nil"/>
              <w:bottom w:val="nil"/>
              <w:right w:val="nil"/>
            </w:tcBorders>
            <w:shd w:val="clear" w:color="auto" w:fill="auto"/>
            <w:noWrap/>
            <w:vAlign w:val="center"/>
            <w:hideMark/>
          </w:tcPr>
          <w:p w14:paraId="7FC4511B" w14:textId="1AAC8AB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62,680</w:t>
            </w:r>
          </w:p>
        </w:tc>
        <w:tc>
          <w:tcPr>
            <w:tcW w:w="992" w:type="dxa"/>
            <w:tcBorders>
              <w:top w:val="nil"/>
              <w:left w:val="nil"/>
              <w:bottom w:val="nil"/>
              <w:right w:val="nil"/>
            </w:tcBorders>
            <w:shd w:val="clear" w:color="auto" w:fill="auto"/>
            <w:noWrap/>
            <w:vAlign w:val="center"/>
            <w:hideMark/>
          </w:tcPr>
          <w:p w14:paraId="2968792A" w14:textId="21FBF48B"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2.9</w:t>
            </w:r>
          </w:p>
        </w:tc>
        <w:tc>
          <w:tcPr>
            <w:tcW w:w="567" w:type="dxa"/>
            <w:tcBorders>
              <w:top w:val="nil"/>
              <w:left w:val="nil"/>
              <w:bottom w:val="nil"/>
              <w:right w:val="nil"/>
            </w:tcBorders>
            <w:shd w:val="clear" w:color="auto" w:fill="auto"/>
            <w:noWrap/>
            <w:vAlign w:val="center"/>
            <w:hideMark/>
          </w:tcPr>
          <w:p w14:paraId="27FCF994" w14:textId="30A846E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0.02</w:t>
            </w:r>
          </w:p>
        </w:tc>
        <w:tc>
          <w:tcPr>
            <w:tcW w:w="709" w:type="dxa"/>
            <w:tcBorders>
              <w:top w:val="nil"/>
              <w:left w:val="nil"/>
              <w:bottom w:val="nil"/>
              <w:right w:val="nil"/>
            </w:tcBorders>
            <w:shd w:val="clear" w:color="auto" w:fill="auto"/>
            <w:noWrap/>
            <w:vAlign w:val="center"/>
            <w:hideMark/>
          </w:tcPr>
          <w:p w14:paraId="2EFF7AE2" w14:textId="09AC38A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0.62%</w:t>
            </w:r>
          </w:p>
        </w:tc>
        <w:tc>
          <w:tcPr>
            <w:tcW w:w="709" w:type="dxa"/>
            <w:tcBorders>
              <w:top w:val="nil"/>
              <w:left w:val="nil"/>
              <w:bottom w:val="nil"/>
              <w:right w:val="nil"/>
            </w:tcBorders>
            <w:shd w:val="clear" w:color="auto" w:fill="auto"/>
            <w:noWrap/>
            <w:vAlign w:val="center"/>
            <w:hideMark/>
          </w:tcPr>
          <w:p w14:paraId="1A19FAF5" w14:textId="7471948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1.4%</w:t>
            </w:r>
          </w:p>
        </w:tc>
        <w:tc>
          <w:tcPr>
            <w:tcW w:w="992" w:type="dxa"/>
            <w:tcBorders>
              <w:top w:val="nil"/>
              <w:left w:val="nil"/>
              <w:bottom w:val="nil"/>
              <w:right w:val="nil"/>
            </w:tcBorders>
            <w:shd w:val="clear" w:color="auto" w:fill="auto"/>
            <w:noWrap/>
            <w:vAlign w:val="center"/>
            <w:hideMark/>
          </w:tcPr>
          <w:p w14:paraId="71BD4E16" w14:textId="18E8BF39"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48,993</w:t>
            </w:r>
          </w:p>
        </w:tc>
        <w:tc>
          <w:tcPr>
            <w:tcW w:w="851" w:type="dxa"/>
            <w:tcBorders>
              <w:top w:val="nil"/>
              <w:left w:val="nil"/>
              <w:bottom w:val="nil"/>
              <w:right w:val="nil"/>
            </w:tcBorders>
            <w:shd w:val="clear" w:color="auto" w:fill="auto"/>
            <w:noWrap/>
            <w:vAlign w:val="center"/>
            <w:hideMark/>
          </w:tcPr>
          <w:p w14:paraId="06698DF8" w14:textId="01EAC9C5"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w:t>
            </w:r>
          </w:p>
        </w:tc>
        <w:tc>
          <w:tcPr>
            <w:tcW w:w="1134" w:type="dxa"/>
            <w:tcBorders>
              <w:top w:val="nil"/>
              <w:left w:val="nil"/>
              <w:bottom w:val="nil"/>
              <w:right w:val="nil"/>
            </w:tcBorders>
            <w:shd w:val="clear" w:color="auto" w:fill="auto"/>
            <w:noWrap/>
            <w:vAlign w:val="center"/>
            <w:hideMark/>
          </w:tcPr>
          <w:p w14:paraId="1A780CD5" w14:textId="0D5E54C0"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21,027</w:t>
            </w:r>
          </w:p>
        </w:tc>
        <w:tc>
          <w:tcPr>
            <w:tcW w:w="1007" w:type="dxa"/>
            <w:tcBorders>
              <w:top w:val="nil"/>
              <w:left w:val="nil"/>
              <w:bottom w:val="nil"/>
              <w:right w:val="nil"/>
            </w:tcBorders>
            <w:shd w:val="clear" w:color="auto" w:fill="auto"/>
            <w:noWrap/>
            <w:vAlign w:val="center"/>
            <w:hideMark/>
          </w:tcPr>
          <w:p w14:paraId="0A910187" w14:textId="7133201A"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2.33</w:t>
            </w:r>
          </w:p>
        </w:tc>
      </w:tr>
      <w:tr w:rsidR="002D01B9" w:rsidRPr="0088109E" w14:paraId="50121370" w14:textId="77777777" w:rsidTr="00294D0B">
        <w:trPr>
          <w:trHeight w:val="283"/>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nil"/>
              <w:right w:val="nil"/>
            </w:tcBorders>
            <w:shd w:val="clear" w:color="auto" w:fill="auto"/>
            <w:noWrap/>
            <w:vAlign w:val="center"/>
            <w:hideMark/>
          </w:tcPr>
          <w:p w14:paraId="71BD0217" w14:textId="6E22B00E" w:rsidR="002D01B9" w:rsidRPr="0088109E" w:rsidRDefault="002D01B9" w:rsidP="002D01B9">
            <w:pPr>
              <w:pStyle w:val="TableParagraph"/>
              <w:jc w:val="center"/>
              <w:rPr>
                <w:highlight w:val="yellow"/>
                <w:lang w:eastAsia="en-AU"/>
              </w:rPr>
            </w:pPr>
            <w:r>
              <w:rPr>
                <w:color w:val="000000"/>
                <w:szCs w:val="14"/>
              </w:rPr>
              <w:t>No</w:t>
            </w:r>
          </w:p>
        </w:tc>
        <w:tc>
          <w:tcPr>
            <w:tcW w:w="850" w:type="dxa"/>
            <w:tcBorders>
              <w:top w:val="nil"/>
              <w:left w:val="nil"/>
              <w:bottom w:val="nil"/>
              <w:right w:val="nil"/>
            </w:tcBorders>
            <w:shd w:val="clear" w:color="auto" w:fill="auto"/>
            <w:noWrap/>
            <w:vAlign w:val="center"/>
            <w:hideMark/>
          </w:tcPr>
          <w:p w14:paraId="7B061C12" w14:textId="0FE3EB53"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10</w:t>
            </w:r>
          </w:p>
        </w:tc>
        <w:tc>
          <w:tcPr>
            <w:tcW w:w="851" w:type="dxa"/>
            <w:tcBorders>
              <w:top w:val="nil"/>
              <w:left w:val="nil"/>
              <w:bottom w:val="nil"/>
              <w:right w:val="nil"/>
            </w:tcBorders>
            <w:shd w:val="clear" w:color="auto" w:fill="auto"/>
            <w:noWrap/>
            <w:vAlign w:val="center"/>
            <w:hideMark/>
          </w:tcPr>
          <w:p w14:paraId="346FD826" w14:textId="41A34F65"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G46B</w:t>
            </w:r>
          </w:p>
        </w:tc>
        <w:tc>
          <w:tcPr>
            <w:tcW w:w="2410" w:type="dxa"/>
            <w:tcBorders>
              <w:top w:val="nil"/>
              <w:left w:val="nil"/>
              <w:bottom w:val="nil"/>
              <w:right w:val="nil"/>
            </w:tcBorders>
            <w:shd w:val="clear" w:color="auto" w:fill="auto"/>
            <w:noWrap/>
            <w:vAlign w:val="center"/>
            <w:hideMark/>
          </w:tcPr>
          <w:p w14:paraId="41C3FC27" w14:textId="255FBBAD" w:rsidR="002D01B9" w:rsidRPr="0088109E"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Complex Endoscopy, Minor Complexity</w:t>
            </w:r>
          </w:p>
        </w:tc>
        <w:tc>
          <w:tcPr>
            <w:tcW w:w="708" w:type="dxa"/>
            <w:tcBorders>
              <w:top w:val="nil"/>
              <w:left w:val="nil"/>
              <w:bottom w:val="nil"/>
              <w:right w:val="nil"/>
            </w:tcBorders>
            <w:shd w:val="clear" w:color="auto" w:fill="auto"/>
            <w:noWrap/>
            <w:vAlign w:val="center"/>
            <w:hideMark/>
          </w:tcPr>
          <w:p w14:paraId="16AD2F8C" w14:textId="436F9765"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0.36</w:t>
            </w:r>
          </w:p>
        </w:tc>
        <w:tc>
          <w:tcPr>
            <w:tcW w:w="851" w:type="dxa"/>
            <w:tcBorders>
              <w:top w:val="nil"/>
              <w:left w:val="nil"/>
              <w:bottom w:val="nil"/>
              <w:right w:val="nil"/>
            </w:tcBorders>
            <w:shd w:val="clear" w:color="auto" w:fill="auto"/>
            <w:noWrap/>
            <w:vAlign w:val="center"/>
            <w:hideMark/>
          </w:tcPr>
          <w:p w14:paraId="0D05DD5D" w14:textId="1995B08A"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120,602</w:t>
            </w:r>
          </w:p>
        </w:tc>
        <w:tc>
          <w:tcPr>
            <w:tcW w:w="992" w:type="dxa"/>
            <w:tcBorders>
              <w:top w:val="nil"/>
              <w:left w:val="nil"/>
              <w:bottom w:val="nil"/>
              <w:right w:val="nil"/>
            </w:tcBorders>
            <w:shd w:val="clear" w:color="auto" w:fill="auto"/>
            <w:noWrap/>
            <w:vAlign w:val="center"/>
            <w:hideMark/>
          </w:tcPr>
          <w:p w14:paraId="3509E18C" w14:textId="544CBD67"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highlight w:val="yellow"/>
                <w:lang w:eastAsia="en-AU"/>
              </w:rPr>
            </w:pPr>
            <w:r>
              <w:rPr>
                <w:b/>
                <w:bCs/>
                <w:color w:val="000000"/>
                <w:szCs w:val="14"/>
              </w:rPr>
              <w:t>43,417</w:t>
            </w:r>
          </w:p>
        </w:tc>
        <w:tc>
          <w:tcPr>
            <w:tcW w:w="1134" w:type="dxa"/>
            <w:tcBorders>
              <w:top w:val="nil"/>
              <w:left w:val="nil"/>
              <w:bottom w:val="nil"/>
              <w:right w:val="nil"/>
            </w:tcBorders>
            <w:shd w:val="clear" w:color="auto" w:fill="auto"/>
            <w:noWrap/>
            <w:vAlign w:val="center"/>
            <w:hideMark/>
          </w:tcPr>
          <w:p w14:paraId="571E8A81" w14:textId="042766B1"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128,305</w:t>
            </w:r>
          </w:p>
        </w:tc>
        <w:tc>
          <w:tcPr>
            <w:tcW w:w="992" w:type="dxa"/>
            <w:tcBorders>
              <w:top w:val="nil"/>
              <w:left w:val="nil"/>
              <w:bottom w:val="nil"/>
              <w:right w:val="nil"/>
            </w:tcBorders>
            <w:shd w:val="clear" w:color="auto" w:fill="auto"/>
            <w:noWrap/>
            <w:vAlign w:val="center"/>
            <w:hideMark/>
          </w:tcPr>
          <w:p w14:paraId="49B45E1D" w14:textId="3F95FE06"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1.1</w:t>
            </w:r>
          </w:p>
        </w:tc>
        <w:tc>
          <w:tcPr>
            <w:tcW w:w="567" w:type="dxa"/>
            <w:tcBorders>
              <w:top w:val="nil"/>
              <w:left w:val="nil"/>
              <w:bottom w:val="nil"/>
              <w:right w:val="nil"/>
            </w:tcBorders>
            <w:shd w:val="clear" w:color="auto" w:fill="auto"/>
            <w:noWrap/>
            <w:vAlign w:val="center"/>
            <w:hideMark/>
          </w:tcPr>
          <w:p w14:paraId="278B63EA" w14:textId="245E04EC"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0.00</w:t>
            </w:r>
          </w:p>
        </w:tc>
        <w:tc>
          <w:tcPr>
            <w:tcW w:w="709" w:type="dxa"/>
            <w:tcBorders>
              <w:top w:val="nil"/>
              <w:left w:val="nil"/>
              <w:bottom w:val="nil"/>
              <w:right w:val="nil"/>
            </w:tcBorders>
            <w:shd w:val="clear" w:color="auto" w:fill="auto"/>
            <w:noWrap/>
            <w:vAlign w:val="center"/>
            <w:hideMark/>
          </w:tcPr>
          <w:p w14:paraId="2984D8A2" w14:textId="13B6192F"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3.51%</w:t>
            </w:r>
          </w:p>
        </w:tc>
        <w:tc>
          <w:tcPr>
            <w:tcW w:w="709" w:type="dxa"/>
            <w:tcBorders>
              <w:top w:val="nil"/>
              <w:left w:val="nil"/>
              <w:bottom w:val="nil"/>
              <w:right w:val="nil"/>
            </w:tcBorders>
            <w:shd w:val="clear" w:color="auto" w:fill="auto"/>
            <w:noWrap/>
            <w:vAlign w:val="center"/>
            <w:hideMark/>
          </w:tcPr>
          <w:p w14:paraId="68778369" w14:textId="73BF398F"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1.3%</w:t>
            </w:r>
          </w:p>
        </w:tc>
        <w:tc>
          <w:tcPr>
            <w:tcW w:w="992" w:type="dxa"/>
            <w:tcBorders>
              <w:top w:val="nil"/>
              <w:left w:val="nil"/>
              <w:bottom w:val="nil"/>
              <w:right w:val="nil"/>
            </w:tcBorders>
            <w:shd w:val="clear" w:color="auto" w:fill="auto"/>
            <w:noWrap/>
            <w:vAlign w:val="center"/>
            <w:hideMark/>
          </w:tcPr>
          <w:p w14:paraId="4BF934B3" w14:textId="28E4D81F"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43,133</w:t>
            </w:r>
          </w:p>
        </w:tc>
        <w:tc>
          <w:tcPr>
            <w:tcW w:w="851" w:type="dxa"/>
            <w:tcBorders>
              <w:top w:val="nil"/>
              <w:left w:val="nil"/>
              <w:bottom w:val="nil"/>
              <w:right w:val="nil"/>
            </w:tcBorders>
            <w:shd w:val="clear" w:color="auto" w:fill="auto"/>
            <w:noWrap/>
            <w:vAlign w:val="center"/>
            <w:hideMark/>
          </w:tcPr>
          <w:p w14:paraId="3267A3E6" w14:textId="3FA51B0A"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11</w:t>
            </w:r>
          </w:p>
        </w:tc>
        <w:tc>
          <w:tcPr>
            <w:tcW w:w="1134" w:type="dxa"/>
            <w:tcBorders>
              <w:top w:val="nil"/>
              <w:left w:val="nil"/>
              <w:bottom w:val="nil"/>
              <w:right w:val="nil"/>
            </w:tcBorders>
            <w:shd w:val="clear" w:color="auto" w:fill="auto"/>
            <w:noWrap/>
            <w:vAlign w:val="center"/>
            <w:hideMark/>
          </w:tcPr>
          <w:p w14:paraId="4D078579" w14:textId="156CA0FE"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123,236</w:t>
            </w:r>
          </w:p>
        </w:tc>
        <w:tc>
          <w:tcPr>
            <w:tcW w:w="1007" w:type="dxa"/>
            <w:tcBorders>
              <w:top w:val="nil"/>
              <w:left w:val="nil"/>
              <w:bottom w:val="nil"/>
              <w:right w:val="nil"/>
            </w:tcBorders>
            <w:shd w:val="clear" w:color="auto" w:fill="auto"/>
            <w:noWrap/>
            <w:vAlign w:val="center"/>
            <w:hideMark/>
          </w:tcPr>
          <w:p w14:paraId="34984168" w14:textId="692717BB" w:rsidR="002D01B9" w:rsidRPr="0088109E"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highlight w:val="yellow"/>
                <w:lang w:eastAsia="en-AU"/>
              </w:rPr>
            </w:pPr>
            <w:r>
              <w:rPr>
                <w:color w:val="000000"/>
                <w:szCs w:val="14"/>
              </w:rPr>
              <w:t>0.35</w:t>
            </w:r>
          </w:p>
        </w:tc>
      </w:tr>
      <w:tr w:rsidR="001112A9" w:rsidRPr="0088109E" w14:paraId="74783130" w14:textId="77777777" w:rsidTr="002A3D37">
        <w:trPr>
          <w:trHeight w:val="283"/>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single" w:sz="4" w:space="0" w:color="D9D9D9"/>
            </w:tcBorders>
            <w:shd w:val="clear" w:color="auto" w:fill="DFEBF1" w:themeFill="text2" w:themeFillTint="1A"/>
            <w:noWrap/>
            <w:vAlign w:val="center"/>
          </w:tcPr>
          <w:p w14:paraId="04920A47" w14:textId="175BEBE2" w:rsidR="002D01B9" w:rsidRPr="005629F8" w:rsidRDefault="002D01B9" w:rsidP="002D01B9">
            <w:pPr>
              <w:pStyle w:val="TableParagraph"/>
              <w:jc w:val="center"/>
              <w:rPr>
                <w:color w:val="000000"/>
                <w:szCs w:val="14"/>
              </w:rPr>
            </w:pPr>
            <w:r>
              <w:rPr>
                <w:color w:val="000000"/>
                <w:szCs w:val="14"/>
              </w:rPr>
              <w:t xml:space="preserve">9 </w:t>
            </w:r>
            <w:r w:rsidRPr="005629F8">
              <w:rPr>
                <w:color w:val="000000"/>
                <w:szCs w:val="14"/>
              </w:rPr>
              <w:t>in</w:t>
            </w:r>
          </w:p>
          <w:p w14:paraId="6E2AD0EE" w14:textId="4F1F9011" w:rsidR="002D01B9" w:rsidRPr="005629F8" w:rsidRDefault="002D01B9" w:rsidP="002D01B9">
            <w:pPr>
              <w:pStyle w:val="TableParagraph"/>
              <w:jc w:val="center"/>
              <w:rPr>
                <w:color w:val="000000"/>
                <w:szCs w:val="14"/>
              </w:rPr>
            </w:pPr>
            <w:r>
              <w:rPr>
                <w:color w:val="000000"/>
                <w:szCs w:val="14"/>
              </w:rPr>
              <w:t>t</w:t>
            </w:r>
            <w:r w:rsidRPr="005629F8">
              <w:rPr>
                <w:color w:val="000000"/>
                <w:szCs w:val="14"/>
              </w:rPr>
              <w:t>op 10</w:t>
            </w:r>
          </w:p>
        </w:tc>
        <w:tc>
          <w:tcPr>
            <w:tcW w:w="4111" w:type="dxa"/>
            <w:gridSpan w:val="3"/>
            <w:tcBorders>
              <w:top w:val="single" w:sz="4" w:space="0" w:color="D9D9D9"/>
              <w:right w:val="single" w:sz="4" w:space="0" w:color="FFFFFF" w:themeColor="accent6"/>
            </w:tcBorders>
            <w:shd w:val="clear" w:color="auto" w:fill="DFEBF1" w:themeFill="text2" w:themeFillTint="1A"/>
            <w:noWrap/>
            <w:vAlign w:val="center"/>
          </w:tcPr>
          <w:p w14:paraId="16DD26AD" w14:textId="2E4D8AD5" w:rsidR="002D01B9" w:rsidRPr="005629F8"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Sub-total, top 10 highest cost weighted separations</w:t>
            </w:r>
          </w:p>
        </w:tc>
        <w:tc>
          <w:tcPr>
            <w:tcW w:w="708" w:type="dxa"/>
            <w:tcBorders>
              <w:top w:val="single" w:sz="4" w:space="0" w:color="D9D9D9"/>
              <w:left w:val="single" w:sz="4" w:space="0" w:color="FFFFFF" w:themeColor="accent6"/>
            </w:tcBorders>
            <w:shd w:val="clear" w:color="auto" w:fill="DFEBF1" w:themeFill="text2" w:themeFillTint="1A"/>
            <w:noWrap/>
          </w:tcPr>
          <w:p w14:paraId="3D218B19" w14:textId="3A8DC168"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0.93</w:t>
            </w:r>
          </w:p>
        </w:tc>
        <w:tc>
          <w:tcPr>
            <w:tcW w:w="851" w:type="dxa"/>
            <w:tcBorders>
              <w:top w:val="single" w:sz="4" w:space="0" w:color="D9D9D9"/>
            </w:tcBorders>
            <w:shd w:val="clear" w:color="auto" w:fill="DFEBF1" w:themeFill="text2" w:themeFillTint="1A"/>
            <w:noWrap/>
          </w:tcPr>
          <w:p w14:paraId="4AE2062A" w14:textId="4DFB9314"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749,318</w:t>
            </w:r>
          </w:p>
        </w:tc>
        <w:tc>
          <w:tcPr>
            <w:tcW w:w="992" w:type="dxa"/>
            <w:tcBorders>
              <w:top w:val="single" w:sz="4" w:space="0" w:color="D9D9D9"/>
            </w:tcBorders>
            <w:shd w:val="clear" w:color="auto" w:fill="DFEBF1" w:themeFill="text2" w:themeFillTint="1A"/>
            <w:noWrap/>
          </w:tcPr>
          <w:p w14:paraId="5C13490E" w14:textId="6D77D915"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695,058</w:t>
            </w:r>
          </w:p>
        </w:tc>
        <w:tc>
          <w:tcPr>
            <w:tcW w:w="1134" w:type="dxa"/>
            <w:tcBorders>
              <w:top w:val="single" w:sz="4" w:space="0" w:color="D9D9D9"/>
            </w:tcBorders>
            <w:shd w:val="clear" w:color="auto" w:fill="DFEBF1" w:themeFill="text2" w:themeFillTint="1A"/>
            <w:noWrap/>
          </w:tcPr>
          <w:p w14:paraId="6AE68915" w14:textId="27053B19"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1,183,758</w:t>
            </w:r>
          </w:p>
        </w:tc>
        <w:tc>
          <w:tcPr>
            <w:tcW w:w="992" w:type="dxa"/>
            <w:tcBorders>
              <w:top w:val="single" w:sz="4" w:space="0" w:color="D9D9D9"/>
            </w:tcBorders>
            <w:shd w:val="clear" w:color="auto" w:fill="DFEBF1" w:themeFill="text2" w:themeFillTint="1A"/>
            <w:noWrap/>
          </w:tcPr>
          <w:p w14:paraId="2925D328" w14:textId="69AE6EB5"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1.6</w:t>
            </w:r>
          </w:p>
        </w:tc>
        <w:tc>
          <w:tcPr>
            <w:tcW w:w="567" w:type="dxa"/>
            <w:tcBorders>
              <w:top w:val="single" w:sz="4" w:space="0" w:color="D9D9D9"/>
              <w:right w:val="single" w:sz="4" w:space="0" w:color="FFFFFF" w:themeColor="accent6"/>
            </w:tcBorders>
            <w:shd w:val="clear" w:color="auto" w:fill="DFEBF1" w:themeFill="text2" w:themeFillTint="1A"/>
            <w:noWrap/>
          </w:tcPr>
          <w:p w14:paraId="2B2267FF" w14:textId="77777777"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709" w:type="dxa"/>
            <w:tcBorders>
              <w:top w:val="single" w:sz="4" w:space="0" w:color="D9D9D9"/>
              <w:left w:val="single" w:sz="4" w:space="0" w:color="FFFFFF" w:themeColor="accent6"/>
            </w:tcBorders>
            <w:shd w:val="clear" w:color="auto" w:fill="DFEBF1" w:themeFill="text2" w:themeFillTint="1A"/>
            <w:noWrap/>
          </w:tcPr>
          <w:p w14:paraId="61FC5988" w14:textId="3FB19360"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21.84%</w:t>
            </w:r>
          </w:p>
        </w:tc>
        <w:tc>
          <w:tcPr>
            <w:tcW w:w="709" w:type="dxa"/>
            <w:tcBorders>
              <w:top w:val="single" w:sz="4" w:space="0" w:color="D9D9D9"/>
              <w:right w:val="single" w:sz="4" w:space="0" w:color="FFFFFF" w:themeColor="accent6"/>
            </w:tcBorders>
            <w:shd w:val="clear" w:color="auto" w:fill="DFEBF1" w:themeFill="text2" w:themeFillTint="1A"/>
            <w:noWrap/>
          </w:tcPr>
          <w:p w14:paraId="2903A394" w14:textId="482A922D"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20.3%</w:t>
            </w:r>
          </w:p>
        </w:tc>
        <w:tc>
          <w:tcPr>
            <w:tcW w:w="992" w:type="dxa"/>
            <w:tcBorders>
              <w:top w:val="single" w:sz="4" w:space="0" w:color="D9D9D9"/>
              <w:left w:val="single" w:sz="4" w:space="0" w:color="FFFFFF" w:themeColor="accent6"/>
              <w:right w:val="nil"/>
            </w:tcBorders>
            <w:shd w:val="clear" w:color="auto" w:fill="DFEBF1" w:themeFill="text2" w:themeFillTint="1A"/>
            <w:noWrap/>
            <w:vAlign w:val="center"/>
          </w:tcPr>
          <w:p w14:paraId="0BA73132" w14:textId="27FFFD4D"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tcBorders>
              <w:top w:val="single" w:sz="4" w:space="0" w:color="D9D9D9"/>
            </w:tcBorders>
            <w:shd w:val="clear" w:color="auto" w:fill="DFEBF1" w:themeFill="text2" w:themeFillTint="1A"/>
            <w:noWrap/>
            <w:vAlign w:val="center"/>
          </w:tcPr>
          <w:p w14:paraId="28170922"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tcBorders>
              <w:top w:val="single" w:sz="4" w:space="0" w:color="D9D9D9"/>
            </w:tcBorders>
            <w:shd w:val="clear" w:color="auto" w:fill="DFEBF1" w:themeFill="text2" w:themeFillTint="1A"/>
            <w:noWrap/>
            <w:vAlign w:val="center"/>
          </w:tcPr>
          <w:p w14:paraId="16C61926"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007" w:type="dxa"/>
            <w:tcBorders>
              <w:top w:val="single" w:sz="4" w:space="0" w:color="D9D9D9"/>
            </w:tcBorders>
            <w:shd w:val="clear" w:color="auto" w:fill="DFEBF1" w:themeFill="text2" w:themeFillTint="1A"/>
            <w:noWrap/>
            <w:vAlign w:val="center"/>
          </w:tcPr>
          <w:p w14:paraId="48BF7855"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1112A9" w:rsidRPr="0088109E" w14:paraId="2271A107" w14:textId="77777777" w:rsidTr="002A3D37">
        <w:trPr>
          <w:trHeight w:val="283"/>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DFEBF1" w:themeFill="text2" w:themeFillTint="1A"/>
            <w:noWrap/>
            <w:vAlign w:val="center"/>
          </w:tcPr>
          <w:p w14:paraId="577F5115" w14:textId="42143EA0" w:rsidR="002D01B9" w:rsidRPr="005629F8" w:rsidRDefault="002D01B9" w:rsidP="002D01B9">
            <w:pPr>
              <w:pStyle w:val="TableParagraph"/>
              <w:jc w:val="center"/>
              <w:rPr>
                <w:color w:val="000000"/>
                <w:szCs w:val="14"/>
              </w:rPr>
            </w:pPr>
          </w:p>
        </w:tc>
        <w:tc>
          <w:tcPr>
            <w:tcW w:w="4111" w:type="dxa"/>
            <w:gridSpan w:val="3"/>
            <w:tcBorders>
              <w:right w:val="single" w:sz="4" w:space="0" w:color="FFFFFF" w:themeColor="accent6"/>
            </w:tcBorders>
            <w:shd w:val="clear" w:color="auto" w:fill="DFEBF1" w:themeFill="text2" w:themeFillTint="1A"/>
            <w:noWrap/>
            <w:vAlign w:val="center"/>
          </w:tcPr>
          <w:p w14:paraId="34F72773" w14:textId="5F3CF8D5" w:rsidR="002D01B9" w:rsidRPr="005629F8"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 xml:space="preserve">All </w:t>
            </w:r>
            <w:r>
              <w:rPr>
                <w:b/>
                <w:bCs/>
                <w:color w:val="000000"/>
                <w:szCs w:val="14"/>
              </w:rPr>
              <w:t>AR-</w:t>
            </w:r>
            <w:r w:rsidRPr="005629F8">
              <w:rPr>
                <w:b/>
                <w:bCs/>
                <w:color w:val="000000"/>
                <w:szCs w:val="14"/>
              </w:rPr>
              <w:t>DRGs</w:t>
            </w:r>
          </w:p>
        </w:tc>
        <w:tc>
          <w:tcPr>
            <w:tcW w:w="708" w:type="dxa"/>
            <w:tcBorders>
              <w:left w:val="single" w:sz="4" w:space="0" w:color="FFFFFF" w:themeColor="accent6"/>
            </w:tcBorders>
            <w:shd w:val="clear" w:color="auto" w:fill="DFEBF1" w:themeFill="text2" w:themeFillTint="1A"/>
            <w:noWrap/>
          </w:tcPr>
          <w:p w14:paraId="08B13C20" w14:textId="61F29AD6"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1.00</w:t>
            </w:r>
          </w:p>
        </w:tc>
        <w:tc>
          <w:tcPr>
            <w:tcW w:w="851" w:type="dxa"/>
            <w:shd w:val="clear" w:color="auto" w:fill="DFEBF1" w:themeFill="text2" w:themeFillTint="1A"/>
            <w:noWrap/>
          </w:tcPr>
          <w:p w14:paraId="125C46D5" w14:textId="1182EC46"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3,431,160</w:t>
            </w:r>
          </w:p>
        </w:tc>
        <w:tc>
          <w:tcPr>
            <w:tcW w:w="992" w:type="dxa"/>
            <w:shd w:val="clear" w:color="auto" w:fill="DFEBF1" w:themeFill="text2" w:themeFillTint="1A"/>
            <w:noWrap/>
          </w:tcPr>
          <w:p w14:paraId="79161D7C" w14:textId="61869DA6"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3,431,160</w:t>
            </w:r>
          </w:p>
        </w:tc>
        <w:tc>
          <w:tcPr>
            <w:tcW w:w="1134" w:type="dxa"/>
            <w:shd w:val="clear" w:color="auto" w:fill="DFEBF1" w:themeFill="text2" w:themeFillTint="1A"/>
            <w:noWrap/>
          </w:tcPr>
          <w:p w14:paraId="60762285" w14:textId="29B24BF8"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7,644,124</w:t>
            </w:r>
          </w:p>
        </w:tc>
        <w:tc>
          <w:tcPr>
            <w:tcW w:w="992" w:type="dxa"/>
            <w:shd w:val="clear" w:color="auto" w:fill="DFEBF1" w:themeFill="text2" w:themeFillTint="1A"/>
            <w:noWrap/>
          </w:tcPr>
          <w:p w14:paraId="2F17278D" w14:textId="37AEB019"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2.2</w:t>
            </w:r>
          </w:p>
        </w:tc>
        <w:tc>
          <w:tcPr>
            <w:tcW w:w="567" w:type="dxa"/>
            <w:tcBorders>
              <w:right w:val="single" w:sz="4" w:space="0" w:color="FFFFFF" w:themeColor="accent6"/>
            </w:tcBorders>
            <w:shd w:val="clear" w:color="auto" w:fill="DFEBF1" w:themeFill="text2" w:themeFillTint="1A"/>
            <w:noWrap/>
          </w:tcPr>
          <w:p w14:paraId="265520E5" w14:textId="77777777"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709" w:type="dxa"/>
            <w:tcBorders>
              <w:left w:val="single" w:sz="4" w:space="0" w:color="FFFFFF" w:themeColor="accent6"/>
            </w:tcBorders>
            <w:shd w:val="clear" w:color="auto" w:fill="DFEBF1" w:themeFill="text2" w:themeFillTint="1A"/>
            <w:noWrap/>
          </w:tcPr>
          <w:p w14:paraId="2ADBAE69" w14:textId="6602415D"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100%</w:t>
            </w:r>
          </w:p>
        </w:tc>
        <w:tc>
          <w:tcPr>
            <w:tcW w:w="709" w:type="dxa"/>
            <w:tcBorders>
              <w:right w:val="single" w:sz="4" w:space="0" w:color="FFFFFF" w:themeColor="accent6"/>
            </w:tcBorders>
            <w:shd w:val="clear" w:color="auto" w:fill="DFEBF1" w:themeFill="text2" w:themeFillTint="1A"/>
            <w:noWrap/>
          </w:tcPr>
          <w:p w14:paraId="48BEB4FB" w14:textId="2FF62899"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100%</w:t>
            </w:r>
          </w:p>
        </w:tc>
        <w:tc>
          <w:tcPr>
            <w:tcW w:w="992" w:type="dxa"/>
            <w:tcBorders>
              <w:left w:val="single" w:sz="4" w:space="0" w:color="FFFFFF" w:themeColor="accent6"/>
            </w:tcBorders>
            <w:shd w:val="clear" w:color="auto" w:fill="DFEBF1" w:themeFill="text2" w:themeFillTint="1A"/>
            <w:noWrap/>
            <w:vAlign w:val="center"/>
          </w:tcPr>
          <w:p w14:paraId="5731DBEC"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shd w:val="clear" w:color="auto" w:fill="DFEBF1" w:themeFill="text2" w:themeFillTint="1A"/>
            <w:noWrap/>
            <w:vAlign w:val="center"/>
          </w:tcPr>
          <w:p w14:paraId="2ECEC54D"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shd w:val="clear" w:color="auto" w:fill="DFEBF1" w:themeFill="text2" w:themeFillTint="1A"/>
            <w:noWrap/>
            <w:vAlign w:val="center"/>
          </w:tcPr>
          <w:p w14:paraId="4D73E946"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007" w:type="dxa"/>
            <w:shd w:val="clear" w:color="auto" w:fill="DFEBF1" w:themeFill="text2" w:themeFillTint="1A"/>
            <w:noWrap/>
            <w:vAlign w:val="center"/>
          </w:tcPr>
          <w:p w14:paraId="72C8F526"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r w:rsidR="001112A9" w:rsidRPr="0088109E" w14:paraId="5066D49C" w14:textId="77777777" w:rsidTr="002A3D37">
        <w:trPr>
          <w:trHeight w:val="283"/>
        </w:trPr>
        <w:tc>
          <w:tcPr>
            <w:cnfStyle w:val="001000000000" w:firstRow="0" w:lastRow="0" w:firstColumn="1" w:lastColumn="0" w:oddVBand="0" w:evenVBand="0" w:oddHBand="0" w:evenHBand="0" w:firstRowFirstColumn="0" w:firstRowLastColumn="0" w:lastRowFirstColumn="0" w:lastRowLastColumn="0"/>
            <w:tcW w:w="851" w:type="dxa"/>
            <w:vMerge/>
            <w:tcBorders>
              <w:bottom w:val="single" w:sz="4" w:space="0" w:color="D9D9D9" w:themeColor="background2" w:themeShade="D9"/>
            </w:tcBorders>
            <w:shd w:val="clear" w:color="auto" w:fill="DFEBF1" w:themeFill="text2" w:themeFillTint="1A"/>
            <w:noWrap/>
            <w:vAlign w:val="center"/>
          </w:tcPr>
          <w:p w14:paraId="5ED9F030" w14:textId="06A0A37B" w:rsidR="002D01B9" w:rsidRPr="005629F8" w:rsidRDefault="002D01B9" w:rsidP="002D01B9">
            <w:pPr>
              <w:pStyle w:val="TableParagraph"/>
              <w:jc w:val="center"/>
              <w:rPr>
                <w:color w:val="000000"/>
                <w:szCs w:val="14"/>
              </w:rPr>
            </w:pPr>
          </w:p>
        </w:tc>
        <w:tc>
          <w:tcPr>
            <w:tcW w:w="4111" w:type="dxa"/>
            <w:gridSpan w:val="3"/>
            <w:tcBorders>
              <w:bottom w:val="single" w:sz="4" w:space="0" w:color="D9D9D9" w:themeColor="background2" w:themeShade="D9"/>
              <w:right w:val="single" w:sz="4" w:space="0" w:color="FFFFFF" w:themeColor="accent6"/>
            </w:tcBorders>
            <w:shd w:val="clear" w:color="auto" w:fill="DFEBF1" w:themeFill="text2" w:themeFillTint="1A"/>
            <w:noWrap/>
            <w:vAlign w:val="center"/>
          </w:tcPr>
          <w:p w14:paraId="036A8F57" w14:textId="264807C5" w:rsidR="002D01B9" w:rsidRPr="005629F8" w:rsidRDefault="002D01B9" w:rsidP="002D01B9">
            <w:pPr>
              <w:pStyle w:val="TableParagraph"/>
              <w:cnfStyle w:val="000000000000" w:firstRow="0" w:lastRow="0" w:firstColumn="0" w:lastColumn="0" w:oddVBand="0" w:evenVBand="0" w:oddHBand="0" w:evenHBand="0" w:firstRowFirstColumn="0" w:firstRowLastColumn="0" w:lastRowFirstColumn="0" w:lastRowLastColumn="0"/>
              <w:rPr>
                <w:color w:val="000000"/>
                <w:szCs w:val="14"/>
              </w:rPr>
            </w:pPr>
            <w:r w:rsidRPr="005629F8">
              <w:rPr>
                <w:b/>
                <w:bCs/>
                <w:color w:val="000000"/>
                <w:szCs w:val="14"/>
              </w:rPr>
              <w:t xml:space="preserve">Top 10 highest cost weighted separations, % of all </w:t>
            </w:r>
            <w:r>
              <w:rPr>
                <w:b/>
                <w:bCs/>
                <w:color w:val="000000"/>
                <w:szCs w:val="14"/>
              </w:rPr>
              <w:t>AR-</w:t>
            </w:r>
            <w:r w:rsidRPr="005629F8">
              <w:rPr>
                <w:b/>
                <w:bCs/>
                <w:color w:val="000000"/>
                <w:szCs w:val="14"/>
              </w:rPr>
              <w:t>DRGs</w:t>
            </w:r>
          </w:p>
        </w:tc>
        <w:tc>
          <w:tcPr>
            <w:tcW w:w="708" w:type="dxa"/>
            <w:tcBorders>
              <w:left w:val="single" w:sz="4" w:space="0" w:color="FFFFFF" w:themeColor="accent6"/>
              <w:bottom w:val="single" w:sz="4" w:space="0" w:color="D9D9D9" w:themeColor="background2" w:themeShade="D9"/>
            </w:tcBorders>
            <w:shd w:val="clear" w:color="auto" w:fill="DFEBF1" w:themeFill="text2" w:themeFillTint="1A"/>
            <w:noWrap/>
          </w:tcPr>
          <w:p w14:paraId="2A09B122" w14:textId="77777777"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851" w:type="dxa"/>
            <w:tcBorders>
              <w:bottom w:val="single" w:sz="4" w:space="0" w:color="D9D9D9" w:themeColor="background2" w:themeShade="D9"/>
            </w:tcBorders>
            <w:shd w:val="clear" w:color="auto" w:fill="DFEBF1" w:themeFill="text2" w:themeFillTint="1A"/>
            <w:noWrap/>
          </w:tcPr>
          <w:p w14:paraId="50DD257D" w14:textId="00BEC791"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21.8%</w:t>
            </w:r>
          </w:p>
        </w:tc>
        <w:tc>
          <w:tcPr>
            <w:tcW w:w="992" w:type="dxa"/>
            <w:tcBorders>
              <w:bottom w:val="single" w:sz="4" w:space="0" w:color="D9D9D9" w:themeColor="background2" w:themeShade="D9"/>
            </w:tcBorders>
            <w:shd w:val="clear" w:color="auto" w:fill="DFEBF1" w:themeFill="text2" w:themeFillTint="1A"/>
            <w:noWrap/>
          </w:tcPr>
          <w:p w14:paraId="4EF418D5" w14:textId="7C6F89E3"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20.3%</w:t>
            </w:r>
          </w:p>
        </w:tc>
        <w:tc>
          <w:tcPr>
            <w:tcW w:w="1134" w:type="dxa"/>
            <w:tcBorders>
              <w:bottom w:val="single" w:sz="4" w:space="0" w:color="D9D9D9" w:themeColor="background2" w:themeShade="D9"/>
            </w:tcBorders>
            <w:shd w:val="clear" w:color="auto" w:fill="DFEBF1" w:themeFill="text2" w:themeFillTint="1A"/>
            <w:noWrap/>
          </w:tcPr>
          <w:p w14:paraId="056976DA" w14:textId="37E24E79"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r w:rsidRPr="002D01B9">
              <w:rPr>
                <w:b/>
                <w:bCs/>
                <w:color w:val="000000"/>
                <w:szCs w:val="14"/>
              </w:rPr>
              <w:t>15.5%</w:t>
            </w:r>
          </w:p>
        </w:tc>
        <w:tc>
          <w:tcPr>
            <w:tcW w:w="992" w:type="dxa"/>
            <w:tcBorders>
              <w:bottom w:val="single" w:sz="4" w:space="0" w:color="D9D9D9" w:themeColor="background2" w:themeShade="D9"/>
            </w:tcBorders>
            <w:shd w:val="clear" w:color="auto" w:fill="DFEBF1" w:themeFill="text2" w:themeFillTint="1A"/>
            <w:noWrap/>
          </w:tcPr>
          <w:p w14:paraId="3A014A02" w14:textId="77777777"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567" w:type="dxa"/>
            <w:tcBorders>
              <w:bottom w:val="single" w:sz="4" w:space="0" w:color="D9D9D9" w:themeColor="background2" w:themeShade="D9"/>
              <w:right w:val="single" w:sz="4" w:space="0" w:color="FFFFFF" w:themeColor="accent6"/>
            </w:tcBorders>
            <w:shd w:val="clear" w:color="auto" w:fill="DFEBF1" w:themeFill="text2" w:themeFillTint="1A"/>
            <w:noWrap/>
          </w:tcPr>
          <w:p w14:paraId="5E810D22" w14:textId="77777777"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709" w:type="dxa"/>
            <w:tcBorders>
              <w:left w:val="single" w:sz="4" w:space="0" w:color="FFFFFF" w:themeColor="accent6"/>
              <w:bottom w:val="single" w:sz="4" w:space="0" w:color="D9D9D9" w:themeColor="background2" w:themeShade="D9"/>
            </w:tcBorders>
            <w:shd w:val="clear" w:color="auto" w:fill="DFEBF1" w:themeFill="text2" w:themeFillTint="1A"/>
            <w:noWrap/>
          </w:tcPr>
          <w:p w14:paraId="17E1CC76" w14:textId="77777777"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709" w:type="dxa"/>
            <w:tcBorders>
              <w:bottom w:val="single" w:sz="4" w:space="0" w:color="D9D9D9" w:themeColor="background2" w:themeShade="D9"/>
              <w:right w:val="single" w:sz="4" w:space="0" w:color="FFFFFF" w:themeColor="accent6"/>
            </w:tcBorders>
            <w:shd w:val="clear" w:color="auto" w:fill="DFEBF1" w:themeFill="text2" w:themeFillTint="1A"/>
            <w:noWrap/>
          </w:tcPr>
          <w:p w14:paraId="4C6D8F0D" w14:textId="77777777" w:rsidR="002D01B9" w:rsidRPr="002D01B9"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b/>
                <w:bCs/>
                <w:color w:val="000000"/>
                <w:szCs w:val="14"/>
              </w:rPr>
            </w:pPr>
          </w:p>
        </w:tc>
        <w:tc>
          <w:tcPr>
            <w:tcW w:w="992" w:type="dxa"/>
            <w:tcBorders>
              <w:left w:val="single" w:sz="4" w:space="0" w:color="FFFFFF" w:themeColor="accent6"/>
              <w:bottom w:val="single" w:sz="4" w:space="0" w:color="D9D9D9" w:themeColor="background2" w:themeShade="D9"/>
            </w:tcBorders>
            <w:shd w:val="clear" w:color="auto" w:fill="DFEBF1" w:themeFill="text2" w:themeFillTint="1A"/>
            <w:noWrap/>
            <w:vAlign w:val="center"/>
          </w:tcPr>
          <w:p w14:paraId="2215CACE"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851" w:type="dxa"/>
            <w:tcBorders>
              <w:bottom w:val="single" w:sz="4" w:space="0" w:color="D9D9D9" w:themeColor="background2" w:themeShade="D9"/>
            </w:tcBorders>
            <w:shd w:val="clear" w:color="auto" w:fill="DFEBF1" w:themeFill="text2" w:themeFillTint="1A"/>
            <w:noWrap/>
            <w:vAlign w:val="center"/>
          </w:tcPr>
          <w:p w14:paraId="3911F596"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134" w:type="dxa"/>
            <w:tcBorders>
              <w:bottom w:val="single" w:sz="4" w:space="0" w:color="D9D9D9" w:themeColor="background2" w:themeShade="D9"/>
            </w:tcBorders>
            <w:shd w:val="clear" w:color="auto" w:fill="DFEBF1" w:themeFill="text2" w:themeFillTint="1A"/>
            <w:noWrap/>
            <w:vAlign w:val="center"/>
          </w:tcPr>
          <w:p w14:paraId="0107508A"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c>
          <w:tcPr>
            <w:tcW w:w="1007" w:type="dxa"/>
            <w:tcBorders>
              <w:bottom w:val="single" w:sz="4" w:space="0" w:color="D9D9D9" w:themeColor="background2" w:themeShade="D9"/>
            </w:tcBorders>
            <w:shd w:val="clear" w:color="auto" w:fill="DFEBF1" w:themeFill="text2" w:themeFillTint="1A"/>
            <w:noWrap/>
            <w:vAlign w:val="center"/>
          </w:tcPr>
          <w:p w14:paraId="10A977D5" w14:textId="77777777" w:rsidR="002D01B9" w:rsidRPr="005629F8" w:rsidRDefault="002D01B9" w:rsidP="002D01B9">
            <w:pPr>
              <w:pStyle w:val="TableParagraph"/>
              <w:jc w:val="center"/>
              <w:cnfStyle w:val="000000000000" w:firstRow="0" w:lastRow="0" w:firstColumn="0" w:lastColumn="0" w:oddVBand="0" w:evenVBand="0" w:oddHBand="0" w:evenHBand="0" w:firstRowFirstColumn="0" w:firstRowLastColumn="0" w:lastRowFirstColumn="0" w:lastRowLastColumn="0"/>
              <w:rPr>
                <w:color w:val="000000"/>
                <w:szCs w:val="14"/>
              </w:rPr>
            </w:pPr>
          </w:p>
        </w:tc>
      </w:tr>
    </w:tbl>
    <w:p w14:paraId="562E0562" w14:textId="79B0EB51" w:rsidR="00E104B5" w:rsidRPr="005629F8" w:rsidRDefault="00E104B5" w:rsidP="00452B90">
      <w:pPr>
        <w:spacing w:before="120" w:after="0" w:line="240" w:lineRule="auto"/>
        <w:rPr>
          <w:b/>
          <w:bCs/>
          <w:color w:val="auto"/>
          <w:sz w:val="16"/>
          <w:szCs w:val="16"/>
        </w:rPr>
      </w:pPr>
      <w:r w:rsidRPr="005629F8">
        <w:rPr>
          <w:b/>
          <w:bCs/>
          <w:sz w:val="16"/>
          <w:szCs w:val="16"/>
        </w:rPr>
        <w:t>Notes</w:t>
      </w:r>
    </w:p>
    <w:p w14:paraId="3E915439" w14:textId="22656518" w:rsidR="00E104B5" w:rsidRPr="005629F8" w:rsidRDefault="00E104B5" w:rsidP="000C38AE">
      <w:pPr>
        <w:pStyle w:val="ListParagraph"/>
        <w:widowControl w:val="0"/>
        <w:numPr>
          <w:ilvl w:val="0"/>
          <w:numId w:val="20"/>
        </w:numPr>
        <w:autoSpaceDE w:val="0"/>
        <w:autoSpaceDN w:val="0"/>
        <w:spacing w:after="0" w:line="240" w:lineRule="auto"/>
        <w:ind w:left="340" w:hanging="56"/>
        <w:contextualSpacing w:val="0"/>
        <w:rPr>
          <w:sz w:val="14"/>
        </w:rPr>
      </w:pPr>
      <w:r w:rsidRPr="005629F8">
        <w:rPr>
          <w:sz w:val="14"/>
        </w:rPr>
        <w:t>For</w:t>
      </w:r>
      <w:r w:rsidRPr="005629F8">
        <w:rPr>
          <w:spacing w:val="-3"/>
          <w:sz w:val="14"/>
        </w:rPr>
        <w:t xml:space="preserve"> </w:t>
      </w:r>
      <w:r w:rsidRPr="005629F8">
        <w:rPr>
          <w:sz w:val="14"/>
        </w:rPr>
        <w:t>cost weight (cost</w:t>
      </w:r>
      <w:r w:rsidRPr="005629F8">
        <w:rPr>
          <w:spacing w:val="-2"/>
          <w:sz w:val="14"/>
        </w:rPr>
        <w:t xml:space="preserve"> </w:t>
      </w:r>
      <w:r w:rsidRPr="005629F8">
        <w:rPr>
          <w:sz w:val="14"/>
        </w:rPr>
        <w:t>bucket</w:t>
      </w:r>
      <w:r w:rsidRPr="005629F8">
        <w:rPr>
          <w:spacing w:val="-2"/>
          <w:sz w:val="14"/>
        </w:rPr>
        <w:t xml:space="preserve"> </w:t>
      </w:r>
      <w:r w:rsidRPr="005629F8">
        <w:rPr>
          <w:sz w:val="14"/>
        </w:rPr>
        <w:t>specific)</w:t>
      </w:r>
      <w:r w:rsidRPr="005629F8">
        <w:rPr>
          <w:spacing w:val="-2"/>
          <w:sz w:val="14"/>
        </w:rPr>
        <w:t xml:space="preserve"> </w:t>
      </w:r>
      <w:r w:rsidRPr="005629F8">
        <w:rPr>
          <w:sz w:val="14"/>
        </w:rPr>
        <w:t>calculations</w:t>
      </w:r>
      <w:r w:rsidRPr="005629F8">
        <w:rPr>
          <w:spacing w:val="-2"/>
          <w:sz w:val="14"/>
        </w:rPr>
        <w:t xml:space="preserve"> </w:t>
      </w:r>
      <w:r w:rsidRPr="005629F8">
        <w:rPr>
          <w:sz w:val="14"/>
        </w:rPr>
        <w:t>please</w:t>
      </w:r>
      <w:r w:rsidRPr="005629F8">
        <w:rPr>
          <w:spacing w:val="-2"/>
          <w:sz w:val="14"/>
        </w:rPr>
        <w:t xml:space="preserve"> </w:t>
      </w:r>
      <w:r w:rsidRPr="005629F8">
        <w:rPr>
          <w:sz w:val="14"/>
        </w:rPr>
        <w:t>refer</w:t>
      </w:r>
      <w:r w:rsidRPr="005629F8">
        <w:rPr>
          <w:spacing w:val="-3"/>
          <w:sz w:val="14"/>
        </w:rPr>
        <w:t xml:space="preserve"> </w:t>
      </w:r>
      <w:r w:rsidRPr="005629F8">
        <w:rPr>
          <w:sz w:val="14"/>
        </w:rPr>
        <w:t xml:space="preserve">to </w:t>
      </w:r>
      <w:r w:rsidRPr="005629F8">
        <w:rPr>
          <w:sz w:val="14"/>
          <w:szCs w:val="14"/>
        </w:rPr>
        <w:fldChar w:fldCharType="begin"/>
      </w:r>
      <w:r w:rsidRPr="005629F8">
        <w:rPr>
          <w:sz w:val="14"/>
          <w:szCs w:val="14"/>
        </w:rPr>
        <w:instrText xml:space="preserve"> REF _Ref103175315 \h  \* MERGEFORMAT </w:instrText>
      </w:r>
      <w:r w:rsidRPr="005629F8">
        <w:rPr>
          <w:sz w:val="14"/>
          <w:szCs w:val="14"/>
        </w:rPr>
      </w:r>
      <w:r w:rsidRPr="005629F8">
        <w:rPr>
          <w:sz w:val="14"/>
          <w:szCs w:val="14"/>
        </w:rPr>
        <w:fldChar w:fldCharType="separate"/>
      </w:r>
      <w:r w:rsidR="00BF088F" w:rsidRPr="005629F8">
        <w:rPr>
          <w:sz w:val="14"/>
          <w:szCs w:val="14"/>
        </w:rPr>
        <w:t>Appendix</w:t>
      </w:r>
      <w:r w:rsidR="00BF088F" w:rsidRPr="005629F8">
        <w:rPr>
          <w:spacing w:val="-2"/>
          <w:sz w:val="14"/>
          <w:szCs w:val="14"/>
        </w:rPr>
        <w:t xml:space="preserve"> </w:t>
      </w:r>
      <w:r w:rsidR="00BF088F" w:rsidRPr="005629F8">
        <w:rPr>
          <w:sz w:val="14"/>
          <w:szCs w:val="14"/>
        </w:rPr>
        <w:t>D:</w:t>
      </w:r>
      <w:r w:rsidR="00BF088F" w:rsidRPr="005629F8">
        <w:rPr>
          <w:spacing w:val="1"/>
          <w:sz w:val="14"/>
          <w:szCs w:val="14"/>
        </w:rPr>
        <w:t xml:space="preserve"> </w:t>
      </w:r>
      <w:r w:rsidR="00BF088F" w:rsidRPr="005629F8">
        <w:rPr>
          <w:sz w:val="14"/>
          <w:szCs w:val="14"/>
        </w:rPr>
        <w:t>Cost</w:t>
      </w:r>
      <w:r w:rsidR="00BF088F" w:rsidRPr="005629F8">
        <w:rPr>
          <w:spacing w:val="1"/>
          <w:sz w:val="14"/>
          <w:szCs w:val="14"/>
        </w:rPr>
        <w:t xml:space="preserve"> </w:t>
      </w:r>
      <w:r w:rsidR="00BF088F" w:rsidRPr="005629F8">
        <w:rPr>
          <w:sz w:val="14"/>
          <w:szCs w:val="14"/>
        </w:rPr>
        <w:t>weight</w:t>
      </w:r>
      <w:r w:rsidR="00BF088F" w:rsidRPr="005629F8">
        <w:rPr>
          <w:spacing w:val="1"/>
          <w:sz w:val="14"/>
          <w:szCs w:val="14"/>
        </w:rPr>
        <w:t xml:space="preserve"> </w:t>
      </w:r>
      <w:r w:rsidR="00BF088F" w:rsidRPr="005629F8">
        <w:rPr>
          <w:sz w:val="14"/>
          <w:szCs w:val="14"/>
        </w:rPr>
        <w:t>tables by AR-DRG Version 10.0</w:t>
      </w:r>
      <w:r w:rsidRPr="005629F8">
        <w:rPr>
          <w:sz w:val="14"/>
          <w:szCs w:val="14"/>
        </w:rPr>
        <w:fldChar w:fldCharType="end"/>
      </w:r>
    </w:p>
    <w:p w14:paraId="465FE166" w14:textId="77777777" w:rsidR="00E104B5" w:rsidRPr="005629F8" w:rsidRDefault="00E104B5" w:rsidP="000C38AE">
      <w:pPr>
        <w:pStyle w:val="ListParagraph"/>
        <w:widowControl w:val="0"/>
        <w:numPr>
          <w:ilvl w:val="0"/>
          <w:numId w:val="20"/>
        </w:numPr>
        <w:tabs>
          <w:tab w:val="left" w:pos="3967"/>
        </w:tabs>
        <w:autoSpaceDE w:val="0"/>
        <w:autoSpaceDN w:val="0"/>
        <w:spacing w:after="0" w:line="240" w:lineRule="auto"/>
        <w:ind w:left="340" w:hanging="56"/>
        <w:contextualSpacing w:val="0"/>
        <w:rPr>
          <w:sz w:val="14"/>
        </w:rPr>
      </w:pPr>
      <w:r w:rsidRPr="005629F8">
        <w:rPr>
          <w:sz w:val="14"/>
        </w:rPr>
        <w:t>Separations</w:t>
      </w:r>
      <w:r w:rsidRPr="005629F8">
        <w:rPr>
          <w:spacing w:val="-4"/>
          <w:sz w:val="14"/>
        </w:rPr>
        <w:t xml:space="preserve"> </w:t>
      </w:r>
      <w:r w:rsidRPr="005629F8">
        <w:rPr>
          <w:sz w:val="14"/>
        </w:rPr>
        <w:t>shown</w:t>
      </w:r>
      <w:r w:rsidRPr="005629F8">
        <w:rPr>
          <w:spacing w:val="-4"/>
          <w:sz w:val="14"/>
        </w:rPr>
        <w:t xml:space="preserve"> </w:t>
      </w:r>
      <w:r w:rsidRPr="005629F8">
        <w:rPr>
          <w:sz w:val="14"/>
        </w:rPr>
        <w:t>are</w:t>
      </w:r>
      <w:r w:rsidRPr="005629F8">
        <w:rPr>
          <w:spacing w:val="-1"/>
          <w:sz w:val="14"/>
        </w:rPr>
        <w:t xml:space="preserve"> </w:t>
      </w:r>
      <w:r w:rsidRPr="005629F8">
        <w:rPr>
          <w:sz w:val="14"/>
        </w:rPr>
        <w:t xml:space="preserve">strata </w:t>
      </w:r>
      <w:proofErr w:type="gramStart"/>
      <w:r w:rsidRPr="005629F8">
        <w:rPr>
          <w:sz w:val="14"/>
        </w:rPr>
        <w:t>weighted</w:t>
      </w:r>
      <w:proofErr w:type="gramEnd"/>
      <w:r w:rsidRPr="005629F8">
        <w:rPr>
          <w:sz w:val="14"/>
        </w:rPr>
        <w:tab/>
      </w:r>
    </w:p>
    <w:p w14:paraId="6858DD74" w14:textId="5C066CB8" w:rsidR="00E104B5" w:rsidRPr="005629F8" w:rsidRDefault="00E104B5" w:rsidP="000C38AE">
      <w:pPr>
        <w:pStyle w:val="ListParagraph"/>
        <w:widowControl w:val="0"/>
        <w:numPr>
          <w:ilvl w:val="0"/>
          <w:numId w:val="20"/>
        </w:numPr>
        <w:tabs>
          <w:tab w:val="left" w:pos="3967"/>
        </w:tabs>
        <w:autoSpaceDE w:val="0"/>
        <w:autoSpaceDN w:val="0"/>
        <w:spacing w:after="0" w:line="240" w:lineRule="auto"/>
        <w:ind w:left="340" w:hanging="56"/>
        <w:contextualSpacing w:val="0"/>
        <w:rPr>
          <w:sz w:val="14"/>
        </w:rPr>
      </w:pPr>
      <w:r w:rsidRPr="005629F8">
        <w:rPr>
          <w:sz w:val="14"/>
        </w:rPr>
        <w:t>ALOS</w:t>
      </w:r>
      <w:r w:rsidRPr="005629F8">
        <w:rPr>
          <w:spacing w:val="-2"/>
          <w:sz w:val="14"/>
        </w:rPr>
        <w:t xml:space="preserve"> </w:t>
      </w:r>
      <w:r w:rsidRPr="005629F8">
        <w:rPr>
          <w:sz w:val="14"/>
        </w:rPr>
        <w:t>means Average</w:t>
      </w:r>
      <w:r w:rsidRPr="005629F8">
        <w:rPr>
          <w:spacing w:val="1"/>
          <w:sz w:val="14"/>
        </w:rPr>
        <w:t xml:space="preserve"> </w:t>
      </w:r>
      <w:r w:rsidRPr="005629F8">
        <w:rPr>
          <w:sz w:val="14"/>
        </w:rPr>
        <w:t>Length</w:t>
      </w:r>
      <w:r w:rsidRPr="005629F8">
        <w:rPr>
          <w:spacing w:val="-3"/>
          <w:sz w:val="14"/>
        </w:rPr>
        <w:t xml:space="preserve"> </w:t>
      </w:r>
      <w:r w:rsidRPr="005629F8">
        <w:rPr>
          <w:sz w:val="14"/>
        </w:rPr>
        <w:t>of</w:t>
      </w:r>
      <w:r w:rsidRPr="005629F8">
        <w:rPr>
          <w:spacing w:val="-1"/>
          <w:sz w:val="14"/>
        </w:rPr>
        <w:t xml:space="preserve"> </w:t>
      </w:r>
      <w:r w:rsidRPr="005629F8">
        <w:rPr>
          <w:sz w:val="14"/>
        </w:rPr>
        <w:t>Stay</w:t>
      </w:r>
    </w:p>
    <w:p w14:paraId="1F786976" w14:textId="77777777" w:rsidR="00DF244A" w:rsidRPr="005629F8" w:rsidRDefault="00DF244A" w:rsidP="00DF244A">
      <w:pPr>
        <w:jc w:val="right"/>
        <w:rPr>
          <w:highlight w:val="yellow"/>
        </w:rPr>
      </w:pPr>
    </w:p>
    <w:p w14:paraId="69FB69EC" w14:textId="77777777" w:rsidR="00DF244A" w:rsidRPr="005629F8" w:rsidRDefault="00DF244A" w:rsidP="00DF244A">
      <w:pPr>
        <w:rPr>
          <w:highlight w:val="yellow"/>
        </w:rPr>
      </w:pPr>
    </w:p>
    <w:p w14:paraId="44002713" w14:textId="697288EA" w:rsidR="00DF244A" w:rsidRPr="005629F8" w:rsidRDefault="00DF244A" w:rsidP="00DF244A">
      <w:pPr>
        <w:rPr>
          <w:highlight w:val="yellow"/>
        </w:rPr>
        <w:sectPr w:rsidR="00DF244A" w:rsidRPr="005629F8" w:rsidSect="00522146">
          <w:footerReference w:type="default" r:id="rId34"/>
          <w:pgSz w:w="16838" w:h="11906" w:orient="landscape" w:code="9"/>
          <w:pgMar w:top="567" w:right="567" w:bottom="567" w:left="567" w:header="709" w:footer="709" w:gutter="0"/>
          <w:cols w:space="720"/>
          <w:docGrid w:linePitch="360"/>
        </w:sectPr>
      </w:pPr>
    </w:p>
    <w:p w14:paraId="0B0DA174" w14:textId="41D50582" w:rsidR="00653930" w:rsidRDefault="00653930" w:rsidP="00FC4599">
      <w:pPr>
        <w:pStyle w:val="Heading2"/>
      </w:pPr>
      <w:bookmarkStart w:id="135" w:name="_Toc129700685"/>
      <w:bookmarkStart w:id="136" w:name="_Toc129701378"/>
      <w:r w:rsidRPr="005629F8">
        <w:lastRenderedPageBreak/>
        <w:t>Analysis</w:t>
      </w:r>
      <w:r w:rsidRPr="005629F8">
        <w:rPr>
          <w:spacing w:val="-1"/>
        </w:rPr>
        <w:t xml:space="preserve"> </w:t>
      </w:r>
      <w:r w:rsidRPr="005629F8">
        <w:t>of</w:t>
      </w:r>
      <w:r w:rsidRPr="005629F8">
        <w:rPr>
          <w:spacing w:val="-1"/>
        </w:rPr>
        <w:t xml:space="preserve"> </w:t>
      </w:r>
      <w:r w:rsidRPr="005629F8">
        <w:t>cost</w:t>
      </w:r>
      <w:r w:rsidRPr="005629F8">
        <w:rPr>
          <w:spacing w:val="1"/>
        </w:rPr>
        <w:t xml:space="preserve"> </w:t>
      </w:r>
      <w:r w:rsidRPr="005629F8">
        <w:t>buckets</w:t>
      </w:r>
      <w:bookmarkEnd w:id="135"/>
      <w:bookmarkEnd w:id="136"/>
    </w:p>
    <w:p w14:paraId="24F7837C" w14:textId="66662F31" w:rsidR="00653930" w:rsidRPr="005629F8" w:rsidRDefault="0016139F" w:rsidP="00653930">
      <w:r w:rsidRPr="005629F8">
        <w:t>A</w:t>
      </w:r>
      <w:r w:rsidR="00194F12" w:rsidRPr="005629F8">
        <w:t xml:space="preserve">nalysis of the cost buckets (operating room and specialist procedure suites, critical </w:t>
      </w:r>
      <w:r w:rsidR="00922289">
        <w:t>care,</w:t>
      </w:r>
      <w:r w:rsidR="004A40C4">
        <w:t xml:space="preserve"> </w:t>
      </w:r>
      <w:r w:rsidR="00194F12" w:rsidRPr="005629F8">
        <w:t>prostheses</w:t>
      </w:r>
      <w:r w:rsidR="00922289">
        <w:t xml:space="preserve"> and miscellaneous</w:t>
      </w:r>
      <w:r w:rsidR="00194F12" w:rsidRPr="005629F8">
        <w:t>) has been undertaken to identify the top 10 AR-DRGs</w:t>
      </w:r>
      <w:r w:rsidR="004A40C4">
        <w:t xml:space="preserve"> by </w:t>
      </w:r>
      <w:r w:rsidR="00922289">
        <w:t>proportion</w:t>
      </w:r>
      <w:r w:rsidR="004A40C4">
        <w:t xml:space="preserve"> of c</w:t>
      </w:r>
      <w:r w:rsidR="00922289">
        <w:t>ost</w:t>
      </w:r>
      <w:r w:rsidR="00194F12" w:rsidRPr="005629F8">
        <w:t xml:space="preserve"> for each of these buckets.</w:t>
      </w:r>
      <w:r w:rsidRPr="005629F8">
        <w:t xml:space="preserve"> </w:t>
      </w:r>
      <w:r w:rsidR="00653930" w:rsidRPr="005629F8">
        <w:t xml:space="preserve">The </w:t>
      </w:r>
      <w:r w:rsidR="008965B1" w:rsidRPr="005629F8">
        <w:t xml:space="preserve">NHCDC </w:t>
      </w:r>
      <w:r w:rsidR="004072A6">
        <w:t>P</w:t>
      </w:r>
      <w:r w:rsidR="00653930" w:rsidRPr="005629F8">
        <w:t xml:space="preserve">rivate </w:t>
      </w:r>
      <w:r w:rsidR="004072A6">
        <w:t>S</w:t>
      </w:r>
      <w:r w:rsidR="00653930" w:rsidRPr="005629F8">
        <w:t xml:space="preserve">ector analysis has reported on the </w:t>
      </w:r>
      <w:r w:rsidR="00842BB6">
        <w:t xml:space="preserve">following </w:t>
      </w:r>
      <w:r w:rsidR="00653930" w:rsidRPr="005629F8">
        <w:t xml:space="preserve">cost buckets </w:t>
      </w:r>
      <w:r w:rsidR="004072A6">
        <w:t xml:space="preserve">groups </w:t>
      </w:r>
      <w:r w:rsidR="00653930" w:rsidRPr="005629F8">
        <w:t xml:space="preserve">since </w:t>
      </w:r>
      <w:r w:rsidR="00653930" w:rsidRPr="005629F8">
        <w:rPr>
          <w:spacing w:val="-59"/>
        </w:rPr>
        <w:t xml:space="preserve">  </w:t>
      </w:r>
      <w:r w:rsidR="00653930" w:rsidRPr="005629F8">
        <w:t>2012-13:</w:t>
      </w:r>
    </w:p>
    <w:p w14:paraId="467BE332" w14:textId="17E2CF68" w:rsidR="00653930" w:rsidRPr="005629F8" w:rsidRDefault="00EB2C7F" w:rsidP="00653930">
      <w:pPr>
        <w:pStyle w:val="ListLevel1"/>
      </w:pPr>
      <w:r>
        <w:t>o</w:t>
      </w:r>
      <w:r w:rsidR="00653930" w:rsidRPr="005629F8">
        <w:t xml:space="preserve">perating </w:t>
      </w:r>
      <w:r w:rsidR="00922289">
        <w:t>r</w:t>
      </w:r>
      <w:r w:rsidR="00922289" w:rsidRPr="005629F8">
        <w:t xml:space="preserve">oom </w:t>
      </w:r>
      <w:r w:rsidR="00653930" w:rsidRPr="005629F8">
        <w:t xml:space="preserve">and </w:t>
      </w:r>
      <w:r w:rsidR="00922289">
        <w:t>s</w:t>
      </w:r>
      <w:r w:rsidR="00922289" w:rsidRPr="005629F8">
        <w:t xml:space="preserve">pecialist </w:t>
      </w:r>
      <w:r w:rsidR="00922289">
        <w:t>p</w:t>
      </w:r>
      <w:r w:rsidR="00653930" w:rsidRPr="005629F8">
        <w:t xml:space="preserve">rocedure </w:t>
      </w:r>
      <w:r w:rsidR="00922289">
        <w:t>s</w:t>
      </w:r>
      <w:r w:rsidR="00653930" w:rsidRPr="005629F8">
        <w:t>uites</w:t>
      </w:r>
      <w:r w:rsidR="009479C9">
        <w:t xml:space="preserve"> (OR and SPS)</w:t>
      </w:r>
    </w:p>
    <w:p w14:paraId="19C7C304" w14:textId="4F175F3F" w:rsidR="00653930" w:rsidRPr="005629F8" w:rsidRDefault="00EB2C7F" w:rsidP="00653930">
      <w:pPr>
        <w:pStyle w:val="ListLevel1"/>
      </w:pPr>
      <w:r>
        <w:t>c</w:t>
      </w:r>
      <w:r w:rsidR="00653930" w:rsidRPr="005629F8">
        <w:t>ritical care</w:t>
      </w:r>
    </w:p>
    <w:p w14:paraId="1F913FBB" w14:textId="7F1B8ED2" w:rsidR="00653930" w:rsidRPr="005629F8" w:rsidRDefault="00EB2C7F" w:rsidP="00653930">
      <w:pPr>
        <w:pStyle w:val="ListLevel1"/>
      </w:pPr>
      <w:r>
        <w:t>p</w:t>
      </w:r>
      <w:r w:rsidR="00653930" w:rsidRPr="005629F8">
        <w:t>rostheses</w:t>
      </w:r>
    </w:p>
    <w:p w14:paraId="2246A328" w14:textId="2BCBFB4C" w:rsidR="00653930" w:rsidRPr="005629F8" w:rsidRDefault="00EB2C7F" w:rsidP="00653930">
      <w:pPr>
        <w:pStyle w:val="ListLevel1"/>
      </w:pPr>
      <w:r>
        <w:t>m</w:t>
      </w:r>
      <w:r w:rsidR="00653930" w:rsidRPr="005629F8">
        <w:t xml:space="preserve">iscellaneous </w:t>
      </w:r>
      <w:bookmarkStart w:id="137" w:name="_Hlk150854399"/>
      <w:r w:rsidR="00653930" w:rsidRPr="005629F8">
        <w:t xml:space="preserve">(representing the remainder of the cost buckets </w:t>
      </w:r>
      <w:bookmarkEnd w:id="137"/>
      <w:r w:rsidR="00653930" w:rsidRPr="005629F8">
        <w:t xml:space="preserve">– see </w:t>
      </w:r>
      <w:r w:rsidR="00CA7F78" w:rsidRPr="005629F8">
        <w:fldChar w:fldCharType="begin"/>
      </w:r>
      <w:r w:rsidR="00CA7F78" w:rsidRPr="005629F8">
        <w:instrText xml:space="preserve"> REF _Ref103176206 \h  \* MERGEFORMAT </w:instrText>
      </w:r>
      <w:r w:rsidR="00CA7F78" w:rsidRPr="005629F8">
        <w:fldChar w:fldCharType="separate"/>
      </w:r>
      <w:r w:rsidR="00CA7F78" w:rsidRPr="00F2253B">
        <w:t>Appendix B</w:t>
      </w:r>
      <w:r w:rsidR="00CA7F78" w:rsidRPr="005629F8">
        <w:fldChar w:fldCharType="end"/>
      </w:r>
      <w:r w:rsidR="00CA7F78">
        <w:t xml:space="preserve"> </w:t>
      </w:r>
      <w:r w:rsidR="00653930" w:rsidRPr="005629F8">
        <w:fldChar w:fldCharType="begin"/>
      </w:r>
      <w:r w:rsidR="00653930" w:rsidRPr="005629F8">
        <w:instrText xml:space="preserve"> REF _Ref103176206 \h  \* MERGEFORMAT </w:instrText>
      </w:r>
      <w:r w:rsidR="00653930" w:rsidRPr="005629F8">
        <w:fldChar w:fldCharType="end"/>
      </w:r>
      <w:r w:rsidR="00653930" w:rsidRPr="005629F8">
        <w:t>for the list of cost buckets).</w:t>
      </w:r>
    </w:p>
    <w:p w14:paraId="0AEDEE2E" w14:textId="792D6515" w:rsidR="00653930" w:rsidRPr="005629F8" w:rsidRDefault="00653930" w:rsidP="00653930">
      <w:r w:rsidRPr="005629F8">
        <w:t>The</w:t>
      </w:r>
      <w:r w:rsidRPr="005629F8">
        <w:rPr>
          <w:spacing w:val="-2"/>
        </w:rPr>
        <w:t xml:space="preserve"> </w:t>
      </w:r>
      <w:r w:rsidRPr="005629F8">
        <w:t>same</w:t>
      </w:r>
      <w:r w:rsidRPr="005629F8">
        <w:rPr>
          <w:spacing w:val="-2"/>
        </w:rPr>
        <w:t xml:space="preserve"> </w:t>
      </w:r>
      <w:r w:rsidRPr="005629F8">
        <w:t>cost</w:t>
      </w:r>
      <w:r w:rsidRPr="005629F8">
        <w:rPr>
          <w:spacing w:val="2"/>
        </w:rPr>
        <w:t xml:space="preserve"> </w:t>
      </w:r>
      <w:r w:rsidRPr="005629F8">
        <w:t>bucket</w:t>
      </w:r>
      <w:r w:rsidR="004072A6">
        <w:t xml:space="preserve"> groups</w:t>
      </w:r>
      <w:r w:rsidRPr="005629F8">
        <w:rPr>
          <w:spacing w:val="-1"/>
        </w:rPr>
        <w:t xml:space="preserve"> </w:t>
      </w:r>
      <w:r w:rsidR="0034265B">
        <w:t xml:space="preserve">have been considered for </w:t>
      </w:r>
      <w:r w:rsidR="008E1F02">
        <w:t>2021</w:t>
      </w:r>
      <w:r w:rsidR="00A96EDB" w:rsidRPr="005629F8">
        <w:t>-</w:t>
      </w:r>
      <w:r w:rsidR="008E1F02">
        <w:t>22</w:t>
      </w:r>
      <w:r w:rsidR="0034265B">
        <w:t xml:space="preserve">, with additional analysis on the </w:t>
      </w:r>
      <w:r w:rsidR="00DB117A">
        <w:t>w</w:t>
      </w:r>
      <w:r w:rsidR="0034265B">
        <w:t xml:space="preserve">ard </w:t>
      </w:r>
      <w:r w:rsidR="00DB117A">
        <w:t xml:space="preserve">nursing </w:t>
      </w:r>
      <w:r w:rsidR="0034265B">
        <w:t>cost bucket presented in this year’s report</w:t>
      </w:r>
      <w:r w:rsidRPr="005629F8">
        <w:t>.</w:t>
      </w:r>
    </w:p>
    <w:p w14:paraId="38958444" w14:textId="3A83F8A6" w:rsidR="00653930" w:rsidRPr="005629F8" w:rsidRDefault="0065012E" w:rsidP="00E87B16">
      <w:pPr>
        <w:pStyle w:val="Heading4"/>
      </w:pPr>
      <w:r w:rsidRPr="005629F8">
        <w:t>C</w:t>
      </w:r>
      <w:r w:rsidR="00EF49FC" w:rsidRPr="005629F8">
        <w:t xml:space="preserve">omparison with previous </w:t>
      </w:r>
      <w:r w:rsidRPr="005629F8">
        <w:t>years</w:t>
      </w:r>
    </w:p>
    <w:p w14:paraId="4AE70045" w14:textId="36487B90" w:rsidR="0068730C" w:rsidRPr="00B97016" w:rsidRDefault="0068730C" w:rsidP="00E87B16">
      <w:pPr>
        <w:pStyle w:val="TableFigureheading"/>
      </w:pPr>
      <w:bookmarkStart w:id="138" w:name="_Ref127868773"/>
      <w:bookmarkStart w:id="139" w:name="_Toc152081854"/>
      <w:r w:rsidRPr="00B97016">
        <w:t xml:space="preserve">Figure </w:t>
      </w:r>
      <w:r w:rsidRPr="00996578">
        <w:fldChar w:fldCharType="begin"/>
      </w:r>
      <w:r w:rsidRPr="00B97016">
        <w:instrText xml:space="preserve"> SEQ Figure \* ARABIC </w:instrText>
      </w:r>
      <w:r w:rsidRPr="00996578">
        <w:fldChar w:fldCharType="separate"/>
      </w:r>
      <w:r w:rsidR="006C68DC">
        <w:rPr>
          <w:noProof/>
        </w:rPr>
        <w:t>11</w:t>
      </w:r>
      <w:r w:rsidRPr="00996578">
        <w:fldChar w:fldCharType="end"/>
      </w:r>
      <w:bookmarkEnd w:id="138"/>
      <w:r w:rsidRPr="00B97016">
        <w:t xml:space="preserve">. </w:t>
      </w:r>
      <w:bookmarkStart w:id="140" w:name="_Hlk150854776"/>
      <w:r w:rsidRPr="00B97016">
        <w:t>Breakdown of costs by cost bucket group</w:t>
      </w:r>
      <w:bookmarkEnd w:id="139"/>
    </w:p>
    <w:bookmarkEnd w:id="140"/>
    <w:p w14:paraId="3EE8EA21" w14:textId="10B8EBFA" w:rsidR="00012A42" w:rsidRDefault="00407BE0" w:rsidP="00653930">
      <w:pPr>
        <w:rPr>
          <w:b/>
          <w:u w:val="single"/>
        </w:rPr>
      </w:pPr>
      <w:r w:rsidRPr="009F3E95">
        <w:rPr>
          <w:bCs/>
          <w:noProof/>
        </w:rPr>
        <w:drawing>
          <wp:inline distT="0" distB="0" distL="0" distR="0" wp14:anchorId="5371F255" wp14:editId="65ACBFD4">
            <wp:extent cx="5883001" cy="2684094"/>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2535" cy="2688444"/>
                    </a:xfrm>
                    <a:prstGeom prst="rect">
                      <a:avLst/>
                    </a:prstGeom>
                    <a:noFill/>
                  </pic:spPr>
                </pic:pic>
              </a:graphicData>
            </a:graphic>
          </wp:inline>
        </w:drawing>
      </w:r>
    </w:p>
    <w:p w14:paraId="3F765218" w14:textId="5D8BC140" w:rsidR="00B00D52" w:rsidRDefault="00D61BAD" w:rsidP="006E3741">
      <w:r w:rsidRPr="005629F8">
        <w:rPr>
          <w:color w:val="auto"/>
        </w:rPr>
        <w:fldChar w:fldCharType="begin"/>
      </w:r>
      <w:r w:rsidRPr="005629F8">
        <w:rPr>
          <w:rStyle w:val="Hyperlink"/>
          <w:color w:val="auto"/>
          <w:spacing w:val="-3"/>
          <w:u w:val="none"/>
        </w:rPr>
        <w:instrText xml:space="preserve"> REF _Ref127868773 \h </w:instrText>
      </w:r>
      <w:r w:rsidR="00EF49FC" w:rsidRPr="005629F8">
        <w:rPr>
          <w:color w:val="auto"/>
        </w:rPr>
        <w:instrText xml:space="preserve"> \* MERGEFORMAT </w:instrText>
      </w:r>
      <w:r w:rsidRPr="005629F8">
        <w:rPr>
          <w:color w:val="auto"/>
        </w:rPr>
      </w:r>
      <w:r w:rsidRPr="005629F8">
        <w:rPr>
          <w:color w:val="auto"/>
        </w:rPr>
        <w:fldChar w:fldCharType="separate"/>
      </w:r>
      <w:r w:rsidR="006B145F" w:rsidRPr="006B145F">
        <w:rPr>
          <w:color w:val="auto"/>
        </w:rPr>
        <w:t xml:space="preserve">Figure </w:t>
      </w:r>
      <w:r w:rsidR="006B145F" w:rsidRPr="006B145F">
        <w:rPr>
          <w:noProof/>
          <w:color w:val="auto"/>
        </w:rPr>
        <w:t>11</w:t>
      </w:r>
      <w:r w:rsidRPr="005629F8">
        <w:rPr>
          <w:color w:val="auto"/>
        </w:rPr>
        <w:fldChar w:fldCharType="end"/>
      </w:r>
      <w:r w:rsidR="0065012E" w:rsidRPr="005629F8">
        <w:rPr>
          <w:color w:val="auto"/>
        </w:rPr>
        <w:t xml:space="preserve"> </w:t>
      </w:r>
      <w:r w:rsidR="00653930" w:rsidRPr="005629F8">
        <w:rPr>
          <w:color w:val="auto"/>
        </w:rPr>
        <w:t>illustrate</w:t>
      </w:r>
      <w:r w:rsidR="0065012E" w:rsidRPr="005629F8">
        <w:rPr>
          <w:color w:val="auto"/>
        </w:rPr>
        <w:t>s</w:t>
      </w:r>
      <w:r w:rsidR="00653930" w:rsidRPr="005629F8">
        <w:rPr>
          <w:color w:val="auto"/>
          <w:spacing w:val="-3"/>
        </w:rPr>
        <w:t xml:space="preserve"> </w:t>
      </w:r>
      <w:r w:rsidR="00653930" w:rsidRPr="005629F8">
        <w:rPr>
          <w:color w:val="auto"/>
        </w:rPr>
        <w:t>the</w:t>
      </w:r>
      <w:r w:rsidR="00653930" w:rsidRPr="005629F8">
        <w:rPr>
          <w:color w:val="auto"/>
          <w:spacing w:val="-1"/>
        </w:rPr>
        <w:t xml:space="preserve"> </w:t>
      </w:r>
      <w:r w:rsidR="00653930" w:rsidRPr="005629F8">
        <w:rPr>
          <w:color w:val="auto"/>
        </w:rPr>
        <w:t>differences</w:t>
      </w:r>
      <w:r w:rsidR="00653930" w:rsidRPr="005629F8">
        <w:rPr>
          <w:color w:val="auto"/>
          <w:spacing w:val="-1"/>
        </w:rPr>
        <w:t xml:space="preserve"> </w:t>
      </w:r>
      <w:r w:rsidR="00653930" w:rsidRPr="005629F8">
        <w:rPr>
          <w:color w:val="auto"/>
        </w:rPr>
        <w:t xml:space="preserve">in the </w:t>
      </w:r>
      <w:r w:rsidR="00922289" w:rsidRPr="005629F8">
        <w:rPr>
          <w:color w:val="auto"/>
        </w:rPr>
        <w:t xml:space="preserve">cost bucket </w:t>
      </w:r>
      <w:r w:rsidR="003940F7">
        <w:rPr>
          <w:color w:val="auto"/>
        </w:rPr>
        <w:t xml:space="preserve">group </w:t>
      </w:r>
      <w:r w:rsidR="00922289" w:rsidRPr="005629F8">
        <w:rPr>
          <w:color w:val="auto"/>
        </w:rPr>
        <w:t>proportion</w:t>
      </w:r>
      <w:r w:rsidR="003940F7">
        <w:rPr>
          <w:color w:val="auto"/>
        </w:rPr>
        <w:t>s</w:t>
      </w:r>
      <w:r w:rsidR="00653930" w:rsidRPr="005629F8">
        <w:rPr>
          <w:color w:val="auto"/>
          <w:spacing w:val="-1"/>
        </w:rPr>
        <w:t xml:space="preserve"> </w:t>
      </w:r>
      <w:r w:rsidR="0065012E" w:rsidRPr="005629F8">
        <w:rPr>
          <w:color w:val="auto"/>
        </w:rPr>
        <w:t>over the last six years</w:t>
      </w:r>
      <w:r w:rsidR="00653930" w:rsidRPr="005629F8">
        <w:rPr>
          <w:color w:val="auto"/>
        </w:rPr>
        <w:t xml:space="preserve">. </w:t>
      </w:r>
      <w:r w:rsidR="003B76DB">
        <w:t>T</w:t>
      </w:r>
      <w:r w:rsidR="003B76DB" w:rsidRPr="005629F8">
        <w:t>he distribution of costs across the four cost bucket</w:t>
      </w:r>
      <w:r w:rsidR="003940F7">
        <w:t xml:space="preserve"> groups</w:t>
      </w:r>
      <w:r w:rsidR="003B76DB" w:rsidRPr="005629F8">
        <w:t xml:space="preserve"> has remained reasonably consistent</w:t>
      </w:r>
      <w:r w:rsidR="003B76DB">
        <w:rPr>
          <w:color w:val="auto"/>
        </w:rPr>
        <w:t xml:space="preserve">, despite the </w:t>
      </w:r>
      <w:r w:rsidR="00922289" w:rsidRPr="005629F8">
        <w:rPr>
          <w:color w:val="auto"/>
        </w:rPr>
        <w:t>changes to</w:t>
      </w:r>
      <w:r w:rsidR="00045857" w:rsidRPr="005629F8">
        <w:rPr>
          <w:color w:val="auto"/>
        </w:rPr>
        <w:t xml:space="preserve"> the volume of activity and costs incurred by the private sector as result of the </w:t>
      </w:r>
      <w:r w:rsidR="00D1260F">
        <w:rPr>
          <w:color w:val="auto"/>
        </w:rPr>
        <w:t xml:space="preserve">resurgence from the </w:t>
      </w:r>
      <w:r w:rsidR="00045857" w:rsidRPr="005629F8">
        <w:rPr>
          <w:color w:val="auto"/>
        </w:rPr>
        <w:t>COVID</w:t>
      </w:r>
      <w:r w:rsidR="00045857" w:rsidRPr="005629F8">
        <w:t>-19 pandemic</w:t>
      </w:r>
      <w:r w:rsidR="00D1260F">
        <w:t>.</w:t>
      </w:r>
      <w:r w:rsidR="00F77A81" w:rsidRPr="005629F8">
        <w:t xml:space="preserve"> </w:t>
      </w:r>
    </w:p>
    <w:p w14:paraId="5C514E8D" w14:textId="2FBA0541" w:rsidR="00F77A81" w:rsidRPr="00C07CC0" w:rsidRDefault="003B76DB" w:rsidP="005E4400">
      <w:pPr>
        <w:pStyle w:val="ListLevel1"/>
      </w:pPr>
      <w:r w:rsidRPr="00C07CC0">
        <w:t>The proportion of c</w:t>
      </w:r>
      <w:r w:rsidR="00F77A81" w:rsidRPr="00C07CC0">
        <w:t xml:space="preserve">osts allocated to operating rooms and specialist procedure suites </w:t>
      </w:r>
      <w:r w:rsidR="00633FCA" w:rsidRPr="00C07CC0">
        <w:t>in 202</w:t>
      </w:r>
      <w:r w:rsidR="00D1260F" w:rsidRPr="00C07CC0">
        <w:t>1</w:t>
      </w:r>
      <w:r w:rsidR="00633FCA" w:rsidRPr="00C07CC0">
        <w:t>-2</w:t>
      </w:r>
      <w:r w:rsidR="00D1260F" w:rsidRPr="00C07CC0">
        <w:t>2</w:t>
      </w:r>
      <w:r w:rsidR="00633FCA" w:rsidRPr="00C07CC0">
        <w:t xml:space="preserve"> has </w:t>
      </w:r>
      <w:r w:rsidR="00D1260F" w:rsidRPr="00C07CC0">
        <w:t>decreased</w:t>
      </w:r>
      <w:r w:rsidR="00633FCA" w:rsidRPr="00C07CC0">
        <w:t xml:space="preserve"> by </w:t>
      </w:r>
      <w:r w:rsidR="00D1260F" w:rsidRPr="00C07CC0">
        <w:t>0.4</w:t>
      </w:r>
      <w:r w:rsidR="00922289" w:rsidRPr="00C07CC0">
        <w:t xml:space="preserve"> percent</w:t>
      </w:r>
      <w:r w:rsidR="00B00D52">
        <w:t>age points</w:t>
      </w:r>
      <w:r w:rsidR="00922289" w:rsidRPr="00C07CC0">
        <w:t xml:space="preserve"> to 28.</w:t>
      </w:r>
      <w:r w:rsidR="00D1260F" w:rsidRPr="00C07CC0">
        <w:t>5</w:t>
      </w:r>
      <w:r w:rsidR="00436BEB">
        <w:t>%</w:t>
      </w:r>
      <w:r w:rsidR="00633FCA" w:rsidRPr="00C07CC0">
        <w:t xml:space="preserve"> in comparison to </w:t>
      </w:r>
      <w:r w:rsidR="00D1260F" w:rsidRPr="00C07CC0">
        <w:t>202</w:t>
      </w:r>
      <w:r w:rsidR="00B07F88" w:rsidRPr="00C07CC0">
        <w:t>0</w:t>
      </w:r>
      <w:r w:rsidR="00C82F8C" w:rsidRPr="00C07CC0">
        <w:noBreakHyphen/>
      </w:r>
      <w:r w:rsidR="00D1260F" w:rsidRPr="00C07CC0">
        <w:t>21</w:t>
      </w:r>
      <w:r w:rsidR="00633FCA" w:rsidRPr="00C07CC0">
        <w:t>.</w:t>
      </w:r>
      <w:r w:rsidR="00922289" w:rsidRPr="00C07CC0">
        <w:t xml:space="preserve"> </w:t>
      </w:r>
    </w:p>
    <w:p w14:paraId="01744CEF" w14:textId="56F1D682" w:rsidR="00922289" w:rsidRPr="00C07CC0" w:rsidRDefault="003B76DB">
      <w:pPr>
        <w:pStyle w:val="ListLevel1"/>
      </w:pPr>
      <w:r w:rsidRPr="00C07CC0">
        <w:t>The proportion of c</w:t>
      </w:r>
      <w:r w:rsidR="00922289" w:rsidRPr="00C07CC0">
        <w:t>ost</w:t>
      </w:r>
      <w:r w:rsidR="00E41DDF" w:rsidRPr="00C07CC0">
        <w:t>s</w:t>
      </w:r>
      <w:r w:rsidR="00922289" w:rsidRPr="00C07CC0">
        <w:t xml:space="preserve"> allocated to critical care has remained</w:t>
      </w:r>
      <w:r w:rsidRPr="00C07CC0">
        <w:t xml:space="preserve"> reasonably</w:t>
      </w:r>
      <w:r w:rsidR="00922289" w:rsidRPr="00C07CC0">
        <w:t xml:space="preserve"> stable in </w:t>
      </w:r>
      <w:r w:rsidR="00A70F44" w:rsidRPr="00C07CC0">
        <w:br/>
      </w:r>
      <w:r w:rsidR="00D1260F" w:rsidRPr="00C07CC0">
        <w:t>2021</w:t>
      </w:r>
      <w:r w:rsidR="00922289" w:rsidRPr="00C07CC0">
        <w:t>-</w:t>
      </w:r>
      <w:r w:rsidR="00D1260F" w:rsidRPr="00C07CC0">
        <w:t>22</w:t>
      </w:r>
      <w:r w:rsidR="00922289" w:rsidRPr="00C07CC0">
        <w:t xml:space="preserve"> at 5.</w:t>
      </w:r>
      <w:r w:rsidR="00D1260F" w:rsidRPr="00C07CC0">
        <w:t>7</w:t>
      </w:r>
      <w:r w:rsidR="00436BEB">
        <w:t>%</w:t>
      </w:r>
      <w:r w:rsidRPr="00C07CC0">
        <w:t>.</w:t>
      </w:r>
      <w:r w:rsidR="00922289" w:rsidRPr="00C07CC0">
        <w:t xml:space="preserve"> </w:t>
      </w:r>
      <w:r w:rsidRPr="00C07CC0">
        <w:t>T</w:t>
      </w:r>
      <w:r w:rsidR="00922289" w:rsidRPr="00C07CC0">
        <w:t xml:space="preserve">his cost bucket </w:t>
      </w:r>
      <w:r w:rsidRPr="00C07CC0">
        <w:t xml:space="preserve">consistently </w:t>
      </w:r>
      <w:r w:rsidR="00922289" w:rsidRPr="00C07CC0">
        <w:t xml:space="preserve">makes up </w:t>
      </w:r>
      <w:r w:rsidRPr="00C07CC0">
        <w:t xml:space="preserve">the smallest </w:t>
      </w:r>
      <w:r w:rsidR="00922289" w:rsidRPr="00C07CC0">
        <w:t>proportion of total cost</w:t>
      </w:r>
      <w:r w:rsidRPr="00C07CC0">
        <w:t>s</w:t>
      </w:r>
      <w:r w:rsidR="00922289" w:rsidRPr="00C07CC0">
        <w:t>.</w:t>
      </w:r>
    </w:p>
    <w:p w14:paraId="785F0ACA" w14:textId="5910E2D4" w:rsidR="00633FCA" w:rsidRDefault="003B76DB" w:rsidP="00633FCA">
      <w:pPr>
        <w:pStyle w:val="ListLevel1"/>
      </w:pPr>
      <w:r w:rsidRPr="00C07CC0">
        <w:t>The proportion of c</w:t>
      </w:r>
      <w:r w:rsidR="00633FCA" w:rsidRPr="00C07CC0">
        <w:t xml:space="preserve">osts allocated to </w:t>
      </w:r>
      <w:r w:rsidR="00922289" w:rsidRPr="00C07CC0">
        <w:t>p</w:t>
      </w:r>
      <w:r w:rsidR="00633FCA" w:rsidRPr="00C07CC0">
        <w:t xml:space="preserve">rostheses in </w:t>
      </w:r>
      <w:r w:rsidR="00D1260F" w:rsidRPr="00C07CC0">
        <w:t>2021</w:t>
      </w:r>
      <w:r w:rsidR="00633FCA" w:rsidRPr="00C07CC0">
        <w:t>-</w:t>
      </w:r>
      <w:r w:rsidR="00D1260F" w:rsidRPr="00C07CC0">
        <w:t>22</w:t>
      </w:r>
      <w:r w:rsidR="00633FCA" w:rsidRPr="00C07CC0">
        <w:t xml:space="preserve"> ha</w:t>
      </w:r>
      <w:r w:rsidRPr="00C07CC0">
        <w:t>s</w:t>
      </w:r>
      <w:r w:rsidR="00633FCA" w:rsidRPr="00C07CC0">
        <w:t xml:space="preserve"> </w:t>
      </w:r>
      <w:r w:rsidR="00D1260F" w:rsidRPr="00C07CC0">
        <w:t>decreased</w:t>
      </w:r>
      <w:r w:rsidR="00633FCA" w:rsidRPr="00C07CC0">
        <w:t xml:space="preserve"> by </w:t>
      </w:r>
      <w:r w:rsidR="008C3922">
        <w:t>1</w:t>
      </w:r>
      <w:r w:rsidR="00D1260F" w:rsidRPr="00C07CC0">
        <w:t>.</w:t>
      </w:r>
      <w:r w:rsidR="008C3922">
        <w:t>1</w:t>
      </w:r>
      <w:r w:rsidR="00922289" w:rsidRPr="00C07CC0">
        <w:t xml:space="preserve"> percent</w:t>
      </w:r>
      <w:r w:rsidR="008C3922">
        <w:t xml:space="preserve">age points </w:t>
      </w:r>
      <w:r w:rsidR="00922289" w:rsidRPr="00C07CC0">
        <w:t xml:space="preserve">to </w:t>
      </w:r>
      <w:r w:rsidR="00D1260F" w:rsidRPr="00C07CC0">
        <w:t>17</w:t>
      </w:r>
      <w:r w:rsidR="00922289" w:rsidRPr="00C07CC0">
        <w:t>.</w:t>
      </w:r>
      <w:r w:rsidR="00D1260F" w:rsidRPr="00C07CC0">
        <w:t>5</w:t>
      </w:r>
      <w:r w:rsidR="00436BEB">
        <w:t>%</w:t>
      </w:r>
      <w:r w:rsidR="00922289" w:rsidRPr="00C07CC0">
        <w:t xml:space="preserve"> </w:t>
      </w:r>
      <w:r w:rsidR="00633FCA" w:rsidRPr="00C07CC0">
        <w:t xml:space="preserve">in comparison to </w:t>
      </w:r>
      <w:r w:rsidR="00D1260F" w:rsidRPr="00C07CC0">
        <w:t>2020</w:t>
      </w:r>
      <w:r w:rsidR="00C84E77" w:rsidRPr="00C07CC0">
        <w:noBreakHyphen/>
      </w:r>
      <w:r w:rsidR="00D1260F" w:rsidRPr="00C07CC0">
        <w:t>21</w:t>
      </w:r>
      <w:r w:rsidR="00633FCA" w:rsidRPr="00C07CC0">
        <w:t>.</w:t>
      </w:r>
    </w:p>
    <w:p w14:paraId="74630C62" w14:textId="62F8BA75" w:rsidR="00961B2A" w:rsidRDefault="00961B2A" w:rsidP="005E4400">
      <w:pPr>
        <w:pStyle w:val="ListLevel1"/>
        <w:spacing w:after="120"/>
        <w:ind w:left="1066" w:hanging="357"/>
        <w:contextualSpacing w:val="0"/>
      </w:pPr>
      <w:r>
        <w:lastRenderedPageBreak/>
        <w:t>C</w:t>
      </w:r>
      <w:r w:rsidRPr="00C07CC0">
        <w:t>osts allocated to the miscellaneous cost bucket in 2021-22 has increased by 1.4 percent</w:t>
      </w:r>
      <w:r w:rsidR="00F70031">
        <w:t>age points</w:t>
      </w:r>
      <w:r w:rsidRPr="00C07CC0">
        <w:t xml:space="preserve"> to 48.3</w:t>
      </w:r>
      <w:r w:rsidR="00436BEB">
        <w:t>%</w:t>
      </w:r>
      <w:r w:rsidRPr="00C07CC0">
        <w:t xml:space="preserve"> in comparison to 202</w:t>
      </w:r>
      <w:r>
        <w:t>0</w:t>
      </w:r>
      <w:r w:rsidRPr="00C07CC0">
        <w:t>-21. This is the largest change across all the grouped cost buckets</w:t>
      </w:r>
      <w:r>
        <w:t>.</w:t>
      </w:r>
    </w:p>
    <w:p w14:paraId="27766775" w14:textId="07496BBA" w:rsidR="00653930" w:rsidRPr="005629F8" w:rsidRDefault="00633F13" w:rsidP="005E4400">
      <w:pPr>
        <w:pStyle w:val="ListLevel1"/>
        <w:numPr>
          <w:ilvl w:val="0"/>
          <w:numId w:val="0"/>
        </w:numPr>
        <w:spacing w:after="120"/>
        <w:contextualSpacing w:val="0"/>
      </w:pPr>
      <w:r>
        <w:t xml:space="preserve">Whilst aggregated reporting of cost buckets </w:t>
      </w:r>
      <w:r w:rsidR="00364C71">
        <w:t>does</w:t>
      </w:r>
      <w:r>
        <w:t xml:space="preserve"> not necessarily present the changes in granular costs, for example at the </w:t>
      </w:r>
      <w:proofErr w:type="gramStart"/>
      <w:r>
        <w:t>line item</w:t>
      </w:r>
      <w:proofErr w:type="gramEnd"/>
      <w:r>
        <w:t xml:space="preserve"> level, several factors would </w:t>
      </w:r>
      <w:r w:rsidR="00AC4F87">
        <w:t>change</w:t>
      </w:r>
      <w:r>
        <w:t xml:space="preserve"> the reported cost for a cost bucket in each year.</w:t>
      </w:r>
      <w:r w:rsidR="00B00D52">
        <w:t xml:space="preserve"> </w:t>
      </w:r>
      <w:r w:rsidR="001B64AB">
        <w:t xml:space="preserve">Cost buckets may be </w:t>
      </w:r>
      <w:r w:rsidR="00AC4F87">
        <w:t xml:space="preserve">changed </w:t>
      </w:r>
      <w:r w:rsidR="001B64AB">
        <w:t>by</w:t>
      </w:r>
      <w:r w:rsidR="00653930" w:rsidRPr="005629F8">
        <w:t>:</w:t>
      </w:r>
    </w:p>
    <w:p w14:paraId="046BC016" w14:textId="43E890BF" w:rsidR="00653930" w:rsidRPr="005629F8" w:rsidRDefault="00653930" w:rsidP="005E4400">
      <w:pPr>
        <w:pStyle w:val="ListLevel1"/>
        <w:spacing w:before="120"/>
      </w:pPr>
      <w:r w:rsidRPr="005629F8">
        <w:t>improvements in the accuracy of cost allocations through quality improvement of the participant’s feeder data and/or allocation statistics</w:t>
      </w:r>
    </w:p>
    <w:p w14:paraId="34B4B188" w14:textId="4C05D823" w:rsidR="00653930" w:rsidRPr="005629F8" w:rsidRDefault="00653930" w:rsidP="00653930">
      <w:pPr>
        <w:pStyle w:val="ListLevel1"/>
      </w:pPr>
      <w:r w:rsidRPr="005629F8">
        <w:t>changes in service weights</w:t>
      </w:r>
    </w:p>
    <w:p w14:paraId="15DEF31A" w14:textId="1AA8B51F" w:rsidR="00C84E77" w:rsidRDefault="00653930" w:rsidP="009F7ED2">
      <w:pPr>
        <w:pStyle w:val="ListLevel1"/>
        <w:spacing w:line="259" w:lineRule="auto"/>
      </w:pPr>
      <w:r w:rsidRPr="005629F8">
        <w:t xml:space="preserve">increases in </w:t>
      </w:r>
      <w:proofErr w:type="spellStart"/>
      <w:r w:rsidRPr="005629F8">
        <w:t>sameday</w:t>
      </w:r>
      <w:proofErr w:type="spellEnd"/>
      <w:r w:rsidRPr="005629F8">
        <w:t xml:space="preserve"> theatre related </w:t>
      </w:r>
      <w:proofErr w:type="gramStart"/>
      <w:r w:rsidRPr="005629F8">
        <w:t>separations</w:t>
      </w:r>
      <w:proofErr w:type="gramEnd"/>
    </w:p>
    <w:p w14:paraId="249DEB5E" w14:textId="26B668AF" w:rsidR="00000000" w:rsidRPr="001112A9" w:rsidRDefault="006D2F1F" w:rsidP="001112A9">
      <w:pPr>
        <w:pStyle w:val="ListLevel1"/>
        <w:spacing w:line="259" w:lineRule="auto"/>
        <w:sectPr w:rsidR="00000000" w:rsidRPr="001112A9" w:rsidSect="00522146">
          <w:pgSz w:w="11906" w:h="16838" w:code="9"/>
          <w:pgMar w:top="1440" w:right="1077" w:bottom="1440" w:left="1077" w:header="709" w:footer="709" w:gutter="0"/>
          <w:cols w:space="720"/>
          <w:docGrid w:linePitch="360"/>
        </w:sectPr>
      </w:pPr>
      <w:r>
        <w:t xml:space="preserve">changes in </w:t>
      </w:r>
      <w:proofErr w:type="spellStart"/>
      <w:r>
        <w:t>casemix</w:t>
      </w:r>
      <w:proofErr w:type="spellEnd"/>
      <w:r w:rsidR="003E0BC9">
        <w:t>.</w:t>
      </w:r>
    </w:p>
    <w:p w14:paraId="7CF40CC1" w14:textId="479F0F70" w:rsidR="00407BE0" w:rsidRPr="00407BE0" w:rsidRDefault="00C84E77" w:rsidP="008E1F02">
      <w:pPr>
        <w:pStyle w:val="Heading3"/>
        <w:ind w:left="-851"/>
      </w:pPr>
      <w:bookmarkStart w:id="141" w:name="_Toc129700686"/>
      <w:bookmarkStart w:id="142" w:name="_Toc129701379"/>
      <w:r w:rsidRPr="00F67A07">
        <w:lastRenderedPageBreak/>
        <w:t xml:space="preserve">Operating room and specialist procedure suites cost </w:t>
      </w:r>
      <w:proofErr w:type="gramStart"/>
      <w:r w:rsidRPr="00F67A07">
        <w:t>bucket</w:t>
      </w:r>
      <w:bookmarkEnd w:id="141"/>
      <w:bookmarkEnd w:id="142"/>
      <w:proofErr w:type="gramEnd"/>
    </w:p>
    <w:p w14:paraId="5F0FECC3" w14:textId="77777777" w:rsidR="00C84E77" w:rsidRPr="00F67A07" w:rsidRDefault="00C84E77" w:rsidP="00C84E77">
      <w:pPr>
        <w:pStyle w:val="Heading4"/>
        <w:ind w:left="-851"/>
      </w:pPr>
      <w:r w:rsidRPr="00F67A07">
        <w:t>Key</w:t>
      </w:r>
      <w:r w:rsidRPr="00F67A07">
        <w:rPr>
          <w:spacing w:val="-3"/>
        </w:rPr>
        <w:t xml:space="preserve"> </w:t>
      </w:r>
      <w:r w:rsidRPr="00F67A07">
        <w:t>findings</w:t>
      </w:r>
    </w:p>
    <w:p w14:paraId="1E1D5B28" w14:textId="718625BD" w:rsidR="00C84E77" w:rsidRPr="005629F8" w:rsidRDefault="00F2253B" w:rsidP="00C84E77">
      <w:pPr>
        <w:ind w:left="-851"/>
        <w:rPr>
          <w:color w:val="auto"/>
        </w:rPr>
      </w:pPr>
      <w:r w:rsidRPr="00BE3CCD">
        <w:rPr>
          <w:color w:val="auto"/>
        </w:rPr>
        <w:fldChar w:fldCharType="begin"/>
      </w:r>
      <w:r w:rsidRPr="00F2253B">
        <w:rPr>
          <w:color w:val="auto"/>
        </w:rPr>
        <w:instrText xml:space="preserve"> REF _Ref129182557 \h </w:instrText>
      </w:r>
      <w:r w:rsidRPr="005629F8">
        <w:rPr>
          <w:color w:val="auto"/>
        </w:rPr>
        <w:instrText xml:space="preserve"> \* MERGEFORMAT </w:instrText>
      </w:r>
      <w:r w:rsidRPr="00BE3CCD">
        <w:rPr>
          <w:color w:val="auto"/>
        </w:rPr>
      </w:r>
      <w:r w:rsidRPr="00BE3CCD">
        <w:rPr>
          <w:color w:val="auto"/>
        </w:rPr>
        <w:fldChar w:fldCharType="separate"/>
      </w:r>
      <w:r w:rsidRPr="00B84E73">
        <w:t xml:space="preserve">Table </w:t>
      </w:r>
      <w:r w:rsidRPr="005629F8">
        <w:rPr>
          <w:iCs/>
          <w:noProof/>
        </w:rPr>
        <w:t>8</w:t>
      </w:r>
      <w:r w:rsidRPr="00BE3CCD">
        <w:rPr>
          <w:color w:val="auto"/>
        </w:rPr>
        <w:fldChar w:fldCharType="end"/>
      </w:r>
      <w:r w:rsidRPr="00F2253B">
        <w:rPr>
          <w:color w:val="auto"/>
        </w:rPr>
        <w:t xml:space="preserve"> </w:t>
      </w:r>
      <w:r w:rsidR="000235D0" w:rsidRPr="005629F8">
        <w:rPr>
          <w:color w:val="auto"/>
        </w:rPr>
        <w:t xml:space="preserve">shows that the AR-DRG with the highest </w:t>
      </w:r>
      <w:r w:rsidR="009479C9" w:rsidRPr="005629F8">
        <w:rPr>
          <w:color w:val="auto"/>
        </w:rPr>
        <w:t>proportion</w:t>
      </w:r>
      <w:r w:rsidR="000235D0" w:rsidRPr="005629F8">
        <w:rPr>
          <w:color w:val="auto"/>
        </w:rPr>
        <w:t xml:space="preserve"> of their total cost belonging to the </w:t>
      </w:r>
      <w:r w:rsidR="009479C9" w:rsidRPr="005629F8">
        <w:rPr>
          <w:color w:val="auto"/>
        </w:rPr>
        <w:t>OR and SPS</w:t>
      </w:r>
      <w:r w:rsidR="000235D0" w:rsidRPr="005629F8">
        <w:rPr>
          <w:color w:val="auto"/>
        </w:rPr>
        <w:t xml:space="preserve"> bucket </w:t>
      </w:r>
      <w:r w:rsidR="009479C9" w:rsidRPr="005629F8">
        <w:rPr>
          <w:color w:val="auto"/>
        </w:rPr>
        <w:t>is</w:t>
      </w:r>
      <w:r w:rsidR="000235D0" w:rsidRPr="005629F8">
        <w:rPr>
          <w:color w:val="auto"/>
        </w:rPr>
        <w:t xml:space="preserve"> </w:t>
      </w:r>
      <w:r w:rsidR="006975CF">
        <w:rPr>
          <w:color w:val="auto"/>
        </w:rPr>
        <w:t>M63Z</w:t>
      </w:r>
      <w:r w:rsidR="000235D0" w:rsidRPr="005629F8">
        <w:rPr>
          <w:color w:val="auto"/>
        </w:rPr>
        <w:t xml:space="preserve">: </w:t>
      </w:r>
      <w:r w:rsidR="006975CF" w:rsidRPr="006975CF">
        <w:rPr>
          <w:color w:val="auto"/>
        </w:rPr>
        <w:t xml:space="preserve">Male Sterilisation Interventions </w:t>
      </w:r>
      <w:r w:rsidR="000235D0" w:rsidRPr="005629F8">
        <w:t>(</w:t>
      </w:r>
      <w:r w:rsidR="006975CF">
        <w:rPr>
          <w:color w:val="auto"/>
        </w:rPr>
        <w:t>68</w:t>
      </w:r>
      <w:r w:rsidR="000235D0" w:rsidRPr="005629F8">
        <w:rPr>
          <w:color w:val="auto"/>
        </w:rPr>
        <w:t>.4</w:t>
      </w:r>
      <w:r w:rsidR="00436BEB">
        <w:rPr>
          <w:color w:val="auto"/>
        </w:rPr>
        <w:t>%</w:t>
      </w:r>
      <w:r w:rsidR="000235D0" w:rsidRPr="005629F8">
        <w:rPr>
          <w:color w:val="auto"/>
        </w:rPr>
        <w:t xml:space="preserve">). This percentage has increased </w:t>
      </w:r>
      <w:r w:rsidR="009479C9" w:rsidRPr="005629F8">
        <w:rPr>
          <w:color w:val="auto"/>
        </w:rPr>
        <w:t>compared</w:t>
      </w:r>
      <w:r w:rsidR="000235D0" w:rsidRPr="005629F8">
        <w:rPr>
          <w:color w:val="auto"/>
        </w:rPr>
        <w:t xml:space="preserve"> to </w:t>
      </w:r>
      <w:r w:rsidR="006975CF">
        <w:rPr>
          <w:color w:val="auto"/>
        </w:rPr>
        <w:t>2020</w:t>
      </w:r>
      <w:r w:rsidR="000235D0" w:rsidRPr="005629F8">
        <w:rPr>
          <w:color w:val="auto"/>
        </w:rPr>
        <w:t>-</w:t>
      </w:r>
      <w:r w:rsidR="006975CF">
        <w:rPr>
          <w:color w:val="auto"/>
        </w:rPr>
        <w:t>21</w:t>
      </w:r>
      <w:r w:rsidR="000235D0" w:rsidRPr="005629F8">
        <w:rPr>
          <w:color w:val="auto"/>
        </w:rPr>
        <w:t xml:space="preserve"> </w:t>
      </w:r>
      <w:r w:rsidR="006975CF">
        <w:rPr>
          <w:color w:val="auto"/>
        </w:rPr>
        <w:t>(67.6</w:t>
      </w:r>
      <w:r w:rsidR="00436BEB">
        <w:rPr>
          <w:color w:val="auto"/>
        </w:rPr>
        <w:t>%</w:t>
      </w:r>
      <w:r w:rsidR="000235D0" w:rsidRPr="005629F8">
        <w:rPr>
          <w:color w:val="auto"/>
        </w:rPr>
        <w:t>)</w:t>
      </w:r>
      <w:r w:rsidR="00876EA7">
        <w:rPr>
          <w:color w:val="auto"/>
        </w:rPr>
        <w:t>.</w:t>
      </w:r>
      <w:r w:rsidR="009479C9" w:rsidRPr="005629F8">
        <w:rPr>
          <w:color w:val="auto"/>
        </w:rPr>
        <w:t xml:space="preserve"> </w:t>
      </w:r>
      <w:r w:rsidR="000235D0" w:rsidRPr="005629F8">
        <w:rPr>
          <w:color w:val="auto"/>
        </w:rPr>
        <w:t>For the remaining nine AR-DRGs in</w:t>
      </w:r>
      <w:r>
        <w:rPr>
          <w:color w:val="auto"/>
        </w:rPr>
        <w:t xml:space="preserve"> </w:t>
      </w:r>
      <w:r>
        <w:rPr>
          <w:color w:val="auto"/>
        </w:rPr>
        <w:fldChar w:fldCharType="begin"/>
      </w:r>
      <w:r>
        <w:rPr>
          <w:color w:val="auto"/>
        </w:rPr>
        <w:instrText xml:space="preserve"> REF _Ref129182557 \h  \* MERGEFORMAT </w:instrText>
      </w:r>
      <w:r>
        <w:rPr>
          <w:color w:val="auto"/>
        </w:rPr>
      </w:r>
      <w:r>
        <w:rPr>
          <w:color w:val="auto"/>
        </w:rPr>
        <w:fldChar w:fldCharType="separate"/>
      </w:r>
      <w:r w:rsidRPr="00B84E73">
        <w:t xml:space="preserve">Table </w:t>
      </w:r>
      <w:r w:rsidRPr="005629F8">
        <w:rPr>
          <w:iCs/>
          <w:noProof/>
        </w:rPr>
        <w:t>8</w:t>
      </w:r>
      <w:r>
        <w:rPr>
          <w:color w:val="auto"/>
        </w:rPr>
        <w:fldChar w:fldCharType="end"/>
      </w:r>
      <w:r w:rsidR="000235D0" w:rsidRPr="005629F8">
        <w:rPr>
          <w:color w:val="auto"/>
        </w:rPr>
        <w:t xml:space="preserve">, the </w:t>
      </w:r>
      <w:r w:rsidR="00F73E6C" w:rsidRPr="005629F8">
        <w:rPr>
          <w:color w:val="auto"/>
        </w:rPr>
        <w:t>OR and SPS</w:t>
      </w:r>
      <w:r w:rsidR="000235D0" w:rsidRPr="005629F8">
        <w:rPr>
          <w:color w:val="auto"/>
        </w:rPr>
        <w:t xml:space="preserve"> cost weights have been relatively stable over the last three years</w:t>
      </w:r>
      <w:r w:rsidR="00F73E6C" w:rsidRPr="005629F8">
        <w:rPr>
          <w:color w:val="auto"/>
        </w:rPr>
        <w:t xml:space="preserve">. </w:t>
      </w:r>
    </w:p>
    <w:p w14:paraId="3BC06C6B" w14:textId="457A8704" w:rsidR="00C84E77" w:rsidRDefault="0069133E">
      <w:pPr>
        <w:ind w:left="-851"/>
      </w:pPr>
      <w:r>
        <w:t xml:space="preserve">The AR-DRGs listed are all minor complexity procedures that would require minimal time and resources to perform, with the operating room being the biggest </w:t>
      </w:r>
      <w:r w:rsidR="00357897">
        <w:t>contributor</w:t>
      </w:r>
      <w:r w:rsidR="00144D5F">
        <w:t xml:space="preserve"> </w:t>
      </w:r>
      <w:r w:rsidR="00357897">
        <w:t>to</w:t>
      </w:r>
      <w:r w:rsidR="00144D5F">
        <w:t xml:space="preserve"> cost weight</w:t>
      </w:r>
      <w:r>
        <w:t>.</w:t>
      </w:r>
    </w:p>
    <w:p w14:paraId="5E91FADD" w14:textId="746EEA4E" w:rsidR="00C84E77" w:rsidRPr="005629F8" w:rsidRDefault="00C84E77" w:rsidP="00E87B16">
      <w:pPr>
        <w:pStyle w:val="TableFigureheading"/>
        <w:ind w:left="-851"/>
      </w:pPr>
      <w:bookmarkStart w:id="143" w:name="_Ref129182557"/>
      <w:bookmarkStart w:id="144" w:name="_Toc129179302"/>
      <w:bookmarkStart w:id="145" w:name="_Toc152081876"/>
      <w:r w:rsidRPr="00B84E73">
        <w:t xml:space="preserve">Table </w:t>
      </w:r>
      <w:r w:rsidRPr="005629F8">
        <w:fldChar w:fldCharType="begin"/>
      </w:r>
      <w:r w:rsidRPr="005629F8">
        <w:instrText xml:space="preserve"> SEQ Table \* ARABIC </w:instrText>
      </w:r>
      <w:r w:rsidRPr="005629F8">
        <w:fldChar w:fldCharType="separate"/>
      </w:r>
      <w:r w:rsidRPr="005629F8">
        <w:rPr>
          <w:noProof/>
        </w:rPr>
        <w:t>8</w:t>
      </w:r>
      <w:r w:rsidRPr="005629F8">
        <w:fldChar w:fldCharType="end"/>
      </w:r>
      <w:bookmarkEnd w:id="143"/>
      <w:r w:rsidRPr="005629F8">
        <w:t>. Top 10 AR-DRGs for costs allocated to the operating room and specialist procedures suites cost bucket</w:t>
      </w:r>
      <w:bookmarkEnd w:id="144"/>
      <w:r w:rsidR="00AD55EF">
        <w:t xml:space="preserve"> between 2019-20 to 2021-22.</w:t>
      </w:r>
      <w:bookmarkEnd w:id="145"/>
    </w:p>
    <w:tbl>
      <w:tblPr>
        <w:tblW w:w="15834" w:type="dxa"/>
        <w:tblInd w:w="-854" w:type="dxa"/>
        <w:tblLayout w:type="fixed"/>
        <w:tblLook w:val="0000" w:firstRow="0" w:lastRow="0" w:firstColumn="0" w:lastColumn="0" w:noHBand="0" w:noVBand="0"/>
      </w:tblPr>
      <w:tblGrid>
        <w:gridCol w:w="748"/>
        <w:gridCol w:w="815"/>
        <w:gridCol w:w="6305"/>
        <w:gridCol w:w="1033"/>
        <w:gridCol w:w="1128"/>
        <w:gridCol w:w="966"/>
        <w:gridCol w:w="967"/>
        <w:gridCol w:w="969"/>
        <w:gridCol w:w="806"/>
        <w:gridCol w:w="161"/>
        <w:gridCol w:w="106"/>
        <w:gridCol w:w="860"/>
        <w:gridCol w:w="970"/>
      </w:tblGrid>
      <w:tr w:rsidR="001201F6" w:rsidRPr="0088109E" w14:paraId="74B4AC49" w14:textId="77777777" w:rsidTr="005E4400">
        <w:trPr>
          <w:trHeight w:val="179"/>
        </w:trPr>
        <w:tc>
          <w:tcPr>
            <w:tcW w:w="748" w:type="dxa"/>
            <w:vMerge w:val="restart"/>
            <w:tcBorders>
              <w:top w:val="single" w:sz="6" w:space="0" w:color="auto"/>
              <w:left w:val="nil"/>
              <w:right w:val="nil"/>
            </w:tcBorders>
            <w:shd w:val="clear" w:color="auto" w:fill="15272F" w:themeFill="text1"/>
            <w:vAlign w:val="center"/>
          </w:tcPr>
          <w:p w14:paraId="21E998B7" w14:textId="410C48D7" w:rsidR="001201F6" w:rsidRPr="005629F8" w:rsidRDefault="001201F6" w:rsidP="00936E56">
            <w:pPr>
              <w:autoSpaceDE w:val="0"/>
              <w:autoSpaceDN w:val="0"/>
              <w:adjustRightInd w:val="0"/>
              <w:spacing w:after="0" w:line="240" w:lineRule="auto"/>
              <w:jc w:val="center"/>
              <w:rPr>
                <w:rFonts w:cs="Arial"/>
                <w:color w:val="FFFFFF" w:themeColor="background2"/>
                <w:sz w:val="14"/>
                <w:szCs w:val="14"/>
              </w:rPr>
            </w:pPr>
            <w:r w:rsidRPr="005629F8">
              <w:rPr>
                <w:rFonts w:cs="Arial"/>
                <w:b/>
                <w:bCs/>
                <w:color w:val="FFFFFF" w:themeColor="background2"/>
                <w:sz w:val="14"/>
                <w:szCs w:val="14"/>
              </w:rPr>
              <w:t>Rank 202</w:t>
            </w:r>
            <w:r>
              <w:rPr>
                <w:rFonts w:cs="Arial"/>
                <w:b/>
                <w:bCs/>
                <w:color w:val="FFFFFF" w:themeColor="background2"/>
                <w:sz w:val="14"/>
                <w:szCs w:val="14"/>
              </w:rPr>
              <w:t>1</w:t>
            </w:r>
            <w:r w:rsidRPr="005629F8">
              <w:rPr>
                <w:rFonts w:cs="Arial"/>
                <w:b/>
                <w:bCs/>
                <w:color w:val="FFFFFF" w:themeColor="background2"/>
                <w:sz w:val="14"/>
                <w:szCs w:val="14"/>
              </w:rPr>
              <w:t>-2</w:t>
            </w:r>
            <w:r>
              <w:rPr>
                <w:rFonts w:cs="Arial"/>
                <w:b/>
                <w:bCs/>
                <w:color w:val="FFFFFF" w:themeColor="background2"/>
                <w:sz w:val="14"/>
                <w:szCs w:val="14"/>
              </w:rPr>
              <w:t>2</w:t>
            </w:r>
          </w:p>
        </w:tc>
        <w:tc>
          <w:tcPr>
            <w:tcW w:w="815" w:type="dxa"/>
            <w:vMerge w:val="restart"/>
            <w:tcBorders>
              <w:top w:val="single" w:sz="6" w:space="0" w:color="auto"/>
              <w:left w:val="nil"/>
              <w:right w:val="nil"/>
            </w:tcBorders>
            <w:shd w:val="clear" w:color="auto" w:fill="15272F" w:themeFill="text1"/>
            <w:vAlign w:val="center"/>
          </w:tcPr>
          <w:p w14:paraId="199456AF" w14:textId="65B22E80" w:rsidR="001201F6" w:rsidRPr="005629F8" w:rsidRDefault="001201F6" w:rsidP="00936E56">
            <w:pPr>
              <w:autoSpaceDE w:val="0"/>
              <w:autoSpaceDN w:val="0"/>
              <w:adjustRightInd w:val="0"/>
              <w:spacing w:after="0" w:line="240" w:lineRule="auto"/>
              <w:jc w:val="center"/>
              <w:rPr>
                <w:rFonts w:cs="Arial"/>
                <w:color w:val="FFFFFF" w:themeColor="background2"/>
                <w:sz w:val="14"/>
                <w:szCs w:val="14"/>
              </w:rPr>
            </w:pPr>
            <w:r w:rsidRPr="005629F8">
              <w:rPr>
                <w:rFonts w:cs="Arial"/>
                <w:b/>
                <w:bCs/>
                <w:color w:val="FFFFFF" w:themeColor="background2"/>
                <w:sz w:val="14"/>
                <w:szCs w:val="14"/>
              </w:rPr>
              <w:t>AR-DRG</w:t>
            </w:r>
          </w:p>
        </w:tc>
        <w:tc>
          <w:tcPr>
            <w:tcW w:w="6305" w:type="dxa"/>
            <w:vMerge w:val="restart"/>
            <w:tcBorders>
              <w:top w:val="single" w:sz="6" w:space="0" w:color="auto"/>
              <w:left w:val="nil"/>
              <w:right w:val="single" w:sz="4" w:space="0" w:color="D9D9D9"/>
            </w:tcBorders>
            <w:shd w:val="clear" w:color="auto" w:fill="15272F" w:themeFill="text1"/>
            <w:vAlign w:val="center"/>
          </w:tcPr>
          <w:p w14:paraId="6ACE45DF" w14:textId="569B6FC3" w:rsidR="001201F6" w:rsidRPr="005629F8" w:rsidRDefault="001201F6" w:rsidP="00936E56">
            <w:pPr>
              <w:autoSpaceDE w:val="0"/>
              <w:autoSpaceDN w:val="0"/>
              <w:adjustRightInd w:val="0"/>
              <w:spacing w:after="0" w:line="240" w:lineRule="auto"/>
              <w:jc w:val="center"/>
              <w:rPr>
                <w:rFonts w:cs="Arial"/>
                <w:color w:val="FFFFFF" w:themeColor="background2"/>
                <w:sz w:val="14"/>
                <w:szCs w:val="14"/>
              </w:rPr>
            </w:pPr>
            <w:r>
              <w:rPr>
                <w:rFonts w:cs="Arial"/>
                <w:b/>
                <w:bCs/>
                <w:color w:val="FFFFFF" w:themeColor="background2"/>
                <w:sz w:val="14"/>
                <w:szCs w:val="14"/>
              </w:rPr>
              <w:t>AR-</w:t>
            </w:r>
            <w:r w:rsidRPr="005629F8">
              <w:rPr>
                <w:rFonts w:cs="Arial"/>
                <w:b/>
                <w:bCs/>
                <w:color w:val="FFFFFF" w:themeColor="background2"/>
                <w:sz w:val="14"/>
                <w:szCs w:val="14"/>
              </w:rPr>
              <w:t>DRG Description</w:t>
            </w:r>
          </w:p>
        </w:tc>
        <w:tc>
          <w:tcPr>
            <w:tcW w:w="1033" w:type="dxa"/>
            <w:vMerge w:val="restart"/>
            <w:tcBorders>
              <w:top w:val="single" w:sz="6" w:space="0" w:color="auto"/>
              <w:left w:val="single" w:sz="4" w:space="0" w:color="D9D9D9"/>
              <w:right w:val="nil"/>
            </w:tcBorders>
            <w:shd w:val="clear" w:color="auto" w:fill="15272F" w:themeFill="text1"/>
            <w:vAlign w:val="center"/>
          </w:tcPr>
          <w:p w14:paraId="065B751A" w14:textId="4262A78A" w:rsidR="001201F6" w:rsidRPr="005629F8" w:rsidRDefault="001201F6" w:rsidP="001201F6">
            <w:pPr>
              <w:autoSpaceDE w:val="0"/>
              <w:autoSpaceDN w:val="0"/>
              <w:adjustRightInd w:val="0"/>
              <w:spacing w:after="0" w:line="240" w:lineRule="auto"/>
              <w:jc w:val="center"/>
              <w:rPr>
                <w:rFonts w:cs="Arial"/>
                <w:color w:val="FFFFFF" w:themeColor="background2"/>
                <w:sz w:val="14"/>
                <w:szCs w:val="14"/>
              </w:rPr>
            </w:pPr>
            <w:r w:rsidRPr="005629F8">
              <w:rPr>
                <w:rFonts w:cs="Arial"/>
                <w:b/>
                <w:bCs/>
                <w:color w:val="FFFFFF" w:themeColor="background2"/>
                <w:sz w:val="14"/>
                <w:szCs w:val="14"/>
              </w:rPr>
              <w:t>No. of weighted seps</w:t>
            </w:r>
          </w:p>
        </w:tc>
        <w:tc>
          <w:tcPr>
            <w:tcW w:w="1128" w:type="dxa"/>
            <w:vMerge w:val="restart"/>
            <w:tcBorders>
              <w:top w:val="single" w:sz="6" w:space="0" w:color="auto"/>
              <w:left w:val="nil"/>
              <w:right w:val="single" w:sz="4" w:space="0" w:color="D9D9D9"/>
            </w:tcBorders>
            <w:shd w:val="clear" w:color="auto" w:fill="15272F" w:themeFill="text1"/>
            <w:vAlign w:val="center"/>
          </w:tcPr>
          <w:p w14:paraId="7DA807EF" w14:textId="5DC237EA" w:rsidR="001201F6" w:rsidRPr="005629F8" w:rsidRDefault="001201F6" w:rsidP="001201F6">
            <w:pPr>
              <w:autoSpaceDE w:val="0"/>
              <w:autoSpaceDN w:val="0"/>
              <w:adjustRightInd w:val="0"/>
              <w:spacing w:after="0" w:line="240" w:lineRule="auto"/>
              <w:jc w:val="center"/>
              <w:rPr>
                <w:rFonts w:cs="Arial"/>
                <w:color w:val="FFFFFF" w:themeColor="background2"/>
                <w:sz w:val="14"/>
                <w:szCs w:val="14"/>
              </w:rPr>
            </w:pPr>
            <w:r w:rsidRPr="005629F8">
              <w:rPr>
                <w:rFonts w:cs="Arial"/>
                <w:b/>
                <w:bCs/>
                <w:color w:val="FFFFFF" w:themeColor="background2"/>
                <w:sz w:val="14"/>
                <w:szCs w:val="14"/>
              </w:rPr>
              <w:t>Overall cost weight</w:t>
            </w:r>
          </w:p>
        </w:tc>
        <w:tc>
          <w:tcPr>
            <w:tcW w:w="2902" w:type="dxa"/>
            <w:gridSpan w:val="3"/>
            <w:tcBorders>
              <w:top w:val="single" w:sz="6" w:space="0" w:color="auto"/>
              <w:left w:val="single" w:sz="4" w:space="0" w:color="D9D9D9"/>
              <w:right w:val="single" w:sz="4" w:space="0" w:color="D9D9D9"/>
            </w:tcBorders>
            <w:shd w:val="clear" w:color="auto" w:fill="15272F" w:themeFill="text1"/>
            <w:vAlign w:val="center"/>
          </w:tcPr>
          <w:p w14:paraId="32456372" w14:textId="2F76DBC9" w:rsidR="001201F6" w:rsidRPr="005629F8" w:rsidRDefault="001201F6" w:rsidP="00C84E77">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OR and SPS Cost Weight</w:t>
            </w:r>
          </w:p>
        </w:tc>
        <w:tc>
          <w:tcPr>
            <w:tcW w:w="2903" w:type="dxa"/>
            <w:gridSpan w:val="5"/>
            <w:tcBorders>
              <w:top w:val="single" w:sz="6" w:space="0" w:color="auto"/>
              <w:left w:val="single" w:sz="4" w:space="0" w:color="D9D9D9"/>
              <w:bottom w:val="nil"/>
              <w:right w:val="nil"/>
            </w:tcBorders>
            <w:shd w:val="clear" w:color="auto" w:fill="15272F" w:themeFill="text1"/>
            <w:vAlign w:val="center"/>
          </w:tcPr>
          <w:p w14:paraId="2B04DD90" w14:textId="77777777" w:rsidR="001201F6" w:rsidRPr="005629F8" w:rsidRDefault="001201F6" w:rsidP="00C84E77">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 of AR-DRG total cost</w:t>
            </w:r>
          </w:p>
        </w:tc>
      </w:tr>
      <w:tr w:rsidR="001201F6" w:rsidRPr="0088109E" w14:paraId="498136A8" w14:textId="77777777" w:rsidTr="008316F1">
        <w:trPr>
          <w:trHeight w:val="443"/>
        </w:trPr>
        <w:tc>
          <w:tcPr>
            <w:tcW w:w="748" w:type="dxa"/>
            <w:vMerge/>
            <w:tcBorders>
              <w:left w:val="nil"/>
              <w:bottom w:val="single" w:sz="6" w:space="0" w:color="auto"/>
              <w:right w:val="nil"/>
            </w:tcBorders>
            <w:shd w:val="clear" w:color="auto" w:fill="15272F" w:themeFill="text1"/>
            <w:vAlign w:val="center"/>
          </w:tcPr>
          <w:p w14:paraId="52425797" w14:textId="30351892" w:rsidR="001201F6" w:rsidRPr="005629F8" w:rsidRDefault="001201F6" w:rsidP="00936E56">
            <w:pPr>
              <w:autoSpaceDE w:val="0"/>
              <w:autoSpaceDN w:val="0"/>
              <w:adjustRightInd w:val="0"/>
              <w:spacing w:after="0" w:line="240" w:lineRule="auto"/>
              <w:jc w:val="center"/>
              <w:rPr>
                <w:rFonts w:cs="Arial"/>
                <w:b/>
                <w:bCs/>
                <w:color w:val="FFFFFF" w:themeColor="background2"/>
                <w:sz w:val="14"/>
                <w:szCs w:val="14"/>
              </w:rPr>
            </w:pPr>
          </w:p>
        </w:tc>
        <w:tc>
          <w:tcPr>
            <w:tcW w:w="815" w:type="dxa"/>
            <w:vMerge/>
            <w:tcBorders>
              <w:left w:val="nil"/>
              <w:bottom w:val="single" w:sz="6" w:space="0" w:color="auto"/>
              <w:right w:val="nil"/>
            </w:tcBorders>
            <w:shd w:val="clear" w:color="auto" w:fill="15272F" w:themeFill="text1"/>
            <w:vAlign w:val="center"/>
          </w:tcPr>
          <w:p w14:paraId="56272B6C" w14:textId="044ED829" w:rsidR="001201F6" w:rsidRPr="005629F8" w:rsidRDefault="001201F6" w:rsidP="00936E56">
            <w:pPr>
              <w:autoSpaceDE w:val="0"/>
              <w:autoSpaceDN w:val="0"/>
              <w:adjustRightInd w:val="0"/>
              <w:spacing w:after="0" w:line="240" w:lineRule="auto"/>
              <w:jc w:val="center"/>
              <w:rPr>
                <w:rFonts w:cs="Arial"/>
                <w:b/>
                <w:bCs/>
                <w:color w:val="FFFFFF" w:themeColor="background2"/>
                <w:sz w:val="14"/>
                <w:szCs w:val="14"/>
              </w:rPr>
            </w:pPr>
          </w:p>
        </w:tc>
        <w:tc>
          <w:tcPr>
            <w:tcW w:w="6305" w:type="dxa"/>
            <w:vMerge/>
            <w:tcBorders>
              <w:left w:val="nil"/>
              <w:bottom w:val="single" w:sz="6" w:space="0" w:color="auto"/>
              <w:right w:val="single" w:sz="4" w:space="0" w:color="D9D9D9"/>
            </w:tcBorders>
            <w:shd w:val="clear" w:color="auto" w:fill="15272F" w:themeFill="text1"/>
            <w:vAlign w:val="center"/>
          </w:tcPr>
          <w:p w14:paraId="37B9B9D5" w14:textId="7300944E" w:rsidR="001201F6" w:rsidRPr="005629F8" w:rsidRDefault="001201F6" w:rsidP="00936E56">
            <w:pPr>
              <w:autoSpaceDE w:val="0"/>
              <w:autoSpaceDN w:val="0"/>
              <w:adjustRightInd w:val="0"/>
              <w:spacing w:after="0" w:line="240" w:lineRule="auto"/>
              <w:jc w:val="center"/>
              <w:rPr>
                <w:rFonts w:cs="Arial"/>
                <w:b/>
                <w:bCs/>
                <w:color w:val="FFFFFF" w:themeColor="background2"/>
                <w:sz w:val="14"/>
                <w:szCs w:val="14"/>
              </w:rPr>
            </w:pPr>
          </w:p>
        </w:tc>
        <w:tc>
          <w:tcPr>
            <w:tcW w:w="1033" w:type="dxa"/>
            <w:vMerge/>
            <w:tcBorders>
              <w:left w:val="single" w:sz="4" w:space="0" w:color="D9D9D9"/>
              <w:bottom w:val="single" w:sz="6" w:space="0" w:color="auto"/>
              <w:right w:val="nil"/>
            </w:tcBorders>
            <w:shd w:val="clear" w:color="auto" w:fill="15272F" w:themeFill="text1"/>
            <w:vAlign w:val="center"/>
          </w:tcPr>
          <w:p w14:paraId="040C92E2" w14:textId="77777777" w:rsidR="001201F6" w:rsidRPr="005629F8" w:rsidRDefault="001201F6" w:rsidP="00936E56">
            <w:pPr>
              <w:autoSpaceDE w:val="0"/>
              <w:autoSpaceDN w:val="0"/>
              <w:adjustRightInd w:val="0"/>
              <w:spacing w:after="0" w:line="240" w:lineRule="auto"/>
              <w:jc w:val="center"/>
              <w:rPr>
                <w:rFonts w:cs="Arial"/>
                <w:b/>
                <w:bCs/>
                <w:color w:val="FFFFFF" w:themeColor="background2"/>
                <w:sz w:val="14"/>
                <w:szCs w:val="14"/>
              </w:rPr>
            </w:pPr>
          </w:p>
        </w:tc>
        <w:tc>
          <w:tcPr>
            <w:tcW w:w="1128" w:type="dxa"/>
            <w:vMerge/>
            <w:tcBorders>
              <w:left w:val="nil"/>
              <w:bottom w:val="single" w:sz="6" w:space="0" w:color="auto"/>
              <w:right w:val="single" w:sz="4" w:space="0" w:color="D9D9D9"/>
            </w:tcBorders>
            <w:shd w:val="clear" w:color="auto" w:fill="15272F" w:themeFill="text1"/>
            <w:vAlign w:val="center"/>
          </w:tcPr>
          <w:p w14:paraId="48534D67" w14:textId="77777777" w:rsidR="001201F6" w:rsidRPr="005629F8" w:rsidRDefault="001201F6" w:rsidP="00936E56">
            <w:pPr>
              <w:autoSpaceDE w:val="0"/>
              <w:autoSpaceDN w:val="0"/>
              <w:adjustRightInd w:val="0"/>
              <w:spacing w:after="0" w:line="240" w:lineRule="auto"/>
              <w:jc w:val="center"/>
              <w:rPr>
                <w:rFonts w:cs="Arial"/>
                <w:b/>
                <w:bCs/>
                <w:color w:val="FFFFFF" w:themeColor="background2"/>
                <w:sz w:val="14"/>
                <w:szCs w:val="14"/>
              </w:rPr>
            </w:pPr>
          </w:p>
        </w:tc>
        <w:tc>
          <w:tcPr>
            <w:tcW w:w="966" w:type="dxa"/>
            <w:tcBorders>
              <w:top w:val="nil"/>
              <w:left w:val="single" w:sz="4" w:space="0" w:color="D9D9D9"/>
              <w:bottom w:val="single" w:sz="6" w:space="0" w:color="auto"/>
              <w:right w:val="nil"/>
            </w:tcBorders>
            <w:shd w:val="clear" w:color="auto" w:fill="15272F" w:themeFill="text1"/>
            <w:vAlign w:val="center"/>
          </w:tcPr>
          <w:p w14:paraId="3ECD475A" w14:textId="7D2603DF" w:rsidR="001201F6" w:rsidRPr="00C07CC0" w:rsidRDefault="001201F6" w:rsidP="00936E56">
            <w:pPr>
              <w:autoSpaceDE w:val="0"/>
              <w:autoSpaceDN w:val="0"/>
              <w:adjustRightInd w:val="0"/>
              <w:spacing w:after="0" w:line="240" w:lineRule="auto"/>
              <w:jc w:val="center"/>
              <w:rPr>
                <w:rFonts w:cs="Arial"/>
                <w:b/>
                <w:bCs/>
                <w:color w:val="FFFFFF" w:themeColor="background2"/>
                <w:sz w:val="14"/>
                <w:szCs w:val="14"/>
              </w:rPr>
            </w:pPr>
            <w:r w:rsidRPr="00C07CC0">
              <w:rPr>
                <w:rFonts w:cs="Arial"/>
                <w:b/>
                <w:bCs/>
                <w:color w:val="FFFFFF" w:themeColor="background2"/>
                <w:sz w:val="14"/>
                <w:szCs w:val="14"/>
              </w:rPr>
              <w:t>2019-20</w:t>
            </w:r>
          </w:p>
        </w:tc>
        <w:tc>
          <w:tcPr>
            <w:tcW w:w="967" w:type="dxa"/>
            <w:tcBorders>
              <w:top w:val="nil"/>
              <w:left w:val="nil"/>
              <w:bottom w:val="single" w:sz="6" w:space="0" w:color="auto"/>
              <w:right w:val="nil"/>
            </w:tcBorders>
            <w:shd w:val="clear" w:color="auto" w:fill="15272F" w:themeFill="text1"/>
            <w:vAlign w:val="center"/>
          </w:tcPr>
          <w:p w14:paraId="643726DA" w14:textId="4B8A34C4" w:rsidR="001201F6" w:rsidRPr="00C07CC0" w:rsidRDefault="001201F6" w:rsidP="00936E56">
            <w:pPr>
              <w:autoSpaceDE w:val="0"/>
              <w:autoSpaceDN w:val="0"/>
              <w:adjustRightInd w:val="0"/>
              <w:spacing w:after="0" w:line="240" w:lineRule="auto"/>
              <w:jc w:val="center"/>
              <w:rPr>
                <w:rFonts w:cs="Arial"/>
                <w:b/>
                <w:bCs/>
                <w:color w:val="FFFFFF" w:themeColor="background2"/>
                <w:sz w:val="14"/>
                <w:szCs w:val="14"/>
              </w:rPr>
            </w:pPr>
            <w:r w:rsidRPr="00C07CC0">
              <w:rPr>
                <w:rFonts w:cs="Arial"/>
                <w:b/>
                <w:bCs/>
                <w:color w:val="FFFFFF" w:themeColor="background2"/>
                <w:sz w:val="14"/>
                <w:szCs w:val="14"/>
              </w:rPr>
              <w:t>2020-21</w:t>
            </w:r>
          </w:p>
        </w:tc>
        <w:tc>
          <w:tcPr>
            <w:tcW w:w="969" w:type="dxa"/>
            <w:tcBorders>
              <w:top w:val="nil"/>
              <w:left w:val="nil"/>
              <w:bottom w:val="single" w:sz="6" w:space="0" w:color="auto"/>
              <w:right w:val="single" w:sz="4" w:space="0" w:color="FFFFFF" w:themeColor="accent6"/>
            </w:tcBorders>
            <w:shd w:val="clear" w:color="auto" w:fill="15272F" w:themeFill="text1"/>
            <w:vAlign w:val="center"/>
          </w:tcPr>
          <w:p w14:paraId="32DA6D43" w14:textId="181A68FE" w:rsidR="001201F6" w:rsidRPr="005629F8" w:rsidRDefault="001201F6"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2021</w:t>
            </w:r>
            <w:r>
              <w:rPr>
                <w:rFonts w:cs="Arial"/>
                <w:b/>
                <w:bCs/>
                <w:color w:val="FFFFFF" w:themeColor="background2"/>
                <w:sz w:val="14"/>
                <w:szCs w:val="14"/>
              </w:rPr>
              <w:t>-22</w:t>
            </w:r>
          </w:p>
        </w:tc>
        <w:tc>
          <w:tcPr>
            <w:tcW w:w="967" w:type="dxa"/>
            <w:gridSpan w:val="2"/>
            <w:tcBorders>
              <w:top w:val="nil"/>
              <w:left w:val="single" w:sz="4" w:space="0" w:color="FFFFFF" w:themeColor="accent6"/>
              <w:bottom w:val="single" w:sz="6" w:space="0" w:color="auto"/>
              <w:right w:val="nil"/>
            </w:tcBorders>
            <w:shd w:val="clear" w:color="auto" w:fill="15272F" w:themeFill="text1"/>
            <w:vAlign w:val="center"/>
          </w:tcPr>
          <w:p w14:paraId="009E64AE" w14:textId="41B2E330" w:rsidR="001201F6" w:rsidRPr="005629F8" w:rsidRDefault="001201F6"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201</w:t>
            </w:r>
            <w:r>
              <w:rPr>
                <w:rFonts w:cs="Arial"/>
                <w:b/>
                <w:bCs/>
                <w:color w:val="FFFFFF" w:themeColor="background2"/>
                <w:sz w:val="14"/>
                <w:szCs w:val="14"/>
              </w:rPr>
              <w:t>9</w:t>
            </w:r>
            <w:r w:rsidRPr="005629F8">
              <w:rPr>
                <w:rFonts w:cs="Arial"/>
                <w:b/>
                <w:bCs/>
                <w:color w:val="FFFFFF" w:themeColor="background2"/>
                <w:sz w:val="14"/>
                <w:szCs w:val="14"/>
              </w:rPr>
              <w:t>-</w:t>
            </w:r>
            <w:r>
              <w:rPr>
                <w:rFonts w:cs="Arial"/>
                <w:b/>
                <w:bCs/>
                <w:color w:val="FFFFFF" w:themeColor="background2"/>
                <w:sz w:val="14"/>
                <w:szCs w:val="14"/>
              </w:rPr>
              <w:t>20</w:t>
            </w:r>
          </w:p>
        </w:tc>
        <w:tc>
          <w:tcPr>
            <w:tcW w:w="966" w:type="dxa"/>
            <w:gridSpan w:val="2"/>
            <w:tcBorders>
              <w:top w:val="nil"/>
              <w:left w:val="nil"/>
              <w:bottom w:val="single" w:sz="6" w:space="0" w:color="auto"/>
              <w:right w:val="nil"/>
            </w:tcBorders>
            <w:shd w:val="clear" w:color="auto" w:fill="15272F" w:themeFill="text1"/>
            <w:vAlign w:val="center"/>
          </w:tcPr>
          <w:p w14:paraId="578929AC" w14:textId="6C91830C" w:rsidR="001201F6" w:rsidRPr="005629F8" w:rsidRDefault="001201F6"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2020</w:t>
            </w:r>
            <w:r>
              <w:rPr>
                <w:rFonts w:cs="Arial"/>
                <w:b/>
                <w:bCs/>
                <w:color w:val="FFFFFF" w:themeColor="background2"/>
                <w:sz w:val="14"/>
                <w:szCs w:val="14"/>
              </w:rPr>
              <w:t>-21</w:t>
            </w:r>
          </w:p>
        </w:tc>
        <w:tc>
          <w:tcPr>
            <w:tcW w:w="970" w:type="dxa"/>
            <w:tcBorders>
              <w:top w:val="nil"/>
              <w:left w:val="nil"/>
              <w:bottom w:val="single" w:sz="6" w:space="0" w:color="auto"/>
              <w:right w:val="nil"/>
            </w:tcBorders>
            <w:shd w:val="clear" w:color="auto" w:fill="15272F" w:themeFill="text1"/>
            <w:vAlign w:val="center"/>
          </w:tcPr>
          <w:p w14:paraId="441089BF" w14:textId="07D5FEB0" w:rsidR="001201F6" w:rsidRPr="005629F8" w:rsidRDefault="001201F6"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2021</w:t>
            </w:r>
            <w:r>
              <w:rPr>
                <w:rFonts w:cs="Arial"/>
                <w:b/>
                <w:bCs/>
                <w:color w:val="FFFFFF" w:themeColor="background2"/>
                <w:sz w:val="14"/>
                <w:szCs w:val="14"/>
              </w:rPr>
              <w:t>-22</w:t>
            </w:r>
          </w:p>
        </w:tc>
      </w:tr>
      <w:tr w:rsidR="00936E56" w:rsidRPr="0088109E" w14:paraId="7310A7DE" w14:textId="77777777" w:rsidTr="009754A4">
        <w:trPr>
          <w:trHeight w:val="239"/>
        </w:trPr>
        <w:tc>
          <w:tcPr>
            <w:tcW w:w="748" w:type="dxa"/>
            <w:tcBorders>
              <w:top w:val="single" w:sz="6" w:space="0" w:color="auto"/>
              <w:left w:val="nil"/>
              <w:bottom w:val="single" w:sz="4" w:space="0" w:color="D9D9D9"/>
              <w:right w:val="nil"/>
            </w:tcBorders>
          </w:tcPr>
          <w:p w14:paraId="7D1AB5CD" w14:textId="13D5AA2C"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w:t>
            </w:r>
          </w:p>
        </w:tc>
        <w:tc>
          <w:tcPr>
            <w:tcW w:w="815" w:type="dxa"/>
            <w:tcBorders>
              <w:top w:val="single" w:sz="6" w:space="0" w:color="auto"/>
              <w:left w:val="nil"/>
              <w:bottom w:val="single" w:sz="4" w:space="0" w:color="D9D9D9"/>
              <w:right w:val="nil"/>
            </w:tcBorders>
            <w:shd w:val="clear" w:color="auto" w:fill="auto"/>
          </w:tcPr>
          <w:p w14:paraId="04BD7376" w14:textId="761CB2D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M63Z</w:t>
            </w:r>
          </w:p>
        </w:tc>
        <w:tc>
          <w:tcPr>
            <w:tcW w:w="6305" w:type="dxa"/>
            <w:tcBorders>
              <w:top w:val="single" w:sz="6" w:space="0" w:color="auto"/>
              <w:left w:val="nil"/>
              <w:bottom w:val="single" w:sz="4" w:space="0" w:color="D9D9D9"/>
              <w:right w:val="single" w:sz="4" w:space="0" w:color="FFFFFF" w:themeColor="accent6"/>
            </w:tcBorders>
            <w:shd w:val="clear" w:color="auto" w:fill="auto"/>
          </w:tcPr>
          <w:p w14:paraId="73031E40" w14:textId="3F19F986"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Male Sterilisation Interventions</w:t>
            </w:r>
          </w:p>
        </w:tc>
        <w:tc>
          <w:tcPr>
            <w:tcW w:w="1033" w:type="dxa"/>
            <w:tcBorders>
              <w:top w:val="single" w:sz="6" w:space="0" w:color="auto"/>
              <w:left w:val="single" w:sz="4" w:space="0" w:color="FFFFFF" w:themeColor="accent6"/>
              <w:bottom w:val="single" w:sz="4" w:space="0" w:color="D9D9D9"/>
              <w:right w:val="nil"/>
            </w:tcBorders>
            <w:shd w:val="clear" w:color="auto" w:fill="auto"/>
          </w:tcPr>
          <w:p w14:paraId="59AC79C8" w14:textId="58E1144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4,714</w:t>
            </w:r>
          </w:p>
        </w:tc>
        <w:tc>
          <w:tcPr>
            <w:tcW w:w="1128" w:type="dxa"/>
            <w:tcBorders>
              <w:top w:val="single" w:sz="6" w:space="0" w:color="auto"/>
              <w:left w:val="nil"/>
              <w:bottom w:val="single" w:sz="4" w:space="0" w:color="D9D9D9"/>
              <w:right w:val="single" w:sz="4" w:space="0" w:color="FFFFFF" w:themeColor="accent6"/>
            </w:tcBorders>
            <w:shd w:val="clear" w:color="auto" w:fill="auto"/>
          </w:tcPr>
          <w:p w14:paraId="48C8C34D" w14:textId="486EA97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0.35</w:t>
            </w:r>
          </w:p>
        </w:tc>
        <w:tc>
          <w:tcPr>
            <w:tcW w:w="966" w:type="dxa"/>
            <w:tcBorders>
              <w:top w:val="single" w:sz="6" w:space="0" w:color="auto"/>
              <w:left w:val="single" w:sz="4" w:space="0" w:color="FFFFFF" w:themeColor="accent6"/>
              <w:bottom w:val="single" w:sz="4" w:space="0" w:color="D9D9D9"/>
              <w:right w:val="nil"/>
            </w:tcBorders>
            <w:shd w:val="clear" w:color="auto" w:fill="F2F2F2" w:themeFill="background2" w:themeFillShade="F2"/>
          </w:tcPr>
          <w:p w14:paraId="58F92C0D" w14:textId="1EA5402C"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0.23</w:t>
            </w:r>
          </w:p>
        </w:tc>
        <w:tc>
          <w:tcPr>
            <w:tcW w:w="967" w:type="dxa"/>
            <w:tcBorders>
              <w:top w:val="single" w:sz="6" w:space="0" w:color="auto"/>
              <w:left w:val="nil"/>
              <w:bottom w:val="single" w:sz="4" w:space="0" w:color="D9D9D9"/>
              <w:right w:val="nil"/>
            </w:tcBorders>
            <w:shd w:val="clear" w:color="auto" w:fill="F2F2F2" w:themeFill="background2" w:themeFillShade="F2"/>
          </w:tcPr>
          <w:p w14:paraId="6A1BC8B6" w14:textId="1F7591B4"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0.23</w:t>
            </w:r>
          </w:p>
        </w:tc>
        <w:tc>
          <w:tcPr>
            <w:tcW w:w="969" w:type="dxa"/>
            <w:tcBorders>
              <w:top w:val="single" w:sz="6" w:space="0" w:color="auto"/>
              <w:left w:val="nil"/>
              <w:bottom w:val="single" w:sz="4" w:space="0" w:color="D9D9D9"/>
              <w:right w:val="single" w:sz="4" w:space="0" w:color="FFFFFF" w:themeColor="accent6"/>
            </w:tcBorders>
            <w:shd w:val="clear" w:color="auto" w:fill="F2F2F2" w:themeFill="background2" w:themeFillShade="F2"/>
          </w:tcPr>
          <w:p w14:paraId="46EFCDBA" w14:textId="0D52AA9B"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0.24</w:t>
            </w:r>
          </w:p>
        </w:tc>
        <w:tc>
          <w:tcPr>
            <w:tcW w:w="967" w:type="dxa"/>
            <w:gridSpan w:val="2"/>
            <w:tcBorders>
              <w:top w:val="single" w:sz="6" w:space="0" w:color="auto"/>
              <w:left w:val="single" w:sz="4" w:space="0" w:color="FFFFFF" w:themeColor="accent6"/>
              <w:bottom w:val="single" w:sz="4" w:space="0" w:color="D9D9D9"/>
              <w:right w:val="nil"/>
            </w:tcBorders>
            <w:shd w:val="clear" w:color="auto" w:fill="F2F2F2" w:themeFill="background2" w:themeFillShade="F2"/>
          </w:tcPr>
          <w:p w14:paraId="78B429B7" w14:textId="1EBB901C"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63.4%</w:t>
            </w:r>
          </w:p>
        </w:tc>
        <w:tc>
          <w:tcPr>
            <w:tcW w:w="966" w:type="dxa"/>
            <w:gridSpan w:val="2"/>
            <w:tcBorders>
              <w:top w:val="single" w:sz="6" w:space="0" w:color="auto"/>
              <w:left w:val="nil"/>
              <w:bottom w:val="single" w:sz="4" w:space="0" w:color="D9D9D9"/>
              <w:right w:val="nil"/>
            </w:tcBorders>
            <w:shd w:val="clear" w:color="auto" w:fill="F2F2F2" w:themeFill="background2" w:themeFillShade="F2"/>
          </w:tcPr>
          <w:p w14:paraId="32B146D2" w14:textId="7E959F0F"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67.6%</w:t>
            </w:r>
          </w:p>
        </w:tc>
        <w:tc>
          <w:tcPr>
            <w:tcW w:w="970" w:type="dxa"/>
            <w:tcBorders>
              <w:top w:val="single" w:sz="6" w:space="0" w:color="auto"/>
              <w:left w:val="nil"/>
              <w:bottom w:val="single" w:sz="4" w:space="0" w:color="D9D9D9"/>
              <w:right w:val="nil"/>
            </w:tcBorders>
            <w:shd w:val="clear" w:color="auto" w:fill="F2F2F2" w:themeFill="background2" w:themeFillShade="F2"/>
          </w:tcPr>
          <w:p w14:paraId="55F6AB26" w14:textId="2AB63725"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sz w:val="14"/>
                <w:szCs w:val="14"/>
              </w:rPr>
              <w:t>68.4%</w:t>
            </w:r>
          </w:p>
        </w:tc>
      </w:tr>
      <w:tr w:rsidR="00936E56" w:rsidRPr="0088109E" w14:paraId="4C182112" w14:textId="77777777" w:rsidTr="009754A4">
        <w:trPr>
          <w:trHeight w:val="239"/>
        </w:trPr>
        <w:tc>
          <w:tcPr>
            <w:tcW w:w="748" w:type="dxa"/>
            <w:tcBorders>
              <w:top w:val="single" w:sz="4" w:space="0" w:color="D9D9D9"/>
              <w:left w:val="nil"/>
              <w:bottom w:val="single" w:sz="4" w:space="0" w:color="D9D9D9"/>
              <w:right w:val="nil"/>
            </w:tcBorders>
          </w:tcPr>
          <w:p w14:paraId="6104F266" w14:textId="4296312B"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w:t>
            </w:r>
          </w:p>
        </w:tc>
        <w:tc>
          <w:tcPr>
            <w:tcW w:w="815" w:type="dxa"/>
            <w:tcBorders>
              <w:top w:val="single" w:sz="4" w:space="0" w:color="D9D9D9"/>
              <w:left w:val="nil"/>
              <w:bottom w:val="single" w:sz="4" w:space="0" w:color="D9D9D9"/>
              <w:right w:val="nil"/>
            </w:tcBorders>
            <w:shd w:val="clear" w:color="auto" w:fill="auto"/>
          </w:tcPr>
          <w:p w14:paraId="15D40B8C" w14:textId="05B5AB8E"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J10B</w:t>
            </w:r>
          </w:p>
        </w:tc>
        <w:tc>
          <w:tcPr>
            <w:tcW w:w="6305" w:type="dxa"/>
            <w:tcBorders>
              <w:top w:val="single" w:sz="4" w:space="0" w:color="D9D9D9"/>
              <w:left w:val="nil"/>
              <w:bottom w:val="single" w:sz="4" w:space="0" w:color="D9D9D9"/>
              <w:right w:val="single" w:sz="4" w:space="0" w:color="FFFFFF" w:themeColor="accent6"/>
            </w:tcBorders>
            <w:shd w:val="clear" w:color="auto" w:fill="auto"/>
          </w:tcPr>
          <w:p w14:paraId="02CBC132" w14:textId="3046D819"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Plastic GIs for Skin, Subcutaneous Tissue and Breast Disorders, Minor Complexity</w:t>
            </w:r>
          </w:p>
        </w:tc>
        <w:tc>
          <w:tcPr>
            <w:tcW w:w="1033" w:type="dxa"/>
            <w:tcBorders>
              <w:top w:val="single" w:sz="4" w:space="0" w:color="D9D9D9"/>
              <w:left w:val="single" w:sz="4" w:space="0" w:color="FFFFFF" w:themeColor="accent6"/>
              <w:bottom w:val="single" w:sz="4" w:space="0" w:color="D9D9D9"/>
              <w:right w:val="nil"/>
            </w:tcBorders>
            <w:shd w:val="clear" w:color="auto" w:fill="auto"/>
          </w:tcPr>
          <w:p w14:paraId="5DBF4BA4" w14:textId="4499D70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17,263</w:t>
            </w:r>
          </w:p>
        </w:tc>
        <w:tc>
          <w:tcPr>
            <w:tcW w:w="1128" w:type="dxa"/>
            <w:tcBorders>
              <w:top w:val="single" w:sz="4" w:space="0" w:color="D9D9D9"/>
              <w:left w:val="nil"/>
              <w:bottom w:val="single" w:sz="4" w:space="0" w:color="D9D9D9"/>
              <w:right w:val="single" w:sz="4" w:space="0" w:color="FFFFFF" w:themeColor="accent6"/>
            </w:tcBorders>
            <w:shd w:val="clear" w:color="auto" w:fill="auto"/>
          </w:tcPr>
          <w:p w14:paraId="0EC5C06E" w14:textId="309B4D6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0.71</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5373EB04" w14:textId="58D0EC68"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0.42</w:t>
            </w:r>
          </w:p>
        </w:tc>
        <w:tc>
          <w:tcPr>
            <w:tcW w:w="967" w:type="dxa"/>
            <w:tcBorders>
              <w:top w:val="single" w:sz="4" w:space="0" w:color="D9D9D9"/>
              <w:left w:val="nil"/>
              <w:bottom w:val="single" w:sz="4" w:space="0" w:color="D9D9D9"/>
              <w:right w:val="nil"/>
            </w:tcBorders>
            <w:shd w:val="clear" w:color="auto" w:fill="F2F2F2" w:themeFill="background2" w:themeFillShade="F2"/>
          </w:tcPr>
          <w:p w14:paraId="210BD4FE" w14:textId="3D464CC4"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0.48</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5DF6D443" w14:textId="760EA2CF"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0.48</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6139ECD3" w14:textId="5EFAEF3B"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64.4%</w:t>
            </w:r>
          </w:p>
        </w:tc>
        <w:tc>
          <w:tcPr>
            <w:tcW w:w="966" w:type="dxa"/>
            <w:gridSpan w:val="2"/>
            <w:tcBorders>
              <w:top w:val="single" w:sz="4" w:space="0" w:color="D9D9D9"/>
              <w:left w:val="nil"/>
              <w:bottom w:val="single" w:sz="4" w:space="0" w:color="D9D9D9"/>
              <w:right w:val="nil"/>
            </w:tcBorders>
            <w:shd w:val="clear" w:color="auto" w:fill="F2F2F2" w:themeFill="background2" w:themeFillShade="F2"/>
          </w:tcPr>
          <w:p w14:paraId="063F365E" w14:textId="537D4328"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67.0%</w:t>
            </w:r>
          </w:p>
        </w:tc>
        <w:tc>
          <w:tcPr>
            <w:tcW w:w="970" w:type="dxa"/>
            <w:tcBorders>
              <w:top w:val="single" w:sz="4" w:space="0" w:color="D9D9D9"/>
              <w:left w:val="nil"/>
              <w:bottom w:val="single" w:sz="4" w:space="0" w:color="D9D9D9"/>
              <w:right w:val="nil"/>
            </w:tcBorders>
            <w:shd w:val="clear" w:color="auto" w:fill="F2F2F2" w:themeFill="background2" w:themeFillShade="F2"/>
          </w:tcPr>
          <w:p w14:paraId="42157436" w14:textId="4471E30D"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sz w:val="14"/>
                <w:szCs w:val="14"/>
              </w:rPr>
              <w:t>67.5%</w:t>
            </w:r>
          </w:p>
        </w:tc>
      </w:tr>
      <w:tr w:rsidR="00936E56" w:rsidRPr="0088109E" w14:paraId="4F66B760" w14:textId="77777777" w:rsidTr="009754A4">
        <w:trPr>
          <w:trHeight w:val="239"/>
        </w:trPr>
        <w:tc>
          <w:tcPr>
            <w:tcW w:w="748" w:type="dxa"/>
            <w:tcBorders>
              <w:top w:val="single" w:sz="4" w:space="0" w:color="D9D9D9"/>
              <w:left w:val="nil"/>
              <w:bottom w:val="single" w:sz="4" w:space="0" w:color="D9D9D9"/>
              <w:right w:val="nil"/>
            </w:tcBorders>
          </w:tcPr>
          <w:p w14:paraId="54B98721" w14:textId="50905FB3"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w:t>
            </w:r>
          </w:p>
        </w:tc>
        <w:tc>
          <w:tcPr>
            <w:tcW w:w="815" w:type="dxa"/>
            <w:tcBorders>
              <w:top w:val="single" w:sz="4" w:space="0" w:color="D9D9D9"/>
              <w:left w:val="nil"/>
              <w:bottom w:val="single" w:sz="4" w:space="0" w:color="D9D9D9"/>
              <w:right w:val="nil"/>
            </w:tcBorders>
            <w:shd w:val="clear" w:color="auto" w:fill="auto"/>
          </w:tcPr>
          <w:p w14:paraId="6C81E3CA" w14:textId="16047928"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M05Z</w:t>
            </w:r>
          </w:p>
        </w:tc>
        <w:tc>
          <w:tcPr>
            <w:tcW w:w="6305" w:type="dxa"/>
            <w:tcBorders>
              <w:top w:val="single" w:sz="4" w:space="0" w:color="D9D9D9"/>
              <w:left w:val="nil"/>
              <w:bottom w:val="single" w:sz="4" w:space="0" w:color="D9D9D9"/>
              <w:right w:val="single" w:sz="4" w:space="0" w:color="FFFFFF" w:themeColor="accent6"/>
            </w:tcBorders>
            <w:shd w:val="clear" w:color="auto" w:fill="auto"/>
          </w:tcPr>
          <w:p w14:paraId="4E0C9E50" w14:textId="1854C449"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Circumcision</w:t>
            </w:r>
          </w:p>
        </w:tc>
        <w:tc>
          <w:tcPr>
            <w:tcW w:w="1033" w:type="dxa"/>
            <w:tcBorders>
              <w:top w:val="single" w:sz="4" w:space="0" w:color="D9D9D9"/>
              <w:left w:val="single" w:sz="4" w:space="0" w:color="FFFFFF" w:themeColor="accent6"/>
              <w:bottom w:val="single" w:sz="4" w:space="0" w:color="D9D9D9"/>
              <w:right w:val="nil"/>
            </w:tcBorders>
            <w:shd w:val="clear" w:color="auto" w:fill="auto"/>
          </w:tcPr>
          <w:p w14:paraId="55224C7C" w14:textId="6125F8D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5,809</w:t>
            </w:r>
          </w:p>
        </w:tc>
        <w:tc>
          <w:tcPr>
            <w:tcW w:w="1128" w:type="dxa"/>
            <w:tcBorders>
              <w:top w:val="single" w:sz="4" w:space="0" w:color="D9D9D9"/>
              <w:left w:val="nil"/>
              <w:bottom w:val="single" w:sz="4" w:space="0" w:color="D9D9D9"/>
              <w:right w:val="single" w:sz="4" w:space="0" w:color="FFFFFF" w:themeColor="accent6"/>
            </w:tcBorders>
            <w:shd w:val="clear" w:color="auto" w:fill="auto"/>
          </w:tcPr>
          <w:p w14:paraId="1FDD20B1" w14:textId="78250C0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0.47</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013BF282" w14:textId="00E25B81"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0.31</w:t>
            </w:r>
          </w:p>
        </w:tc>
        <w:tc>
          <w:tcPr>
            <w:tcW w:w="967" w:type="dxa"/>
            <w:tcBorders>
              <w:top w:val="single" w:sz="4" w:space="0" w:color="D9D9D9"/>
              <w:left w:val="nil"/>
              <w:bottom w:val="single" w:sz="4" w:space="0" w:color="D9D9D9"/>
              <w:right w:val="nil"/>
            </w:tcBorders>
            <w:shd w:val="clear" w:color="auto" w:fill="F2F2F2" w:themeFill="background2" w:themeFillShade="F2"/>
          </w:tcPr>
          <w:p w14:paraId="73D30E49" w14:textId="6BA14D18"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0.32</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02D7F50B" w14:textId="6F5322E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0.32</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31E06304" w14:textId="0F124F21"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64.8%</w:t>
            </w:r>
          </w:p>
        </w:tc>
        <w:tc>
          <w:tcPr>
            <w:tcW w:w="966" w:type="dxa"/>
            <w:gridSpan w:val="2"/>
            <w:tcBorders>
              <w:top w:val="single" w:sz="4" w:space="0" w:color="D9D9D9"/>
              <w:left w:val="nil"/>
              <w:bottom w:val="single" w:sz="4" w:space="0" w:color="D9D9D9"/>
              <w:right w:val="nil"/>
            </w:tcBorders>
            <w:shd w:val="clear" w:color="auto" w:fill="F2F2F2" w:themeFill="background2" w:themeFillShade="F2"/>
          </w:tcPr>
          <w:p w14:paraId="084356E4" w14:textId="594E43B0"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68.1%</w:t>
            </w:r>
          </w:p>
        </w:tc>
        <w:tc>
          <w:tcPr>
            <w:tcW w:w="970" w:type="dxa"/>
            <w:tcBorders>
              <w:top w:val="single" w:sz="4" w:space="0" w:color="D9D9D9"/>
              <w:left w:val="nil"/>
              <w:bottom w:val="single" w:sz="4" w:space="0" w:color="D9D9D9"/>
              <w:right w:val="nil"/>
            </w:tcBorders>
            <w:shd w:val="clear" w:color="auto" w:fill="F2F2F2" w:themeFill="background2" w:themeFillShade="F2"/>
          </w:tcPr>
          <w:p w14:paraId="1A69296B" w14:textId="2D93566C"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sz w:val="14"/>
                <w:szCs w:val="14"/>
              </w:rPr>
              <w:t>67.4%</w:t>
            </w:r>
          </w:p>
        </w:tc>
      </w:tr>
      <w:tr w:rsidR="00936E56" w:rsidRPr="0088109E" w14:paraId="59C67DD7" w14:textId="77777777" w:rsidTr="009754A4">
        <w:trPr>
          <w:trHeight w:val="239"/>
        </w:trPr>
        <w:tc>
          <w:tcPr>
            <w:tcW w:w="748" w:type="dxa"/>
            <w:tcBorders>
              <w:top w:val="single" w:sz="4" w:space="0" w:color="D9D9D9"/>
              <w:left w:val="nil"/>
              <w:bottom w:val="single" w:sz="4" w:space="0" w:color="D9D9D9"/>
              <w:right w:val="nil"/>
            </w:tcBorders>
          </w:tcPr>
          <w:p w14:paraId="3295BEFC" w14:textId="7D4993A2"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4</w:t>
            </w:r>
          </w:p>
        </w:tc>
        <w:tc>
          <w:tcPr>
            <w:tcW w:w="815" w:type="dxa"/>
            <w:tcBorders>
              <w:top w:val="single" w:sz="4" w:space="0" w:color="D9D9D9"/>
              <w:left w:val="nil"/>
              <w:bottom w:val="single" w:sz="4" w:space="0" w:color="D9D9D9"/>
              <w:right w:val="nil"/>
            </w:tcBorders>
            <w:shd w:val="clear" w:color="auto" w:fill="auto"/>
          </w:tcPr>
          <w:p w14:paraId="35CC8C9C" w14:textId="59DA2A03"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B05Z</w:t>
            </w:r>
          </w:p>
        </w:tc>
        <w:tc>
          <w:tcPr>
            <w:tcW w:w="6305" w:type="dxa"/>
            <w:tcBorders>
              <w:top w:val="single" w:sz="4" w:space="0" w:color="D9D9D9"/>
              <w:left w:val="nil"/>
              <w:bottom w:val="single" w:sz="4" w:space="0" w:color="D9D9D9"/>
              <w:right w:val="single" w:sz="4" w:space="0" w:color="FFFFFF" w:themeColor="accent6"/>
            </w:tcBorders>
            <w:shd w:val="clear" w:color="auto" w:fill="auto"/>
          </w:tcPr>
          <w:p w14:paraId="033B05F5" w14:textId="5D12A131"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Carpal Tunnel Release</w:t>
            </w:r>
          </w:p>
        </w:tc>
        <w:tc>
          <w:tcPr>
            <w:tcW w:w="1033" w:type="dxa"/>
            <w:tcBorders>
              <w:top w:val="single" w:sz="4" w:space="0" w:color="D9D9D9"/>
              <w:left w:val="single" w:sz="4" w:space="0" w:color="FFFFFF" w:themeColor="accent6"/>
              <w:bottom w:val="single" w:sz="4" w:space="0" w:color="D9D9D9"/>
              <w:right w:val="nil"/>
            </w:tcBorders>
            <w:shd w:val="clear" w:color="auto" w:fill="auto"/>
          </w:tcPr>
          <w:p w14:paraId="0A602DD9" w14:textId="63C300CF"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15,733</w:t>
            </w:r>
          </w:p>
        </w:tc>
        <w:tc>
          <w:tcPr>
            <w:tcW w:w="1128" w:type="dxa"/>
            <w:tcBorders>
              <w:top w:val="single" w:sz="4" w:space="0" w:color="D9D9D9"/>
              <w:left w:val="nil"/>
              <w:bottom w:val="single" w:sz="4" w:space="0" w:color="D9D9D9"/>
              <w:right w:val="single" w:sz="4" w:space="0" w:color="FFFFFF" w:themeColor="accent6"/>
            </w:tcBorders>
            <w:shd w:val="clear" w:color="auto" w:fill="auto"/>
          </w:tcPr>
          <w:p w14:paraId="26CB86E6" w14:textId="4BB14C1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0.39</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6902DE57" w14:textId="5A6ED5DB"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0.25</w:t>
            </w:r>
          </w:p>
        </w:tc>
        <w:tc>
          <w:tcPr>
            <w:tcW w:w="967" w:type="dxa"/>
            <w:tcBorders>
              <w:top w:val="single" w:sz="4" w:space="0" w:color="D9D9D9"/>
              <w:left w:val="nil"/>
              <w:bottom w:val="single" w:sz="4" w:space="0" w:color="D9D9D9"/>
              <w:right w:val="nil"/>
            </w:tcBorders>
            <w:shd w:val="clear" w:color="auto" w:fill="F2F2F2" w:themeFill="background2" w:themeFillShade="F2"/>
          </w:tcPr>
          <w:p w14:paraId="2E18946C" w14:textId="01D9F10A"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0.25</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0002C91B" w14:textId="3657F28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0.26</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05E9CA6F" w14:textId="75BF4F9D"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65.9%</w:t>
            </w:r>
          </w:p>
        </w:tc>
        <w:tc>
          <w:tcPr>
            <w:tcW w:w="966" w:type="dxa"/>
            <w:gridSpan w:val="2"/>
            <w:tcBorders>
              <w:top w:val="single" w:sz="4" w:space="0" w:color="D9D9D9"/>
              <w:left w:val="nil"/>
              <w:bottom w:val="single" w:sz="4" w:space="0" w:color="D9D9D9"/>
              <w:right w:val="nil"/>
            </w:tcBorders>
            <w:shd w:val="clear" w:color="auto" w:fill="F2F2F2" w:themeFill="background2" w:themeFillShade="F2"/>
          </w:tcPr>
          <w:p w14:paraId="7507AB96" w14:textId="013592A5"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67.5%</w:t>
            </w:r>
          </w:p>
        </w:tc>
        <w:tc>
          <w:tcPr>
            <w:tcW w:w="970" w:type="dxa"/>
            <w:tcBorders>
              <w:top w:val="single" w:sz="4" w:space="0" w:color="D9D9D9"/>
              <w:left w:val="nil"/>
              <w:bottom w:val="single" w:sz="4" w:space="0" w:color="D9D9D9"/>
              <w:right w:val="nil"/>
            </w:tcBorders>
            <w:shd w:val="clear" w:color="auto" w:fill="F2F2F2" w:themeFill="background2" w:themeFillShade="F2"/>
          </w:tcPr>
          <w:p w14:paraId="424E880F" w14:textId="711F53AD"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sz w:val="14"/>
                <w:szCs w:val="14"/>
              </w:rPr>
              <w:t>66.8%</w:t>
            </w:r>
          </w:p>
        </w:tc>
      </w:tr>
      <w:tr w:rsidR="00936E56" w:rsidRPr="0088109E" w14:paraId="38E9F33C" w14:textId="77777777" w:rsidTr="009754A4">
        <w:trPr>
          <w:trHeight w:val="239"/>
        </w:trPr>
        <w:tc>
          <w:tcPr>
            <w:tcW w:w="748" w:type="dxa"/>
            <w:tcBorders>
              <w:top w:val="single" w:sz="4" w:space="0" w:color="D9D9D9"/>
              <w:left w:val="nil"/>
              <w:bottom w:val="single" w:sz="4" w:space="0" w:color="D9D9D9"/>
              <w:right w:val="nil"/>
            </w:tcBorders>
          </w:tcPr>
          <w:p w14:paraId="2ED68B81" w14:textId="1A57B57A"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w:t>
            </w:r>
          </w:p>
        </w:tc>
        <w:tc>
          <w:tcPr>
            <w:tcW w:w="815" w:type="dxa"/>
            <w:tcBorders>
              <w:top w:val="single" w:sz="4" w:space="0" w:color="D9D9D9"/>
              <w:left w:val="nil"/>
              <w:bottom w:val="single" w:sz="4" w:space="0" w:color="D9D9D9"/>
              <w:right w:val="nil"/>
            </w:tcBorders>
            <w:shd w:val="clear" w:color="auto" w:fill="auto"/>
          </w:tcPr>
          <w:p w14:paraId="77B2AB00" w14:textId="0C5A2B2F"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D40Z</w:t>
            </w:r>
          </w:p>
        </w:tc>
        <w:tc>
          <w:tcPr>
            <w:tcW w:w="6305" w:type="dxa"/>
            <w:tcBorders>
              <w:top w:val="single" w:sz="4" w:space="0" w:color="D9D9D9"/>
              <w:left w:val="nil"/>
              <w:bottom w:val="single" w:sz="4" w:space="0" w:color="D9D9D9"/>
              <w:right w:val="single" w:sz="4" w:space="0" w:color="FFFFFF" w:themeColor="accent6"/>
            </w:tcBorders>
            <w:shd w:val="clear" w:color="auto" w:fill="auto"/>
          </w:tcPr>
          <w:p w14:paraId="1C5728B9" w14:textId="3C6DF4F8"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Dental Extractions and Restorations</w:t>
            </w:r>
          </w:p>
        </w:tc>
        <w:tc>
          <w:tcPr>
            <w:tcW w:w="1033" w:type="dxa"/>
            <w:tcBorders>
              <w:top w:val="single" w:sz="4" w:space="0" w:color="D9D9D9"/>
              <w:left w:val="single" w:sz="4" w:space="0" w:color="FFFFFF" w:themeColor="accent6"/>
              <w:bottom w:val="single" w:sz="4" w:space="0" w:color="D9D9D9"/>
              <w:right w:val="nil"/>
            </w:tcBorders>
            <w:shd w:val="clear" w:color="auto" w:fill="auto"/>
          </w:tcPr>
          <w:p w14:paraId="56C1EF49" w14:textId="124C6443"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67,156</w:t>
            </w:r>
          </w:p>
        </w:tc>
        <w:tc>
          <w:tcPr>
            <w:tcW w:w="1128" w:type="dxa"/>
            <w:tcBorders>
              <w:top w:val="single" w:sz="4" w:space="0" w:color="D9D9D9"/>
              <w:left w:val="nil"/>
              <w:bottom w:val="single" w:sz="4" w:space="0" w:color="D9D9D9"/>
              <w:right w:val="single" w:sz="4" w:space="0" w:color="FFFFFF" w:themeColor="accent6"/>
            </w:tcBorders>
            <w:shd w:val="clear" w:color="auto" w:fill="auto"/>
          </w:tcPr>
          <w:p w14:paraId="6905B88E" w14:textId="31B0179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0.42</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1B861527" w14:textId="5BADF1BB"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0.27</w:t>
            </w:r>
          </w:p>
        </w:tc>
        <w:tc>
          <w:tcPr>
            <w:tcW w:w="967" w:type="dxa"/>
            <w:tcBorders>
              <w:top w:val="single" w:sz="4" w:space="0" w:color="D9D9D9"/>
              <w:left w:val="nil"/>
              <w:bottom w:val="single" w:sz="4" w:space="0" w:color="D9D9D9"/>
              <w:right w:val="nil"/>
            </w:tcBorders>
            <w:shd w:val="clear" w:color="auto" w:fill="F2F2F2" w:themeFill="background2" w:themeFillShade="F2"/>
          </w:tcPr>
          <w:p w14:paraId="01E62C6C" w14:textId="4300D28C"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0.28</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7642E800" w14:textId="5DFDA8B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0.28</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7FCB2DC0" w14:textId="4A8BFE0E"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63.8%</w:t>
            </w:r>
          </w:p>
        </w:tc>
        <w:tc>
          <w:tcPr>
            <w:tcW w:w="966" w:type="dxa"/>
            <w:gridSpan w:val="2"/>
            <w:tcBorders>
              <w:top w:val="single" w:sz="4" w:space="0" w:color="D9D9D9"/>
              <w:left w:val="nil"/>
              <w:bottom w:val="single" w:sz="4" w:space="0" w:color="D9D9D9"/>
              <w:right w:val="nil"/>
            </w:tcBorders>
            <w:shd w:val="clear" w:color="auto" w:fill="F2F2F2" w:themeFill="background2" w:themeFillShade="F2"/>
          </w:tcPr>
          <w:p w14:paraId="30A7294B" w14:textId="0B93326E"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64.5%</w:t>
            </w:r>
          </w:p>
        </w:tc>
        <w:tc>
          <w:tcPr>
            <w:tcW w:w="970" w:type="dxa"/>
            <w:tcBorders>
              <w:top w:val="single" w:sz="4" w:space="0" w:color="D9D9D9"/>
              <w:left w:val="nil"/>
              <w:bottom w:val="single" w:sz="4" w:space="0" w:color="D9D9D9"/>
              <w:right w:val="nil"/>
            </w:tcBorders>
            <w:shd w:val="clear" w:color="auto" w:fill="F2F2F2" w:themeFill="background2" w:themeFillShade="F2"/>
          </w:tcPr>
          <w:p w14:paraId="17E7F68B" w14:textId="595EF8AB"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sz w:val="14"/>
                <w:szCs w:val="14"/>
              </w:rPr>
              <w:t>66.6%</w:t>
            </w:r>
          </w:p>
        </w:tc>
      </w:tr>
      <w:tr w:rsidR="00936E56" w:rsidRPr="0088109E" w14:paraId="4FEC40A3" w14:textId="77777777" w:rsidTr="009754A4">
        <w:trPr>
          <w:trHeight w:val="239"/>
        </w:trPr>
        <w:tc>
          <w:tcPr>
            <w:tcW w:w="748" w:type="dxa"/>
            <w:tcBorders>
              <w:top w:val="single" w:sz="4" w:space="0" w:color="D9D9D9"/>
              <w:left w:val="nil"/>
              <w:bottom w:val="single" w:sz="4" w:space="0" w:color="D9D9D9"/>
              <w:right w:val="nil"/>
            </w:tcBorders>
          </w:tcPr>
          <w:p w14:paraId="02251C3E" w14:textId="02F1EC3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w:t>
            </w:r>
          </w:p>
        </w:tc>
        <w:tc>
          <w:tcPr>
            <w:tcW w:w="815" w:type="dxa"/>
            <w:tcBorders>
              <w:top w:val="single" w:sz="4" w:space="0" w:color="D9D9D9"/>
              <w:left w:val="nil"/>
              <w:bottom w:val="single" w:sz="4" w:space="0" w:color="D9D9D9"/>
              <w:right w:val="nil"/>
            </w:tcBorders>
            <w:shd w:val="clear" w:color="auto" w:fill="auto"/>
          </w:tcPr>
          <w:p w14:paraId="64B92906" w14:textId="6B94306E"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U40Z</w:t>
            </w:r>
          </w:p>
        </w:tc>
        <w:tc>
          <w:tcPr>
            <w:tcW w:w="6305" w:type="dxa"/>
            <w:tcBorders>
              <w:top w:val="single" w:sz="4" w:space="0" w:color="D9D9D9"/>
              <w:left w:val="nil"/>
              <w:bottom w:val="single" w:sz="4" w:space="0" w:color="D9D9D9"/>
              <w:right w:val="single" w:sz="4" w:space="0" w:color="FFFFFF" w:themeColor="accent6"/>
            </w:tcBorders>
            <w:shd w:val="clear" w:color="auto" w:fill="auto"/>
          </w:tcPr>
          <w:p w14:paraId="2E67B55B" w14:textId="7FC4E96C"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 xml:space="preserve">Mental Health Treatment with ECT, </w:t>
            </w:r>
            <w:proofErr w:type="spellStart"/>
            <w:r w:rsidRPr="00936E56">
              <w:rPr>
                <w:rFonts w:cs="Arial"/>
                <w:sz w:val="14"/>
                <w:szCs w:val="14"/>
              </w:rPr>
              <w:t>Sameday</w:t>
            </w:r>
            <w:proofErr w:type="spellEnd"/>
          </w:p>
        </w:tc>
        <w:tc>
          <w:tcPr>
            <w:tcW w:w="1033" w:type="dxa"/>
            <w:tcBorders>
              <w:top w:val="single" w:sz="4" w:space="0" w:color="D9D9D9"/>
              <w:left w:val="single" w:sz="4" w:space="0" w:color="FFFFFF" w:themeColor="accent6"/>
              <w:bottom w:val="single" w:sz="4" w:space="0" w:color="D9D9D9"/>
              <w:right w:val="nil"/>
            </w:tcBorders>
            <w:shd w:val="clear" w:color="auto" w:fill="auto"/>
          </w:tcPr>
          <w:p w14:paraId="5BA53D4C" w14:textId="53E12C88"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4,094</w:t>
            </w:r>
          </w:p>
        </w:tc>
        <w:tc>
          <w:tcPr>
            <w:tcW w:w="1128" w:type="dxa"/>
            <w:tcBorders>
              <w:top w:val="single" w:sz="4" w:space="0" w:color="D9D9D9"/>
              <w:left w:val="nil"/>
              <w:bottom w:val="single" w:sz="4" w:space="0" w:color="D9D9D9"/>
              <w:right w:val="single" w:sz="4" w:space="0" w:color="FFFFFF" w:themeColor="accent6"/>
            </w:tcBorders>
            <w:shd w:val="clear" w:color="auto" w:fill="auto"/>
          </w:tcPr>
          <w:p w14:paraId="6D2D7342" w14:textId="549C41C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0.22</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03ABA557" w14:textId="75A9EEE3"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0.22</w:t>
            </w:r>
          </w:p>
        </w:tc>
        <w:tc>
          <w:tcPr>
            <w:tcW w:w="967" w:type="dxa"/>
            <w:tcBorders>
              <w:top w:val="single" w:sz="4" w:space="0" w:color="D9D9D9"/>
              <w:left w:val="nil"/>
              <w:bottom w:val="single" w:sz="4" w:space="0" w:color="D9D9D9"/>
              <w:right w:val="nil"/>
            </w:tcBorders>
            <w:shd w:val="clear" w:color="auto" w:fill="F2F2F2" w:themeFill="background2" w:themeFillShade="F2"/>
          </w:tcPr>
          <w:p w14:paraId="6AF29F8B" w14:textId="5D28D88F"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0.16</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78DF8663" w14:textId="03C0826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0.14</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32337D93" w14:textId="223A36A6"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58.5%</w:t>
            </w:r>
          </w:p>
        </w:tc>
        <w:tc>
          <w:tcPr>
            <w:tcW w:w="966" w:type="dxa"/>
            <w:gridSpan w:val="2"/>
            <w:tcBorders>
              <w:top w:val="single" w:sz="4" w:space="0" w:color="D9D9D9"/>
              <w:left w:val="nil"/>
              <w:bottom w:val="single" w:sz="4" w:space="0" w:color="D9D9D9"/>
              <w:right w:val="nil"/>
            </w:tcBorders>
            <w:shd w:val="clear" w:color="auto" w:fill="F2F2F2" w:themeFill="background2" w:themeFillShade="F2"/>
          </w:tcPr>
          <w:p w14:paraId="7C6542BF" w14:textId="305BDE19"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69.4%</w:t>
            </w:r>
          </w:p>
        </w:tc>
        <w:tc>
          <w:tcPr>
            <w:tcW w:w="970" w:type="dxa"/>
            <w:tcBorders>
              <w:top w:val="single" w:sz="4" w:space="0" w:color="D9D9D9"/>
              <w:left w:val="nil"/>
              <w:bottom w:val="single" w:sz="4" w:space="0" w:color="D9D9D9"/>
              <w:right w:val="nil"/>
            </w:tcBorders>
            <w:shd w:val="clear" w:color="auto" w:fill="F2F2F2" w:themeFill="background2" w:themeFillShade="F2"/>
          </w:tcPr>
          <w:p w14:paraId="53BE8B21" w14:textId="53E2D480"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sz w:val="14"/>
                <w:szCs w:val="14"/>
              </w:rPr>
              <w:t>66.3%</w:t>
            </w:r>
          </w:p>
        </w:tc>
      </w:tr>
      <w:tr w:rsidR="00936E56" w:rsidRPr="0088109E" w14:paraId="3871CAE3" w14:textId="77777777" w:rsidTr="009754A4">
        <w:trPr>
          <w:trHeight w:val="239"/>
        </w:trPr>
        <w:tc>
          <w:tcPr>
            <w:tcW w:w="748" w:type="dxa"/>
            <w:tcBorders>
              <w:top w:val="single" w:sz="4" w:space="0" w:color="D9D9D9"/>
              <w:left w:val="nil"/>
              <w:bottom w:val="single" w:sz="4" w:space="0" w:color="D9D9D9"/>
              <w:right w:val="nil"/>
            </w:tcBorders>
          </w:tcPr>
          <w:p w14:paraId="35788A47" w14:textId="37E507A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w:t>
            </w:r>
          </w:p>
        </w:tc>
        <w:tc>
          <w:tcPr>
            <w:tcW w:w="815" w:type="dxa"/>
            <w:tcBorders>
              <w:top w:val="single" w:sz="4" w:space="0" w:color="D9D9D9"/>
              <w:left w:val="nil"/>
              <w:bottom w:val="single" w:sz="4" w:space="0" w:color="D9D9D9"/>
              <w:right w:val="nil"/>
            </w:tcBorders>
            <w:shd w:val="clear" w:color="auto" w:fill="auto"/>
          </w:tcPr>
          <w:p w14:paraId="6C5D9032" w14:textId="269359D6"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M40Z</w:t>
            </w:r>
          </w:p>
        </w:tc>
        <w:tc>
          <w:tcPr>
            <w:tcW w:w="6305" w:type="dxa"/>
            <w:tcBorders>
              <w:top w:val="single" w:sz="4" w:space="0" w:color="D9D9D9"/>
              <w:left w:val="nil"/>
              <w:bottom w:val="single" w:sz="4" w:space="0" w:color="D9D9D9"/>
              <w:right w:val="single" w:sz="4" w:space="0" w:color="FFFFFF" w:themeColor="accent6"/>
            </w:tcBorders>
            <w:shd w:val="clear" w:color="auto" w:fill="auto"/>
          </w:tcPr>
          <w:p w14:paraId="5C71B62A" w14:textId="1C01E53B"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 xml:space="preserve">Cystourethroscopy for Male Reproductive System Disorder, </w:t>
            </w:r>
            <w:proofErr w:type="spellStart"/>
            <w:r w:rsidRPr="00936E56">
              <w:rPr>
                <w:rFonts w:cs="Arial"/>
                <w:sz w:val="14"/>
                <w:szCs w:val="14"/>
              </w:rPr>
              <w:t>Sameday</w:t>
            </w:r>
            <w:proofErr w:type="spellEnd"/>
          </w:p>
        </w:tc>
        <w:tc>
          <w:tcPr>
            <w:tcW w:w="1033" w:type="dxa"/>
            <w:tcBorders>
              <w:top w:val="single" w:sz="4" w:space="0" w:color="D9D9D9"/>
              <w:left w:val="single" w:sz="4" w:space="0" w:color="FFFFFF" w:themeColor="accent6"/>
              <w:bottom w:val="single" w:sz="4" w:space="0" w:color="D9D9D9"/>
              <w:right w:val="nil"/>
            </w:tcBorders>
            <w:shd w:val="clear" w:color="auto" w:fill="auto"/>
          </w:tcPr>
          <w:p w14:paraId="11664798" w14:textId="6396A51B"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11,879</w:t>
            </w:r>
          </w:p>
        </w:tc>
        <w:tc>
          <w:tcPr>
            <w:tcW w:w="1128" w:type="dxa"/>
            <w:tcBorders>
              <w:top w:val="single" w:sz="4" w:space="0" w:color="D9D9D9"/>
              <w:left w:val="nil"/>
              <w:bottom w:val="single" w:sz="4" w:space="0" w:color="D9D9D9"/>
              <w:right w:val="single" w:sz="4" w:space="0" w:color="FFFFFF" w:themeColor="accent6"/>
            </w:tcBorders>
            <w:shd w:val="clear" w:color="auto" w:fill="auto"/>
          </w:tcPr>
          <w:p w14:paraId="1BD55FFF" w14:textId="7B27F8E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0.36</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63D081F1" w14:textId="281A934C"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0.24</w:t>
            </w:r>
          </w:p>
        </w:tc>
        <w:tc>
          <w:tcPr>
            <w:tcW w:w="967" w:type="dxa"/>
            <w:tcBorders>
              <w:top w:val="single" w:sz="4" w:space="0" w:color="D9D9D9"/>
              <w:left w:val="nil"/>
              <w:bottom w:val="single" w:sz="4" w:space="0" w:color="D9D9D9"/>
              <w:right w:val="nil"/>
            </w:tcBorders>
            <w:shd w:val="clear" w:color="auto" w:fill="F2F2F2" w:themeFill="background2" w:themeFillShade="F2"/>
          </w:tcPr>
          <w:p w14:paraId="5115DF41" w14:textId="52B254B8"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0.21</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4F229F3F" w14:textId="3ADD9BA2"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0.24</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7E441D88" w14:textId="749AB668"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65.6%</w:t>
            </w:r>
          </w:p>
        </w:tc>
        <w:tc>
          <w:tcPr>
            <w:tcW w:w="966" w:type="dxa"/>
            <w:gridSpan w:val="2"/>
            <w:tcBorders>
              <w:top w:val="single" w:sz="4" w:space="0" w:color="D9D9D9"/>
              <w:left w:val="nil"/>
              <w:bottom w:val="single" w:sz="4" w:space="0" w:color="D9D9D9"/>
              <w:right w:val="nil"/>
            </w:tcBorders>
            <w:shd w:val="clear" w:color="auto" w:fill="F2F2F2" w:themeFill="background2" w:themeFillShade="F2"/>
          </w:tcPr>
          <w:p w14:paraId="162DEEF5" w14:textId="4202824C"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65.2%</w:t>
            </w:r>
          </w:p>
        </w:tc>
        <w:tc>
          <w:tcPr>
            <w:tcW w:w="970" w:type="dxa"/>
            <w:tcBorders>
              <w:top w:val="single" w:sz="4" w:space="0" w:color="D9D9D9"/>
              <w:left w:val="nil"/>
              <w:bottom w:val="single" w:sz="4" w:space="0" w:color="D9D9D9"/>
              <w:right w:val="nil"/>
            </w:tcBorders>
            <w:shd w:val="clear" w:color="auto" w:fill="F2F2F2" w:themeFill="background2" w:themeFillShade="F2"/>
          </w:tcPr>
          <w:p w14:paraId="7B34ECEA" w14:textId="3825C5DD"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sz w:val="14"/>
                <w:szCs w:val="14"/>
              </w:rPr>
              <w:t>66.2%</w:t>
            </w:r>
          </w:p>
        </w:tc>
      </w:tr>
      <w:tr w:rsidR="00936E56" w:rsidRPr="0088109E" w14:paraId="7844D0F1" w14:textId="77777777" w:rsidTr="009754A4">
        <w:trPr>
          <w:trHeight w:val="239"/>
        </w:trPr>
        <w:tc>
          <w:tcPr>
            <w:tcW w:w="748" w:type="dxa"/>
            <w:tcBorders>
              <w:top w:val="single" w:sz="4" w:space="0" w:color="D9D9D9"/>
              <w:left w:val="nil"/>
              <w:bottom w:val="single" w:sz="4" w:space="0" w:color="D9D9D9"/>
              <w:right w:val="nil"/>
            </w:tcBorders>
          </w:tcPr>
          <w:p w14:paraId="0081464D" w14:textId="3FC76CA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8</w:t>
            </w:r>
          </w:p>
        </w:tc>
        <w:tc>
          <w:tcPr>
            <w:tcW w:w="815" w:type="dxa"/>
            <w:tcBorders>
              <w:top w:val="single" w:sz="4" w:space="0" w:color="D9D9D9"/>
              <w:left w:val="nil"/>
              <w:bottom w:val="single" w:sz="4" w:space="0" w:color="D9D9D9"/>
              <w:right w:val="nil"/>
            </w:tcBorders>
            <w:shd w:val="clear" w:color="auto" w:fill="auto"/>
          </w:tcPr>
          <w:p w14:paraId="7A72B7A9" w14:textId="6B8BD90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C11Z</w:t>
            </w:r>
          </w:p>
        </w:tc>
        <w:tc>
          <w:tcPr>
            <w:tcW w:w="6305" w:type="dxa"/>
            <w:tcBorders>
              <w:top w:val="single" w:sz="4" w:space="0" w:color="D9D9D9"/>
              <w:left w:val="nil"/>
              <w:bottom w:val="single" w:sz="4" w:space="0" w:color="D9D9D9"/>
              <w:right w:val="single" w:sz="4" w:space="0" w:color="FFFFFF" w:themeColor="accent6"/>
            </w:tcBorders>
            <w:shd w:val="clear" w:color="auto" w:fill="auto"/>
          </w:tcPr>
          <w:p w14:paraId="1DFCB75F" w14:textId="73AD7F30"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Eyelid Interventions</w:t>
            </w:r>
          </w:p>
        </w:tc>
        <w:tc>
          <w:tcPr>
            <w:tcW w:w="1033" w:type="dxa"/>
            <w:tcBorders>
              <w:top w:val="single" w:sz="4" w:space="0" w:color="D9D9D9"/>
              <w:left w:val="single" w:sz="4" w:space="0" w:color="FFFFFF" w:themeColor="accent6"/>
              <w:bottom w:val="single" w:sz="4" w:space="0" w:color="D9D9D9"/>
              <w:right w:val="nil"/>
            </w:tcBorders>
            <w:shd w:val="clear" w:color="auto" w:fill="auto"/>
          </w:tcPr>
          <w:p w14:paraId="031388F6" w14:textId="18A38D06"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6,183</w:t>
            </w:r>
          </w:p>
        </w:tc>
        <w:tc>
          <w:tcPr>
            <w:tcW w:w="1128" w:type="dxa"/>
            <w:tcBorders>
              <w:top w:val="single" w:sz="4" w:space="0" w:color="D9D9D9"/>
              <w:left w:val="nil"/>
              <w:bottom w:val="single" w:sz="4" w:space="0" w:color="D9D9D9"/>
              <w:right w:val="single" w:sz="4" w:space="0" w:color="FFFFFF" w:themeColor="accent6"/>
            </w:tcBorders>
            <w:shd w:val="clear" w:color="auto" w:fill="auto"/>
          </w:tcPr>
          <w:p w14:paraId="1F7A09DB" w14:textId="3D43F4BB"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0.69</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27D8CACA" w14:textId="5B7C7606"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0.45</w:t>
            </w:r>
          </w:p>
        </w:tc>
        <w:tc>
          <w:tcPr>
            <w:tcW w:w="967" w:type="dxa"/>
            <w:tcBorders>
              <w:top w:val="single" w:sz="4" w:space="0" w:color="D9D9D9"/>
              <w:left w:val="nil"/>
              <w:bottom w:val="single" w:sz="4" w:space="0" w:color="D9D9D9"/>
              <w:right w:val="nil"/>
            </w:tcBorders>
            <w:shd w:val="clear" w:color="auto" w:fill="F2F2F2" w:themeFill="background2" w:themeFillShade="F2"/>
          </w:tcPr>
          <w:p w14:paraId="42E862A7" w14:textId="3C5FEC1C"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0.46</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681D6E24" w14:textId="41E6CB8B"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0.46</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4C17543D" w14:textId="0AAEEB67"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65.8%</w:t>
            </w:r>
          </w:p>
        </w:tc>
        <w:tc>
          <w:tcPr>
            <w:tcW w:w="966" w:type="dxa"/>
            <w:gridSpan w:val="2"/>
            <w:tcBorders>
              <w:top w:val="single" w:sz="4" w:space="0" w:color="D9D9D9"/>
              <w:left w:val="nil"/>
              <w:bottom w:val="single" w:sz="4" w:space="0" w:color="D9D9D9"/>
              <w:right w:val="nil"/>
            </w:tcBorders>
            <w:shd w:val="clear" w:color="auto" w:fill="F2F2F2" w:themeFill="background2" w:themeFillShade="F2"/>
          </w:tcPr>
          <w:p w14:paraId="360776FC" w14:textId="000C200E"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67.2%</w:t>
            </w:r>
          </w:p>
        </w:tc>
        <w:tc>
          <w:tcPr>
            <w:tcW w:w="970" w:type="dxa"/>
            <w:tcBorders>
              <w:top w:val="single" w:sz="4" w:space="0" w:color="D9D9D9"/>
              <w:left w:val="nil"/>
              <w:bottom w:val="single" w:sz="4" w:space="0" w:color="D9D9D9"/>
              <w:right w:val="nil"/>
            </w:tcBorders>
            <w:shd w:val="clear" w:color="auto" w:fill="F2F2F2" w:themeFill="background2" w:themeFillShade="F2"/>
          </w:tcPr>
          <w:p w14:paraId="576C7EAE" w14:textId="7C6BBEF4"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sz w:val="14"/>
                <w:szCs w:val="14"/>
              </w:rPr>
              <w:t>66.1%</w:t>
            </w:r>
          </w:p>
        </w:tc>
      </w:tr>
      <w:tr w:rsidR="00936E56" w:rsidRPr="0088109E" w14:paraId="53B430B3" w14:textId="77777777" w:rsidTr="009754A4">
        <w:trPr>
          <w:trHeight w:val="239"/>
        </w:trPr>
        <w:tc>
          <w:tcPr>
            <w:tcW w:w="748" w:type="dxa"/>
            <w:tcBorders>
              <w:top w:val="single" w:sz="4" w:space="0" w:color="D9D9D9"/>
              <w:left w:val="nil"/>
              <w:bottom w:val="single" w:sz="4" w:space="0" w:color="D9D9D9"/>
              <w:right w:val="nil"/>
            </w:tcBorders>
          </w:tcPr>
          <w:p w14:paraId="0310B7CC" w14:textId="5208954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w:t>
            </w:r>
          </w:p>
        </w:tc>
        <w:tc>
          <w:tcPr>
            <w:tcW w:w="815" w:type="dxa"/>
            <w:tcBorders>
              <w:top w:val="single" w:sz="4" w:space="0" w:color="D9D9D9"/>
              <w:left w:val="nil"/>
              <w:bottom w:val="single" w:sz="4" w:space="0" w:color="D9D9D9"/>
              <w:right w:val="nil"/>
            </w:tcBorders>
            <w:shd w:val="clear" w:color="auto" w:fill="auto"/>
          </w:tcPr>
          <w:p w14:paraId="3367C588" w14:textId="50FDBA79"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M04B</w:t>
            </w:r>
          </w:p>
        </w:tc>
        <w:tc>
          <w:tcPr>
            <w:tcW w:w="6305" w:type="dxa"/>
            <w:tcBorders>
              <w:top w:val="single" w:sz="4" w:space="0" w:color="D9D9D9"/>
              <w:left w:val="nil"/>
              <w:bottom w:val="single" w:sz="4" w:space="0" w:color="D9D9D9"/>
              <w:right w:val="single" w:sz="4" w:space="0" w:color="FFFFFF" w:themeColor="accent6"/>
            </w:tcBorders>
            <w:shd w:val="clear" w:color="auto" w:fill="auto"/>
          </w:tcPr>
          <w:p w14:paraId="2F11C3A2" w14:textId="40512499"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Testes Interventions, Minor Complexity</w:t>
            </w:r>
          </w:p>
        </w:tc>
        <w:tc>
          <w:tcPr>
            <w:tcW w:w="1033" w:type="dxa"/>
            <w:tcBorders>
              <w:top w:val="single" w:sz="4" w:space="0" w:color="D9D9D9"/>
              <w:left w:val="single" w:sz="4" w:space="0" w:color="FFFFFF" w:themeColor="accent6"/>
              <w:bottom w:val="single" w:sz="4" w:space="0" w:color="D9D9D9"/>
              <w:right w:val="nil"/>
            </w:tcBorders>
            <w:shd w:val="clear" w:color="auto" w:fill="auto"/>
          </w:tcPr>
          <w:p w14:paraId="578AE46F" w14:textId="095CF68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6,359</w:t>
            </w:r>
          </w:p>
        </w:tc>
        <w:tc>
          <w:tcPr>
            <w:tcW w:w="1128" w:type="dxa"/>
            <w:tcBorders>
              <w:top w:val="single" w:sz="4" w:space="0" w:color="D9D9D9"/>
              <w:left w:val="nil"/>
              <w:bottom w:val="single" w:sz="4" w:space="0" w:color="D9D9D9"/>
              <w:right w:val="single" w:sz="4" w:space="0" w:color="FFFFFF" w:themeColor="accent6"/>
            </w:tcBorders>
            <w:shd w:val="clear" w:color="auto" w:fill="auto"/>
          </w:tcPr>
          <w:p w14:paraId="066A5437" w14:textId="3F36EA5E"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0.62</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382D65F2" w14:textId="382413C3"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n/a</w:t>
            </w:r>
          </w:p>
        </w:tc>
        <w:tc>
          <w:tcPr>
            <w:tcW w:w="967" w:type="dxa"/>
            <w:tcBorders>
              <w:top w:val="single" w:sz="4" w:space="0" w:color="D9D9D9"/>
              <w:left w:val="nil"/>
              <w:bottom w:val="single" w:sz="4" w:space="0" w:color="D9D9D9"/>
              <w:right w:val="nil"/>
            </w:tcBorders>
            <w:shd w:val="clear" w:color="auto" w:fill="F2F2F2" w:themeFill="background2" w:themeFillShade="F2"/>
          </w:tcPr>
          <w:p w14:paraId="40ACD5F2" w14:textId="19B20E31"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n/a</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4198875F" w14:textId="7D4CDC29"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0.41</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138E14EA" w14:textId="0C89DAEF"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n/a</w:t>
            </w:r>
          </w:p>
        </w:tc>
        <w:tc>
          <w:tcPr>
            <w:tcW w:w="966" w:type="dxa"/>
            <w:gridSpan w:val="2"/>
            <w:tcBorders>
              <w:top w:val="single" w:sz="4" w:space="0" w:color="D9D9D9"/>
              <w:left w:val="nil"/>
              <w:bottom w:val="single" w:sz="4" w:space="0" w:color="D9D9D9"/>
              <w:right w:val="nil"/>
            </w:tcBorders>
            <w:shd w:val="clear" w:color="auto" w:fill="F2F2F2" w:themeFill="background2" w:themeFillShade="F2"/>
          </w:tcPr>
          <w:p w14:paraId="4CC520D6" w14:textId="72CF2188"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n/a</w:t>
            </w:r>
          </w:p>
        </w:tc>
        <w:tc>
          <w:tcPr>
            <w:tcW w:w="970" w:type="dxa"/>
            <w:tcBorders>
              <w:top w:val="single" w:sz="4" w:space="0" w:color="D9D9D9"/>
              <w:left w:val="nil"/>
              <w:bottom w:val="single" w:sz="4" w:space="0" w:color="D9D9D9"/>
              <w:right w:val="nil"/>
            </w:tcBorders>
            <w:shd w:val="clear" w:color="auto" w:fill="F2F2F2" w:themeFill="background2" w:themeFillShade="F2"/>
          </w:tcPr>
          <w:p w14:paraId="418984B0" w14:textId="1704D6BD"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sz w:val="14"/>
                <w:szCs w:val="14"/>
              </w:rPr>
              <w:t>66.1%</w:t>
            </w:r>
          </w:p>
        </w:tc>
      </w:tr>
      <w:tr w:rsidR="00936E56" w:rsidRPr="0088109E" w14:paraId="09C0084C" w14:textId="77777777" w:rsidTr="009754A4">
        <w:trPr>
          <w:trHeight w:val="239"/>
        </w:trPr>
        <w:tc>
          <w:tcPr>
            <w:tcW w:w="748" w:type="dxa"/>
            <w:tcBorders>
              <w:top w:val="single" w:sz="4" w:space="0" w:color="D9D9D9"/>
              <w:left w:val="nil"/>
              <w:bottom w:val="single" w:sz="4" w:space="0" w:color="D9D9D9"/>
              <w:right w:val="nil"/>
            </w:tcBorders>
          </w:tcPr>
          <w:p w14:paraId="42BD17EC" w14:textId="5FFD54FF"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10</w:t>
            </w:r>
          </w:p>
        </w:tc>
        <w:tc>
          <w:tcPr>
            <w:tcW w:w="815" w:type="dxa"/>
            <w:tcBorders>
              <w:top w:val="single" w:sz="4" w:space="0" w:color="D9D9D9"/>
              <w:left w:val="nil"/>
              <w:bottom w:val="single" w:sz="4" w:space="0" w:color="D9D9D9"/>
              <w:right w:val="nil"/>
            </w:tcBorders>
            <w:shd w:val="clear" w:color="auto" w:fill="auto"/>
          </w:tcPr>
          <w:p w14:paraId="6B4B8ADA" w14:textId="2324B06A"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N09B</w:t>
            </w:r>
          </w:p>
        </w:tc>
        <w:tc>
          <w:tcPr>
            <w:tcW w:w="6305" w:type="dxa"/>
            <w:tcBorders>
              <w:top w:val="single" w:sz="4" w:space="0" w:color="D9D9D9"/>
              <w:left w:val="nil"/>
              <w:bottom w:val="single" w:sz="4" w:space="0" w:color="D9D9D9"/>
              <w:right w:val="single" w:sz="4" w:space="0" w:color="FFFFFF" w:themeColor="accent6"/>
            </w:tcBorders>
            <w:shd w:val="clear" w:color="auto" w:fill="auto"/>
          </w:tcPr>
          <w:p w14:paraId="4C1AD065" w14:textId="34845746"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Other Vagina, Cervix and Vulva Interventions, Minor Complexity</w:t>
            </w:r>
          </w:p>
        </w:tc>
        <w:tc>
          <w:tcPr>
            <w:tcW w:w="1033" w:type="dxa"/>
            <w:tcBorders>
              <w:top w:val="single" w:sz="4" w:space="0" w:color="D9D9D9"/>
              <w:left w:val="single" w:sz="4" w:space="0" w:color="FFFFFF" w:themeColor="accent6"/>
              <w:bottom w:val="single" w:sz="4" w:space="0" w:color="D9D9D9"/>
              <w:right w:val="nil"/>
            </w:tcBorders>
            <w:shd w:val="clear" w:color="auto" w:fill="auto"/>
          </w:tcPr>
          <w:p w14:paraId="3BB98EA1" w14:textId="4296732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12,173</w:t>
            </w:r>
          </w:p>
        </w:tc>
        <w:tc>
          <w:tcPr>
            <w:tcW w:w="1128" w:type="dxa"/>
            <w:tcBorders>
              <w:top w:val="single" w:sz="4" w:space="0" w:color="D9D9D9"/>
              <w:left w:val="nil"/>
              <w:bottom w:val="single" w:sz="4" w:space="0" w:color="D9D9D9"/>
              <w:right w:val="single" w:sz="4" w:space="0" w:color="FFFFFF" w:themeColor="accent6"/>
            </w:tcBorders>
            <w:shd w:val="clear" w:color="auto" w:fill="auto"/>
          </w:tcPr>
          <w:p w14:paraId="58A18B75" w14:textId="38D5EE5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0.38</w:t>
            </w:r>
          </w:p>
        </w:tc>
        <w:tc>
          <w:tcPr>
            <w:tcW w:w="966"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486FE098" w14:textId="6D5E2229"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0.23</w:t>
            </w:r>
          </w:p>
        </w:tc>
        <w:tc>
          <w:tcPr>
            <w:tcW w:w="967" w:type="dxa"/>
            <w:tcBorders>
              <w:top w:val="single" w:sz="4" w:space="0" w:color="D9D9D9"/>
              <w:left w:val="nil"/>
              <w:bottom w:val="single" w:sz="4" w:space="0" w:color="D9D9D9"/>
              <w:right w:val="nil"/>
            </w:tcBorders>
            <w:shd w:val="clear" w:color="auto" w:fill="F2F2F2" w:themeFill="background2" w:themeFillShade="F2"/>
          </w:tcPr>
          <w:p w14:paraId="0707FFF0" w14:textId="04BC6861"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0.24</w:t>
            </w:r>
          </w:p>
        </w:tc>
        <w:tc>
          <w:tcPr>
            <w:tcW w:w="969"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58F2500F" w14:textId="670C9943"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0.25</w:t>
            </w:r>
          </w:p>
        </w:tc>
        <w:tc>
          <w:tcPr>
            <w:tcW w:w="967" w:type="dxa"/>
            <w:gridSpan w:val="2"/>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62F6404A" w14:textId="3A3D1006"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63.4%</w:t>
            </w:r>
          </w:p>
        </w:tc>
        <w:tc>
          <w:tcPr>
            <w:tcW w:w="966" w:type="dxa"/>
            <w:gridSpan w:val="2"/>
            <w:tcBorders>
              <w:top w:val="single" w:sz="4" w:space="0" w:color="D9D9D9"/>
              <w:left w:val="nil"/>
              <w:bottom w:val="single" w:sz="4" w:space="0" w:color="D9D9D9"/>
              <w:right w:val="nil"/>
            </w:tcBorders>
            <w:shd w:val="clear" w:color="auto" w:fill="F2F2F2" w:themeFill="background2" w:themeFillShade="F2"/>
          </w:tcPr>
          <w:p w14:paraId="1C0D45DB" w14:textId="36795692" w:rsidR="00936E56" w:rsidRPr="00C07CC0" w:rsidRDefault="00936E56" w:rsidP="00936E56">
            <w:pPr>
              <w:autoSpaceDE w:val="0"/>
              <w:autoSpaceDN w:val="0"/>
              <w:adjustRightInd w:val="0"/>
              <w:spacing w:after="0" w:line="240" w:lineRule="auto"/>
              <w:jc w:val="center"/>
              <w:rPr>
                <w:rFonts w:cs="Arial"/>
                <w:color w:val="000000"/>
                <w:sz w:val="14"/>
                <w:szCs w:val="14"/>
              </w:rPr>
            </w:pPr>
            <w:r w:rsidRPr="00C07CC0">
              <w:rPr>
                <w:rFonts w:cs="Arial"/>
                <w:sz w:val="14"/>
                <w:szCs w:val="14"/>
              </w:rPr>
              <w:t>66.0%</w:t>
            </w:r>
          </w:p>
        </w:tc>
        <w:tc>
          <w:tcPr>
            <w:tcW w:w="970" w:type="dxa"/>
            <w:tcBorders>
              <w:top w:val="single" w:sz="4" w:space="0" w:color="D9D9D9"/>
              <w:left w:val="nil"/>
              <w:bottom w:val="single" w:sz="4" w:space="0" w:color="D9D9D9"/>
              <w:right w:val="nil"/>
            </w:tcBorders>
            <w:shd w:val="clear" w:color="auto" w:fill="F2F2F2" w:themeFill="background2" w:themeFillShade="F2"/>
          </w:tcPr>
          <w:p w14:paraId="443D9669" w14:textId="1F47E2A6"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sz w:val="14"/>
                <w:szCs w:val="14"/>
              </w:rPr>
              <w:t>66.0%</w:t>
            </w:r>
          </w:p>
        </w:tc>
      </w:tr>
      <w:tr w:rsidR="00936E56" w:rsidRPr="0088109E" w14:paraId="5AFB22F9" w14:textId="77777777" w:rsidTr="00394FD9">
        <w:trPr>
          <w:trHeight w:val="239"/>
        </w:trPr>
        <w:tc>
          <w:tcPr>
            <w:tcW w:w="7868" w:type="dxa"/>
            <w:gridSpan w:val="3"/>
            <w:tcBorders>
              <w:top w:val="single" w:sz="4" w:space="0" w:color="D9D9D9"/>
              <w:left w:val="nil"/>
              <w:bottom w:val="nil"/>
              <w:right w:val="single" w:sz="4" w:space="0" w:color="FFFFFF" w:themeColor="accent6"/>
            </w:tcBorders>
            <w:shd w:val="clear" w:color="auto" w:fill="DFEBF1" w:themeFill="text2" w:themeFillTint="1A"/>
            <w:vAlign w:val="center"/>
          </w:tcPr>
          <w:p w14:paraId="270B1065" w14:textId="6158774E" w:rsidR="00936E56" w:rsidRPr="00F67A07" w:rsidRDefault="00936E56" w:rsidP="00936E56">
            <w:pPr>
              <w:autoSpaceDE w:val="0"/>
              <w:autoSpaceDN w:val="0"/>
              <w:adjustRightInd w:val="0"/>
              <w:spacing w:after="0" w:line="240" w:lineRule="auto"/>
              <w:rPr>
                <w:rFonts w:cs="Arial"/>
                <w:b/>
                <w:bCs/>
                <w:color w:val="000000"/>
                <w:sz w:val="14"/>
                <w:szCs w:val="14"/>
              </w:rPr>
            </w:pPr>
            <w:r>
              <w:rPr>
                <w:rFonts w:cs="Arial"/>
                <w:b/>
                <w:bCs/>
                <w:color w:val="000000"/>
                <w:sz w:val="14"/>
                <w:szCs w:val="14"/>
              </w:rPr>
              <w:t>Sub-total, top 10 highest OR and SPS cost weight %</w:t>
            </w:r>
          </w:p>
        </w:tc>
        <w:tc>
          <w:tcPr>
            <w:tcW w:w="1033" w:type="dxa"/>
            <w:tcBorders>
              <w:top w:val="single" w:sz="4" w:space="0" w:color="D9D9D9"/>
              <w:left w:val="single" w:sz="4" w:space="0" w:color="FFFFFF" w:themeColor="accent6"/>
              <w:bottom w:val="nil"/>
              <w:right w:val="nil"/>
            </w:tcBorders>
            <w:shd w:val="clear" w:color="auto" w:fill="DFEBF1" w:themeFill="text2" w:themeFillTint="1A"/>
          </w:tcPr>
          <w:p w14:paraId="6E80C2CA" w14:textId="4844AF20"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151,362</w:t>
            </w:r>
          </w:p>
        </w:tc>
        <w:tc>
          <w:tcPr>
            <w:tcW w:w="1128" w:type="dxa"/>
            <w:tcBorders>
              <w:top w:val="single" w:sz="4" w:space="0" w:color="D9D9D9"/>
              <w:left w:val="nil"/>
              <w:bottom w:val="nil"/>
              <w:right w:val="single" w:sz="4" w:space="0" w:color="FFFFFF" w:themeColor="accent6"/>
            </w:tcBorders>
            <w:shd w:val="clear" w:color="auto" w:fill="DFEBF1" w:themeFill="text2" w:themeFillTint="1A"/>
          </w:tcPr>
          <w:p w14:paraId="5CBD9FE4" w14:textId="11D5BC6C"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0.46</w:t>
            </w:r>
          </w:p>
        </w:tc>
        <w:tc>
          <w:tcPr>
            <w:tcW w:w="966" w:type="dxa"/>
            <w:tcBorders>
              <w:top w:val="single" w:sz="4" w:space="0" w:color="D9D9D9"/>
              <w:left w:val="single" w:sz="4" w:space="0" w:color="FFFFFF" w:themeColor="accent6"/>
              <w:bottom w:val="nil"/>
              <w:right w:val="nil"/>
            </w:tcBorders>
            <w:shd w:val="clear" w:color="auto" w:fill="DFEBF1" w:themeFill="text2" w:themeFillTint="1A"/>
          </w:tcPr>
          <w:p w14:paraId="71ABC5DE" w14:textId="514A1135" w:rsidR="00936E56" w:rsidRPr="00C07CC0" w:rsidRDefault="00936E56" w:rsidP="00936E56">
            <w:pPr>
              <w:autoSpaceDE w:val="0"/>
              <w:autoSpaceDN w:val="0"/>
              <w:adjustRightInd w:val="0"/>
              <w:spacing w:after="0" w:line="240" w:lineRule="auto"/>
              <w:jc w:val="center"/>
              <w:rPr>
                <w:rFonts w:cs="Arial"/>
                <w:b/>
                <w:bCs/>
                <w:color w:val="000000"/>
                <w:sz w:val="14"/>
                <w:szCs w:val="14"/>
              </w:rPr>
            </w:pPr>
            <w:r w:rsidRPr="00C07CC0">
              <w:rPr>
                <w:b/>
                <w:bCs/>
                <w:sz w:val="14"/>
                <w:szCs w:val="14"/>
              </w:rPr>
              <w:t>0.28</w:t>
            </w:r>
          </w:p>
        </w:tc>
        <w:tc>
          <w:tcPr>
            <w:tcW w:w="967" w:type="dxa"/>
            <w:tcBorders>
              <w:top w:val="single" w:sz="4" w:space="0" w:color="D9D9D9"/>
              <w:left w:val="nil"/>
              <w:bottom w:val="nil"/>
              <w:right w:val="nil"/>
            </w:tcBorders>
            <w:shd w:val="clear" w:color="auto" w:fill="DFEBF1" w:themeFill="text2" w:themeFillTint="1A"/>
          </w:tcPr>
          <w:p w14:paraId="65D2BFE5" w14:textId="39E191F8" w:rsidR="00936E56" w:rsidRPr="00C07CC0" w:rsidRDefault="00936E56" w:rsidP="00936E56">
            <w:pPr>
              <w:autoSpaceDE w:val="0"/>
              <w:autoSpaceDN w:val="0"/>
              <w:adjustRightInd w:val="0"/>
              <w:spacing w:after="0" w:line="240" w:lineRule="auto"/>
              <w:jc w:val="center"/>
              <w:rPr>
                <w:rFonts w:cs="Arial"/>
                <w:b/>
                <w:bCs/>
                <w:color w:val="000000"/>
                <w:sz w:val="14"/>
                <w:szCs w:val="14"/>
              </w:rPr>
            </w:pPr>
            <w:r w:rsidRPr="00C07CC0">
              <w:rPr>
                <w:b/>
                <w:bCs/>
                <w:sz w:val="14"/>
                <w:szCs w:val="14"/>
              </w:rPr>
              <w:t>0.29</w:t>
            </w:r>
          </w:p>
        </w:tc>
        <w:tc>
          <w:tcPr>
            <w:tcW w:w="969" w:type="dxa"/>
            <w:tcBorders>
              <w:top w:val="single" w:sz="4" w:space="0" w:color="D9D9D9"/>
              <w:left w:val="nil"/>
              <w:bottom w:val="nil"/>
              <w:right w:val="single" w:sz="4" w:space="0" w:color="FFFFFF" w:themeColor="accent6"/>
            </w:tcBorders>
            <w:shd w:val="clear" w:color="auto" w:fill="DFEBF1" w:themeFill="text2" w:themeFillTint="1A"/>
          </w:tcPr>
          <w:p w14:paraId="6118A3E8" w14:textId="0E329DD3"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0.30</w:t>
            </w:r>
          </w:p>
        </w:tc>
        <w:tc>
          <w:tcPr>
            <w:tcW w:w="967" w:type="dxa"/>
            <w:gridSpan w:val="2"/>
            <w:tcBorders>
              <w:top w:val="single" w:sz="4" w:space="0" w:color="D9D9D9"/>
              <w:left w:val="single" w:sz="4" w:space="0" w:color="FFFFFF" w:themeColor="accent6"/>
              <w:bottom w:val="nil"/>
              <w:right w:val="nil"/>
            </w:tcBorders>
            <w:shd w:val="clear" w:color="auto" w:fill="DFEBF1" w:themeFill="text2" w:themeFillTint="1A"/>
          </w:tcPr>
          <w:p w14:paraId="0954F4D2" w14:textId="34D87458" w:rsidR="00936E56" w:rsidRPr="00C07CC0" w:rsidRDefault="00936E56" w:rsidP="00936E56">
            <w:pPr>
              <w:autoSpaceDE w:val="0"/>
              <w:autoSpaceDN w:val="0"/>
              <w:adjustRightInd w:val="0"/>
              <w:spacing w:after="0" w:line="240" w:lineRule="auto"/>
              <w:jc w:val="center"/>
              <w:rPr>
                <w:rFonts w:cs="Arial"/>
                <w:b/>
                <w:bCs/>
                <w:color w:val="000000"/>
                <w:sz w:val="14"/>
                <w:szCs w:val="14"/>
              </w:rPr>
            </w:pPr>
            <w:r w:rsidRPr="00C07CC0">
              <w:rPr>
                <w:b/>
                <w:bCs/>
                <w:sz w:val="14"/>
                <w:szCs w:val="14"/>
              </w:rPr>
              <w:t>64.2%</w:t>
            </w:r>
          </w:p>
        </w:tc>
        <w:tc>
          <w:tcPr>
            <w:tcW w:w="966" w:type="dxa"/>
            <w:gridSpan w:val="2"/>
            <w:tcBorders>
              <w:top w:val="single" w:sz="4" w:space="0" w:color="D9D9D9"/>
              <w:left w:val="nil"/>
              <w:bottom w:val="nil"/>
              <w:right w:val="nil"/>
            </w:tcBorders>
            <w:shd w:val="clear" w:color="auto" w:fill="DFEBF1" w:themeFill="text2" w:themeFillTint="1A"/>
          </w:tcPr>
          <w:p w14:paraId="1B40C13B" w14:textId="2504B89C" w:rsidR="00936E56" w:rsidRPr="00C07CC0" w:rsidRDefault="00936E56" w:rsidP="00936E56">
            <w:pPr>
              <w:autoSpaceDE w:val="0"/>
              <w:autoSpaceDN w:val="0"/>
              <w:adjustRightInd w:val="0"/>
              <w:spacing w:after="0" w:line="240" w:lineRule="auto"/>
              <w:jc w:val="center"/>
              <w:rPr>
                <w:rFonts w:cs="Arial"/>
                <w:b/>
                <w:bCs/>
                <w:color w:val="000000"/>
                <w:sz w:val="14"/>
                <w:szCs w:val="14"/>
              </w:rPr>
            </w:pPr>
            <w:r w:rsidRPr="00C07CC0">
              <w:rPr>
                <w:b/>
                <w:bCs/>
                <w:sz w:val="14"/>
                <w:szCs w:val="14"/>
              </w:rPr>
              <w:t>65.9%</w:t>
            </w:r>
          </w:p>
        </w:tc>
        <w:tc>
          <w:tcPr>
            <w:tcW w:w="970" w:type="dxa"/>
            <w:tcBorders>
              <w:top w:val="single" w:sz="4" w:space="0" w:color="D9D9D9"/>
              <w:left w:val="nil"/>
              <w:bottom w:val="nil"/>
              <w:right w:val="nil"/>
            </w:tcBorders>
            <w:shd w:val="clear" w:color="auto" w:fill="DFEBF1" w:themeFill="text2" w:themeFillTint="1A"/>
          </w:tcPr>
          <w:p w14:paraId="1E41BCF7" w14:textId="2B7508A5"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66.7%</w:t>
            </w:r>
          </w:p>
        </w:tc>
      </w:tr>
      <w:tr w:rsidR="00936E56" w:rsidRPr="0088109E" w14:paraId="74360219" w14:textId="77777777" w:rsidTr="00394FD9">
        <w:trPr>
          <w:trHeight w:val="239"/>
        </w:trPr>
        <w:tc>
          <w:tcPr>
            <w:tcW w:w="7868" w:type="dxa"/>
            <w:gridSpan w:val="3"/>
            <w:tcBorders>
              <w:top w:val="nil"/>
              <w:left w:val="nil"/>
              <w:bottom w:val="nil"/>
              <w:right w:val="single" w:sz="4" w:space="0" w:color="FFFFFF" w:themeColor="accent6"/>
            </w:tcBorders>
            <w:shd w:val="clear" w:color="auto" w:fill="DFEBF1" w:themeFill="text2" w:themeFillTint="1A"/>
            <w:vAlign w:val="center"/>
          </w:tcPr>
          <w:p w14:paraId="6F79A317" w14:textId="77131A42" w:rsidR="00936E56" w:rsidRPr="00F67A07" w:rsidRDefault="00936E56" w:rsidP="00936E56">
            <w:pPr>
              <w:autoSpaceDE w:val="0"/>
              <w:autoSpaceDN w:val="0"/>
              <w:adjustRightInd w:val="0"/>
              <w:spacing w:after="0" w:line="240" w:lineRule="auto"/>
              <w:rPr>
                <w:rFonts w:cs="Arial"/>
                <w:b/>
                <w:bCs/>
                <w:color w:val="000000"/>
                <w:sz w:val="14"/>
                <w:szCs w:val="14"/>
              </w:rPr>
            </w:pPr>
            <w:r>
              <w:rPr>
                <w:rFonts w:cs="Arial"/>
                <w:b/>
                <w:bCs/>
                <w:color w:val="000000"/>
                <w:sz w:val="14"/>
                <w:szCs w:val="14"/>
              </w:rPr>
              <w:t>All OR and SPS AR-DRGs</w:t>
            </w:r>
          </w:p>
        </w:tc>
        <w:tc>
          <w:tcPr>
            <w:tcW w:w="1033" w:type="dxa"/>
            <w:tcBorders>
              <w:top w:val="nil"/>
              <w:left w:val="single" w:sz="4" w:space="0" w:color="FFFFFF" w:themeColor="accent6"/>
              <w:bottom w:val="nil"/>
              <w:right w:val="nil"/>
            </w:tcBorders>
            <w:shd w:val="clear" w:color="auto" w:fill="DFEBF1" w:themeFill="text2" w:themeFillTint="1A"/>
          </w:tcPr>
          <w:p w14:paraId="28729421" w14:textId="06385E52"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3,430,229</w:t>
            </w:r>
          </w:p>
        </w:tc>
        <w:tc>
          <w:tcPr>
            <w:tcW w:w="1128" w:type="dxa"/>
            <w:tcBorders>
              <w:top w:val="nil"/>
              <w:left w:val="nil"/>
              <w:bottom w:val="nil"/>
              <w:right w:val="single" w:sz="4" w:space="0" w:color="FFFFFF" w:themeColor="accent6"/>
            </w:tcBorders>
            <w:shd w:val="clear" w:color="auto" w:fill="DFEBF1" w:themeFill="text2" w:themeFillTint="1A"/>
          </w:tcPr>
          <w:p w14:paraId="4EA989AF" w14:textId="210D9B03" w:rsidR="00936E56" w:rsidRPr="00936E56" w:rsidRDefault="00532BC0" w:rsidP="00936E56">
            <w:pPr>
              <w:autoSpaceDE w:val="0"/>
              <w:autoSpaceDN w:val="0"/>
              <w:adjustRightInd w:val="0"/>
              <w:spacing w:after="0" w:line="240" w:lineRule="auto"/>
              <w:jc w:val="center"/>
              <w:rPr>
                <w:rFonts w:cs="Arial"/>
                <w:b/>
                <w:bCs/>
                <w:color w:val="000000"/>
                <w:sz w:val="14"/>
                <w:szCs w:val="14"/>
              </w:rPr>
            </w:pPr>
            <w:r>
              <w:rPr>
                <w:rFonts w:cs="Arial"/>
                <w:b/>
                <w:bCs/>
                <w:color w:val="000000"/>
                <w:sz w:val="14"/>
                <w:szCs w:val="14"/>
              </w:rPr>
              <w:t>1.00</w:t>
            </w:r>
          </w:p>
        </w:tc>
        <w:tc>
          <w:tcPr>
            <w:tcW w:w="966" w:type="dxa"/>
            <w:tcBorders>
              <w:top w:val="nil"/>
              <w:left w:val="single" w:sz="4" w:space="0" w:color="FFFFFF" w:themeColor="accent6"/>
              <w:bottom w:val="nil"/>
              <w:right w:val="nil"/>
            </w:tcBorders>
            <w:shd w:val="clear" w:color="auto" w:fill="DFEBF1" w:themeFill="text2" w:themeFillTint="1A"/>
          </w:tcPr>
          <w:p w14:paraId="5913D44A" w14:textId="48B74C84" w:rsidR="00936E56" w:rsidRPr="00C07CC0" w:rsidRDefault="00936E56" w:rsidP="00936E56">
            <w:pPr>
              <w:autoSpaceDE w:val="0"/>
              <w:autoSpaceDN w:val="0"/>
              <w:adjustRightInd w:val="0"/>
              <w:spacing w:after="0" w:line="240" w:lineRule="auto"/>
              <w:jc w:val="center"/>
              <w:rPr>
                <w:rFonts w:cs="Arial"/>
                <w:b/>
                <w:bCs/>
                <w:color w:val="000000"/>
                <w:sz w:val="14"/>
                <w:szCs w:val="14"/>
              </w:rPr>
            </w:pPr>
            <w:r w:rsidRPr="00C07CC0">
              <w:rPr>
                <w:b/>
                <w:bCs/>
                <w:sz w:val="14"/>
                <w:szCs w:val="14"/>
              </w:rPr>
              <w:t>0.28</w:t>
            </w:r>
          </w:p>
        </w:tc>
        <w:tc>
          <w:tcPr>
            <w:tcW w:w="967" w:type="dxa"/>
            <w:tcBorders>
              <w:top w:val="nil"/>
              <w:left w:val="nil"/>
              <w:bottom w:val="nil"/>
              <w:right w:val="nil"/>
            </w:tcBorders>
            <w:shd w:val="clear" w:color="auto" w:fill="DFEBF1" w:themeFill="text2" w:themeFillTint="1A"/>
          </w:tcPr>
          <w:p w14:paraId="68C4134A" w14:textId="6C4BADEB" w:rsidR="00936E56" w:rsidRPr="00C07CC0" w:rsidRDefault="00936E56" w:rsidP="00936E56">
            <w:pPr>
              <w:autoSpaceDE w:val="0"/>
              <w:autoSpaceDN w:val="0"/>
              <w:adjustRightInd w:val="0"/>
              <w:spacing w:after="0" w:line="240" w:lineRule="auto"/>
              <w:jc w:val="center"/>
              <w:rPr>
                <w:rFonts w:cs="Arial"/>
                <w:b/>
                <w:bCs/>
                <w:color w:val="000000"/>
                <w:sz w:val="14"/>
                <w:szCs w:val="14"/>
              </w:rPr>
            </w:pPr>
            <w:r w:rsidRPr="00C07CC0">
              <w:rPr>
                <w:b/>
                <w:bCs/>
                <w:sz w:val="14"/>
                <w:szCs w:val="14"/>
              </w:rPr>
              <w:t>0.29</w:t>
            </w:r>
          </w:p>
        </w:tc>
        <w:tc>
          <w:tcPr>
            <w:tcW w:w="969" w:type="dxa"/>
            <w:tcBorders>
              <w:top w:val="nil"/>
              <w:left w:val="nil"/>
              <w:bottom w:val="nil"/>
              <w:right w:val="single" w:sz="4" w:space="0" w:color="FFFFFF" w:themeColor="accent6"/>
            </w:tcBorders>
            <w:shd w:val="clear" w:color="auto" w:fill="DFEBF1" w:themeFill="text2" w:themeFillTint="1A"/>
          </w:tcPr>
          <w:p w14:paraId="4524FA1D" w14:textId="1876DCE2"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0.28</w:t>
            </w:r>
          </w:p>
        </w:tc>
        <w:tc>
          <w:tcPr>
            <w:tcW w:w="967" w:type="dxa"/>
            <w:gridSpan w:val="2"/>
            <w:tcBorders>
              <w:top w:val="nil"/>
              <w:left w:val="single" w:sz="4" w:space="0" w:color="FFFFFF" w:themeColor="accent6"/>
              <w:bottom w:val="nil"/>
              <w:right w:val="nil"/>
            </w:tcBorders>
            <w:shd w:val="clear" w:color="auto" w:fill="DFEBF1" w:themeFill="text2" w:themeFillTint="1A"/>
          </w:tcPr>
          <w:p w14:paraId="369C0A85" w14:textId="7F1E7F40" w:rsidR="00936E56" w:rsidRPr="00C07CC0" w:rsidRDefault="00936E56" w:rsidP="00936E56">
            <w:pPr>
              <w:autoSpaceDE w:val="0"/>
              <w:autoSpaceDN w:val="0"/>
              <w:adjustRightInd w:val="0"/>
              <w:spacing w:after="0" w:line="240" w:lineRule="auto"/>
              <w:jc w:val="center"/>
              <w:rPr>
                <w:rFonts w:cs="Arial"/>
                <w:b/>
                <w:bCs/>
                <w:color w:val="000000"/>
                <w:sz w:val="14"/>
                <w:szCs w:val="14"/>
              </w:rPr>
            </w:pPr>
            <w:r w:rsidRPr="00C07CC0">
              <w:rPr>
                <w:b/>
                <w:bCs/>
                <w:sz w:val="14"/>
                <w:szCs w:val="14"/>
              </w:rPr>
              <w:t>27.7%</w:t>
            </w:r>
          </w:p>
        </w:tc>
        <w:tc>
          <w:tcPr>
            <w:tcW w:w="966" w:type="dxa"/>
            <w:gridSpan w:val="2"/>
            <w:tcBorders>
              <w:top w:val="nil"/>
              <w:left w:val="nil"/>
              <w:bottom w:val="nil"/>
              <w:right w:val="nil"/>
            </w:tcBorders>
            <w:shd w:val="clear" w:color="auto" w:fill="DFEBF1" w:themeFill="text2" w:themeFillTint="1A"/>
          </w:tcPr>
          <w:p w14:paraId="1B4C5DF2" w14:textId="62858DE3" w:rsidR="00936E56" w:rsidRPr="00C07CC0" w:rsidRDefault="00936E56" w:rsidP="00936E56">
            <w:pPr>
              <w:autoSpaceDE w:val="0"/>
              <w:autoSpaceDN w:val="0"/>
              <w:adjustRightInd w:val="0"/>
              <w:spacing w:after="0" w:line="240" w:lineRule="auto"/>
              <w:jc w:val="center"/>
              <w:rPr>
                <w:rFonts w:cs="Arial"/>
                <w:b/>
                <w:bCs/>
                <w:color w:val="000000"/>
                <w:sz w:val="14"/>
                <w:szCs w:val="14"/>
              </w:rPr>
            </w:pPr>
            <w:r w:rsidRPr="00C07CC0">
              <w:rPr>
                <w:b/>
                <w:bCs/>
                <w:sz w:val="14"/>
                <w:szCs w:val="14"/>
              </w:rPr>
              <w:t>28.9%</w:t>
            </w:r>
          </w:p>
        </w:tc>
        <w:tc>
          <w:tcPr>
            <w:tcW w:w="970" w:type="dxa"/>
            <w:tcBorders>
              <w:top w:val="nil"/>
              <w:left w:val="nil"/>
              <w:bottom w:val="nil"/>
              <w:right w:val="nil"/>
            </w:tcBorders>
            <w:shd w:val="clear" w:color="auto" w:fill="DFEBF1" w:themeFill="text2" w:themeFillTint="1A"/>
          </w:tcPr>
          <w:p w14:paraId="5BBCC748" w14:textId="17B17561"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28.5%</w:t>
            </w:r>
          </w:p>
        </w:tc>
      </w:tr>
      <w:tr w:rsidR="00936E56" w:rsidRPr="0088109E" w14:paraId="55EF2FB2" w14:textId="77777777" w:rsidTr="00394FD9">
        <w:trPr>
          <w:trHeight w:val="239"/>
        </w:trPr>
        <w:tc>
          <w:tcPr>
            <w:tcW w:w="7868" w:type="dxa"/>
            <w:gridSpan w:val="3"/>
            <w:tcBorders>
              <w:top w:val="nil"/>
              <w:left w:val="nil"/>
              <w:bottom w:val="single" w:sz="4" w:space="0" w:color="D9D9D9"/>
              <w:right w:val="single" w:sz="4" w:space="0" w:color="FFFFFF" w:themeColor="accent6"/>
            </w:tcBorders>
            <w:shd w:val="clear" w:color="auto" w:fill="DFEBF1" w:themeFill="text2" w:themeFillTint="1A"/>
            <w:vAlign w:val="center"/>
          </w:tcPr>
          <w:p w14:paraId="56FB7D54" w14:textId="1885BB74" w:rsidR="00936E56" w:rsidRPr="00F67A07" w:rsidRDefault="00936E56" w:rsidP="00936E56">
            <w:pPr>
              <w:autoSpaceDE w:val="0"/>
              <w:autoSpaceDN w:val="0"/>
              <w:adjustRightInd w:val="0"/>
              <w:spacing w:after="0" w:line="240" w:lineRule="auto"/>
              <w:rPr>
                <w:rFonts w:cs="Arial"/>
                <w:b/>
                <w:bCs/>
                <w:color w:val="000000"/>
                <w:sz w:val="14"/>
                <w:szCs w:val="14"/>
              </w:rPr>
            </w:pPr>
            <w:r>
              <w:rPr>
                <w:rFonts w:cs="Arial"/>
                <w:b/>
                <w:bCs/>
                <w:color w:val="000000"/>
                <w:sz w:val="14"/>
                <w:szCs w:val="14"/>
              </w:rPr>
              <w:t>Top 10 highest OR and SPS cost weights proportion (% of all OR and SPS AR-DRGs)</w:t>
            </w:r>
          </w:p>
        </w:tc>
        <w:tc>
          <w:tcPr>
            <w:tcW w:w="1033" w:type="dxa"/>
            <w:tcBorders>
              <w:top w:val="nil"/>
              <w:left w:val="single" w:sz="4" w:space="0" w:color="FFFFFF" w:themeColor="accent6"/>
              <w:bottom w:val="single" w:sz="4" w:space="0" w:color="D9D9D9"/>
              <w:right w:val="nil"/>
            </w:tcBorders>
            <w:shd w:val="clear" w:color="auto" w:fill="DFEBF1" w:themeFill="text2" w:themeFillTint="1A"/>
          </w:tcPr>
          <w:p w14:paraId="0903F049" w14:textId="6B681C16"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4.4%</w:t>
            </w:r>
          </w:p>
        </w:tc>
        <w:tc>
          <w:tcPr>
            <w:tcW w:w="1128" w:type="dxa"/>
            <w:tcBorders>
              <w:top w:val="nil"/>
              <w:left w:val="nil"/>
              <w:bottom w:val="single" w:sz="4" w:space="0" w:color="D9D9D9"/>
              <w:right w:val="single" w:sz="4" w:space="0" w:color="FFFFFF" w:themeColor="accent6"/>
            </w:tcBorders>
            <w:shd w:val="clear" w:color="auto" w:fill="DFEBF1" w:themeFill="text2" w:themeFillTint="1A"/>
          </w:tcPr>
          <w:p w14:paraId="7725E227" w14:textId="0886FC64" w:rsidR="00936E56" w:rsidRPr="00936E56" w:rsidRDefault="00936E56" w:rsidP="00936E56">
            <w:pPr>
              <w:autoSpaceDE w:val="0"/>
              <w:autoSpaceDN w:val="0"/>
              <w:adjustRightInd w:val="0"/>
              <w:spacing w:after="0" w:line="240" w:lineRule="auto"/>
              <w:jc w:val="center"/>
              <w:rPr>
                <w:rFonts w:cs="Arial"/>
                <w:b/>
                <w:bCs/>
                <w:color w:val="000000"/>
                <w:sz w:val="14"/>
                <w:szCs w:val="14"/>
              </w:rPr>
            </w:pPr>
          </w:p>
        </w:tc>
        <w:tc>
          <w:tcPr>
            <w:tcW w:w="966" w:type="dxa"/>
            <w:tcBorders>
              <w:top w:val="nil"/>
              <w:left w:val="single" w:sz="4" w:space="0" w:color="FFFFFF" w:themeColor="accent6"/>
              <w:bottom w:val="single" w:sz="4" w:space="0" w:color="D9D9D9"/>
              <w:right w:val="nil"/>
            </w:tcBorders>
            <w:shd w:val="clear" w:color="auto" w:fill="DFEBF1" w:themeFill="text2" w:themeFillTint="1A"/>
          </w:tcPr>
          <w:p w14:paraId="0361F6DF" w14:textId="3D8D2D45" w:rsidR="00936E56" w:rsidRPr="00936E56" w:rsidRDefault="00936E56" w:rsidP="00936E56">
            <w:pPr>
              <w:autoSpaceDE w:val="0"/>
              <w:autoSpaceDN w:val="0"/>
              <w:adjustRightInd w:val="0"/>
              <w:spacing w:after="0" w:line="240" w:lineRule="auto"/>
              <w:jc w:val="center"/>
              <w:rPr>
                <w:rFonts w:cs="Arial"/>
                <w:b/>
                <w:bCs/>
                <w:color w:val="000000"/>
                <w:sz w:val="14"/>
                <w:szCs w:val="14"/>
              </w:rPr>
            </w:pPr>
          </w:p>
        </w:tc>
        <w:tc>
          <w:tcPr>
            <w:tcW w:w="1936" w:type="dxa"/>
            <w:gridSpan w:val="2"/>
            <w:tcBorders>
              <w:top w:val="nil"/>
              <w:left w:val="nil"/>
              <w:bottom w:val="single" w:sz="4" w:space="0" w:color="D9D9D9"/>
              <w:right w:val="single" w:sz="4" w:space="0" w:color="FFFFFF" w:themeColor="accent6"/>
            </w:tcBorders>
            <w:shd w:val="clear" w:color="auto" w:fill="DFEBF1" w:themeFill="text2" w:themeFillTint="1A"/>
          </w:tcPr>
          <w:p w14:paraId="6048707F" w14:textId="6C0E7898" w:rsidR="00936E56" w:rsidRPr="00936E56" w:rsidRDefault="00936E56" w:rsidP="00936E56">
            <w:pPr>
              <w:autoSpaceDE w:val="0"/>
              <w:autoSpaceDN w:val="0"/>
              <w:adjustRightInd w:val="0"/>
              <w:spacing w:after="0" w:line="240" w:lineRule="auto"/>
              <w:jc w:val="center"/>
              <w:rPr>
                <w:rFonts w:cs="Arial"/>
                <w:b/>
                <w:bCs/>
                <w:color w:val="000000"/>
                <w:sz w:val="14"/>
                <w:szCs w:val="14"/>
              </w:rPr>
            </w:pPr>
          </w:p>
        </w:tc>
        <w:tc>
          <w:tcPr>
            <w:tcW w:w="806" w:type="dxa"/>
            <w:tcBorders>
              <w:top w:val="nil"/>
              <w:left w:val="single" w:sz="4" w:space="0" w:color="FFFFFF" w:themeColor="accent6"/>
              <w:bottom w:val="single" w:sz="4" w:space="0" w:color="D9D9D9"/>
            </w:tcBorders>
            <w:shd w:val="clear" w:color="auto" w:fill="DFEBF1" w:themeFill="text2" w:themeFillTint="1A"/>
          </w:tcPr>
          <w:p w14:paraId="5610ADC6" w14:textId="023558D5" w:rsidR="00936E56" w:rsidRPr="00936E56" w:rsidRDefault="00936E56" w:rsidP="00936E56">
            <w:pPr>
              <w:autoSpaceDE w:val="0"/>
              <w:autoSpaceDN w:val="0"/>
              <w:adjustRightInd w:val="0"/>
              <w:spacing w:after="0" w:line="240" w:lineRule="auto"/>
              <w:jc w:val="center"/>
              <w:rPr>
                <w:rFonts w:cs="Arial"/>
                <w:b/>
                <w:bCs/>
                <w:color w:val="000000"/>
                <w:sz w:val="14"/>
                <w:szCs w:val="14"/>
              </w:rPr>
            </w:pPr>
          </w:p>
        </w:tc>
        <w:tc>
          <w:tcPr>
            <w:tcW w:w="267" w:type="dxa"/>
            <w:gridSpan w:val="2"/>
            <w:tcBorders>
              <w:top w:val="nil"/>
              <w:bottom w:val="single" w:sz="4" w:space="0" w:color="D9D9D9"/>
              <w:right w:val="nil"/>
            </w:tcBorders>
            <w:shd w:val="clear" w:color="auto" w:fill="DFEBF1" w:themeFill="text2" w:themeFillTint="1A"/>
          </w:tcPr>
          <w:p w14:paraId="58E76583" w14:textId="539D8F5C" w:rsidR="00936E56" w:rsidRPr="00936E56" w:rsidRDefault="00936E56" w:rsidP="00936E56">
            <w:pPr>
              <w:autoSpaceDE w:val="0"/>
              <w:autoSpaceDN w:val="0"/>
              <w:adjustRightInd w:val="0"/>
              <w:spacing w:after="0" w:line="240" w:lineRule="auto"/>
              <w:jc w:val="center"/>
              <w:rPr>
                <w:rFonts w:cs="Arial"/>
                <w:b/>
                <w:bCs/>
                <w:color w:val="000000"/>
                <w:sz w:val="14"/>
                <w:szCs w:val="14"/>
              </w:rPr>
            </w:pPr>
          </w:p>
        </w:tc>
        <w:tc>
          <w:tcPr>
            <w:tcW w:w="860" w:type="dxa"/>
            <w:tcBorders>
              <w:top w:val="nil"/>
              <w:left w:val="nil"/>
              <w:bottom w:val="single" w:sz="4" w:space="0" w:color="D9D9D9"/>
              <w:right w:val="nil"/>
            </w:tcBorders>
            <w:shd w:val="clear" w:color="auto" w:fill="DFEBF1" w:themeFill="text2" w:themeFillTint="1A"/>
          </w:tcPr>
          <w:p w14:paraId="402E3199" w14:textId="5E91AE2A" w:rsidR="00936E56" w:rsidRPr="00936E56" w:rsidRDefault="00936E56" w:rsidP="00936E56">
            <w:pPr>
              <w:autoSpaceDE w:val="0"/>
              <w:autoSpaceDN w:val="0"/>
              <w:adjustRightInd w:val="0"/>
              <w:spacing w:after="0" w:line="240" w:lineRule="auto"/>
              <w:jc w:val="center"/>
              <w:rPr>
                <w:rFonts w:cs="Arial"/>
                <w:b/>
                <w:bCs/>
                <w:color w:val="000000"/>
                <w:sz w:val="14"/>
                <w:szCs w:val="14"/>
              </w:rPr>
            </w:pPr>
          </w:p>
        </w:tc>
        <w:tc>
          <w:tcPr>
            <w:tcW w:w="970" w:type="dxa"/>
            <w:tcBorders>
              <w:top w:val="nil"/>
              <w:left w:val="nil"/>
              <w:bottom w:val="single" w:sz="4" w:space="0" w:color="D9D9D9"/>
              <w:right w:val="nil"/>
            </w:tcBorders>
            <w:shd w:val="clear" w:color="auto" w:fill="DFEBF1" w:themeFill="text2" w:themeFillTint="1A"/>
          </w:tcPr>
          <w:p w14:paraId="4731A0B6" w14:textId="15D367C3" w:rsidR="00936E56" w:rsidRPr="00936E56" w:rsidRDefault="00936E56" w:rsidP="00936E56">
            <w:pPr>
              <w:autoSpaceDE w:val="0"/>
              <w:autoSpaceDN w:val="0"/>
              <w:adjustRightInd w:val="0"/>
              <w:spacing w:after="0" w:line="240" w:lineRule="auto"/>
              <w:jc w:val="center"/>
              <w:rPr>
                <w:rFonts w:cs="Arial"/>
                <w:b/>
                <w:bCs/>
                <w:color w:val="000000"/>
                <w:sz w:val="14"/>
                <w:szCs w:val="14"/>
              </w:rPr>
            </w:pPr>
          </w:p>
        </w:tc>
      </w:tr>
    </w:tbl>
    <w:p w14:paraId="4717864C" w14:textId="77777777" w:rsidR="000C38AE" w:rsidRDefault="000C38AE" w:rsidP="00C84E77">
      <w:pPr>
        <w:pStyle w:val="TableParagraph"/>
        <w:ind w:left="-709"/>
        <w:rPr>
          <w:b/>
          <w:bCs/>
        </w:rPr>
      </w:pPr>
    </w:p>
    <w:p w14:paraId="5405A7BD" w14:textId="5BF0FC9A" w:rsidR="00C84E77" w:rsidRPr="00F67A07" w:rsidRDefault="00C84E77" w:rsidP="00C84E77">
      <w:pPr>
        <w:pStyle w:val="TableParagraph"/>
        <w:ind w:left="-709"/>
        <w:rPr>
          <w:b/>
          <w:bCs/>
        </w:rPr>
      </w:pPr>
      <w:r w:rsidRPr="00F67A07">
        <w:rPr>
          <w:b/>
          <w:bCs/>
        </w:rPr>
        <w:t>Notes</w:t>
      </w:r>
    </w:p>
    <w:p w14:paraId="550FE762" w14:textId="77777777" w:rsidR="00C84E77" w:rsidRPr="00F67A07" w:rsidRDefault="00C84E77" w:rsidP="000C38AE">
      <w:pPr>
        <w:pStyle w:val="TableParagraph"/>
        <w:numPr>
          <w:ilvl w:val="0"/>
          <w:numId w:val="30"/>
        </w:numPr>
        <w:ind w:left="-567" w:firstLine="0"/>
      </w:pPr>
      <w:r w:rsidRPr="00F67A07">
        <w:t>Separations</w:t>
      </w:r>
      <w:r w:rsidRPr="00F67A07">
        <w:rPr>
          <w:spacing w:val="-4"/>
        </w:rPr>
        <w:t xml:space="preserve"> </w:t>
      </w:r>
      <w:r w:rsidRPr="00F67A07">
        <w:t>shown</w:t>
      </w:r>
      <w:r w:rsidRPr="00F67A07">
        <w:rPr>
          <w:spacing w:val="-3"/>
        </w:rPr>
        <w:t xml:space="preserve"> </w:t>
      </w:r>
      <w:r w:rsidRPr="00F67A07">
        <w:t>are</w:t>
      </w:r>
      <w:r w:rsidRPr="00F67A07">
        <w:rPr>
          <w:spacing w:val="-1"/>
        </w:rPr>
        <w:t xml:space="preserve"> </w:t>
      </w:r>
      <w:r w:rsidRPr="00F67A07">
        <w:t>strata</w:t>
      </w:r>
      <w:r w:rsidRPr="00F67A07">
        <w:rPr>
          <w:spacing w:val="1"/>
        </w:rPr>
        <w:t xml:space="preserve"> </w:t>
      </w:r>
      <w:proofErr w:type="gramStart"/>
      <w:r w:rsidRPr="00F67A07">
        <w:t>weighted</w:t>
      </w:r>
      <w:proofErr w:type="gramEnd"/>
      <w:r w:rsidRPr="00F67A07">
        <w:t xml:space="preserve"> </w:t>
      </w:r>
    </w:p>
    <w:p w14:paraId="6D7B754F" w14:textId="14361204" w:rsidR="00C84E77" w:rsidRPr="000C38AE" w:rsidRDefault="00C84E77" w:rsidP="005629F8">
      <w:pPr>
        <w:pStyle w:val="TableParagraph"/>
        <w:numPr>
          <w:ilvl w:val="0"/>
          <w:numId w:val="30"/>
        </w:numPr>
        <w:ind w:left="-567" w:firstLine="0"/>
      </w:pPr>
      <w:r w:rsidRPr="00F67A07">
        <w:t>The overall cost weight represents the cost weight across all cost buckets (total cost) of the strata weighted separations.</w:t>
      </w:r>
    </w:p>
    <w:p w14:paraId="662077DE" w14:textId="731A4D7E" w:rsidR="000C38AE" w:rsidRPr="00936E56" w:rsidRDefault="000C38AE" w:rsidP="000C38AE">
      <w:pPr>
        <w:pStyle w:val="TableParagraph"/>
        <w:numPr>
          <w:ilvl w:val="0"/>
          <w:numId w:val="30"/>
        </w:numPr>
        <w:ind w:left="-567" w:firstLine="0"/>
      </w:pPr>
      <w:r w:rsidRPr="00F67A07">
        <w:t>For</w:t>
      </w:r>
      <w:r w:rsidRPr="00F67A07">
        <w:rPr>
          <w:spacing w:val="-3"/>
        </w:rPr>
        <w:t xml:space="preserve"> </w:t>
      </w:r>
      <w:r w:rsidRPr="00F67A07">
        <w:t>cost weight (cost</w:t>
      </w:r>
      <w:r w:rsidRPr="00F67A07">
        <w:rPr>
          <w:spacing w:val="-2"/>
        </w:rPr>
        <w:t xml:space="preserve"> </w:t>
      </w:r>
      <w:r w:rsidRPr="00F67A07">
        <w:t>bucket</w:t>
      </w:r>
      <w:r w:rsidRPr="00F67A07">
        <w:rPr>
          <w:spacing w:val="-2"/>
        </w:rPr>
        <w:t xml:space="preserve"> </w:t>
      </w:r>
      <w:r w:rsidRPr="00F67A07">
        <w:t>specific)</w:t>
      </w:r>
      <w:r w:rsidRPr="00F67A07">
        <w:rPr>
          <w:spacing w:val="-2"/>
        </w:rPr>
        <w:t xml:space="preserve"> </w:t>
      </w:r>
      <w:r w:rsidRPr="00F67A07">
        <w:t>calculations</w:t>
      </w:r>
      <w:r w:rsidRPr="00F67A07">
        <w:rPr>
          <w:spacing w:val="-2"/>
        </w:rPr>
        <w:t xml:space="preserve"> </w:t>
      </w:r>
      <w:r w:rsidRPr="00F67A07">
        <w:t>please</w:t>
      </w:r>
      <w:r w:rsidRPr="00F67A07">
        <w:rPr>
          <w:spacing w:val="-2"/>
        </w:rPr>
        <w:t xml:space="preserve"> </w:t>
      </w:r>
      <w:r w:rsidRPr="00F67A07">
        <w:t>refer</w:t>
      </w:r>
      <w:r w:rsidRPr="00F67A07">
        <w:rPr>
          <w:spacing w:val="-3"/>
        </w:rPr>
        <w:t xml:space="preserve"> </w:t>
      </w:r>
      <w:r w:rsidRPr="00F67A07">
        <w:t xml:space="preserve">to </w:t>
      </w:r>
      <w:r w:rsidRPr="00F67A07">
        <w:rPr>
          <w:szCs w:val="14"/>
        </w:rPr>
        <w:fldChar w:fldCharType="begin"/>
      </w:r>
      <w:r w:rsidRPr="00F67A07">
        <w:rPr>
          <w:szCs w:val="14"/>
        </w:rPr>
        <w:instrText xml:space="preserve"> REF _Ref103175315 \h  \* MERGEFORMAT </w:instrText>
      </w:r>
      <w:r w:rsidRPr="00F67A07">
        <w:rPr>
          <w:szCs w:val="14"/>
        </w:rPr>
      </w:r>
      <w:r w:rsidRPr="00F67A07">
        <w:rPr>
          <w:szCs w:val="14"/>
        </w:rPr>
        <w:fldChar w:fldCharType="separate"/>
      </w:r>
      <w:r w:rsidRPr="00F67A07">
        <w:rPr>
          <w:szCs w:val="14"/>
        </w:rPr>
        <w:t>Appendix</w:t>
      </w:r>
      <w:r w:rsidRPr="00F67A07">
        <w:rPr>
          <w:spacing w:val="-2"/>
          <w:szCs w:val="14"/>
        </w:rPr>
        <w:t xml:space="preserve"> </w:t>
      </w:r>
      <w:r w:rsidRPr="00F67A07">
        <w:rPr>
          <w:szCs w:val="14"/>
        </w:rPr>
        <w:t>D:</w:t>
      </w:r>
      <w:r w:rsidRPr="00F67A07">
        <w:rPr>
          <w:spacing w:val="1"/>
          <w:szCs w:val="14"/>
        </w:rPr>
        <w:t xml:space="preserve"> </w:t>
      </w:r>
      <w:r w:rsidRPr="00F67A07">
        <w:rPr>
          <w:szCs w:val="14"/>
        </w:rPr>
        <w:t>Cost</w:t>
      </w:r>
      <w:r w:rsidRPr="00F67A07">
        <w:rPr>
          <w:spacing w:val="1"/>
          <w:szCs w:val="14"/>
        </w:rPr>
        <w:t xml:space="preserve"> </w:t>
      </w:r>
      <w:r w:rsidRPr="00F67A07">
        <w:rPr>
          <w:szCs w:val="14"/>
        </w:rPr>
        <w:t>weight</w:t>
      </w:r>
      <w:r w:rsidRPr="00F67A07">
        <w:rPr>
          <w:spacing w:val="1"/>
          <w:szCs w:val="14"/>
        </w:rPr>
        <w:t xml:space="preserve"> </w:t>
      </w:r>
      <w:r w:rsidRPr="00F67A07">
        <w:rPr>
          <w:szCs w:val="14"/>
        </w:rPr>
        <w:t>tables by AR-DRG Version 1</w:t>
      </w:r>
      <w:r w:rsidR="00936E56">
        <w:rPr>
          <w:szCs w:val="14"/>
        </w:rPr>
        <w:t>1</w:t>
      </w:r>
      <w:r w:rsidRPr="00F67A07">
        <w:rPr>
          <w:szCs w:val="14"/>
        </w:rPr>
        <w:t>.0</w:t>
      </w:r>
      <w:r w:rsidRPr="00F67A07">
        <w:rPr>
          <w:szCs w:val="14"/>
        </w:rPr>
        <w:fldChar w:fldCharType="end"/>
      </w:r>
    </w:p>
    <w:p w14:paraId="531BD9C7" w14:textId="13104D5F" w:rsidR="00936E56" w:rsidRPr="00936E56" w:rsidRDefault="00936E56" w:rsidP="000C38AE">
      <w:pPr>
        <w:pStyle w:val="TableParagraph"/>
        <w:numPr>
          <w:ilvl w:val="0"/>
          <w:numId w:val="30"/>
        </w:numPr>
        <w:ind w:left="-567" w:firstLine="0"/>
      </w:pPr>
      <w:r>
        <w:rPr>
          <w:szCs w:val="14"/>
        </w:rPr>
        <w:t>AR-DRG’s which are not present in previous AR-DRG versions are presented by n/a</w:t>
      </w:r>
    </w:p>
    <w:p w14:paraId="7374F666" w14:textId="1A2C8272" w:rsidR="00936E56" w:rsidRPr="008A18D9" w:rsidRDefault="00936E56" w:rsidP="000C38AE">
      <w:pPr>
        <w:pStyle w:val="TableParagraph"/>
        <w:numPr>
          <w:ilvl w:val="0"/>
          <w:numId w:val="30"/>
        </w:numPr>
        <w:ind w:left="-567" w:firstLine="0"/>
      </w:pPr>
      <w:r w:rsidRPr="008A18D9">
        <w:rPr>
          <w:szCs w:val="14"/>
        </w:rPr>
        <w:t xml:space="preserve">For AR-DRG’s with no previous data, Sub-total cost weight percentage are calculated excluding the </w:t>
      </w:r>
      <w:proofErr w:type="gramStart"/>
      <w:r w:rsidRPr="008A18D9">
        <w:rPr>
          <w:szCs w:val="14"/>
        </w:rPr>
        <w:t>particular AR-DRG</w:t>
      </w:r>
      <w:proofErr w:type="gramEnd"/>
    </w:p>
    <w:p w14:paraId="0ABE6E5B" w14:textId="77777777" w:rsidR="000C38AE" w:rsidRDefault="000C38AE" w:rsidP="005629F8"/>
    <w:p w14:paraId="5372B855" w14:textId="7B83CF8E" w:rsidR="00936E56" w:rsidRDefault="00936E56" w:rsidP="005629F8">
      <w:pPr>
        <w:sectPr w:rsidR="00936E56" w:rsidSect="00522146">
          <w:pgSz w:w="16838" w:h="11906" w:orient="landscape" w:code="9"/>
          <w:pgMar w:top="1077" w:right="1440" w:bottom="1077" w:left="1440" w:header="709" w:footer="709" w:gutter="0"/>
          <w:cols w:space="720"/>
          <w:docGrid w:linePitch="360"/>
        </w:sectPr>
      </w:pPr>
    </w:p>
    <w:p w14:paraId="3CA7ED3D" w14:textId="51109B14" w:rsidR="00E4071B" w:rsidRPr="005629F8" w:rsidRDefault="00E4071B" w:rsidP="00156866">
      <w:pPr>
        <w:pStyle w:val="TableParagraph"/>
        <w:ind w:left="227" w:firstLine="199"/>
      </w:pPr>
    </w:p>
    <w:p w14:paraId="7A05E5A8" w14:textId="43D45F25" w:rsidR="006D5FD2" w:rsidRPr="005629F8" w:rsidRDefault="006D5FD2" w:rsidP="00E829BF">
      <w:pPr>
        <w:pStyle w:val="Heading3"/>
        <w:ind w:left="-851"/>
      </w:pPr>
      <w:bookmarkStart w:id="146" w:name="_Toc129700687"/>
      <w:bookmarkStart w:id="147" w:name="_Toc129701380"/>
      <w:r w:rsidRPr="005629F8">
        <w:t>Critical care cost bucket</w:t>
      </w:r>
      <w:bookmarkEnd w:id="146"/>
      <w:bookmarkEnd w:id="147"/>
    </w:p>
    <w:p w14:paraId="4F486859" w14:textId="6863BD9B" w:rsidR="006D5FD2" w:rsidRPr="005629F8" w:rsidRDefault="006D5FD2" w:rsidP="009E3F6F">
      <w:pPr>
        <w:pStyle w:val="Heading4"/>
        <w:ind w:left="-851"/>
      </w:pPr>
      <w:r w:rsidRPr="005629F8">
        <w:t>Key</w:t>
      </w:r>
      <w:r w:rsidRPr="005629F8">
        <w:rPr>
          <w:spacing w:val="-3"/>
        </w:rPr>
        <w:t xml:space="preserve"> </w:t>
      </w:r>
      <w:r w:rsidRPr="005629F8">
        <w:t>findings</w:t>
      </w:r>
    </w:p>
    <w:p w14:paraId="104C9677" w14:textId="25DEB42A" w:rsidR="000235D0" w:rsidRPr="005629F8" w:rsidRDefault="00F2253B" w:rsidP="009E3F6F">
      <w:pPr>
        <w:ind w:left="-851"/>
      </w:pPr>
      <w:r w:rsidRPr="005629F8">
        <w:fldChar w:fldCharType="begin"/>
      </w:r>
      <w:r w:rsidRPr="005629F8">
        <w:instrText xml:space="preserve"> REF _Ref129182644 \h  \* MERGEFORMAT </w:instrText>
      </w:r>
      <w:r w:rsidRPr="005629F8">
        <w:fldChar w:fldCharType="separate"/>
      </w:r>
      <w:r w:rsidRPr="00F2253B">
        <w:t xml:space="preserve">Table </w:t>
      </w:r>
      <w:r w:rsidRPr="00F2253B">
        <w:rPr>
          <w:noProof/>
        </w:rPr>
        <w:t>9</w:t>
      </w:r>
      <w:r w:rsidRPr="005629F8">
        <w:fldChar w:fldCharType="end"/>
      </w:r>
      <w:r w:rsidRPr="005629F8">
        <w:t xml:space="preserve"> </w:t>
      </w:r>
      <w:r w:rsidR="00156832" w:rsidRPr="00F2253B">
        <w:t xml:space="preserve">shows </w:t>
      </w:r>
      <w:r w:rsidR="000235D0" w:rsidRPr="005629F8">
        <w:rPr>
          <w:color w:val="auto"/>
        </w:rPr>
        <w:t xml:space="preserve">that the AR-DRG with the highest percentage of </w:t>
      </w:r>
      <w:r w:rsidR="008621D5">
        <w:rPr>
          <w:color w:val="auto"/>
        </w:rPr>
        <w:t>its</w:t>
      </w:r>
      <w:r w:rsidR="000235D0" w:rsidRPr="005629F8">
        <w:rPr>
          <w:color w:val="auto"/>
        </w:rPr>
        <w:t xml:space="preserve"> total cost belonging to the critical care bucket was </w:t>
      </w:r>
      <w:r w:rsidR="00532BC0">
        <w:rPr>
          <w:color w:val="auto"/>
        </w:rPr>
        <w:t>X40B</w:t>
      </w:r>
      <w:r w:rsidR="000235D0" w:rsidRPr="005629F8">
        <w:rPr>
          <w:color w:val="auto"/>
        </w:rPr>
        <w:t xml:space="preserve">: </w:t>
      </w:r>
      <w:r w:rsidR="00532BC0" w:rsidRPr="00532BC0">
        <w:rPr>
          <w:color w:val="auto"/>
        </w:rPr>
        <w:t>Injuries, Poisoning and Toxic Effects of Drugs with Ventilator Support, Minor Complexity</w:t>
      </w:r>
      <w:r w:rsidR="000235D0" w:rsidRPr="005629F8">
        <w:rPr>
          <w:color w:val="auto"/>
        </w:rPr>
        <w:t xml:space="preserve"> (</w:t>
      </w:r>
      <w:r w:rsidR="00532BC0">
        <w:rPr>
          <w:color w:val="auto"/>
        </w:rPr>
        <w:t>71</w:t>
      </w:r>
      <w:r w:rsidR="000235D0" w:rsidRPr="005629F8">
        <w:rPr>
          <w:color w:val="auto"/>
        </w:rPr>
        <w:t>.2</w:t>
      </w:r>
      <w:r w:rsidR="00881AF0">
        <w:rPr>
          <w:color w:val="auto"/>
        </w:rPr>
        <w:t>%</w:t>
      </w:r>
      <w:r w:rsidR="000235D0" w:rsidRPr="005629F8">
        <w:rPr>
          <w:color w:val="auto"/>
        </w:rPr>
        <w:t>).</w:t>
      </w:r>
      <w:r w:rsidR="00EB30D1" w:rsidRPr="005629F8">
        <w:rPr>
          <w:color w:val="auto"/>
        </w:rPr>
        <w:t xml:space="preserve"> </w:t>
      </w:r>
      <w:r w:rsidR="00E41DDF">
        <w:rPr>
          <w:color w:val="auto"/>
        </w:rPr>
        <w:t>A</w:t>
      </w:r>
      <w:r w:rsidR="00EB30D1" w:rsidRPr="005629F8">
        <w:rPr>
          <w:color w:val="auto"/>
        </w:rPr>
        <w:t>ll AR-DRGs in this table are related to ventilator support</w:t>
      </w:r>
      <w:r w:rsidR="00C8293A">
        <w:rPr>
          <w:color w:val="auto"/>
        </w:rPr>
        <w:t>,</w:t>
      </w:r>
      <w:r w:rsidR="00EB30D1" w:rsidRPr="005629F8">
        <w:rPr>
          <w:color w:val="auto"/>
        </w:rPr>
        <w:t xml:space="preserve"> </w:t>
      </w:r>
      <w:r w:rsidR="00F21175">
        <w:rPr>
          <w:color w:val="auto"/>
        </w:rPr>
        <w:t>indicating</w:t>
      </w:r>
      <w:r w:rsidR="00C8293A" w:rsidRPr="005629F8">
        <w:rPr>
          <w:color w:val="auto"/>
        </w:rPr>
        <w:t xml:space="preserve"> </w:t>
      </w:r>
      <w:r w:rsidR="00EB30D1" w:rsidRPr="005629F8">
        <w:rPr>
          <w:color w:val="auto"/>
        </w:rPr>
        <w:t xml:space="preserve">the intensive </w:t>
      </w:r>
      <w:r w:rsidR="00EB30D1">
        <w:t>care nature</w:t>
      </w:r>
      <w:r w:rsidR="00EB30D1" w:rsidRPr="00B65075">
        <w:t xml:space="preserve"> of these </w:t>
      </w:r>
      <w:r w:rsidR="00EB30D1">
        <w:t>separations</w:t>
      </w:r>
      <w:r w:rsidR="00EB30D1" w:rsidRPr="00B65075">
        <w:t>.</w:t>
      </w:r>
      <w:r w:rsidR="000235D0" w:rsidRPr="005629F8">
        <w:t xml:space="preserve"> </w:t>
      </w:r>
    </w:p>
    <w:p w14:paraId="19297346" w14:textId="75312642" w:rsidR="0075405B" w:rsidRPr="005629F8" w:rsidRDefault="0075405B" w:rsidP="00E87B16">
      <w:pPr>
        <w:pStyle w:val="TableFigureheading"/>
        <w:ind w:left="-851"/>
      </w:pPr>
      <w:bookmarkStart w:id="148" w:name="_Ref129182644"/>
      <w:bookmarkStart w:id="149" w:name="_Toc129179303"/>
      <w:bookmarkStart w:id="150" w:name="_Toc152081877"/>
      <w:r w:rsidRPr="005629F8">
        <w:t xml:space="preserve">Table </w:t>
      </w:r>
      <w:r w:rsidRPr="005629F8">
        <w:fldChar w:fldCharType="begin"/>
      </w:r>
      <w:r w:rsidRPr="005629F8">
        <w:instrText xml:space="preserve"> SEQ Table \* ARABIC </w:instrText>
      </w:r>
      <w:r w:rsidRPr="005629F8">
        <w:fldChar w:fldCharType="separate"/>
      </w:r>
      <w:r w:rsidRPr="005629F8">
        <w:rPr>
          <w:noProof/>
        </w:rPr>
        <w:t>9</w:t>
      </w:r>
      <w:r w:rsidRPr="005629F8">
        <w:fldChar w:fldCharType="end"/>
      </w:r>
      <w:bookmarkEnd w:id="148"/>
      <w:r w:rsidRPr="005629F8">
        <w:t>. Top 10 AR-DRGs for costs allocated to the critical care cost bucket</w:t>
      </w:r>
      <w:bookmarkEnd w:id="149"/>
      <w:r w:rsidR="00876C92">
        <w:t xml:space="preserve"> </w:t>
      </w:r>
      <w:r w:rsidR="00AD55EF">
        <w:t>in 2021-22.</w:t>
      </w:r>
      <w:bookmarkEnd w:id="150"/>
    </w:p>
    <w:tbl>
      <w:tblPr>
        <w:tblW w:w="12577" w:type="dxa"/>
        <w:tblInd w:w="-854" w:type="dxa"/>
        <w:tblLayout w:type="fixed"/>
        <w:tblLook w:val="0000" w:firstRow="0" w:lastRow="0" w:firstColumn="0" w:lastColumn="0" w:noHBand="0" w:noVBand="0"/>
      </w:tblPr>
      <w:tblGrid>
        <w:gridCol w:w="748"/>
        <w:gridCol w:w="815"/>
        <w:gridCol w:w="6305"/>
        <w:gridCol w:w="1033"/>
        <w:gridCol w:w="1128"/>
        <w:gridCol w:w="1173"/>
        <w:gridCol w:w="236"/>
        <w:gridCol w:w="267"/>
        <w:gridCol w:w="631"/>
        <w:gridCol w:w="142"/>
        <w:gridCol w:w="99"/>
      </w:tblGrid>
      <w:tr w:rsidR="00FE73F2" w:rsidRPr="0088109E" w14:paraId="72AD612D" w14:textId="77777777" w:rsidTr="00124AB8">
        <w:trPr>
          <w:gridAfter w:val="1"/>
          <w:wAfter w:w="99" w:type="dxa"/>
          <w:trHeight w:val="179"/>
        </w:trPr>
        <w:tc>
          <w:tcPr>
            <w:tcW w:w="748" w:type="dxa"/>
            <w:vMerge w:val="restart"/>
            <w:tcBorders>
              <w:top w:val="single" w:sz="6" w:space="0" w:color="auto"/>
              <w:left w:val="nil"/>
              <w:right w:val="nil"/>
            </w:tcBorders>
            <w:shd w:val="clear" w:color="auto" w:fill="15272F" w:themeFill="text1"/>
            <w:vAlign w:val="center"/>
          </w:tcPr>
          <w:p w14:paraId="6637FD39" w14:textId="116CAC0C" w:rsidR="00FE73F2" w:rsidRPr="005629F8" w:rsidRDefault="00FE73F2" w:rsidP="00936E56">
            <w:pPr>
              <w:autoSpaceDE w:val="0"/>
              <w:autoSpaceDN w:val="0"/>
              <w:adjustRightInd w:val="0"/>
              <w:spacing w:after="0" w:line="240" w:lineRule="auto"/>
              <w:jc w:val="center"/>
              <w:rPr>
                <w:rFonts w:cs="Arial"/>
                <w:color w:val="FFFFFF" w:themeColor="background2"/>
                <w:sz w:val="14"/>
                <w:szCs w:val="14"/>
              </w:rPr>
            </w:pPr>
            <w:r w:rsidRPr="005629F8">
              <w:rPr>
                <w:rFonts w:cs="Arial"/>
                <w:b/>
                <w:bCs/>
                <w:color w:val="FFFFFF" w:themeColor="background2"/>
                <w:sz w:val="14"/>
                <w:szCs w:val="14"/>
              </w:rPr>
              <w:t>Rank 202</w:t>
            </w:r>
            <w:r>
              <w:rPr>
                <w:rFonts w:cs="Arial"/>
                <w:b/>
                <w:bCs/>
                <w:color w:val="FFFFFF" w:themeColor="background2"/>
                <w:sz w:val="14"/>
                <w:szCs w:val="14"/>
              </w:rPr>
              <w:t>1-</w:t>
            </w:r>
            <w:r w:rsidRPr="005629F8">
              <w:rPr>
                <w:rFonts w:cs="Arial"/>
                <w:b/>
                <w:bCs/>
                <w:color w:val="FFFFFF" w:themeColor="background2"/>
                <w:sz w:val="14"/>
                <w:szCs w:val="14"/>
              </w:rPr>
              <w:t>2</w:t>
            </w:r>
            <w:r>
              <w:rPr>
                <w:rFonts w:cs="Arial"/>
                <w:b/>
                <w:bCs/>
                <w:color w:val="FFFFFF" w:themeColor="background2"/>
                <w:sz w:val="14"/>
                <w:szCs w:val="14"/>
              </w:rPr>
              <w:t>2</w:t>
            </w:r>
          </w:p>
        </w:tc>
        <w:tc>
          <w:tcPr>
            <w:tcW w:w="815" w:type="dxa"/>
            <w:vMerge w:val="restart"/>
            <w:tcBorders>
              <w:top w:val="single" w:sz="6" w:space="0" w:color="auto"/>
              <w:left w:val="nil"/>
              <w:right w:val="nil"/>
            </w:tcBorders>
            <w:shd w:val="clear" w:color="auto" w:fill="15272F" w:themeFill="text1"/>
            <w:vAlign w:val="center"/>
          </w:tcPr>
          <w:p w14:paraId="0CFA67C6" w14:textId="161D7BFF" w:rsidR="00FE73F2" w:rsidRPr="005629F8" w:rsidRDefault="00FE73F2" w:rsidP="00936E56">
            <w:pPr>
              <w:autoSpaceDE w:val="0"/>
              <w:autoSpaceDN w:val="0"/>
              <w:adjustRightInd w:val="0"/>
              <w:spacing w:after="0" w:line="240" w:lineRule="auto"/>
              <w:jc w:val="center"/>
              <w:rPr>
                <w:rFonts w:cs="Arial"/>
                <w:color w:val="FFFFFF" w:themeColor="background2"/>
                <w:sz w:val="14"/>
                <w:szCs w:val="14"/>
              </w:rPr>
            </w:pPr>
            <w:r>
              <w:rPr>
                <w:rFonts w:cs="Arial"/>
                <w:b/>
                <w:bCs/>
                <w:color w:val="FFFFFF" w:themeColor="background2"/>
                <w:sz w:val="14"/>
                <w:szCs w:val="14"/>
              </w:rPr>
              <w:t>AR-</w:t>
            </w:r>
            <w:r w:rsidRPr="005629F8">
              <w:rPr>
                <w:rFonts w:cs="Arial"/>
                <w:b/>
                <w:bCs/>
                <w:color w:val="FFFFFF" w:themeColor="background2"/>
                <w:sz w:val="14"/>
                <w:szCs w:val="14"/>
              </w:rPr>
              <w:t>DRG</w:t>
            </w:r>
          </w:p>
        </w:tc>
        <w:tc>
          <w:tcPr>
            <w:tcW w:w="6305" w:type="dxa"/>
            <w:vMerge w:val="restart"/>
            <w:tcBorders>
              <w:top w:val="single" w:sz="6" w:space="0" w:color="auto"/>
              <w:left w:val="nil"/>
              <w:right w:val="single" w:sz="4" w:space="0" w:color="D9D9D9"/>
            </w:tcBorders>
            <w:shd w:val="clear" w:color="auto" w:fill="15272F" w:themeFill="text1"/>
            <w:vAlign w:val="center"/>
          </w:tcPr>
          <w:p w14:paraId="7D6BD844" w14:textId="0CAB3079" w:rsidR="00FE73F2" w:rsidRPr="005629F8" w:rsidRDefault="00FE73F2" w:rsidP="00936E56">
            <w:pPr>
              <w:autoSpaceDE w:val="0"/>
              <w:autoSpaceDN w:val="0"/>
              <w:adjustRightInd w:val="0"/>
              <w:spacing w:after="0" w:line="240" w:lineRule="auto"/>
              <w:jc w:val="center"/>
              <w:rPr>
                <w:rFonts w:cs="Arial"/>
                <w:color w:val="FFFFFF" w:themeColor="background2"/>
                <w:sz w:val="14"/>
                <w:szCs w:val="14"/>
              </w:rPr>
            </w:pPr>
            <w:r>
              <w:rPr>
                <w:rFonts w:cs="Arial"/>
                <w:b/>
                <w:bCs/>
                <w:color w:val="FFFFFF" w:themeColor="background2"/>
                <w:sz w:val="14"/>
                <w:szCs w:val="14"/>
              </w:rPr>
              <w:t>AR-</w:t>
            </w:r>
            <w:r w:rsidRPr="005629F8">
              <w:rPr>
                <w:rFonts w:cs="Arial"/>
                <w:b/>
                <w:bCs/>
                <w:color w:val="FFFFFF" w:themeColor="background2"/>
                <w:sz w:val="14"/>
                <w:szCs w:val="14"/>
              </w:rPr>
              <w:t>DRG Description</w:t>
            </w:r>
          </w:p>
        </w:tc>
        <w:tc>
          <w:tcPr>
            <w:tcW w:w="1033" w:type="dxa"/>
            <w:vMerge w:val="restart"/>
            <w:tcBorders>
              <w:top w:val="single" w:sz="6" w:space="0" w:color="auto"/>
              <w:left w:val="single" w:sz="4" w:space="0" w:color="D9D9D9"/>
              <w:right w:val="nil"/>
            </w:tcBorders>
            <w:shd w:val="clear" w:color="auto" w:fill="15272F" w:themeFill="text1"/>
            <w:vAlign w:val="center"/>
          </w:tcPr>
          <w:p w14:paraId="2D549187" w14:textId="6BB26FEB" w:rsidR="00FE73F2" w:rsidRPr="005629F8" w:rsidRDefault="00FE73F2" w:rsidP="00FE73F2">
            <w:pPr>
              <w:autoSpaceDE w:val="0"/>
              <w:autoSpaceDN w:val="0"/>
              <w:adjustRightInd w:val="0"/>
              <w:spacing w:after="0" w:line="240" w:lineRule="auto"/>
              <w:jc w:val="center"/>
              <w:rPr>
                <w:rFonts w:cs="Arial"/>
                <w:color w:val="FFFFFF" w:themeColor="background2"/>
                <w:sz w:val="14"/>
                <w:szCs w:val="14"/>
              </w:rPr>
            </w:pPr>
            <w:r w:rsidRPr="005629F8">
              <w:rPr>
                <w:rFonts w:cs="Arial"/>
                <w:b/>
                <w:bCs/>
                <w:color w:val="FFFFFF" w:themeColor="background2"/>
                <w:sz w:val="14"/>
                <w:szCs w:val="14"/>
              </w:rPr>
              <w:t>No. of weighted seps</w:t>
            </w:r>
          </w:p>
        </w:tc>
        <w:tc>
          <w:tcPr>
            <w:tcW w:w="1128" w:type="dxa"/>
            <w:vMerge w:val="restart"/>
            <w:tcBorders>
              <w:top w:val="single" w:sz="6" w:space="0" w:color="auto"/>
              <w:left w:val="nil"/>
              <w:right w:val="single" w:sz="4" w:space="0" w:color="D9D9D9"/>
            </w:tcBorders>
            <w:shd w:val="clear" w:color="auto" w:fill="15272F" w:themeFill="text1"/>
            <w:vAlign w:val="center"/>
          </w:tcPr>
          <w:p w14:paraId="205FC661" w14:textId="377C8135" w:rsidR="00FE73F2" w:rsidRPr="005629F8" w:rsidRDefault="00FE73F2" w:rsidP="00FE73F2">
            <w:pPr>
              <w:autoSpaceDE w:val="0"/>
              <w:autoSpaceDN w:val="0"/>
              <w:adjustRightInd w:val="0"/>
              <w:spacing w:after="0" w:line="240" w:lineRule="auto"/>
              <w:jc w:val="center"/>
              <w:rPr>
                <w:rFonts w:cs="Arial"/>
                <w:color w:val="FFFFFF" w:themeColor="background2"/>
                <w:sz w:val="14"/>
                <w:szCs w:val="14"/>
              </w:rPr>
            </w:pPr>
            <w:r w:rsidRPr="005629F8">
              <w:rPr>
                <w:rFonts w:cs="Arial"/>
                <w:b/>
                <w:bCs/>
                <w:color w:val="FFFFFF" w:themeColor="background2"/>
                <w:sz w:val="14"/>
                <w:szCs w:val="14"/>
              </w:rPr>
              <w:t>Overall cost weight</w:t>
            </w:r>
          </w:p>
        </w:tc>
        <w:tc>
          <w:tcPr>
            <w:tcW w:w="1173" w:type="dxa"/>
            <w:tcBorders>
              <w:top w:val="single" w:sz="6" w:space="0" w:color="auto"/>
              <w:left w:val="single" w:sz="4" w:space="0" w:color="D9D9D9"/>
              <w:bottom w:val="nil"/>
              <w:right w:val="single" w:sz="4" w:space="0" w:color="D9D9D9"/>
            </w:tcBorders>
            <w:shd w:val="clear" w:color="auto" w:fill="15272F" w:themeFill="text1"/>
            <w:vAlign w:val="center"/>
          </w:tcPr>
          <w:p w14:paraId="154A4504" w14:textId="77777777" w:rsidR="00FE73F2" w:rsidRPr="005629F8" w:rsidRDefault="00FE73F2" w:rsidP="0075405B">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Critical Care Cost Weight</w:t>
            </w:r>
          </w:p>
        </w:tc>
        <w:tc>
          <w:tcPr>
            <w:tcW w:w="1276" w:type="dxa"/>
            <w:gridSpan w:val="4"/>
            <w:tcBorders>
              <w:top w:val="single" w:sz="6" w:space="0" w:color="auto"/>
              <w:left w:val="single" w:sz="4" w:space="0" w:color="D9D9D9"/>
              <w:bottom w:val="nil"/>
              <w:right w:val="nil"/>
            </w:tcBorders>
            <w:shd w:val="clear" w:color="auto" w:fill="15272F" w:themeFill="text1"/>
            <w:vAlign w:val="center"/>
          </w:tcPr>
          <w:p w14:paraId="5D4672C2" w14:textId="77777777" w:rsidR="00FE73F2" w:rsidRPr="005629F8" w:rsidRDefault="00FE73F2" w:rsidP="0075405B">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 of AR-DRG total cost</w:t>
            </w:r>
          </w:p>
        </w:tc>
      </w:tr>
      <w:tr w:rsidR="00FE73F2" w:rsidRPr="0088109E" w14:paraId="2E53603D" w14:textId="77777777" w:rsidTr="00124AB8">
        <w:trPr>
          <w:gridAfter w:val="1"/>
          <w:wAfter w:w="99" w:type="dxa"/>
          <w:trHeight w:val="443"/>
        </w:trPr>
        <w:tc>
          <w:tcPr>
            <w:tcW w:w="748" w:type="dxa"/>
            <w:vMerge/>
            <w:tcBorders>
              <w:left w:val="nil"/>
              <w:bottom w:val="single" w:sz="6" w:space="0" w:color="auto"/>
              <w:right w:val="nil"/>
            </w:tcBorders>
            <w:shd w:val="clear" w:color="auto" w:fill="15272F" w:themeFill="text1"/>
            <w:vAlign w:val="center"/>
          </w:tcPr>
          <w:p w14:paraId="00760059" w14:textId="4372CCDD" w:rsidR="00FE73F2" w:rsidRPr="005629F8" w:rsidRDefault="00FE73F2" w:rsidP="00936E56">
            <w:pPr>
              <w:autoSpaceDE w:val="0"/>
              <w:autoSpaceDN w:val="0"/>
              <w:adjustRightInd w:val="0"/>
              <w:spacing w:after="0" w:line="240" w:lineRule="auto"/>
              <w:jc w:val="center"/>
              <w:rPr>
                <w:rFonts w:cs="Arial"/>
                <w:b/>
                <w:bCs/>
                <w:color w:val="FFFFFF" w:themeColor="background2"/>
                <w:sz w:val="14"/>
                <w:szCs w:val="14"/>
              </w:rPr>
            </w:pPr>
          </w:p>
        </w:tc>
        <w:tc>
          <w:tcPr>
            <w:tcW w:w="815" w:type="dxa"/>
            <w:vMerge/>
            <w:tcBorders>
              <w:left w:val="nil"/>
              <w:bottom w:val="single" w:sz="6" w:space="0" w:color="auto"/>
              <w:right w:val="nil"/>
            </w:tcBorders>
            <w:shd w:val="clear" w:color="auto" w:fill="15272F" w:themeFill="text1"/>
            <w:vAlign w:val="center"/>
          </w:tcPr>
          <w:p w14:paraId="49F819B1" w14:textId="18E35B2C" w:rsidR="00FE73F2" w:rsidRPr="005629F8" w:rsidRDefault="00FE73F2" w:rsidP="00936E56">
            <w:pPr>
              <w:autoSpaceDE w:val="0"/>
              <w:autoSpaceDN w:val="0"/>
              <w:adjustRightInd w:val="0"/>
              <w:spacing w:after="0" w:line="240" w:lineRule="auto"/>
              <w:jc w:val="center"/>
              <w:rPr>
                <w:rFonts w:cs="Arial"/>
                <w:b/>
                <w:bCs/>
                <w:color w:val="FFFFFF" w:themeColor="background2"/>
                <w:sz w:val="14"/>
                <w:szCs w:val="14"/>
              </w:rPr>
            </w:pPr>
          </w:p>
        </w:tc>
        <w:tc>
          <w:tcPr>
            <w:tcW w:w="6305" w:type="dxa"/>
            <w:vMerge/>
            <w:tcBorders>
              <w:left w:val="nil"/>
              <w:bottom w:val="single" w:sz="6" w:space="0" w:color="auto"/>
              <w:right w:val="single" w:sz="4" w:space="0" w:color="D9D9D9"/>
            </w:tcBorders>
            <w:shd w:val="clear" w:color="auto" w:fill="15272F" w:themeFill="text1"/>
            <w:vAlign w:val="center"/>
          </w:tcPr>
          <w:p w14:paraId="4DFE8074" w14:textId="2320D729" w:rsidR="00FE73F2" w:rsidRPr="005629F8" w:rsidRDefault="00FE73F2" w:rsidP="00936E56">
            <w:pPr>
              <w:autoSpaceDE w:val="0"/>
              <w:autoSpaceDN w:val="0"/>
              <w:adjustRightInd w:val="0"/>
              <w:spacing w:after="0" w:line="240" w:lineRule="auto"/>
              <w:jc w:val="center"/>
              <w:rPr>
                <w:rFonts w:cs="Arial"/>
                <w:b/>
                <w:bCs/>
                <w:color w:val="FFFFFF" w:themeColor="background2"/>
                <w:sz w:val="14"/>
                <w:szCs w:val="14"/>
              </w:rPr>
            </w:pPr>
          </w:p>
        </w:tc>
        <w:tc>
          <w:tcPr>
            <w:tcW w:w="1033" w:type="dxa"/>
            <w:vMerge/>
            <w:tcBorders>
              <w:left w:val="single" w:sz="4" w:space="0" w:color="D9D9D9"/>
              <w:bottom w:val="single" w:sz="6" w:space="0" w:color="auto"/>
              <w:right w:val="nil"/>
            </w:tcBorders>
            <w:shd w:val="clear" w:color="auto" w:fill="15272F" w:themeFill="text1"/>
            <w:vAlign w:val="center"/>
          </w:tcPr>
          <w:p w14:paraId="16365BD8" w14:textId="77777777" w:rsidR="00FE73F2" w:rsidRPr="005629F8" w:rsidRDefault="00FE73F2" w:rsidP="00936E56">
            <w:pPr>
              <w:autoSpaceDE w:val="0"/>
              <w:autoSpaceDN w:val="0"/>
              <w:adjustRightInd w:val="0"/>
              <w:spacing w:after="0" w:line="240" w:lineRule="auto"/>
              <w:jc w:val="center"/>
              <w:rPr>
                <w:rFonts w:cs="Arial"/>
                <w:b/>
                <w:bCs/>
                <w:color w:val="FFFFFF" w:themeColor="background2"/>
                <w:sz w:val="14"/>
                <w:szCs w:val="14"/>
              </w:rPr>
            </w:pPr>
          </w:p>
        </w:tc>
        <w:tc>
          <w:tcPr>
            <w:tcW w:w="1128" w:type="dxa"/>
            <w:vMerge/>
            <w:tcBorders>
              <w:left w:val="nil"/>
              <w:bottom w:val="single" w:sz="6" w:space="0" w:color="auto"/>
              <w:right w:val="single" w:sz="4" w:space="0" w:color="D9D9D9"/>
            </w:tcBorders>
            <w:shd w:val="clear" w:color="auto" w:fill="15272F" w:themeFill="text1"/>
            <w:vAlign w:val="center"/>
          </w:tcPr>
          <w:p w14:paraId="262E64D5" w14:textId="77777777" w:rsidR="00FE73F2" w:rsidRPr="005629F8" w:rsidRDefault="00FE73F2" w:rsidP="00936E56">
            <w:pPr>
              <w:autoSpaceDE w:val="0"/>
              <w:autoSpaceDN w:val="0"/>
              <w:adjustRightInd w:val="0"/>
              <w:spacing w:after="0" w:line="240" w:lineRule="auto"/>
              <w:jc w:val="center"/>
              <w:rPr>
                <w:rFonts w:cs="Arial"/>
                <w:b/>
                <w:bCs/>
                <w:color w:val="FFFFFF" w:themeColor="background2"/>
                <w:sz w:val="14"/>
                <w:szCs w:val="14"/>
              </w:rPr>
            </w:pPr>
          </w:p>
        </w:tc>
        <w:tc>
          <w:tcPr>
            <w:tcW w:w="1173" w:type="dxa"/>
            <w:tcBorders>
              <w:top w:val="nil"/>
              <w:left w:val="single" w:sz="4" w:space="0" w:color="D9D9D9"/>
              <w:bottom w:val="single" w:sz="6" w:space="0" w:color="auto"/>
              <w:right w:val="single" w:sz="4" w:space="0" w:color="D9D9D9"/>
            </w:tcBorders>
            <w:shd w:val="clear" w:color="auto" w:fill="15272F" w:themeFill="text1"/>
            <w:vAlign w:val="center"/>
          </w:tcPr>
          <w:p w14:paraId="719BBC60" w14:textId="6B8830D0" w:rsidR="00FE73F2" w:rsidRPr="005629F8" w:rsidRDefault="00FE73F2"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2021</w:t>
            </w:r>
            <w:r>
              <w:rPr>
                <w:rFonts w:cs="Arial"/>
                <w:b/>
                <w:bCs/>
                <w:color w:val="FFFFFF" w:themeColor="background2"/>
                <w:sz w:val="14"/>
                <w:szCs w:val="14"/>
              </w:rPr>
              <w:t>-22</w:t>
            </w:r>
          </w:p>
        </w:tc>
        <w:tc>
          <w:tcPr>
            <w:tcW w:w="1276" w:type="dxa"/>
            <w:gridSpan w:val="4"/>
            <w:tcBorders>
              <w:top w:val="nil"/>
              <w:left w:val="single" w:sz="4" w:space="0" w:color="D9D9D9"/>
              <w:bottom w:val="single" w:sz="6" w:space="0" w:color="auto"/>
              <w:right w:val="nil"/>
            </w:tcBorders>
            <w:shd w:val="clear" w:color="auto" w:fill="15272F" w:themeFill="text1"/>
            <w:vAlign w:val="center"/>
          </w:tcPr>
          <w:p w14:paraId="3A3C1737" w14:textId="1735A52D" w:rsidR="00FE73F2" w:rsidRPr="005629F8" w:rsidRDefault="00FE73F2"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2021</w:t>
            </w:r>
            <w:r>
              <w:rPr>
                <w:rFonts w:cs="Arial"/>
                <w:b/>
                <w:bCs/>
                <w:color w:val="FFFFFF" w:themeColor="background2"/>
                <w:sz w:val="14"/>
                <w:szCs w:val="14"/>
              </w:rPr>
              <w:t>-22</w:t>
            </w:r>
          </w:p>
        </w:tc>
      </w:tr>
      <w:tr w:rsidR="00AD55EF" w:rsidRPr="0088109E" w14:paraId="7E136A27" w14:textId="77777777" w:rsidTr="00C07CC0">
        <w:trPr>
          <w:gridAfter w:val="1"/>
          <w:wAfter w:w="99" w:type="dxa"/>
          <w:trHeight w:val="239"/>
        </w:trPr>
        <w:tc>
          <w:tcPr>
            <w:tcW w:w="748" w:type="dxa"/>
            <w:tcBorders>
              <w:top w:val="single" w:sz="6" w:space="0" w:color="auto"/>
              <w:left w:val="nil"/>
              <w:bottom w:val="single" w:sz="4" w:space="0" w:color="D9D9D9"/>
              <w:right w:val="nil"/>
            </w:tcBorders>
          </w:tcPr>
          <w:p w14:paraId="4F9FD408" w14:textId="4CC4C9F3"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w:t>
            </w:r>
          </w:p>
        </w:tc>
        <w:tc>
          <w:tcPr>
            <w:tcW w:w="815" w:type="dxa"/>
            <w:tcBorders>
              <w:top w:val="single" w:sz="6" w:space="0" w:color="auto"/>
              <w:left w:val="nil"/>
              <w:bottom w:val="single" w:sz="4" w:space="0" w:color="D9D9D9"/>
              <w:right w:val="nil"/>
            </w:tcBorders>
            <w:shd w:val="clear" w:color="auto" w:fill="auto"/>
          </w:tcPr>
          <w:p w14:paraId="419628DF" w14:textId="510D000C"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X40B</w:t>
            </w:r>
          </w:p>
        </w:tc>
        <w:tc>
          <w:tcPr>
            <w:tcW w:w="6305" w:type="dxa"/>
            <w:tcBorders>
              <w:top w:val="single" w:sz="6" w:space="0" w:color="auto"/>
              <w:left w:val="nil"/>
              <w:bottom w:val="single" w:sz="4" w:space="0" w:color="D9D9D9"/>
              <w:right w:val="single" w:sz="4" w:space="0" w:color="D9D9D9"/>
            </w:tcBorders>
            <w:shd w:val="clear" w:color="auto" w:fill="auto"/>
          </w:tcPr>
          <w:p w14:paraId="38AAD76B" w14:textId="5676B8C3" w:rsidR="00AD55EF" w:rsidRPr="00936E56" w:rsidRDefault="00AD55EF" w:rsidP="00936E56">
            <w:pPr>
              <w:autoSpaceDE w:val="0"/>
              <w:autoSpaceDN w:val="0"/>
              <w:adjustRightInd w:val="0"/>
              <w:spacing w:after="0" w:line="240" w:lineRule="auto"/>
              <w:rPr>
                <w:rFonts w:cs="Arial"/>
                <w:color w:val="000000"/>
                <w:sz w:val="14"/>
                <w:szCs w:val="14"/>
              </w:rPr>
            </w:pPr>
            <w:r w:rsidRPr="00936E56">
              <w:rPr>
                <w:rFonts w:cs="Arial"/>
                <w:sz w:val="14"/>
                <w:szCs w:val="14"/>
              </w:rPr>
              <w:t>Injuries, Poisoning and Toxic Effects of Drugs with Ventilator Support, Minor Complexity</w:t>
            </w:r>
          </w:p>
        </w:tc>
        <w:tc>
          <w:tcPr>
            <w:tcW w:w="1033" w:type="dxa"/>
            <w:tcBorders>
              <w:top w:val="single" w:sz="6" w:space="0" w:color="auto"/>
              <w:left w:val="single" w:sz="4" w:space="0" w:color="D9D9D9"/>
              <w:bottom w:val="single" w:sz="4" w:space="0" w:color="D9D9D9"/>
              <w:right w:val="nil"/>
            </w:tcBorders>
            <w:shd w:val="clear" w:color="auto" w:fill="auto"/>
          </w:tcPr>
          <w:p w14:paraId="0D16E6A3" w14:textId="0991623B"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10</w:t>
            </w:r>
          </w:p>
        </w:tc>
        <w:tc>
          <w:tcPr>
            <w:tcW w:w="1128" w:type="dxa"/>
            <w:tcBorders>
              <w:top w:val="single" w:sz="6" w:space="0" w:color="auto"/>
              <w:left w:val="nil"/>
              <w:bottom w:val="single" w:sz="4" w:space="0" w:color="D9D9D9"/>
              <w:right w:val="single" w:sz="6" w:space="0" w:color="FFFFFF" w:themeColor="accent6"/>
            </w:tcBorders>
            <w:shd w:val="clear" w:color="auto" w:fill="auto"/>
          </w:tcPr>
          <w:p w14:paraId="429AA89F" w14:textId="1BB1084D"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2.89</w:t>
            </w:r>
          </w:p>
        </w:tc>
        <w:tc>
          <w:tcPr>
            <w:tcW w:w="1173" w:type="dxa"/>
            <w:tcBorders>
              <w:top w:val="single" w:sz="6" w:space="0" w:color="auto"/>
              <w:left w:val="single" w:sz="6" w:space="0" w:color="FFFFFF" w:themeColor="accent6"/>
              <w:bottom w:val="single" w:sz="4" w:space="0" w:color="D9D9D9"/>
              <w:right w:val="single" w:sz="6" w:space="0" w:color="FFFFFF" w:themeColor="accent6"/>
            </w:tcBorders>
            <w:shd w:val="clear" w:color="auto" w:fill="F2F2F2" w:themeFill="background2" w:themeFillShade="F2"/>
          </w:tcPr>
          <w:p w14:paraId="386A8CA2" w14:textId="61DC070C"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2.06</w:t>
            </w:r>
          </w:p>
        </w:tc>
        <w:tc>
          <w:tcPr>
            <w:tcW w:w="1276" w:type="dxa"/>
            <w:gridSpan w:val="4"/>
            <w:tcBorders>
              <w:top w:val="single" w:sz="6" w:space="0" w:color="auto"/>
              <w:left w:val="single" w:sz="6" w:space="0" w:color="FFFFFF" w:themeColor="accent6"/>
              <w:bottom w:val="single" w:sz="4" w:space="0" w:color="D9D9D9"/>
              <w:right w:val="nil"/>
            </w:tcBorders>
            <w:shd w:val="clear" w:color="auto" w:fill="F2F2F2" w:themeFill="background2" w:themeFillShade="F2"/>
          </w:tcPr>
          <w:p w14:paraId="37421B05" w14:textId="28C0B4EE"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71.2%</w:t>
            </w:r>
          </w:p>
        </w:tc>
      </w:tr>
      <w:tr w:rsidR="00AD55EF" w:rsidRPr="0088109E" w14:paraId="02CA1B05" w14:textId="77777777" w:rsidTr="00C07CC0">
        <w:trPr>
          <w:gridAfter w:val="1"/>
          <w:wAfter w:w="99" w:type="dxa"/>
          <w:trHeight w:val="239"/>
        </w:trPr>
        <w:tc>
          <w:tcPr>
            <w:tcW w:w="748" w:type="dxa"/>
            <w:tcBorders>
              <w:top w:val="single" w:sz="4" w:space="0" w:color="D9D9D9"/>
              <w:left w:val="nil"/>
              <w:bottom w:val="single" w:sz="4" w:space="0" w:color="D9D9D9"/>
              <w:right w:val="nil"/>
            </w:tcBorders>
          </w:tcPr>
          <w:p w14:paraId="49DC441E" w14:textId="3CF24122"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w:t>
            </w:r>
          </w:p>
        </w:tc>
        <w:tc>
          <w:tcPr>
            <w:tcW w:w="815" w:type="dxa"/>
            <w:tcBorders>
              <w:top w:val="single" w:sz="4" w:space="0" w:color="D9D9D9"/>
              <w:left w:val="nil"/>
              <w:bottom w:val="single" w:sz="4" w:space="0" w:color="D9D9D9"/>
              <w:right w:val="nil"/>
            </w:tcBorders>
            <w:shd w:val="clear" w:color="auto" w:fill="auto"/>
          </w:tcPr>
          <w:p w14:paraId="222E06BF" w14:textId="4ABA7EDF"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X40A</w:t>
            </w:r>
          </w:p>
        </w:tc>
        <w:tc>
          <w:tcPr>
            <w:tcW w:w="6305" w:type="dxa"/>
            <w:tcBorders>
              <w:top w:val="single" w:sz="4" w:space="0" w:color="D9D9D9"/>
              <w:left w:val="nil"/>
              <w:bottom w:val="single" w:sz="4" w:space="0" w:color="D9D9D9"/>
              <w:right w:val="single" w:sz="4" w:space="0" w:color="D9D9D9"/>
            </w:tcBorders>
            <w:shd w:val="clear" w:color="auto" w:fill="auto"/>
          </w:tcPr>
          <w:p w14:paraId="5AC58AAD" w14:textId="39C2F99F" w:rsidR="00AD55EF" w:rsidRPr="00936E56" w:rsidRDefault="00AD55EF" w:rsidP="00936E56">
            <w:pPr>
              <w:autoSpaceDE w:val="0"/>
              <w:autoSpaceDN w:val="0"/>
              <w:adjustRightInd w:val="0"/>
              <w:spacing w:after="0" w:line="240" w:lineRule="auto"/>
              <w:rPr>
                <w:rFonts w:cs="Arial"/>
                <w:color w:val="000000"/>
                <w:sz w:val="14"/>
                <w:szCs w:val="14"/>
              </w:rPr>
            </w:pPr>
            <w:r w:rsidRPr="00936E56">
              <w:rPr>
                <w:rFonts w:cs="Arial"/>
                <w:sz w:val="14"/>
                <w:szCs w:val="14"/>
              </w:rPr>
              <w:t>Injuries, Poisoning and Toxic Effects of Drugs with Ventilator Support, Major Complexity</w:t>
            </w:r>
          </w:p>
        </w:tc>
        <w:tc>
          <w:tcPr>
            <w:tcW w:w="1033" w:type="dxa"/>
            <w:tcBorders>
              <w:top w:val="single" w:sz="4" w:space="0" w:color="D9D9D9"/>
              <w:left w:val="single" w:sz="4" w:space="0" w:color="D9D9D9"/>
              <w:bottom w:val="single" w:sz="4" w:space="0" w:color="D9D9D9"/>
              <w:right w:val="nil"/>
            </w:tcBorders>
            <w:shd w:val="clear" w:color="auto" w:fill="auto"/>
          </w:tcPr>
          <w:p w14:paraId="6765FF03" w14:textId="7C5FBBFE"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w:t>
            </w:r>
          </w:p>
        </w:tc>
        <w:tc>
          <w:tcPr>
            <w:tcW w:w="1128" w:type="dxa"/>
            <w:tcBorders>
              <w:top w:val="single" w:sz="4" w:space="0" w:color="D9D9D9"/>
              <w:left w:val="nil"/>
              <w:bottom w:val="single" w:sz="4" w:space="0" w:color="D9D9D9"/>
              <w:right w:val="single" w:sz="6" w:space="0" w:color="FFFFFF" w:themeColor="accent6"/>
            </w:tcBorders>
            <w:shd w:val="clear" w:color="auto" w:fill="auto"/>
          </w:tcPr>
          <w:p w14:paraId="4EF51312" w14:textId="6A27FE5C"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5.50</w:t>
            </w:r>
          </w:p>
        </w:tc>
        <w:tc>
          <w:tcPr>
            <w:tcW w:w="1173" w:type="dxa"/>
            <w:tcBorders>
              <w:top w:val="single" w:sz="4" w:space="0" w:color="D9D9D9"/>
              <w:left w:val="single" w:sz="6" w:space="0" w:color="FFFFFF" w:themeColor="accent6"/>
              <w:bottom w:val="single" w:sz="4" w:space="0" w:color="D9D9D9"/>
              <w:right w:val="single" w:sz="6" w:space="0" w:color="FFFFFF" w:themeColor="accent6"/>
            </w:tcBorders>
            <w:shd w:val="clear" w:color="auto" w:fill="F2F2F2" w:themeFill="background2" w:themeFillShade="F2"/>
          </w:tcPr>
          <w:p w14:paraId="3060CA59" w14:textId="74110A3E"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3.83</w:t>
            </w:r>
          </w:p>
        </w:tc>
        <w:tc>
          <w:tcPr>
            <w:tcW w:w="1276" w:type="dxa"/>
            <w:gridSpan w:val="4"/>
            <w:tcBorders>
              <w:top w:val="single" w:sz="4" w:space="0" w:color="D9D9D9"/>
              <w:left w:val="single" w:sz="6" w:space="0" w:color="FFFFFF" w:themeColor="accent6"/>
              <w:bottom w:val="single" w:sz="4" w:space="0" w:color="D9D9D9"/>
              <w:right w:val="nil"/>
            </w:tcBorders>
            <w:shd w:val="clear" w:color="auto" w:fill="F2F2F2" w:themeFill="background2" w:themeFillShade="F2"/>
          </w:tcPr>
          <w:p w14:paraId="3059DEEE" w14:textId="48B597CE"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69.6%</w:t>
            </w:r>
          </w:p>
        </w:tc>
      </w:tr>
      <w:tr w:rsidR="00AD55EF" w:rsidRPr="0088109E" w14:paraId="3998A079" w14:textId="77777777" w:rsidTr="00C07CC0">
        <w:trPr>
          <w:gridAfter w:val="1"/>
          <w:wAfter w:w="99" w:type="dxa"/>
          <w:trHeight w:val="239"/>
        </w:trPr>
        <w:tc>
          <w:tcPr>
            <w:tcW w:w="748" w:type="dxa"/>
            <w:tcBorders>
              <w:top w:val="single" w:sz="4" w:space="0" w:color="D9D9D9"/>
              <w:left w:val="nil"/>
              <w:bottom w:val="single" w:sz="4" w:space="0" w:color="D9D9D9"/>
              <w:right w:val="nil"/>
            </w:tcBorders>
          </w:tcPr>
          <w:p w14:paraId="1E7B3808" w14:textId="4A60E33F"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w:t>
            </w:r>
          </w:p>
        </w:tc>
        <w:tc>
          <w:tcPr>
            <w:tcW w:w="815" w:type="dxa"/>
            <w:tcBorders>
              <w:top w:val="single" w:sz="4" w:space="0" w:color="D9D9D9"/>
              <w:left w:val="nil"/>
              <w:bottom w:val="single" w:sz="4" w:space="0" w:color="D9D9D9"/>
              <w:right w:val="nil"/>
            </w:tcBorders>
            <w:shd w:val="clear" w:color="auto" w:fill="auto"/>
          </w:tcPr>
          <w:p w14:paraId="78213AA3" w14:textId="0EE92B96"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F40B</w:t>
            </w:r>
          </w:p>
        </w:tc>
        <w:tc>
          <w:tcPr>
            <w:tcW w:w="6305" w:type="dxa"/>
            <w:tcBorders>
              <w:top w:val="single" w:sz="4" w:space="0" w:color="D9D9D9"/>
              <w:left w:val="nil"/>
              <w:bottom w:val="single" w:sz="4" w:space="0" w:color="D9D9D9"/>
              <w:right w:val="single" w:sz="4" w:space="0" w:color="D9D9D9"/>
            </w:tcBorders>
            <w:shd w:val="clear" w:color="auto" w:fill="auto"/>
          </w:tcPr>
          <w:p w14:paraId="2DD364BE" w14:textId="1F9E6194" w:rsidR="00AD55EF" w:rsidRPr="00936E56" w:rsidRDefault="00AD55EF" w:rsidP="00936E56">
            <w:pPr>
              <w:autoSpaceDE w:val="0"/>
              <w:autoSpaceDN w:val="0"/>
              <w:adjustRightInd w:val="0"/>
              <w:spacing w:after="0" w:line="240" w:lineRule="auto"/>
              <w:rPr>
                <w:rFonts w:cs="Arial"/>
                <w:color w:val="000000"/>
                <w:sz w:val="14"/>
                <w:szCs w:val="14"/>
              </w:rPr>
            </w:pPr>
            <w:r w:rsidRPr="00936E56">
              <w:rPr>
                <w:rFonts w:cs="Arial"/>
                <w:sz w:val="14"/>
                <w:szCs w:val="14"/>
              </w:rPr>
              <w:t>Circulatory Disorders with Ventilator Support, Minor Complexity</w:t>
            </w:r>
          </w:p>
        </w:tc>
        <w:tc>
          <w:tcPr>
            <w:tcW w:w="1033" w:type="dxa"/>
            <w:tcBorders>
              <w:top w:val="single" w:sz="4" w:space="0" w:color="D9D9D9"/>
              <w:left w:val="single" w:sz="4" w:space="0" w:color="D9D9D9"/>
              <w:bottom w:val="single" w:sz="4" w:space="0" w:color="D9D9D9"/>
              <w:right w:val="nil"/>
            </w:tcBorders>
            <w:shd w:val="clear" w:color="auto" w:fill="auto"/>
          </w:tcPr>
          <w:p w14:paraId="21CCABA9" w14:textId="48B0ED8F"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17</w:t>
            </w:r>
          </w:p>
        </w:tc>
        <w:tc>
          <w:tcPr>
            <w:tcW w:w="1128" w:type="dxa"/>
            <w:tcBorders>
              <w:top w:val="single" w:sz="4" w:space="0" w:color="D9D9D9"/>
              <w:left w:val="nil"/>
              <w:bottom w:val="single" w:sz="4" w:space="0" w:color="D9D9D9"/>
              <w:right w:val="single" w:sz="6" w:space="0" w:color="FFFFFF" w:themeColor="accent6"/>
            </w:tcBorders>
            <w:shd w:val="clear" w:color="auto" w:fill="auto"/>
          </w:tcPr>
          <w:p w14:paraId="43E235AE" w14:textId="1395C557"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5.41</w:t>
            </w:r>
          </w:p>
        </w:tc>
        <w:tc>
          <w:tcPr>
            <w:tcW w:w="1173" w:type="dxa"/>
            <w:tcBorders>
              <w:top w:val="single" w:sz="4" w:space="0" w:color="D9D9D9"/>
              <w:left w:val="single" w:sz="6" w:space="0" w:color="FFFFFF" w:themeColor="accent6"/>
              <w:bottom w:val="single" w:sz="4" w:space="0" w:color="D9D9D9"/>
              <w:right w:val="single" w:sz="6" w:space="0" w:color="FFFFFF" w:themeColor="accent6"/>
            </w:tcBorders>
            <w:shd w:val="clear" w:color="auto" w:fill="F2F2F2" w:themeFill="background2" w:themeFillShade="F2"/>
          </w:tcPr>
          <w:p w14:paraId="39E14BBD" w14:textId="79D44EB7"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3.66</w:t>
            </w:r>
          </w:p>
        </w:tc>
        <w:tc>
          <w:tcPr>
            <w:tcW w:w="1276" w:type="dxa"/>
            <w:gridSpan w:val="4"/>
            <w:tcBorders>
              <w:top w:val="single" w:sz="4" w:space="0" w:color="D9D9D9"/>
              <w:left w:val="single" w:sz="6" w:space="0" w:color="FFFFFF" w:themeColor="accent6"/>
              <w:bottom w:val="single" w:sz="4" w:space="0" w:color="D9D9D9"/>
              <w:right w:val="nil"/>
            </w:tcBorders>
            <w:shd w:val="clear" w:color="auto" w:fill="F2F2F2" w:themeFill="background2" w:themeFillShade="F2"/>
          </w:tcPr>
          <w:p w14:paraId="5EA34B9D" w14:textId="3C4A7DDB"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67.7%</w:t>
            </w:r>
          </w:p>
        </w:tc>
      </w:tr>
      <w:tr w:rsidR="00AD55EF" w:rsidRPr="0088109E" w14:paraId="03D40DDD" w14:textId="77777777" w:rsidTr="00C07CC0">
        <w:trPr>
          <w:gridAfter w:val="1"/>
          <w:wAfter w:w="99" w:type="dxa"/>
          <w:trHeight w:val="239"/>
        </w:trPr>
        <w:tc>
          <w:tcPr>
            <w:tcW w:w="748" w:type="dxa"/>
            <w:tcBorders>
              <w:top w:val="single" w:sz="4" w:space="0" w:color="D9D9D9"/>
              <w:left w:val="nil"/>
              <w:bottom w:val="single" w:sz="4" w:space="0" w:color="D9D9D9"/>
              <w:right w:val="nil"/>
            </w:tcBorders>
          </w:tcPr>
          <w:p w14:paraId="2F512503" w14:textId="57B2778E"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4</w:t>
            </w:r>
          </w:p>
        </w:tc>
        <w:tc>
          <w:tcPr>
            <w:tcW w:w="815" w:type="dxa"/>
            <w:tcBorders>
              <w:top w:val="single" w:sz="4" w:space="0" w:color="D9D9D9"/>
              <w:left w:val="nil"/>
              <w:bottom w:val="single" w:sz="4" w:space="0" w:color="D9D9D9"/>
              <w:right w:val="nil"/>
            </w:tcBorders>
            <w:shd w:val="clear" w:color="auto" w:fill="auto"/>
          </w:tcPr>
          <w:p w14:paraId="5705C2E0" w14:textId="70EA2AA9"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E40A</w:t>
            </w:r>
          </w:p>
        </w:tc>
        <w:tc>
          <w:tcPr>
            <w:tcW w:w="6305" w:type="dxa"/>
            <w:tcBorders>
              <w:top w:val="single" w:sz="4" w:space="0" w:color="D9D9D9"/>
              <w:left w:val="nil"/>
              <w:bottom w:val="single" w:sz="4" w:space="0" w:color="D9D9D9"/>
              <w:right w:val="single" w:sz="4" w:space="0" w:color="D9D9D9"/>
            </w:tcBorders>
            <w:shd w:val="clear" w:color="auto" w:fill="auto"/>
          </w:tcPr>
          <w:p w14:paraId="1311DC9A" w14:textId="02FA917A" w:rsidR="00AD55EF" w:rsidRPr="00936E56" w:rsidRDefault="00AD55EF" w:rsidP="00936E56">
            <w:pPr>
              <w:autoSpaceDE w:val="0"/>
              <w:autoSpaceDN w:val="0"/>
              <w:adjustRightInd w:val="0"/>
              <w:spacing w:after="0" w:line="240" w:lineRule="auto"/>
              <w:rPr>
                <w:rFonts w:cs="Arial"/>
                <w:color w:val="000000"/>
                <w:sz w:val="14"/>
                <w:szCs w:val="14"/>
              </w:rPr>
            </w:pPr>
            <w:r w:rsidRPr="00936E56">
              <w:rPr>
                <w:rFonts w:cs="Arial"/>
                <w:sz w:val="14"/>
                <w:szCs w:val="14"/>
              </w:rPr>
              <w:t>Respiratory System Disorders with Ventilator Support, Major Complexity</w:t>
            </w:r>
          </w:p>
        </w:tc>
        <w:tc>
          <w:tcPr>
            <w:tcW w:w="1033" w:type="dxa"/>
            <w:tcBorders>
              <w:top w:val="single" w:sz="4" w:space="0" w:color="D9D9D9"/>
              <w:left w:val="single" w:sz="4" w:space="0" w:color="D9D9D9"/>
              <w:bottom w:val="single" w:sz="4" w:space="0" w:color="D9D9D9"/>
              <w:right w:val="nil"/>
            </w:tcBorders>
            <w:shd w:val="clear" w:color="auto" w:fill="auto"/>
          </w:tcPr>
          <w:p w14:paraId="2F48AF87" w14:textId="11690C6F"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58</w:t>
            </w:r>
          </w:p>
        </w:tc>
        <w:tc>
          <w:tcPr>
            <w:tcW w:w="1128" w:type="dxa"/>
            <w:tcBorders>
              <w:top w:val="single" w:sz="4" w:space="0" w:color="D9D9D9"/>
              <w:left w:val="nil"/>
              <w:bottom w:val="single" w:sz="4" w:space="0" w:color="D9D9D9"/>
              <w:right w:val="single" w:sz="6" w:space="0" w:color="FFFFFF" w:themeColor="accent6"/>
            </w:tcBorders>
            <w:shd w:val="clear" w:color="auto" w:fill="auto"/>
          </w:tcPr>
          <w:p w14:paraId="12828EA2" w14:textId="7D7FCEDD"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9.83</w:t>
            </w:r>
          </w:p>
        </w:tc>
        <w:tc>
          <w:tcPr>
            <w:tcW w:w="1173" w:type="dxa"/>
            <w:tcBorders>
              <w:top w:val="single" w:sz="4" w:space="0" w:color="D9D9D9"/>
              <w:left w:val="single" w:sz="6" w:space="0" w:color="FFFFFF" w:themeColor="accent6"/>
              <w:bottom w:val="single" w:sz="4" w:space="0" w:color="D9D9D9"/>
              <w:right w:val="single" w:sz="6" w:space="0" w:color="FFFFFF" w:themeColor="accent6"/>
            </w:tcBorders>
            <w:shd w:val="clear" w:color="auto" w:fill="F2F2F2" w:themeFill="background2" w:themeFillShade="F2"/>
          </w:tcPr>
          <w:p w14:paraId="65B37EAE" w14:textId="6811F88A"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6.28</w:t>
            </w:r>
          </w:p>
        </w:tc>
        <w:tc>
          <w:tcPr>
            <w:tcW w:w="1276" w:type="dxa"/>
            <w:gridSpan w:val="4"/>
            <w:tcBorders>
              <w:top w:val="single" w:sz="4" w:space="0" w:color="D9D9D9"/>
              <w:left w:val="single" w:sz="6" w:space="0" w:color="FFFFFF" w:themeColor="accent6"/>
              <w:bottom w:val="single" w:sz="4" w:space="0" w:color="D9D9D9"/>
              <w:right w:val="nil"/>
            </w:tcBorders>
            <w:shd w:val="clear" w:color="auto" w:fill="F2F2F2" w:themeFill="background2" w:themeFillShade="F2"/>
          </w:tcPr>
          <w:p w14:paraId="6D161943" w14:textId="04ECFCCB"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63.8%</w:t>
            </w:r>
          </w:p>
        </w:tc>
      </w:tr>
      <w:tr w:rsidR="00AD55EF" w:rsidRPr="0088109E" w14:paraId="68B06F04" w14:textId="77777777" w:rsidTr="00C07CC0">
        <w:trPr>
          <w:gridAfter w:val="1"/>
          <w:wAfter w:w="99" w:type="dxa"/>
          <w:trHeight w:val="239"/>
        </w:trPr>
        <w:tc>
          <w:tcPr>
            <w:tcW w:w="748" w:type="dxa"/>
            <w:tcBorders>
              <w:top w:val="single" w:sz="4" w:space="0" w:color="D9D9D9"/>
              <w:left w:val="nil"/>
              <w:bottom w:val="single" w:sz="4" w:space="0" w:color="D9D9D9"/>
              <w:right w:val="nil"/>
            </w:tcBorders>
          </w:tcPr>
          <w:p w14:paraId="792487C3" w14:textId="3783265F"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w:t>
            </w:r>
          </w:p>
        </w:tc>
        <w:tc>
          <w:tcPr>
            <w:tcW w:w="815" w:type="dxa"/>
            <w:tcBorders>
              <w:top w:val="single" w:sz="4" w:space="0" w:color="D9D9D9"/>
              <w:left w:val="nil"/>
              <w:bottom w:val="single" w:sz="4" w:space="0" w:color="D9D9D9"/>
              <w:right w:val="nil"/>
            </w:tcBorders>
            <w:shd w:val="clear" w:color="auto" w:fill="auto"/>
          </w:tcPr>
          <w:p w14:paraId="097931B0" w14:textId="3CEB7A7B"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E40B</w:t>
            </w:r>
          </w:p>
        </w:tc>
        <w:tc>
          <w:tcPr>
            <w:tcW w:w="6305" w:type="dxa"/>
            <w:tcBorders>
              <w:top w:val="single" w:sz="4" w:space="0" w:color="D9D9D9"/>
              <w:left w:val="nil"/>
              <w:bottom w:val="single" w:sz="4" w:space="0" w:color="D9D9D9"/>
              <w:right w:val="single" w:sz="4" w:space="0" w:color="D9D9D9"/>
            </w:tcBorders>
            <w:shd w:val="clear" w:color="auto" w:fill="auto"/>
          </w:tcPr>
          <w:p w14:paraId="0973EB82" w14:textId="4AE41DBA" w:rsidR="00AD55EF" w:rsidRPr="00936E56" w:rsidRDefault="00AD55EF" w:rsidP="00936E56">
            <w:pPr>
              <w:autoSpaceDE w:val="0"/>
              <w:autoSpaceDN w:val="0"/>
              <w:adjustRightInd w:val="0"/>
              <w:spacing w:after="0" w:line="240" w:lineRule="auto"/>
              <w:rPr>
                <w:rFonts w:cs="Arial"/>
                <w:color w:val="000000"/>
                <w:sz w:val="14"/>
                <w:szCs w:val="14"/>
              </w:rPr>
            </w:pPr>
            <w:r w:rsidRPr="00936E56">
              <w:rPr>
                <w:rFonts w:cs="Arial"/>
                <w:sz w:val="14"/>
                <w:szCs w:val="14"/>
              </w:rPr>
              <w:t>Respiratory System Disorders with Ventilator Support, Minor Complexity</w:t>
            </w:r>
          </w:p>
        </w:tc>
        <w:tc>
          <w:tcPr>
            <w:tcW w:w="1033" w:type="dxa"/>
            <w:tcBorders>
              <w:top w:val="single" w:sz="4" w:space="0" w:color="D9D9D9"/>
              <w:left w:val="single" w:sz="4" w:space="0" w:color="D9D9D9"/>
              <w:bottom w:val="single" w:sz="4" w:space="0" w:color="D9D9D9"/>
              <w:right w:val="nil"/>
            </w:tcBorders>
            <w:shd w:val="clear" w:color="auto" w:fill="auto"/>
          </w:tcPr>
          <w:p w14:paraId="3F1E810A" w14:textId="5E12659E"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64</w:t>
            </w:r>
          </w:p>
        </w:tc>
        <w:tc>
          <w:tcPr>
            <w:tcW w:w="1128" w:type="dxa"/>
            <w:tcBorders>
              <w:top w:val="single" w:sz="4" w:space="0" w:color="D9D9D9"/>
              <w:left w:val="nil"/>
              <w:bottom w:val="single" w:sz="4" w:space="0" w:color="D9D9D9"/>
              <w:right w:val="single" w:sz="6" w:space="0" w:color="FFFFFF" w:themeColor="accent6"/>
            </w:tcBorders>
            <w:shd w:val="clear" w:color="auto" w:fill="auto"/>
          </w:tcPr>
          <w:p w14:paraId="104939EC" w14:textId="3055E319"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6.70</w:t>
            </w:r>
          </w:p>
        </w:tc>
        <w:tc>
          <w:tcPr>
            <w:tcW w:w="1173" w:type="dxa"/>
            <w:tcBorders>
              <w:top w:val="single" w:sz="4" w:space="0" w:color="D9D9D9"/>
              <w:left w:val="single" w:sz="6" w:space="0" w:color="FFFFFF" w:themeColor="accent6"/>
              <w:bottom w:val="single" w:sz="4" w:space="0" w:color="D9D9D9"/>
              <w:right w:val="single" w:sz="6" w:space="0" w:color="FFFFFF" w:themeColor="accent6"/>
            </w:tcBorders>
            <w:shd w:val="clear" w:color="auto" w:fill="F2F2F2" w:themeFill="background2" w:themeFillShade="F2"/>
          </w:tcPr>
          <w:p w14:paraId="039B3D4B" w14:textId="51EBF44F"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4.24</w:t>
            </w:r>
          </w:p>
        </w:tc>
        <w:tc>
          <w:tcPr>
            <w:tcW w:w="1276" w:type="dxa"/>
            <w:gridSpan w:val="4"/>
            <w:tcBorders>
              <w:top w:val="single" w:sz="4" w:space="0" w:color="D9D9D9"/>
              <w:left w:val="single" w:sz="6" w:space="0" w:color="FFFFFF" w:themeColor="accent6"/>
              <w:bottom w:val="single" w:sz="4" w:space="0" w:color="D9D9D9"/>
              <w:right w:val="nil"/>
            </w:tcBorders>
            <w:shd w:val="clear" w:color="auto" w:fill="F2F2F2" w:themeFill="background2" w:themeFillShade="F2"/>
          </w:tcPr>
          <w:p w14:paraId="72600518" w14:textId="3AECA216"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63.3%</w:t>
            </w:r>
          </w:p>
        </w:tc>
      </w:tr>
      <w:tr w:rsidR="00AD55EF" w:rsidRPr="0088109E" w14:paraId="483E8251" w14:textId="77777777" w:rsidTr="00C07CC0">
        <w:trPr>
          <w:gridAfter w:val="1"/>
          <w:wAfter w:w="99" w:type="dxa"/>
          <w:trHeight w:val="239"/>
        </w:trPr>
        <w:tc>
          <w:tcPr>
            <w:tcW w:w="748" w:type="dxa"/>
            <w:tcBorders>
              <w:top w:val="single" w:sz="4" w:space="0" w:color="D9D9D9"/>
              <w:left w:val="nil"/>
              <w:bottom w:val="single" w:sz="4" w:space="0" w:color="D9D9D9"/>
              <w:right w:val="nil"/>
            </w:tcBorders>
          </w:tcPr>
          <w:p w14:paraId="539FCBB0" w14:textId="28C578E2"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w:t>
            </w:r>
          </w:p>
        </w:tc>
        <w:tc>
          <w:tcPr>
            <w:tcW w:w="815" w:type="dxa"/>
            <w:tcBorders>
              <w:top w:val="single" w:sz="4" w:space="0" w:color="D9D9D9"/>
              <w:left w:val="nil"/>
              <w:bottom w:val="single" w:sz="4" w:space="0" w:color="D9D9D9"/>
              <w:right w:val="nil"/>
            </w:tcBorders>
            <w:shd w:val="clear" w:color="auto" w:fill="auto"/>
          </w:tcPr>
          <w:p w14:paraId="3455F39C" w14:textId="3CBD7BD4"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B42B</w:t>
            </w:r>
          </w:p>
        </w:tc>
        <w:tc>
          <w:tcPr>
            <w:tcW w:w="6305" w:type="dxa"/>
            <w:tcBorders>
              <w:top w:val="single" w:sz="4" w:space="0" w:color="D9D9D9"/>
              <w:left w:val="nil"/>
              <w:bottom w:val="single" w:sz="4" w:space="0" w:color="D9D9D9"/>
              <w:right w:val="single" w:sz="4" w:space="0" w:color="D9D9D9"/>
            </w:tcBorders>
            <w:shd w:val="clear" w:color="auto" w:fill="auto"/>
          </w:tcPr>
          <w:p w14:paraId="606F64E3" w14:textId="74E70B28" w:rsidR="00AD55EF" w:rsidRPr="00936E56" w:rsidRDefault="00AD55EF" w:rsidP="00936E56">
            <w:pPr>
              <w:autoSpaceDE w:val="0"/>
              <w:autoSpaceDN w:val="0"/>
              <w:adjustRightInd w:val="0"/>
              <w:spacing w:after="0" w:line="240" w:lineRule="auto"/>
              <w:rPr>
                <w:rFonts w:cs="Arial"/>
                <w:color w:val="000000"/>
                <w:sz w:val="14"/>
                <w:szCs w:val="14"/>
              </w:rPr>
            </w:pPr>
            <w:r w:rsidRPr="00936E56">
              <w:rPr>
                <w:rFonts w:cs="Arial"/>
                <w:sz w:val="14"/>
                <w:szCs w:val="14"/>
              </w:rPr>
              <w:t>Nervous System Disorders with Ventilator Support, Intermediate Complexity</w:t>
            </w:r>
          </w:p>
        </w:tc>
        <w:tc>
          <w:tcPr>
            <w:tcW w:w="1033" w:type="dxa"/>
            <w:tcBorders>
              <w:top w:val="single" w:sz="4" w:space="0" w:color="D9D9D9"/>
              <w:left w:val="single" w:sz="4" w:space="0" w:color="D9D9D9"/>
              <w:bottom w:val="single" w:sz="4" w:space="0" w:color="D9D9D9"/>
              <w:right w:val="nil"/>
            </w:tcBorders>
            <w:shd w:val="clear" w:color="auto" w:fill="auto"/>
          </w:tcPr>
          <w:p w14:paraId="2C7E41AA" w14:textId="533033B7"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19</w:t>
            </w:r>
          </w:p>
        </w:tc>
        <w:tc>
          <w:tcPr>
            <w:tcW w:w="1128" w:type="dxa"/>
            <w:tcBorders>
              <w:top w:val="single" w:sz="4" w:space="0" w:color="D9D9D9"/>
              <w:left w:val="nil"/>
              <w:bottom w:val="single" w:sz="4" w:space="0" w:color="D9D9D9"/>
              <w:right w:val="single" w:sz="6" w:space="0" w:color="FFFFFF" w:themeColor="accent6"/>
            </w:tcBorders>
            <w:shd w:val="clear" w:color="auto" w:fill="auto"/>
          </w:tcPr>
          <w:p w14:paraId="02A9F180" w14:textId="6A9FC64A"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7.30</w:t>
            </w:r>
          </w:p>
        </w:tc>
        <w:tc>
          <w:tcPr>
            <w:tcW w:w="1173" w:type="dxa"/>
            <w:tcBorders>
              <w:top w:val="single" w:sz="4" w:space="0" w:color="D9D9D9"/>
              <w:left w:val="single" w:sz="6" w:space="0" w:color="FFFFFF" w:themeColor="accent6"/>
              <w:bottom w:val="single" w:sz="4" w:space="0" w:color="D9D9D9"/>
              <w:right w:val="single" w:sz="6" w:space="0" w:color="FFFFFF" w:themeColor="accent6"/>
            </w:tcBorders>
            <w:shd w:val="clear" w:color="auto" w:fill="F2F2F2" w:themeFill="background2" w:themeFillShade="F2"/>
          </w:tcPr>
          <w:p w14:paraId="49255006" w14:textId="67D2257A"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4.58</w:t>
            </w:r>
          </w:p>
        </w:tc>
        <w:tc>
          <w:tcPr>
            <w:tcW w:w="1276" w:type="dxa"/>
            <w:gridSpan w:val="4"/>
            <w:tcBorders>
              <w:top w:val="single" w:sz="4" w:space="0" w:color="D9D9D9"/>
              <w:left w:val="single" w:sz="6" w:space="0" w:color="FFFFFF" w:themeColor="accent6"/>
              <w:bottom w:val="single" w:sz="4" w:space="0" w:color="D9D9D9"/>
              <w:right w:val="nil"/>
            </w:tcBorders>
            <w:shd w:val="clear" w:color="auto" w:fill="F2F2F2" w:themeFill="background2" w:themeFillShade="F2"/>
          </w:tcPr>
          <w:p w14:paraId="26E2074B" w14:textId="547644F3"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62.7%</w:t>
            </w:r>
          </w:p>
        </w:tc>
      </w:tr>
      <w:tr w:rsidR="00AD55EF" w:rsidRPr="0088109E" w14:paraId="238B2129" w14:textId="77777777" w:rsidTr="00C07CC0">
        <w:trPr>
          <w:gridAfter w:val="1"/>
          <w:wAfter w:w="99" w:type="dxa"/>
          <w:trHeight w:val="239"/>
        </w:trPr>
        <w:tc>
          <w:tcPr>
            <w:tcW w:w="748" w:type="dxa"/>
            <w:tcBorders>
              <w:top w:val="single" w:sz="4" w:space="0" w:color="D9D9D9"/>
              <w:left w:val="nil"/>
              <w:bottom w:val="single" w:sz="4" w:space="0" w:color="D9D9D9"/>
              <w:right w:val="nil"/>
            </w:tcBorders>
          </w:tcPr>
          <w:p w14:paraId="211A2E80" w14:textId="2B772D8B"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w:t>
            </w:r>
          </w:p>
        </w:tc>
        <w:tc>
          <w:tcPr>
            <w:tcW w:w="815" w:type="dxa"/>
            <w:tcBorders>
              <w:top w:val="single" w:sz="4" w:space="0" w:color="D9D9D9"/>
              <w:left w:val="nil"/>
              <w:bottom w:val="single" w:sz="4" w:space="0" w:color="D9D9D9"/>
              <w:right w:val="nil"/>
            </w:tcBorders>
            <w:shd w:val="clear" w:color="auto" w:fill="auto"/>
          </w:tcPr>
          <w:p w14:paraId="0476AC83" w14:textId="234BFE91"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A13A</w:t>
            </w:r>
          </w:p>
        </w:tc>
        <w:tc>
          <w:tcPr>
            <w:tcW w:w="6305" w:type="dxa"/>
            <w:tcBorders>
              <w:top w:val="single" w:sz="4" w:space="0" w:color="D9D9D9"/>
              <w:left w:val="nil"/>
              <w:bottom w:val="single" w:sz="4" w:space="0" w:color="D9D9D9"/>
              <w:right w:val="single" w:sz="4" w:space="0" w:color="D9D9D9"/>
            </w:tcBorders>
            <w:shd w:val="clear" w:color="auto" w:fill="auto"/>
          </w:tcPr>
          <w:p w14:paraId="57C4C00E" w14:textId="68AB5039" w:rsidR="00AD55EF" w:rsidRPr="00936E56" w:rsidRDefault="00AD55EF" w:rsidP="00936E56">
            <w:pPr>
              <w:autoSpaceDE w:val="0"/>
              <w:autoSpaceDN w:val="0"/>
              <w:adjustRightInd w:val="0"/>
              <w:spacing w:after="0" w:line="240" w:lineRule="auto"/>
              <w:rPr>
                <w:rFonts w:cs="Arial"/>
                <w:color w:val="000000"/>
                <w:sz w:val="14"/>
                <w:szCs w:val="14"/>
              </w:rPr>
            </w:pPr>
            <w:r w:rsidRPr="00936E56">
              <w:rPr>
                <w:rFonts w:cs="Arial"/>
                <w:sz w:val="14"/>
                <w:szCs w:val="14"/>
              </w:rPr>
              <w:t>Ventilation &gt;= 336 Hours, Major Complexity</w:t>
            </w:r>
          </w:p>
        </w:tc>
        <w:tc>
          <w:tcPr>
            <w:tcW w:w="1033" w:type="dxa"/>
            <w:tcBorders>
              <w:top w:val="single" w:sz="4" w:space="0" w:color="D9D9D9"/>
              <w:left w:val="single" w:sz="4" w:space="0" w:color="D9D9D9"/>
              <w:bottom w:val="single" w:sz="4" w:space="0" w:color="D9D9D9"/>
              <w:right w:val="nil"/>
            </w:tcBorders>
            <w:shd w:val="clear" w:color="auto" w:fill="auto"/>
          </w:tcPr>
          <w:p w14:paraId="3208C835" w14:textId="798CF6CB"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24</w:t>
            </w:r>
          </w:p>
        </w:tc>
        <w:tc>
          <w:tcPr>
            <w:tcW w:w="1128" w:type="dxa"/>
            <w:tcBorders>
              <w:top w:val="single" w:sz="4" w:space="0" w:color="D9D9D9"/>
              <w:left w:val="nil"/>
              <w:bottom w:val="single" w:sz="4" w:space="0" w:color="D9D9D9"/>
              <w:right w:val="single" w:sz="6" w:space="0" w:color="FFFFFF" w:themeColor="accent6"/>
            </w:tcBorders>
            <w:shd w:val="clear" w:color="auto" w:fill="auto"/>
          </w:tcPr>
          <w:p w14:paraId="15F55B0B" w14:textId="74E83AAF"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50.82</w:t>
            </w:r>
          </w:p>
        </w:tc>
        <w:tc>
          <w:tcPr>
            <w:tcW w:w="1173" w:type="dxa"/>
            <w:tcBorders>
              <w:top w:val="single" w:sz="4" w:space="0" w:color="D9D9D9"/>
              <w:left w:val="single" w:sz="6" w:space="0" w:color="FFFFFF" w:themeColor="accent6"/>
              <w:bottom w:val="single" w:sz="4" w:space="0" w:color="D9D9D9"/>
              <w:right w:val="single" w:sz="6" w:space="0" w:color="FFFFFF" w:themeColor="accent6"/>
            </w:tcBorders>
            <w:shd w:val="clear" w:color="auto" w:fill="F2F2F2" w:themeFill="background2" w:themeFillShade="F2"/>
          </w:tcPr>
          <w:p w14:paraId="5FFAA9FB" w14:textId="7A98FE60"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30.32</w:t>
            </w:r>
          </w:p>
        </w:tc>
        <w:tc>
          <w:tcPr>
            <w:tcW w:w="1276" w:type="dxa"/>
            <w:gridSpan w:val="4"/>
            <w:tcBorders>
              <w:top w:val="single" w:sz="4" w:space="0" w:color="D9D9D9"/>
              <w:left w:val="single" w:sz="6" w:space="0" w:color="FFFFFF" w:themeColor="accent6"/>
              <w:bottom w:val="single" w:sz="4" w:space="0" w:color="D9D9D9"/>
              <w:right w:val="nil"/>
            </w:tcBorders>
            <w:shd w:val="clear" w:color="auto" w:fill="F2F2F2" w:themeFill="background2" w:themeFillShade="F2"/>
          </w:tcPr>
          <w:p w14:paraId="3CD71D48" w14:textId="11C600C1"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59.7%</w:t>
            </w:r>
          </w:p>
        </w:tc>
      </w:tr>
      <w:tr w:rsidR="00AD55EF" w:rsidRPr="0088109E" w14:paraId="0EC31DF5" w14:textId="77777777" w:rsidTr="00C07CC0">
        <w:trPr>
          <w:gridAfter w:val="1"/>
          <w:wAfter w:w="99" w:type="dxa"/>
          <w:trHeight w:val="239"/>
        </w:trPr>
        <w:tc>
          <w:tcPr>
            <w:tcW w:w="748" w:type="dxa"/>
            <w:tcBorders>
              <w:top w:val="single" w:sz="4" w:space="0" w:color="D9D9D9"/>
              <w:left w:val="nil"/>
              <w:bottom w:val="single" w:sz="4" w:space="0" w:color="D9D9D9"/>
              <w:right w:val="nil"/>
            </w:tcBorders>
          </w:tcPr>
          <w:p w14:paraId="2B83D8BE" w14:textId="49FBCDE6"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8</w:t>
            </w:r>
          </w:p>
        </w:tc>
        <w:tc>
          <w:tcPr>
            <w:tcW w:w="815" w:type="dxa"/>
            <w:tcBorders>
              <w:top w:val="single" w:sz="4" w:space="0" w:color="D9D9D9"/>
              <w:left w:val="nil"/>
              <w:bottom w:val="single" w:sz="4" w:space="0" w:color="D9D9D9"/>
              <w:right w:val="nil"/>
            </w:tcBorders>
            <w:shd w:val="clear" w:color="auto" w:fill="auto"/>
          </w:tcPr>
          <w:p w14:paraId="7C1EC95C" w14:textId="6F5FAD61"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A14A</w:t>
            </w:r>
          </w:p>
        </w:tc>
        <w:tc>
          <w:tcPr>
            <w:tcW w:w="6305" w:type="dxa"/>
            <w:tcBorders>
              <w:top w:val="single" w:sz="4" w:space="0" w:color="D9D9D9"/>
              <w:left w:val="nil"/>
              <w:bottom w:val="single" w:sz="4" w:space="0" w:color="D9D9D9"/>
              <w:right w:val="single" w:sz="4" w:space="0" w:color="D9D9D9"/>
            </w:tcBorders>
            <w:shd w:val="clear" w:color="auto" w:fill="auto"/>
          </w:tcPr>
          <w:p w14:paraId="441FD48B" w14:textId="32ED538E" w:rsidR="00AD55EF" w:rsidRPr="00936E56" w:rsidRDefault="00AD55EF" w:rsidP="00936E56">
            <w:pPr>
              <w:autoSpaceDE w:val="0"/>
              <w:autoSpaceDN w:val="0"/>
              <w:adjustRightInd w:val="0"/>
              <w:spacing w:after="0" w:line="240" w:lineRule="auto"/>
              <w:rPr>
                <w:rFonts w:cs="Arial"/>
                <w:color w:val="000000"/>
                <w:sz w:val="14"/>
                <w:szCs w:val="14"/>
              </w:rPr>
            </w:pPr>
            <w:r w:rsidRPr="00936E56">
              <w:rPr>
                <w:rFonts w:cs="Arial"/>
                <w:sz w:val="14"/>
                <w:szCs w:val="14"/>
              </w:rPr>
              <w:t>Ventilation &gt;= 96 Hours and &lt; 336 Hours, Major Complexity</w:t>
            </w:r>
          </w:p>
        </w:tc>
        <w:tc>
          <w:tcPr>
            <w:tcW w:w="1033" w:type="dxa"/>
            <w:tcBorders>
              <w:top w:val="single" w:sz="4" w:space="0" w:color="D9D9D9"/>
              <w:left w:val="single" w:sz="4" w:space="0" w:color="D9D9D9"/>
              <w:bottom w:val="single" w:sz="4" w:space="0" w:color="D9D9D9"/>
              <w:right w:val="nil"/>
            </w:tcBorders>
            <w:shd w:val="clear" w:color="auto" w:fill="auto"/>
          </w:tcPr>
          <w:p w14:paraId="1429B7BC" w14:textId="27E9650E"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206</w:t>
            </w:r>
          </w:p>
        </w:tc>
        <w:tc>
          <w:tcPr>
            <w:tcW w:w="1128" w:type="dxa"/>
            <w:tcBorders>
              <w:top w:val="single" w:sz="4" w:space="0" w:color="D9D9D9"/>
              <w:left w:val="nil"/>
              <w:bottom w:val="single" w:sz="4" w:space="0" w:color="D9D9D9"/>
              <w:right w:val="single" w:sz="6" w:space="0" w:color="FFFFFF" w:themeColor="accent6"/>
            </w:tcBorders>
            <w:shd w:val="clear" w:color="auto" w:fill="auto"/>
          </w:tcPr>
          <w:p w14:paraId="1F7A559B" w14:textId="257E8DC0"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31.65</w:t>
            </w:r>
          </w:p>
        </w:tc>
        <w:tc>
          <w:tcPr>
            <w:tcW w:w="1173" w:type="dxa"/>
            <w:tcBorders>
              <w:top w:val="single" w:sz="4" w:space="0" w:color="D9D9D9"/>
              <w:left w:val="single" w:sz="6" w:space="0" w:color="FFFFFF" w:themeColor="accent6"/>
              <w:bottom w:val="single" w:sz="4" w:space="0" w:color="D9D9D9"/>
              <w:right w:val="single" w:sz="6" w:space="0" w:color="FFFFFF" w:themeColor="accent6"/>
            </w:tcBorders>
            <w:shd w:val="clear" w:color="auto" w:fill="F2F2F2" w:themeFill="background2" w:themeFillShade="F2"/>
          </w:tcPr>
          <w:p w14:paraId="401C137A" w14:textId="38757FE4"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18.48</w:t>
            </w:r>
          </w:p>
        </w:tc>
        <w:tc>
          <w:tcPr>
            <w:tcW w:w="1276" w:type="dxa"/>
            <w:gridSpan w:val="4"/>
            <w:tcBorders>
              <w:top w:val="single" w:sz="4" w:space="0" w:color="D9D9D9"/>
              <w:left w:val="single" w:sz="6" w:space="0" w:color="FFFFFF" w:themeColor="accent6"/>
              <w:bottom w:val="single" w:sz="4" w:space="0" w:color="D9D9D9"/>
              <w:right w:val="nil"/>
            </w:tcBorders>
            <w:shd w:val="clear" w:color="auto" w:fill="F2F2F2" w:themeFill="background2" w:themeFillShade="F2"/>
          </w:tcPr>
          <w:p w14:paraId="6CCCFAEC" w14:textId="1F7C8889"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58.4%</w:t>
            </w:r>
          </w:p>
        </w:tc>
      </w:tr>
      <w:tr w:rsidR="00AD55EF" w:rsidRPr="0088109E" w14:paraId="6D3791F5" w14:textId="77777777" w:rsidTr="00C07CC0">
        <w:trPr>
          <w:gridAfter w:val="1"/>
          <w:wAfter w:w="99" w:type="dxa"/>
          <w:trHeight w:val="239"/>
        </w:trPr>
        <w:tc>
          <w:tcPr>
            <w:tcW w:w="748" w:type="dxa"/>
            <w:tcBorders>
              <w:top w:val="single" w:sz="4" w:space="0" w:color="D9D9D9"/>
              <w:left w:val="nil"/>
              <w:bottom w:val="single" w:sz="4" w:space="0" w:color="D9D9D9"/>
              <w:right w:val="nil"/>
            </w:tcBorders>
          </w:tcPr>
          <w:p w14:paraId="6E60FAF8" w14:textId="0A7A8720"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w:t>
            </w:r>
          </w:p>
        </w:tc>
        <w:tc>
          <w:tcPr>
            <w:tcW w:w="815" w:type="dxa"/>
            <w:tcBorders>
              <w:top w:val="single" w:sz="4" w:space="0" w:color="D9D9D9"/>
              <w:left w:val="nil"/>
              <w:bottom w:val="single" w:sz="4" w:space="0" w:color="D9D9D9"/>
              <w:right w:val="nil"/>
            </w:tcBorders>
            <w:shd w:val="clear" w:color="auto" w:fill="auto"/>
          </w:tcPr>
          <w:p w14:paraId="1988FA6D" w14:textId="72AED2E8"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A13B</w:t>
            </w:r>
          </w:p>
        </w:tc>
        <w:tc>
          <w:tcPr>
            <w:tcW w:w="6305" w:type="dxa"/>
            <w:tcBorders>
              <w:top w:val="single" w:sz="4" w:space="0" w:color="D9D9D9"/>
              <w:left w:val="nil"/>
              <w:bottom w:val="single" w:sz="4" w:space="0" w:color="D9D9D9"/>
              <w:right w:val="single" w:sz="4" w:space="0" w:color="D9D9D9"/>
            </w:tcBorders>
            <w:shd w:val="clear" w:color="auto" w:fill="auto"/>
          </w:tcPr>
          <w:p w14:paraId="36FBE4AA" w14:textId="5BE747EA" w:rsidR="00AD55EF" w:rsidRPr="00936E56" w:rsidRDefault="00AD55EF" w:rsidP="00936E56">
            <w:pPr>
              <w:autoSpaceDE w:val="0"/>
              <w:autoSpaceDN w:val="0"/>
              <w:adjustRightInd w:val="0"/>
              <w:spacing w:after="0" w:line="240" w:lineRule="auto"/>
              <w:rPr>
                <w:rFonts w:cs="Arial"/>
                <w:color w:val="000000"/>
                <w:sz w:val="14"/>
                <w:szCs w:val="14"/>
              </w:rPr>
            </w:pPr>
            <w:r w:rsidRPr="00936E56">
              <w:rPr>
                <w:rFonts w:cs="Arial"/>
                <w:sz w:val="14"/>
                <w:szCs w:val="14"/>
              </w:rPr>
              <w:t>Ventilation &gt;= 336 Hours, Minor Complexity</w:t>
            </w:r>
          </w:p>
        </w:tc>
        <w:tc>
          <w:tcPr>
            <w:tcW w:w="1033" w:type="dxa"/>
            <w:tcBorders>
              <w:top w:val="single" w:sz="4" w:space="0" w:color="D9D9D9"/>
              <w:left w:val="single" w:sz="4" w:space="0" w:color="D9D9D9"/>
              <w:bottom w:val="single" w:sz="4" w:space="0" w:color="D9D9D9"/>
              <w:right w:val="nil"/>
            </w:tcBorders>
            <w:shd w:val="clear" w:color="auto" w:fill="auto"/>
          </w:tcPr>
          <w:p w14:paraId="78802904" w14:textId="7BABDC79"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102</w:t>
            </w:r>
          </w:p>
        </w:tc>
        <w:tc>
          <w:tcPr>
            <w:tcW w:w="1128" w:type="dxa"/>
            <w:tcBorders>
              <w:top w:val="single" w:sz="4" w:space="0" w:color="D9D9D9"/>
              <w:left w:val="nil"/>
              <w:bottom w:val="single" w:sz="4" w:space="0" w:color="D9D9D9"/>
              <w:right w:val="single" w:sz="6" w:space="0" w:color="FFFFFF" w:themeColor="accent6"/>
            </w:tcBorders>
            <w:shd w:val="clear" w:color="auto" w:fill="auto"/>
          </w:tcPr>
          <w:p w14:paraId="67B287CB" w14:textId="3120CB5E"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43.13</w:t>
            </w:r>
          </w:p>
        </w:tc>
        <w:tc>
          <w:tcPr>
            <w:tcW w:w="1173" w:type="dxa"/>
            <w:tcBorders>
              <w:top w:val="single" w:sz="4" w:space="0" w:color="D9D9D9"/>
              <w:left w:val="single" w:sz="6" w:space="0" w:color="FFFFFF" w:themeColor="accent6"/>
              <w:bottom w:val="single" w:sz="4" w:space="0" w:color="D9D9D9"/>
              <w:right w:val="single" w:sz="6" w:space="0" w:color="FFFFFF" w:themeColor="accent6"/>
            </w:tcBorders>
            <w:shd w:val="clear" w:color="auto" w:fill="F2F2F2" w:themeFill="background2" w:themeFillShade="F2"/>
          </w:tcPr>
          <w:p w14:paraId="14B99783" w14:textId="11E4674F"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24.53</w:t>
            </w:r>
          </w:p>
        </w:tc>
        <w:tc>
          <w:tcPr>
            <w:tcW w:w="1276" w:type="dxa"/>
            <w:gridSpan w:val="4"/>
            <w:tcBorders>
              <w:top w:val="single" w:sz="4" w:space="0" w:color="D9D9D9"/>
              <w:left w:val="single" w:sz="6" w:space="0" w:color="FFFFFF" w:themeColor="accent6"/>
              <w:bottom w:val="single" w:sz="4" w:space="0" w:color="D9D9D9"/>
              <w:right w:val="nil"/>
            </w:tcBorders>
            <w:shd w:val="clear" w:color="auto" w:fill="F2F2F2" w:themeFill="background2" w:themeFillShade="F2"/>
          </w:tcPr>
          <w:p w14:paraId="70BBBC66" w14:textId="28382F9D"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56.9%</w:t>
            </w:r>
          </w:p>
        </w:tc>
      </w:tr>
      <w:tr w:rsidR="00AD55EF" w:rsidRPr="0088109E" w14:paraId="12233E06" w14:textId="77777777" w:rsidTr="00C07CC0">
        <w:trPr>
          <w:gridAfter w:val="1"/>
          <w:wAfter w:w="99" w:type="dxa"/>
          <w:trHeight w:val="239"/>
        </w:trPr>
        <w:tc>
          <w:tcPr>
            <w:tcW w:w="748" w:type="dxa"/>
            <w:tcBorders>
              <w:top w:val="single" w:sz="4" w:space="0" w:color="D9D9D9"/>
              <w:left w:val="nil"/>
              <w:bottom w:val="single" w:sz="4" w:space="0" w:color="D9D9D9"/>
              <w:right w:val="nil"/>
            </w:tcBorders>
          </w:tcPr>
          <w:p w14:paraId="07E75C6B" w14:textId="7BF3FB60"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10</w:t>
            </w:r>
          </w:p>
        </w:tc>
        <w:tc>
          <w:tcPr>
            <w:tcW w:w="815" w:type="dxa"/>
            <w:tcBorders>
              <w:top w:val="single" w:sz="4" w:space="0" w:color="D9D9D9"/>
              <w:left w:val="nil"/>
              <w:bottom w:val="single" w:sz="4" w:space="0" w:color="D9D9D9"/>
              <w:right w:val="nil"/>
            </w:tcBorders>
            <w:shd w:val="clear" w:color="auto" w:fill="auto"/>
          </w:tcPr>
          <w:p w14:paraId="51D12473" w14:textId="390783E1"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A14C</w:t>
            </w:r>
          </w:p>
        </w:tc>
        <w:tc>
          <w:tcPr>
            <w:tcW w:w="6305" w:type="dxa"/>
            <w:tcBorders>
              <w:top w:val="single" w:sz="4" w:space="0" w:color="D9D9D9"/>
              <w:left w:val="nil"/>
              <w:bottom w:val="single" w:sz="4" w:space="0" w:color="D9D9D9"/>
              <w:right w:val="single" w:sz="4" w:space="0" w:color="D9D9D9"/>
            </w:tcBorders>
            <w:shd w:val="clear" w:color="auto" w:fill="auto"/>
          </w:tcPr>
          <w:p w14:paraId="5F7036BA" w14:textId="74DA1FCE" w:rsidR="00AD55EF" w:rsidRPr="00936E56" w:rsidRDefault="00AD55EF" w:rsidP="00936E56">
            <w:pPr>
              <w:autoSpaceDE w:val="0"/>
              <w:autoSpaceDN w:val="0"/>
              <w:adjustRightInd w:val="0"/>
              <w:spacing w:after="0" w:line="240" w:lineRule="auto"/>
              <w:rPr>
                <w:rFonts w:cs="Arial"/>
                <w:color w:val="000000"/>
                <w:sz w:val="14"/>
                <w:szCs w:val="14"/>
              </w:rPr>
            </w:pPr>
            <w:r w:rsidRPr="00936E56">
              <w:rPr>
                <w:rFonts w:cs="Arial"/>
                <w:sz w:val="14"/>
                <w:szCs w:val="14"/>
              </w:rPr>
              <w:t>Ventilation &gt;= 96 Hours and &lt; 336 Hours, Minor Complexity</w:t>
            </w:r>
          </w:p>
        </w:tc>
        <w:tc>
          <w:tcPr>
            <w:tcW w:w="1033" w:type="dxa"/>
            <w:tcBorders>
              <w:top w:val="single" w:sz="4" w:space="0" w:color="D9D9D9"/>
              <w:left w:val="single" w:sz="4" w:space="0" w:color="D9D9D9"/>
              <w:bottom w:val="single" w:sz="4" w:space="0" w:color="D9D9D9"/>
              <w:right w:val="nil"/>
            </w:tcBorders>
            <w:shd w:val="clear" w:color="auto" w:fill="auto"/>
          </w:tcPr>
          <w:p w14:paraId="6EF06D70" w14:textId="643E0266"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288</w:t>
            </w:r>
          </w:p>
        </w:tc>
        <w:tc>
          <w:tcPr>
            <w:tcW w:w="1128" w:type="dxa"/>
            <w:tcBorders>
              <w:top w:val="single" w:sz="4" w:space="0" w:color="D9D9D9"/>
              <w:left w:val="nil"/>
              <w:bottom w:val="single" w:sz="4" w:space="0" w:color="D9D9D9"/>
              <w:right w:val="single" w:sz="6" w:space="0" w:color="FFFFFF" w:themeColor="accent6"/>
            </w:tcBorders>
            <w:shd w:val="clear" w:color="auto" w:fill="auto"/>
          </w:tcPr>
          <w:p w14:paraId="18A342CC" w14:textId="1D4C3B78"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17.43</w:t>
            </w:r>
          </w:p>
        </w:tc>
        <w:tc>
          <w:tcPr>
            <w:tcW w:w="1173" w:type="dxa"/>
            <w:tcBorders>
              <w:top w:val="single" w:sz="4" w:space="0" w:color="D9D9D9"/>
              <w:left w:val="single" w:sz="6" w:space="0" w:color="FFFFFF" w:themeColor="accent6"/>
              <w:bottom w:val="single" w:sz="4" w:space="0" w:color="D9D9D9"/>
              <w:right w:val="single" w:sz="6" w:space="0" w:color="FFFFFF" w:themeColor="accent6"/>
            </w:tcBorders>
            <w:shd w:val="clear" w:color="auto" w:fill="F2F2F2" w:themeFill="background2" w:themeFillShade="F2"/>
          </w:tcPr>
          <w:p w14:paraId="7C0E40E7" w14:textId="6B6249A7"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9.89</w:t>
            </w:r>
          </w:p>
        </w:tc>
        <w:tc>
          <w:tcPr>
            <w:tcW w:w="1276" w:type="dxa"/>
            <w:gridSpan w:val="4"/>
            <w:tcBorders>
              <w:top w:val="single" w:sz="4" w:space="0" w:color="D9D9D9"/>
              <w:left w:val="single" w:sz="6" w:space="0" w:color="FFFFFF" w:themeColor="accent6"/>
              <w:bottom w:val="single" w:sz="4" w:space="0" w:color="D9D9D9"/>
              <w:right w:val="nil"/>
            </w:tcBorders>
            <w:shd w:val="clear" w:color="auto" w:fill="F2F2F2" w:themeFill="background2" w:themeFillShade="F2"/>
          </w:tcPr>
          <w:p w14:paraId="58215769" w14:textId="7EB3E503"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56.7%</w:t>
            </w:r>
          </w:p>
        </w:tc>
      </w:tr>
      <w:tr w:rsidR="00AD55EF" w:rsidRPr="0088109E" w14:paraId="5C88D29E" w14:textId="77777777" w:rsidTr="00C07CC0">
        <w:trPr>
          <w:gridAfter w:val="1"/>
          <w:wAfter w:w="99" w:type="dxa"/>
          <w:trHeight w:val="239"/>
        </w:trPr>
        <w:tc>
          <w:tcPr>
            <w:tcW w:w="7868" w:type="dxa"/>
            <w:gridSpan w:val="3"/>
            <w:tcBorders>
              <w:top w:val="single" w:sz="4" w:space="0" w:color="D9D9D9"/>
              <w:left w:val="nil"/>
              <w:bottom w:val="nil"/>
              <w:right w:val="single" w:sz="4" w:space="0" w:color="D9D9D9"/>
            </w:tcBorders>
            <w:shd w:val="clear" w:color="auto" w:fill="DFEBF1" w:themeFill="text2" w:themeFillTint="1A"/>
            <w:vAlign w:val="center"/>
          </w:tcPr>
          <w:p w14:paraId="6D0F2EB7" w14:textId="77777777" w:rsidR="00AD55EF" w:rsidRPr="00F67A07" w:rsidRDefault="00AD55EF" w:rsidP="00936E56">
            <w:pPr>
              <w:autoSpaceDE w:val="0"/>
              <w:autoSpaceDN w:val="0"/>
              <w:adjustRightInd w:val="0"/>
              <w:spacing w:after="0" w:line="240" w:lineRule="auto"/>
              <w:rPr>
                <w:rFonts w:cs="Arial"/>
                <w:b/>
                <w:bCs/>
                <w:color w:val="000000"/>
                <w:sz w:val="14"/>
                <w:szCs w:val="14"/>
              </w:rPr>
            </w:pPr>
            <w:r w:rsidRPr="00F67A07">
              <w:rPr>
                <w:rFonts w:cs="Arial"/>
                <w:b/>
                <w:bCs/>
                <w:color w:val="000000"/>
                <w:sz w:val="14"/>
                <w:szCs w:val="14"/>
              </w:rPr>
              <w:t>Sub-total, top 10 critical care cost weight %</w:t>
            </w:r>
          </w:p>
        </w:tc>
        <w:tc>
          <w:tcPr>
            <w:tcW w:w="1033" w:type="dxa"/>
            <w:tcBorders>
              <w:top w:val="single" w:sz="4" w:space="0" w:color="D9D9D9"/>
              <w:left w:val="single" w:sz="4" w:space="0" w:color="D9D9D9"/>
              <w:bottom w:val="nil"/>
              <w:right w:val="nil"/>
            </w:tcBorders>
            <w:shd w:val="clear" w:color="auto" w:fill="DFEBF1" w:themeFill="text2" w:themeFillTint="1A"/>
          </w:tcPr>
          <w:p w14:paraId="7A8007B5" w14:textId="5FD5240C"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797</w:t>
            </w:r>
          </w:p>
        </w:tc>
        <w:tc>
          <w:tcPr>
            <w:tcW w:w="1128" w:type="dxa"/>
            <w:tcBorders>
              <w:top w:val="single" w:sz="4" w:space="0" w:color="D9D9D9"/>
              <w:left w:val="nil"/>
              <w:bottom w:val="nil"/>
              <w:right w:val="single" w:sz="6" w:space="0" w:color="FFFFFF" w:themeColor="accent6"/>
            </w:tcBorders>
            <w:shd w:val="clear" w:color="auto" w:fill="DFEBF1" w:themeFill="text2" w:themeFillTint="1A"/>
          </w:tcPr>
          <w:p w14:paraId="1CB493E1" w14:textId="146AAC02"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23.16</w:t>
            </w:r>
          </w:p>
        </w:tc>
        <w:tc>
          <w:tcPr>
            <w:tcW w:w="1173" w:type="dxa"/>
            <w:tcBorders>
              <w:top w:val="single" w:sz="4" w:space="0" w:color="D9D9D9"/>
              <w:left w:val="single" w:sz="6" w:space="0" w:color="FFFFFF" w:themeColor="accent6"/>
              <w:right w:val="single" w:sz="6" w:space="0" w:color="FFFFFF" w:themeColor="accent6"/>
            </w:tcBorders>
            <w:shd w:val="clear" w:color="auto" w:fill="DFEBF1" w:themeFill="text2" w:themeFillTint="1A"/>
          </w:tcPr>
          <w:p w14:paraId="65A8E5D2" w14:textId="54F8DBB7"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sz w:val="14"/>
                <w:szCs w:val="14"/>
              </w:rPr>
              <w:t>13.45</w:t>
            </w:r>
          </w:p>
        </w:tc>
        <w:tc>
          <w:tcPr>
            <w:tcW w:w="1276" w:type="dxa"/>
            <w:gridSpan w:val="4"/>
            <w:tcBorders>
              <w:top w:val="single" w:sz="4" w:space="0" w:color="D9D9D9"/>
              <w:left w:val="single" w:sz="6" w:space="0" w:color="FFFFFF" w:themeColor="accent6"/>
              <w:bottom w:val="nil"/>
              <w:right w:val="nil"/>
            </w:tcBorders>
            <w:shd w:val="clear" w:color="auto" w:fill="DFEBF1" w:themeFill="text2" w:themeFillTint="1A"/>
          </w:tcPr>
          <w:p w14:paraId="735D4765" w14:textId="4C890975" w:rsidR="00AD55EF" w:rsidRPr="00936E56" w:rsidRDefault="00AD55EF" w:rsidP="00936E56">
            <w:pPr>
              <w:autoSpaceDE w:val="0"/>
              <w:autoSpaceDN w:val="0"/>
              <w:adjustRightInd w:val="0"/>
              <w:spacing w:after="0" w:line="240" w:lineRule="auto"/>
              <w:jc w:val="center"/>
              <w:rPr>
                <w:rFonts w:cs="Arial"/>
                <w:b/>
                <w:color w:val="000000"/>
                <w:sz w:val="14"/>
                <w:szCs w:val="14"/>
              </w:rPr>
            </w:pPr>
            <w:r w:rsidRPr="00936E56">
              <w:rPr>
                <w:sz w:val="14"/>
                <w:szCs w:val="14"/>
              </w:rPr>
              <w:t>58.1%</w:t>
            </w:r>
          </w:p>
        </w:tc>
      </w:tr>
      <w:tr w:rsidR="00AD55EF" w:rsidRPr="0088109E" w14:paraId="5762CAA3" w14:textId="77777777" w:rsidTr="00C07CC0">
        <w:trPr>
          <w:gridAfter w:val="1"/>
          <w:wAfter w:w="99" w:type="dxa"/>
          <w:trHeight w:val="239"/>
        </w:trPr>
        <w:tc>
          <w:tcPr>
            <w:tcW w:w="7868" w:type="dxa"/>
            <w:gridSpan w:val="3"/>
            <w:tcBorders>
              <w:top w:val="nil"/>
              <w:left w:val="nil"/>
              <w:bottom w:val="nil"/>
              <w:right w:val="single" w:sz="4" w:space="0" w:color="D9D9D9"/>
            </w:tcBorders>
            <w:shd w:val="clear" w:color="auto" w:fill="DFEBF1" w:themeFill="text2" w:themeFillTint="1A"/>
            <w:vAlign w:val="center"/>
          </w:tcPr>
          <w:p w14:paraId="0804EB04" w14:textId="464AFF7F" w:rsidR="00AD55EF" w:rsidRPr="00F67A07" w:rsidRDefault="00AD55EF" w:rsidP="00936E56">
            <w:pPr>
              <w:autoSpaceDE w:val="0"/>
              <w:autoSpaceDN w:val="0"/>
              <w:adjustRightInd w:val="0"/>
              <w:spacing w:after="0" w:line="240" w:lineRule="auto"/>
              <w:rPr>
                <w:rFonts w:cs="Arial"/>
                <w:b/>
                <w:bCs/>
                <w:color w:val="000000"/>
                <w:sz w:val="14"/>
                <w:szCs w:val="14"/>
              </w:rPr>
            </w:pPr>
            <w:r w:rsidRPr="00F67A07">
              <w:rPr>
                <w:rFonts w:cs="Arial"/>
                <w:b/>
                <w:bCs/>
                <w:color w:val="000000"/>
                <w:sz w:val="14"/>
                <w:szCs w:val="14"/>
              </w:rPr>
              <w:t xml:space="preserve">All </w:t>
            </w:r>
            <w:r>
              <w:rPr>
                <w:rFonts w:cs="Arial"/>
                <w:b/>
                <w:bCs/>
                <w:color w:val="000000"/>
                <w:sz w:val="14"/>
                <w:szCs w:val="14"/>
              </w:rPr>
              <w:t>c</w:t>
            </w:r>
            <w:r w:rsidRPr="00F67A07">
              <w:rPr>
                <w:rFonts w:cs="Arial"/>
                <w:b/>
                <w:bCs/>
                <w:color w:val="000000"/>
                <w:sz w:val="14"/>
                <w:szCs w:val="14"/>
              </w:rPr>
              <w:t xml:space="preserve">ritical </w:t>
            </w:r>
            <w:r>
              <w:rPr>
                <w:rFonts w:cs="Arial"/>
                <w:b/>
                <w:bCs/>
                <w:color w:val="000000"/>
                <w:sz w:val="14"/>
                <w:szCs w:val="14"/>
              </w:rPr>
              <w:t>c</w:t>
            </w:r>
            <w:r w:rsidRPr="00F67A07">
              <w:rPr>
                <w:rFonts w:cs="Arial"/>
                <w:b/>
                <w:bCs/>
                <w:color w:val="000000"/>
                <w:sz w:val="14"/>
                <w:szCs w:val="14"/>
              </w:rPr>
              <w:t xml:space="preserve">are </w:t>
            </w:r>
            <w:r>
              <w:rPr>
                <w:rFonts w:cs="Arial"/>
                <w:b/>
                <w:bCs/>
                <w:color w:val="000000"/>
                <w:sz w:val="14"/>
                <w:szCs w:val="14"/>
              </w:rPr>
              <w:t>AR-</w:t>
            </w:r>
            <w:r w:rsidRPr="00F67A07">
              <w:rPr>
                <w:rFonts w:cs="Arial"/>
                <w:b/>
                <w:bCs/>
                <w:color w:val="000000"/>
                <w:sz w:val="14"/>
                <w:szCs w:val="14"/>
              </w:rPr>
              <w:t>DRGs</w:t>
            </w:r>
          </w:p>
        </w:tc>
        <w:tc>
          <w:tcPr>
            <w:tcW w:w="1033" w:type="dxa"/>
            <w:tcBorders>
              <w:top w:val="nil"/>
              <w:left w:val="single" w:sz="4" w:space="0" w:color="D9D9D9"/>
              <w:bottom w:val="nil"/>
              <w:right w:val="nil"/>
            </w:tcBorders>
            <w:shd w:val="clear" w:color="auto" w:fill="DFEBF1" w:themeFill="text2" w:themeFillTint="1A"/>
          </w:tcPr>
          <w:p w14:paraId="3FB8B658" w14:textId="70ECD826"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3,416,106</w:t>
            </w:r>
          </w:p>
        </w:tc>
        <w:tc>
          <w:tcPr>
            <w:tcW w:w="1128" w:type="dxa"/>
            <w:tcBorders>
              <w:top w:val="nil"/>
              <w:left w:val="nil"/>
              <w:bottom w:val="nil"/>
              <w:right w:val="single" w:sz="6" w:space="0" w:color="FFFFFF" w:themeColor="accent6"/>
            </w:tcBorders>
            <w:shd w:val="clear" w:color="auto" w:fill="DFEBF1" w:themeFill="text2" w:themeFillTint="1A"/>
          </w:tcPr>
          <w:p w14:paraId="2C382928" w14:textId="492D18B3"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1.00</w:t>
            </w:r>
          </w:p>
        </w:tc>
        <w:tc>
          <w:tcPr>
            <w:tcW w:w="1173" w:type="dxa"/>
            <w:tcBorders>
              <w:top w:val="nil"/>
              <w:left w:val="single" w:sz="6" w:space="0" w:color="FFFFFF" w:themeColor="accent6"/>
              <w:bottom w:val="nil"/>
              <w:right w:val="single" w:sz="6" w:space="0" w:color="FFFFFF" w:themeColor="accent6"/>
            </w:tcBorders>
            <w:shd w:val="clear" w:color="auto" w:fill="DFEBF1" w:themeFill="text2" w:themeFillTint="1A"/>
          </w:tcPr>
          <w:p w14:paraId="515A5E4B" w14:textId="6220D70F" w:rsidR="00AD55EF" w:rsidRPr="00936E56" w:rsidRDefault="00AD55EF" w:rsidP="00936E56">
            <w:pPr>
              <w:autoSpaceDE w:val="0"/>
              <w:autoSpaceDN w:val="0"/>
              <w:adjustRightInd w:val="0"/>
              <w:spacing w:after="0" w:line="240" w:lineRule="auto"/>
              <w:jc w:val="center"/>
              <w:rPr>
                <w:rFonts w:cs="Arial"/>
                <w:color w:val="000000"/>
                <w:sz w:val="14"/>
                <w:szCs w:val="14"/>
              </w:rPr>
            </w:pPr>
            <w:r w:rsidRPr="00936E56">
              <w:rPr>
                <w:sz w:val="14"/>
                <w:szCs w:val="14"/>
              </w:rPr>
              <w:t>0.06</w:t>
            </w:r>
          </w:p>
        </w:tc>
        <w:tc>
          <w:tcPr>
            <w:tcW w:w="1276" w:type="dxa"/>
            <w:gridSpan w:val="4"/>
            <w:tcBorders>
              <w:top w:val="nil"/>
              <w:left w:val="single" w:sz="6" w:space="0" w:color="FFFFFF" w:themeColor="accent6"/>
              <w:bottom w:val="nil"/>
              <w:right w:val="nil"/>
            </w:tcBorders>
            <w:shd w:val="clear" w:color="auto" w:fill="DFEBF1" w:themeFill="text2" w:themeFillTint="1A"/>
          </w:tcPr>
          <w:p w14:paraId="036F141A" w14:textId="359A3B8A" w:rsidR="00AD55EF" w:rsidRPr="00936E56" w:rsidRDefault="00AD55EF" w:rsidP="00936E56">
            <w:pPr>
              <w:autoSpaceDE w:val="0"/>
              <w:autoSpaceDN w:val="0"/>
              <w:adjustRightInd w:val="0"/>
              <w:spacing w:after="0" w:line="240" w:lineRule="auto"/>
              <w:jc w:val="center"/>
              <w:rPr>
                <w:rFonts w:cs="Arial"/>
                <w:b/>
                <w:color w:val="000000"/>
                <w:sz w:val="14"/>
                <w:szCs w:val="14"/>
              </w:rPr>
            </w:pPr>
            <w:r w:rsidRPr="00936E56">
              <w:rPr>
                <w:sz w:val="14"/>
                <w:szCs w:val="14"/>
              </w:rPr>
              <w:t>5.7%</w:t>
            </w:r>
          </w:p>
        </w:tc>
      </w:tr>
      <w:tr w:rsidR="00C07CC0" w:rsidRPr="0088109E" w14:paraId="125F666A" w14:textId="77777777" w:rsidTr="00C07CC0">
        <w:trPr>
          <w:trHeight w:val="239"/>
        </w:trPr>
        <w:tc>
          <w:tcPr>
            <w:tcW w:w="7868" w:type="dxa"/>
            <w:gridSpan w:val="3"/>
            <w:tcBorders>
              <w:top w:val="nil"/>
              <w:left w:val="nil"/>
              <w:bottom w:val="single" w:sz="4" w:space="0" w:color="D9D9D9"/>
              <w:right w:val="single" w:sz="4" w:space="0" w:color="D9D9D9"/>
            </w:tcBorders>
            <w:shd w:val="clear" w:color="auto" w:fill="DFEBF1" w:themeFill="text2" w:themeFillTint="1A"/>
            <w:vAlign w:val="center"/>
          </w:tcPr>
          <w:p w14:paraId="0404BAF7" w14:textId="029CCDA0" w:rsidR="00AD55EF" w:rsidRPr="00F67A07" w:rsidRDefault="00AD55EF" w:rsidP="00936E56">
            <w:pPr>
              <w:autoSpaceDE w:val="0"/>
              <w:autoSpaceDN w:val="0"/>
              <w:adjustRightInd w:val="0"/>
              <w:spacing w:after="0" w:line="240" w:lineRule="auto"/>
              <w:rPr>
                <w:rFonts w:cs="Arial"/>
                <w:b/>
                <w:bCs/>
                <w:color w:val="000000"/>
                <w:sz w:val="14"/>
                <w:szCs w:val="14"/>
              </w:rPr>
            </w:pPr>
            <w:r w:rsidRPr="00F67A07">
              <w:rPr>
                <w:rFonts w:cs="Arial"/>
                <w:b/>
                <w:bCs/>
                <w:color w:val="000000"/>
                <w:sz w:val="14"/>
                <w:szCs w:val="14"/>
              </w:rPr>
              <w:t xml:space="preserve">Top 10 highest critical care cost weights proportion (% of all </w:t>
            </w:r>
            <w:r>
              <w:rPr>
                <w:rFonts w:cs="Arial"/>
                <w:b/>
                <w:bCs/>
                <w:color w:val="000000"/>
                <w:sz w:val="14"/>
                <w:szCs w:val="14"/>
              </w:rPr>
              <w:t>c</w:t>
            </w:r>
            <w:r w:rsidRPr="00F67A07">
              <w:rPr>
                <w:rFonts w:cs="Arial"/>
                <w:b/>
                <w:bCs/>
                <w:color w:val="000000"/>
                <w:sz w:val="14"/>
                <w:szCs w:val="14"/>
              </w:rPr>
              <w:t xml:space="preserve">ritical </w:t>
            </w:r>
            <w:r>
              <w:rPr>
                <w:rFonts w:cs="Arial"/>
                <w:b/>
                <w:bCs/>
                <w:color w:val="000000"/>
                <w:sz w:val="14"/>
                <w:szCs w:val="14"/>
              </w:rPr>
              <w:t>c</w:t>
            </w:r>
            <w:r w:rsidRPr="00F67A07">
              <w:rPr>
                <w:rFonts w:cs="Arial"/>
                <w:b/>
                <w:bCs/>
                <w:color w:val="000000"/>
                <w:sz w:val="14"/>
                <w:szCs w:val="14"/>
              </w:rPr>
              <w:t xml:space="preserve">are </w:t>
            </w:r>
            <w:r>
              <w:rPr>
                <w:rFonts w:cs="Arial"/>
                <w:b/>
                <w:bCs/>
                <w:color w:val="000000"/>
                <w:sz w:val="14"/>
                <w:szCs w:val="14"/>
              </w:rPr>
              <w:t>AR-</w:t>
            </w:r>
            <w:r w:rsidRPr="00F67A07">
              <w:rPr>
                <w:rFonts w:cs="Arial"/>
                <w:b/>
                <w:bCs/>
                <w:color w:val="000000"/>
                <w:sz w:val="14"/>
                <w:szCs w:val="14"/>
              </w:rPr>
              <w:t>DRGs)</w:t>
            </w:r>
          </w:p>
        </w:tc>
        <w:tc>
          <w:tcPr>
            <w:tcW w:w="1033" w:type="dxa"/>
            <w:tcBorders>
              <w:top w:val="nil"/>
              <w:left w:val="single" w:sz="4" w:space="0" w:color="D9D9D9"/>
              <w:bottom w:val="single" w:sz="4" w:space="0" w:color="D9D9D9"/>
              <w:right w:val="nil"/>
            </w:tcBorders>
            <w:shd w:val="clear" w:color="auto" w:fill="DFEBF1" w:themeFill="text2" w:themeFillTint="1A"/>
          </w:tcPr>
          <w:p w14:paraId="448550D9" w14:textId="677F123C" w:rsidR="00AD55EF" w:rsidRPr="00936E56" w:rsidRDefault="00AD55EF"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0.02%</w:t>
            </w:r>
          </w:p>
        </w:tc>
        <w:tc>
          <w:tcPr>
            <w:tcW w:w="1128" w:type="dxa"/>
            <w:tcBorders>
              <w:top w:val="nil"/>
              <w:left w:val="nil"/>
              <w:bottom w:val="single" w:sz="4" w:space="0" w:color="D9D9D9"/>
              <w:right w:val="single" w:sz="6" w:space="0" w:color="FFFFFF" w:themeColor="accent6"/>
            </w:tcBorders>
            <w:shd w:val="clear" w:color="auto" w:fill="DFEBF1" w:themeFill="text2" w:themeFillTint="1A"/>
          </w:tcPr>
          <w:p w14:paraId="497B7ABC" w14:textId="10EB62D7" w:rsidR="00AD55EF" w:rsidRPr="00936E56" w:rsidRDefault="00AD55EF" w:rsidP="00936E56">
            <w:pPr>
              <w:autoSpaceDE w:val="0"/>
              <w:autoSpaceDN w:val="0"/>
              <w:adjustRightInd w:val="0"/>
              <w:spacing w:after="0" w:line="240" w:lineRule="auto"/>
              <w:rPr>
                <w:rFonts w:cs="Arial"/>
                <w:b/>
                <w:bCs/>
                <w:color w:val="000000"/>
                <w:sz w:val="14"/>
                <w:szCs w:val="14"/>
              </w:rPr>
            </w:pPr>
          </w:p>
        </w:tc>
        <w:tc>
          <w:tcPr>
            <w:tcW w:w="1173" w:type="dxa"/>
            <w:tcBorders>
              <w:top w:val="nil"/>
              <w:left w:val="single" w:sz="6" w:space="0" w:color="FFFFFF" w:themeColor="accent6"/>
              <w:bottom w:val="single" w:sz="4" w:space="0" w:color="D9D9D9"/>
              <w:right w:val="single" w:sz="6" w:space="0" w:color="FFFFFF" w:themeColor="accent6"/>
            </w:tcBorders>
            <w:shd w:val="clear" w:color="auto" w:fill="DFEBF1" w:themeFill="text2" w:themeFillTint="1A"/>
          </w:tcPr>
          <w:p w14:paraId="71100651" w14:textId="51BD2B1B" w:rsidR="00AD55EF" w:rsidRPr="00936E56" w:rsidRDefault="00AD55EF" w:rsidP="00936E56">
            <w:pPr>
              <w:autoSpaceDE w:val="0"/>
              <w:autoSpaceDN w:val="0"/>
              <w:adjustRightInd w:val="0"/>
              <w:spacing w:after="0" w:line="240" w:lineRule="auto"/>
              <w:rPr>
                <w:rFonts w:cs="Arial"/>
                <w:color w:val="000000"/>
                <w:sz w:val="14"/>
                <w:szCs w:val="14"/>
              </w:rPr>
            </w:pPr>
          </w:p>
        </w:tc>
        <w:tc>
          <w:tcPr>
            <w:tcW w:w="236" w:type="dxa"/>
            <w:tcBorders>
              <w:top w:val="nil"/>
              <w:left w:val="single" w:sz="6" w:space="0" w:color="FFFFFF" w:themeColor="accent6"/>
              <w:bottom w:val="single" w:sz="4" w:space="0" w:color="D9D9D9"/>
            </w:tcBorders>
            <w:shd w:val="clear" w:color="auto" w:fill="DFEBF1" w:themeFill="text2" w:themeFillTint="1A"/>
          </w:tcPr>
          <w:p w14:paraId="0ECF359C" w14:textId="612B7F07" w:rsidR="00AD55EF" w:rsidRPr="00936E56" w:rsidRDefault="00AD55EF" w:rsidP="00936E56">
            <w:pPr>
              <w:autoSpaceDE w:val="0"/>
              <w:autoSpaceDN w:val="0"/>
              <w:adjustRightInd w:val="0"/>
              <w:spacing w:after="0" w:line="240" w:lineRule="auto"/>
              <w:rPr>
                <w:rFonts w:cs="Arial"/>
                <w:color w:val="000000"/>
                <w:sz w:val="14"/>
                <w:szCs w:val="14"/>
              </w:rPr>
            </w:pPr>
          </w:p>
        </w:tc>
        <w:tc>
          <w:tcPr>
            <w:tcW w:w="267" w:type="dxa"/>
            <w:tcBorders>
              <w:top w:val="nil"/>
              <w:bottom w:val="single" w:sz="4" w:space="0" w:color="D9D9D9"/>
              <w:right w:val="nil"/>
            </w:tcBorders>
            <w:shd w:val="clear" w:color="auto" w:fill="DFEBF1" w:themeFill="text2" w:themeFillTint="1A"/>
          </w:tcPr>
          <w:p w14:paraId="3E484F9A" w14:textId="5CB50FAD" w:rsidR="00AD55EF" w:rsidRPr="00936E56" w:rsidRDefault="00AD55EF" w:rsidP="00936E56">
            <w:pPr>
              <w:autoSpaceDE w:val="0"/>
              <w:autoSpaceDN w:val="0"/>
              <w:adjustRightInd w:val="0"/>
              <w:spacing w:after="0" w:line="240" w:lineRule="auto"/>
              <w:rPr>
                <w:rFonts w:cs="Arial"/>
                <w:color w:val="000000"/>
                <w:sz w:val="14"/>
                <w:szCs w:val="14"/>
              </w:rPr>
            </w:pPr>
          </w:p>
        </w:tc>
        <w:tc>
          <w:tcPr>
            <w:tcW w:w="631" w:type="dxa"/>
            <w:tcBorders>
              <w:top w:val="nil"/>
              <w:left w:val="nil"/>
              <w:bottom w:val="single" w:sz="4" w:space="0" w:color="D9D9D9"/>
              <w:right w:val="nil"/>
            </w:tcBorders>
            <w:shd w:val="clear" w:color="auto" w:fill="DFEBF1" w:themeFill="text2" w:themeFillTint="1A"/>
          </w:tcPr>
          <w:p w14:paraId="7722AE0B" w14:textId="29273B69" w:rsidR="00AD55EF" w:rsidRPr="00936E56" w:rsidRDefault="00AD55EF" w:rsidP="00936E56">
            <w:pPr>
              <w:autoSpaceDE w:val="0"/>
              <w:autoSpaceDN w:val="0"/>
              <w:adjustRightInd w:val="0"/>
              <w:spacing w:after="0" w:line="240" w:lineRule="auto"/>
              <w:rPr>
                <w:rFonts w:cs="Arial"/>
                <w:color w:val="000000"/>
                <w:sz w:val="14"/>
                <w:szCs w:val="14"/>
              </w:rPr>
            </w:pPr>
          </w:p>
        </w:tc>
        <w:tc>
          <w:tcPr>
            <w:tcW w:w="241" w:type="dxa"/>
            <w:gridSpan w:val="2"/>
            <w:tcBorders>
              <w:top w:val="nil"/>
              <w:left w:val="nil"/>
              <w:bottom w:val="single" w:sz="4" w:space="0" w:color="D9D9D9"/>
              <w:right w:val="nil"/>
            </w:tcBorders>
            <w:shd w:val="clear" w:color="auto" w:fill="DFEBF1" w:themeFill="text2" w:themeFillTint="1A"/>
          </w:tcPr>
          <w:p w14:paraId="087BD9CE" w14:textId="611F03A2" w:rsidR="00AD55EF" w:rsidRPr="00936E56" w:rsidRDefault="00AD55EF" w:rsidP="00936E56">
            <w:pPr>
              <w:autoSpaceDE w:val="0"/>
              <w:autoSpaceDN w:val="0"/>
              <w:adjustRightInd w:val="0"/>
              <w:spacing w:after="0" w:line="240" w:lineRule="auto"/>
              <w:rPr>
                <w:rFonts w:cs="Arial"/>
                <w:color w:val="000000"/>
                <w:sz w:val="14"/>
                <w:szCs w:val="14"/>
              </w:rPr>
            </w:pPr>
          </w:p>
        </w:tc>
      </w:tr>
    </w:tbl>
    <w:p w14:paraId="5F9C4384" w14:textId="77777777" w:rsidR="000C38AE" w:rsidRDefault="000C38AE" w:rsidP="009E3F6F">
      <w:pPr>
        <w:pStyle w:val="TableParagraph"/>
        <w:ind w:left="-709"/>
        <w:rPr>
          <w:b/>
          <w:bCs/>
        </w:rPr>
      </w:pPr>
    </w:p>
    <w:p w14:paraId="20F80AB3" w14:textId="6FD1D318" w:rsidR="0075405B" w:rsidRPr="00F67A07" w:rsidRDefault="0075405B" w:rsidP="009E3F6F">
      <w:pPr>
        <w:pStyle w:val="TableParagraph"/>
        <w:ind w:left="-709"/>
        <w:rPr>
          <w:b/>
          <w:bCs/>
        </w:rPr>
      </w:pPr>
      <w:r w:rsidRPr="00F67A07">
        <w:rPr>
          <w:b/>
          <w:bCs/>
        </w:rPr>
        <w:t>Notes</w:t>
      </w:r>
    </w:p>
    <w:p w14:paraId="500E5CB0" w14:textId="77777777" w:rsidR="0075405B" w:rsidRPr="00F67A07" w:rsidRDefault="0075405B" w:rsidP="005629F8">
      <w:pPr>
        <w:pStyle w:val="TableParagraph"/>
        <w:numPr>
          <w:ilvl w:val="0"/>
          <w:numId w:val="51"/>
        </w:numPr>
        <w:ind w:left="-426" w:firstLine="0"/>
      </w:pPr>
      <w:r w:rsidRPr="00F67A07">
        <w:t>Separations</w:t>
      </w:r>
      <w:r w:rsidRPr="00F67A07">
        <w:rPr>
          <w:spacing w:val="-4"/>
        </w:rPr>
        <w:t xml:space="preserve"> </w:t>
      </w:r>
      <w:r w:rsidRPr="00F67A07">
        <w:t>shown</w:t>
      </w:r>
      <w:r w:rsidRPr="00F67A07">
        <w:rPr>
          <w:spacing w:val="-3"/>
        </w:rPr>
        <w:t xml:space="preserve"> </w:t>
      </w:r>
      <w:r w:rsidRPr="00F67A07">
        <w:t>are</w:t>
      </w:r>
      <w:r w:rsidRPr="00F67A07">
        <w:rPr>
          <w:spacing w:val="-1"/>
        </w:rPr>
        <w:t xml:space="preserve"> </w:t>
      </w:r>
      <w:r w:rsidRPr="00F67A07">
        <w:t>strata</w:t>
      </w:r>
      <w:r w:rsidRPr="00F67A07">
        <w:rPr>
          <w:spacing w:val="1"/>
        </w:rPr>
        <w:t xml:space="preserve"> </w:t>
      </w:r>
      <w:proofErr w:type="gramStart"/>
      <w:r w:rsidRPr="00F67A07">
        <w:t>weighted</w:t>
      </w:r>
      <w:proofErr w:type="gramEnd"/>
      <w:r w:rsidRPr="00F67A07">
        <w:t xml:space="preserve"> </w:t>
      </w:r>
    </w:p>
    <w:p w14:paraId="0DDAB076" w14:textId="52B05E24" w:rsidR="0075405B" w:rsidRPr="000C38AE" w:rsidRDefault="0075405B" w:rsidP="005629F8">
      <w:pPr>
        <w:pStyle w:val="TableParagraph"/>
        <w:numPr>
          <w:ilvl w:val="0"/>
          <w:numId w:val="51"/>
        </w:numPr>
        <w:ind w:left="-426" w:firstLine="0"/>
      </w:pPr>
      <w:r w:rsidRPr="00F67A07">
        <w:t>The overall cost weight represents the cost weight across all cost buckets (total cost) of the strata weighted separations.</w:t>
      </w:r>
    </w:p>
    <w:p w14:paraId="569E32C9" w14:textId="5A98A72A" w:rsidR="000C38AE" w:rsidRPr="00F67A07" w:rsidRDefault="000C38AE" w:rsidP="005629F8">
      <w:pPr>
        <w:pStyle w:val="TableParagraph"/>
        <w:numPr>
          <w:ilvl w:val="0"/>
          <w:numId w:val="51"/>
        </w:numPr>
        <w:ind w:left="-426" w:firstLine="0"/>
      </w:pPr>
      <w:r w:rsidRPr="00F67A07">
        <w:t>For</w:t>
      </w:r>
      <w:r w:rsidRPr="00F67A07">
        <w:rPr>
          <w:spacing w:val="-3"/>
        </w:rPr>
        <w:t xml:space="preserve"> </w:t>
      </w:r>
      <w:r w:rsidRPr="00F67A07">
        <w:t>cost weight (cost</w:t>
      </w:r>
      <w:r w:rsidRPr="00F67A07">
        <w:rPr>
          <w:spacing w:val="-2"/>
        </w:rPr>
        <w:t xml:space="preserve"> </w:t>
      </w:r>
      <w:r w:rsidRPr="00F67A07">
        <w:t>bucket</w:t>
      </w:r>
      <w:r w:rsidRPr="00F67A07">
        <w:rPr>
          <w:spacing w:val="-2"/>
        </w:rPr>
        <w:t xml:space="preserve"> </w:t>
      </w:r>
      <w:r w:rsidRPr="00F67A07">
        <w:t>specific)</w:t>
      </w:r>
      <w:r w:rsidRPr="00F67A07">
        <w:rPr>
          <w:spacing w:val="-2"/>
        </w:rPr>
        <w:t xml:space="preserve"> </w:t>
      </w:r>
      <w:r w:rsidRPr="00F67A07">
        <w:t>calculations</w:t>
      </w:r>
      <w:r w:rsidRPr="00F67A07">
        <w:rPr>
          <w:spacing w:val="-2"/>
        </w:rPr>
        <w:t xml:space="preserve"> </w:t>
      </w:r>
      <w:r w:rsidRPr="00F67A07">
        <w:t>please</w:t>
      </w:r>
      <w:r w:rsidRPr="00F67A07">
        <w:rPr>
          <w:spacing w:val="-2"/>
        </w:rPr>
        <w:t xml:space="preserve"> </w:t>
      </w:r>
      <w:r w:rsidRPr="00F67A07">
        <w:t>refer</w:t>
      </w:r>
      <w:r w:rsidRPr="00F67A07">
        <w:rPr>
          <w:spacing w:val="-3"/>
        </w:rPr>
        <w:t xml:space="preserve"> </w:t>
      </w:r>
      <w:r w:rsidRPr="00F67A07">
        <w:t xml:space="preserve">to </w:t>
      </w:r>
      <w:r w:rsidRPr="00F67A07">
        <w:rPr>
          <w:szCs w:val="14"/>
        </w:rPr>
        <w:fldChar w:fldCharType="begin"/>
      </w:r>
      <w:r w:rsidRPr="00F67A07">
        <w:rPr>
          <w:szCs w:val="14"/>
        </w:rPr>
        <w:instrText xml:space="preserve"> REF _Ref103175315 \h  \* MERGEFORMAT </w:instrText>
      </w:r>
      <w:r w:rsidRPr="00F67A07">
        <w:rPr>
          <w:szCs w:val="14"/>
        </w:rPr>
      </w:r>
      <w:r w:rsidRPr="00F67A07">
        <w:rPr>
          <w:szCs w:val="14"/>
        </w:rPr>
        <w:fldChar w:fldCharType="separate"/>
      </w:r>
      <w:r w:rsidRPr="00F67A07">
        <w:rPr>
          <w:szCs w:val="14"/>
        </w:rPr>
        <w:t>Appendix</w:t>
      </w:r>
      <w:r w:rsidRPr="00F67A07">
        <w:rPr>
          <w:spacing w:val="-2"/>
          <w:szCs w:val="14"/>
        </w:rPr>
        <w:t xml:space="preserve"> </w:t>
      </w:r>
      <w:r w:rsidRPr="00F67A07">
        <w:rPr>
          <w:szCs w:val="14"/>
        </w:rPr>
        <w:t>D:</w:t>
      </w:r>
      <w:r w:rsidRPr="00F67A07">
        <w:rPr>
          <w:spacing w:val="1"/>
          <w:szCs w:val="14"/>
        </w:rPr>
        <w:t xml:space="preserve"> </w:t>
      </w:r>
      <w:r w:rsidRPr="00F67A07">
        <w:rPr>
          <w:szCs w:val="14"/>
        </w:rPr>
        <w:t>Cost</w:t>
      </w:r>
      <w:r w:rsidRPr="00F67A07">
        <w:rPr>
          <w:spacing w:val="1"/>
          <w:szCs w:val="14"/>
        </w:rPr>
        <w:t xml:space="preserve"> </w:t>
      </w:r>
      <w:r w:rsidRPr="00F67A07">
        <w:rPr>
          <w:szCs w:val="14"/>
        </w:rPr>
        <w:t>weight</w:t>
      </w:r>
      <w:r w:rsidRPr="00F67A07">
        <w:rPr>
          <w:spacing w:val="1"/>
          <w:szCs w:val="14"/>
        </w:rPr>
        <w:t xml:space="preserve"> </w:t>
      </w:r>
      <w:r w:rsidRPr="00F67A07">
        <w:rPr>
          <w:szCs w:val="14"/>
        </w:rPr>
        <w:t>tables by AR-DRG Version 1</w:t>
      </w:r>
      <w:r w:rsidR="006975CF">
        <w:rPr>
          <w:szCs w:val="14"/>
        </w:rPr>
        <w:t>1</w:t>
      </w:r>
      <w:r w:rsidRPr="00F67A07">
        <w:rPr>
          <w:szCs w:val="14"/>
        </w:rPr>
        <w:t>.0</w:t>
      </w:r>
      <w:r w:rsidRPr="00F67A07">
        <w:rPr>
          <w:szCs w:val="14"/>
        </w:rPr>
        <w:fldChar w:fldCharType="end"/>
      </w:r>
    </w:p>
    <w:p w14:paraId="4E28CCBA" w14:textId="77777777" w:rsidR="000C38AE" w:rsidRDefault="000C38AE" w:rsidP="000235D0">
      <w:pPr>
        <w:sectPr w:rsidR="000C38AE" w:rsidSect="00522146">
          <w:pgSz w:w="16838" w:h="11906" w:orient="landscape" w:code="9"/>
          <w:pgMar w:top="1077" w:right="1440" w:bottom="1077" w:left="1440" w:header="709" w:footer="709" w:gutter="0"/>
          <w:cols w:space="720"/>
          <w:docGrid w:linePitch="360"/>
        </w:sectPr>
      </w:pPr>
    </w:p>
    <w:p w14:paraId="5067F724" w14:textId="3D45EF67" w:rsidR="00167F76" w:rsidRPr="005629F8" w:rsidRDefault="00167F76" w:rsidP="00E829BF">
      <w:pPr>
        <w:pStyle w:val="Heading3"/>
      </w:pPr>
      <w:bookmarkStart w:id="151" w:name="_Toc129700688"/>
      <w:bookmarkStart w:id="152" w:name="_Toc129701381"/>
      <w:r w:rsidRPr="005629F8">
        <w:lastRenderedPageBreak/>
        <w:t xml:space="preserve">Prostheses cost </w:t>
      </w:r>
      <w:proofErr w:type="gramStart"/>
      <w:r w:rsidRPr="005629F8">
        <w:t>bucket</w:t>
      </w:r>
      <w:bookmarkEnd w:id="151"/>
      <w:bookmarkEnd w:id="152"/>
      <w:proofErr w:type="gramEnd"/>
    </w:p>
    <w:p w14:paraId="3F80F8CB" w14:textId="77777777" w:rsidR="00167F76" w:rsidRPr="005629F8" w:rsidRDefault="00167F76" w:rsidP="00167F76">
      <w:pPr>
        <w:pStyle w:val="Heading4"/>
      </w:pPr>
      <w:r w:rsidRPr="005629F8">
        <w:t>Key</w:t>
      </w:r>
      <w:r w:rsidRPr="005629F8">
        <w:rPr>
          <w:spacing w:val="-3"/>
        </w:rPr>
        <w:t xml:space="preserve"> </w:t>
      </w:r>
      <w:r w:rsidRPr="005629F8">
        <w:t>findings</w:t>
      </w:r>
    </w:p>
    <w:p w14:paraId="15831993" w14:textId="619DB31B" w:rsidR="00A26D9B" w:rsidRPr="005629F8" w:rsidRDefault="00026E0A" w:rsidP="000235D0">
      <w:pPr>
        <w:rPr>
          <w:color w:val="auto"/>
        </w:rPr>
      </w:pPr>
      <w:r w:rsidRPr="005629F8">
        <w:rPr>
          <w:color w:val="auto"/>
          <w:highlight w:val="yellow"/>
        </w:rPr>
        <w:fldChar w:fldCharType="begin"/>
      </w:r>
      <w:r w:rsidRPr="005629F8">
        <w:rPr>
          <w:color w:val="auto"/>
          <w:highlight w:val="yellow"/>
        </w:rPr>
        <w:instrText xml:space="preserve"> REF _Ref128054897 \h </w:instrText>
      </w:r>
      <w:r w:rsidR="00F2253B" w:rsidRPr="005629F8">
        <w:rPr>
          <w:color w:val="auto"/>
          <w:highlight w:val="yellow"/>
        </w:rPr>
        <w:instrText xml:space="preserve"> \* MERGEFORMAT </w:instrText>
      </w:r>
      <w:r w:rsidRPr="005629F8">
        <w:rPr>
          <w:color w:val="auto"/>
          <w:highlight w:val="yellow"/>
        </w:rPr>
      </w:r>
      <w:r w:rsidRPr="005629F8">
        <w:rPr>
          <w:color w:val="auto"/>
          <w:highlight w:val="yellow"/>
        </w:rPr>
        <w:fldChar w:fldCharType="separate"/>
      </w:r>
      <w:r w:rsidR="00F2253B" w:rsidRPr="00F2253B">
        <w:t xml:space="preserve">Table </w:t>
      </w:r>
      <w:r w:rsidR="00F2253B" w:rsidRPr="00F2253B">
        <w:rPr>
          <w:noProof/>
        </w:rPr>
        <w:t>10</w:t>
      </w:r>
      <w:r w:rsidRPr="005629F8">
        <w:rPr>
          <w:color w:val="auto"/>
          <w:highlight w:val="yellow"/>
        </w:rPr>
        <w:fldChar w:fldCharType="end"/>
      </w:r>
      <w:r w:rsidRPr="005629F8">
        <w:rPr>
          <w:color w:val="auto"/>
        </w:rPr>
        <w:t xml:space="preserve"> </w:t>
      </w:r>
      <w:r w:rsidR="000235D0" w:rsidRPr="005629F8">
        <w:rPr>
          <w:color w:val="auto"/>
        </w:rPr>
        <w:t xml:space="preserve">shows that the AR-DRG with the highest </w:t>
      </w:r>
      <w:r w:rsidR="004D6457">
        <w:rPr>
          <w:color w:val="auto"/>
        </w:rPr>
        <w:t>proportion</w:t>
      </w:r>
      <w:r w:rsidR="004D6457" w:rsidRPr="005629F8">
        <w:rPr>
          <w:color w:val="auto"/>
        </w:rPr>
        <w:t xml:space="preserve"> </w:t>
      </w:r>
      <w:r w:rsidR="000235D0" w:rsidRPr="005629F8">
        <w:rPr>
          <w:color w:val="auto"/>
        </w:rPr>
        <w:t xml:space="preserve">of their total cost belonging to the prostheses </w:t>
      </w:r>
      <w:r w:rsidR="00291ACE">
        <w:rPr>
          <w:color w:val="auto"/>
        </w:rPr>
        <w:t xml:space="preserve">cost </w:t>
      </w:r>
      <w:r w:rsidR="000235D0" w:rsidRPr="005629F8">
        <w:rPr>
          <w:color w:val="auto"/>
        </w:rPr>
        <w:t>bucket was F10B: Implantation and Replacement of AICD, Total System, Minor Complexity (84.</w:t>
      </w:r>
      <w:r w:rsidR="00A76122">
        <w:rPr>
          <w:color w:val="auto"/>
        </w:rPr>
        <w:t>2</w:t>
      </w:r>
      <w:r w:rsidR="00881AF0">
        <w:rPr>
          <w:color w:val="auto"/>
        </w:rPr>
        <w:t>%</w:t>
      </w:r>
      <w:r w:rsidR="006D2F1F" w:rsidRPr="005629F8">
        <w:rPr>
          <w:color w:val="auto"/>
        </w:rPr>
        <w:t xml:space="preserve">). The </w:t>
      </w:r>
      <w:r w:rsidR="000235D0" w:rsidRPr="005629F8">
        <w:rPr>
          <w:color w:val="auto"/>
        </w:rPr>
        <w:t xml:space="preserve">cost weight and prostheses cost allocation </w:t>
      </w:r>
      <w:r w:rsidR="006D2F1F" w:rsidRPr="005629F8">
        <w:rPr>
          <w:color w:val="auto"/>
        </w:rPr>
        <w:t xml:space="preserve">has been </w:t>
      </w:r>
      <w:r w:rsidR="004D6457">
        <w:rPr>
          <w:color w:val="auto"/>
        </w:rPr>
        <w:t xml:space="preserve">relatively </w:t>
      </w:r>
      <w:r w:rsidR="006D2F1F" w:rsidRPr="005629F8">
        <w:rPr>
          <w:color w:val="auto"/>
        </w:rPr>
        <w:t xml:space="preserve">stable for this AR-DRG </w:t>
      </w:r>
      <w:r w:rsidR="000235D0" w:rsidRPr="005629F8">
        <w:rPr>
          <w:color w:val="auto"/>
        </w:rPr>
        <w:t xml:space="preserve">over the past </w:t>
      </w:r>
      <w:r w:rsidR="00881AF0">
        <w:rPr>
          <w:color w:val="auto"/>
        </w:rPr>
        <w:t>3</w:t>
      </w:r>
      <w:r w:rsidR="000235D0" w:rsidRPr="005629F8">
        <w:rPr>
          <w:color w:val="auto"/>
        </w:rPr>
        <w:t xml:space="preserve"> years.</w:t>
      </w:r>
      <w:r w:rsidR="00EB30D1" w:rsidRPr="005629F8">
        <w:rPr>
          <w:color w:val="auto"/>
        </w:rPr>
        <w:t xml:space="preserve"> The overall cost weight </w:t>
      </w:r>
      <w:r w:rsidR="006D2F1F" w:rsidRPr="005629F8">
        <w:rPr>
          <w:color w:val="auto"/>
        </w:rPr>
        <w:t xml:space="preserve">for the AR-DRGs </w:t>
      </w:r>
      <w:r w:rsidR="004D6457">
        <w:rPr>
          <w:color w:val="auto"/>
        </w:rPr>
        <w:t>in Table 10</w:t>
      </w:r>
      <w:r w:rsidR="00BA0004">
        <w:rPr>
          <w:color w:val="auto"/>
        </w:rPr>
        <w:t xml:space="preserve"> </w:t>
      </w:r>
      <w:r w:rsidR="00EB30D1" w:rsidRPr="005629F8">
        <w:rPr>
          <w:color w:val="auto"/>
        </w:rPr>
        <w:t>(</w:t>
      </w:r>
      <w:r w:rsidR="00A76122">
        <w:rPr>
          <w:color w:val="auto"/>
        </w:rPr>
        <w:t>6.08</w:t>
      </w:r>
      <w:r w:rsidR="00EB30D1" w:rsidRPr="005629F8">
        <w:rPr>
          <w:color w:val="auto"/>
        </w:rPr>
        <w:t>) is higher than the population average</w:t>
      </w:r>
      <w:r w:rsidR="00182900">
        <w:rPr>
          <w:color w:val="auto"/>
        </w:rPr>
        <w:t>,</w:t>
      </w:r>
      <w:r w:rsidR="00EB30D1" w:rsidRPr="005629F8">
        <w:rPr>
          <w:color w:val="auto"/>
        </w:rPr>
        <w:t xml:space="preserve"> with</w:t>
      </w:r>
      <w:r w:rsidR="00A76122">
        <w:rPr>
          <w:color w:val="auto"/>
        </w:rPr>
        <w:t xml:space="preserve"> 64.6</w:t>
      </w:r>
      <w:r w:rsidR="00881AF0">
        <w:rPr>
          <w:color w:val="auto"/>
        </w:rPr>
        <w:t>%</w:t>
      </w:r>
      <w:r w:rsidR="00EB30D1" w:rsidRPr="005629F8">
        <w:rPr>
          <w:color w:val="auto"/>
        </w:rPr>
        <w:t xml:space="preserve"> (3.</w:t>
      </w:r>
      <w:r w:rsidR="00A76122">
        <w:rPr>
          <w:color w:val="auto"/>
        </w:rPr>
        <w:t>93</w:t>
      </w:r>
      <w:r w:rsidR="00EB30D1" w:rsidRPr="005629F8">
        <w:rPr>
          <w:color w:val="auto"/>
        </w:rPr>
        <w:t xml:space="preserve">) of this </w:t>
      </w:r>
      <w:r w:rsidR="006D2F1F" w:rsidRPr="005629F8">
        <w:rPr>
          <w:color w:val="auto"/>
        </w:rPr>
        <w:t>relating</w:t>
      </w:r>
      <w:r w:rsidR="00EB30D1" w:rsidRPr="005629F8">
        <w:rPr>
          <w:color w:val="auto"/>
        </w:rPr>
        <w:t xml:space="preserve"> to the prosthes</w:t>
      </w:r>
      <w:r w:rsidR="001B336C">
        <w:rPr>
          <w:color w:val="auto"/>
        </w:rPr>
        <w:t>e</w:t>
      </w:r>
      <w:r w:rsidR="00EB30D1" w:rsidRPr="005629F8">
        <w:rPr>
          <w:color w:val="auto"/>
        </w:rPr>
        <w:t>s cost bucket.</w:t>
      </w:r>
      <w:r w:rsidR="00154F08" w:rsidRPr="005629F8">
        <w:rPr>
          <w:color w:val="auto"/>
        </w:rPr>
        <w:t xml:space="preserve"> </w:t>
      </w:r>
      <w:r w:rsidR="0034265B" w:rsidRPr="005629F8">
        <w:rPr>
          <w:color w:val="auto"/>
        </w:rPr>
        <w:t xml:space="preserve">Overall, the </w:t>
      </w:r>
      <w:r w:rsidR="00A26D9B" w:rsidRPr="005629F8">
        <w:rPr>
          <w:color w:val="auto"/>
        </w:rPr>
        <w:t>proportion of cost</w:t>
      </w:r>
      <w:r w:rsidR="004D6457">
        <w:rPr>
          <w:color w:val="auto"/>
        </w:rPr>
        <w:t>s</w:t>
      </w:r>
      <w:r w:rsidR="00A26D9B" w:rsidRPr="005629F8">
        <w:rPr>
          <w:color w:val="auto"/>
        </w:rPr>
        <w:t xml:space="preserve"> allocated to the prosthes</w:t>
      </w:r>
      <w:r w:rsidR="001B336C">
        <w:rPr>
          <w:color w:val="auto"/>
        </w:rPr>
        <w:t>e</w:t>
      </w:r>
      <w:r w:rsidR="00A26D9B" w:rsidRPr="005629F8">
        <w:rPr>
          <w:color w:val="auto"/>
        </w:rPr>
        <w:t>s cost bucket</w:t>
      </w:r>
      <w:r w:rsidR="0034265B" w:rsidRPr="005629F8">
        <w:rPr>
          <w:color w:val="auto"/>
        </w:rPr>
        <w:t xml:space="preserve"> was relatively stable </w:t>
      </w:r>
      <w:r w:rsidR="00A26D9B" w:rsidRPr="005629F8">
        <w:rPr>
          <w:color w:val="auto"/>
        </w:rPr>
        <w:t xml:space="preserve">over the last </w:t>
      </w:r>
      <w:r w:rsidR="00881AF0">
        <w:rPr>
          <w:color w:val="auto"/>
        </w:rPr>
        <w:t>3</w:t>
      </w:r>
      <w:r w:rsidR="00A26D9B" w:rsidRPr="005629F8">
        <w:rPr>
          <w:color w:val="auto"/>
        </w:rPr>
        <w:t xml:space="preserve"> years</w:t>
      </w:r>
      <w:r w:rsidR="0034265B" w:rsidRPr="005629F8">
        <w:rPr>
          <w:color w:val="auto"/>
        </w:rPr>
        <w:t xml:space="preserve"> for these </w:t>
      </w:r>
      <w:r w:rsidR="00291ACE">
        <w:rPr>
          <w:color w:val="auto"/>
        </w:rPr>
        <w:br/>
      </w:r>
      <w:r w:rsidR="0034265B" w:rsidRPr="005629F8">
        <w:rPr>
          <w:color w:val="auto"/>
        </w:rPr>
        <w:t xml:space="preserve">AR-DRGs, although this varied more for </w:t>
      </w:r>
      <w:r w:rsidR="004D6457">
        <w:rPr>
          <w:color w:val="auto"/>
        </w:rPr>
        <w:t xml:space="preserve">some </w:t>
      </w:r>
      <w:r w:rsidR="0034265B" w:rsidRPr="005629F8">
        <w:rPr>
          <w:color w:val="auto"/>
        </w:rPr>
        <w:t>AR-DRGs with lower separation volumes</w:t>
      </w:r>
      <w:r w:rsidR="00A26D9B" w:rsidRPr="005629F8">
        <w:rPr>
          <w:color w:val="auto"/>
        </w:rPr>
        <w:t>.</w:t>
      </w:r>
    </w:p>
    <w:p w14:paraId="10309E40" w14:textId="37FCF5CE" w:rsidR="009E3F6F" w:rsidRPr="00C84E77" w:rsidRDefault="009E3F6F" w:rsidP="00E87B16">
      <w:pPr>
        <w:pStyle w:val="TableFigureheading"/>
      </w:pPr>
      <w:bookmarkStart w:id="153" w:name="_Ref128054897"/>
      <w:bookmarkStart w:id="154" w:name="_Toc129179304"/>
      <w:bookmarkStart w:id="155" w:name="_Toc152081878"/>
      <w:r w:rsidRPr="005629F8">
        <w:t xml:space="preserve">Table </w:t>
      </w:r>
      <w:r w:rsidRPr="005629F8">
        <w:fldChar w:fldCharType="begin"/>
      </w:r>
      <w:r w:rsidRPr="005629F8">
        <w:instrText xml:space="preserve"> SEQ Table \* ARABIC </w:instrText>
      </w:r>
      <w:r w:rsidRPr="005629F8">
        <w:fldChar w:fldCharType="separate"/>
      </w:r>
      <w:r w:rsidRPr="005629F8">
        <w:rPr>
          <w:noProof/>
        </w:rPr>
        <w:t>10</w:t>
      </w:r>
      <w:r w:rsidRPr="005629F8">
        <w:fldChar w:fldCharType="end"/>
      </w:r>
      <w:bookmarkEnd w:id="153"/>
      <w:r w:rsidRPr="005629F8">
        <w:t xml:space="preserve">. Top 10 AR-DRGs for costs allocated to the prostheses cost </w:t>
      </w:r>
      <w:proofErr w:type="gramStart"/>
      <w:r w:rsidRPr="005629F8">
        <w:t>bucket</w:t>
      </w:r>
      <w:bookmarkEnd w:id="154"/>
      <w:bookmarkEnd w:id="155"/>
      <w:proofErr w:type="gramEnd"/>
    </w:p>
    <w:tbl>
      <w:tblPr>
        <w:tblW w:w="15782" w:type="dxa"/>
        <w:tblInd w:w="-30" w:type="dxa"/>
        <w:tblLayout w:type="fixed"/>
        <w:tblLook w:val="0000" w:firstRow="0" w:lastRow="0" w:firstColumn="0" w:lastColumn="0" w:noHBand="0" w:noVBand="0"/>
      </w:tblPr>
      <w:tblGrid>
        <w:gridCol w:w="739"/>
        <w:gridCol w:w="851"/>
        <w:gridCol w:w="6495"/>
        <w:gridCol w:w="1159"/>
        <w:gridCol w:w="1418"/>
        <w:gridCol w:w="850"/>
        <w:gridCol w:w="851"/>
        <w:gridCol w:w="850"/>
        <w:gridCol w:w="851"/>
        <w:gridCol w:w="14"/>
        <w:gridCol w:w="894"/>
        <w:gridCol w:w="810"/>
      </w:tblGrid>
      <w:tr w:rsidR="00975A65" w:rsidRPr="0088109E" w14:paraId="151FE798" w14:textId="77777777" w:rsidTr="00D55390">
        <w:trPr>
          <w:trHeight w:val="199"/>
        </w:trPr>
        <w:tc>
          <w:tcPr>
            <w:tcW w:w="739" w:type="dxa"/>
            <w:vMerge w:val="restart"/>
            <w:tcBorders>
              <w:top w:val="single" w:sz="6" w:space="0" w:color="auto"/>
              <w:left w:val="nil"/>
              <w:right w:val="nil"/>
            </w:tcBorders>
            <w:shd w:val="clear" w:color="auto" w:fill="15272F" w:themeFill="text1"/>
            <w:vAlign w:val="center"/>
          </w:tcPr>
          <w:p w14:paraId="3433BD77" w14:textId="1A2A1BE4" w:rsidR="00975A65" w:rsidRPr="005629F8" w:rsidRDefault="00975A65" w:rsidP="00936E56">
            <w:pPr>
              <w:autoSpaceDE w:val="0"/>
              <w:autoSpaceDN w:val="0"/>
              <w:adjustRightInd w:val="0"/>
              <w:spacing w:after="0" w:line="240" w:lineRule="auto"/>
              <w:jc w:val="center"/>
              <w:rPr>
                <w:rFonts w:cs="Arial"/>
                <w:color w:val="FFFFFF" w:themeColor="background2"/>
                <w:sz w:val="14"/>
                <w:szCs w:val="14"/>
              </w:rPr>
            </w:pPr>
            <w:r w:rsidRPr="005629F8">
              <w:rPr>
                <w:rFonts w:cs="Arial"/>
                <w:b/>
                <w:bCs/>
                <w:color w:val="FFFFFF" w:themeColor="background2"/>
                <w:sz w:val="14"/>
                <w:szCs w:val="14"/>
              </w:rPr>
              <w:t>Rank 202</w:t>
            </w:r>
            <w:r>
              <w:rPr>
                <w:rFonts w:cs="Arial"/>
                <w:b/>
                <w:bCs/>
                <w:color w:val="FFFFFF" w:themeColor="background2"/>
                <w:sz w:val="14"/>
                <w:szCs w:val="14"/>
              </w:rPr>
              <w:t>1-</w:t>
            </w:r>
            <w:r w:rsidRPr="005629F8">
              <w:rPr>
                <w:rFonts w:cs="Arial"/>
                <w:b/>
                <w:bCs/>
                <w:color w:val="FFFFFF" w:themeColor="background2"/>
                <w:sz w:val="14"/>
                <w:szCs w:val="14"/>
              </w:rPr>
              <w:t>2</w:t>
            </w:r>
            <w:r>
              <w:rPr>
                <w:rFonts w:cs="Arial"/>
                <w:b/>
                <w:bCs/>
                <w:color w:val="FFFFFF" w:themeColor="background2"/>
                <w:sz w:val="14"/>
                <w:szCs w:val="14"/>
              </w:rPr>
              <w:t>2</w:t>
            </w:r>
          </w:p>
        </w:tc>
        <w:tc>
          <w:tcPr>
            <w:tcW w:w="851" w:type="dxa"/>
            <w:vMerge w:val="restart"/>
            <w:tcBorders>
              <w:top w:val="single" w:sz="6" w:space="0" w:color="auto"/>
              <w:left w:val="nil"/>
              <w:right w:val="nil"/>
            </w:tcBorders>
            <w:shd w:val="clear" w:color="auto" w:fill="15272F" w:themeFill="text1"/>
            <w:vAlign w:val="center"/>
          </w:tcPr>
          <w:p w14:paraId="3FF84B42" w14:textId="44DFF94C" w:rsidR="00975A65" w:rsidRPr="005629F8" w:rsidRDefault="00975A65" w:rsidP="00936E56">
            <w:pPr>
              <w:autoSpaceDE w:val="0"/>
              <w:autoSpaceDN w:val="0"/>
              <w:adjustRightInd w:val="0"/>
              <w:spacing w:after="0" w:line="240" w:lineRule="auto"/>
              <w:jc w:val="center"/>
              <w:rPr>
                <w:rFonts w:cs="Arial"/>
                <w:color w:val="FFFFFF" w:themeColor="background2"/>
                <w:sz w:val="14"/>
                <w:szCs w:val="14"/>
              </w:rPr>
            </w:pPr>
            <w:r>
              <w:rPr>
                <w:rFonts w:cs="Arial"/>
                <w:b/>
                <w:bCs/>
                <w:color w:val="FFFFFF" w:themeColor="background2"/>
                <w:sz w:val="14"/>
                <w:szCs w:val="14"/>
              </w:rPr>
              <w:t>AR-</w:t>
            </w:r>
            <w:r w:rsidRPr="005629F8">
              <w:rPr>
                <w:rFonts w:cs="Arial"/>
                <w:b/>
                <w:bCs/>
                <w:color w:val="FFFFFF" w:themeColor="background2"/>
                <w:sz w:val="14"/>
                <w:szCs w:val="14"/>
              </w:rPr>
              <w:t>DRG</w:t>
            </w:r>
          </w:p>
        </w:tc>
        <w:tc>
          <w:tcPr>
            <w:tcW w:w="6495" w:type="dxa"/>
            <w:vMerge w:val="restart"/>
            <w:tcBorders>
              <w:top w:val="single" w:sz="6" w:space="0" w:color="auto"/>
              <w:left w:val="nil"/>
              <w:right w:val="single" w:sz="4" w:space="0" w:color="D9D9D9"/>
            </w:tcBorders>
            <w:shd w:val="clear" w:color="auto" w:fill="15272F" w:themeFill="text1"/>
            <w:vAlign w:val="center"/>
          </w:tcPr>
          <w:p w14:paraId="336BF254" w14:textId="29F38A20" w:rsidR="00975A65" w:rsidRPr="005629F8" w:rsidRDefault="00975A65" w:rsidP="00936E56">
            <w:pPr>
              <w:autoSpaceDE w:val="0"/>
              <w:autoSpaceDN w:val="0"/>
              <w:adjustRightInd w:val="0"/>
              <w:spacing w:after="0" w:line="240" w:lineRule="auto"/>
              <w:jc w:val="center"/>
              <w:rPr>
                <w:rFonts w:cs="Arial"/>
                <w:color w:val="FFFFFF" w:themeColor="background2"/>
                <w:sz w:val="14"/>
                <w:szCs w:val="14"/>
              </w:rPr>
            </w:pPr>
            <w:r>
              <w:rPr>
                <w:rFonts w:cs="Arial"/>
                <w:b/>
                <w:bCs/>
                <w:color w:val="FFFFFF" w:themeColor="background2"/>
                <w:sz w:val="14"/>
                <w:szCs w:val="14"/>
              </w:rPr>
              <w:t>AR-</w:t>
            </w:r>
            <w:r w:rsidRPr="005629F8">
              <w:rPr>
                <w:rFonts w:cs="Arial"/>
                <w:b/>
                <w:bCs/>
                <w:color w:val="FFFFFF" w:themeColor="background2"/>
                <w:sz w:val="14"/>
                <w:szCs w:val="14"/>
              </w:rPr>
              <w:t>DRG Description</w:t>
            </w:r>
          </w:p>
        </w:tc>
        <w:tc>
          <w:tcPr>
            <w:tcW w:w="1159" w:type="dxa"/>
            <w:vMerge w:val="restart"/>
            <w:tcBorders>
              <w:top w:val="single" w:sz="6" w:space="0" w:color="auto"/>
              <w:left w:val="single" w:sz="4" w:space="0" w:color="D9D9D9"/>
              <w:right w:val="nil"/>
            </w:tcBorders>
            <w:shd w:val="clear" w:color="auto" w:fill="15272F" w:themeFill="text1"/>
            <w:vAlign w:val="center"/>
          </w:tcPr>
          <w:p w14:paraId="4F3C41B4" w14:textId="79ECF962" w:rsidR="00975A65" w:rsidRPr="005629F8" w:rsidRDefault="00975A65" w:rsidP="00975A65">
            <w:pPr>
              <w:autoSpaceDE w:val="0"/>
              <w:autoSpaceDN w:val="0"/>
              <w:adjustRightInd w:val="0"/>
              <w:spacing w:after="0" w:line="240" w:lineRule="auto"/>
              <w:jc w:val="center"/>
              <w:rPr>
                <w:rFonts w:cs="Arial"/>
                <w:color w:val="FFFFFF" w:themeColor="background2"/>
                <w:sz w:val="14"/>
                <w:szCs w:val="14"/>
              </w:rPr>
            </w:pPr>
            <w:r w:rsidRPr="005629F8">
              <w:rPr>
                <w:rFonts w:cs="Arial"/>
                <w:b/>
                <w:bCs/>
                <w:color w:val="FFFFFF" w:themeColor="background2"/>
                <w:sz w:val="14"/>
                <w:szCs w:val="14"/>
              </w:rPr>
              <w:t>No. of weighted seps</w:t>
            </w:r>
          </w:p>
        </w:tc>
        <w:tc>
          <w:tcPr>
            <w:tcW w:w="1418" w:type="dxa"/>
            <w:vMerge w:val="restart"/>
            <w:tcBorders>
              <w:top w:val="single" w:sz="6" w:space="0" w:color="auto"/>
              <w:left w:val="nil"/>
              <w:right w:val="single" w:sz="4" w:space="0" w:color="D9D9D9"/>
            </w:tcBorders>
            <w:shd w:val="clear" w:color="auto" w:fill="15272F" w:themeFill="text1"/>
            <w:vAlign w:val="center"/>
          </w:tcPr>
          <w:p w14:paraId="55B17147" w14:textId="132817FF" w:rsidR="00975A65" w:rsidRPr="005629F8" w:rsidRDefault="00975A65" w:rsidP="00975A65">
            <w:pPr>
              <w:autoSpaceDE w:val="0"/>
              <w:autoSpaceDN w:val="0"/>
              <w:adjustRightInd w:val="0"/>
              <w:spacing w:after="0" w:line="240" w:lineRule="auto"/>
              <w:jc w:val="center"/>
              <w:rPr>
                <w:rFonts w:cs="Arial"/>
                <w:color w:val="FFFFFF" w:themeColor="background2"/>
                <w:sz w:val="14"/>
                <w:szCs w:val="14"/>
              </w:rPr>
            </w:pPr>
            <w:r w:rsidRPr="005629F8">
              <w:rPr>
                <w:rFonts w:cs="Arial"/>
                <w:b/>
                <w:bCs/>
                <w:color w:val="FFFFFF" w:themeColor="background2"/>
                <w:sz w:val="14"/>
                <w:szCs w:val="14"/>
              </w:rPr>
              <w:t>Overall cost weight</w:t>
            </w:r>
          </w:p>
        </w:tc>
        <w:tc>
          <w:tcPr>
            <w:tcW w:w="2551" w:type="dxa"/>
            <w:gridSpan w:val="3"/>
            <w:tcBorders>
              <w:top w:val="single" w:sz="6" w:space="0" w:color="auto"/>
              <w:left w:val="single" w:sz="4" w:space="0" w:color="D9D9D9"/>
              <w:right w:val="single" w:sz="4" w:space="0" w:color="D9D9D9"/>
            </w:tcBorders>
            <w:shd w:val="clear" w:color="auto" w:fill="15272F" w:themeFill="text1"/>
            <w:vAlign w:val="center"/>
          </w:tcPr>
          <w:p w14:paraId="1353974C" w14:textId="77777777" w:rsidR="00975A65" w:rsidRPr="005629F8" w:rsidRDefault="00975A65" w:rsidP="00C82F8C">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Prostheses Cost Weight</w:t>
            </w:r>
          </w:p>
        </w:tc>
        <w:tc>
          <w:tcPr>
            <w:tcW w:w="2569" w:type="dxa"/>
            <w:gridSpan w:val="4"/>
            <w:tcBorders>
              <w:top w:val="single" w:sz="6" w:space="0" w:color="auto"/>
              <w:left w:val="single" w:sz="4" w:space="0" w:color="D9D9D9"/>
              <w:bottom w:val="nil"/>
              <w:right w:val="nil"/>
            </w:tcBorders>
            <w:shd w:val="clear" w:color="auto" w:fill="15272F" w:themeFill="text1"/>
            <w:vAlign w:val="center"/>
          </w:tcPr>
          <w:p w14:paraId="08E004AC" w14:textId="77777777" w:rsidR="00975A65" w:rsidRPr="005629F8" w:rsidRDefault="00975A65" w:rsidP="00C82F8C">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 of AR-DRG total cost</w:t>
            </w:r>
          </w:p>
        </w:tc>
      </w:tr>
      <w:tr w:rsidR="00975A65" w:rsidRPr="0088109E" w14:paraId="060DB8C3" w14:textId="77777777" w:rsidTr="00A47885">
        <w:trPr>
          <w:trHeight w:val="491"/>
        </w:trPr>
        <w:tc>
          <w:tcPr>
            <w:tcW w:w="739" w:type="dxa"/>
            <w:vMerge/>
            <w:tcBorders>
              <w:left w:val="nil"/>
              <w:bottom w:val="single" w:sz="6" w:space="0" w:color="auto"/>
              <w:right w:val="nil"/>
            </w:tcBorders>
            <w:shd w:val="clear" w:color="auto" w:fill="15272F" w:themeFill="text1"/>
            <w:vAlign w:val="center"/>
          </w:tcPr>
          <w:p w14:paraId="04047309" w14:textId="582C47D7"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p>
        </w:tc>
        <w:tc>
          <w:tcPr>
            <w:tcW w:w="851" w:type="dxa"/>
            <w:vMerge/>
            <w:tcBorders>
              <w:left w:val="nil"/>
              <w:bottom w:val="single" w:sz="6" w:space="0" w:color="auto"/>
              <w:right w:val="nil"/>
            </w:tcBorders>
            <w:shd w:val="clear" w:color="auto" w:fill="15272F" w:themeFill="text1"/>
            <w:vAlign w:val="center"/>
          </w:tcPr>
          <w:p w14:paraId="39BDD851" w14:textId="6FAADF3C"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p>
        </w:tc>
        <w:tc>
          <w:tcPr>
            <w:tcW w:w="6495" w:type="dxa"/>
            <w:vMerge/>
            <w:tcBorders>
              <w:left w:val="nil"/>
              <w:bottom w:val="single" w:sz="6" w:space="0" w:color="auto"/>
              <w:right w:val="single" w:sz="4" w:space="0" w:color="D9D9D9"/>
            </w:tcBorders>
            <w:shd w:val="clear" w:color="auto" w:fill="15272F" w:themeFill="text1"/>
            <w:vAlign w:val="center"/>
          </w:tcPr>
          <w:p w14:paraId="4320702B" w14:textId="6F56814B"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p>
        </w:tc>
        <w:tc>
          <w:tcPr>
            <w:tcW w:w="1159" w:type="dxa"/>
            <w:vMerge/>
            <w:tcBorders>
              <w:left w:val="single" w:sz="4" w:space="0" w:color="D9D9D9"/>
              <w:bottom w:val="single" w:sz="6" w:space="0" w:color="auto"/>
              <w:right w:val="nil"/>
            </w:tcBorders>
            <w:shd w:val="clear" w:color="auto" w:fill="15272F" w:themeFill="text1"/>
            <w:vAlign w:val="center"/>
          </w:tcPr>
          <w:p w14:paraId="07EBB2B4" w14:textId="77777777"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p>
        </w:tc>
        <w:tc>
          <w:tcPr>
            <w:tcW w:w="1418" w:type="dxa"/>
            <w:vMerge/>
            <w:tcBorders>
              <w:left w:val="nil"/>
              <w:bottom w:val="single" w:sz="6" w:space="0" w:color="auto"/>
              <w:right w:val="single" w:sz="4" w:space="0" w:color="D9D9D9"/>
            </w:tcBorders>
            <w:shd w:val="clear" w:color="auto" w:fill="15272F" w:themeFill="text1"/>
            <w:vAlign w:val="center"/>
          </w:tcPr>
          <w:p w14:paraId="64C9321F" w14:textId="77777777"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p>
        </w:tc>
        <w:tc>
          <w:tcPr>
            <w:tcW w:w="850" w:type="dxa"/>
            <w:tcBorders>
              <w:top w:val="nil"/>
              <w:left w:val="single" w:sz="4" w:space="0" w:color="D9D9D9"/>
              <w:bottom w:val="single" w:sz="6" w:space="0" w:color="auto"/>
              <w:right w:val="nil"/>
            </w:tcBorders>
            <w:shd w:val="clear" w:color="auto" w:fill="15272F" w:themeFill="text1"/>
            <w:vAlign w:val="center"/>
          </w:tcPr>
          <w:p w14:paraId="1594AF66" w14:textId="1D3B755B"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201</w:t>
            </w:r>
            <w:r>
              <w:rPr>
                <w:rFonts w:cs="Arial"/>
                <w:b/>
                <w:bCs/>
                <w:color w:val="FFFFFF" w:themeColor="background2"/>
                <w:sz w:val="14"/>
                <w:szCs w:val="14"/>
              </w:rPr>
              <w:t>9</w:t>
            </w:r>
            <w:r w:rsidRPr="005629F8">
              <w:rPr>
                <w:rFonts w:cs="Arial"/>
                <w:b/>
                <w:bCs/>
                <w:color w:val="FFFFFF" w:themeColor="background2"/>
                <w:sz w:val="14"/>
                <w:szCs w:val="14"/>
              </w:rPr>
              <w:t>-</w:t>
            </w:r>
            <w:r>
              <w:rPr>
                <w:rFonts w:cs="Arial"/>
                <w:b/>
                <w:bCs/>
                <w:color w:val="FFFFFF" w:themeColor="background2"/>
                <w:sz w:val="14"/>
                <w:szCs w:val="14"/>
              </w:rPr>
              <w:t>20</w:t>
            </w:r>
          </w:p>
        </w:tc>
        <w:tc>
          <w:tcPr>
            <w:tcW w:w="851" w:type="dxa"/>
            <w:tcBorders>
              <w:top w:val="nil"/>
              <w:left w:val="nil"/>
              <w:bottom w:val="single" w:sz="6" w:space="0" w:color="auto"/>
              <w:right w:val="nil"/>
            </w:tcBorders>
            <w:shd w:val="clear" w:color="auto" w:fill="15272F" w:themeFill="text1"/>
            <w:vAlign w:val="center"/>
          </w:tcPr>
          <w:p w14:paraId="04199142" w14:textId="04AE0498"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2020</w:t>
            </w:r>
            <w:r>
              <w:rPr>
                <w:rFonts w:cs="Arial"/>
                <w:b/>
                <w:bCs/>
                <w:color w:val="FFFFFF" w:themeColor="background2"/>
                <w:sz w:val="14"/>
                <w:szCs w:val="14"/>
              </w:rPr>
              <w:t>-21</w:t>
            </w:r>
          </w:p>
        </w:tc>
        <w:tc>
          <w:tcPr>
            <w:tcW w:w="850" w:type="dxa"/>
            <w:tcBorders>
              <w:top w:val="nil"/>
              <w:left w:val="nil"/>
              <w:bottom w:val="single" w:sz="6" w:space="0" w:color="auto"/>
              <w:right w:val="single" w:sz="4" w:space="0" w:color="FFFFFF" w:themeColor="accent6"/>
            </w:tcBorders>
            <w:shd w:val="clear" w:color="auto" w:fill="15272F" w:themeFill="text1"/>
            <w:vAlign w:val="center"/>
          </w:tcPr>
          <w:p w14:paraId="63E6431A" w14:textId="5E20644C"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2021</w:t>
            </w:r>
            <w:r>
              <w:rPr>
                <w:rFonts w:cs="Arial"/>
                <w:b/>
                <w:bCs/>
                <w:color w:val="FFFFFF" w:themeColor="background2"/>
                <w:sz w:val="14"/>
                <w:szCs w:val="14"/>
              </w:rPr>
              <w:t>-22</w:t>
            </w:r>
          </w:p>
        </w:tc>
        <w:tc>
          <w:tcPr>
            <w:tcW w:w="851" w:type="dxa"/>
            <w:tcBorders>
              <w:top w:val="nil"/>
              <w:left w:val="single" w:sz="4" w:space="0" w:color="FFFFFF" w:themeColor="accent6"/>
              <w:bottom w:val="single" w:sz="6" w:space="0" w:color="auto"/>
              <w:right w:val="nil"/>
            </w:tcBorders>
            <w:shd w:val="clear" w:color="auto" w:fill="15272F" w:themeFill="text1"/>
            <w:vAlign w:val="center"/>
          </w:tcPr>
          <w:p w14:paraId="13A92A25" w14:textId="7D13CE37"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201</w:t>
            </w:r>
            <w:r>
              <w:rPr>
                <w:rFonts w:cs="Arial"/>
                <w:b/>
                <w:bCs/>
                <w:color w:val="FFFFFF" w:themeColor="background2"/>
                <w:sz w:val="14"/>
                <w:szCs w:val="14"/>
              </w:rPr>
              <w:t>9</w:t>
            </w:r>
            <w:r w:rsidRPr="005629F8">
              <w:rPr>
                <w:rFonts w:cs="Arial"/>
                <w:b/>
                <w:bCs/>
                <w:color w:val="FFFFFF" w:themeColor="background2"/>
                <w:sz w:val="14"/>
                <w:szCs w:val="14"/>
              </w:rPr>
              <w:t>-</w:t>
            </w:r>
            <w:r>
              <w:rPr>
                <w:rFonts w:cs="Arial"/>
                <w:b/>
                <w:bCs/>
                <w:color w:val="FFFFFF" w:themeColor="background2"/>
                <w:sz w:val="14"/>
                <w:szCs w:val="14"/>
              </w:rPr>
              <w:t>20</w:t>
            </w:r>
          </w:p>
        </w:tc>
        <w:tc>
          <w:tcPr>
            <w:tcW w:w="908" w:type="dxa"/>
            <w:gridSpan w:val="2"/>
            <w:tcBorders>
              <w:top w:val="nil"/>
              <w:left w:val="nil"/>
              <w:bottom w:val="single" w:sz="6" w:space="0" w:color="auto"/>
              <w:right w:val="nil"/>
            </w:tcBorders>
            <w:shd w:val="clear" w:color="auto" w:fill="15272F" w:themeFill="text1"/>
            <w:vAlign w:val="center"/>
          </w:tcPr>
          <w:p w14:paraId="5BC27DEB" w14:textId="20121045"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2020</w:t>
            </w:r>
            <w:r>
              <w:rPr>
                <w:rFonts w:cs="Arial"/>
                <w:b/>
                <w:bCs/>
                <w:color w:val="FFFFFF" w:themeColor="background2"/>
                <w:sz w:val="14"/>
                <w:szCs w:val="14"/>
              </w:rPr>
              <w:t>-21</w:t>
            </w:r>
          </w:p>
        </w:tc>
        <w:tc>
          <w:tcPr>
            <w:tcW w:w="810" w:type="dxa"/>
            <w:tcBorders>
              <w:top w:val="nil"/>
              <w:left w:val="nil"/>
              <w:bottom w:val="single" w:sz="6" w:space="0" w:color="auto"/>
              <w:right w:val="nil"/>
            </w:tcBorders>
            <w:shd w:val="clear" w:color="auto" w:fill="15272F" w:themeFill="text1"/>
            <w:vAlign w:val="center"/>
          </w:tcPr>
          <w:p w14:paraId="4F658E37" w14:textId="5467BC3C" w:rsidR="00975A65" w:rsidRPr="005629F8" w:rsidRDefault="00975A65" w:rsidP="00936E56">
            <w:pPr>
              <w:autoSpaceDE w:val="0"/>
              <w:autoSpaceDN w:val="0"/>
              <w:adjustRightInd w:val="0"/>
              <w:spacing w:after="0" w:line="240" w:lineRule="auto"/>
              <w:jc w:val="center"/>
              <w:rPr>
                <w:rFonts w:cs="Arial"/>
                <w:b/>
                <w:bCs/>
                <w:color w:val="FFFFFF" w:themeColor="background2"/>
                <w:sz w:val="14"/>
                <w:szCs w:val="14"/>
              </w:rPr>
            </w:pPr>
            <w:r w:rsidRPr="005629F8">
              <w:rPr>
                <w:rFonts w:cs="Arial"/>
                <w:b/>
                <w:bCs/>
                <w:color w:val="FFFFFF" w:themeColor="background2"/>
                <w:sz w:val="14"/>
                <w:szCs w:val="14"/>
              </w:rPr>
              <w:t>2021</w:t>
            </w:r>
            <w:r>
              <w:rPr>
                <w:rFonts w:cs="Arial"/>
                <w:b/>
                <w:bCs/>
                <w:color w:val="FFFFFF" w:themeColor="background2"/>
                <w:sz w:val="14"/>
                <w:szCs w:val="14"/>
              </w:rPr>
              <w:t>-22</w:t>
            </w:r>
          </w:p>
        </w:tc>
      </w:tr>
      <w:tr w:rsidR="00936E56" w:rsidRPr="0088109E" w14:paraId="424D9513" w14:textId="77777777" w:rsidTr="00BF12A1">
        <w:trPr>
          <w:trHeight w:val="265"/>
        </w:trPr>
        <w:tc>
          <w:tcPr>
            <w:tcW w:w="739" w:type="dxa"/>
            <w:tcBorders>
              <w:top w:val="single" w:sz="6" w:space="0" w:color="auto"/>
              <w:left w:val="nil"/>
              <w:bottom w:val="single" w:sz="4" w:space="0" w:color="D9D9D9"/>
              <w:right w:val="nil"/>
            </w:tcBorders>
            <w:shd w:val="clear" w:color="auto" w:fill="auto"/>
          </w:tcPr>
          <w:p w14:paraId="5775D014" w14:textId="1F788EA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w:t>
            </w:r>
          </w:p>
        </w:tc>
        <w:tc>
          <w:tcPr>
            <w:tcW w:w="851" w:type="dxa"/>
            <w:tcBorders>
              <w:top w:val="single" w:sz="6" w:space="0" w:color="auto"/>
              <w:left w:val="nil"/>
              <w:bottom w:val="single" w:sz="4" w:space="0" w:color="D9D9D9"/>
              <w:right w:val="nil"/>
            </w:tcBorders>
            <w:shd w:val="clear" w:color="auto" w:fill="auto"/>
          </w:tcPr>
          <w:p w14:paraId="5DBC74CB" w14:textId="163FA778"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F01B</w:t>
            </w:r>
          </w:p>
        </w:tc>
        <w:tc>
          <w:tcPr>
            <w:tcW w:w="6495" w:type="dxa"/>
            <w:tcBorders>
              <w:top w:val="single" w:sz="6" w:space="0" w:color="auto"/>
              <w:left w:val="nil"/>
              <w:bottom w:val="single" w:sz="4" w:space="0" w:color="D9D9D9"/>
              <w:right w:val="single" w:sz="4" w:space="0" w:color="FFFFFF" w:themeColor="accent6"/>
            </w:tcBorders>
            <w:shd w:val="clear" w:color="auto" w:fill="auto"/>
          </w:tcPr>
          <w:p w14:paraId="21D96E4F" w14:textId="118880D2"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Implantation and Replacement of AICD, Total System, Minor Complexity</w:t>
            </w:r>
          </w:p>
        </w:tc>
        <w:tc>
          <w:tcPr>
            <w:tcW w:w="1159" w:type="dxa"/>
            <w:tcBorders>
              <w:top w:val="single" w:sz="6" w:space="0" w:color="auto"/>
              <w:left w:val="single" w:sz="4" w:space="0" w:color="FFFFFF" w:themeColor="accent6"/>
              <w:bottom w:val="single" w:sz="4" w:space="0" w:color="D9D9D9"/>
              <w:right w:val="nil"/>
            </w:tcBorders>
            <w:shd w:val="clear" w:color="auto" w:fill="auto"/>
          </w:tcPr>
          <w:p w14:paraId="2D698905" w14:textId="12195D5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2,503</w:t>
            </w:r>
          </w:p>
        </w:tc>
        <w:tc>
          <w:tcPr>
            <w:tcW w:w="1418" w:type="dxa"/>
            <w:tcBorders>
              <w:top w:val="single" w:sz="6" w:space="0" w:color="auto"/>
              <w:left w:val="nil"/>
              <w:bottom w:val="single" w:sz="4" w:space="0" w:color="D9D9D9"/>
              <w:right w:val="single" w:sz="4" w:space="0" w:color="FFFFFF" w:themeColor="accent6"/>
            </w:tcBorders>
            <w:shd w:val="clear" w:color="auto" w:fill="auto"/>
          </w:tcPr>
          <w:p w14:paraId="44BA40C2" w14:textId="07B72158"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10.74</w:t>
            </w:r>
          </w:p>
        </w:tc>
        <w:tc>
          <w:tcPr>
            <w:tcW w:w="850" w:type="dxa"/>
            <w:tcBorders>
              <w:top w:val="single" w:sz="6" w:space="0" w:color="auto"/>
              <w:left w:val="single" w:sz="4" w:space="0" w:color="FFFFFF" w:themeColor="accent6"/>
              <w:bottom w:val="single" w:sz="4" w:space="0" w:color="D9D9D9"/>
              <w:right w:val="nil"/>
            </w:tcBorders>
            <w:shd w:val="clear" w:color="auto" w:fill="F2F2F2" w:themeFill="background2" w:themeFillShade="F2"/>
          </w:tcPr>
          <w:p w14:paraId="3853384E" w14:textId="2D65BB3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9.12</w:t>
            </w:r>
          </w:p>
        </w:tc>
        <w:tc>
          <w:tcPr>
            <w:tcW w:w="851" w:type="dxa"/>
            <w:tcBorders>
              <w:top w:val="single" w:sz="6" w:space="0" w:color="auto"/>
              <w:left w:val="nil"/>
              <w:bottom w:val="single" w:sz="4" w:space="0" w:color="D9D9D9"/>
              <w:right w:val="nil"/>
            </w:tcBorders>
            <w:shd w:val="clear" w:color="auto" w:fill="F2F2F2" w:themeFill="background2" w:themeFillShade="F2"/>
          </w:tcPr>
          <w:p w14:paraId="6BA3DC67" w14:textId="308B807C"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9.57</w:t>
            </w:r>
          </w:p>
        </w:tc>
        <w:tc>
          <w:tcPr>
            <w:tcW w:w="850" w:type="dxa"/>
            <w:tcBorders>
              <w:top w:val="single" w:sz="6" w:space="0" w:color="auto"/>
              <w:left w:val="nil"/>
              <w:bottom w:val="single" w:sz="4" w:space="0" w:color="D9D9D9"/>
              <w:right w:val="single" w:sz="4" w:space="0" w:color="FFFFFF" w:themeColor="accent6"/>
            </w:tcBorders>
            <w:shd w:val="clear" w:color="auto" w:fill="F2F2F2" w:themeFill="background2" w:themeFillShade="F2"/>
          </w:tcPr>
          <w:p w14:paraId="084B53FB" w14:textId="364981F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9.04</w:t>
            </w:r>
          </w:p>
        </w:tc>
        <w:tc>
          <w:tcPr>
            <w:tcW w:w="851" w:type="dxa"/>
            <w:tcBorders>
              <w:top w:val="single" w:sz="6" w:space="0" w:color="auto"/>
              <w:left w:val="single" w:sz="4" w:space="0" w:color="FFFFFF" w:themeColor="accent6"/>
              <w:bottom w:val="single" w:sz="4" w:space="0" w:color="D9D9D9"/>
              <w:right w:val="nil"/>
            </w:tcBorders>
            <w:shd w:val="clear" w:color="auto" w:fill="F2F2F2" w:themeFill="background2" w:themeFillShade="F2"/>
          </w:tcPr>
          <w:p w14:paraId="4CE181B3" w14:textId="5BEBA96C"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83.4%</w:t>
            </w:r>
          </w:p>
        </w:tc>
        <w:tc>
          <w:tcPr>
            <w:tcW w:w="908" w:type="dxa"/>
            <w:gridSpan w:val="2"/>
            <w:tcBorders>
              <w:top w:val="single" w:sz="6" w:space="0" w:color="auto"/>
              <w:left w:val="nil"/>
              <w:bottom w:val="single" w:sz="4" w:space="0" w:color="D9D9D9"/>
              <w:right w:val="nil"/>
            </w:tcBorders>
            <w:shd w:val="clear" w:color="auto" w:fill="F2F2F2" w:themeFill="background2" w:themeFillShade="F2"/>
          </w:tcPr>
          <w:p w14:paraId="02398EBE" w14:textId="0639B87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84.8%</w:t>
            </w:r>
          </w:p>
        </w:tc>
        <w:tc>
          <w:tcPr>
            <w:tcW w:w="810" w:type="dxa"/>
            <w:tcBorders>
              <w:top w:val="single" w:sz="6" w:space="0" w:color="auto"/>
              <w:left w:val="nil"/>
              <w:bottom w:val="single" w:sz="4" w:space="0" w:color="D9D9D9"/>
              <w:right w:val="nil"/>
            </w:tcBorders>
            <w:shd w:val="clear" w:color="auto" w:fill="F2F2F2" w:themeFill="background2" w:themeFillShade="F2"/>
          </w:tcPr>
          <w:p w14:paraId="7525B2E9" w14:textId="664B58D4"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84.2%</w:t>
            </w:r>
          </w:p>
        </w:tc>
      </w:tr>
      <w:tr w:rsidR="00936E56" w:rsidRPr="0088109E" w14:paraId="6BB03264" w14:textId="77777777" w:rsidTr="00BF12A1">
        <w:trPr>
          <w:trHeight w:val="265"/>
        </w:trPr>
        <w:tc>
          <w:tcPr>
            <w:tcW w:w="739" w:type="dxa"/>
            <w:tcBorders>
              <w:top w:val="single" w:sz="4" w:space="0" w:color="D9D9D9"/>
              <w:left w:val="nil"/>
              <w:bottom w:val="single" w:sz="4" w:space="0" w:color="D9D9D9"/>
              <w:right w:val="nil"/>
            </w:tcBorders>
            <w:shd w:val="clear" w:color="auto" w:fill="auto"/>
          </w:tcPr>
          <w:p w14:paraId="355CD132" w14:textId="33FF955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w:t>
            </w:r>
          </w:p>
        </w:tc>
        <w:tc>
          <w:tcPr>
            <w:tcW w:w="851" w:type="dxa"/>
            <w:tcBorders>
              <w:top w:val="single" w:sz="4" w:space="0" w:color="D9D9D9"/>
              <w:left w:val="nil"/>
              <w:bottom w:val="single" w:sz="4" w:space="0" w:color="D9D9D9"/>
              <w:right w:val="nil"/>
            </w:tcBorders>
            <w:shd w:val="clear" w:color="auto" w:fill="auto"/>
          </w:tcPr>
          <w:p w14:paraId="44D23618" w14:textId="7005D84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D01Z</w:t>
            </w:r>
          </w:p>
        </w:tc>
        <w:tc>
          <w:tcPr>
            <w:tcW w:w="6495" w:type="dxa"/>
            <w:tcBorders>
              <w:top w:val="single" w:sz="4" w:space="0" w:color="D9D9D9"/>
              <w:left w:val="nil"/>
              <w:bottom w:val="single" w:sz="4" w:space="0" w:color="D9D9D9"/>
              <w:right w:val="single" w:sz="4" w:space="0" w:color="FFFFFF" w:themeColor="accent6"/>
            </w:tcBorders>
            <w:shd w:val="clear" w:color="auto" w:fill="auto"/>
          </w:tcPr>
          <w:p w14:paraId="4F7202C5" w14:textId="5667DD5D"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Cochlear Implant</w:t>
            </w:r>
          </w:p>
        </w:tc>
        <w:tc>
          <w:tcPr>
            <w:tcW w:w="1159" w:type="dxa"/>
            <w:tcBorders>
              <w:top w:val="single" w:sz="4" w:space="0" w:color="D9D9D9"/>
              <w:left w:val="single" w:sz="4" w:space="0" w:color="FFFFFF" w:themeColor="accent6"/>
              <w:bottom w:val="single" w:sz="4" w:space="0" w:color="D9D9D9"/>
              <w:right w:val="nil"/>
            </w:tcBorders>
            <w:shd w:val="clear" w:color="auto" w:fill="auto"/>
          </w:tcPr>
          <w:p w14:paraId="63E1276A" w14:textId="590ED76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858</w:t>
            </w:r>
          </w:p>
        </w:tc>
        <w:tc>
          <w:tcPr>
            <w:tcW w:w="1418" w:type="dxa"/>
            <w:tcBorders>
              <w:top w:val="single" w:sz="4" w:space="0" w:color="D9D9D9"/>
              <w:left w:val="nil"/>
              <w:bottom w:val="single" w:sz="4" w:space="0" w:color="D9D9D9"/>
              <w:right w:val="single" w:sz="4" w:space="0" w:color="FFFFFF" w:themeColor="accent6"/>
            </w:tcBorders>
            <w:shd w:val="clear" w:color="auto" w:fill="auto"/>
          </w:tcPr>
          <w:p w14:paraId="4FB20445" w14:textId="75DC385F"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7.26</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7B5AA115" w14:textId="668E1E4B"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6.18</w:t>
            </w:r>
          </w:p>
        </w:tc>
        <w:tc>
          <w:tcPr>
            <w:tcW w:w="851" w:type="dxa"/>
            <w:tcBorders>
              <w:top w:val="single" w:sz="4" w:space="0" w:color="D9D9D9"/>
              <w:left w:val="nil"/>
              <w:bottom w:val="single" w:sz="4" w:space="0" w:color="D9D9D9"/>
              <w:right w:val="nil"/>
            </w:tcBorders>
            <w:shd w:val="clear" w:color="auto" w:fill="F2F2F2" w:themeFill="background2" w:themeFillShade="F2"/>
          </w:tcPr>
          <w:p w14:paraId="5EE2908C" w14:textId="5A15A53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6.37</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34D036AF" w14:textId="0B33AF22"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5.77</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32CE99A9" w14:textId="1C839A8C"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79.8%</w:t>
            </w:r>
          </w:p>
        </w:tc>
        <w:tc>
          <w:tcPr>
            <w:tcW w:w="908" w:type="dxa"/>
            <w:gridSpan w:val="2"/>
            <w:tcBorders>
              <w:top w:val="single" w:sz="4" w:space="0" w:color="D9D9D9"/>
              <w:left w:val="nil"/>
              <w:bottom w:val="single" w:sz="4" w:space="0" w:color="D9D9D9"/>
              <w:right w:val="nil"/>
            </w:tcBorders>
            <w:shd w:val="clear" w:color="auto" w:fill="F2F2F2" w:themeFill="background2" w:themeFillShade="F2"/>
          </w:tcPr>
          <w:p w14:paraId="3AE9CA2D" w14:textId="6BCD6B4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80.8%</w:t>
            </w:r>
          </w:p>
        </w:tc>
        <w:tc>
          <w:tcPr>
            <w:tcW w:w="810" w:type="dxa"/>
            <w:tcBorders>
              <w:top w:val="single" w:sz="4" w:space="0" w:color="D9D9D9"/>
              <w:left w:val="nil"/>
              <w:bottom w:val="single" w:sz="4" w:space="0" w:color="D9D9D9"/>
              <w:right w:val="nil"/>
            </w:tcBorders>
            <w:shd w:val="clear" w:color="auto" w:fill="F2F2F2" w:themeFill="background2" w:themeFillShade="F2"/>
          </w:tcPr>
          <w:p w14:paraId="35FDFBC3" w14:textId="074E6EA6"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79.5%</w:t>
            </w:r>
          </w:p>
        </w:tc>
      </w:tr>
      <w:tr w:rsidR="00936E56" w:rsidRPr="0088109E" w14:paraId="4D49EA8E" w14:textId="77777777" w:rsidTr="00BF12A1">
        <w:trPr>
          <w:trHeight w:val="265"/>
        </w:trPr>
        <w:tc>
          <w:tcPr>
            <w:tcW w:w="739" w:type="dxa"/>
            <w:tcBorders>
              <w:top w:val="single" w:sz="4" w:space="0" w:color="D9D9D9"/>
              <w:left w:val="nil"/>
              <w:bottom w:val="single" w:sz="4" w:space="0" w:color="D9D9D9"/>
              <w:right w:val="nil"/>
            </w:tcBorders>
            <w:shd w:val="clear" w:color="auto" w:fill="auto"/>
          </w:tcPr>
          <w:p w14:paraId="618A1C43" w14:textId="42E61E63"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w:t>
            </w:r>
          </w:p>
        </w:tc>
        <w:tc>
          <w:tcPr>
            <w:tcW w:w="851" w:type="dxa"/>
            <w:tcBorders>
              <w:top w:val="single" w:sz="4" w:space="0" w:color="D9D9D9"/>
              <w:left w:val="nil"/>
              <w:bottom w:val="single" w:sz="4" w:space="0" w:color="D9D9D9"/>
              <w:right w:val="nil"/>
            </w:tcBorders>
            <w:shd w:val="clear" w:color="auto" w:fill="auto"/>
          </w:tcPr>
          <w:p w14:paraId="0A6B32F3" w14:textId="5C8C371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F17B</w:t>
            </w:r>
          </w:p>
        </w:tc>
        <w:tc>
          <w:tcPr>
            <w:tcW w:w="6495" w:type="dxa"/>
            <w:tcBorders>
              <w:top w:val="single" w:sz="4" w:space="0" w:color="D9D9D9"/>
              <w:left w:val="nil"/>
              <w:bottom w:val="single" w:sz="4" w:space="0" w:color="D9D9D9"/>
              <w:right w:val="single" w:sz="4" w:space="0" w:color="FFFFFF" w:themeColor="accent6"/>
            </w:tcBorders>
            <w:shd w:val="clear" w:color="auto" w:fill="auto"/>
          </w:tcPr>
          <w:p w14:paraId="4D8E4A60" w14:textId="73F99FE7"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Insertion and Replacement of Pacemaker Generator, Minor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tcPr>
          <w:p w14:paraId="66C82442" w14:textId="04C8AFBE"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3,578</w:t>
            </w:r>
          </w:p>
        </w:tc>
        <w:tc>
          <w:tcPr>
            <w:tcW w:w="1418" w:type="dxa"/>
            <w:tcBorders>
              <w:top w:val="single" w:sz="4" w:space="0" w:color="D9D9D9"/>
              <w:left w:val="nil"/>
              <w:bottom w:val="single" w:sz="4" w:space="0" w:color="D9D9D9"/>
              <w:right w:val="single" w:sz="4" w:space="0" w:color="FFFFFF" w:themeColor="accent6"/>
            </w:tcBorders>
            <w:shd w:val="clear" w:color="auto" w:fill="auto"/>
          </w:tcPr>
          <w:p w14:paraId="2723DA96" w14:textId="11DCFD9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3.15</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25856178" w14:textId="4A5071D2"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2.39</w:t>
            </w:r>
          </w:p>
        </w:tc>
        <w:tc>
          <w:tcPr>
            <w:tcW w:w="851" w:type="dxa"/>
            <w:tcBorders>
              <w:top w:val="single" w:sz="4" w:space="0" w:color="D9D9D9"/>
              <w:left w:val="nil"/>
              <w:bottom w:val="single" w:sz="4" w:space="0" w:color="D9D9D9"/>
              <w:right w:val="nil"/>
            </w:tcBorders>
            <w:shd w:val="clear" w:color="auto" w:fill="F2F2F2" w:themeFill="background2" w:themeFillShade="F2"/>
          </w:tcPr>
          <w:p w14:paraId="08F8FC2F" w14:textId="181E7B7C"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2.52</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52EF4468" w14:textId="518C6E99"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2.40</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40201F80" w14:textId="0F7D2E9F"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74.0%</w:t>
            </w:r>
          </w:p>
        </w:tc>
        <w:tc>
          <w:tcPr>
            <w:tcW w:w="908" w:type="dxa"/>
            <w:gridSpan w:val="2"/>
            <w:tcBorders>
              <w:top w:val="single" w:sz="4" w:space="0" w:color="D9D9D9"/>
              <w:left w:val="nil"/>
              <w:bottom w:val="single" w:sz="4" w:space="0" w:color="D9D9D9"/>
              <w:right w:val="nil"/>
            </w:tcBorders>
            <w:shd w:val="clear" w:color="auto" w:fill="F2F2F2" w:themeFill="background2" w:themeFillShade="F2"/>
          </w:tcPr>
          <w:p w14:paraId="2B65438C" w14:textId="4B7E697E"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76.9%</w:t>
            </w:r>
          </w:p>
        </w:tc>
        <w:tc>
          <w:tcPr>
            <w:tcW w:w="810" w:type="dxa"/>
            <w:tcBorders>
              <w:top w:val="single" w:sz="4" w:space="0" w:color="D9D9D9"/>
              <w:left w:val="nil"/>
              <w:bottom w:val="single" w:sz="4" w:space="0" w:color="D9D9D9"/>
              <w:right w:val="nil"/>
            </w:tcBorders>
            <w:shd w:val="clear" w:color="auto" w:fill="F2F2F2" w:themeFill="background2" w:themeFillShade="F2"/>
          </w:tcPr>
          <w:p w14:paraId="66DD27BA" w14:textId="1DB6C740"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76.0%</w:t>
            </w:r>
          </w:p>
        </w:tc>
      </w:tr>
      <w:tr w:rsidR="00936E56" w:rsidRPr="0088109E" w14:paraId="5438B28A" w14:textId="77777777" w:rsidTr="00BF12A1">
        <w:trPr>
          <w:trHeight w:val="265"/>
        </w:trPr>
        <w:tc>
          <w:tcPr>
            <w:tcW w:w="739" w:type="dxa"/>
            <w:tcBorders>
              <w:top w:val="single" w:sz="4" w:space="0" w:color="D9D9D9"/>
              <w:left w:val="nil"/>
              <w:bottom w:val="single" w:sz="4" w:space="0" w:color="D9D9D9"/>
              <w:right w:val="nil"/>
            </w:tcBorders>
            <w:shd w:val="clear" w:color="auto" w:fill="auto"/>
          </w:tcPr>
          <w:p w14:paraId="27B81737" w14:textId="0276920B"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4</w:t>
            </w:r>
          </w:p>
        </w:tc>
        <w:tc>
          <w:tcPr>
            <w:tcW w:w="851" w:type="dxa"/>
            <w:tcBorders>
              <w:top w:val="single" w:sz="4" w:space="0" w:color="D9D9D9"/>
              <w:left w:val="nil"/>
              <w:bottom w:val="single" w:sz="4" w:space="0" w:color="D9D9D9"/>
              <w:right w:val="nil"/>
            </w:tcBorders>
            <w:shd w:val="clear" w:color="auto" w:fill="auto"/>
          </w:tcPr>
          <w:p w14:paraId="5C5F5359" w14:textId="78CF7AB9"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F01A</w:t>
            </w:r>
          </w:p>
        </w:tc>
        <w:tc>
          <w:tcPr>
            <w:tcW w:w="6495" w:type="dxa"/>
            <w:tcBorders>
              <w:top w:val="single" w:sz="4" w:space="0" w:color="D9D9D9"/>
              <w:left w:val="nil"/>
              <w:bottom w:val="single" w:sz="4" w:space="0" w:color="D9D9D9"/>
              <w:right w:val="single" w:sz="4" w:space="0" w:color="FFFFFF" w:themeColor="accent6"/>
            </w:tcBorders>
            <w:shd w:val="clear" w:color="auto" w:fill="auto"/>
          </w:tcPr>
          <w:p w14:paraId="500D6A47" w14:textId="0EBEB647"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Implantation and Replacement of AICD, Total System, Major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tcPr>
          <w:p w14:paraId="2DB303AE" w14:textId="16B8A5A9"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333</w:t>
            </w:r>
          </w:p>
        </w:tc>
        <w:tc>
          <w:tcPr>
            <w:tcW w:w="1418" w:type="dxa"/>
            <w:tcBorders>
              <w:top w:val="single" w:sz="4" w:space="0" w:color="D9D9D9"/>
              <w:left w:val="nil"/>
              <w:bottom w:val="single" w:sz="4" w:space="0" w:color="D9D9D9"/>
              <w:right w:val="single" w:sz="4" w:space="0" w:color="FFFFFF" w:themeColor="accent6"/>
            </w:tcBorders>
            <w:shd w:val="clear" w:color="auto" w:fill="auto"/>
          </w:tcPr>
          <w:p w14:paraId="47A0F48A" w14:textId="60C6D68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14.63</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04D2332B" w14:textId="45E71CC8"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9.32</w:t>
            </w:r>
          </w:p>
        </w:tc>
        <w:tc>
          <w:tcPr>
            <w:tcW w:w="851" w:type="dxa"/>
            <w:tcBorders>
              <w:top w:val="single" w:sz="4" w:space="0" w:color="D9D9D9"/>
              <w:left w:val="nil"/>
              <w:bottom w:val="single" w:sz="4" w:space="0" w:color="D9D9D9"/>
              <w:right w:val="nil"/>
            </w:tcBorders>
            <w:shd w:val="clear" w:color="auto" w:fill="F2F2F2" w:themeFill="background2" w:themeFillShade="F2"/>
          </w:tcPr>
          <w:p w14:paraId="0F01B4B8" w14:textId="39DE8C9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10.40</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4F7E9DE1" w14:textId="0C926803"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9.74</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477BB2EE" w14:textId="6EADF4D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65.4%</w:t>
            </w:r>
          </w:p>
        </w:tc>
        <w:tc>
          <w:tcPr>
            <w:tcW w:w="908" w:type="dxa"/>
            <w:gridSpan w:val="2"/>
            <w:tcBorders>
              <w:top w:val="single" w:sz="4" w:space="0" w:color="D9D9D9"/>
              <w:left w:val="nil"/>
              <w:bottom w:val="single" w:sz="4" w:space="0" w:color="D9D9D9"/>
              <w:right w:val="nil"/>
            </w:tcBorders>
            <w:shd w:val="clear" w:color="auto" w:fill="F2F2F2" w:themeFill="background2" w:themeFillShade="F2"/>
          </w:tcPr>
          <w:p w14:paraId="6F8C2767" w14:textId="0CD15F9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67.2%</w:t>
            </w:r>
          </w:p>
        </w:tc>
        <w:tc>
          <w:tcPr>
            <w:tcW w:w="810" w:type="dxa"/>
            <w:tcBorders>
              <w:top w:val="single" w:sz="4" w:space="0" w:color="D9D9D9"/>
              <w:left w:val="nil"/>
              <w:bottom w:val="single" w:sz="4" w:space="0" w:color="D9D9D9"/>
              <w:right w:val="nil"/>
            </w:tcBorders>
            <w:shd w:val="clear" w:color="auto" w:fill="F2F2F2" w:themeFill="background2" w:themeFillShade="F2"/>
          </w:tcPr>
          <w:p w14:paraId="6ED09D8A" w14:textId="3AA2C167"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66.6%</w:t>
            </w:r>
          </w:p>
        </w:tc>
      </w:tr>
      <w:tr w:rsidR="00936E56" w:rsidRPr="0088109E" w14:paraId="3B6BA5FD" w14:textId="77777777" w:rsidTr="00BF12A1">
        <w:trPr>
          <w:trHeight w:val="265"/>
        </w:trPr>
        <w:tc>
          <w:tcPr>
            <w:tcW w:w="739" w:type="dxa"/>
            <w:tcBorders>
              <w:top w:val="single" w:sz="4" w:space="0" w:color="D9D9D9"/>
              <w:left w:val="nil"/>
              <w:bottom w:val="single" w:sz="4" w:space="0" w:color="D9D9D9"/>
              <w:right w:val="nil"/>
            </w:tcBorders>
            <w:shd w:val="clear" w:color="auto" w:fill="auto"/>
          </w:tcPr>
          <w:p w14:paraId="1E263845" w14:textId="59BE9509"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w:t>
            </w:r>
          </w:p>
        </w:tc>
        <w:tc>
          <w:tcPr>
            <w:tcW w:w="851" w:type="dxa"/>
            <w:tcBorders>
              <w:top w:val="single" w:sz="4" w:space="0" w:color="D9D9D9"/>
              <w:left w:val="nil"/>
              <w:bottom w:val="single" w:sz="4" w:space="0" w:color="D9D9D9"/>
              <w:right w:val="nil"/>
            </w:tcBorders>
            <w:shd w:val="clear" w:color="auto" w:fill="auto"/>
          </w:tcPr>
          <w:p w14:paraId="3B496444" w14:textId="5F9231C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F25B</w:t>
            </w:r>
          </w:p>
        </w:tc>
        <w:tc>
          <w:tcPr>
            <w:tcW w:w="6495" w:type="dxa"/>
            <w:tcBorders>
              <w:top w:val="single" w:sz="4" w:space="0" w:color="D9D9D9"/>
              <w:left w:val="nil"/>
              <w:bottom w:val="single" w:sz="4" w:space="0" w:color="D9D9D9"/>
              <w:right w:val="single" w:sz="4" w:space="0" w:color="FFFFFF" w:themeColor="accent6"/>
            </w:tcBorders>
            <w:shd w:val="clear" w:color="auto" w:fill="auto"/>
          </w:tcPr>
          <w:p w14:paraId="09985D32" w14:textId="7A0F8067"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 xml:space="preserve">Percutaneous Heart Valve Replacement with </w:t>
            </w:r>
            <w:proofErr w:type="spellStart"/>
            <w:r w:rsidRPr="00936E56">
              <w:rPr>
                <w:rFonts w:cs="Arial"/>
                <w:sz w:val="14"/>
                <w:szCs w:val="14"/>
              </w:rPr>
              <w:t>Bioprosthesis</w:t>
            </w:r>
            <w:proofErr w:type="spellEnd"/>
            <w:r w:rsidRPr="00936E56">
              <w:rPr>
                <w:rFonts w:cs="Arial"/>
                <w:sz w:val="14"/>
                <w:szCs w:val="14"/>
              </w:rPr>
              <w:t>, Minor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tcPr>
          <w:p w14:paraId="353C0E7F" w14:textId="72489368"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2,180</w:t>
            </w:r>
          </w:p>
        </w:tc>
        <w:tc>
          <w:tcPr>
            <w:tcW w:w="1418" w:type="dxa"/>
            <w:tcBorders>
              <w:top w:val="single" w:sz="4" w:space="0" w:color="D9D9D9"/>
              <w:left w:val="nil"/>
              <w:bottom w:val="single" w:sz="4" w:space="0" w:color="D9D9D9"/>
              <w:right w:val="single" w:sz="4" w:space="0" w:color="FFFFFF" w:themeColor="accent6"/>
            </w:tcBorders>
            <w:shd w:val="clear" w:color="auto" w:fill="auto"/>
          </w:tcPr>
          <w:p w14:paraId="5C04F4FA" w14:textId="2C696192"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8.64</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453708AA" w14:textId="2954DDD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n/a</w:t>
            </w:r>
          </w:p>
        </w:tc>
        <w:tc>
          <w:tcPr>
            <w:tcW w:w="851" w:type="dxa"/>
            <w:tcBorders>
              <w:top w:val="single" w:sz="4" w:space="0" w:color="D9D9D9"/>
              <w:left w:val="nil"/>
              <w:bottom w:val="single" w:sz="4" w:space="0" w:color="D9D9D9"/>
              <w:right w:val="nil"/>
            </w:tcBorders>
            <w:shd w:val="clear" w:color="auto" w:fill="F2F2F2" w:themeFill="background2" w:themeFillShade="F2"/>
          </w:tcPr>
          <w:p w14:paraId="6B544689" w14:textId="0390D55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n/a</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1B22DB60" w14:textId="6A280088"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5.61</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2346B10B" w14:textId="4A3264F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n/a</w:t>
            </w:r>
          </w:p>
        </w:tc>
        <w:tc>
          <w:tcPr>
            <w:tcW w:w="908" w:type="dxa"/>
            <w:gridSpan w:val="2"/>
            <w:tcBorders>
              <w:top w:val="single" w:sz="4" w:space="0" w:color="D9D9D9"/>
              <w:left w:val="nil"/>
              <w:bottom w:val="single" w:sz="4" w:space="0" w:color="D9D9D9"/>
              <w:right w:val="nil"/>
            </w:tcBorders>
            <w:shd w:val="clear" w:color="auto" w:fill="F2F2F2" w:themeFill="background2" w:themeFillShade="F2"/>
          </w:tcPr>
          <w:p w14:paraId="6A02AB31" w14:textId="5189B1C9"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n/a</w:t>
            </w:r>
          </w:p>
        </w:tc>
        <w:tc>
          <w:tcPr>
            <w:tcW w:w="810" w:type="dxa"/>
            <w:tcBorders>
              <w:top w:val="single" w:sz="4" w:space="0" w:color="D9D9D9"/>
              <w:left w:val="nil"/>
              <w:bottom w:val="single" w:sz="4" w:space="0" w:color="D9D9D9"/>
              <w:right w:val="nil"/>
            </w:tcBorders>
            <w:shd w:val="clear" w:color="auto" w:fill="F2F2F2" w:themeFill="background2" w:themeFillShade="F2"/>
          </w:tcPr>
          <w:p w14:paraId="036E597C" w14:textId="162C3D0E"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64.9%</w:t>
            </w:r>
          </w:p>
        </w:tc>
      </w:tr>
      <w:tr w:rsidR="00936E56" w:rsidRPr="0088109E" w14:paraId="7FD18BAC" w14:textId="77777777" w:rsidTr="00BF12A1">
        <w:trPr>
          <w:trHeight w:val="265"/>
        </w:trPr>
        <w:tc>
          <w:tcPr>
            <w:tcW w:w="739" w:type="dxa"/>
            <w:tcBorders>
              <w:top w:val="single" w:sz="4" w:space="0" w:color="D9D9D9"/>
              <w:left w:val="nil"/>
              <w:bottom w:val="single" w:sz="4" w:space="0" w:color="D9D9D9"/>
              <w:right w:val="nil"/>
            </w:tcBorders>
            <w:shd w:val="clear" w:color="auto" w:fill="auto"/>
          </w:tcPr>
          <w:p w14:paraId="2BCBC0BD" w14:textId="36BA850C"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w:t>
            </w:r>
          </w:p>
        </w:tc>
        <w:tc>
          <w:tcPr>
            <w:tcW w:w="851" w:type="dxa"/>
            <w:tcBorders>
              <w:top w:val="single" w:sz="4" w:space="0" w:color="D9D9D9"/>
              <w:left w:val="nil"/>
              <w:bottom w:val="single" w:sz="4" w:space="0" w:color="D9D9D9"/>
              <w:right w:val="nil"/>
            </w:tcBorders>
            <w:shd w:val="clear" w:color="auto" w:fill="auto"/>
          </w:tcPr>
          <w:p w14:paraId="42ADE6BB" w14:textId="00193A7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F12B</w:t>
            </w:r>
          </w:p>
        </w:tc>
        <w:tc>
          <w:tcPr>
            <w:tcW w:w="6495" w:type="dxa"/>
            <w:tcBorders>
              <w:top w:val="single" w:sz="4" w:space="0" w:color="D9D9D9"/>
              <w:left w:val="nil"/>
              <w:bottom w:val="single" w:sz="4" w:space="0" w:color="D9D9D9"/>
              <w:right w:val="single" w:sz="4" w:space="0" w:color="FFFFFF" w:themeColor="accent6"/>
            </w:tcBorders>
            <w:shd w:val="clear" w:color="auto" w:fill="auto"/>
          </w:tcPr>
          <w:p w14:paraId="24796622" w14:textId="6D08F6EA"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Implantation and Replacement of Pacemaker, Total System, Minor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tcPr>
          <w:p w14:paraId="604FE3CB" w14:textId="5D880CA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7,889</w:t>
            </w:r>
          </w:p>
        </w:tc>
        <w:tc>
          <w:tcPr>
            <w:tcW w:w="1418" w:type="dxa"/>
            <w:tcBorders>
              <w:top w:val="single" w:sz="4" w:space="0" w:color="D9D9D9"/>
              <w:left w:val="nil"/>
              <w:bottom w:val="single" w:sz="4" w:space="0" w:color="D9D9D9"/>
              <w:right w:val="single" w:sz="4" w:space="0" w:color="FFFFFF" w:themeColor="accent6"/>
            </w:tcBorders>
            <w:shd w:val="clear" w:color="auto" w:fill="auto"/>
          </w:tcPr>
          <w:p w14:paraId="73E2BA7C" w14:textId="10B88FCF"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4.02</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5C191BC9" w14:textId="0A35C4A3"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2.53</w:t>
            </w:r>
          </w:p>
        </w:tc>
        <w:tc>
          <w:tcPr>
            <w:tcW w:w="851" w:type="dxa"/>
            <w:tcBorders>
              <w:top w:val="single" w:sz="4" w:space="0" w:color="D9D9D9"/>
              <w:left w:val="nil"/>
              <w:bottom w:val="single" w:sz="4" w:space="0" w:color="D9D9D9"/>
              <w:right w:val="nil"/>
            </w:tcBorders>
            <w:shd w:val="clear" w:color="auto" w:fill="F2F2F2" w:themeFill="background2" w:themeFillShade="F2"/>
          </w:tcPr>
          <w:p w14:paraId="4A4BC7DC" w14:textId="6BB682D3"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2.64</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583F1498" w14:textId="6648904F"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2.54</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0705E49D" w14:textId="715F7ED3"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63.0%</w:t>
            </w:r>
          </w:p>
        </w:tc>
        <w:tc>
          <w:tcPr>
            <w:tcW w:w="908" w:type="dxa"/>
            <w:gridSpan w:val="2"/>
            <w:tcBorders>
              <w:top w:val="single" w:sz="4" w:space="0" w:color="D9D9D9"/>
              <w:left w:val="nil"/>
              <w:bottom w:val="single" w:sz="4" w:space="0" w:color="D9D9D9"/>
              <w:right w:val="nil"/>
            </w:tcBorders>
            <w:shd w:val="clear" w:color="auto" w:fill="F2F2F2" w:themeFill="background2" w:themeFillShade="F2"/>
          </w:tcPr>
          <w:p w14:paraId="082002E7" w14:textId="1D83F20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64.1%</w:t>
            </w:r>
          </w:p>
        </w:tc>
        <w:tc>
          <w:tcPr>
            <w:tcW w:w="810" w:type="dxa"/>
            <w:tcBorders>
              <w:top w:val="single" w:sz="4" w:space="0" w:color="D9D9D9"/>
              <w:left w:val="nil"/>
              <w:bottom w:val="single" w:sz="4" w:space="0" w:color="D9D9D9"/>
              <w:right w:val="nil"/>
            </w:tcBorders>
            <w:shd w:val="clear" w:color="auto" w:fill="F2F2F2" w:themeFill="background2" w:themeFillShade="F2"/>
          </w:tcPr>
          <w:p w14:paraId="4F1BFD4E" w14:textId="7C9E51C6"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63.2%</w:t>
            </w:r>
          </w:p>
        </w:tc>
      </w:tr>
      <w:tr w:rsidR="00936E56" w:rsidRPr="0088109E" w14:paraId="6618FAD1" w14:textId="77777777" w:rsidTr="00BF12A1">
        <w:trPr>
          <w:trHeight w:val="265"/>
        </w:trPr>
        <w:tc>
          <w:tcPr>
            <w:tcW w:w="739" w:type="dxa"/>
            <w:tcBorders>
              <w:top w:val="single" w:sz="4" w:space="0" w:color="D9D9D9"/>
              <w:left w:val="nil"/>
              <w:bottom w:val="single" w:sz="4" w:space="0" w:color="D9D9D9"/>
              <w:right w:val="nil"/>
            </w:tcBorders>
            <w:shd w:val="clear" w:color="auto" w:fill="auto"/>
          </w:tcPr>
          <w:p w14:paraId="24E84CBB" w14:textId="757D5E6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w:t>
            </w:r>
          </w:p>
        </w:tc>
        <w:tc>
          <w:tcPr>
            <w:tcW w:w="851" w:type="dxa"/>
            <w:tcBorders>
              <w:top w:val="single" w:sz="4" w:space="0" w:color="D9D9D9"/>
              <w:left w:val="nil"/>
              <w:bottom w:val="single" w:sz="4" w:space="0" w:color="D9D9D9"/>
              <w:right w:val="nil"/>
            </w:tcBorders>
            <w:shd w:val="clear" w:color="auto" w:fill="auto"/>
          </w:tcPr>
          <w:p w14:paraId="7ED47686" w14:textId="0C7CE21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I06Z</w:t>
            </w:r>
          </w:p>
        </w:tc>
        <w:tc>
          <w:tcPr>
            <w:tcW w:w="6495" w:type="dxa"/>
            <w:tcBorders>
              <w:top w:val="single" w:sz="4" w:space="0" w:color="D9D9D9"/>
              <w:left w:val="nil"/>
              <w:bottom w:val="single" w:sz="4" w:space="0" w:color="D9D9D9"/>
              <w:right w:val="single" w:sz="4" w:space="0" w:color="FFFFFF" w:themeColor="accent6"/>
            </w:tcBorders>
            <w:shd w:val="clear" w:color="auto" w:fill="auto"/>
          </w:tcPr>
          <w:p w14:paraId="37D3F5A8" w14:textId="739DC97D"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Spinal Fusion for Deformity</w:t>
            </w:r>
          </w:p>
        </w:tc>
        <w:tc>
          <w:tcPr>
            <w:tcW w:w="1159" w:type="dxa"/>
            <w:tcBorders>
              <w:top w:val="single" w:sz="4" w:space="0" w:color="D9D9D9"/>
              <w:left w:val="single" w:sz="4" w:space="0" w:color="FFFFFF" w:themeColor="accent6"/>
              <w:bottom w:val="single" w:sz="4" w:space="0" w:color="D9D9D9"/>
              <w:right w:val="nil"/>
            </w:tcBorders>
            <w:shd w:val="clear" w:color="auto" w:fill="auto"/>
          </w:tcPr>
          <w:p w14:paraId="5983F4FD" w14:textId="65BB03F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1,071</w:t>
            </w:r>
          </w:p>
        </w:tc>
        <w:tc>
          <w:tcPr>
            <w:tcW w:w="1418" w:type="dxa"/>
            <w:tcBorders>
              <w:top w:val="single" w:sz="4" w:space="0" w:color="D9D9D9"/>
              <w:left w:val="nil"/>
              <w:bottom w:val="single" w:sz="4" w:space="0" w:color="D9D9D9"/>
              <w:right w:val="single" w:sz="4" w:space="0" w:color="FFFFFF" w:themeColor="accent6"/>
            </w:tcBorders>
            <w:shd w:val="clear" w:color="auto" w:fill="auto"/>
          </w:tcPr>
          <w:p w14:paraId="365A6846" w14:textId="07866508"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13.28</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455F2184" w14:textId="7931D57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7.13</w:t>
            </w:r>
          </w:p>
        </w:tc>
        <w:tc>
          <w:tcPr>
            <w:tcW w:w="851" w:type="dxa"/>
            <w:tcBorders>
              <w:top w:val="single" w:sz="4" w:space="0" w:color="D9D9D9"/>
              <w:left w:val="nil"/>
              <w:bottom w:val="single" w:sz="4" w:space="0" w:color="D9D9D9"/>
              <w:right w:val="nil"/>
            </w:tcBorders>
            <w:shd w:val="clear" w:color="auto" w:fill="F2F2F2" w:themeFill="background2" w:themeFillShade="F2"/>
          </w:tcPr>
          <w:p w14:paraId="6D95A7DB" w14:textId="086FA92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7.49</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215573C6" w14:textId="34DDEFC2"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7.71</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6647261B" w14:textId="5D3ACD2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55.3%</w:t>
            </w:r>
          </w:p>
        </w:tc>
        <w:tc>
          <w:tcPr>
            <w:tcW w:w="908" w:type="dxa"/>
            <w:gridSpan w:val="2"/>
            <w:tcBorders>
              <w:top w:val="single" w:sz="4" w:space="0" w:color="D9D9D9"/>
              <w:left w:val="nil"/>
              <w:bottom w:val="single" w:sz="4" w:space="0" w:color="D9D9D9"/>
              <w:right w:val="nil"/>
            </w:tcBorders>
            <w:shd w:val="clear" w:color="auto" w:fill="F2F2F2" w:themeFill="background2" w:themeFillShade="F2"/>
          </w:tcPr>
          <w:p w14:paraId="528DB5F8" w14:textId="6C232F2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55.4%</w:t>
            </w:r>
          </w:p>
        </w:tc>
        <w:tc>
          <w:tcPr>
            <w:tcW w:w="810" w:type="dxa"/>
            <w:tcBorders>
              <w:top w:val="single" w:sz="4" w:space="0" w:color="D9D9D9"/>
              <w:left w:val="nil"/>
              <w:bottom w:val="single" w:sz="4" w:space="0" w:color="D9D9D9"/>
              <w:right w:val="nil"/>
            </w:tcBorders>
            <w:shd w:val="clear" w:color="auto" w:fill="F2F2F2" w:themeFill="background2" w:themeFillShade="F2"/>
          </w:tcPr>
          <w:p w14:paraId="218AD4F8" w14:textId="0A84F53F"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58.1%</w:t>
            </w:r>
          </w:p>
        </w:tc>
      </w:tr>
      <w:tr w:rsidR="00936E56" w:rsidRPr="0088109E" w14:paraId="46056F1F" w14:textId="77777777" w:rsidTr="00BF12A1">
        <w:trPr>
          <w:trHeight w:val="265"/>
        </w:trPr>
        <w:tc>
          <w:tcPr>
            <w:tcW w:w="739" w:type="dxa"/>
            <w:tcBorders>
              <w:top w:val="single" w:sz="4" w:space="0" w:color="D9D9D9"/>
              <w:left w:val="nil"/>
              <w:bottom w:val="single" w:sz="4" w:space="0" w:color="D9D9D9"/>
              <w:right w:val="nil"/>
            </w:tcBorders>
            <w:shd w:val="clear" w:color="auto" w:fill="auto"/>
          </w:tcPr>
          <w:p w14:paraId="675B2420" w14:textId="730DC39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8</w:t>
            </w:r>
          </w:p>
        </w:tc>
        <w:tc>
          <w:tcPr>
            <w:tcW w:w="851" w:type="dxa"/>
            <w:tcBorders>
              <w:top w:val="single" w:sz="4" w:space="0" w:color="D9D9D9"/>
              <w:left w:val="nil"/>
              <w:bottom w:val="single" w:sz="4" w:space="0" w:color="D9D9D9"/>
              <w:right w:val="nil"/>
            </w:tcBorders>
            <w:shd w:val="clear" w:color="auto" w:fill="auto"/>
          </w:tcPr>
          <w:p w14:paraId="2E85D7A9" w14:textId="2F12A5BC"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F19B</w:t>
            </w:r>
          </w:p>
        </w:tc>
        <w:tc>
          <w:tcPr>
            <w:tcW w:w="6495" w:type="dxa"/>
            <w:tcBorders>
              <w:top w:val="single" w:sz="4" w:space="0" w:color="D9D9D9"/>
              <w:left w:val="nil"/>
              <w:bottom w:val="single" w:sz="4" w:space="0" w:color="D9D9D9"/>
              <w:right w:val="single" w:sz="4" w:space="0" w:color="FFFFFF" w:themeColor="accent6"/>
            </w:tcBorders>
            <w:shd w:val="clear" w:color="auto" w:fill="auto"/>
          </w:tcPr>
          <w:p w14:paraId="5FAF47C8" w14:textId="64C4C636"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Trans-Vascular Percutaneous Cardiac Intervention, Minor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tcPr>
          <w:p w14:paraId="6261B83E" w14:textId="302CAF23"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1,170</w:t>
            </w:r>
          </w:p>
        </w:tc>
        <w:tc>
          <w:tcPr>
            <w:tcW w:w="1418" w:type="dxa"/>
            <w:tcBorders>
              <w:top w:val="single" w:sz="4" w:space="0" w:color="D9D9D9"/>
              <w:left w:val="nil"/>
              <w:bottom w:val="single" w:sz="4" w:space="0" w:color="D9D9D9"/>
              <w:right w:val="single" w:sz="4" w:space="0" w:color="FFFFFF" w:themeColor="accent6"/>
            </w:tcBorders>
            <w:shd w:val="clear" w:color="auto" w:fill="auto"/>
          </w:tcPr>
          <w:p w14:paraId="59E614A3" w14:textId="001D48D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3.33</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6AB2A38E" w14:textId="6E7C6B6B"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1.88</w:t>
            </w:r>
          </w:p>
        </w:tc>
        <w:tc>
          <w:tcPr>
            <w:tcW w:w="851" w:type="dxa"/>
            <w:tcBorders>
              <w:top w:val="single" w:sz="4" w:space="0" w:color="D9D9D9"/>
              <w:left w:val="nil"/>
              <w:bottom w:val="single" w:sz="4" w:space="0" w:color="D9D9D9"/>
              <w:right w:val="nil"/>
            </w:tcBorders>
            <w:shd w:val="clear" w:color="auto" w:fill="F2F2F2" w:themeFill="background2" w:themeFillShade="F2"/>
          </w:tcPr>
          <w:p w14:paraId="62395F77" w14:textId="323C82B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1.89</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4E10531D" w14:textId="636E2CB8"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1.88</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6351552D" w14:textId="3500319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55.8%</w:t>
            </w:r>
          </w:p>
        </w:tc>
        <w:tc>
          <w:tcPr>
            <w:tcW w:w="908" w:type="dxa"/>
            <w:gridSpan w:val="2"/>
            <w:tcBorders>
              <w:top w:val="single" w:sz="4" w:space="0" w:color="D9D9D9"/>
              <w:left w:val="nil"/>
              <w:bottom w:val="single" w:sz="4" w:space="0" w:color="D9D9D9"/>
              <w:right w:val="nil"/>
            </w:tcBorders>
            <w:shd w:val="clear" w:color="auto" w:fill="F2F2F2" w:themeFill="background2" w:themeFillShade="F2"/>
          </w:tcPr>
          <w:p w14:paraId="423D90CA" w14:textId="66A311A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56.2%</w:t>
            </w:r>
          </w:p>
        </w:tc>
        <w:tc>
          <w:tcPr>
            <w:tcW w:w="810" w:type="dxa"/>
            <w:tcBorders>
              <w:top w:val="single" w:sz="4" w:space="0" w:color="D9D9D9"/>
              <w:left w:val="nil"/>
              <w:bottom w:val="single" w:sz="4" w:space="0" w:color="D9D9D9"/>
              <w:right w:val="nil"/>
            </w:tcBorders>
            <w:shd w:val="clear" w:color="auto" w:fill="F2F2F2" w:themeFill="background2" w:themeFillShade="F2"/>
          </w:tcPr>
          <w:p w14:paraId="4EE86F5F" w14:textId="423EC8CD"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56.5%</w:t>
            </w:r>
          </w:p>
        </w:tc>
      </w:tr>
      <w:tr w:rsidR="00936E56" w:rsidRPr="0088109E" w14:paraId="5BD7660C" w14:textId="77777777" w:rsidTr="00BF12A1">
        <w:trPr>
          <w:trHeight w:val="265"/>
        </w:trPr>
        <w:tc>
          <w:tcPr>
            <w:tcW w:w="739" w:type="dxa"/>
            <w:tcBorders>
              <w:top w:val="single" w:sz="4" w:space="0" w:color="D9D9D9"/>
              <w:left w:val="nil"/>
              <w:bottom w:val="single" w:sz="4" w:space="0" w:color="D9D9D9"/>
              <w:right w:val="nil"/>
            </w:tcBorders>
            <w:shd w:val="clear" w:color="auto" w:fill="auto"/>
          </w:tcPr>
          <w:p w14:paraId="5984C968" w14:textId="05808CC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w:t>
            </w:r>
          </w:p>
        </w:tc>
        <w:tc>
          <w:tcPr>
            <w:tcW w:w="851" w:type="dxa"/>
            <w:tcBorders>
              <w:top w:val="single" w:sz="4" w:space="0" w:color="D9D9D9"/>
              <w:left w:val="nil"/>
              <w:bottom w:val="single" w:sz="4" w:space="0" w:color="D9D9D9"/>
              <w:right w:val="nil"/>
            </w:tcBorders>
            <w:shd w:val="clear" w:color="auto" w:fill="auto"/>
          </w:tcPr>
          <w:p w14:paraId="562F901E" w14:textId="65489C2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I09C</w:t>
            </w:r>
          </w:p>
        </w:tc>
        <w:tc>
          <w:tcPr>
            <w:tcW w:w="6495" w:type="dxa"/>
            <w:tcBorders>
              <w:top w:val="single" w:sz="4" w:space="0" w:color="D9D9D9"/>
              <w:left w:val="nil"/>
              <w:bottom w:val="single" w:sz="4" w:space="0" w:color="D9D9D9"/>
              <w:right w:val="single" w:sz="4" w:space="0" w:color="FFFFFF" w:themeColor="accent6"/>
            </w:tcBorders>
            <w:shd w:val="clear" w:color="auto" w:fill="auto"/>
          </w:tcPr>
          <w:p w14:paraId="79B8B9F8" w14:textId="5F4CB2F8" w:rsidR="00936E56" w:rsidRPr="00936E56" w:rsidRDefault="00936E56" w:rsidP="00936E56">
            <w:pPr>
              <w:autoSpaceDE w:val="0"/>
              <w:autoSpaceDN w:val="0"/>
              <w:adjustRightInd w:val="0"/>
              <w:spacing w:after="0" w:line="240" w:lineRule="auto"/>
              <w:rPr>
                <w:rFonts w:cs="Arial"/>
                <w:color w:val="000000"/>
                <w:sz w:val="14"/>
                <w:szCs w:val="14"/>
              </w:rPr>
            </w:pPr>
            <w:r w:rsidRPr="00936E56">
              <w:rPr>
                <w:rFonts w:cs="Arial"/>
                <w:sz w:val="14"/>
                <w:szCs w:val="14"/>
              </w:rPr>
              <w:t>Spinal Fusion, Minor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tcPr>
          <w:p w14:paraId="3EC34E96" w14:textId="2C9A170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9,966</w:t>
            </w:r>
          </w:p>
        </w:tc>
        <w:tc>
          <w:tcPr>
            <w:tcW w:w="1418" w:type="dxa"/>
            <w:tcBorders>
              <w:top w:val="single" w:sz="4" w:space="0" w:color="D9D9D9"/>
              <w:left w:val="nil"/>
              <w:bottom w:val="single" w:sz="4" w:space="0" w:color="D9D9D9"/>
              <w:right w:val="single" w:sz="4" w:space="0" w:color="FFFFFF" w:themeColor="accent6"/>
            </w:tcBorders>
            <w:shd w:val="clear" w:color="auto" w:fill="auto"/>
          </w:tcPr>
          <w:p w14:paraId="65AAB51E" w14:textId="6E82B272"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6.24</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60F33DED" w14:textId="7AC232F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3.50</w:t>
            </w:r>
          </w:p>
        </w:tc>
        <w:tc>
          <w:tcPr>
            <w:tcW w:w="851" w:type="dxa"/>
            <w:tcBorders>
              <w:top w:val="single" w:sz="4" w:space="0" w:color="D9D9D9"/>
              <w:left w:val="nil"/>
              <w:bottom w:val="single" w:sz="4" w:space="0" w:color="D9D9D9"/>
              <w:right w:val="nil"/>
            </w:tcBorders>
            <w:shd w:val="clear" w:color="auto" w:fill="F2F2F2" w:themeFill="background2" w:themeFillShade="F2"/>
          </w:tcPr>
          <w:p w14:paraId="6E9B9ADD" w14:textId="67B8193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3.58</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62911475" w14:textId="17903FD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3.44</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72CAB63A" w14:textId="7E94978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54.9%</w:t>
            </w:r>
          </w:p>
        </w:tc>
        <w:tc>
          <w:tcPr>
            <w:tcW w:w="908" w:type="dxa"/>
            <w:gridSpan w:val="2"/>
            <w:tcBorders>
              <w:top w:val="single" w:sz="4" w:space="0" w:color="D9D9D9"/>
              <w:left w:val="nil"/>
              <w:bottom w:val="single" w:sz="4" w:space="0" w:color="D9D9D9"/>
              <w:right w:val="nil"/>
            </w:tcBorders>
            <w:shd w:val="clear" w:color="auto" w:fill="F2F2F2" w:themeFill="background2" w:themeFillShade="F2"/>
          </w:tcPr>
          <w:p w14:paraId="65BDB439" w14:textId="103EC4F9"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rFonts w:cs="Arial"/>
                <w:sz w:val="14"/>
                <w:szCs w:val="14"/>
              </w:rPr>
              <w:t>56.0%</w:t>
            </w:r>
          </w:p>
        </w:tc>
        <w:tc>
          <w:tcPr>
            <w:tcW w:w="810" w:type="dxa"/>
            <w:tcBorders>
              <w:top w:val="single" w:sz="4" w:space="0" w:color="D9D9D9"/>
              <w:left w:val="nil"/>
              <w:bottom w:val="single" w:sz="4" w:space="0" w:color="D9D9D9"/>
              <w:right w:val="nil"/>
            </w:tcBorders>
            <w:shd w:val="clear" w:color="auto" w:fill="F2F2F2" w:themeFill="background2" w:themeFillShade="F2"/>
          </w:tcPr>
          <w:p w14:paraId="39B7D0F0" w14:textId="3C81C0BB"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rFonts w:cs="Arial"/>
                <w:b/>
                <w:bCs/>
                <w:sz w:val="14"/>
                <w:szCs w:val="14"/>
              </w:rPr>
              <w:t>55.1%</w:t>
            </w:r>
          </w:p>
        </w:tc>
      </w:tr>
      <w:tr w:rsidR="00936E56" w:rsidRPr="0088109E" w14:paraId="5F96FABE" w14:textId="77777777" w:rsidTr="00BF12A1">
        <w:trPr>
          <w:trHeight w:val="265"/>
        </w:trPr>
        <w:tc>
          <w:tcPr>
            <w:tcW w:w="739" w:type="dxa"/>
            <w:tcBorders>
              <w:top w:val="single" w:sz="4" w:space="0" w:color="D9D9D9"/>
              <w:left w:val="nil"/>
              <w:bottom w:val="single" w:sz="4" w:space="0" w:color="D9D9D9"/>
              <w:right w:val="nil"/>
            </w:tcBorders>
            <w:shd w:val="clear" w:color="auto" w:fill="auto"/>
          </w:tcPr>
          <w:p w14:paraId="7172B28C" w14:textId="14DD363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10</w:t>
            </w:r>
          </w:p>
        </w:tc>
        <w:tc>
          <w:tcPr>
            <w:tcW w:w="851" w:type="dxa"/>
            <w:tcBorders>
              <w:top w:val="single" w:sz="4" w:space="0" w:color="D9D9D9"/>
              <w:left w:val="nil"/>
              <w:bottom w:val="single" w:sz="4" w:space="0" w:color="D9D9D9"/>
              <w:right w:val="nil"/>
            </w:tcBorders>
            <w:shd w:val="clear" w:color="auto" w:fill="auto"/>
          </w:tcPr>
          <w:p w14:paraId="58389D0B" w14:textId="7863B89A"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F17A</w:t>
            </w:r>
          </w:p>
        </w:tc>
        <w:tc>
          <w:tcPr>
            <w:tcW w:w="6495" w:type="dxa"/>
            <w:tcBorders>
              <w:top w:val="single" w:sz="4" w:space="0" w:color="D9D9D9"/>
              <w:left w:val="nil"/>
              <w:bottom w:val="single" w:sz="4" w:space="0" w:color="D9D9D9"/>
              <w:right w:val="single" w:sz="4" w:space="0" w:color="FFFFFF" w:themeColor="accent6"/>
            </w:tcBorders>
            <w:shd w:val="clear" w:color="auto" w:fill="auto"/>
          </w:tcPr>
          <w:p w14:paraId="0EED9653" w14:textId="3F12A1EF" w:rsidR="00936E56" w:rsidRPr="00936E56" w:rsidRDefault="00936E56" w:rsidP="00936E56">
            <w:pPr>
              <w:autoSpaceDE w:val="0"/>
              <w:autoSpaceDN w:val="0"/>
              <w:adjustRightInd w:val="0"/>
              <w:spacing w:after="0" w:line="240" w:lineRule="auto"/>
              <w:rPr>
                <w:rFonts w:cs="Arial"/>
                <w:color w:val="000000"/>
                <w:sz w:val="14"/>
                <w:szCs w:val="14"/>
              </w:rPr>
            </w:pPr>
            <w:r w:rsidRPr="00936E56">
              <w:rPr>
                <w:sz w:val="14"/>
                <w:szCs w:val="14"/>
              </w:rPr>
              <w:t>Insertion and Replacement of Pacemaker Generator, Major Complexity</w:t>
            </w:r>
          </w:p>
        </w:tc>
        <w:tc>
          <w:tcPr>
            <w:tcW w:w="1159" w:type="dxa"/>
            <w:tcBorders>
              <w:top w:val="single" w:sz="4" w:space="0" w:color="D9D9D9"/>
              <w:left w:val="single" w:sz="4" w:space="0" w:color="FFFFFF" w:themeColor="accent6"/>
              <w:bottom w:val="single" w:sz="4" w:space="0" w:color="D9D9D9"/>
              <w:right w:val="nil"/>
            </w:tcBorders>
            <w:shd w:val="clear" w:color="auto" w:fill="auto"/>
          </w:tcPr>
          <w:p w14:paraId="4BACB423" w14:textId="1AB8947E"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205</w:t>
            </w:r>
          </w:p>
        </w:tc>
        <w:tc>
          <w:tcPr>
            <w:tcW w:w="1418" w:type="dxa"/>
            <w:tcBorders>
              <w:top w:val="single" w:sz="4" w:space="0" w:color="D9D9D9"/>
              <w:left w:val="nil"/>
              <w:bottom w:val="single" w:sz="4" w:space="0" w:color="D9D9D9"/>
              <w:right w:val="single" w:sz="4" w:space="0" w:color="FFFFFF" w:themeColor="accent6"/>
            </w:tcBorders>
            <w:shd w:val="clear" w:color="auto" w:fill="auto"/>
          </w:tcPr>
          <w:p w14:paraId="3B876F38" w14:textId="540884F6"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4.17</w:t>
            </w:r>
          </w:p>
        </w:tc>
        <w:tc>
          <w:tcPr>
            <w:tcW w:w="850"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55C27C47" w14:textId="1EEA70F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2.32</w:t>
            </w:r>
          </w:p>
        </w:tc>
        <w:tc>
          <w:tcPr>
            <w:tcW w:w="851" w:type="dxa"/>
            <w:tcBorders>
              <w:top w:val="single" w:sz="4" w:space="0" w:color="D9D9D9"/>
              <w:left w:val="nil"/>
              <w:bottom w:val="single" w:sz="4" w:space="0" w:color="D9D9D9"/>
              <w:right w:val="nil"/>
            </w:tcBorders>
            <w:shd w:val="clear" w:color="auto" w:fill="F2F2F2" w:themeFill="background2" w:themeFillShade="F2"/>
          </w:tcPr>
          <w:p w14:paraId="21268DD5" w14:textId="6A130632"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2.47</w:t>
            </w:r>
          </w:p>
        </w:tc>
        <w:tc>
          <w:tcPr>
            <w:tcW w:w="850" w:type="dxa"/>
            <w:tcBorders>
              <w:top w:val="single" w:sz="4" w:space="0" w:color="D9D9D9"/>
              <w:left w:val="nil"/>
              <w:bottom w:val="single" w:sz="4" w:space="0" w:color="D9D9D9"/>
              <w:right w:val="single" w:sz="4" w:space="0" w:color="FFFFFF" w:themeColor="accent6"/>
            </w:tcBorders>
            <w:shd w:val="clear" w:color="auto" w:fill="F2F2F2" w:themeFill="background2" w:themeFillShade="F2"/>
          </w:tcPr>
          <w:p w14:paraId="5F1BD648" w14:textId="485C9DD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2.29</w:t>
            </w:r>
          </w:p>
        </w:tc>
        <w:tc>
          <w:tcPr>
            <w:tcW w:w="851" w:type="dxa"/>
            <w:tcBorders>
              <w:top w:val="single" w:sz="4" w:space="0" w:color="D9D9D9"/>
              <w:left w:val="single" w:sz="4" w:space="0" w:color="FFFFFF" w:themeColor="accent6"/>
              <w:bottom w:val="single" w:sz="4" w:space="0" w:color="D9D9D9"/>
              <w:right w:val="nil"/>
            </w:tcBorders>
            <w:shd w:val="clear" w:color="auto" w:fill="F2F2F2" w:themeFill="background2" w:themeFillShade="F2"/>
          </w:tcPr>
          <w:p w14:paraId="49F860F2" w14:textId="59D0F08D"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49.8%</w:t>
            </w:r>
          </w:p>
        </w:tc>
        <w:tc>
          <w:tcPr>
            <w:tcW w:w="908" w:type="dxa"/>
            <w:gridSpan w:val="2"/>
            <w:tcBorders>
              <w:top w:val="single" w:sz="4" w:space="0" w:color="D9D9D9"/>
              <w:left w:val="nil"/>
              <w:bottom w:val="single" w:sz="4" w:space="0" w:color="D9D9D9"/>
              <w:right w:val="nil"/>
            </w:tcBorders>
            <w:shd w:val="clear" w:color="auto" w:fill="F2F2F2" w:themeFill="background2" w:themeFillShade="F2"/>
          </w:tcPr>
          <w:p w14:paraId="58AC071E" w14:textId="57C35809"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59.6%</w:t>
            </w:r>
          </w:p>
        </w:tc>
        <w:tc>
          <w:tcPr>
            <w:tcW w:w="810" w:type="dxa"/>
            <w:tcBorders>
              <w:top w:val="single" w:sz="4" w:space="0" w:color="D9D9D9"/>
              <w:left w:val="nil"/>
              <w:bottom w:val="single" w:sz="4" w:space="0" w:color="D9D9D9"/>
              <w:right w:val="nil"/>
            </w:tcBorders>
            <w:shd w:val="clear" w:color="auto" w:fill="F2F2F2" w:themeFill="background2" w:themeFillShade="F2"/>
          </w:tcPr>
          <w:p w14:paraId="5A99F69E" w14:textId="54BBD07A"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54.8%</w:t>
            </w:r>
          </w:p>
        </w:tc>
      </w:tr>
      <w:tr w:rsidR="00936E56" w:rsidRPr="0088109E" w14:paraId="76E9009E" w14:textId="77777777" w:rsidTr="00DC259F">
        <w:trPr>
          <w:trHeight w:val="265"/>
        </w:trPr>
        <w:tc>
          <w:tcPr>
            <w:tcW w:w="8085" w:type="dxa"/>
            <w:gridSpan w:val="3"/>
            <w:tcBorders>
              <w:top w:val="single" w:sz="4" w:space="0" w:color="D9D9D9"/>
              <w:left w:val="nil"/>
              <w:bottom w:val="nil"/>
              <w:right w:val="single" w:sz="4" w:space="0" w:color="FFFFFF" w:themeColor="accent6"/>
            </w:tcBorders>
            <w:shd w:val="clear" w:color="auto" w:fill="DFEBF1" w:themeFill="text2" w:themeFillTint="1A"/>
            <w:vAlign w:val="center"/>
          </w:tcPr>
          <w:p w14:paraId="3E1E21B7" w14:textId="77777777" w:rsidR="00936E56" w:rsidRPr="00F67A07" w:rsidRDefault="00936E56" w:rsidP="00936E56">
            <w:pPr>
              <w:autoSpaceDE w:val="0"/>
              <w:autoSpaceDN w:val="0"/>
              <w:adjustRightInd w:val="0"/>
              <w:spacing w:after="0" w:line="240" w:lineRule="auto"/>
              <w:rPr>
                <w:rFonts w:cs="Arial"/>
                <w:b/>
                <w:bCs/>
                <w:color w:val="000000"/>
                <w:sz w:val="14"/>
                <w:szCs w:val="14"/>
              </w:rPr>
            </w:pPr>
            <w:r w:rsidRPr="00F67A07">
              <w:rPr>
                <w:rFonts w:cs="Arial"/>
                <w:b/>
                <w:bCs/>
                <w:color w:val="000000"/>
                <w:sz w:val="14"/>
                <w:szCs w:val="14"/>
              </w:rPr>
              <w:t>Sub-total, top 10 highest prostheses cost weight %</w:t>
            </w:r>
          </w:p>
        </w:tc>
        <w:tc>
          <w:tcPr>
            <w:tcW w:w="1159" w:type="dxa"/>
            <w:tcBorders>
              <w:top w:val="single" w:sz="4" w:space="0" w:color="D9D9D9"/>
              <w:left w:val="single" w:sz="4" w:space="0" w:color="FFFFFF" w:themeColor="accent6"/>
              <w:bottom w:val="nil"/>
              <w:right w:val="nil"/>
            </w:tcBorders>
            <w:shd w:val="clear" w:color="auto" w:fill="DFEBF1" w:themeFill="text2" w:themeFillTint="1A"/>
          </w:tcPr>
          <w:p w14:paraId="25004964" w14:textId="0C75CBA7"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29,753</w:t>
            </w:r>
          </w:p>
        </w:tc>
        <w:tc>
          <w:tcPr>
            <w:tcW w:w="1418" w:type="dxa"/>
            <w:tcBorders>
              <w:top w:val="single" w:sz="4" w:space="0" w:color="D9D9D9"/>
              <w:left w:val="nil"/>
              <w:bottom w:val="nil"/>
              <w:right w:val="single" w:sz="4" w:space="0" w:color="FFFFFF" w:themeColor="accent6"/>
            </w:tcBorders>
            <w:shd w:val="clear" w:color="auto" w:fill="DFEBF1" w:themeFill="text2" w:themeFillTint="1A"/>
          </w:tcPr>
          <w:p w14:paraId="170C47FD" w14:textId="472881D1"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6.08</w:t>
            </w:r>
          </w:p>
        </w:tc>
        <w:tc>
          <w:tcPr>
            <w:tcW w:w="850" w:type="dxa"/>
            <w:tcBorders>
              <w:top w:val="single" w:sz="4" w:space="0" w:color="D9D9D9"/>
              <w:left w:val="single" w:sz="4" w:space="0" w:color="FFFFFF" w:themeColor="accent6"/>
              <w:bottom w:val="nil"/>
              <w:right w:val="nil"/>
            </w:tcBorders>
            <w:shd w:val="clear" w:color="auto" w:fill="DFEBF1" w:themeFill="text2" w:themeFillTint="1A"/>
          </w:tcPr>
          <w:p w14:paraId="4D327366" w14:textId="103CFAE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3.83</w:t>
            </w:r>
          </w:p>
        </w:tc>
        <w:tc>
          <w:tcPr>
            <w:tcW w:w="851" w:type="dxa"/>
            <w:tcBorders>
              <w:top w:val="single" w:sz="4" w:space="0" w:color="D9D9D9"/>
              <w:left w:val="nil"/>
              <w:bottom w:val="nil"/>
              <w:right w:val="nil"/>
            </w:tcBorders>
            <w:shd w:val="clear" w:color="auto" w:fill="DFEBF1" w:themeFill="text2" w:themeFillTint="1A"/>
          </w:tcPr>
          <w:p w14:paraId="2381FCA1" w14:textId="23EDF63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5.00</w:t>
            </w:r>
          </w:p>
        </w:tc>
        <w:tc>
          <w:tcPr>
            <w:tcW w:w="850" w:type="dxa"/>
            <w:tcBorders>
              <w:top w:val="single" w:sz="4" w:space="0" w:color="D9D9D9"/>
              <w:left w:val="nil"/>
              <w:bottom w:val="nil"/>
              <w:right w:val="single" w:sz="4" w:space="0" w:color="FFFFFF" w:themeColor="accent6"/>
            </w:tcBorders>
            <w:shd w:val="clear" w:color="auto" w:fill="DFEBF1" w:themeFill="text2" w:themeFillTint="1A"/>
          </w:tcPr>
          <w:p w14:paraId="4CC56788" w14:textId="7CA64527"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3.93</w:t>
            </w:r>
          </w:p>
        </w:tc>
        <w:tc>
          <w:tcPr>
            <w:tcW w:w="865" w:type="dxa"/>
            <w:gridSpan w:val="2"/>
            <w:tcBorders>
              <w:top w:val="single" w:sz="4" w:space="0" w:color="D9D9D9"/>
              <w:left w:val="single" w:sz="4" w:space="0" w:color="FFFFFF" w:themeColor="accent6"/>
              <w:bottom w:val="nil"/>
              <w:right w:val="nil"/>
            </w:tcBorders>
            <w:shd w:val="clear" w:color="auto" w:fill="DFEBF1" w:themeFill="text2" w:themeFillTint="1A"/>
          </w:tcPr>
          <w:p w14:paraId="4C21AB57" w14:textId="59639D88"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63.4%</w:t>
            </w:r>
          </w:p>
        </w:tc>
        <w:tc>
          <w:tcPr>
            <w:tcW w:w="894" w:type="dxa"/>
            <w:tcBorders>
              <w:top w:val="single" w:sz="4" w:space="0" w:color="D9D9D9"/>
              <w:left w:val="nil"/>
              <w:bottom w:val="nil"/>
              <w:right w:val="nil"/>
            </w:tcBorders>
            <w:shd w:val="clear" w:color="auto" w:fill="DFEBF1" w:themeFill="text2" w:themeFillTint="1A"/>
          </w:tcPr>
          <w:p w14:paraId="42B707C4" w14:textId="42BF0E69"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64.9%</w:t>
            </w:r>
          </w:p>
        </w:tc>
        <w:tc>
          <w:tcPr>
            <w:tcW w:w="810" w:type="dxa"/>
            <w:tcBorders>
              <w:top w:val="single" w:sz="4" w:space="0" w:color="D9D9D9"/>
              <w:left w:val="nil"/>
              <w:bottom w:val="nil"/>
              <w:right w:val="nil"/>
            </w:tcBorders>
            <w:shd w:val="clear" w:color="auto" w:fill="DFEBF1" w:themeFill="text2" w:themeFillTint="1A"/>
          </w:tcPr>
          <w:p w14:paraId="02B1B7E8" w14:textId="1B4F859C"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64.6%</w:t>
            </w:r>
          </w:p>
        </w:tc>
      </w:tr>
      <w:tr w:rsidR="00936E56" w:rsidRPr="0088109E" w14:paraId="1D4FFF7B" w14:textId="77777777" w:rsidTr="00DC259F">
        <w:trPr>
          <w:trHeight w:val="265"/>
        </w:trPr>
        <w:tc>
          <w:tcPr>
            <w:tcW w:w="8085" w:type="dxa"/>
            <w:gridSpan w:val="3"/>
            <w:tcBorders>
              <w:top w:val="nil"/>
              <w:left w:val="nil"/>
              <w:bottom w:val="nil"/>
              <w:right w:val="single" w:sz="4" w:space="0" w:color="FFFFFF" w:themeColor="accent6"/>
            </w:tcBorders>
            <w:shd w:val="clear" w:color="auto" w:fill="DFEBF1" w:themeFill="text2" w:themeFillTint="1A"/>
            <w:vAlign w:val="center"/>
          </w:tcPr>
          <w:p w14:paraId="63C99639" w14:textId="1A3AE5A2" w:rsidR="00936E56" w:rsidRPr="00F67A07" w:rsidRDefault="00936E56" w:rsidP="00936E56">
            <w:pPr>
              <w:autoSpaceDE w:val="0"/>
              <w:autoSpaceDN w:val="0"/>
              <w:adjustRightInd w:val="0"/>
              <w:spacing w:after="0" w:line="240" w:lineRule="auto"/>
              <w:rPr>
                <w:rFonts w:cs="Arial"/>
                <w:b/>
                <w:bCs/>
                <w:color w:val="000000"/>
                <w:sz w:val="14"/>
                <w:szCs w:val="14"/>
              </w:rPr>
            </w:pPr>
            <w:r w:rsidRPr="00F67A07">
              <w:rPr>
                <w:rFonts w:cs="Arial"/>
                <w:b/>
                <w:bCs/>
                <w:color w:val="000000"/>
                <w:sz w:val="14"/>
                <w:szCs w:val="14"/>
              </w:rPr>
              <w:t xml:space="preserve">All Prostheses </w:t>
            </w:r>
            <w:r>
              <w:rPr>
                <w:rFonts w:cs="Arial"/>
                <w:b/>
                <w:bCs/>
                <w:color w:val="000000"/>
                <w:sz w:val="14"/>
                <w:szCs w:val="14"/>
              </w:rPr>
              <w:t>AR-</w:t>
            </w:r>
            <w:r w:rsidRPr="00F67A07">
              <w:rPr>
                <w:rFonts w:cs="Arial"/>
                <w:b/>
                <w:bCs/>
                <w:color w:val="000000"/>
                <w:sz w:val="14"/>
                <w:szCs w:val="14"/>
              </w:rPr>
              <w:t>DRGs</w:t>
            </w:r>
          </w:p>
        </w:tc>
        <w:tc>
          <w:tcPr>
            <w:tcW w:w="1159" w:type="dxa"/>
            <w:tcBorders>
              <w:top w:val="nil"/>
              <w:left w:val="single" w:sz="4" w:space="0" w:color="FFFFFF" w:themeColor="accent6"/>
              <w:bottom w:val="nil"/>
              <w:right w:val="nil"/>
            </w:tcBorders>
            <w:shd w:val="clear" w:color="auto" w:fill="DFEBF1" w:themeFill="text2" w:themeFillTint="1A"/>
          </w:tcPr>
          <w:p w14:paraId="4794FDF8" w14:textId="32E8DE70"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3,413,516</w:t>
            </w:r>
          </w:p>
        </w:tc>
        <w:tc>
          <w:tcPr>
            <w:tcW w:w="1418" w:type="dxa"/>
            <w:tcBorders>
              <w:top w:val="nil"/>
              <w:left w:val="nil"/>
              <w:bottom w:val="nil"/>
              <w:right w:val="single" w:sz="4" w:space="0" w:color="FFFFFF" w:themeColor="accent6"/>
            </w:tcBorders>
            <w:shd w:val="clear" w:color="auto" w:fill="DFEBF1" w:themeFill="text2" w:themeFillTint="1A"/>
          </w:tcPr>
          <w:p w14:paraId="39DFF733" w14:textId="2AAA2C21"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1.00</w:t>
            </w:r>
          </w:p>
        </w:tc>
        <w:tc>
          <w:tcPr>
            <w:tcW w:w="850" w:type="dxa"/>
            <w:tcBorders>
              <w:top w:val="nil"/>
              <w:left w:val="single" w:sz="4" w:space="0" w:color="FFFFFF" w:themeColor="accent6"/>
              <w:bottom w:val="nil"/>
              <w:right w:val="nil"/>
            </w:tcBorders>
            <w:shd w:val="clear" w:color="auto" w:fill="DFEBF1" w:themeFill="text2" w:themeFillTint="1A"/>
          </w:tcPr>
          <w:p w14:paraId="601B2CC7" w14:textId="0A8D6550"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0.17</w:t>
            </w:r>
          </w:p>
        </w:tc>
        <w:tc>
          <w:tcPr>
            <w:tcW w:w="851" w:type="dxa"/>
            <w:tcBorders>
              <w:top w:val="nil"/>
              <w:left w:val="nil"/>
              <w:bottom w:val="nil"/>
              <w:right w:val="nil"/>
            </w:tcBorders>
            <w:shd w:val="clear" w:color="auto" w:fill="DFEBF1" w:themeFill="text2" w:themeFillTint="1A"/>
          </w:tcPr>
          <w:p w14:paraId="0D91B28D" w14:textId="24C8FD11"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0.19</w:t>
            </w:r>
          </w:p>
        </w:tc>
        <w:tc>
          <w:tcPr>
            <w:tcW w:w="850" w:type="dxa"/>
            <w:tcBorders>
              <w:top w:val="nil"/>
              <w:left w:val="nil"/>
              <w:bottom w:val="nil"/>
              <w:right w:val="single" w:sz="4" w:space="0" w:color="FFFFFF" w:themeColor="accent6"/>
            </w:tcBorders>
            <w:shd w:val="clear" w:color="auto" w:fill="DFEBF1" w:themeFill="text2" w:themeFillTint="1A"/>
          </w:tcPr>
          <w:p w14:paraId="297B800C" w14:textId="3BCC52E4"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0.17</w:t>
            </w:r>
          </w:p>
        </w:tc>
        <w:tc>
          <w:tcPr>
            <w:tcW w:w="865" w:type="dxa"/>
            <w:gridSpan w:val="2"/>
            <w:tcBorders>
              <w:top w:val="nil"/>
              <w:left w:val="single" w:sz="4" w:space="0" w:color="FFFFFF" w:themeColor="accent6"/>
              <w:bottom w:val="nil"/>
              <w:right w:val="nil"/>
            </w:tcBorders>
            <w:shd w:val="clear" w:color="auto" w:fill="DFEBF1" w:themeFill="text2" w:themeFillTint="1A"/>
          </w:tcPr>
          <w:p w14:paraId="01EC2860" w14:textId="6EBB13F2"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17.2%</w:t>
            </w:r>
          </w:p>
        </w:tc>
        <w:tc>
          <w:tcPr>
            <w:tcW w:w="894" w:type="dxa"/>
            <w:tcBorders>
              <w:top w:val="nil"/>
              <w:left w:val="nil"/>
              <w:bottom w:val="nil"/>
              <w:right w:val="nil"/>
            </w:tcBorders>
            <w:shd w:val="clear" w:color="auto" w:fill="DFEBF1" w:themeFill="text2" w:themeFillTint="1A"/>
          </w:tcPr>
          <w:p w14:paraId="5BD5A073" w14:textId="077669F5" w:rsidR="00936E56" w:rsidRPr="00936E56" w:rsidRDefault="00936E56" w:rsidP="00936E56">
            <w:pPr>
              <w:autoSpaceDE w:val="0"/>
              <w:autoSpaceDN w:val="0"/>
              <w:adjustRightInd w:val="0"/>
              <w:spacing w:after="0" w:line="240" w:lineRule="auto"/>
              <w:jc w:val="center"/>
              <w:rPr>
                <w:rFonts w:cs="Arial"/>
                <w:color w:val="000000"/>
                <w:sz w:val="14"/>
                <w:szCs w:val="14"/>
              </w:rPr>
            </w:pPr>
            <w:r w:rsidRPr="00936E56">
              <w:rPr>
                <w:sz w:val="14"/>
                <w:szCs w:val="14"/>
              </w:rPr>
              <w:t>18.6%</w:t>
            </w:r>
          </w:p>
        </w:tc>
        <w:tc>
          <w:tcPr>
            <w:tcW w:w="810" w:type="dxa"/>
            <w:tcBorders>
              <w:top w:val="nil"/>
              <w:left w:val="nil"/>
              <w:bottom w:val="nil"/>
              <w:right w:val="nil"/>
            </w:tcBorders>
            <w:shd w:val="clear" w:color="auto" w:fill="DFEBF1" w:themeFill="text2" w:themeFillTint="1A"/>
          </w:tcPr>
          <w:p w14:paraId="2D7930C0" w14:textId="72D8B5FF"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17.5%</w:t>
            </w:r>
          </w:p>
        </w:tc>
      </w:tr>
      <w:tr w:rsidR="00936E56" w:rsidRPr="0088109E" w14:paraId="262F54CF" w14:textId="77777777" w:rsidTr="00DC259F">
        <w:trPr>
          <w:trHeight w:val="265"/>
        </w:trPr>
        <w:tc>
          <w:tcPr>
            <w:tcW w:w="8085" w:type="dxa"/>
            <w:gridSpan w:val="3"/>
            <w:tcBorders>
              <w:top w:val="nil"/>
              <w:left w:val="nil"/>
              <w:bottom w:val="single" w:sz="4" w:space="0" w:color="D9D9D9"/>
              <w:right w:val="single" w:sz="4" w:space="0" w:color="FFFFFF" w:themeColor="accent6"/>
            </w:tcBorders>
            <w:shd w:val="clear" w:color="auto" w:fill="DFEBF1" w:themeFill="text2" w:themeFillTint="1A"/>
            <w:vAlign w:val="center"/>
          </w:tcPr>
          <w:p w14:paraId="2108E156" w14:textId="7259EF53" w:rsidR="00936E56" w:rsidRPr="00F67A07" w:rsidRDefault="00936E56" w:rsidP="00936E56">
            <w:pPr>
              <w:autoSpaceDE w:val="0"/>
              <w:autoSpaceDN w:val="0"/>
              <w:adjustRightInd w:val="0"/>
              <w:spacing w:after="0" w:line="240" w:lineRule="auto"/>
              <w:rPr>
                <w:rFonts w:cs="Arial"/>
                <w:b/>
                <w:bCs/>
                <w:color w:val="000000"/>
                <w:sz w:val="14"/>
                <w:szCs w:val="14"/>
              </w:rPr>
            </w:pPr>
            <w:r w:rsidRPr="00F67A07">
              <w:rPr>
                <w:rFonts w:cs="Arial"/>
                <w:b/>
                <w:bCs/>
                <w:color w:val="000000"/>
                <w:sz w:val="14"/>
                <w:szCs w:val="14"/>
              </w:rPr>
              <w:t xml:space="preserve">Top 10 highest prostheses cost weights proportion (% of all Prostheses </w:t>
            </w:r>
            <w:r>
              <w:rPr>
                <w:rFonts w:cs="Arial"/>
                <w:b/>
                <w:bCs/>
                <w:color w:val="000000"/>
                <w:sz w:val="14"/>
                <w:szCs w:val="14"/>
              </w:rPr>
              <w:t>AR-</w:t>
            </w:r>
            <w:r w:rsidRPr="00F67A07">
              <w:rPr>
                <w:rFonts w:cs="Arial"/>
                <w:b/>
                <w:bCs/>
                <w:color w:val="000000"/>
                <w:sz w:val="14"/>
                <w:szCs w:val="14"/>
              </w:rPr>
              <w:t>DRGs)</w:t>
            </w:r>
          </w:p>
        </w:tc>
        <w:tc>
          <w:tcPr>
            <w:tcW w:w="1159" w:type="dxa"/>
            <w:tcBorders>
              <w:top w:val="nil"/>
              <w:left w:val="single" w:sz="4" w:space="0" w:color="FFFFFF" w:themeColor="accent6"/>
              <w:bottom w:val="single" w:sz="4" w:space="0" w:color="D9D9D9"/>
              <w:right w:val="nil"/>
            </w:tcBorders>
            <w:shd w:val="clear" w:color="auto" w:fill="DFEBF1" w:themeFill="text2" w:themeFillTint="1A"/>
          </w:tcPr>
          <w:p w14:paraId="6CB956F0" w14:textId="494B3F08" w:rsidR="00936E56" w:rsidRPr="00936E56" w:rsidRDefault="00936E56" w:rsidP="00936E56">
            <w:pPr>
              <w:autoSpaceDE w:val="0"/>
              <w:autoSpaceDN w:val="0"/>
              <w:adjustRightInd w:val="0"/>
              <w:spacing w:after="0" w:line="240" w:lineRule="auto"/>
              <w:jc w:val="center"/>
              <w:rPr>
                <w:rFonts w:cs="Arial"/>
                <w:b/>
                <w:bCs/>
                <w:color w:val="000000"/>
                <w:sz w:val="14"/>
                <w:szCs w:val="14"/>
              </w:rPr>
            </w:pPr>
            <w:r w:rsidRPr="00936E56">
              <w:rPr>
                <w:b/>
                <w:bCs/>
                <w:sz w:val="14"/>
                <w:szCs w:val="14"/>
              </w:rPr>
              <w:t>0.87%</w:t>
            </w:r>
          </w:p>
        </w:tc>
        <w:tc>
          <w:tcPr>
            <w:tcW w:w="1418" w:type="dxa"/>
            <w:tcBorders>
              <w:top w:val="nil"/>
              <w:left w:val="nil"/>
              <w:bottom w:val="single" w:sz="4" w:space="0" w:color="D9D9D9"/>
              <w:right w:val="single" w:sz="4" w:space="0" w:color="FFFFFF" w:themeColor="accent6"/>
            </w:tcBorders>
            <w:shd w:val="clear" w:color="auto" w:fill="DFEBF1" w:themeFill="text2" w:themeFillTint="1A"/>
          </w:tcPr>
          <w:p w14:paraId="1D4925F5" w14:textId="26A8FCE9" w:rsidR="00936E56" w:rsidRPr="00936E56" w:rsidRDefault="00936E56" w:rsidP="00936E56">
            <w:pPr>
              <w:autoSpaceDE w:val="0"/>
              <w:autoSpaceDN w:val="0"/>
              <w:adjustRightInd w:val="0"/>
              <w:spacing w:after="0" w:line="240" w:lineRule="auto"/>
              <w:jc w:val="center"/>
              <w:rPr>
                <w:rFonts w:cs="Arial"/>
                <w:b/>
                <w:bCs/>
                <w:color w:val="000000"/>
                <w:sz w:val="14"/>
                <w:szCs w:val="14"/>
              </w:rPr>
            </w:pPr>
          </w:p>
        </w:tc>
        <w:tc>
          <w:tcPr>
            <w:tcW w:w="850" w:type="dxa"/>
            <w:tcBorders>
              <w:top w:val="nil"/>
              <w:left w:val="single" w:sz="4" w:space="0" w:color="FFFFFF" w:themeColor="accent6"/>
              <w:bottom w:val="single" w:sz="4" w:space="0" w:color="D9D9D9"/>
              <w:right w:val="nil"/>
            </w:tcBorders>
            <w:shd w:val="clear" w:color="auto" w:fill="DFEBF1" w:themeFill="text2" w:themeFillTint="1A"/>
          </w:tcPr>
          <w:p w14:paraId="1A41E9B8" w14:textId="3BFB33F0" w:rsidR="00936E56" w:rsidRPr="00936E56" w:rsidRDefault="00936E56" w:rsidP="00936E56">
            <w:pPr>
              <w:autoSpaceDE w:val="0"/>
              <w:autoSpaceDN w:val="0"/>
              <w:adjustRightInd w:val="0"/>
              <w:spacing w:after="0" w:line="240" w:lineRule="auto"/>
              <w:jc w:val="center"/>
              <w:rPr>
                <w:rFonts w:cs="Arial"/>
                <w:color w:val="000000"/>
                <w:sz w:val="14"/>
                <w:szCs w:val="14"/>
              </w:rPr>
            </w:pPr>
          </w:p>
        </w:tc>
        <w:tc>
          <w:tcPr>
            <w:tcW w:w="851" w:type="dxa"/>
            <w:tcBorders>
              <w:top w:val="nil"/>
              <w:left w:val="nil"/>
              <w:bottom w:val="single" w:sz="4" w:space="0" w:color="D9D9D9"/>
              <w:right w:val="nil"/>
            </w:tcBorders>
            <w:shd w:val="clear" w:color="auto" w:fill="DFEBF1" w:themeFill="text2" w:themeFillTint="1A"/>
          </w:tcPr>
          <w:p w14:paraId="6DAFF6C8" w14:textId="2F0447FE" w:rsidR="00936E56" w:rsidRPr="00936E56" w:rsidRDefault="00936E56" w:rsidP="00936E56">
            <w:pPr>
              <w:autoSpaceDE w:val="0"/>
              <w:autoSpaceDN w:val="0"/>
              <w:adjustRightInd w:val="0"/>
              <w:spacing w:after="0" w:line="240" w:lineRule="auto"/>
              <w:jc w:val="center"/>
              <w:rPr>
                <w:rFonts w:cs="Arial"/>
                <w:color w:val="000000"/>
                <w:sz w:val="14"/>
                <w:szCs w:val="14"/>
              </w:rPr>
            </w:pPr>
          </w:p>
        </w:tc>
        <w:tc>
          <w:tcPr>
            <w:tcW w:w="850" w:type="dxa"/>
            <w:tcBorders>
              <w:top w:val="nil"/>
              <w:left w:val="nil"/>
              <w:bottom w:val="single" w:sz="4" w:space="0" w:color="D9D9D9"/>
              <w:right w:val="single" w:sz="4" w:space="0" w:color="FFFFFF" w:themeColor="accent6"/>
            </w:tcBorders>
            <w:shd w:val="clear" w:color="auto" w:fill="DFEBF1" w:themeFill="text2" w:themeFillTint="1A"/>
          </w:tcPr>
          <w:p w14:paraId="129B46AD" w14:textId="524AB1E4" w:rsidR="00936E56" w:rsidRPr="00936E56" w:rsidRDefault="00936E56" w:rsidP="00936E56">
            <w:pPr>
              <w:autoSpaceDE w:val="0"/>
              <w:autoSpaceDN w:val="0"/>
              <w:adjustRightInd w:val="0"/>
              <w:spacing w:after="0" w:line="240" w:lineRule="auto"/>
              <w:jc w:val="center"/>
              <w:rPr>
                <w:rFonts w:cs="Arial"/>
                <w:color w:val="000000"/>
                <w:sz w:val="14"/>
                <w:szCs w:val="14"/>
              </w:rPr>
            </w:pPr>
          </w:p>
        </w:tc>
        <w:tc>
          <w:tcPr>
            <w:tcW w:w="865" w:type="dxa"/>
            <w:gridSpan w:val="2"/>
            <w:tcBorders>
              <w:top w:val="nil"/>
              <w:left w:val="single" w:sz="4" w:space="0" w:color="FFFFFF" w:themeColor="accent6"/>
              <w:bottom w:val="single" w:sz="4" w:space="0" w:color="D9D9D9"/>
              <w:right w:val="nil"/>
            </w:tcBorders>
            <w:shd w:val="clear" w:color="auto" w:fill="DFEBF1" w:themeFill="text2" w:themeFillTint="1A"/>
          </w:tcPr>
          <w:p w14:paraId="69F3239A" w14:textId="169750C5" w:rsidR="00936E56" w:rsidRPr="00936E56" w:rsidRDefault="00936E56" w:rsidP="00936E56">
            <w:pPr>
              <w:autoSpaceDE w:val="0"/>
              <w:autoSpaceDN w:val="0"/>
              <w:adjustRightInd w:val="0"/>
              <w:spacing w:after="0" w:line="240" w:lineRule="auto"/>
              <w:jc w:val="center"/>
              <w:rPr>
                <w:rFonts w:cs="Arial"/>
                <w:color w:val="000000"/>
                <w:sz w:val="14"/>
                <w:szCs w:val="14"/>
              </w:rPr>
            </w:pPr>
          </w:p>
        </w:tc>
        <w:tc>
          <w:tcPr>
            <w:tcW w:w="894" w:type="dxa"/>
            <w:tcBorders>
              <w:top w:val="nil"/>
              <w:left w:val="nil"/>
              <w:bottom w:val="single" w:sz="4" w:space="0" w:color="D9D9D9"/>
              <w:right w:val="nil"/>
            </w:tcBorders>
            <w:shd w:val="clear" w:color="auto" w:fill="DFEBF1" w:themeFill="text2" w:themeFillTint="1A"/>
          </w:tcPr>
          <w:p w14:paraId="2FA9B319" w14:textId="46026058" w:rsidR="00936E56" w:rsidRPr="00936E56" w:rsidRDefault="00936E56" w:rsidP="00936E56">
            <w:pPr>
              <w:autoSpaceDE w:val="0"/>
              <w:autoSpaceDN w:val="0"/>
              <w:adjustRightInd w:val="0"/>
              <w:spacing w:after="0" w:line="240" w:lineRule="auto"/>
              <w:jc w:val="center"/>
              <w:rPr>
                <w:rFonts w:cs="Arial"/>
                <w:color w:val="000000"/>
                <w:sz w:val="14"/>
                <w:szCs w:val="14"/>
              </w:rPr>
            </w:pPr>
          </w:p>
        </w:tc>
        <w:tc>
          <w:tcPr>
            <w:tcW w:w="810" w:type="dxa"/>
            <w:tcBorders>
              <w:top w:val="nil"/>
              <w:left w:val="nil"/>
              <w:bottom w:val="single" w:sz="4" w:space="0" w:color="D9D9D9"/>
              <w:right w:val="nil"/>
            </w:tcBorders>
            <w:shd w:val="clear" w:color="auto" w:fill="DFEBF1" w:themeFill="text2" w:themeFillTint="1A"/>
          </w:tcPr>
          <w:p w14:paraId="1C488BFE" w14:textId="6436F472" w:rsidR="00936E56" w:rsidRPr="00936E56" w:rsidRDefault="00936E56" w:rsidP="00936E56">
            <w:pPr>
              <w:autoSpaceDE w:val="0"/>
              <w:autoSpaceDN w:val="0"/>
              <w:adjustRightInd w:val="0"/>
              <w:spacing w:after="0" w:line="240" w:lineRule="auto"/>
              <w:jc w:val="center"/>
              <w:rPr>
                <w:rFonts w:cs="Arial"/>
                <w:color w:val="000000"/>
                <w:sz w:val="14"/>
                <w:szCs w:val="14"/>
              </w:rPr>
            </w:pPr>
          </w:p>
        </w:tc>
      </w:tr>
    </w:tbl>
    <w:p w14:paraId="00D55242" w14:textId="77777777" w:rsidR="009E3F6F" w:rsidRPr="0088109E" w:rsidRDefault="009E3F6F" w:rsidP="009E3F6F">
      <w:pPr>
        <w:pStyle w:val="TableParagraph"/>
        <w:rPr>
          <w:b/>
          <w:bCs/>
          <w:highlight w:val="yellow"/>
        </w:rPr>
      </w:pPr>
    </w:p>
    <w:p w14:paraId="12C16547" w14:textId="77777777" w:rsidR="009E3F6F" w:rsidRPr="00F67A07" w:rsidRDefault="009E3F6F" w:rsidP="009E3F6F">
      <w:pPr>
        <w:pStyle w:val="TableParagraph"/>
        <w:rPr>
          <w:b/>
          <w:bCs/>
        </w:rPr>
      </w:pPr>
      <w:r w:rsidRPr="00F67A07">
        <w:rPr>
          <w:b/>
          <w:bCs/>
        </w:rPr>
        <w:t>Notes</w:t>
      </w:r>
    </w:p>
    <w:p w14:paraId="20570A38" w14:textId="77777777" w:rsidR="009E3F6F" w:rsidRPr="00F67A07" w:rsidRDefault="009E3F6F" w:rsidP="000C38AE">
      <w:pPr>
        <w:pStyle w:val="TableParagraph"/>
        <w:numPr>
          <w:ilvl w:val="0"/>
          <w:numId w:val="32"/>
        </w:numPr>
        <w:ind w:left="340" w:hanging="56"/>
      </w:pPr>
      <w:r w:rsidRPr="00F67A07">
        <w:t>For</w:t>
      </w:r>
      <w:r w:rsidRPr="00F67A07">
        <w:rPr>
          <w:spacing w:val="-3"/>
        </w:rPr>
        <w:t xml:space="preserve"> </w:t>
      </w:r>
      <w:r w:rsidRPr="00F67A07">
        <w:t>cost weight (cost</w:t>
      </w:r>
      <w:r w:rsidRPr="00F67A07">
        <w:rPr>
          <w:spacing w:val="-2"/>
        </w:rPr>
        <w:t xml:space="preserve"> </w:t>
      </w:r>
      <w:r w:rsidRPr="00F67A07">
        <w:t>bucket</w:t>
      </w:r>
      <w:r w:rsidRPr="00F67A07">
        <w:rPr>
          <w:spacing w:val="-2"/>
        </w:rPr>
        <w:t xml:space="preserve"> </w:t>
      </w:r>
      <w:r w:rsidRPr="00F67A07">
        <w:t>specific)</w:t>
      </w:r>
      <w:r w:rsidRPr="00F67A07">
        <w:rPr>
          <w:spacing w:val="-2"/>
        </w:rPr>
        <w:t xml:space="preserve"> </w:t>
      </w:r>
      <w:r w:rsidRPr="00F67A07">
        <w:t>calculations</w:t>
      </w:r>
      <w:r w:rsidRPr="00F67A07">
        <w:rPr>
          <w:spacing w:val="-2"/>
        </w:rPr>
        <w:t xml:space="preserve"> </w:t>
      </w:r>
      <w:r w:rsidRPr="00F67A07">
        <w:t>please</w:t>
      </w:r>
      <w:r w:rsidRPr="00F67A07">
        <w:rPr>
          <w:spacing w:val="-2"/>
        </w:rPr>
        <w:t xml:space="preserve"> </w:t>
      </w:r>
      <w:r w:rsidRPr="00F67A07">
        <w:t>refer</w:t>
      </w:r>
      <w:r w:rsidRPr="00F67A07">
        <w:rPr>
          <w:spacing w:val="-3"/>
        </w:rPr>
        <w:t xml:space="preserve"> </w:t>
      </w:r>
      <w:r w:rsidRPr="00F67A07">
        <w:t xml:space="preserve">to </w:t>
      </w:r>
      <w:r w:rsidRPr="00F67A07">
        <w:fldChar w:fldCharType="begin"/>
      </w:r>
      <w:r w:rsidRPr="00F67A07">
        <w:instrText xml:space="preserve"> REF _Ref103175315 \h  \* MERGEFORMAT </w:instrText>
      </w:r>
      <w:r w:rsidRPr="00F67A07">
        <w:fldChar w:fldCharType="separate"/>
      </w:r>
      <w:r w:rsidRPr="00F67A07">
        <w:t>Appendix</w:t>
      </w:r>
      <w:r w:rsidRPr="00F67A07">
        <w:rPr>
          <w:spacing w:val="-2"/>
        </w:rPr>
        <w:t xml:space="preserve"> </w:t>
      </w:r>
      <w:r w:rsidRPr="00F67A07">
        <w:t>D:</w:t>
      </w:r>
      <w:r w:rsidRPr="00F67A07">
        <w:rPr>
          <w:spacing w:val="1"/>
        </w:rPr>
        <w:t xml:space="preserve"> </w:t>
      </w:r>
      <w:r w:rsidRPr="00F67A07">
        <w:t>Cost</w:t>
      </w:r>
      <w:r w:rsidRPr="00F67A07">
        <w:rPr>
          <w:spacing w:val="1"/>
        </w:rPr>
        <w:t xml:space="preserve"> </w:t>
      </w:r>
      <w:r w:rsidRPr="00F67A07">
        <w:t>weight</w:t>
      </w:r>
      <w:r w:rsidRPr="00F67A07">
        <w:rPr>
          <w:spacing w:val="1"/>
        </w:rPr>
        <w:t xml:space="preserve"> </w:t>
      </w:r>
      <w:r w:rsidRPr="00F67A07">
        <w:t>tables by AR-DRG Version 10.0</w:t>
      </w:r>
      <w:r w:rsidRPr="00F67A07">
        <w:fldChar w:fldCharType="end"/>
      </w:r>
    </w:p>
    <w:p w14:paraId="462FD8E1" w14:textId="77777777" w:rsidR="009E3F6F" w:rsidRPr="00F67A07" w:rsidRDefault="009E3F6F" w:rsidP="000C38AE">
      <w:pPr>
        <w:pStyle w:val="TableParagraph"/>
        <w:numPr>
          <w:ilvl w:val="0"/>
          <w:numId w:val="32"/>
        </w:numPr>
        <w:ind w:left="340" w:hanging="56"/>
      </w:pPr>
      <w:r w:rsidRPr="00F67A07">
        <w:t>Separations</w:t>
      </w:r>
      <w:r w:rsidRPr="00F67A07">
        <w:rPr>
          <w:spacing w:val="-4"/>
        </w:rPr>
        <w:t xml:space="preserve"> </w:t>
      </w:r>
      <w:r w:rsidRPr="00F67A07">
        <w:t>shown</w:t>
      </w:r>
      <w:r w:rsidRPr="00F67A07">
        <w:rPr>
          <w:spacing w:val="-3"/>
        </w:rPr>
        <w:t xml:space="preserve"> </w:t>
      </w:r>
      <w:r w:rsidRPr="00F67A07">
        <w:t>are</w:t>
      </w:r>
      <w:r w:rsidRPr="00F67A07">
        <w:rPr>
          <w:spacing w:val="-1"/>
        </w:rPr>
        <w:t xml:space="preserve"> </w:t>
      </w:r>
      <w:r w:rsidRPr="00F67A07">
        <w:t>strata</w:t>
      </w:r>
      <w:r w:rsidRPr="00F67A07">
        <w:rPr>
          <w:spacing w:val="1"/>
        </w:rPr>
        <w:t xml:space="preserve"> </w:t>
      </w:r>
      <w:proofErr w:type="gramStart"/>
      <w:r w:rsidRPr="00F67A07">
        <w:t>weighted</w:t>
      </w:r>
      <w:proofErr w:type="gramEnd"/>
    </w:p>
    <w:p w14:paraId="07039A86" w14:textId="5AFE69B8" w:rsidR="0024696A" w:rsidRDefault="009E3F6F" w:rsidP="0024696A">
      <w:pPr>
        <w:pStyle w:val="TableParagraph"/>
        <w:numPr>
          <w:ilvl w:val="0"/>
          <w:numId w:val="32"/>
        </w:numPr>
        <w:ind w:left="340" w:hanging="56"/>
      </w:pPr>
      <w:r w:rsidRPr="00F67A07">
        <w:t>The overall cost weight represents the cost weight across all cost buckets (total cost) of the strata weighted separations.</w:t>
      </w:r>
    </w:p>
    <w:p w14:paraId="257FAEFE" w14:textId="77777777" w:rsidR="006E3741" w:rsidRDefault="006E3741">
      <w:pPr>
        <w:spacing w:line="259" w:lineRule="auto"/>
        <w:rPr>
          <w:rFonts w:eastAsiaTheme="majorEastAsia" w:cstheme="majorBidi"/>
          <w:b/>
          <w:bCs/>
          <w:sz w:val="72"/>
          <w:szCs w:val="32"/>
          <w:highlight w:val="lightGray"/>
        </w:rPr>
      </w:pPr>
      <w:bookmarkStart w:id="156" w:name="_Toc129178847"/>
      <w:bookmarkStart w:id="157" w:name="_Toc129185003"/>
      <w:bookmarkStart w:id="158" w:name="_Toc129178848"/>
      <w:bookmarkStart w:id="159" w:name="_Toc129185004"/>
      <w:bookmarkStart w:id="160" w:name="_Toc129178849"/>
      <w:bookmarkStart w:id="161" w:name="_Toc129185005"/>
      <w:bookmarkStart w:id="162" w:name="_Toc129178850"/>
      <w:bookmarkStart w:id="163" w:name="_Toc129185006"/>
      <w:bookmarkStart w:id="164" w:name="_Toc129178851"/>
      <w:bookmarkStart w:id="165" w:name="_Toc129185007"/>
      <w:bookmarkStart w:id="166" w:name="_Toc129178852"/>
      <w:bookmarkStart w:id="167" w:name="_Toc129185008"/>
      <w:bookmarkStart w:id="168" w:name="_Toc129178853"/>
      <w:bookmarkStart w:id="169" w:name="_Toc129185009"/>
      <w:bookmarkStart w:id="170" w:name="_Toc129178854"/>
      <w:bookmarkStart w:id="171" w:name="_Toc129185010"/>
      <w:bookmarkStart w:id="172" w:name="_Toc129178855"/>
      <w:bookmarkStart w:id="173" w:name="_Toc129185011"/>
      <w:bookmarkStart w:id="174" w:name="_Toc129178856"/>
      <w:bookmarkStart w:id="175" w:name="_Toc129185012"/>
      <w:bookmarkStart w:id="176" w:name="_Toc129178857"/>
      <w:bookmarkStart w:id="177" w:name="_Toc129185013"/>
      <w:bookmarkStart w:id="178" w:name="_Toc129178858"/>
      <w:bookmarkStart w:id="179" w:name="_Toc129185014"/>
      <w:bookmarkStart w:id="180" w:name="_Toc129178859"/>
      <w:bookmarkStart w:id="181" w:name="_Toc129185015"/>
      <w:bookmarkStart w:id="182" w:name="_Toc129178860"/>
      <w:bookmarkStart w:id="183" w:name="_Toc129185016"/>
      <w:bookmarkStart w:id="184" w:name="_Toc129178861"/>
      <w:bookmarkStart w:id="185" w:name="_Toc129185017"/>
      <w:bookmarkStart w:id="186" w:name="_Toc129178862"/>
      <w:bookmarkStart w:id="187" w:name="_Toc129185018"/>
      <w:bookmarkStart w:id="188" w:name="_Toc129178863"/>
      <w:bookmarkStart w:id="189" w:name="_Toc129185019"/>
      <w:bookmarkStart w:id="190" w:name="_Toc129178864"/>
      <w:bookmarkStart w:id="191" w:name="_Toc129185020"/>
      <w:bookmarkStart w:id="192" w:name="_Toc129178865"/>
      <w:bookmarkStart w:id="193" w:name="_Toc129185021"/>
      <w:bookmarkStart w:id="194" w:name="_Toc129178866"/>
      <w:bookmarkStart w:id="195" w:name="_Toc129185022"/>
      <w:bookmarkStart w:id="196" w:name="_Toc129178867"/>
      <w:bookmarkStart w:id="197" w:name="_Toc129185023"/>
      <w:bookmarkStart w:id="198" w:name="_Toc129178868"/>
      <w:bookmarkStart w:id="199" w:name="_Toc129185024"/>
      <w:bookmarkStart w:id="200" w:name="_Toc129178869"/>
      <w:bookmarkStart w:id="201" w:name="_Toc129185025"/>
      <w:bookmarkStart w:id="202" w:name="_Toc129178870"/>
      <w:bookmarkStart w:id="203" w:name="_Toc129185026"/>
      <w:bookmarkStart w:id="204" w:name="_Toc129178871"/>
      <w:bookmarkStart w:id="205" w:name="_Toc129185027"/>
      <w:bookmarkStart w:id="206" w:name="_Toc129178872"/>
      <w:bookmarkStart w:id="207" w:name="_Toc129185028"/>
      <w:bookmarkStart w:id="208" w:name="_Toc129178873"/>
      <w:bookmarkStart w:id="209" w:name="_Toc129185029"/>
      <w:bookmarkStart w:id="210" w:name="_Toc129178874"/>
      <w:bookmarkStart w:id="211" w:name="_Toc129185030"/>
      <w:bookmarkStart w:id="212" w:name="_Toc129178875"/>
      <w:bookmarkStart w:id="213" w:name="_Toc129185031"/>
      <w:bookmarkStart w:id="214" w:name="_Toc129178876"/>
      <w:bookmarkStart w:id="215" w:name="_Toc129185032"/>
      <w:bookmarkStart w:id="216" w:name="_Toc129178889"/>
      <w:bookmarkStart w:id="217" w:name="_Toc129185045"/>
      <w:bookmarkStart w:id="218" w:name="_Toc129179243"/>
      <w:bookmarkStart w:id="219" w:name="_Toc129185399"/>
      <w:bookmarkStart w:id="220" w:name="_Toc129179244"/>
      <w:bookmarkStart w:id="221" w:name="_Toc129185400"/>
      <w:bookmarkStart w:id="222" w:name="_Toc129179245"/>
      <w:bookmarkStart w:id="223" w:name="_Toc129185401"/>
      <w:bookmarkStart w:id="224" w:name="_Toc129179246"/>
      <w:bookmarkStart w:id="225" w:name="_Toc129185402"/>
      <w:bookmarkStart w:id="226" w:name="_Toc129179247"/>
      <w:bookmarkStart w:id="227" w:name="_Toc129185403"/>
      <w:bookmarkStart w:id="228" w:name="_Toc129179248"/>
      <w:bookmarkStart w:id="229" w:name="_Toc129185404"/>
      <w:bookmarkStart w:id="230" w:name="_Ref128382891"/>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Pr>
          <w:highlight w:val="lightGray"/>
        </w:rPr>
        <w:br w:type="page"/>
      </w:r>
    </w:p>
    <w:p w14:paraId="2CF25F9C" w14:textId="77777777" w:rsidR="00C5084D" w:rsidRDefault="00C5084D" w:rsidP="006E3741">
      <w:pPr>
        <w:pStyle w:val="Heading1"/>
        <w:numPr>
          <w:ilvl w:val="0"/>
          <w:numId w:val="0"/>
        </w:numPr>
        <w:sectPr w:rsidR="00C5084D" w:rsidSect="004C7809">
          <w:footerReference w:type="default" r:id="rId36"/>
          <w:pgSz w:w="16838" w:h="11906" w:orient="landscape" w:code="9"/>
          <w:pgMar w:top="1077" w:right="567" w:bottom="1077" w:left="567" w:header="708" w:footer="708" w:gutter="0"/>
          <w:cols w:space="720"/>
          <w:docGrid w:linePitch="360"/>
        </w:sectPr>
      </w:pPr>
    </w:p>
    <w:p w14:paraId="077A7EB0" w14:textId="50CEB842" w:rsidR="005C4EDC" w:rsidRPr="005629F8" w:rsidRDefault="00F37CAA" w:rsidP="002153FC">
      <w:pPr>
        <w:pStyle w:val="Heading1"/>
        <w:ind w:left="709"/>
      </w:pPr>
      <w:bookmarkStart w:id="231" w:name="_Toc152080392"/>
      <w:r w:rsidRPr="005629F8">
        <w:lastRenderedPageBreak/>
        <w:t>COVID-19</w:t>
      </w:r>
      <w:bookmarkEnd w:id="230"/>
      <w:bookmarkEnd w:id="231"/>
    </w:p>
    <w:p w14:paraId="13903D7D" w14:textId="0E4D6970" w:rsidR="005C4EDC" w:rsidRPr="005629F8" w:rsidRDefault="005C4EDC" w:rsidP="00FC4599">
      <w:pPr>
        <w:pStyle w:val="Heading2"/>
      </w:pPr>
      <w:bookmarkStart w:id="232" w:name="_Toc129700691"/>
      <w:bookmarkStart w:id="233" w:name="_Toc129701384"/>
      <w:r w:rsidRPr="005629F8">
        <w:t>Background</w:t>
      </w:r>
      <w:bookmarkEnd w:id="232"/>
      <w:bookmarkEnd w:id="233"/>
    </w:p>
    <w:p w14:paraId="1689D33A" w14:textId="58E2B74F" w:rsidR="00AA3CAC" w:rsidRPr="005629F8" w:rsidRDefault="00AA3CAC" w:rsidP="00AA3CAC">
      <w:r w:rsidRPr="005629F8">
        <w:t>The COVID</w:t>
      </w:r>
      <w:r w:rsidRPr="005629F8">
        <w:noBreakHyphen/>
        <w:t>19 pandemic affected the healthcare system within Australia, causing systemic impacts that directly and indirectly affected the private hospital sector. Actions from governments as part of the COVID-19 response impacted hospital activity and hence expenditure submitted to the NHCDC</w:t>
      </w:r>
      <w:r w:rsidR="00E1672C">
        <w:t xml:space="preserve"> p</w:t>
      </w:r>
      <w:r w:rsidR="00E1672C" w:rsidRPr="005629F8">
        <w:t xml:space="preserve">rivate </w:t>
      </w:r>
      <w:r w:rsidR="00E1672C" w:rsidRPr="008A18D9">
        <w:t>sector</w:t>
      </w:r>
      <w:r w:rsidR="003209B6" w:rsidRPr="008A18D9">
        <w:t>. Differences in both impact and responses varied from state to state</w:t>
      </w:r>
      <w:r w:rsidRPr="008A18D9">
        <w:t xml:space="preserve">, </w:t>
      </w:r>
      <w:r w:rsidR="00F21175">
        <w:t>with</w:t>
      </w:r>
      <w:r w:rsidRPr="005629F8">
        <w:t xml:space="preserve"> financial implications</w:t>
      </w:r>
      <w:r w:rsidR="00157180">
        <w:t xml:space="preserve"> that are</w:t>
      </w:r>
      <w:r w:rsidRPr="005629F8">
        <w:t xml:space="preserve"> reflected in this report.</w:t>
      </w:r>
      <w:r w:rsidR="003209B6">
        <w:t xml:space="preserve"> </w:t>
      </w:r>
    </w:p>
    <w:p w14:paraId="32131913" w14:textId="119B50DA" w:rsidR="003640D7" w:rsidRPr="000413C7" w:rsidRDefault="00996578" w:rsidP="003640D7">
      <w:r>
        <w:t xml:space="preserve">At the beginning of the pandemic in March 2020, national lockdowns </w:t>
      </w:r>
      <w:r w:rsidR="003640D7">
        <w:t>impacted</w:t>
      </w:r>
      <w:r w:rsidR="003640D7" w:rsidRPr="000413C7">
        <w:t xml:space="preserve"> non-essential activities</w:t>
      </w:r>
      <w:r>
        <w:t xml:space="preserve">, </w:t>
      </w:r>
      <w:proofErr w:type="gramStart"/>
      <w:r w:rsidR="003640D7" w:rsidRPr="000413C7">
        <w:t>pausing</w:t>
      </w:r>
      <w:proofErr w:type="gramEnd"/>
      <w:r w:rsidR="003640D7" w:rsidRPr="000413C7">
        <w:t xml:space="preserve"> or reducing activities under </w:t>
      </w:r>
      <w:r w:rsidR="00EC4B3D">
        <w:t xml:space="preserve">the </w:t>
      </w:r>
      <w:r w:rsidR="003640D7" w:rsidRPr="000413C7">
        <w:t>‘stay at home’ orders. This had the following impact on public hospital activities:</w:t>
      </w:r>
    </w:p>
    <w:p w14:paraId="21B5B0BE" w14:textId="3E862813" w:rsidR="003640D7" w:rsidRPr="000413C7" w:rsidRDefault="003A709A" w:rsidP="003640D7">
      <w:pPr>
        <w:pStyle w:val="ListLevel1"/>
      </w:pPr>
      <w:r>
        <w:t>e</w:t>
      </w:r>
      <w:r w:rsidR="003640D7" w:rsidRPr="000413C7">
        <w:t xml:space="preserve">lective surgeries were suspended, except for category 1 and urgent category </w:t>
      </w:r>
      <w:proofErr w:type="gramStart"/>
      <w:r w:rsidR="003640D7" w:rsidRPr="000413C7">
        <w:t>2</w:t>
      </w:r>
      <w:proofErr w:type="gramEnd"/>
    </w:p>
    <w:p w14:paraId="524A1D66" w14:textId="3BBC37BF" w:rsidR="003640D7" w:rsidRPr="000413C7" w:rsidRDefault="003A709A" w:rsidP="003640D7">
      <w:pPr>
        <w:pStyle w:val="ListLevel1"/>
      </w:pPr>
      <w:r>
        <w:t>e</w:t>
      </w:r>
      <w:r w:rsidR="003640D7" w:rsidRPr="000413C7">
        <w:t>mergency department presentations</w:t>
      </w:r>
      <w:r w:rsidR="001E0E68">
        <w:t xml:space="preserve"> were </w:t>
      </w:r>
      <w:proofErr w:type="gramStart"/>
      <w:r w:rsidR="001E0E68" w:rsidRPr="000413C7">
        <w:t>reduced</w:t>
      </w:r>
      <w:proofErr w:type="gramEnd"/>
    </w:p>
    <w:p w14:paraId="0056AAA0" w14:textId="589A9D02" w:rsidR="003640D7" w:rsidRPr="000413C7" w:rsidRDefault="003A709A" w:rsidP="003640D7">
      <w:pPr>
        <w:pStyle w:val="ListLevel1"/>
      </w:pPr>
      <w:r>
        <w:t>h</w:t>
      </w:r>
      <w:r w:rsidR="003640D7" w:rsidRPr="000413C7">
        <w:t>ospitals incurred additional costs related to preparedness activities.</w:t>
      </w:r>
    </w:p>
    <w:p w14:paraId="17DC6411" w14:textId="0F4F56BB" w:rsidR="003640D7" w:rsidRDefault="003640D7" w:rsidP="003640D7">
      <w:r w:rsidRPr="000413C7">
        <w:t>In April 2020</w:t>
      </w:r>
      <w:r w:rsidR="00855591">
        <w:t>,</w:t>
      </w:r>
      <w:r w:rsidRPr="000413C7">
        <w:t xml:space="preserve"> some category 2 and 3 elective surgeries were resumed, and by May 2020 a 3</w:t>
      </w:r>
      <w:r w:rsidRPr="000413C7">
        <w:noBreakHyphen/>
        <w:t>stage plan to resume elective surgeries was announced. These events directly impacted the level of activity in hospitals across the country.</w:t>
      </w:r>
    </w:p>
    <w:p w14:paraId="672BD9C3" w14:textId="6D86E6F4" w:rsidR="006D1937" w:rsidRDefault="00996578" w:rsidP="005629F8">
      <w:r w:rsidRPr="00E57742">
        <w:t>Following the</w:t>
      </w:r>
      <w:r>
        <w:t>se</w:t>
      </w:r>
      <w:r w:rsidRPr="00E57742">
        <w:t xml:space="preserve"> </w:t>
      </w:r>
      <w:r>
        <w:t xml:space="preserve">initial </w:t>
      </w:r>
      <w:r w:rsidRPr="00E57742">
        <w:t xml:space="preserve">national </w:t>
      </w:r>
      <w:r>
        <w:t>lockdowns</w:t>
      </w:r>
      <w:r w:rsidRPr="00E57742">
        <w:t xml:space="preserve">, </w:t>
      </w:r>
      <w:r w:rsidRPr="00DA6CD0">
        <w:t>government responses to the pandemic varied across states</w:t>
      </w:r>
      <w:r w:rsidRPr="00E57742">
        <w:t xml:space="preserve">. Jurisdictions had different </w:t>
      </w:r>
      <w:r w:rsidR="00F21175">
        <w:t xml:space="preserve">COVID-19 </w:t>
      </w:r>
      <w:r w:rsidRPr="00E57742">
        <w:t>restrictions imposed during 2020</w:t>
      </w:r>
      <w:r w:rsidRPr="00E57742">
        <w:noBreakHyphen/>
        <w:t>21</w:t>
      </w:r>
      <w:r w:rsidR="000C464C">
        <w:t xml:space="preserve">, </w:t>
      </w:r>
      <w:r w:rsidR="00F21175">
        <w:t>that lead to varied</w:t>
      </w:r>
      <w:r w:rsidRPr="00E57742">
        <w:t xml:space="preserve"> activity and costs between jurisdictions and individual facilities within hospital groups.</w:t>
      </w:r>
    </w:p>
    <w:p w14:paraId="31EAB1F9" w14:textId="4F9918F8" w:rsidR="00AA3CAC" w:rsidRPr="005629F8" w:rsidRDefault="00AA3CAC" w:rsidP="00FC4599">
      <w:pPr>
        <w:pStyle w:val="Heading2"/>
      </w:pPr>
      <w:bookmarkStart w:id="234" w:name="_Toc129700692"/>
      <w:bookmarkStart w:id="235" w:name="_Toc129701385"/>
      <w:r w:rsidRPr="005629F8">
        <w:t>Costing Approach to COVID-19</w:t>
      </w:r>
      <w:bookmarkEnd w:id="234"/>
      <w:bookmarkEnd w:id="235"/>
    </w:p>
    <w:p w14:paraId="045B20BD" w14:textId="06D5E569" w:rsidR="00996578" w:rsidRDefault="00AA3CAC" w:rsidP="005629F8">
      <w:r w:rsidRPr="005629F8">
        <w:t xml:space="preserve">In June 2020, IHACPA released the </w:t>
      </w:r>
      <w:r w:rsidRPr="005629F8">
        <w:rPr>
          <w:i/>
          <w:iCs/>
        </w:rPr>
        <w:t>COVID-19 Response - Costing and pricing guidelines</w:t>
      </w:r>
      <w:r w:rsidRPr="005629F8">
        <w:rPr>
          <w:rStyle w:val="FootnoteReference"/>
        </w:rPr>
        <w:footnoteReference w:id="14"/>
      </w:r>
      <w:r w:rsidRPr="005629F8">
        <w:t xml:space="preserve"> for the costing and pricing of activity for the COVID</w:t>
      </w:r>
      <w:r w:rsidRPr="005629F8">
        <w:noBreakHyphen/>
        <w:t>19 response</w:t>
      </w:r>
      <w:r w:rsidR="00605F54">
        <w:t xml:space="preserve">. This relates </w:t>
      </w:r>
      <w:r w:rsidRPr="005629F8">
        <w:t xml:space="preserve">to the National Partnership on COVID-19 Response (NPCR) </w:t>
      </w:r>
      <w:proofErr w:type="gramStart"/>
      <w:r w:rsidRPr="005629F8">
        <w:t>entered into</w:t>
      </w:r>
      <w:proofErr w:type="gramEnd"/>
      <w:r w:rsidRPr="005629F8">
        <w:t xml:space="preserve"> by the Commonwealth </w:t>
      </w:r>
      <w:r w:rsidR="00B567BF">
        <w:t xml:space="preserve">Government </w:t>
      </w:r>
      <w:r w:rsidRPr="005629F8">
        <w:t xml:space="preserve">and state and territory governments. </w:t>
      </w:r>
      <w:r w:rsidR="004B684B">
        <w:t>This document was also a reference for private sector hospitals undertaking costing in the COVID</w:t>
      </w:r>
      <w:r w:rsidR="001234D1">
        <w:t>-19</w:t>
      </w:r>
      <w:r w:rsidR="004B684B">
        <w:t xml:space="preserve"> period. </w:t>
      </w:r>
    </w:p>
    <w:p w14:paraId="5D82B43C" w14:textId="08D777A9" w:rsidR="00AA3CAC" w:rsidRPr="005629F8" w:rsidRDefault="00AA3CAC" w:rsidP="005629F8">
      <w:r w:rsidRPr="005629F8">
        <w:t>Although provided with the guidelines by IHACPA, due to the timing and uncertainty of the pandemic response</w:t>
      </w:r>
      <w:r w:rsidR="00996578">
        <w:t>,</w:t>
      </w:r>
      <w:r w:rsidRPr="005629F8">
        <w:t xml:space="preserve"> the participating hospital groups undertook different approaches to costing for 202</w:t>
      </w:r>
      <w:r w:rsidR="00E56FEC">
        <w:t>1</w:t>
      </w:r>
      <w:r w:rsidRPr="005629F8">
        <w:noBreakHyphen/>
        <w:t>2</w:t>
      </w:r>
      <w:r w:rsidR="00E56FEC">
        <w:t>2</w:t>
      </w:r>
      <w:r w:rsidRPr="005629F8">
        <w:t>. Some utilised COVID-19 cost centres to capture the pandemic related costs and others excluded these costs from their</w:t>
      </w:r>
      <w:r w:rsidR="00A51ACE" w:rsidRPr="005629F8">
        <w:t xml:space="preserve"> NHCDC</w:t>
      </w:r>
      <w:r w:rsidRPr="005629F8">
        <w:t xml:space="preserve"> submission. These differences in costing approach resulted in variations in how costs were spread across time periods and episodes.</w:t>
      </w:r>
    </w:p>
    <w:p w14:paraId="01A8846C" w14:textId="4206880A" w:rsidR="00AA3CAC" w:rsidRPr="005629F8" w:rsidRDefault="00996578" w:rsidP="00FC4599">
      <w:pPr>
        <w:pStyle w:val="Heading2"/>
      </w:pPr>
      <w:bookmarkStart w:id="236" w:name="_Toc129700693"/>
      <w:bookmarkStart w:id="237" w:name="_Toc129701386"/>
      <w:r>
        <w:t xml:space="preserve">Impacts by </w:t>
      </w:r>
      <w:proofErr w:type="gramStart"/>
      <w:r>
        <w:t>j</w:t>
      </w:r>
      <w:r w:rsidR="00AA3CAC" w:rsidRPr="005629F8">
        <w:t>urisdiction</w:t>
      </w:r>
      <w:bookmarkEnd w:id="236"/>
      <w:bookmarkEnd w:id="237"/>
      <w:proofErr w:type="gramEnd"/>
    </w:p>
    <w:p w14:paraId="602CC0AA" w14:textId="17EB65BA" w:rsidR="004B684B" w:rsidRDefault="00996578" w:rsidP="005629F8">
      <w:r w:rsidRPr="00DA6CD0">
        <w:t>Following the nation-wide lockdown in the last quarter of 2019-20, state governments varied in their public health orders and restrictions on activity throughout 2020-</w:t>
      </w:r>
      <w:r w:rsidR="00536475">
        <w:t>21</w:t>
      </w:r>
      <w:r>
        <w:t xml:space="preserve">. </w:t>
      </w:r>
      <w:r w:rsidR="00F2253B">
        <w:fldChar w:fldCharType="begin"/>
      </w:r>
      <w:r w:rsidR="00F2253B">
        <w:instrText xml:space="preserve"> REF _Ref129182780 \h </w:instrText>
      </w:r>
      <w:r w:rsidR="00F2253B">
        <w:fldChar w:fldCharType="separate"/>
      </w:r>
      <w:r w:rsidR="006B145F" w:rsidRPr="00AD55EF">
        <w:t xml:space="preserve">Figure </w:t>
      </w:r>
      <w:r w:rsidR="006B145F">
        <w:rPr>
          <w:noProof/>
        </w:rPr>
        <w:t>12</w:t>
      </w:r>
      <w:r w:rsidR="00F2253B">
        <w:fldChar w:fldCharType="end"/>
      </w:r>
      <w:r w:rsidR="00A51ACE" w:rsidRPr="005629F8">
        <w:fldChar w:fldCharType="begin"/>
      </w:r>
      <w:r w:rsidR="00A51ACE" w:rsidRPr="005629F8">
        <w:instrText xml:space="preserve"> REF _Ref127976228 \h </w:instrText>
      </w:r>
      <w:r w:rsidR="00A51ACE" w:rsidRPr="005629F8">
        <w:fldChar w:fldCharType="end"/>
      </w:r>
      <w:r w:rsidR="00A51ACE" w:rsidRPr="005629F8">
        <w:t xml:space="preserve"> below shows the number of sample separations by jurisdiction across years 2019-20</w:t>
      </w:r>
      <w:r w:rsidR="00E56FEC">
        <w:t>,</w:t>
      </w:r>
      <w:r w:rsidR="00A51ACE" w:rsidRPr="005629F8">
        <w:t xml:space="preserve"> 2020-21</w:t>
      </w:r>
      <w:r w:rsidR="00E56FEC">
        <w:t>, and</w:t>
      </w:r>
      <w:r w:rsidR="00B467D2">
        <w:t xml:space="preserve"> 2021-22</w:t>
      </w:r>
      <w:r w:rsidR="00A51ACE" w:rsidRPr="005629F8">
        <w:t>.</w:t>
      </w:r>
      <w:r w:rsidR="000427AA">
        <w:t xml:space="preserve"> </w:t>
      </w:r>
    </w:p>
    <w:p w14:paraId="0E21DA3F" w14:textId="042D3AA0" w:rsidR="00536475" w:rsidRDefault="000427AA" w:rsidP="005629F8">
      <w:r>
        <w:lastRenderedPageBreak/>
        <w:t>The jurisdictional data is based on the location of private sector facilities.</w:t>
      </w:r>
      <w:r w:rsidR="004B684B">
        <w:t xml:space="preserve"> </w:t>
      </w:r>
      <w:r>
        <w:t xml:space="preserve">The </w:t>
      </w:r>
      <w:r w:rsidR="00881AF0">
        <w:t>3</w:t>
      </w:r>
      <w:r>
        <w:t xml:space="preserve"> states comprising </w:t>
      </w:r>
      <w:r w:rsidR="002C5C56">
        <w:t xml:space="preserve">the </w:t>
      </w:r>
      <w:r>
        <w:t xml:space="preserve">most private sector activity in the NHCDC (Victoria, New South </w:t>
      </w:r>
      <w:proofErr w:type="gramStart"/>
      <w:r>
        <w:t>Wales</w:t>
      </w:r>
      <w:proofErr w:type="gramEnd"/>
      <w:r>
        <w:t xml:space="preserve"> and Queensland) are shown separately. The remaining states and territories are grouped </w:t>
      </w:r>
      <w:r w:rsidR="000C464C">
        <w:t xml:space="preserve">under </w:t>
      </w:r>
      <w:r>
        <w:t xml:space="preserve">the </w:t>
      </w:r>
      <w:r w:rsidR="000C464C">
        <w:t>‘</w:t>
      </w:r>
      <w:r>
        <w:t>other’ jurisdiction.</w:t>
      </w:r>
      <w:r w:rsidR="004B684B">
        <w:t xml:space="preserve"> </w:t>
      </w:r>
    </w:p>
    <w:p w14:paraId="1D711BAD" w14:textId="2A6AF2B5" w:rsidR="00A51ACE" w:rsidRPr="005629F8" w:rsidRDefault="004B684B" w:rsidP="005629F8">
      <w:r>
        <w:t xml:space="preserve">Victorian </w:t>
      </w:r>
      <w:r w:rsidRPr="000C3696">
        <w:t>hospitals submitted the highest volume of separations to the NHCDC sample</w:t>
      </w:r>
      <w:r w:rsidR="001234D1" w:rsidRPr="000C3696">
        <w:t>.</w:t>
      </w:r>
      <w:r w:rsidRPr="000C3696">
        <w:t xml:space="preserve"> </w:t>
      </w:r>
      <w:r w:rsidR="001234D1" w:rsidRPr="000C3696">
        <w:t>A</w:t>
      </w:r>
      <w:r w:rsidR="00536475" w:rsidRPr="000C3696">
        <w:t>s a result, the 202</w:t>
      </w:r>
      <w:r w:rsidR="009A0B88" w:rsidRPr="000C3696">
        <w:t>1</w:t>
      </w:r>
      <w:r w:rsidR="00536475" w:rsidRPr="000C3696">
        <w:t>-2</w:t>
      </w:r>
      <w:r w:rsidR="009A0B88" w:rsidRPr="000C3696">
        <w:t>2</w:t>
      </w:r>
      <w:r w:rsidR="00536475" w:rsidRPr="000C3696">
        <w:t xml:space="preserve"> NHCDC continues to be impacted by COVID</w:t>
      </w:r>
      <w:r w:rsidR="001234D1" w:rsidRPr="000C3696">
        <w:t>-19,</w:t>
      </w:r>
      <w:r w:rsidR="00536475" w:rsidRPr="000C3696">
        <w:t xml:space="preserve"> as Victoria had the most restrictions on elective surgeries and lockdowns due to </w:t>
      </w:r>
      <w:r w:rsidR="000C3696" w:rsidRPr="000C3696">
        <w:t>the mandated response to manage COVID-19 cases.</w:t>
      </w:r>
    </w:p>
    <w:p w14:paraId="079EC29F" w14:textId="7995F1C7" w:rsidR="00B90AAB" w:rsidRDefault="00B90AAB" w:rsidP="00E87B16">
      <w:pPr>
        <w:pStyle w:val="TableFigureheading"/>
      </w:pPr>
      <w:bookmarkStart w:id="238" w:name="_Ref129182780"/>
      <w:bookmarkStart w:id="239" w:name="_Toc152081855"/>
      <w:r w:rsidRPr="00AD55EF">
        <w:t xml:space="preserve">Figure </w:t>
      </w:r>
      <w:r w:rsidRPr="00AD55EF">
        <w:fldChar w:fldCharType="begin"/>
      </w:r>
      <w:r w:rsidRPr="00AD55EF">
        <w:instrText xml:space="preserve"> SEQ Figure \* ARABIC </w:instrText>
      </w:r>
      <w:r w:rsidRPr="00AD55EF">
        <w:fldChar w:fldCharType="separate"/>
      </w:r>
      <w:r w:rsidR="006C68DC">
        <w:rPr>
          <w:noProof/>
        </w:rPr>
        <w:t>12</w:t>
      </w:r>
      <w:r w:rsidRPr="00AD55EF">
        <w:fldChar w:fldCharType="end"/>
      </w:r>
      <w:bookmarkEnd w:id="238"/>
      <w:r w:rsidRPr="00AD55EF">
        <w:t>.</w:t>
      </w:r>
      <w:r>
        <w:t xml:space="preserve"> </w:t>
      </w:r>
      <w:bookmarkStart w:id="240" w:name="_Hlk151735852"/>
      <w:r w:rsidR="004C7809">
        <w:t xml:space="preserve">Separations in </w:t>
      </w:r>
      <w:r w:rsidR="009A757F">
        <w:t>P</w:t>
      </w:r>
      <w:r w:rsidR="001B64AB">
        <w:t>articipant Private Hospital</w:t>
      </w:r>
      <w:r w:rsidR="004C7809">
        <w:t>s</w:t>
      </w:r>
      <w:r w:rsidR="001B64AB">
        <w:t xml:space="preserve"> </w:t>
      </w:r>
      <w:r>
        <w:t>by jurisdiction</w:t>
      </w:r>
      <w:bookmarkEnd w:id="239"/>
      <w:bookmarkEnd w:id="240"/>
    </w:p>
    <w:p w14:paraId="64F465B3" w14:textId="5C59F9C3" w:rsidR="00AA3CAC" w:rsidRPr="005629F8" w:rsidRDefault="000816FF" w:rsidP="005629F8">
      <w:r>
        <w:rPr>
          <w:noProof/>
        </w:rPr>
        <w:drawing>
          <wp:inline distT="0" distB="0" distL="0" distR="0" wp14:anchorId="713F4FC4" wp14:editId="28C2D2DD">
            <wp:extent cx="6500193" cy="281682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9930"/>
                    <a:stretch/>
                  </pic:blipFill>
                  <pic:spPr bwMode="auto">
                    <a:xfrm>
                      <a:off x="0" y="0"/>
                      <a:ext cx="6508139" cy="2820267"/>
                    </a:xfrm>
                    <a:prstGeom prst="rect">
                      <a:avLst/>
                    </a:prstGeom>
                    <a:noFill/>
                    <a:ln>
                      <a:noFill/>
                    </a:ln>
                    <a:extLst>
                      <a:ext uri="{53640926-AAD7-44D8-BBD7-CCE9431645EC}">
                        <a14:shadowObscured xmlns:a14="http://schemas.microsoft.com/office/drawing/2010/main"/>
                      </a:ext>
                    </a:extLst>
                  </pic:spPr>
                </pic:pic>
              </a:graphicData>
            </a:graphic>
          </wp:inline>
        </w:drawing>
      </w:r>
    </w:p>
    <w:p w14:paraId="35CC3E5F" w14:textId="0A429EB8" w:rsidR="000427AA" w:rsidRDefault="000427AA" w:rsidP="005629F8">
      <w:r>
        <w:t xml:space="preserve">Around one-third of private sector activity reported to the </w:t>
      </w:r>
      <w:r w:rsidR="007F7DA7">
        <w:t>2021</w:t>
      </w:r>
      <w:r>
        <w:t>-2</w:t>
      </w:r>
      <w:r w:rsidR="007F7DA7">
        <w:t>2</w:t>
      </w:r>
      <w:r>
        <w:t xml:space="preserve"> NHCDC were from hospitals based in Victoria. Queensland reported around 25</w:t>
      </w:r>
      <w:r w:rsidR="00522FFB">
        <w:t>%</w:t>
      </w:r>
      <w:r>
        <w:t>, followed by NSW reporting around 20</w:t>
      </w:r>
      <w:proofErr w:type="gramStart"/>
      <w:r w:rsidR="00522FFB">
        <w:t>%</w:t>
      </w:r>
      <w:r>
        <w:t xml:space="preserve"> .</w:t>
      </w:r>
      <w:proofErr w:type="gramEnd"/>
    </w:p>
    <w:p w14:paraId="6869BBCB" w14:textId="781B07F7" w:rsidR="00A51ACE" w:rsidRPr="005629F8" w:rsidRDefault="00A51ACE" w:rsidP="005629F8">
      <w:r w:rsidRPr="005629F8">
        <w:t xml:space="preserve">All jurisdictions </w:t>
      </w:r>
      <w:r w:rsidR="00996578" w:rsidRPr="00DA6CD0">
        <w:t>experienced a</w:t>
      </w:r>
      <w:r w:rsidR="00B467D2">
        <w:t xml:space="preserve">n increase </w:t>
      </w:r>
      <w:r w:rsidR="00996578" w:rsidRPr="00DA6CD0">
        <w:t xml:space="preserve">in the volume of separations in </w:t>
      </w:r>
      <w:r w:rsidR="00B467D2">
        <w:t>2020-21</w:t>
      </w:r>
      <w:r w:rsidR="001234D1">
        <w:t>, with variations</w:t>
      </w:r>
      <w:r w:rsidR="00996578" w:rsidRPr="00DA6CD0">
        <w:t xml:space="preserve"> ranging from </w:t>
      </w:r>
      <w:r w:rsidR="00B467D2">
        <w:t>5.2</w:t>
      </w:r>
      <w:r w:rsidR="00881AF0">
        <w:t>%</w:t>
      </w:r>
      <w:r w:rsidR="00996578" w:rsidRPr="00DA6CD0">
        <w:t xml:space="preserve"> in </w:t>
      </w:r>
      <w:r w:rsidR="00B467D2">
        <w:t>Victoria</w:t>
      </w:r>
      <w:r w:rsidR="00996578" w:rsidRPr="00DA6CD0">
        <w:t xml:space="preserve"> to </w:t>
      </w:r>
      <w:r w:rsidR="00B467D2">
        <w:t>14.7</w:t>
      </w:r>
      <w:r w:rsidR="00881AF0">
        <w:t>%</w:t>
      </w:r>
      <w:r w:rsidR="00996578" w:rsidRPr="00DA6CD0">
        <w:t xml:space="preserve"> in New South Wales. These reductions in activity were followed by </w:t>
      </w:r>
      <w:r w:rsidR="00B467D2">
        <w:t>decrease</w:t>
      </w:r>
      <w:r w:rsidR="00996578" w:rsidRPr="00DA6CD0">
        <w:t xml:space="preserve"> in activity </w:t>
      </w:r>
      <w:r w:rsidR="000C464C">
        <w:t>for</w:t>
      </w:r>
      <w:r w:rsidR="00996578" w:rsidRPr="00DA6CD0">
        <w:t xml:space="preserve"> all jurisdictions in 202</w:t>
      </w:r>
      <w:r w:rsidR="00B467D2">
        <w:t>1</w:t>
      </w:r>
      <w:r w:rsidR="00996578" w:rsidRPr="00DA6CD0">
        <w:t>-</w:t>
      </w:r>
      <w:r w:rsidR="00B467D2">
        <w:t>22</w:t>
      </w:r>
      <w:r w:rsidR="00996578" w:rsidRPr="00DA6CD0">
        <w:t xml:space="preserve">. </w:t>
      </w:r>
      <w:r w:rsidR="00B467D2">
        <w:t>Other</w:t>
      </w:r>
      <w:r w:rsidR="00996578" w:rsidRPr="00DA6CD0">
        <w:t xml:space="preserve"> experienced the largest reduction in the volume of separations in </w:t>
      </w:r>
      <w:r w:rsidR="00B467D2">
        <w:t>2021</w:t>
      </w:r>
      <w:r w:rsidR="00996578" w:rsidRPr="00DA6CD0">
        <w:t>-</w:t>
      </w:r>
      <w:r w:rsidR="00B467D2">
        <w:t xml:space="preserve">22. </w:t>
      </w:r>
    </w:p>
    <w:p w14:paraId="1C52B8D3" w14:textId="4B37CB8A" w:rsidR="00AA3CAC" w:rsidRPr="005629F8" w:rsidRDefault="00996578" w:rsidP="00FC4599">
      <w:pPr>
        <w:pStyle w:val="Heading2"/>
      </w:pPr>
      <w:bookmarkStart w:id="241" w:name="_Toc129700694"/>
      <w:bookmarkStart w:id="242" w:name="_Toc129701387"/>
      <w:bookmarkStart w:id="243" w:name="_Hlk151724598"/>
      <w:r>
        <w:t xml:space="preserve">Impact on </w:t>
      </w:r>
      <w:r w:rsidR="00876EA7">
        <w:t>medical</w:t>
      </w:r>
      <w:r w:rsidR="006E3741">
        <w:t xml:space="preserve"> and</w:t>
      </w:r>
      <w:r w:rsidR="00876EA7">
        <w:t xml:space="preserve"> </w:t>
      </w:r>
      <w:r>
        <w:t>i</w:t>
      </w:r>
      <w:r w:rsidR="00AA3CAC" w:rsidRPr="005629F8">
        <w:t>ntervention</w:t>
      </w:r>
      <w:r>
        <w:t xml:space="preserve"> type activity</w:t>
      </w:r>
      <w:bookmarkEnd w:id="241"/>
      <w:bookmarkEnd w:id="242"/>
    </w:p>
    <w:bookmarkEnd w:id="243"/>
    <w:p w14:paraId="610D9FC0" w14:textId="63F4A089" w:rsidR="000427AA" w:rsidRDefault="000427AA" w:rsidP="000427AA">
      <w:r>
        <w:t xml:space="preserve">Through </w:t>
      </w:r>
      <w:r w:rsidR="00095D44">
        <w:t>2021</w:t>
      </w:r>
      <w:r>
        <w:noBreakHyphen/>
      </w:r>
      <w:r w:rsidR="00095D44">
        <w:t>22</w:t>
      </w:r>
      <w:r>
        <w:t xml:space="preserve">, state governments </w:t>
      </w:r>
      <w:r w:rsidR="00F21175">
        <w:t xml:space="preserve">eased </w:t>
      </w:r>
      <w:r>
        <w:t>COVID</w:t>
      </w:r>
      <w:r>
        <w:noBreakHyphen/>
        <w:t xml:space="preserve">19 elective surgery restrictions at different points in time. </w:t>
      </w:r>
      <w:r w:rsidR="0047731E" w:rsidRPr="00DA6CD0">
        <w:t xml:space="preserve">Analyses of intervention type </w:t>
      </w:r>
      <w:r w:rsidR="00405A50">
        <w:t>Australian Refined Diagnosis Related Group (</w:t>
      </w:r>
      <w:r w:rsidR="00EC4B3D">
        <w:t>AR-</w:t>
      </w:r>
      <w:r w:rsidR="0047731E" w:rsidRPr="00DA6CD0">
        <w:t>DRG</w:t>
      </w:r>
      <w:r w:rsidR="00405A50">
        <w:t>)</w:t>
      </w:r>
      <w:r w:rsidR="0047731E" w:rsidRPr="00DA6CD0">
        <w:t xml:space="preserve"> activity </w:t>
      </w:r>
      <w:r>
        <w:t xml:space="preserve">(as a proxy for surgery or other procedures) was undertaken to understand how the </w:t>
      </w:r>
      <w:r w:rsidRPr="00DA6CD0">
        <w:t>restrictions may have impacted surgical hospital activity in the private sector</w:t>
      </w:r>
      <w:r>
        <w:t>.</w:t>
      </w:r>
    </w:p>
    <w:p w14:paraId="6AC5E451" w14:textId="5FF27E05" w:rsidR="00AA3CAC" w:rsidRPr="005629F8" w:rsidRDefault="0047731E" w:rsidP="005629F8">
      <w:r>
        <w:t>A</w:t>
      </w:r>
      <w:r w:rsidRPr="00DA6CD0">
        <w:t>pproximately 60</w:t>
      </w:r>
      <w:r w:rsidR="00881AF0">
        <w:t>%</w:t>
      </w:r>
      <w:r w:rsidRPr="00DA6CD0">
        <w:t xml:space="preserve"> </w:t>
      </w:r>
      <w:r>
        <w:t xml:space="preserve">of separations </w:t>
      </w:r>
      <w:r w:rsidRPr="00DA6CD0">
        <w:t xml:space="preserve">were </w:t>
      </w:r>
      <w:r>
        <w:t xml:space="preserve">classified as intervention type activities based on </w:t>
      </w:r>
      <w:r w:rsidRPr="00DA6CD0">
        <w:t xml:space="preserve">the </w:t>
      </w:r>
      <w:r>
        <w:t xml:space="preserve">grouping in the </w:t>
      </w:r>
      <w:r w:rsidRPr="00DA6CD0">
        <w:t>AR-DRG Version 1</w:t>
      </w:r>
      <w:r w:rsidR="00095D44">
        <w:t>1</w:t>
      </w:r>
      <w:r w:rsidRPr="00DA6CD0">
        <w:t>.0 classification</w:t>
      </w:r>
      <w:r w:rsidR="00A51ACE" w:rsidRPr="005629F8">
        <w:t>.</w:t>
      </w:r>
    </w:p>
    <w:p w14:paraId="0163341F" w14:textId="341930A7" w:rsidR="00B90AAB" w:rsidRDefault="00A51ACE">
      <w:r w:rsidRPr="005629F8">
        <w:t xml:space="preserve">The number of intervention episodes fell </w:t>
      </w:r>
      <w:r w:rsidR="00095D44">
        <w:t>by 4.2</w:t>
      </w:r>
      <w:r w:rsidR="00881AF0">
        <w:t>%</w:t>
      </w:r>
      <w:r w:rsidR="00095D44">
        <w:t xml:space="preserve"> </w:t>
      </w:r>
      <w:r w:rsidRPr="005629F8">
        <w:t xml:space="preserve">in </w:t>
      </w:r>
      <w:r w:rsidR="00095D44">
        <w:t>2020</w:t>
      </w:r>
      <w:r w:rsidRPr="005629F8">
        <w:noBreakHyphen/>
      </w:r>
      <w:r w:rsidR="00095D44">
        <w:t>21</w:t>
      </w:r>
      <w:r w:rsidRPr="005629F8">
        <w:t>,</w:t>
      </w:r>
      <w:r w:rsidR="00095D44">
        <w:t xml:space="preserve"> while the number of medical episodes increased by 2.6</w:t>
      </w:r>
      <w:r w:rsidR="00881AF0">
        <w:t>%</w:t>
      </w:r>
      <w:r w:rsidRPr="000D2A59">
        <w:t xml:space="preserve"> </w:t>
      </w:r>
      <w:r w:rsidRPr="008A18D9">
        <w:t xml:space="preserve">driven by a </w:t>
      </w:r>
      <w:r w:rsidR="00095D44" w:rsidRPr="008A18D9">
        <w:t>return to pre-pandemic</w:t>
      </w:r>
      <w:r w:rsidRPr="008A18D9">
        <w:t xml:space="preserve"> activity levels following the </w:t>
      </w:r>
      <w:r w:rsidR="00095D44" w:rsidRPr="008A18D9">
        <w:t>heightened intervention activity post</w:t>
      </w:r>
      <w:r w:rsidRPr="008A18D9">
        <w:t xml:space="preserve"> the COVID-19 pandemic.</w:t>
      </w:r>
      <w:r w:rsidRPr="000D2A59">
        <w:t xml:space="preserve"> </w:t>
      </w:r>
      <w:r w:rsidR="00F2253B" w:rsidRPr="00C60E49">
        <w:fldChar w:fldCharType="begin"/>
      </w:r>
      <w:r w:rsidR="00F2253B" w:rsidRPr="000D2A59">
        <w:instrText xml:space="preserve"> REF _Ref129182804 \h </w:instrText>
      </w:r>
      <w:r w:rsidR="000D2A59">
        <w:instrText xml:space="preserve"> \* MERGEFORMAT </w:instrText>
      </w:r>
      <w:r w:rsidR="00F2253B" w:rsidRPr="00C60E49">
        <w:fldChar w:fldCharType="separate"/>
      </w:r>
      <w:r w:rsidR="006B145F">
        <w:t xml:space="preserve">Figure </w:t>
      </w:r>
      <w:r w:rsidR="006B145F">
        <w:rPr>
          <w:noProof/>
        </w:rPr>
        <w:t>13</w:t>
      </w:r>
      <w:r w:rsidR="00F2253B" w:rsidRPr="00C60E49">
        <w:fldChar w:fldCharType="end"/>
      </w:r>
      <w:r w:rsidRPr="005629F8">
        <w:fldChar w:fldCharType="begin"/>
      </w:r>
      <w:r w:rsidRPr="005629F8">
        <w:instrText xml:space="preserve"> REF _Ref127976772 \h </w:instrText>
      </w:r>
      <w:r w:rsidRPr="005629F8">
        <w:fldChar w:fldCharType="end"/>
      </w:r>
      <w:r w:rsidRPr="005629F8">
        <w:t xml:space="preserve"> and </w:t>
      </w:r>
      <w:r w:rsidR="00F2253B">
        <w:fldChar w:fldCharType="begin"/>
      </w:r>
      <w:r w:rsidR="00F2253B">
        <w:instrText xml:space="preserve"> REF _Ref129182811 \h </w:instrText>
      </w:r>
      <w:r w:rsidR="00F2253B">
        <w:fldChar w:fldCharType="separate"/>
      </w:r>
      <w:r w:rsidR="006B145F">
        <w:t xml:space="preserve">Figure </w:t>
      </w:r>
      <w:r w:rsidR="006B145F">
        <w:rPr>
          <w:noProof/>
        </w:rPr>
        <w:t>14</w:t>
      </w:r>
      <w:r w:rsidR="00F2253B">
        <w:fldChar w:fldCharType="end"/>
      </w:r>
      <w:r w:rsidRPr="005629F8">
        <w:fldChar w:fldCharType="begin"/>
      </w:r>
      <w:r w:rsidRPr="005629F8">
        <w:instrText xml:space="preserve"> REF _Ref127976774 \h </w:instrText>
      </w:r>
      <w:r w:rsidRPr="005629F8">
        <w:fldChar w:fldCharType="end"/>
      </w:r>
      <w:r w:rsidRPr="005629F8">
        <w:t xml:space="preserve"> show the separations by month for intervention and medical episodes.</w:t>
      </w:r>
    </w:p>
    <w:p w14:paraId="55D34979" w14:textId="4140F269" w:rsidR="00B90AAB" w:rsidRDefault="006C68DC" w:rsidP="006C68DC">
      <w:pPr>
        <w:pStyle w:val="TableFigureheading"/>
      </w:pPr>
      <w:bookmarkStart w:id="244" w:name="_Ref129182804"/>
      <w:bookmarkStart w:id="245" w:name="_Toc152081856"/>
      <w:r>
        <w:lastRenderedPageBreak/>
        <w:t xml:space="preserve">Figure </w:t>
      </w:r>
      <w:r>
        <w:fldChar w:fldCharType="begin"/>
      </w:r>
      <w:r>
        <w:instrText xml:space="preserve"> SEQ Figure \* ARABIC </w:instrText>
      </w:r>
      <w:r>
        <w:fldChar w:fldCharType="separate"/>
      </w:r>
      <w:r>
        <w:rPr>
          <w:noProof/>
        </w:rPr>
        <w:t>13</w:t>
      </w:r>
      <w:r>
        <w:fldChar w:fldCharType="end"/>
      </w:r>
      <w:bookmarkEnd w:id="244"/>
      <w:r w:rsidR="00B90AAB">
        <w:t>. Separations by month for intervention episodes</w:t>
      </w:r>
      <w:bookmarkEnd w:id="245"/>
    </w:p>
    <w:p w14:paraId="51D18B80" w14:textId="34E05264" w:rsidR="003244F6" w:rsidRPr="005629F8" w:rsidRDefault="0029011C">
      <w:pPr>
        <w:rPr>
          <w:highlight w:val="yellow"/>
        </w:rPr>
      </w:pPr>
      <w:r w:rsidRPr="00064A7A">
        <w:rPr>
          <w:noProof/>
        </w:rPr>
        <w:drawing>
          <wp:inline distT="0" distB="0" distL="0" distR="0" wp14:anchorId="2A203984" wp14:editId="595D1232">
            <wp:extent cx="5971043"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043" cy="2895600"/>
                    </a:xfrm>
                    <a:prstGeom prst="rect">
                      <a:avLst/>
                    </a:prstGeom>
                    <a:noFill/>
                  </pic:spPr>
                </pic:pic>
              </a:graphicData>
            </a:graphic>
          </wp:inline>
        </w:drawing>
      </w:r>
    </w:p>
    <w:p w14:paraId="393418F5" w14:textId="1EA3D962" w:rsidR="00B90AAB" w:rsidRDefault="001262BD" w:rsidP="006C68DC">
      <w:pPr>
        <w:pStyle w:val="TableFigureheading"/>
      </w:pPr>
      <w:bookmarkStart w:id="246" w:name="_Ref129182811"/>
      <w:bookmarkStart w:id="247" w:name="_Toc152081857"/>
      <w:r w:rsidRPr="007A6703">
        <w:rPr>
          <w:noProof/>
        </w:rPr>
        <w:drawing>
          <wp:anchor distT="0" distB="0" distL="114300" distR="114300" simplePos="0" relativeHeight="251664384" behindDoc="0" locked="0" layoutInCell="1" allowOverlap="1" wp14:anchorId="4A3037A6" wp14:editId="680ADC4D">
            <wp:simplePos x="0" y="0"/>
            <wp:positionH relativeFrom="column">
              <wp:posOffset>127635</wp:posOffset>
            </wp:positionH>
            <wp:positionV relativeFrom="paragraph">
              <wp:posOffset>374802</wp:posOffset>
            </wp:positionV>
            <wp:extent cx="5839206" cy="3333677"/>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9206" cy="3333677"/>
                    </a:xfrm>
                    <a:prstGeom prst="rect">
                      <a:avLst/>
                    </a:prstGeom>
                    <a:noFill/>
                  </pic:spPr>
                </pic:pic>
              </a:graphicData>
            </a:graphic>
            <wp14:sizeRelH relativeFrom="page">
              <wp14:pctWidth>0</wp14:pctWidth>
            </wp14:sizeRelH>
            <wp14:sizeRelV relativeFrom="page">
              <wp14:pctHeight>0</wp14:pctHeight>
            </wp14:sizeRelV>
          </wp:anchor>
        </w:drawing>
      </w:r>
      <w:r w:rsidR="006C68DC">
        <w:t xml:space="preserve">Figure </w:t>
      </w:r>
      <w:r w:rsidR="006C68DC">
        <w:fldChar w:fldCharType="begin"/>
      </w:r>
      <w:r w:rsidR="006C68DC">
        <w:instrText xml:space="preserve"> SEQ Figure \* ARABIC </w:instrText>
      </w:r>
      <w:r w:rsidR="006C68DC">
        <w:fldChar w:fldCharType="separate"/>
      </w:r>
      <w:r w:rsidR="006C68DC">
        <w:rPr>
          <w:noProof/>
        </w:rPr>
        <w:t>14</w:t>
      </w:r>
      <w:r w:rsidR="006C68DC">
        <w:fldChar w:fldCharType="end"/>
      </w:r>
      <w:bookmarkEnd w:id="246"/>
      <w:r w:rsidR="00B90AAB">
        <w:t>. Separations by month for medical episodes</w:t>
      </w:r>
      <w:bookmarkEnd w:id="247"/>
    </w:p>
    <w:p w14:paraId="6AEDA6A5" w14:textId="06016185" w:rsidR="00A51ACE" w:rsidRPr="005629F8" w:rsidRDefault="00A51ACE" w:rsidP="005629F8">
      <w:pPr>
        <w:rPr>
          <w:highlight w:val="yellow"/>
        </w:rPr>
      </w:pPr>
    </w:p>
    <w:p w14:paraId="401A24EB" w14:textId="03249D49" w:rsidR="00A51ACE" w:rsidRPr="005629F8" w:rsidRDefault="00A51ACE" w:rsidP="005629F8">
      <w:pPr>
        <w:spacing w:line="259" w:lineRule="auto"/>
      </w:pPr>
      <w:r w:rsidRPr="005629F8">
        <w:br w:type="page"/>
      </w:r>
    </w:p>
    <w:p w14:paraId="63CE763C" w14:textId="71000C71" w:rsidR="00B76B05" w:rsidRPr="00E87B16" w:rsidRDefault="00B76B05" w:rsidP="00E87B16">
      <w:pPr>
        <w:pStyle w:val="Heading1"/>
        <w:numPr>
          <w:ilvl w:val="0"/>
          <w:numId w:val="0"/>
        </w:numPr>
        <w:rPr>
          <w:sz w:val="48"/>
          <w:szCs w:val="48"/>
        </w:rPr>
      </w:pPr>
      <w:bookmarkStart w:id="248" w:name="_Toc106888110"/>
      <w:bookmarkStart w:id="249" w:name="_Toc152080393"/>
      <w:r w:rsidRPr="00E87B16">
        <w:rPr>
          <w:sz w:val="48"/>
          <w:szCs w:val="48"/>
        </w:rPr>
        <w:lastRenderedPageBreak/>
        <w:t>Appendix A: Methodology</w:t>
      </w:r>
      <w:bookmarkEnd w:id="248"/>
      <w:bookmarkEnd w:id="249"/>
    </w:p>
    <w:p w14:paraId="075BDBAE" w14:textId="499B2592" w:rsidR="00B76B05" w:rsidRPr="005629F8" w:rsidRDefault="00B76B05" w:rsidP="00B76B05">
      <w:r w:rsidRPr="005629F8">
        <w:t>There</w:t>
      </w:r>
      <w:r w:rsidRPr="005629F8">
        <w:rPr>
          <w:spacing w:val="-3"/>
        </w:rPr>
        <w:t xml:space="preserve"> </w:t>
      </w:r>
      <w:r w:rsidRPr="005629F8">
        <w:t>are</w:t>
      </w:r>
      <w:r w:rsidRPr="005629F8">
        <w:rPr>
          <w:spacing w:val="-2"/>
        </w:rPr>
        <w:t xml:space="preserve"> </w:t>
      </w:r>
      <w:r w:rsidRPr="005629F8">
        <w:t>eight</w:t>
      </w:r>
      <w:r w:rsidRPr="005629F8">
        <w:rPr>
          <w:spacing w:val="-3"/>
        </w:rPr>
        <w:t xml:space="preserve"> </w:t>
      </w:r>
      <w:r w:rsidRPr="005629F8">
        <w:t>stages</w:t>
      </w:r>
      <w:r w:rsidRPr="005629F8">
        <w:rPr>
          <w:spacing w:val="-2"/>
        </w:rPr>
        <w:t xml:space="preserve"> </w:t>
      </w:r>
      <w:r w:rsidRPr="005629F8">
        <w:t>of</w:t>
      </w:r>
      <w:r w:rsidRPr="005629F8">
        <w:rPr>
          <w:spacing w:val="-3"/>
        </w:rPr>
        <w:t xml:space="preserve"> </w:t>
      </w:r>
      <w:r w:rsidRPr="005629F8">
        <w:t>the</w:t>
      </w:r>
      <w:r w:rsidRPr="005629F8">
        <w:rPr>
          <w:spacing w:val="-4"/>
        </w:rPr>
        <w:t xml:space="preserve"> </w:t>
      </w:r>
      <w:r w:rsidRPr="005629F8">
        <w:t>NHCDC</w:t>
      </w:r>
      <w:r w:rsidR="00E1672C">
        <w:t xml:space="preserve"> </w:t>
      </w:r>
      <w:r w:rsidR="00E1672C" w:rsidRPr="005629F8">
        <w:t>private</w:t>
      </w:r>
      <w:r w:rsidR="00E1672C" w:rsidRPr="005629F8">
        <w:rPr>
          <w:spacing w:val="-1"/>
        </w:rPr>
        <w:t xml:space="preserve"> </w:t>
      </w:r>
      <w:r w:rsidR="00E1672C" w:rsidRPr="005629F8">
        <w:t>sector</w:t>
      </w:r>
      <w:r w:rsidRPr="005629F8">
        <w:rPr>
          <w:spacing w:val="-2"/>
        </w:rPr>
        <w:t xml:space="preserve"> process</w:t>
      </w:r>
      <w:r w:rsidRPr="005629F8">
        <w:t>.</w:t>
      </w:r>
    </w:p>
    <w:p w14:paraId="6A07523D" w14:textId="43775C90" w:rsidR="00B76B05" w:rsidRPr="005629F8" w:rsidRDefault="00B76B05" w:rsidP="00FC4599">
      <w:pPr>
        <w:pStyle w:val="Heading2"/>
      </w:pPr>
      <w:r w:rsidRPr="005629F8">
        <w:rPr>
          <w:spacing w:val="-58"/>
        </w:rPr>
        <w:t xml:space="preserve"> </w:t>
      </w:r>
      <w:bookmarkStart w:id="250" w:name="_Toc129700696"/>
      <w:bookmarkStart w:id="251" w:name="_Toc129701389"/>
      <w:r w:rsidRPr="005629F8">
        <w:t>Stage</w:t>
      </w:r>
      <w:r w:rsidRPr="005629F8">
        <w:rPr>
          <w:spacing w:val="-3"/>
        </w:rPr>
        <w:t xml:space="preserve"> </w:t>
      </w:r>
      <w:r w:rsidRPr="005629F8">
        <w:t>1:</w:t>
      </w:r>
      <w:r w:rsidRPr="005629F8">
        <w:rPr>
          <w:spacing w:val="2"/>
        </w:rPr>
        <w:t xml:space="preserve"> </w:t>
      </w:r>
      <w:r w:rsidRPr="005629F8">
        <w:t>Stakeholder</w:t>
      </w:r>
      <w:r w:rsidRPr="005629F8">
        <w:rPr>
          <w:spacing w:val="1"/>
        </w:rPr>
        <w:t xml:space="preserve"> </w:t>
      </w:r>
      <w:r w:rsidRPr="005629F8">
        <w:t>engagement</w:t>
      </w:r>
      <w:bookmarkEnd w:id="250"/>
      <w:bookmarkEnd w:id="251"/>
    </w:p>
    <w:p w14:paraId="35EAEF8E" w14:textId="5FFD3CCF" w:rsidR="00B76B05" w:rsidRPr="005629F8" w:rsidRDefault="00BE3E10" w:rsidP="00B76B05">
      <w:r w:rsidRPr="005629F8">
        <w:t>IHACPA</w:t>
      </w:r>
      <w:r w:rsidR="00B76B05" w:rsidRPr="005629F8">
        <w:t xml:space="preserve"> sought costed data directly from private hospitals for the NHCDC</w:t>
      </w:r>
      <w:r w:rsidR="00E1672C">
        <w:t xml:space="preserve"> </w:t>
      </w:r>
      <w:r w:rsidR="00E1672C" w:rsidRPr="005629F8">
        <w:t>private sector</w:t>
      </w:r>
      <w:r w:rsidR="00B76B05" w:rsidRPr="005629F8">
        <w:t>. Participants were requested to provide a methodology that outlined their costing processes.</w:t>
      </w:r>
    </w:p>
    <w:p w14:paraId="10F4D961" w14:textId="6151CBFC" w:rsidR="00B76B05" w:rsidRPr="005629F8" w:rsidRDefault="00B76B05" w:rsidP="00FC4599">
      <w:pPr>
        <w:pStyle w:val="Heading2"/>
      </w:pPr>
      <w:bookmarkStart w:id="252" w:name="_Toc129700697"/>
      <w:bookmarkStart w:id="253" w:name="_Toc129701390"/>
      <w:r w:rsidRPr="005629F8">
        <w:t>Stage</w:t>
      </w:r>
      <w:r w:rsidRPr="005629F8">
        <w:rPr>
          <w:spacing w:val="-3"/>
        </w:rPr>
        <w:t xml:space="preserve"> </w:t>
      </w:r>
      <w:r w:rsidRPr="005629F8">
        <w:t>2:</w:t>
      </w:r>
      <w:r w:rsidRPr="005629F8">
        <w:rPr>
          <w:spacing w:val="2"/>
        </w:rPr>
        <w:t xml:space="preserve"> </w:t>
      </w:r>
      <w:r w:rsidRPr="005629F8">
        <w:t>Data</w:t>
      </w:r>
      <w:r w:rsidRPr="005629F8">
        <w:rPr>
          <w:spacing w:val="-3"/>
        </w:rPr>
        <w:t xml:space="preserve"> </w:t>
      </w:r>
      <w:r w:rsidRPr="005629F8">
        <w:t>collection</w:t>
      </w:r>
      <w:bookmarkEnd w:id="252"/>
      <w:bookmarkEnd w:id="253"/>
    </w:p>
    <w:p w14:paraId="1C4419F5" w14:textId="7B449976" w:rsidR="00B76B05" w:rsidRPr="005629F8" w:rsidRDefault="00B76B05" w:rsidP="00B76B05">
      <w:r w:rsidRPr="005629F8">
        <w:t xml:space="preserve">At the commencement of the data collection phase, a </w:t>
      </w:r>
      <w:r w:rsidR="00D97C80">
        <w:t>d</w:t>
      </w:r>
      <w:r w:rsidRPr="005629F8">
        <w:t xml:space="preserve">ata </w:t>
      </w:r>
      <w:r w:rsidR="00D97C80">
        <w:t>r</w:t>
      </w:r>
      <w:r w:rsidRPr="005629F8">
        <w:t xml:space="preserve">equest </w:t>
      </w:r>
      <w:r w:rsidR="00D97C80">
        <w:t>s</w:t>
      </w:r>
      <w:r w:rsidRPr="005629F8">
        <w:t xml:space="preserve">pecification (DRS) for </w:t>
      </w:r>
      <w:r w:rsidR="00DD218D">
        <w:t xml:space="preserve">the </w:t>
      </w:r>
      <w:r w:rsidRPr="005629F8">
        <w:t>NHCDC</w:t>
      </w:r>
      <w:r w:rsidR="00E1672C">
        <w:t xml:space="preserve"> </w:t>
      </w:r>
      <w:r w:rsidR="00E56FEC">
        <w:t>P</w:t>
      </w:r>
      <w:r w:rsidR="00E1672C" w:rsidRPr="005629F8">
        <w:t xml:space="preserve">rivate </w:t>
      </w:r>
      <w:r w:rsidR="00E56FEC">
        <w:t>S</w:t>
      </w:r>
      <w:r w:rsidR="00E1672C">
        <w:t>ector</w:t>
      </w:r>
      <w:r w:rsidRPr="005629F8">
        <w:t xml:space="preserve"> </w:t>
      </w:r>
      <w:r w:rsidR="00E56FEC" w:rsidRPr="005629F8">
        <w:t>20</w:t>
      </w:r>
      <w:r w:rsidR="00E56FEC">
        <w:t>21</w:t>
      </w:r>
      <w:r w:rsidR="00E56FEC">
        <w:noBreakHyphen/>
      </w:r>
      <w:r w:rsidR="00E56FEC" w:rsidRPr="005629F8">
        <w:t>2</w:t>
      </w:r>
      <w:r w:rsidR="00E56FEC">
        <w:t>2</w:t>
      </w:r>
      <w:r w:rsidR="00E56FEC" w:rsidRPr="005629F8">
        <w:t xml:space="preserve"> </w:t>
      </w:r>
      <w:r w:rsidRPr="005629F8">
        <w:t>was prepared and distributed to all participants.</w:t>
      </w:r>
    </w:p>
    <w:p w14:paraId="015BB3E5" w14:textId="77777777" w:rsidR="00B76B05" w:rsidRPr="005629F8" w:rsidRDefault="00B76B05" w:rsidP="00B76B05">
      <w:r w:rsidRPr="005629F8">
        <w:t>Participants performed their own data collection.</w:t>
      </w:r>
    </w:p>
    <w:p w14:paraId="7BA49CEC" w14:textId="2988B63D" w:rsidR="00B76B05" w:rsidRPr="005629F8" w:rsidRDefault="00B76B05" w:rsidP="00FC4599">
      <w:pPr>
        <w:pStyle w:val="Heading2"/>
      </w:pPr>
      <w:bookmarkStart w:id="254" w:name="_Toc129700698"/>
      <w:bookmarkStart w:id="255" w:name="_Toc129701391"/>
      <w:r w:rsidRPr="005629F8">
        <w:t>Stage 3: Data preparation</w:t>
      </w:r>
      <w:bookmarkEnd w:id="254"/>
      <w:bookmarkEnd w:id="255"/>
    </w:p>
    <w:p w14:paraId="75251087" w14:textId="4B4568A4" w:rsidR="00B76B05" w:rsidRPr="005629F8" w:rsidRDefault="00B76B05" w:rsidP="00B76B05">
      <w:r w:rsidRPr="005629F8">
        <w:t>Participants performed their own quality assurance checks on their data to verify that they were appropriate to use in their costing process</w:t>
      </w:r>
      <w:r w:rsidR="00DD218D">
        <w:t>es</w:t>
      </w:r>
      <w:r w:rsidRPr="005629F8">
        <w:t>.</w:t>
      </w:r>
    </w:p>
    <w:p w14:paraId="29F8028E" w14:textId="77BFD940" w:rsidR="00B76B05" w:rsidRPr="005629F8" w:rsidRDefault="00B76B05" w:rsidP="00FC4599">
      <w:pPr>
        <w:pStyle w:val="Heading2"/>
      </w:pPr>
      <w:bookmarkStart w:id="256" w:name="_Toc129700699"/>
      <w:bookmarkStart w:id="257" w:name="_Toc129701392"/>
      <w:r w:rsidRPr="005629F8">
        <w:t>Stage</w:t>
      </w:r>
      <w:r w:rsidRPr="005629F8">
        <w:rPr>
          <w:spacing w:val="-5"/>
        </w:rPr>
        <w:t xml:space="preserve"> </w:t>
      </w:r>
      <w:r w:rsidRPr="005629F8">
        <w:t>4: Costing</w:t>
      </w:r>
      <w:bookmarkEnd w:id="256"/>
      <w:bookmarkEnd w:id="257"/>
    </w:p>
    <w:p w14:paraId="2A86D0A3" w14:textId="2F9C59DF" w:rsidR="00B76B05" w:rsidRPr="005629F8" w:rsidRDefault="00B76B05" w:rsidP="00B76B05">
      <w:r w:rsidRPr="005629F8">
        <w:t xml:space="preserve">The costing phase involved participants performing episode-level </w:t>
      </w:r>
      <w:r w:rsidR="00DD0195">
        <w:t xml:space="preserve">and phase-level (where available) </w:t>
      </w:r>
      <w:r w:rsidRPr="005629F8">
        <w:t>costing using commercial costing software.</w:t>
      </w:r>
    </w:p>
    <w:p w14:paraId="10FEC8E5" w14:textId="386367D7" w:rsidR="00B76B05" w:rsidRPr="005629F8" w:rsidRDefault="00B76B05" w:rsidP="00FC4599">
      <w:pPr>
        <w:pStyle w:val="Heading2"/>
      </w:pPr>
      <w:bookmarkStart w:id="258" w:name="_Toc129700700"/>
      <w:bookmarkStart w:id="259" w:name="_Toc129701393"/>
      <w:r w:rsidRPr="005629F8">
        <w:t>Stage</w:t>
      </w:r>
      <w:r w:rsidRPr="005629F8">
        <w:rPr>
          <w:spacing w:val="-3"/>
        </w:rPr>
        <w:t xml:space="preserve"> </w:t>
      </w:r>
      <w:r w:rsidRPr="005629F8">
        <w:t>5:</w:t>
      </w:r>
      <w:r w:rsidRPr="005629F8">
        <w:rPr>
          <w:spacing w:val="1"/>
        </w:rPr>
        <w:t xml:space="preserve"> </w:t>
      </w:r>
      <w:r w:rsidRPr="005629F8">
        <w:t>Data</w:t>
      </w:r>
      <w:r w:rsidRPr="005629F8">
        <w:rPr>
          <w:spacing w:val="-3"/>
        </w:rPr>
        <w:t xml:space="preserve"> </w:t>
      </w:r>
      <w:r w:rsidRPr="005629F8">
        <w:t>submission</w:t>
      </w:r>
      <w:bookmarkEnd w:id="258"/>
      <w:bookmarkEnd w:id="259"/>
    </w:p>
    <w:p w14:paraId="196DBE34" w14:textId="0E08505E" w:rsidR="00B76B05" w:rsidRPr="005629F8" w:rsidRDefault="00BE3E10" w:rsidP="00B76B05">
      <w:r w:rsidRPr="005629F8">
        <w:t>IHACPA</w:t>
      </w:r>
      <w:r w:rsidR="00B76B05" w:rsidRPr="005629F8">
        <w:t xml:space="preserve"> required that the participating hospital groups submit data in accordance with the DRS, along with a data quality checklist that set out the hospital costing process. The various costing methodologies used by private sector hospitals are outlined in </w:t>
      </w:r>
      <w:r w:rsidR="00B76B05" w:rsidRPr="005629F8">
        <w:fldChar w:fldCharType="begin"/>
      </w:r>
      <w:r w:rsidR="00B76B05" w:rsidRPr="005629F8">
        <w:instrText xml:space="preserve"> REF _Ref103176206 \h  \* MERGEFORMAT </w:instrText>
      </w:r>
      <w:r w:rsidR="00B76B05" w:rsidRPr="005629F8">
        <w:fldChar w:fldCharType="separate"/>
      </w:r>
      <w:r w:rsidR="00F2253B" w:rsidRPr="00F2253B">
        <w:t>Appendix B: Private sector costing approaches</w:t>
      </w:r>
      <w:r w:rsidR="00B76B05" w:rsidRPr="005629F8">
        <w:fldChar w:fldCharType="end"/>
      </w:r>
      <w:r w:rsidR="00B76B05" w:rsidRPr="005629F8">
        <w:t>.</w:t>
      </w:r>
    </w:p>
    <w:p w14:paraId="22268F88" w14:textId="77777777" w:rsidR="00B76B05" w:rsidRPr="005629F8" w:rsidRDefault="00B76B05" w:rsidP="00B76B05">
      <w:r w:rsidRPr="005629F8">
        <w:t>Participants were informed of the timeframes for the costed data collection and provided access to a secure data portal to upload and submit their data.</w:t>
      </w:r>
    </w:p>
    <w:p w14:paraId="3C5D288D" w14:textId="1BD3A01E" w:rsidR="00B76B05" w:rsidRPr="005629F8" w:rsidRDefault="00B76B05" w:rsidP="00FC4599">
      <w:pPr>
        <w:pStyle w:val="Heading2"/>
      </w:pPr>
      <w:bookmarkStart w:id="260" w:name="_Toc129700701"/>
      <w:bookmarkStart w:id="261" w:name="_Toc129701394"/>
      <w:r w:rsidRPr="005629F8">
        <w:t>Stage</w:t>
      </w:r>
      <w:r w:rsidRPr="005629F8">
        <w:rPr>
          <w:spacing w:val="-3"/>
        </w:rPr>
        <w:t xml:space="preserve"> </w:t>
      </w:r>
      <w:r w:rsidRPr="005629F8">
        <w:t>6:</w:t>
      </w:r>
      <w:r w:rsidRPr="005629F8">
        <w:rPr>
          <w:spacing w:val="1"/>
        </w:rPr>
        <w:t xml:space="preserve"> </w:t>
      </w:r>
      <w:r w:rsidRPr="005629F8">
        <w:t>Data</w:t>
      </w:r>
      <w:r w:rsidRPr="005629F8">
        <w:rPr>
          <w:spacing w:val="-3"/>
        </w:rPr>
        <w:t xml:space="preserve"> </w:t>
      </w:r>
      <w:r w:rsidRPr="005629F8">
        <w:t>validation</w:t>
      </w:r>
      <w:r w:rsidRPr="005629F8">
        <w:rPr>
          <w:spacing w:val="-1"/>
        </w:rPr>
        <w:t xml:space="preserve"> </w:t>
      </w:r>
      <w:r w:rsidRPr="005629F8">
        <w:t>and</w:t>
      </w:r>
      <w:r w:rsidRPr="005629F8">
        <w:rPr>
          <w:spacing w:val="-2"/>
        </w:rPr>
        <w:t xml:space="preserve"> </w:t>
      </w:r>
      <w:r w:rsidRPr="005629F8">
        <w:t>quality</w:t>
      </w:r>
      <w:r w:rsidRPr="005629F8">
        <w:rPr>
          <w:spacing w:val="-3"/>
        </w:rPr>
        <w:t xml:space="preserve"> </w:t>
      </w:r>
      <w:r w:rsidRPr="005629F8">
        <w:t>assurance</w:t>
      </w:r>
      <w:bookmarkEnd w:id="260"/>
      <w:bookmarkEnd w:id="261"/>
    </w:p>
    <w:p w14:paraId="5CE98263" w14:textId="3ABFA0A1" w:rsidR="00B76B05" w:rsidRPr="005629F8" w:rsidRDefault="00B76B05" w:rsidP="004325C3">
      <w:r w:rsidRPr="005629F8">
        <w:t xml:space="preserve">Participants were required to submit their costed data as csv files, </w:t>
      </w:r>
      <w:r w:rsidR="00F21175">
        <w:t>that had to pass</w:t>
      </w:r>
      <w:r w:rsidRPr="005629F8">
        <w:t xml:space="preserve"> data checks documented in the DRS. </w:t>
      </w:r>
      <w:r w:rsidR="00BE3E10" w:rsidRPr="005629F8">
        <w:t>IHACPA</w:t>
      </w:r>
      <w:r w:rsidRPr="005629F8">
        <w:t xml:space="preserve"> accepted data with zero critical errors. </w:t>
      </w:r>
    </w:p>
    <w:p w14:paraId="053BEFA7" w14:textId="77777777" w:rsidR="00B76B05" w:rsidRPr="005629F8" w:rsidRDefault="00B76B05" w:rsidP="004325C3">
      <w:r w:rsidRPr="005629F8">
        <w:t>Where the costed data did not meet the DRS requirements, participants were asked to review the files and make the necessary changes before resubmitting the data.</w:t>
      </w:r>
    </w:p>
    <w:p w14:paraId="767912BF" w14:textId="0F233652" w:rsidR="008E00F1" w:rsidRDefault="00B76B05" w:rsidP="004325C3">
      <w:r w:rsidRPr="005629F8">
        <w:t>Once the data was validated, quality assurance (QA) reports were produced to assist participants in confirming the accuracy and suitability of the</w:t>
      </w:r>
      <w:r w:rsidR="00DD218D">
        <w:t>ir</w:t>
      </w:r>
      <w:r w:rsidRPr="005629F8">
        <w:t xml:space="preserve"> data submission. These included checks in areas </w:t>
      </w:r>
      <w:r w:rsidRPr="005629F8">
        <w:lastRenderedPageBreak/>
        <w:t>with potential to have a material impact on results, such as zero or negative cost buckets, extreme high or low</w:t>
      </w:r>
      <w:r w:rsidR="00EB2C7F">
        <w:t>-</w:t>
      </w:r>
      <w:r w:rsidRPr="005629F8">
        <w:t>cost separations and AR-DRG flipping</w:t>
      </w:r>
      <w:r w:rsidR="00E13965" w:rsidRPr="005629F8">
        <w:rPr>
          <w:rStyle w:val="FootnoteReference"/>
        </w:rPr>
        <w:footnoteReference w:id="15"/>
      </w:r>
      <w:r w:rsidRPr="005629F8">
        <w:t xml:space="preserve">. </w:t>
      </w:r>
    </w:p>
    <w:p w14:paraId="7CFCC968" w14:textId="369B14C8" w:rsidR="00B76B05" w:rsidRPr="005629F8" w:rsidRDefault="00B76B05" w:rsidP="004325C3">
      <w:r w:rsidRPr="005629F8">
        <w:t>If the QA reports identified unexpected variation in the submitted data, the participant was asked to investigate and either adjust the data or justify the variation. Once all unexpected variation was understood, the participant confirmed their data was final.</w:t>
      </w:r>
      <w:r w:rsidR="004325C3" w:rsidRPr="005629F8">
        <w:t xml:space="preserve"> </w:t>
      </w:r>
      <w:r w:rsidRPr="005629F8">
        <w:t xml:space="preserve">On finalisation of the valid costed data submission, participants were required to submit a data quality statement. The data quality statements informed </w:t>
      </w:r>
      <w:r w:rsidR="00BE3E10" w:rsidRPr="005629F8">
        <w:t>IHACPA</w:t>
      </w:r>
      <w:r w:rsidRPr="005629F8">
        <w:t xml:space="preserve"> of the key issues that may impact each participant’s data submission and provided assurance that the data was fit for purpose.</w:t>
      </w:r>
    </w:p>
    <w:p w14:paraId="255DA014" w14:textId="18BA8AAF" w:rsidR="004325C3" w:rsidRPr="005629F8" w:rsidRDefault="00BE3E10" w:rsidP="004325C3">
      <w:pPr>
        <w:rPr>
          <w:spacing w:val="-59"/>
        </w:rPr>
      </w:pPr>
      <w:r w:rsidRPr="005629F8">
        <w:t>IHACPA</w:t>
      </w:r>
      <w:r w:rsidR="00B76B05" w:rsidRPr="005629F8">
        <w:t xml:space="preserve"> then consolidated the data submission into a national costed dataset.</w:t>
      </w:r>
      <w:r w:rsidR="00B76B05" w:rsidRPr="005629F8">
        <w:rPr>
          <w:spacing w:val="-59"/>
        </w:rPr>
        <w:t xml:space="preserve"> </w:t>
      </w:r>
    </w:p>
    <w:p w14:paraId="08C79D63" w14:textId="65A3A6BF" w:rsidR="00B76B05" w:rsidRPr="005629F8" w:rsidRDefault="00B76B05" w:rsidP="004325C3">
      <w:pPr>
        <w:rPr>
          <w:rStyle w:val="Heading2Char"/>
        </w:rPr>
      </w:pPr>
      <w:bookmarkStart w:id="262" w:name="_Toc129700702"/>
      <w:bookmarkStart w:id="263" w:name="_Toc129701395"/>
      <w:r w:rsidRPr="005629F8">
        <w:rPr>
          <w:rStyle w:val="Heading2Char"/>
        </w:rPr>
        <w:t>Stage 7: Data analysis (including adjustments)</w:t>
      </w:r>
      <w:bookmarkEnd w:id="262"/>
      <w:bookmarkEnd w:id="263"/>
    </w:p>
    <w:p w14:paraId="6CED8327" w14:textId="7DCAB30C" w:rsidR="00B76B05" w:rsidRPr="005629F8" w:rsidRDefault="00B76B05" w:rsidP="004325C3">
      <w:r w:rsidRPr="005629F8">
        <w:t xml:space="preserve">The national costed dataset was reviewed to ensure that the separations were in scope. PHDB </w:t>
      </w:r>
      <w:r w:rsidR="00D97C80">
        <w:t xml:space="preserve">data </w:t>
      </w:r>
      <w:r w:rsidRPr="005629F8">
        <w:t xml:space="preserve">was used to develop a national estimate of both the number of in-scope private hospitals and the number of in-scope separations in </w:t>
      </w:r>
      <w:r w:rsidR="00095D44">
        <w:t>2021</w:t>
      </w:r>
      <w:r w:rsidRPr="005629F8">
        <w:t>-2</w:t>
      </w:r>
      <w:r w:rsidR="00095D44">
        <w:t>2</w:t>
      </w:r>
      <w:r w:rsidRPr="005629F8">
        <w:t>.</w:t>
      </w:r>
    </w:p>
    <w:p w14:paraId="6ECD651A" w14:textId="7D570C86" w:rsidR="00B76B05" w:rsidRPr="005629F8" w:rsidRDefault="00B76B05" w:rsidP="004325C3">
      <w:r w:rsidRPr="005629F8">
        <w:t xml:space="preserve">The data was also </w:t>
      </w:r>
      <w:r w:rsidR="008E00F1">
        <w:t>analysed</w:t>
      </w:r>
      <w:r w:rsidR="008E00F1" w:rsidRPr="005629F8">
        <w:t xml:space="preserve"> </w:t>
      </w:r>
      <w:r w:rsidRPr="005629F8">
        <w:t>by hospital group and compared against PHDB</w:t>
      </w:r>
      <w:r w:rsidR="00D97C80">
        <w:t xml:space="preserve"> data</w:t>
      </w:r>
      <w:r w:rsidRPr="005629F8">
        <w:t>, to ensure that no hospital group was over</w:t>
      </w:r>
      <w:r w:rsidR="008E00F1">
        <w:t>-</w:t>
      </w:r>
      <w:r w:rsidRPr="005629F8">
        <w:t xml:space="preserve">represented in the dataset in a way that would potentially bias the analysis. An adjustment was made to the activity data in </w:t>
      </w:r>
      <w:r w:rsidR="00095D44">
        <w:t>2021</w:t>
      </w:r>
      <w:r w:rsidR="00A96EDB" w:rsidRPr="005629F8">
        <w:t>-</w:t>
      </w:r>
      <w:r w:rsidR="00095D44">
        <w:t>22</w:t>
      </w:r>
      <w:r w:rsidRPr="005629F8">
        <w:t xml:space="preserve"> to align the cost profile of each hospital group more closely in the NHCDC to that of the population activity. Population activity is defined as all in-scope private hospital episodes that take place within the financial year.</w:t>
      </w:r>
    </w:p>
    <w:p w14:paraId="58AC930D" w14:textId="2972258A" w:rsidR="00B76B05" w:rsidRPr="005629F8" w:rsidRDefault="00B76B05" w:rsidP="004325C3">
      <w:r w:rsidRPr="005629F8">
        <w:t xml:space="preserve">An overall participation rate was calculated relative to population activity. Hospital groups were consulted to ensure they were satisfied with the level of participation </w:t>
      </w:r>
      <w:r w:rsidR="00A96EDB" w:rsidRPr="005629F8">
        <w:t xml:space="preserve">throughout </w:t>
      </w:r>
      <w:r w:rsidRPr="005629F8">
        <w:t xml:space="preserve">the </w:t>
      </w:r>
      <w:r w:rsidR="00A96EDB" w:rsidRPr="005629F8">
        <w:t>year</w:t>
      </w:r>
      <w:r w:rsidRPr="005629F8">
        <w:t>. The separations in the submitted data were then scaled up using estimated weights to be reflective of the population activity.</w:t>
      </w:r>
    </w:p>
    <w:p w14:paraId="6F923642" w14:textId="43687F3B" w:rsidR="00B76B05" w:rsidRPr="005629F8" w:rsidRDefault="00B76B05" w:rsidP="004325C3">
      <w:r w:rsidRPr="005629F8">
        <w:t xml:space="preserve">The national costed dataset was then reviewed to identify </w:t>
      </w:r>
      <w:r w:rsidR="008E00F1">
        <w:t>whether there w</w:t>
      </w:r>
      <w:r w:rsidR="00DD218D">
        <w:t>ere</w:t>
      </w:r>
      <w:r w:rsidR="008E00F1">
        <w:t xml:space="preserve"> an</w:t>
      </w:r>
      <w:r w:rsidR="00DD218D">
        <w:t>y</w:t>
      </w:r>
      <w:r w:rsidR="008E00F1">
        <w:t xml:space="preserve"> instances of </w:t>
      </w:r>
      <w:r w:rsidR="00D97C80">
        <w:br/>
      </w:r>
      <w:r w:rsidRPr="005629F8">
        <w:t>AR-DRG flipping</w:t>
      </w:r>
      <w:r w:rsidR="008E00F1">
        <w:t xml:space="preserve"> (where</w:t>
      </w:r>
      <w:r w:rsidRPr="005629F8">
        <w:t xml:space="preserve"> the cost weight of a lower complexity AR-DRG within the related adjacent AR-DRG is higher than the one with </w:t>
      </w:r>
      <w:r w:rsidR="00A70150">
        <w:t>greater</w:t>
      </w:r>
      <w:r w:rsidR="00A70150" w:rsidRPr="005629F8">
        <w:t xml:space="preserve"> </w:t>
      </w:r>
      <w:r w:rsidRPr="005629F8">
        <w:t>complexity</w:t>
      </w:r>
      <w:r w:rsidR="008E00F1">
        <w:t>)</w:t>
      </w:r>
      <w:r w:rsidRPr="005629F8">
        <w:t xml:space="preserve">. </w:t>
      </w:r>
      <w:r w:rsidR="00095D44">
        <w:t>A single outlier episode was removed from the sample.</w:t>
      </w:r>
    </w:p>
    <w:p w14:paraId="57386854" w14:textId="686F7E6B" w:rsidR="00B76B05" w:rsidRPr="005629F8" w:rsidRDefault="00B76B05" w:rsidP="004325C3">
      <w:r w:rsidRPr="005629F8">
        <w:t>Based on the adjustments described above</w:t>
      </w:r>
      <w:r w:rsidR="00DD218D">
        <w:t>,</w:t>
      </w:r>
      <w:r w:rsidRPr="005629F8">
        <w:t xml:space="preserve"> the cost weight tables were produced, </w:t>
      </w:r>
      <w:proofErr w:type="gramStart"/>
      <w:r w:rsidRPr="005629F8">
        <w:t>verified</w:t>
      </w:r>
      <w:proofErr w:type="gramEnd"/>
      <w:r w:rsidRPr="005629F8">
        <w:t xml:space="preserve"> and compared to results</w:t>
      </w:r>
      <w:r w:rsidR="00A96EDB" w:rsidRPr="005629F8">
        <w:t xml:space="preserve"> from the previous financial year</w:t>
      </w:r>
      <w:r w:rsidRPr="005629F8">
        <w:t>.</w:t>
      </w:r>
    </w:p>
    <w:p w14:paraId="2A073D27" w14:textId="3BA5A60A" w:rsidR="00B76B05" w:rsidRPr="005629F8" w:rsidRDefault="00B76B05" w:rsidP="00FC4599">
      <w:pPr>
        <w:pStyle w:val="Heading2"/>
      </w:pPr>
      <w:bookmarkStart w:id="264" w:name="_Toc129700703"/>
      <w:bookmarkStart w:id="265" w:name="_Toc129701396"/>
      <w:r w:rsidRPr="005629F8">
        <w:t>Stage</w:t>
      </w:r>
      <w:r w:rsidRPr="005629F8">
        <w:rPr>
          <w:spacing w:val="-4"/>
        </w:rPr>
        <w:t xml:space="preserve"> </w:t>
      </w:r>
      <w:r w:rsidRPr="005629F8">
        <w:t>8:</w:t>
      </w:r>
      <w:r w:rsidRPr="005629F8">
        <w:rPr>
          <w:spacing w:val="1"/>
        </w:rPr>
        <w:t xml:space="preserve"> </w:t>
      </w:r>
      <w:r w:rsidRPr="005629F8">
        <w:t>Reporting</w:t>
      </w:r>
      <w:bookmarkEnd w:id="264"/>
      <w:bookmarkEnd w:id="265"/>
    </w:p>
    <w:p w14:paraId="72C1C473" w14:textId="1C9FE610" w:rsidR="00B76B05" w:rsidRPr="005629F8" w:rsidRDefault="00B76B05" w:rsidP="004325C3">
      <w:r w:rsidRPr="005629F8">
        <w:t xml:space="preserve">The national costed dataset was then used to produce the </w:t>
      </w:r>
      <w:r w:rsidR="00DD218D">
        <w:t>NHCDC P</w:t>
      </w:r>
      <w:r w:rsidRPr="005629F8">
        <w:t xml:space="preserve">rivate </w:t>
      </w:r>
      <w:r w:rsidR="00DD218D">
        <w:t>H</w:t>
      </w:r>
      <w:r w:rsidRPr="005629F8">
        <w:t xml:space="preserve">ospital </w:t>
      </w:r>
      <w:r w:rsidR="00DD218D">
        <w:t>R</w:t>
      </w:r>
      <w:r w:rsidRPr="005629F8">
        <w:t>eport</w:t>
      </w:r>
      <w:r w:rsidR="00DD0195">
        <w:t xml:space="preserve"> </w:t>
      </w:r>
      <w:r w:rsidR="00DD218D" w:rsidRPr="005629F8">
        <w:t>202</w:t>
      </w:r>
      <w:r w:rsidR="00325B60">
        <w:t>1</w:t>
      </w:r>
      <w:r w:rsidR="00DD218D" w:rsidRPr="005629F8">
        <w:t>-2</w:t>
      </w:r>
      <w:r w:rsidR="00325B60">
        <w:t>2</w:t>
      </w:r>
      <w:r w:rsidR="00DD218D" w:rsidRPr="005629F8">
        <w:t xml:space="preserve"> </w:t>
      </w:r>
      <w:r w:rsidR="00DD0195">
        <w:t>and the associated cost weight tables</w:t>
      </w:r>
      <w:r w:rsidRPr="005629F8">
        <w:t>.</w:t>
      </w:r>
    </w:p>
    <w:p w14:paraId="4C9282E4" w14:textId="77777777" w:rsidR="007B110D" w:rsidRDefault="007B110D">
      <w:pPr>
        <w:spacing w:line="259" w:lineRule="auto"/>
        <w:rPr>
          <w:rFonts w:eastAsiaTheme="majorEastAsia" w:cstheme="majorBidi"/>
          <w:b/>
          <w:bCs/>
          <w:sz w:val="72"/>
          <w:szCs w:val="32"/>
        </w:rPr>
      </w:pPr>
      <w:bookmarkStart w:id="266" w:name="_bookmark24"/>
      <w:bookmarkStart w:id="267" w:name="_Toc106888111"/>
      <w:bookmarkStart w:id="268" w:name="_Ref103176206"/>
      <w:bookmarkEnd w:id="266"/>
      <w:r>
        <w:br w:type="page"/>
      </w:r>
    </w:p>
    <w:p w14:paraId="566D7A6E" w14:textId="54AD70D6" w:rsidR="00B76B05" w:rsidRPr="00E87B16" w:rsidRDefault="00B76B05" w:rsidP="00E87B16">
      <w:pPr>
        <w:pStyle w:val="Heading1"/>
        <w:numPr>
          <w:ilvl w:val="0"/>
          <w:numId w:val="0"/>
        </w:numPr>
        <w:ind w:right="-177"/>
        <w:rPr>
          <w:sz w:val="48"/>
          <w:szCs w:val="48"/>
        </w:rPr>
      </w:pPr>
      <w:bookmarkStart w:id="269" w:name="_Toc152080394"/>
      <w:r w:rsidRPr="00E87B16">
        <w:rPr>
          <w:sz w:val="48"/>
          <w:szCs w:val="48"/>
        </w:rPr>
        <w:lastRenderedPageBreak/>
        <w:t>Appendix B: Private sector costing approaches</w:t>
      </w:r>
      <w:bookmarkEnd w:id="267"/>
      <w:bookmarkEnd w:id="268"/>
      <w:bookmarkEnd w:id="269"/>
    </w:p>
    <w:p w14:paraId="40FEA57A" w14:textId="6F3EB7B9" w:rsidR="00B76B05" w:rsidRPr="005629F8" w:rsidRDefault="00B76B05" w:rsidP="00FC4599">
      <w:pPr>
        <w:pStyle w:val="Heading2"/>
      </w:pPr>
      <w:bookmarkStart w:id="270" w:name="_Toc129700705"/>
      <w:bookmarkStart w:id="271" w:name="_Toc129701398"/>
      <w:r w:rsidRPr="005629F8">
        <w:t>Costing</w:t>
      </w:r>
      <w:r w:rsidRPr="005629F8">
        <w:rPr>
          <w:spacing w:val="-2"/>
        </w:rPr>
        <w:t xml:space="preserve"> </w:t>
      </w:r>
      <w:r w:rsidRPr="005629F8">
        <w:t>methodologies</w:t>
      </w:r>
      <w:bookmarkEnd w:id="270"/>
      <w:bookmarkEnd w:id="271"/>
    </w:p>
    <w:p w14:paraId="041F1928" w14:textId="77777777" w:rsidR="00B76B05" w:rsidRPr="005629F8" w:rsidRDefault="00B76B05" w:rsidP="00B76B05">
      <w:r w:rsidRPr="005629F8">
        <w:t>Hospital costing is the process of identifying the resources and inputs used during an episode and applying the costs of those inputs to the different types of clinical procedures and treatments provided to each patient in a hospital.</w:t>
      </w:r>
    </w:p>
    <w:p w14:paraId="3814D339" w14:textId="032F3097" w:rsidR="00B76B05" w:rsidRPr="005629F8" w:rsidRDefault="00B76B05" w:rsidP="00B76B05">
      <w:r w:rsidRPr="005629F8">
        <w:t>From</w:t>
      </w:r>
      <w:r w:rsidR="00A96EDB" w:rsidRPr="005629F8">
        <w:t xml:space="preserve"> </w:t>
      </w:r>
      <w:r w:rsidR="00C82F8C">
        <w:t>2015</w:t>
      </w:r>
      <w:r w:rsidR="00A96EDB" w:rsidRPr="005629F8">
        <w:t>-16</w:t>
      </w:r>
      <w:r w:rsidRPr="005629F8">
        <w:t xml:space="preserve">, the participating hospitals have been required to undertake their own costing and during </w:t>
      </w:r>
      <w:r w:rsidR="00C82F8C">
        <w:t>20</w:t>
      </w:r>
      <w:r w:rsidR="00A96EDB" w:rsidRPr="005629F8">
        <w:t xml:space="preserve">15-16 and </w:t>
      </w:r>
      <w:r w:rsidR="00C82F8C">
        <w:t>20</w:t>
      </w:r>
      <w:r w:rsidR="00A96EDB" w:rsidRPr="005629F8">
        <w:t>16-17</w:t>
      </w:r>
      <w:r w:rsidRPr="005629F8">
        <w:t xml:space="preserve"> they were asked to provide a summary of their costing methodology process as well as the process they used to submit the costing data. During </w:t>
      </w:r>
      <w:r w:rsidR="00C82F8C">
        <w:t>20</w:t>
      </w:r>
      <w:r w:rsidR="00A96EDB" w:rsidRPr="005629F8">
        <w:t>2</w:t>
      </w:r>
      <w:r w:rsidR="00F62EF4">
        <w:t>1</w:t>
      </w:r>
      <w:r w:rsidR="00A96EDB" w:rsidRPr="005629F8">
        <w:t>-2</w:t>
      </w:r>
      <w:r w:rsidR="00F62EF4">
        <w:t>2</w:t>
      </w:r>
      <w:r w:rsidRPr="005629F8">
        <w:t>, participating hospitals were asked to indicate which of the costing methodologies (outlined below) they used.</w:t>
      </w:r>
    </w:p>
    <w:p w14:paraId="11F7F452" w14:textId="57BEF722" w:rsidR="00B76B05" w:rsidRPr="005629F8" w:rsidRDefault="00BE3E10" w:rsidP="00B76B05">
      <w:r w:rsidRPr="005629F8">
        <w:t>IHACPA</w:t>
      </w:r>
      <w:r w:rsidR="00B76B05" w:rsidRPr="005629F8">
        <w:t xml:space="preserve"> also released the </w:t>
      </w:r>
      <w:r w:rsidR="00B76B05" w:rsidRPr="005629F8">
        <w:rPr>
          <w:i/>
        </w:rPr>
        <w:t>COVID-19 Response - Costing and pricing guidelines</w:t>
      </w:r>
      <w:r w:rsidR="00B76B05" w:rsidRPr="005629F8">
        <w:t xml:space="preserve"> to guide costing practitioners on the steps to capturing end-to-end COVID-19 activity and expenses.</w:t>
      </w:r>
    </w:p>
    <w:p w14:paraId="7064B39F" w14:textId="456C41BF" w:rsidR="00B76B05" w:rsidRPr="005629F8" w:rsidRDefault="00B76B05" w:rsidP="00B76B05">
      <w:r w:rsidRPr="005629F8">
        <w:t xml:space="preserve">There are </w:t>
      </w:r>
      <w:r w:rsidR="00881AF0">
        <w:t>2</w:t>
      </w:r>
      <w:r w:rsidRPr="005629F8">
        <w:t xml:space="preserve"> main methods adopted by participants for hospital cost allocations: cost modelling or patient costing. In recent </w:t>
      </w:r>
      <w:r w:rsidR="00A96EDB" w:rsidRPr="005629F8">
        <w:t xml:space="preserve">years </w:t>
      </w:r>
      <w:r w:rsidRPr="005629F8">
        <w:t>of the NHCDC, hospital groups have moved away from cost modelling to patient costing approaches, although some hospital groups continue to use cost modelling for specific cost buckets.</w:t>
      </w:r>
    </w:p>
    <w:p w14:paraId="0F05B68E" w14:textId="08333BD7" w:rsidR="00B76B05" w:rsidRPr="005629F8" w:rsidRDefault="00B76B05" w:rsidP="00B76B05">
      <w:r w:rsidRPr="005629F8">
        <w:t>Patient costing (also known as bottom-up costing) uses activity feeder systems to provide actual resource consumption. For example, a prostheses system within a hospital will record what type of prostheses has been implanted into a patient and the cost of the implant</w:t>
      </w:r>
      <w:r w:rsidR="003B5A51">
        <w:t xml:space="preserve">. </w:t>
      </w:r>
      <w:r w:rsidRPr="005629F8">
        <w:t xml:space="preserve">This data is used to allocate costs to patients from the </w:t>
      </w:r>
      <w:proofErr w:type="gramStart"/>
      <w:r w:rsidR="00D97C80">
        <w:t>p</w:t>
      </w:r>
      <w:r w:rsidRPr="005629F8">
        <w:t>rostheses</w:t>
      </w:r>
      <w:proofErr w:type="gramEnd"/>
      <w:r w:rsidRPr="005629F8">
        <w:t xml:space="preserve"> patient care area.</w:t>
      </w:r>
    </w:p>
    <w:p w14:paraId="69392379" w14:textId="77777777" w:rsidR="00B76B05" w:rsidRPr="005629F8" w:rsidRDefault="00B76B05" w:rsidP="00B76B05">
      <w:r w:rsidRPr="005629F8">
        <w:t>Patient level costing yields results that are closer to the true cost of an encounter within a hospital, however due to the dependency on feeder systems, perfect patient level costing can be difficult to achieve.</w:t>
      </w:r>
    </w:p>
    <w:p w14:paraId="5012DA82" w14:textId="6BE865C4" w:rsidR="00B76B05" w:rsidRPr="005629F8" w:rsidRDefault="00B76B05" w:rsidP="00B76B05">
      <w:r w:rsidRPr="005629F8">
        <w:t>Cost modelling (also known as top</w:t>
      </w:r>
      <w:r w:rsidR="007B110D">
        <w:t>-</w:t>
      </w:r>
      <w:r w:rsidRPr="005629F8">
        <w:t xml:space="preserve">down costing) takes the total admitted acute costs for patient areas (such as </w:t>
      </w:r>
      <w:r w:rsidR="00D97C80">
        <w:t>w</w:t>
      </w:r>
      <w:r w:rsidRPr="005629F8">
        <w:t>ards) and allocates costs to encounters based on an assumed level of consumption using service weights. Service weights are the relative costs of a service for each type of patient care product. Service weights are applied to apportion costs to patient groups defined by their AR-DRG (in the case of admitted acute care).</w:t>
      </w:r>
    </w:p>
    <w:p w14:paraId="7E55893C" w14:textId="68CDC0F4" w:rsidR="00B76B05" w:rsidRPr="005629F8" w:rsidRDefault="00B76B05" w:rsidP="00FC4599">
      <w:pPr>
        <w:pStyle w:val="Heading2"/>
      </w:pPr>
      <w:bookmarkStart w:id="272" w:name="_Toc129700706"/>
      <w:bookmarkStart w:id="273" w:name="_Toc129701399"/>
      <w:r w:rsidRPr="005629F8">
        <w:t>Data sources</w:t>
      </w:r>
      <w:bookmarkEnd w:id="272"/>
      <w:bookmarkEnd w:id="273"/>
    </w:p>
    <w:p w14:paraId="327EC519" w14:textId="77777777" w:rsidR="00B76B05" w:rsidRPr="005629F8" w:rsidRDefault="00B76B05" w:rsidP="00E13965">
      <w:r w:rsidRPr="005629F8">
        <w:t>The</w:t>
      </w:r>
      <w:r w:rsidRPr="005629F8">
        <w:rPr>
          <w:spacing w:val="-7"/>
        </w:rPr>
        <w:t xml:space="preserve"> </w:t>
      </w:r>
      <w:r w:rsidRPr="005629F8">
        <w:t>following categories</w:t>
      </w:r>
      <w:r w:rsidRPr="005629F8">
        <w:rPr>
          <w:spacing w:val="-4"/>
        </w:rPr>
        <w:t xml:space="preserve"> </w:t>
      </w:r>
      <w:r w:rsidRPr="005629F8">
        <w:t>of</w:t>
      </w:r>
      <w:r w:rsidRPr="005629F8">
        <w:rPr>
          <w:spacing w:val="2"/>
        </w:rPr>
        <w:t xml:space="preserve"> </w:t>
      </w:r>
      <w:r w:rsidRPr="005629F8">
        <w:t>patient level</w:t>
      </w:r>
      <w:r w:rsidRPr="005629F8">
        <w:rPr>
          <w:spacing w:val="-2"/>
        </w:rPr>
        <w:t xml:space="preserve"> </w:t>
      </w:r>
      <w:r w:rsidRPr="005629F8">
        <w:t>data</w:t>
      </w:r>
      <w:r w:rsidRPr="005629F8">
        <w:rPr>
          <w:spacing w:val="-4"/>
        </w:rPr>
        <w:t xml:space="preserve"> </w:t>
      </w:r>
      <w:r w:rsidRPr="005629F8">
        <w:t>components</w:t>
      </w:r>
      <w:r w:rsidRPr="005629F8">
        <w:rPr>
          <w:spacing w:val="3"/>
        </w:rPr>
        <w:t xml:space="preserve"> </w:t>
      </w:r>
      <w:r w:rsidRPr="005629F8">
        <w:t>are</w:t>
      </w:r>
      <w:r w:rsidRPr="005629F8">
        <w:rPr>
          <w:spacing w:val="-1"/>
        </w:rPr>
        <w:t xml:space="preserve"> </w:t>
      </w:r>
      <w:r w:rsidRPr="005629F8">
        <w:t>utilised</w:t>
      </w:r>
      <w:r w:rsidRPr="005629F8">
        <w:rPr>
          <w:spacing w:val="-2"/>
        </w:rPr>
        <w:t xml:space="preserve"> </w:t>
      </w:r>
      <w:r w:rsidRPr="005629F8">
        <w:t>during</w:t>
      </w:r>
      <w:r w:rsidRPr="005629F8">
        <w:rPr>
          <w:spacing w:val="-1"/>
        </w:rPr>
        <w:t xml:space="preserve"> </w:t>
      </w:r>
      <w:r w:rsidRPr="005629F8">
        <w:t>the</w:t>
      </w:r>
      <w:r w:rsidRPr="005629F8">
        <w:rPr>
          <w:spacing w:val="-4"/>
        </w:rPr>
        <w:t xml:space="preserve"> </w:t>
      </w:r>
      <w:r w:rsidRPr="005629F8">
        <w:t>costing</w:t>
      </w:r>
      <w:r w:rsidRPr="005629F8">
        <w:rPr>
          <w:spacing w:val="-2"/>
        </w:rPr>
        <w:t xml:space="preserve"> </w:t>
      </w:r>
      <w:r w:rsidRPr="005629F8">
        <w:t>process:</w:t>
      </w:r>
    </w:p>
    <w:p w14:paraId="445C2520" w14:textId="77777777" w:rsidR="00B76B05" w:rsidRPr="005629F8" w:rsidRDefault="00B76B05" w:rsidP="00E13965">
      <w:r w:rsidRPr="005629F8">
        <w:rPr>
          <w:b/>
        </w:rPr>
        <w:t xml:space="preserve">Financial data: </w:t>
      </w:r>
      <w:r w:rsidRPr="005629F8">
        <w:t>This includes the general ledger cost centres and account codes, along with</w:t>
      </w:r>
      <w:r w:rsidRPr="005629F8">
        <w:rPr>
          <w:spacing w:val="1"/>
        </w:rPr>
        <w:t xml:space="preserve"> the </w:t>
      </w:r>
      <w:r w:rsidRPr="005629F8">
        <w:t>mapping of those cost centres to patient care areas and standardised line items. This dataset excludes revenue cost centres and/or account codes.</w:t>
      </w:r>
    </w:p>
    <w:p w14:paraId="1E091CAF" w14:textId="3EB361DE" w:rsidR="00B76B05" w:rsidRPr="005629F8" w:rsidRDefault="00B76B05" w:rsidP="00E13965">
      <w:r w:rsidRPr="005629F8">
        <w:rPr>
          <w:b/>
        </w:rPr>
        <w:t xml:space="preserve">Activity data: </w:t>
      </w:r>
      <w:r w:rsidRPr="005629F8">
        <w:t xml:space="preserve">This includes the encounter level data (such as patient ID, encounter ID, date </w:t>
      </w:r>
      <w:r w:rsidR="008E00F1">
        <w:t>of birth</w:t>
      </w:r>
      <w:r w:rsidRPr="005629F8">
        <w:t>) and transfer information identifying the patient’s pathway through the hospital via</w:t>
      </w:r>
      <w:r w:rsidRPr="005629F8">
        <w:rPr>
          <w:spacing w:val="1"/>
        </w:rPr>
        <w:t xml:space="preserve"> </w:t>
      </w:r>
      <w:r w:rsidRPr="005629F8">
        <w:t>transfers</w:t>
      </w:r>
      <w:r w:rsidRPr="005629F8">
        <w:rPr>
          <w:spacing w:val="-2"/>
        </w:rPr>
        <w:t xml:space="preserve"> </w:t>
      </w:r>
      <w:r w:rsidRPr="005629F8">
        <w:t>between areas</w:t>
      </w:r>
      <w:r w:rsidRPr="005629F8">
        <w:rPr>
          <w:spacing w:val="-2"/>
        </w:rPr>
        <w:t xml:space="preserve"> </w:t>
      </w:r>
      <w:r w:rsidRPr="005629F8">
        <w:t>such as</w:t>
      </w:r>
      <w:r w:rsidRPr="005629F8">
        <w:rPr>
          <w:spacing w:val="-2"/>
        </w:rPr>
        <w:t xml:space="preserve"> </w:t>
      </w:r>
      <w:r w:rsidRPr="005629F8">
        <w:t>operating rooms</w:t>
      </w:r>
      <w:r w:rsidRPr="005629F8">
        <w:rPr>
          <w:spacing w:val="-2"/>
        </w:rPr>
        <w:t xml:space="preserve"> </w:t>
      </w:r>
      <w:r w:rsidRPr="005629F8">
        <w:t>and</w:t>
      </w:r>
      <w:r w:rsidRPr="005629F8">
        <w:rPr>
          <w:spacing w:val="-1"/>
        </w:rPr>
        <w:t xml:space="preserve"> </w:t>
      </w:r>
      <w:r w:rsidRPr="005629F8">
        <w:t>wards.</w:t>
      </w:r>
    </w:p>
    <w:p w14:paraId="5E9E3A2B" w14:textId="4345AD3A" w:rsidR="00B76B05" w:rsidRPr="005629F8" w:rsidRDefault="00B76B05" w:rsidP="00E13965">
      <w:r w:rsidRPr="005629F8">
        <w:rPr>
          <w:b/>
        </w:rPr>
        <w:lastRenderedPageBreak/>
        <w:t xml:space="preserve">Feeder data: </w:t>
      </w:r>
      <w:r w:rsidRPr="005629F8">
        <w:t>This includes data that identifies patient consumption of hospital products or</w:t>
      </w:r>
      <w:r w:rsidRPr="005629F8">
        <w:rPr>
          <w:spacing w:val="1"/>
        </w:rPr>
        <w:t xml:space="preserve"> </w:t>
      </w:r>
      <w:r w:rsidRPr="005629F8">
        <w:t xml:space="preserve">services within a patient care area. For example, a </w:t>
      </w:r>
      <w:r w:rsidR="00044D4D" w:rsidRPr="0088109E">
        <w:t>prostheses</w:t>
      </w:r>
      <w:r w:rsidRPr="005629F8">
        <w:t xml:space="preserve"> feeder might list the prosthetic</w:t>
      </w:r>
      <w:r w:rsidRPr="005629F8">
        <w:rPr>
          <w:spacing w:val="1"/>
        </w:rPr>
        <w:t xml:space="preserve"> </w:t>
      </w:r>
      <w:r w:rsidRPr="005629F8">
        <w:t xml:space="preserve">items received by a patient and the cost of each. This feeder data is used to allocate costs in </w:t>
      </w:r>
      <w:proofErr w:type="gramStart"/>
      <w:r w:rsidRPr="005629F8">
        <w:t>the</w:t>
      </w:r>
      <w:r w:rsidR="00435930">
        <w:t xml:space="preserve"> </w:t>
      </w:r>
      <w:r w:rsidRPr="005629F8">
        <w:rPr>
          <w:spacing w:val="-59"/>
        </w:rPr>
        <w:t xml:space="preserve"> </w:t>
      </w:r>
      <w:r w:rsidRPr="005629F8">
        <w:t>general</w:t>
      </w:r>
      <w:proofErr w:type="gramEnd"/>
      <w:r w:rsidRPr="005629F8">
        <w:rPr>
          <w:spacing w:val="-2"/>
        </w:rPr>
        <w:t xml:space="preserve"> </w:t>
      </w:r>
      <w:r w:rsidRPr="005629F8">
        <w:t>ledger as it</w:t>
      </w:r>
      <w:r w:rsidRPr="005629F8">
        <w:rPr>
          <w:spacing w:val="-1"/>
        </w:rPr>
        <w:t xml:space="preserve"> </w:t>
      </w:r>
      <w:r w:rsidRPr="005629F8">
        <w:t>identifies</w:t>
      </w:r>
      <w:r w:rsidRPr="005629F8">
        <w:rPr>
          <w:spacing w:val="-3"/>
        </w:rPr>
        <w:t xml:space="preserve"> </w:t>
      </w:r>
      <w:r w:rsidRPr="005629F8">
        <w:t>how</w:t>
      </w:r>
      <w:r w:rsidRPr="005629F8">
        <w:rPr>
          <w:spacing w:val="-4"/>
        </w:rPr>
        <w:t xml:space="preserve"> </w:t>
      </w:r>
      <w:r w:rsidRPr="005629F8">
        <w:t>much of</w:t>
      </w:r>
      <w:r w:rsidRPr="005629F8">
        <w:rPr>
          <w:spacing w:val="-2"/>
        </w:rPr>
        <w:t xml:space="preserve"> </w:t>
      </w:r>
      <w:r w:rsidRPr="005629F8">
        <w:t>the</w:t>
      </w:r>
      <w:r w:rsidRPr="005629F8">
        <w:rPr>
          <w:spacing w:val="-1"/>
        </w:rPr>
        <w:t xml:space="preserve"> </w:t>
      </w:r>
      <w:r w:rsidRPr="005629F8">
        <w:t>prosthesis</w:t>
      </w:r>
      <w:r w:rsidRPr="005629F8">
        <w:rPr>
          <w:spacing w:val="-1"/>
        </w:rPr>
        <w:t xml:space="preserve"> </w:t>
      </w:r>
      <w:r w:rsidRPr="005629F8">
        <w:t>products</w:t>
      </w:r>
      <w:r w:rsidRPr="005629F8">
        <w:rPr>
          <w:spacing w:val="-3"/>
        </w:rPr>
        <w:t xml:space="preserve"> </w:t>
      </w:r>
      <w:r w:rsidRPr="005629F8">
        <w:t>each</w:t>
      </w:r>
      <w:r w:rsidRPr="005629F8">
        <w:rPr>
          <w:spacing w:val="-1"/>
        </w:rPr>
        <w:t xml:space="preserve"> </w:t>
      </w:r>
      <w:r w:rsidRPr="005629F8">
        <w:t>encounter</w:t>
      </w:r>
      <w:r w:rsidRPr="005629F8">
        <w:rPr>
          <w:spacing w:val="-1"/>
        </w:rPr>
        <w:t xml:space="preserve"> </w:t>
      </w:r>
      <w:r w:rsidRPr="005629F8">
        <w:t>consumes.</w:t>
      </w:r>
    </w:p>
    <w:p w14:paraId="24CF4B2D" w14:textId="77777777" w:rsidR="009337B4" w:rsidRPr="005629F8" w:rsidRDefault="00B76B05" w:rsidP="00E13965">
      <w:r w:rsidRPr="005629F8">
        <w:t>Where</w:t>
      </w:r>
      <w:r w:rsidRPr="005629F8">
        <w:rPr>
          <w:spacing w:val="-4"/>
        </w:rPr>
        <w:t xml:space="preserve"> </w:t>
      </w:r>
      <w:r w:rsidRPr="005629F8">
        <w:t>no</w:t>
      </w:r>
      <w:r w:rsidRPr="005629F8">
        <w:rPr>
          <w:spacing w:val="-3"/>
        </w:rPr>
        <w:t xml:space="preserve"> </w:t>
      </w:r>
      <w:r w:rsidRPr="005629F8">
        <w:t>feeder</w:t>
      </w:r>
      <w:r w:rsidRPr="005629F8">
        <w:rPr>
          <w:spacing w:val="-2"/>
        </w:rPr>
        <w:t xml:space="preserve"> </w:t>
      </w:r>
      <w:r w:rsidRPr="005629F8">
        <w:t>data</w:t>
      </w:r>
      <w:r w:rsidRPr="005629F8">
        <w:rPr>
          <w:spacing w:val="-2"/>
        </w:rPr>
        <w:t xml:space="preserve"> </w:t>
      </w:r>
      <w:r w:rsidRPr="005629F8">
        <w:t>is</w:t>
      </w:r>
      <w:r w:rsidRPr="005629F8">
        <w:rPr>
          <w:spacing w:val="-3"/>
        </w:rPr>
        <w:t xml:space="preserve"> </w:t>
      </w:r>
      <w:r w:rsidRPr="005629F8">
        <w:t>available,</w:t>
      </w:r>
      <w:r w:rsidRPr="005629F8">
        <w:rPr>
          <w:spacing w:val="1"/>
        </w:rPr>
        <w:t xml:space="preserve"> </w:t>
      </w:r>
      <w:r w:rsidRPr="005629F8">
        <w:t>patient</w:t>
      </w:r>
      <w:r w:rsidRPr="005629F8">
        <w:rPr>
          <w:spacing w:val="-2"/>
        </w:rPr>
        <w:t xml:space="preserve"> </w:t>
      </w:r>
      <w:r w:rsidRPr="005629F8">
        <w:t>care</w:t>
      </w:r>
      <w:r w:rsidRPr="005629F8">
        <w:rPr>
          <w:spacing w:val="-3"/>
        </w:rPr>
        <w:t xml:space="preserve"> </w:t>
      </w:r>
      <w:r w:rsidRPr="005629F8">
        <w:t>area costs are allocated</w:t>
      </w:r>
      <w:r w:rsidRPr="005629F8">
        <w:rPr>
          <w:spacing w:val="-4"/>
        </w:rPr>
        <w:t xml:space="preserve"> </w:t>
      </w:r>
      <w:r w:rsidRPr="005629F8">
        <w:t>using</w:t>
      </w:r>
      <w:r w:rsidRPr="005629F8">
        <w:rPr>
          <w:spacing w:val="1"/>
        </w:rPr>
        <w:t xml:space="preserve"> </w:t>
      </w:r>
      <w:r w:rsidRPr="005629F8">
        <w:t>service</w:t>
      </w:r>
      <w:r w:rsidRPr="005629F8">
        <w:rPr>
          <w:spacing w:val="-1"/>
        </w:rPr>
        <w:t xml:space="preserve"> </w:t>
      </w:r>
      <w:r w:rsidRPr="005629F8">
        <w:t>weights.</w:t>
      </w:r>
    </w:p>
    <w:p w14:paraId="264F5A8E" w14:textId="0BEA59AD" w:rsidR="00B76B05" w:rsidRPr="005629F8" w:rsidRDefault="00B76B05" w:rsidP="00FC4599">
      <w:pPr>
        <w:pStyle w:val="Heading2"/>
      </w:pPr>
      <w:bookmarkStart w:id="274" w:name="_Toc129700707"/>
      <w:bookmarkStart w:id="275" w:name="_Toc129701400"/>
      <w:r w:rsidRPr="005629F8">
        <w:t>Cost bucket</w:t>
      </w:r>
      <w:r w:rsidRPr="005629F8">
        <w:rPr>
          <w:spacing w:val="1"/>
        </w:rPr>
        <w:t xml:space="preserve"> </w:t>
      </w:r>
      <w:r w:rsidRPr="005629F8">
        <w:t>or</w:t>
      </w:r>
      <w:r w:rsidRPr="005629F8">
        <w:rPr>
          <w:spacing w:val="-2"/>
        </w:rPr>
        <w:t xml:space="preserve"> </w:t>
      </w:r>
      <w:r w:rsidRPr="005629F8">
        <w:t>cost</w:t>
      </w:r>
      <w:r w:rsidRPr="005629F8">
        <w:rPr>
          <w:spacing w:val="-2"/>
        </w:rPr>
        <w:t xml:space="preserve"> </w:t>
      </w:r>
      <w:r w:rsidRPr="005629F8">
        <w:t>components</w:t>
      </w:r>
      <w:bookmarkEnd w:id="274"/>
      <w:bookmarkEnd w:id="275"/>
    </w:p>
    <w:p w14:paraId="4D51B647" w14:textId="77777777" w:rsidR="00B76B05" w:rsidRPr="005629F8" w:rsidRDefault="00B76B05" w:rsidP="00E13965">
      <w:r w:rsidRPr="005629F8">
        <w:t>The cost of a separation of admitted acute care is reported by allocating patient level costs to a set of pre-defined cost buckets/cost components. The cost buckets are listed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0"/>
        <w:gridCol w:w="3438"/>
        <w:gridCol w:w="3002"/>
      </w:tblGrid>
      <w:tr w:rsidR="009337B4" w:rsidRPr="0088109E" w14:paraId="6EB992DB" w14:textId="77777777" w:rsidTr="00FA0E2B">
        <w:tc>
          <w:tcPr>
            <w:tcW w:w="3220" w:type="dxa"/>
          </w:tcPr>
          <w:p w14:paraId="3A30F4DE" w14:textId="61D101A5" w:rsidR="009337B4" w:rsidRPr="005629F8" w:rsidRDefault="009337B4" w:rsidP="009337B4">
            <w:pPr>
              <w:pStyle w:val="ListParagraph"/>
              <w:numPr>
                <w:ilvl w:val="0"/>
                <w:numId w:val="39"/>
              </w:numPr>
              <w:ind w:left="567" w:hanging="567"/>
            </w:pPr>
            <w:r w:rsidRPr="005629F8">
              <w:t>Ward</w:t>
            </w:r>
            <w:r w:rsidRPr="005629F8">
              <w:rPr>
                <w:spacing w:val="-6"/>
              </w:rPr>
              <w:t xml:space="preserve"> </w:t>
            </w:r>
            <w:r w:rsidR="009329EB">
              <w:rPr>
                <w:spacing w:val="-6"/>
              </w:rPr>
              <w:t>m</w:t>
            </w:r>
            <w:r w:rsidRPr="005629F8">
              <w:t>edical</w:t>
            </w:r>
          </w:p>
          <w:p w14:paraId="032EB06F" w14:textId="0F48808B" w:rsidR="009337B4" w:rsidRPr="005629F8" w:rsidRDefault="009337B4" w:rsidP="009337B4">
            <w:pPr>
              <w:pStyle w:val="ListParagraph"/>
              <w:numPr>
                <w:ilvl w:val="0"/>
                <w:numId w:val="39"/>
              </w:numPr>
              <w:ind w:left="567" w:hanging="567"/>
            </w:pPr>
            <w:r w:rsidRPr="005629F8">
              <w:t>Ward</w:t>
            </w:r>
            <w:r w:rsidRPr="005629F8">
              <w:rPr>
                <w:spacing w:val="-5"/>
              </w:rPr>
              <w:t xml:space="preserve"> </w:t>
            </w:r>
            <w:r w:rsidR="009329EB">
              <w:rPr>
                <w:spacing w:val="-5"/>
              </w:rPr>
              <w:t>n</w:t>
            </w:r>
            <w:r w:rsidRPr="005629F8">
              <w:t>ursing</w:t>
            </w:r>
          </w:p>
          <w:p w14:paraId="31334640" w14:textId="7663B24D" w:rsidR="009337B4" w:rsidRPr="005629F8" w:rsidRDefault="009337B4" w:rsidP="009337B4">
            <w:pPr>
              <w:pStyle w:val="ListParagraph"/>
              <w:numPr>
                <w:ilvl w:val="0"/>
                <w:numId w:val="39"/>
              </w:numPr>
              <w:ind w:left="567" w:hanging="567"/>
            </w:pPr>
            <w:r w:rsidRPr="005629F8">
              <w:t>Non-clinical</w:t>
            </w:r>
            <w:r w:rsidRPr="005629F8">
              <w:rPr>
                <w:spacing w:val="-5"/>
              </w:rPr>
              <w:t xml:space="preserve"> </w:t>
            </w:r>
            <w:r w:rsidR="009329EB">
              <w:rPr>
                <w:spacing w:val="-5"/>
              </w:rPr>
              <w:t>s</w:t>
            </w:r>
            <w:r w:rsidRPr="005629F8">
              <w:t>alaries</w:t>
            </w:r>
          </w:p>
          <w:p w14:paraId="171ADA60" w14:textId="77777777" w:rsidR="009337B4" w:rsidRPr="005629F8" w:rsidRDefault="009337B4" w:rsidP="009337B4">
            <w:pPr>
              <w:pStyle w:val="ListParagraph"/>
              <w:numPr>
                <w:ilvl w:val="0"/>
                <w:numId w:val="39"/>
              </w:numPr>
              <w:ind w:left="567" w:hanging="567"/>
            </w:pPr>
            <w:r w:rsidRPr="005629F8">
              <w:t>Pathology</w:t>
            </w:r>
          </w:p>
          <w:p w14:paraId="7C38462D" w14:textId="77777777" w:rsidR="009337B4" w:rsidRPr="005629F8" w:rsidRDefault="009337B4" w:rsidP="009337B4">
            <w:pPr>
              <w:pStyle w:val="ListParagraph"/>
              <w:numPr>
                <w:ilvl w:val="0"/>
                <w:numId w:val="39"/>
              </w:numPr>
              <w:ind w:left="567" w:hanging="567"/>
            </w:pPr>
            <w:r w:rsidRPr="005629F8">
              <w:t>Imaging</w:t>
            </w:r>
          </w:p>
          <w:p w14:paraId="6C2724E7" w14:textId="4A78C8B6" w:rsidR="009337B4" w:rsidRPr="005629F8" w:rsidRDefault="009337B4" w:rsidP="009337B4">
            <w:pPr>
              <w:pStyle w:val="ListParagraph"/>
              <w:numPr>
                <w:ilvl w:val="0"/>
                <w:numId w:val="39"/>
              </w:numPr>
              <w:ind w:left="567" w:hanging="567"/>
            </w:pPr>
            <w:r w:rsidRPr="005629F8">
              <w:t>Allied</w:t>
            </w:r>
            <w:r w:rsidRPr="005629F8">
              <w:rPr>
                <w:spacing w:val="-2"/>
              </w:rPr>
              <w:t xml:space="preserve"> </w:t>
            </w:r>
            <w:r w:rsidR="009329EB">
              <w:rPr>
                <w:spacing w:val="-2"/>
              </w:rPr>
              <w:t>h</w:t>
            </w:r>
            <w:r w:rsidRPr="005629F8">
              <w:t>ealth</w:t>
            </w:r>
          </w:p>
        </w:tc>
        <w:tc>
          <w:tcPr>
            <w:tcW w:w="3438" w:type="dxa"/>
          </w:tcPr>
          <w:p w14:paraId="23F1E204" w14:textId="29BE0FD8" w:rsidR="009337B4" w:rsidRPr="005629F8" w:rsidRDefault="009337B4" w:rsidP="009337B4">
            <w:pPr>
              <w:pStyle w:val="ListParagraph"/>
              <w:numPr>
                <w:ilvl w:val="0"/>
                <w:numId w:val="39"/>
              </w:numPr>
              <w:ind w:left="567" w:right="-1361" w:hanging="567"/>
            </w:pPr>
            <w:r w:rsidRPr="005629F8">
              <w:t>Pharmacy</w:t>
            </w:r>
          </w:p>
          <w:p w14:paraId="648E1434" w14:textId="4C45D7DF" w:rsidR="009337B4" w:rsidRPr="005629F8" w:rsidRDefault="009337B4" w:rsidP="009337B4">
            <w:pPr>
              <w:pStyle w:val="ListParagraph"/>
              <w:numPr>
                <w:ilvl w:val="0"/>
                <w:numId w:val="39"/>
              </w:numPr>
              <w:ind w:left="567" w:right="-1361" w:hanging="567"/>
            </w:pPr>
            <w:r w:rsidRPr="005629F8">
              <w:t>Critical</w:t>
            </w:r>
            <w:r w:rsidRPr="005629F8">
              <w:rPr>
                <w:spacing w:val="-2"/>
              </w:rPr>
              <w:t xml:space="preserve"> </w:t>
            </w:r>
            <w:r w:rsidR="009329EB">
              <w:rPr>
                <w:spacing w:val="-2"/>
              </w:rPr>
              <w:t>c</w:t>
            </w:r>
            <w:r w:rsidRPr="005629F8">
              <w:t>are</w:t>
            </w:r>
          </w:p>
          <w:p w14:paraId="39A9EBE1" w14:textId="3406E6FB" w:rsidR="009337B4" w:rsidRPr="005629F8" w:rsidRDefault="009337B4" w:rsidP="009337B4">
            <w:pPr>
              <w:pStyle w:val="ListParagraph"/>
              <w:numPr>
                <w:ilvl w:val="0"/>
                <w:numId w:val="39"/>
              </w:numPr>
              <w:ind w:left="567" w:right="-1361" w:hanging="567"/>
            </w:pPr>
            <w:r w:rsidRPr="005629F8">
              <w:t>Operating</w:t>
            </w:r>
            <w:r w:rsidRPr="005629F8">
              <w:rPr>
                <w:spacing w:val="-2"/>
              </w:rPr>
              <w:t xml:space="preserve"> </w:t>
            </w:r>
            <w:r w:rsidR="009329EB">
              <w:rPr>
                <w:spacing w:val="-2"/>
              </w:rPr>
              <w:t>r</w:t>
            </w:r>
            <w:r w:rsidRPr="005629F8">
              <w:t>ooms</w:t>
            </w:r>
          </w:p>
          <w:p w14:paraId="46CADA2C" w14:textId="77777777" w:rsidR="009337B4" w:rsidRPr="005629F8" w:rsidRDefault="009337B4" w:rsidP="009337B4">
            <w:pPr>
              <w:pStyle w:val="ListParagraph"/>
              <w:numPr>
                <w:ilvl w:val="0"/>
                <w:numId w:val="39"/>
              </w:numPr>
              <w:ind w:left="567" w:right="-1361" w:hanging="567"/>
            </w:pPr>
            <w:r w:rsidRPr="005629F8">
              <w:t>Supplies</w:t>
            </w:r>
          </w:p>
          <w:p w14:paraId="6F20B61A" w14:textId="7E7769F8" w:rsidR="009337B4" w:rsidRPr="005629F8" w:rsidRDefault="009337B4" w:rsidP="009337B4">
            <w:pPr>
              <w:pStyle w:val="ListParagraph"/>
              <w:numPr>
                <w:ilvl w:val="0"/>
                <w:numId w:val="39"/>
              </w:numPr>
              <w:ind w:left="567" w:right="-1361" w:hanging="567"/>
            </w:pPr>
            <w:r w:rsidRPr="005629F8">
              <w:t xml:space="preserve">Specialist </w:t>
            </w:r>
            <w:r w:rsidR="009329EB">
              <w:t>p</w:t>
            </w:r>
            <w:r w:rsidRPr="005629F8">
              <w:t>rocedur</w:t>
            </w:r>
            <w:r w:rsidR="00DB117A">
              <w:t xml:space="preserve">e </w:t>
            </w:r>
            <w:r w:rsidR="009329EB">
              <w:t>s</w:t>
            </w:r>
            <w:r w:rsidR="00DB117A">
              <w:t>uites</w:t>
            </w:r>
          </w:p>
          <w:p w14:paraId="34BFA3E3" w14:textId="77777777" w:rsidR="009337B4" w:rsidRPr="005629F8" w:rsidRDefault="009337B4" w:rsidP="00E13965"/>
        </w:tc>
        <w:tc>
          <w:tcPr>
            <w:tcW w:w="3002" w:type="dxa"/>
          </w:tcPr>
          <w:p w14:paraId="522FFB62" w14:textId="77777777" w:rsidR="009337B4" w:rsidRPr="005629F8" w:rsidRDefault="009337B4" w:rsidP="009337B4">
            <w:pPr>
              <w:pStyle w:val="ListParagraph"/>
              <w:numPr>
                <w:ilvl w:val="0"/>
                <w:numId w:val="39"/>
              </w:numPr>
              <w:ind w:left="567" w:hanging="567"/>
            </w:pPr>
            <w:r w:rsidRPr="005629F8">
              <w:t>On-costs</w:t>
            </w:r>
          </w:p>
          <w:p w14:paraId="15CBB479" w14:textId="77777777" w:rsidR="009337B4" w:rsidRPr="005629F8" w:rsidRDefault="009337B4" w:rsidP="009337B4">
            <w:pPr>
              <w:pStyle w:val="ListParagraph"/>
              <w:numPr>
                <w:ilvl w:val="0"/>
                <w:numId w:val="39"/>
              </w:numPr>
              <w:ind w:left="567" w:hanging="567"/>
            </w:pPr>
            <w:r w:rsidRPr="005629F8">
              <w:t>Prostheses</w:t>
            </w:r>
          </w:p>
          <w:p w14:paraId="42D73F94" w14:textId="77777777" w:rsidR="009337B4" w:rsidRPr="005629F8" w:rsidRDefault="009337B4" w:rsidP="009337B4">
            <w:pPr>
              <w:pStyle w:val="ListParagraph"/>
              <w:numPr>
                <w:ilvl w:val="0"/>
                <w:numId w:val="39"/>
              </w:numPr>
              <w:ind w:left="567" w:right="-654" w:hanging="567"/>
            </w:pPr>
            <w:r w:rsidRPr="005629F8">
              <w:t>Hotel</w:t>
            </w:r>
          </w:p>
          <w:p w14:paraId="56AEDE64" w14:textId="77777777" w:rsidR="009337B4" w:rsidRPr="005629F8" w:rsidRDefault="009337B4" w:rsidP="009337B4">
            <w:pPr>
              <w:pStyle w:val="ListParagraph"/>
              <w:numPr>
                <w:ilvl w:val="0"/>
                <w:numId w:val="39"/>
              </w:numPr>
              <w:ind w:left="567" w:hanging="567"/>
            </w:pPr>
            <w:r w:rsidRPr="005629F8">
              <w:t>Depreciation</w:t>
            </w:r>
          </w:p>
          <w:p w14:paraId="0D968310" w14:textId="36F14099" w:rsidR="009337B4" w:rsidRPr="005629F8" w:rsidRDefault="009337B4" w:rsidP="009337B4">
            <w:pPr>
              <w:pStyle w:val="ListParagraph"/>
              <w:numPr>
                <w:ilvl w:val="0"/>
                <w:numId w:val="39"/>
              </w:numPr>
              <w:ind w:left="567" w:hanging="567"/>
            </w:pPr>
            <w:r w:rsidRPr="005629F8">
              <w:t>Patient</w:t>
            </w:r>
            <w:r w:rsidRPr="005629F8">
              <w:rPr>
                <w:spacing w:val="-2"/>
              </w:rPr>
              <w:t xml:space="preserve"> </w:t>
            </w:r>
            <w:r w:rsidR="009329EB">
              <w:rPr>
                <w:spacing w:val="-2"/>
              </w:rPr>
              <w:t>t</w:t>
            </w:r>
            <w:r w:rsidRPr="005629F8">
              <w:t>ravel</w:t>
            </w:r>
          </w:p>
          <w:p w14:paraId="36FEF995" w14:textId="77777777" w:rsidR="009337B4" w:rsidRPr="005629F8" w:rsidRDefault="009337B4" w:rsidP="00E13965"/>
        </w:tc>
      </w:tr>
    </w:tbl>
    <w:p w14:paraId="367616D1" w14:textId="78A1F80B" w:rsidR="00B76B05" w:rsidRPr="005629F8" w:rsidRDefault="00B76B05" w:rsidP="00FA0E2B">
      <w:pPr>
        <w:spacing w:before="120"/>
      </w:pPr>
      <w:r w:rsidRPr="005629F8">
        <w:t xml:space="preserve">Please note that </w:t>
      </w:r>
      <w:r w:rsidR="007B110D">
        <w:t xml:space="preserve">the </w:t>
      </w:r>
      <w:r w:rsidR="00FC59D5">
        <w:t>e</w:t>
      </w:r>
      <w:r w:rsidRPr="005629F8">
        <w:t xml:space="preserve">mergency </w:t>
      </w:r>
      <w:r w:rsidR="00FC59D5">
        <w:t>d</w:t>
      </w:r>
      <w:r w:rsidRPr="005629F8">
        <w:t>epartment cost bucket is excluded for the NHCDC</w:t>
      </w:r>
      <w:r w:rsidR="00E1672C">
        <w:t xml:space="preserve"> </w:t>
      </w:r>
      <w:r w:rsidR="00F62EF4">
        <w:t>P</w:t>
      </w:r>
      <w:r w:rsidR="00E1672C" w:rsidRPr="005629F8">
        <w:t xml:space="preserve">rivate </w:t>
      </w:r>
      <w:r w:rsidR="00F62EF4">
        <w:t>S</w:t>
      </w:r>
      <w:r w:rsidR="00E1672C" w:rsidRPr="005629F8">
        <w:t>ector</w:t>
      </w:r>
      <w:r w:rsidRPr="005629F8">
        <w:t xml:space="preserve"> cost buckets</w:t>
      </w:r>
      <w:r w:rsidR="007B110D">
        <w:t>,</w:t>
      </w:r>
      <w:r w:rsidRPr="005629F8">
        <w:t xml:space="preserve"> as this collection is for admitted acute only.</w:t>
      </w:r>
    </w:p>
    <w:p w14:paraId="6B56154F" w14:textId="77777777" w:rsidR="00B76B05" w:rsidRPr="005629F8" w:rsidRDefault="00B76B05" w:rsidP="00FA0E2B">
      <w:r w:rsidRPr="005629F8">
        <w:t>Once each of the cost buckets is calculated for an individual patient, the patient’s total cost of care is derived as the sum of the above components.</w:t>
      </w:r>
    </w:p>
    <w:p w14:paraId="607C592E" w14:textId="70EC0216" w:rsidR="00B76B05" w:rsidRPr="005629F8" w:rsidRDefault="00B76B05" w:rsidP="00FC4599">
      <w:pPr>
        <w:pStyle w:val="Heading2"/>
      </w:pPr>
      <w:bookmarkStart w:id="276" w:name="_Toc129700708"/>
      <w:bookmarkStart w:id="277" w:name="_Toc129701401"/>
      <w:r w:rsidRPr="005629F8">
        <w:t>AR-DRG</w:t>
      </w:r>
      <w:r w:rsidRPr="005629F8">
        <w:rPr>
          <w:spacing w:val="-3"/>
        </w:rPr>
        <w:t xml:space="preserve"> </w:t>
      </w:r>
      <w:proofErr w:type="gramStart"/>
      <w:r w:rsidRPr="005629F8">
        <w:t>grouping</w:t>
      </w:r>
      <w:bookmarkEnd w:id="276"/>
      <w:bookmarkEnd w:id="277"/>
      <w:proofErr w:type="gramEnd"/>
    </w:p>
    <w:p w14:paraId="0364E3B0" w14:textId="417B2AC3" w:rsidR="00E06697" w:rsidRPr="005629F8" w:rsidRDefault="00B76B05" w:rsidP="00FA0E2B">
      <w:pPr>
        <w:rPr>
          <w:spacing w:val="-59"/>
        </w:rPr>
      </w:pPr>
      <w:r w:rsidRPr="005629F8">
        <w:t xml:space="preserve">All </w:t>
      </w:r>
      <w:r w:rsidR="00DD0195" w:rsidRPr="005629F8">
        <w:t>1</w:t>
      </w:r>
      <w:r w:rsidR="00DD0195">
        <w:t>03 participating</w:t>
      </w:r>
      <w:r w:rsidRPr="005629F8">
        <w:t xml:space="preserve"> hospitals </w:t>
      </w:r>
      <w:r w:rsidR="00DD0195">
        <w:t xml:space="preserve">in </w:t>
      </w:r>
      <w:r w:rsidR="00095D44">
        <w:t>2021</w:t>
      </w:r>
      <w:r w:rsidR="00DD0195">
        <w:noBreakHyphen/>
      </w:r>
      <w:r w:rsidR="00095D44">
        <w:t>22</w:t>
      </w:r>
      <w:r w:rsidR="00DD0195">
        <w:t xml:space="preserve"> </w:t>
      </w:r>
      <w:r w:rsidRPr="005629F8">
        <w:t xml:space="preserve">submitted data costed in AR-DRG </w:t>
      </w:r>
      <w:r w:rsidR="00087B99">
        <w:t>V</w:t>
      </w:r>
      <w:r w:rsidRPr="005629F8">
        <w:t xml:space="preserve">ersion </w:t>
      </w:r>
      <w:r w:rsidR="00095D44">
        <w:t>11</w:t>
      </w:r>
      <w:r w:rsidRPr="005629F8">
        <w:t>.0.</w:t>
      </w:r>
      <w:r w:rsidRPr="005629F8">
        <w:rPr>
          <w:spacing w:val="-59"/>
        </w:rPr>
        <w:t xml:space="preserve"> </w:t>
      </w:r>
    </w:p>
    <w:p w14:paraId="1D761FB1" w14:textId="63D7A785" w:rsidR="00B76B05" w:rsidRPr="005629F8" w:rsidRDefault="00B76B05" w:rsidP="00FC4599">
      <w:pPr>
        <w:pStyle w:val="Heading2"/>
      </w:pPr>
      <w:bookmarkStart w:id="278" w:name="_Toc129700709"/>
      <w:bookmarkStart w:id="279" w:name="_Toc129701402"/>
      <w:r w:rsidRPr="005629F8">
        <w:t>Cost weights</w:t>
      </w:r>
      <w:bookmarkEnd w:id="278"/>
      <w:bookmarkEnd w:id="279"/>
    </w:p>
    <w:p w14:paraId="57AA84F1" w14:textId="77777777" w:rsidR="00B76B05" w:rsidRPr="005629F8" w:rsidRDefault="00B76B05" w:rsidP="00FA0E2B">
      <w:r w:rsidRPr="005629F8">
        <w:t xml:space="preserve">A cost weight for a selected AR-DRG is calculated as the average cost for that AR-DRG, expressed as a weight relative to the overall average cost across all AR-DRGs. The national cost weight across all AR-DRGs is equal to 1.00, with higher cost AR-DRGs having a cost weight higher than 1.00. The weight is an indicator of the complexity of the care of the patient and thus the resourcing intensity required. This is often referred to as the </w:t>
      </w:r>
      <w:proofErr w:type="spellStart"/>
      <w:r w:rsidRPr="005629F8">
        <w:t>casemix</w:t>
      </w:r>
      <w:proofErr w:type="spellEnd"/>
      <w:r w:rsidRPr="005629F8">
        <w:t xml:space="preserve"> of a patient or hospital.</w:t>
      </w:r>
    </w:p>
    <w:p w14:paraId="43BB01DE" w14:textId="5B3A0D60" w:rsidR="00B76B05" w:rsidRPr="005629F8" w:rsidRDefault="00B76B05" w:rsidP="00FC4599">
      <w:pPr>
        <w:pStyle w:val="Heading2"/>
      </w:pPr>
      <w:bookmarkStart w:id="280" w:name="_Toc129700710"/>
      <w:bookmarkStart w:id="281" w:name="_Toc129701403"/>
      <w:r w:rsidRPr="005629F8">
        <w:t>Costing</w:t>
      </w:r>
      <w:r w:rsidRPr="005629F8">
        <w:rPr>
          <w:spacing w:val="-1"/>
        </w:rPr>
        <w:t xml:space="preserve"> </w:t>
      </w:r>
      <w:r w:rsidRPr="005629F8">
        <w:t>standards</w:t>
      </w:r>
      <w:bookmarkEnd w:id="280"/>
      <w:bookmarkEnd w:id="281"/>
    </w:p>
    <w:p w14:paraId="5333D5F7" w14:textId="617A7A1D" w:rsidR="00E06697" w:rsidRPr="005629F8" w:rsidRDefault="00B76B05" w:rsidP="001A7118">
      <w:pPr>
        <w:rPr>
          <w:rFonts w:eastAsiaTheme="majorEastAsia" w:cstheme="majorBidi"/>
          <w:sz w:val="72"/>
          <w:szCs w:val="32"/>
          <w:highlight w:val="yellow"/>
        </w:rPr>
      </w:pPr>
      <w:r w:rsidRPr="005629F8">
        <w:t xml:space="preserve">Costing was performed in compliance with the AHPCS </w:t>
      </w:r>
      <w:r w:rsidR="00087B99">
        <w:t>V</w:t>
      </w:r>
      <w:r w:rsidRPr="005629F8">
        <w:t>ersion 4.</w:t>
      </w:r>
      <w:r w:rsidR="000C115F" w:rsidRPr="005629F8">
        <w:t>1</w:t>
      </w:r>
      <w:r w:rsidRPr="005629F8">
        <w:t>.</w:t>
      </w:r>
      <w:bookmarkStart w:id="282" w:name="_Toc106888112"/>
      <w:r w:rsidR="00E06697" w:rsidRPr="005629F8">
        <w:rPr>
          <w:highlight w:val="yellow"/>
        </w:rPr>
        <w:br w:type="page"/>
      </w:r>
    </w:p>
    <w:p w14:paraId="2D035AB6" w14:textId="60B33B8A" w:rsidR="00FA0E2B" w:rsidRPr="00E87B16" w:rsidRDefault="00FA0E2B" w:rsidP="00E87B16">
      <w:pPr>
        <w:pStyle w:val="Heading1"/>
        <w:numPr>
          <w:ilvl w:val="0"/>
          <w:numId w:val="0"/>
        </w:numPr>
        <w:rPr>
          <w:sz w:val="48"/>
          <w:szCs w:val="22"/>
        </w:rPr>
      </w:pPr>
      <w:bookmarkStart w:id="283" w:name="_Toc152080395"/>
      <w:r w:rsidRPr="00E87B16">
        <w:rPr>
          <w:sz w:val="48"/>
          <w:szCs w:val="22"/>
        </w:rPr>
        <w:lastRenderedPageBreak/>
        <w:t xml:space="preserve">Appendix C: Standard error range for the </w:t>
      </w:r>
      <w:r w:rsidR="008965B1" w:rsidRPr="00E87B16">
        <w:rPr>
          <w:sz w:val="48"/>
          <w:szCs w:val="22"/>
        </w:rPr>
        <w:t xml:space="preserve">NHCDC </w:t>
      </w:r>
      <w:r w:rsidR="008965B1">
        <w:rPr>
          <w:sz w:val="48"/>
          <w:szCs w:val="22"/>
        </w:rPr>
        <w:t>P</w:t>
      </w:r>
      <w:r w:rsidR="008965B1" w:rsidRPr="00E87B16">
        <w:rPr>
          <w:sz w:val="48"/>
          <w:szCs w:val="22"/>
        </w:rPr>
        <w:t xml:space="preserve">rivate </w:t>
      </w:r>
      <w:r w:rsidR="008965B1">
        <w:rPr>
          <w:sz w:val="48"/>
          <w:szCs w:val="22"/>
        </w:rPr>
        <w:t>S</w:t>
      </w:r>
      <w:r w:rsidR="008965B1" w:rsidRPr="00E87B16">
        <w:rPr>
          <w:sz w:val="48"/>
          <w:szCs w:val="22"/>
        </w:rPr>
        <w:t xml:space="preserve">ector </w:t>
      </w:r>
      <w:r w:rsidR="00EC5ACC" w:rsidRPr="00E87B16">
        <w:rPr>
          <w:sz w:val="48"/>
          <w:szCs w:val="22"/>
        </w:rPr>
        <w:t>202</w:t>
      </w:r>
      <w:r w:rsidR="00A051E1">
        <w:rPr>
          <w:sz w:val="48"/>
          <w:szCs w:val="22"/>
        </w:rPr>
        <w:t>1</w:t>
      </w:r>
      <w:r w:rsidR="00EC5ACC" w:rsidRPr="00E87B16">
        <w:rPr>
          <w:sz w:val="48"/>
          <w:szCs w:val="22"/>
        </w:rPr>
        <w:t>-</w:t>
      </w:r>
      <w:bookmarkEnd w:id="282"/>
      <w:r w:rsidR="00A051E1" w:rsidRPr="00E87B16">
        <w:rPr>
          <w:sz w:val="48"/>
          <w:szCs w:val="22"/>
        </w:rPr>
        <w:t>2</w:t>
      </w:r>
      <w:r w:rsidR="00A051E1">
        <w:rPr>
          <w:sz w:val="48"/>
          <w:szCs w:val="22"/>
        </w:rPr>
        <w:t>2</w:t>
      </w:r>
      <w:bookmarkEnd w:id="283"/>
    </w:p>
    <w:p w14:paraId="74BBB209" w14:textId="1ED2098F" w:rsidR="00FA0E2B" w:rsidRPr="005629F8" w:rsidRDefault="00FA0E2B" w:rsidP="00FA0E2B">
      <w:pPr>
        <w:rPr>
          <w:color w:val="auto"/>
        </w:rPr>
      </w:pPr>
      <w:r w:rsidRPr="005629F8">
        <w:t xml:space="preserve">The variability of the costs by AR-DRG has been measured by analysing the standard error of cost weights in the NHCDC sample. An AR-DRG with a lower standard error has lower variability and thus is more reliable in estimating the AR-DRG’s true costs. These standard errors are included in </w:t>
      </w:r>
      <w:r w:rsidR="007B110D">
        <w:t xml:space="preserve">the </w:t>
      </w:r>
      <w:r w:rsidRPr="005629F8">
        <w:rPr>
          <w:color w:val="auto"/>
        </w:rPr>
        <w:fldChar w:fldCharType="begin"/>
      </w:r>
      <w:r w:rsidRPr="005629F8">
        <w:rPr>
          <w:color w:val="auto"/>
        </w:rPr>
        <w:instrText xml:space="preserve"> REF _Ref103175255 \h  \* MERGEFORMAT </w:instrText>
      </w:r>
      <w:r w:rsidRPr="005629F8">
        <w:rPr>
          <w:color w:val="auto"/>
        </w:rPr>
      </w:r>
      <w:r w:rsidRPr="005629F8">
        <w:rPr>
          <w:color w:val="auto"/>
        </w:rPr>
        <w:fldChar w:fldCharType="separate"/>
      </w:r>
      <w:r w:rsidR="00F2253B" w:rsidRPr="005629F8">
        <w:rPr>
          <w:color w:val="auto"/>
        </w:rPr>
        <w:t>Analysis of Top 10 AR-DRGs</w:t>
      </w:r>
      <w:r w:rsidRPr="005629F8">
        <w:rPr>
          <w:color w:val="auto"/>
        </w:rPr>
        <w:fldChar w:fldCharType="end"/>
      </w:r>
      <w:r w:rsidRPr="005629F8">
        <w:t xml:space="preserve"> </w:t>
      </w:r>
      <w:r w:rsidRPr="005629F8">
        <w:rPr>
          <w:color w:val="auto"/>
        </w:rPr>
        <w:t xml:space="preserve">and </w:t>
      </w:r>
      <w:r w:rsidRPr="005629F8">
        <w:rPr>
          <w:color w:val="auto"/>
        </w:rPr>
        <w:fldChar w:fldCharType="begin"/>
      </w:r>
      <w:r w:rsidRPr="005629F8">
        <w:rPr>
          <w:color w:val="auto"/>
        </w:rPr>
        <w:instrText xml:space="preserve"> REF _Ref103175315 \h  \* MERGEFORMAT </w:instrText>
      </w:r>
      <w:r w:rsidRPr="005629F8">
        <w:rPr>
          <w:color w:val="auto"/>
        </w:rPr>
      </w:r>
      <w:r w:rsidRPr="005629F8">
        <w:rPr>
          <w:color w:val="auto"/>
        </w:rPr>
        <w:fldChar w:fldCharType="separate"/>
      </w:r>
      <w:r w:rsidR="00E4262F" w:rsidRPr="00E4262F">
        <w:rPr>
          <w:color w:val="auto"/>
        </w:rPr>
        <w:t>Appendix D: Cost weight tables by AR</w:t>
      </w:r>
      <w:r w:rsidR="00E4262F" w:rsidRPr="00E4262F">
        <w:rPr>
          <w:color w:val="auto"/>
        </w:rPr>
        <w:noBreakHyphen/>
        <w:t>DRG Version 11.0</w:t>
      </w:r>
      <w:r w:rsidRPr="005629F8">
        <w:rPr>
          <w:color w:val="auto"/>
        </w:rPr>
        <w:fldChar w:fldCharType="end"/>
      </w:r>
      <w:r w:rsidRPr="005629F8">
        <w:rPr>
          <w:color w:val="auto"/>
        </w:rPr>
        <w:t xml:space="preserve">. </w:t>
      </w:r>
    </w:p>
    <w:p w14:paraId="5FA9ECC4" w14:textId="7D7EA977" w:rsidR="00FA0E2B" w:rsidRPr="005629F8" w:rsidRDefault="00EC5ACC" w:rsidP="00FA0E2B">
      <w:r w:rsidRPr="005629F8">
        <w:rPr>
          <w:color w:val="auto"/>
          <w:highlight w:val="yellow"/>
        </w:rPr>
        <w:fldChar w:fldCharType="begin"/>
      </w:r>
      <w:r w:rsidRPr="005629F8">
        <w:rPr>
          <w:color w:val="auto"/>
          <w:highlight w:val="yellow"/>
        </w:rPr>
        <w:instrText xml:space="preserve"> REF _Ref128126243 \h </w:instrText>
      </w:r>
      <w:r w:rsidR="00F2253B" w:rsidRPr="005629F8">
        <w:rPr>
          <w:color w:val="auto"/>
          <w:highlight w:val="yellow"/>
        </w:rPr>
        <w:instrText xml:space="preserve"> \* MERGEFORMAT </w:instrText>
      </w:r>
      <w:r w:rsidRPr="005629F8">
        <w:rPr>
          <w:color w:val="auto"/>
          <w:highlight w:val="yellow"/>
        </w:rPr>
      </w:r>
      <w:r w:rsidRPr="005629F8">
        <w:rPr>
          <w:color w:val="auto"/>
          <w:highlight w:val="yellow"/>
        </w:rPr>
        <w:fldChar w:fldCharType="separate"/>
      </w:r>
      <w:r w:rsidR="00F2253B" w:rsidRPr="00F2253B">
        <w:t xml:space="preserve">Table </w:t>
      </w:r>
      <w:r w:rsidR="00F2253B" w:rsidRPr="005629F8">
        <w:rPr>
          <w:iCs/>
          <w:noProof/>
        </w:rPr>
        <w:t>11</w:t>
      </w:r>
      <w:r w:rsidRPr="005629F8">
        <w:rPr>
          <w:color w:val="auto"/>
          <w:highlight w:val="yellow"/>
        </w:rPr>
        <w:fldChar w:fldCharType="end"/>
      </w:r>
      <w:r w:rsidRPr="005629F8">
        <w:rPr>
          <w:color w:val="auto"/>
        </w:rPr>
        <w:t xml:space="preserve"> </w:t>
      </w:r>
      <w:r w:rsidR="00FA0E2B" w:rsidRPr="005629F8">
        <w:rPr>
          <w:color w:val="auto"/>
        </w:rPr>
        <w:t>summarises the reliability of AR-DRG cost weights by grouping the standard errors into several ranges</w:t>
      </w:r>
      <w:r w:rsidR="00FA0E2B" w:rsidRPr="005629F8">
        <w:t xml:space="preserve">. </w:t>
      </w:r>
      <w:r w:rsidR="00646327">
        <w:t>The n</w:t>
      </w:r>
      <w:r w:rsidR="00FA0E2B" w:rsidRPr="005629F8">
        <w:t>umber of AR-DRGs and separations falling into standard error ranges provide</w:t>
      </w:r>
      <w:r w:rsidR="007B110D">
        <w:t>s</w:t>
      </w:r>
      <w:r w:rsidR="00FA0E2B" w:rsidRPr="005629F8">
        <w:t xml:space="preserve"> insight into the estimation error of the cost weights.</w:t>
      </w:r>
    </w:p>
    <w:p w14:paraId="1142B9EA" w14:textId="337E4B82" w:rsidR="00EC5ACC" w:rsidRPr="005629F8" w:rsidRDefault="00EC5ACC" w:rsidP="00E829BF">
      <w:pPr>
        <w:pStyle w:val="TableFigureheading"/>
      </w:pPr>
      <w:bookmarkStart w:id="284" w:name="_Ref128126243"/>
      <w:bookmarkStart w:id="285" w:name="_Ref128126238"/>
      <w:bookmarkStart w:id="286" w:name="_Toc129179305"/>
      <w:bookmarkStart w:id="287" w:name="_Toc152081879"/>
      <w:r w:rsidRPr="000C38AE">
        <w:t xml:space="preserve">Table </w:t>
      </w:r>
      <w:r w:rsidR="00FF13B6">
        <w:fldChar w:fldCharType="begin"/>
      </w:r>
      <w:r w:rsidR="00FF13B6">
        <w:instrText xml:space="preserve"> SEQ Table \* ARABIC </w:instrText>
      </w:r>
      <w:r w:rsidR="00FF13B6">
        <w:fldChar w:fldCharType="separate"/>
      </w:r>
      <w:r w:rsidRPr="005629F8">
        <w:rPr>
          <w:noProof/>
        </w:rPr>
        <w:t>11</w:t>
      </w:r>
      <w:r w:rsidR="00FF13B6">
        <w:rPr>
          <w:noProof/>
        </w:rPr>
        <w:fldChar w:fldCharType="end"/>
      </w:r>
      <w:bookmarkEnd w:id="284"/>
      <w:r w:rsidRPr="005629F8">
        <w:t>. Number of AR-DRGs by standard error range</w:t>
      </w:r>
      <w:bookmarkEnd w:id="285"/>
      <w:bookmarkEnd w:id="286"/>
      <w:bookmarkEnd w:id="287"/>
    </w:p>
    <w:tbl>
      <w:tblPr>
        <w:tblW w:w="8016" w:type="dxa"/>
        <w:jc w:val="center"/>
        <w:tblLook w:val="04A0" w:firstRow="1" w:lastRow="0" w:firstColumn="1" w:lastColumn="0" w:noHBand="0" w:noVBand="1"/>
      </w:tblPr>
      <w:tblGrid>
        <w:gridCol w:w="2056"/>
        <w:gridCol w:w="1000"/>
        <w:gridCol w:w="1640"/>
        <w:gridCol w:w="1660"/>
        <w:gridCol w:w="1660"/>
      </w:tblGrid>
      <w:tr w:rsidR="00FA0E2B" w:rsidRPr="00EC5ACC" w14:paraId="33CDE1D7" w14:textId="77777777" w:rsidTr="000771FC">
        <w:trPr>
          <w:trHeight w:val="675"/>
          <w:jc w:val="center"/>
        </w:trPr>
        <w:tc>
          <w:tcPr>
            <w:tcW w:w="2056" w:type="dxa"/>
            <w:tcBorders>
              <w:top w:val="single" w:sz="4" w:space="0" w:color="D9D9D9"/>
              <w:left w:val="nil"/>
              <w:bottom w:val="single" w:sz="4" w:space="0" w:color="D9D9D9"/>
              <w:right w:val="single" w:sz="4" w:space="0" w:color="D9D9D9"/>
            </w:tcBorders>
            <w:shd w:val="clear" w:color="auto" w:fill="15272F" w:themeFill="text1"/>
            <w:vAlign w:val="center"/>
            <w:hideMark/>
          </w:tcPr>
          <w:p w14:paraId="2821D785" w14:textId="77777777" w:rsidR="00FA0E2B" w:rsidRPr="005629F8" w:rsidRDefault="00FA0E2B" w:rsidP="00FA0E2B">
            <w:pPr>
              <w:spacing w:after="0" w:line="240" w:lineRule="auto"/>
              <w:rPr>
                <w:rFonts w:eastAsia="Times New Roman" w:cs="Arial"/>
                <w:b/>
                <w:bCs/>
                <w:color w:val="FFFFFF" w:themeColor="background2"/>
                <w:sz w:val="16"/>
                <w:szCs w:val="16"/>
                <w:lang w:eastAsia="en-AU"/>
              </w:rPr>
            </w:pPr>
            <w:r w:rsidRPr="005629F8">
              <w:rPr>
                <w:rFonts w:eastAsia="Times New Roman" w:cs="Arial"/>
                <w:b/>
                <w:bCs/>
                <w:color w:val="FFFFFF" w:themeColor="background2"/>
                <w:sz w:val="16"/>
                <w:szCs w:val="16"/>
                <w:lang w:eastAsia="en-AU"/>
              </w:rPr>
              <w:t>Standard Error Range</w:t>
            </w:r>
          </w:p>
        </w:tc>
        <w:tc>
          <w:tcPr>
            <w:tcW w:w="1000" w:type="dxa"/>
            <w:tcBorders>
              <w:top w:val="single" w:sz="4" w:space="0" w:color="D9D9D9"/>
              <w:left w:val="single" w:sz="4" w:space="0" w:color="D9D9D9"/>
              <w:bottom w:val="single" w:sz="4" w:space="0" w:color="D9D9D9"/>
              <w:right w:val="nil"/>
            </w:tcBorders>
            <w:shd w:val="clear" w:color="auto" w:fill="15272F" w:themeFill="text1"/>
            <w:vAlign w:val="center"/>
            <w:hideMark/>
          </w:tcPr>
          <w:p w14:paraId="3555D6DE" w14:textId="5B95EBD8" w:rsidR="00FA0E2B" w:rsidRPr="005629F8" w:rsidRDefault="00FA0E2B" w:rsidP="00FA0E2B">
            <w:pPr>
              <w:spacing w:after="0" w:line="240" w:lineRule="auto"/>
              <w:jc w:val="center"/>
              <w:rPr>
                <w:rFonts w:eastAsia="Times New Roman" w:cs="Arial"/>
                <w:b/>
                <w:bCs/>
                <w:color w:val="FFFFFF" w:themeColor="background2"/>
                <w:sz w:val="16"/>
                <w:szCs w:val="16"/>
                <w:lang w:eastAsia="en-AU"/>
              </w:rPr>
            </w:pPr>
            <w:r w:rsidRPr="005629F8">
              <w:rPr>
                <w:rFonts w:eastAsia="Times New Roman" w:cs="Arial"/>
                <w:b/>
                <w:bCs/>
                <w:color w:val="FFFFFF" w:themeColor="background2"/>
                <w:sz w:val="16"/>
                <w:szCs w:val="16"/>
                <w:lang w:eastAsia="en-AU"/>
              </w:rPr>
              <w:t xml:space="preserve">Number of </w:t>
            </w:r>
            <w:r w:rsidR="008E00F1" w:rsidRPr="005629F8">
              <w:rPr>
                <w:rFonts w:eastAsia="Times New Roman" w:cs="Arial"/>
                <w:b/>
                <w:bCs/>
                <w:color w:val="FFFFFF" w:themeColor="background2"/>
                <w:sz w:val="16"/>
                <w:szCs w:val="16"/>
                <w:lang w:eastAsia="en-AU"/>
              </w:rPr>
              <w:t>AR</w:t>
            </w:r>
            <w:r w:rsidR="008E00F1" w:rsidRPr="005629F8">
              <w:rPr>
                <w:rFonts w:eastAsia="Times New Roman" w:cs="Arial"/>
                <w:b/>
                <w:bCs/>
                <w:color w:val="FFFFFF" w:themeColor="background2"/>
                <w:sz w:val="16"/>
                <w:szCs w:val="16"/>
                <w:lang w:eastAsia="en-AU"/>
              </w:rPr>
              <w:noBreakHyphen/>
            </w:r>
            <w:r w:rsidRPr="005629F8">
              <w:rPr>
                <w:rFonts w:eastAsia="Times New Roman" w:cs="Arial"/>
                <w:b/>
                <w:bCs/>
                <w:color w:val="FFFFFF" w:themeColor="background2"/>
                <w:sz w:val="16"/>
                <w:szCs w:val="16"/>
                <w:lang w:eastAsia="en-AU"/>
              </w:rPr>
              <w:t>DRGs</w:t>
            </w:r>
          </w:p>
        </w:tc>
        <w:tc>
          <w:tcPr>
            <w:tcW w:w="1640" w:type="dxa"/>
            <w:tcBorders>
              <w:top w:val="single" w:sz="4" w:space="0" w:color="D9D9D9"/>
              <w:left w:val="nil"/>
              <w:bottom w:val="single" w:sz="4" w:space="0" w:color="D9D9D9"/>
              <w:right w:val="single" w:sz="4" w:space="0" w:color="D9D9D9"/>
            </w:tcBorders>
            <w:shd w:val="clear" w:color="auto" w:fill="15272F" w:themeFill="text1"/>
            <w:vAlign w:val="center"/>
            <w:hideMark/>
          </w:tcPr>
          <w:p w14:paraId="3920DC6A" w14:textId="77777777" w:rsidR="00FA0E2B" w:rsidRPr="005629F8" w:rsidRDefault="00FA0E2B" w:rsidP="00FA0E2B">
            <w:pPr>
              <w:spacing w:after="0" w:line="240" w:lineRule="auto"/>
              <w:jc w:val="center"/>
              <w:rPr>
                <w:rFonts w:eastAsia="Times New Roman" w:cs="Arial"/>
                <w:b/>
                <w:bCs/>
                <w:color w:val="FFFFFF" w:themeColor="background2"/>
                <w:sz w:val="16"/>
                <w:szCs w:val="16"/>
                <w:lang w:eastAsia="en-AU"/>
              </w:rPr>
            </w:pPr>
            <w:r w:rsidRPr="005629F8">
              <w:rPr>
                <w:rFonts w:eastAsia="Times New Roman" w:cs="Arial"/>
                <w:b/>
                <w:bCs/>
                <w:color w:val="FFFFFF" w:themeColor="background2"/>
                <w:sz w:val="16"/>
                <w:szCs w:val="16"/>
                <w:lang w:eastAsia="en-AU"/>
              </w:rPr>
              <w:t>Separations</w:t>
            </w:r>
          </w:p>
        </w:tc>
        <w:tc>
          <w:tcPr>
            <w:tcW w:w="1660" w:type="dxa"/>
            <w:tcBorders>
              <w:top w:val="single" w:sz="4" w:space="0" w:color="D9D9D9"/>
              <w:left w:val="single" w:sz="4" w:space="0" w:color="D9D9D9"/>
              <w:bottom w:val="single" w:sz="4" w:space="0" w:color="D9D9D9"/>
              <w:right w:val="nil"/>
            </w:tcBorders>
            <w:shd w:val="clear" w:color="auto" w:fill="15272F" w:themeFill="text1"/>
            <w:vAlign w:val="center"/>
            <w:hideMark/>
          </w:tcPr>
          <w:p w14:paraId="5AD953B7" w14:textId="77777777" w:rsidR="00490E5B" w:rsidRPr="005629F8" w:rsidRDefault="00FA0E2B" w:rsidP="00FA0E2B">
            <w:pPr>
              <w:spacing w:after="0" w:line="240" w:lineRule="auto"/>
              <w:jc w:val="center"/>
              <w:rPr>
                <w:rFonts w:eastAsia="Times New Roman" w:cs="Arial"/>
                <w:b/>
                <w:bCs/>
                <w:color w:val="FFFFFF" w:themeColor="background2"/>
                <w:sz w:val="16"/>
                <w:szCs w:val="16"/>
                <w:lang w:eastAsia="en-AU"/>
              </w:rPr>
            </w:pPr>
            <w:r w:rsidRPr="005629F8">
              <w:rPr>
                <w:rFonts w:eastAsia="Times New Roman" w:cs="Arial"/>
                <w:b/>
                <w:bCs/>
                <w:color w:val="FFFFFF" w:themeColor="background2"/>
                <w:sz w:val="16"/>
                <w:szCs w:val="16"/>
                <w:lang w:eastAsia="en-AU"/>
              </w:rPr>
              <w:t xml:space="preserve">Percentage of </w:t>
            </w:r>
          </w:p>
          <w:p w14:paraId="2AD9087E" w14:textId="77777777" w:rsidR="00490E5B" w:rsidRPr="005629F8" w:rsidRDefault="00490E5B" w:rsidP="00FA0E2B">
            <w:pPr>
              <w:spacing w:after="0" w:line="240" w:lineRule="auto"/>
              <w:jc w:val="center"/>
              <w:rPr>
                <w:rFonts w:eastAsia="Times New Roman" w:cs="Arial"/>
                <w:b/>
                <w:bCs/>
                <w:color w:val="FFFFFF" w:themeColor="background2"/>
                <w:sz w:val="16"/>
                <w:szCs w:val="16"/>
                <w:lang w:eastAsia="en-AU"/>
              </w:rPr>
            </w:pPr>
            <w:r w:rsidRPr="005629F8">
              <w:rPr>
                <w:rFonts w:eastAsia="Times New Roman" w:cs="Arial"/>
                <w:b/>
                <w:bCs/>
                <w:color w:val="FFFFFF" w:themeColor="background2"/>
                <w:sz w:val="16"/>
                <w:szCs w:val="16"/>
                <w:lang w:eastAsia="en-AU"/>
              </w:rPr>
              <w:t>AR-</w:t>
            </w:r>
            <w:r w:rsidR="00FA0E2B" w:rsidRPr="005629F8">
              <w:rPr>
                <w:rFonts w:eastAsia="Times New Roman" w:cs="Arial"/>
                <w:b/>
                <w:bCs/>
                <w:color w:val="FFFFFF" w:themeColor="background2"/>
                <w:sz w:val="16"/>
                <w:szCs w:val="16"/>
                <w:lang w:eastAsia="en-AU"/>
              </w:rPr>
              <w:t xml:space="preserve">DRGs </w:t>
            </w:r>
          </w:p>
          <w:p w14:paraId="3CB49936" w14:textId="5E6D86CB" w:rsidR="00FA0E2B" w:rsidRPr="005629F8" w:rsidRDefault="00FA0E2B" w:rsidP="00FA0E2B">
            <w:pPr>
              <w:spacing w:after="0" w:line="240" w:lineRule="auto"/>
              <w:jc w:val="center"/>
              <w:rPr>
                <w:rFonts w:eastAsia="Times New Roman" w:cs="Arial"/>
                <w:b/>
                <w:bCs/>
                <w:color w:val="FFFFFF" w:themeColor="background2"/>
                <w:sz w:val="16"/>
                <w:szCs w:val="16"/>
                <w:lang w:eastAsia="en-AU"/>
              </w:rPr>
            </w:pPr>
            <w:r w:rsidRPr="005629F8">
              <w:rPr>
                <w:rFonts w:eastAsia="Times New Roman" w:cs="Arial"/>
                <w:b/>
                <w:bCs/>
                <w:color w:val="FFFFFF" w:themeColor="background2"/>
                <w:sz w:val="16"/>
                <w:szCs w:val="16"/>
                <w:lang w:eastAsia="en-AU"/>
              </w:rPr>
              <w:t>(%)</w:t>
            </w:r>
          </w:p>
        </w:tc>
        <w:tc>
          <w:tcPr>
            <w:tcW w:w="1660" w:type="dxa"/>
            <w:tcBorders>
              <w:top w:val="single" w:sz="4" w:space="0" w:color="D9D9D9"/>
              <w:left w:val="nil"/>
              <w:bottom w:val="single" w:sz="4" w:space="0" w:color="D9D9D9"/>
              <w:right w:val="nil"/>
            </w:tcBorders>
            <w:shd w:val="clear" w:color="auto" w:fill="15272F" w:themeFill="text1"/>
            <w:vAlign w:val="center"/>
            <w:hideMark/>
          </w:tcPr>
          <w:p w14:paraId="12A79833" w14:textId="77777777" w:rsidR="00490E5B" w:rsidRPr="005629F8" w:rsidRDefault="00FA0E2B" w:rsidP="00FA0E2B">
            <w:pPr>
              <w:spacing w:after="0" w:line="240" w:lineRule="auto"/>
              <w:jc w:val="center"/>
              <w:rPr>
                <w:rFonts w:eastAsia="Times New Roman" w:cs="Arial"/>
                <w:b/>
                <w:bCs/>
                <w:color w:val="FFFFFF" w:themeColor="background2"/>
                <w:sz w:val="16"/>
                <w:szCs w:val="16"/>
                <w:lang w:eastAsia="en-AU"/>
              </w:rPr>
            </w:pPr>
            <w:r w:rsidRPr="005629F8">
              <w:rPr>
                <w:rFonts w:eastAsia="Times New Roman" w:cs="Arial"/>
                <w:b/>
                <w:bCs/>
                <w:color w:val="FFFFFF" w:themeColor="background2"/>
                <w:sz w:val="16"/>
                <w:szCs w:val="16"/>
                <w:lang w:eastAsia="en-AU"/>
              </w:rPr>
              <w:t xml:space="preserve">Percentage of </w:t>
            </w:r>
          </w:p>
          <w:p w14:paraId="77668A20" w14:textId="7CBDA674" w:rsidR="00FA0E2B" w:rsidRPr="005629F8" w:rsidRDefault="00FA0E2B" w:rsidP="00FA0E2B">
            <w:pPr>
              <w:spacing w:after="0" w:line="240" w:lineRule="auto"/>
              <w:jc w:val="center"/>
              <w:rPr>
                <w:rFonts w:eastAsia="Times New Roman" w:cs="Arial"/>
                <w:b/>
                <w:bCs/>
                <w:color w:val="FFFFFF" w:themeColor="background2"/>
                <w:sz w:val="16"/>
                <w:szCs w:val="16"/>
                <w:lang w:eastAsia="en-AU"/>
              </w:rPr>
            </w:pPr>
            <w:r w:rsidRPr="005629F8">
              <w:rPr>
                <w:rFonts w:eastAsia="Times New Roman" w:cs="Arial"/>
                <w:b/>
                <w:bCs/>
                <w:color w:val="FFFFFF" w:themeColor="background2"/>
                <w:sz w:val="16"/>
                <w:szCs w:val="16"/>
                <w:lang w:eastAsia="en-AU"/>
              </w:rPr>
              <w:t>total separations (%)</w:t>
            </w:r>
          </w:p>
        </w:tc>
      </w:tr>
      <w:tr w:rsidR="005C12FF" w:rsidRPr="00EC5ACC" w14:paraId="6D564C8C" w14:textId="77777777" w:rsidTr="00595396">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7C5DC474" w14:textId="77777777" w:rsidR="005C12FF" w:rsidRPr="005629F8" w:rsidRDefault="005C12FF" w:rsidP="005C12FF">
            <w:pPr>
              <w:spacing w:after="0" w:line="240" w:lineRule="auto"/>
              <w:rPr>
                <w:rFonts w:eastAsia="Times New Roman" w:cs="Arial"/>
                <w:b/>
                <w:bCs/>
                <w:color w:val="000000"/>
                <w:sz w:val="16"/>
                <w:szCs w:val="16"/>
                <w:lang w:eastAsia="en-AU"/>
              </w:rPr>
            </w:pPr>
            <w:r w:rsidRPr="005629F8">
              <w:rPr>
                <w:rFonts w:eastAsia="Times New Roman" w:cs="Arial"/>
                <w:b/>
                <w:bCs/>
                <w:color w:val="000000"/>
                <w:sz w:val="16"/>
                <w:szCs w:val="16"/>
                <w:lang w:eastAsia="en-AU"/>
              </w:rPr>
              <w:t>0.000 - 0.039</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hideMark/>
          </w:tcPr>
          <w:p w14:paraId="34467DB1" w14:textId="2AAD2904"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251</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hideMark/>
          </w:tcPr>
          <w:p w14:paraId="0F50CA58" w14:textId="5DBD0D20"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3,066,850</w:t>
            </w:r>
          </w:p>
        </w:tc>
        <w:tc>
          <w:tcPr>
            <w:tcW w:w="1660" w:type="dxa"/>
            <w:tcBorders>
              <w:top w:val="single" w:sz="4" w:space="0" w:color="D9D9D9"/>
              <w:left w:val="single" w:sz="4" w:space="0" w:color="D9D9D9"/>
              <w:bottom w:val="single" w:sz="4" w:space="0" w:color="D9D9D9"/>
              <w:right w:val="nil"/>
            </w:tcBorders>
            <w:shd w:val="clear" w:color="auto" w:fill="auto"/>
            <w:noWrap/>
            <w:hideMark/>
          </w:tcPr>
          <w:p w14:paraId="296F39AF" w14:textId="6EE28354"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32.9%</w:t>
            </w:r>
          </w:p>
        </w:tc>
        <w:tc>
          <w:tcPr>
            <w:tcW w:w="1660" w:type="dxa"/>
            <w:tcBorders>
              <w:top w:val="single" w:sz="4" w:space="0" w:color="D9D9D9"/>
              <w:left w:val="nil"/>
              <w:bottom w:val="single" w:sz="4" w:space="0" w:color="D9D9D9"/>
              <w:right w:val="nil"/>
            </w:tcBorders>
            <w:shd w:val="clear" w:color="auto" w:fill="auto"/>
            <w:noWrap/>
            <w:hideMark/>
          </w:tcPr>
          <w:p w14:paraId="2B04AC64" w14:textId="47813B01"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89.4%</w:t>
            </w:r>
          </w:p>
        </w:tc>
      </w:tr>
      <w:tr w:rsidR="005C12FF" w:rsidRPr="00EC5ACC" w14:paraId="67E78A3A" w14:textId="77777777" w:rsidTr="00595396">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22C376FF" w14:textId="77777777" w:rsidR="005C12FF" w:rsidRPr="005629F8" w:rsidRDefault="005C12FF" w:rsidP="005C12FF">
            <w:pPr>
              <w:spacing w:after="0" w:line="240" w:lineRule="auto"/>
              <w:rPr>
                <w:rFonts w:eastAsia="Times New Roman" w:cs="Arial"/>
                <w:b/>
                <w:bCs/>
                <w:color w:val="000000"/>
                <w:sz w:val="16"/>
                <w:szCs w:val="16"/>
                <w:lang w:eastAsia="en-AU"/>
              </w:rPr>
            </w:pPr>
            <w:r w:rsidRPr="005629F8">
              <w:rPr>
                <w:rFonts w:eastAsia="Times New Roman" w:cs="Arial"/>
                <w:b/>
                <w:bCs/>
                <w:color w:val="000000"/>
                <w:sz w:val="16"/>
                <w:szCs w:val="16"/>
                <w:lang w:eastAsia="en-AU"/>
              </w:rPr>
              <w:t>0.040 - 0.099</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hideMark/>
          </w:tcPr>
          <w:p w14:paraId="3FB8C9E9" w14:textId="6EF3A524"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176</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hideMark/>
          </w:tcPr>
          <w:p w14:paraId="2F26CF1B" w14:textId="4269765B"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253,417</w:t>
            </w:r>
          </w:p>
        </w:tc>
        <w:tc>
          <w:tcPr>
            <w:tcW w:w="1660" w:type="dxa"/>
            <w:tcBorders>
              <w:top w:val="single" w:sz="4" w:space="0" w:color="D9D9D9"/>
              <w:left w:val="single" w:sz="4" w:space="0" w:color="D9D9D9"/>
              <w:bottom w:val="single" w:sz="4" w:space="0" w:color="D9D9D9"/>
              <w:right w:val="nil"/>
            </w:tcBorders>
            <w:shd w:val="clear" w:color="auto" w:fill="auto"/>
            <w:noWrap/>
            <w:hideMark/>
          </w:tcPr>
          <w:p w14:paraId="7EE40204" w14:textId="6BFFA849"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23.0%</w:t>
            </w:r>
          </w:p>
        </w:tc>
        <w:tc>
          <w:tcPr>
            <w:tcW w:w="1660" w:type="dxa"/>
            <w:tcBorders>
              <w:top w:val="single" w:sz="4" w:space="0" w:color="D9D9D9"/>
              <w:left w:val="nil"/>
              <w:bottom w:val="single" w:sz="4" w:space="0" w:color="D9D9D9"/>
              <w:right w:val="nil"/>
            </w:tcBorders>
            <w:shd w:val="clear" w:color="auto" w:fill="auto"/>
            <w:noWrap/>
            <w:hideMark/>
          </w:tcPr>
          <w:p w14:paraId="0C2E5109" w14:textId="624F0D9C"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7.4%</w:t>
            </w:r>
          </w:p>
        </w:tc>
      </w:tr>
      <w:tr w:rsidR="005C12FF" w:rsidRPr="00EC5ACC" w14:paraId="1E693DE1" w14:textId="77777777" w:rsidTr="00595396">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38AEC99C" w14:textId="77777777" w:rsidR="005C12FF" w:rsidRPr="005629F8" w:rsidRDefault="005C12FF" w:rsidP="005C12FF">
            <w:pPr>
              <w:spacing w:after="0" w:line="240" w:lineRule="auto"/>
              <w:rPr>
                <w:rFonts w:eastAsia="Times New Roman" w:cs="Arial"/>
                <w:b/>
                <w:bCs/>
                <w:color w:val="000000"/>
                <w:sz w:val="16"/>
                <w:szCs w:val="16"/>
                <w:lang w:eastAsia="en-AU"/>
              </w:rPr>
            </w:pPr>
            <w:r w:rsidRPr="005629F8">
              <w:rPr>
                <w:rFonts w:eastAsia="Times New Roman" w:cs="Arial"/>
                <w:b/>
                <w:bCs/>
                <w:color w:val="000000"/>
                <w:sz w:val="16"/>
                <w:szCs w:val="16"/>
                <w:lang w:eastAsia="en-AU"/>
              </w:rPr>
              <w:t>0.100 - 0.149</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hideMark/>
          </w:tcPr>
          <w:p w14:paraId="247926C9" w14:textId="1CC29E63"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84</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hideMark/>
          </w:tcPr>
          <w:p w14:paraId="56D1C0F0" w14:textId="315B630A"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54,097</w:t>
            </w:r>
          </w:p>
        </w:tc>
        <w:tc>
          <w:tcPr>
            <w:tcW w:w="1660" w:type="dxa"/>
            <w:tcBorders>
              <w:top w:val="single" w:sz="4" w:space="0" w:color="D9D9D9"/>
              <w:left w:val="single" w:sz="4" w:space="0" w:color="D9D9D9"/>
              <w:bottom w:val="single" w:sz="4" w:space="0" w:color="D9D9D9"/>
              <w:right w:val="nil"/>
            </w:tcBorders>
            <w:shd w:val="clear" w:color="auto" w:fill="auto"/>
            <w:noWrap/>
            <w:hideMark/>
          </w:tcPr>
          <w:p w14:paraId="47E3A1CF" w14:textId="27267AD6"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11.0%</w:t>
            </w:r>
          </w:p>
        </w:tc>
        <w:tc>
          <w:tcPr>
            <w:tcW w:w="1660" w:type="dxa"/>
            <w:tcBorders>
              <w:top w:val="single" w:sz="4" w:space="0" w:color="D9D9D9"/>
              <w:left w:val="nil"/>
              <w:bottom w:val="single" w:sz="4" w:space="0" w:color="D9D9D9"/>
              <w:right w:val="nil"/>
            </w:tcBorders>
            <w:shd w:val="clear" w:color="auto" w:fill="auto"/>
            <w:noWrap/>
            <w:hideMark/>
          </w:tcPr>
          <w:p w14:paraId="02C36E40" w14:textId="4ECCA3C0"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1.6%</w:t>
            </w:r>
          </w:p>
        </w:tc>
      </w:tr>
      <w:tr w:rsidR="005C12FF" w:rsidRPr="00EC5ACC" w14:paraId="1D67A4B7" w14:textId="77777777" w:rsidTr="00595396">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4677B629" w14:textId="77777777" w:rsidR="005C12FF" w:rsidRPr="005629F8" w:rsidRDefault="005C12FF" w:rsidP="005C12FF">
            <w:pPr>
              <w:spacing w:after="0" w:line="240" w:lineRule="auto"/>
              <w:rPr>
                <w:rFonts w:eastAsia="Times New Roman" w:cs="Arial"/>
                <w:b/>
                <w:bCs/>
                <w:color w:val="000000"/>
                <w:sz w:val="16"/>
                <w:szCs w:val="16"/>
                <w:lang w:eastAsia="en-AU"/>
              </w:rPr>
            </w:pPr>
            <w:r w:rsidRPr="005629F8">
              <w:rPr>
                <w:rFonts w:eastAsia="Times New Roman" w:cs="Arial"/>
                <w:b/>
                <w:bCs/>
                <w:color w:val="000000"/>
                <w:sz w:val="16"/>
                <w:szCs w:val="16"/>
                <w:lang w:eastAsia="en-AU"/>
              </w:rPr>
              <w:t>0.150 - 0.199</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hideMark/>
          </w:tcPr>
          <w:p w14:paraId="79941011" w14:textId="391E16AA"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50</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hideMark/>
          </w:tcPr>
          <w:p w14:paraId="40395FD3" w14:textId="1E650D1B"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20,586</w:t>
            </w:r>
          </w:p>
        </w:tc>
        <w:tc>
          <w:tcPr>
            <w:tcW w:w="1660" w:type="dxa"/>
            <w:tcBorders>
              <w:top w:val="single" w:sz="4" w:space="0" w:color="D9D9D9"/>
              <w:left w:val="single" w:sz="4" w:space="0" w:color="D9D9D9"/>
              <w:bottom w:val="single" w:sz="4" w:space="0" w:color="D9D9D9"/>
              <w:right w:val="nil"/>
            </w:tcBorders>
            <w:shd w:val="clear" w:color="auto" w:fill="auto"/>
            <w:noWrap/>
            <w:hideMark/>
          </w:tcPr>
          <w:p w14:paraId="741E0109" w14:textId="1909C817"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6.5%</w:t>
            </w:r>
          </w:p>
        </w:tc>
        <w:tc>
          <w:tcPr>
            <w:tcW w:w="1660" w:type="dxa"/>
            <w:tcBorders>
              <w:top w:val="single" w:sz="4" w:space="0" w:color="D9D9D9"/>
              <w:left w:val="nil"/>
              <w:bottom w:val="single" w:sz="4" w:space="0" w:color="D9D9D9"/>
              <w:right w:val="nil"/>
            </w:tcBorders>
            <w:shd w:val="clear" w:color="auto" w:fill="auto"/>
            <w:noWrap/>
            <w:hideMark/>
          </w:tcPr>
          <w:p w14:paraId="3E1A98E0" w14:textId="6E937969"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0.6%</w:t>
            </w:r>
          </w:p>
        </w:tc>
      </w:tr>
      <w:tr w:rsidR="005C12FF" w:rsidRPr="00EC5ACC" w14:paraId="7CC0ABB4" w14:textId="77777777" w:rsidTr="00595396">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2C26C411" w14:textId="77777777" w:rsidR="005C12FF" w:rsidRPr="005629F8" w:rsidRDefault="005C12FF" w:rsidP="005C12FF">
            <w:pPr>
              <w:spacing w:after="0" w:line="240" w:lineRule="auto"/>
              <w:rPr>
                <w:rFonts w:eastAsia="Times New Roman" w:cs="Arial"/>
                <w:b/>
                <w:bCs/>
                <w:color w:val="000000"/>
                <w:sz w:val="16"/>
                <w:szCs w:val="16"/>
                <w:lang w:eastAsia="en-AU"/>
              </w:rPr>
            </w:pPr>
            <w:r w:rsidRPr="005629F8">
              <w:rPr>
                <w:rFonts w:eastAsia="Times New Roman" w:cs="Arial"/>
                <w:b/>
                <w:bCs/>
                <w:color w:val="000000"/>
                <w:sz w:val="16"/>
                <w:szCs w:val="16"/>
                <w:lang w:eastAsia="en-AU"/>
              </w:rPr>
              <w:t>0.200 - 0.399</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hideMark/>
          </w:tcPr>
          <w:p w14:paraId="663C93DE" w14:textId="304F8391"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88</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hideMark/>
          </w:tcPr>
          <w:p w14:paraId="3D01A7BB" w14:textId="73358D84"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22,329</w:t>
            </w:r>
          </w:p>
        </w:tc>
        <w:tc>
          <w:tcPr>
            <w:tcW w:w="1660" w:type="dxa"/>
            <w:tcBorders>
              <w:top w:val="single" w:sz="4" w:space="0" w:color="D9D9D9"/>
              <w:left w:val="single" w:sz="4" w:space="0" w:color="D9D9D9"/>
              <w:bottom w:val="single" w:sz="4" w:space="0" w:color="D9D9D9"/>
              <w:right w:val="nil"/>
            </w:tcBorders>
            <w:shd w:val="clear" w:color="auto" w:fill="auto"/>
            <w:noWrap/>
            <w:hideMark/>
          </w:tcPr>
          <w:p w14:paraId="038C82FC" w14:textId="0462F232"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11.5%</w:t>
            </w:r>
          </w:p>
        </w:tc>
        <w:tc>
          <w:tcPr>
            <w:tcW w:w="1660" w:type="dxa"/>
            <w:tcBorders>
              <w:top w:val="single" w:sz="4" w:space="0" w:color="D9D9D9"/>
              <w:left w:val="nil"/>
              <w:bottom w:val="single" w:sz="4" w:space="0" w:color="D9D9D9"/>
              <w:right w:val="nil"/>
            </w:tcBorders>
            <w:shd w:val="clear" w:color="auto" w:fill="auto"/>
            <w:noWrap/>
            <w:hideMark/>
          </w:tcPr>
          <w:p w14:paraId="4089AD0D" w14:textId="7E8E0390"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0.7%</w:t>
            </w:r>
          </w:p>
        </w:tc>
      </w:tr>
      <w:tr w:rsidR="005C12FF" w:rsidRPr="00EC5ACC" w14:paraId="119DBFFA" w14:textId="77777777" w:rsidTr="00595396">
        <w:trPr>
          <w:trHeight w:val="225"/>
          <w:jc w:val="center"/>
        </w:trPr>
        <w:tc>
          <w:tcPr>
            <w:tcW w:w="2056" w:type="dxa"/>
            <w:tcBorders>
              <w:top w:val="single" w:sz="4" w:space="0" w:color="D9D9D9"/>
              <w:left w:val="nil"/>
              <w:bottom w:val="single" w:sz="4" w:space="0" w:color="D9D9D9"/>
              <w:right w:val="single" w:sz="4" w:space="0" w:color="D9D9D9"/>
            </w:tcBorders>
            <w:shd w:val="clear" w:color="auto" w:fill="auto"/>
            <w:noWrap/>
            <w:vAlign w:val="center"/>
            <w:hideMark/>
          </w:tcPr>
          <w:p w14:paraId="06880C62" w14:textId="77777777" w:rsidR="005C12FF" w:rsidRPr="005629F8" w:rsidRDefault="005C12FF" w:rsidP="005C12FF">
            <w:pPr>
              <w:spacing w:after="0" w:line="240" w:lineRule="auto"/>
              <w:rPr>
                <w:rFonts w:eastAsia="Times New Roman" w:cs="Arial"/>
                <w:b/>
                <w:bCs/>
                <w:color w:val="000000"/>
                <w:sz w:val="16"/>
                <w:szCs w:val="16"/>
                <w:lang w:eastAsia="en-AU"/>
              </w:rPr>
            </w:pPr>
            <w:r w:rsidRPr="005629F8">
              <w:rPr>
                <w:rFonts w:eastAsia="Times New Roman" w:cs="Arial"/>
                <w:b/>
                <w:bCs/>
                <w:color w:val="000000"/>
                <w:sz w:val="16"/>
                <w:szCs w:val="16"/>
                <w:lang w:eastAsia="en-AU"/>
              </w:rPr>
              <w:t>0.400 +</w:t>
            </w:r>
          </w:p>
        </w:tc>
        <w:tc>
          <w:tcPr>
            <w:tcW w:w="1000" w:type="dxa"/>
            <w:tcBorders>
              <w:top w:val="single" w:sz="4" w:space="0" w:color="D9D9D9"/>
              <w:left w:val="single" w:sz="4" w:space="0" w:color="D9D9D9"/>
              <w:bottom w:val="single" w:sz="4" w:space="0" w:color="D9D9D9"/>
              <w:right w:val="nil"/>
            </w:tcBorders>
            <w:shd w:val="clear" w:color="auto" w:fill="F2F2F2" w:themeFill="background2" w:themeFillShade="F2"/>
            <w:noWrap/>
            <w:hideMark/>
          </w:tcPr>
          <w:p w14:paraId="2C4FC5F9" w14:textId="0C20501D"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115</w:t>
            </w:r>
          </w:p>
        </w:tc>
        <w:tc>
          <w:tcPr>
            <w:tcW w:w="1640" w:type="dxa"/>
            <w:tcBorders>
              <w:top w:val="single" w:sz="4" w:space="0" w:color="D9D9D9"/>
              <w:left w:val="nil"/>
              <w:bottom w:val="single" w:sz="4" w:space="0" w:color="D9D9D9"/>
              <w:right w:val="single" w:sz="4" w:space="0" w:color="D9D9D9"/>
            </w:tcBorders>
            <w:shd w:val="clear" w:color="auto" w:fill="F2F2F2" w:themeFill="background2" w:themeFillShade="F2"/>
            <w:noWrap/>
            <w:hideMark/>
          </w:tcPr>
          <w:p w14:paraId="0B6AA80B" w14:textId="0958868C"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13,805</w:t>
            </w:r>
          </w:p>
        </w:tc>
        <w:tc>
          <w:tcPr>
            <w:tcW w:w="1660" w:type="dxa"/>
            <w:tcBorders>
              <w:top w:val="single" w:sz="4" w:space="0" w:color="D9D9D9"/>
              <w:left w:val="single" w:sz="4" w:space="0" w:color="D9D9D9"/>
              <w:bottom w:val="single" w:sz="4" w:space="0" w:color="D9D9D9"/>
              <w:right w:val="nil"/>
            </w:tcBorders>
            <w:shd w:val="clear" w:color="auto" w:fill="auto"/>
            <w:noWrap/>
            <w:hideMark/>
          </w:tcPr>
          <w:p w14:paraId="15BD6585" w14:textId="247BDFAE"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15.1%</w:t>
            </w:r>
          </w:p>
        </w:tc>
        <w:tc>
          <w:tcPr>
            <w:tcW w:w="1660" w:type="dxa"/>
            <w:tcBorders>
              <w:top w:val="single" w:sz="4" w:space="0" w:color="D9D9D9"/>
              <w:left w:val="nil"/>
              <w:bottom w:val="single" w:sz="4" w:space="0" w:color="D9D9D9"/>
              <w:right w:val="nil"/>
            </w:tcBorders>
            <w:shd w:val="clear" w:color="auto" w:fill="auto"/>
            <w:noWrap/>
            <w:hideMark/>
          </w:tcPr>
          <w:p w14:paraId="1DEC69A6" w14:textId="35B6BD64"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0.4%</w:t>
            </w:r>
          </w:p>
        </w:tc>
      </w:tr>
      <w:tr w:rsidR="005C12FF" w:rsidRPr="005C12FF" w14:paraId="1558F2CF" w14:textId="77777777" w:rsidTr="00B15C1F">
        <w:trPr>
          <w:trHeight w:val="225"/>
          <w:jc w:val="center"/>
        </w:trPr>
        <w:tc>
          <w:tcPr>
            <w:tcW w:w="2056" w:type="dxa"/>
            <w:tcBorders>
              <w:top w:val="single" w:sz="4" w:space="0" w:color="D9D9D9"/>
              <w:left w:val="nil"/>
              <w:bottom w:val="single" w:sz="4" w:space="0" w:color="D9D9D9"/>
              <w:right w:val="single" w:sz="4" w:space="0" w:color="D9D9D9"/>
            </w:tcBorders>
            <w:shd w:val="clear" w:color="auto" w:fill="DFEBF1" w:themeFill="text2" w:themeFillTint="1A"/>
            <w:noWrap/>
            <w:vAlign w:val="center"/>
            <w:hideMark/>
          </w:tcPr>
          <w:p w14:paraId="6BDA95E9" w14:textId="63278F15" w:rsidR="005C12FF" w:rsidRPr="005629F8" w:rsidRDefault="005C12FF" w:rsidP="005C12FF">
            <w:pPr>
              <w:spacing w:after="0" w:line="240" w:lineRule="auto"/>
              <w:rPr>
                <w:rFonts w:eastAsia="Times New Roman" w:cs="Arial"/>
                <w:b/>
                <w:bCs/>
                <w:color w:val="000000"/>
                <w:sz w:val="16"/>
                <w:szCs w:val="16"/>
                <w:lang w:eastAsia="en-AU"/>
              </w:rPr>
            </w:pPr>
            <w:r w:rsidRPr="005629F8">
              <w:rPr>
                <w:rFonts w:eastAsia="Times New Roman" w:cs="Arial"/>
                <w:b/>
                <w:bCs/>
                <w:color w:val="000000"/>
                <w:sz w:val="16"/>
                <w:szCs w:val="16"/>
                <w:lang w:eastAsia="en-AU"/>
              </w:rPr>
              <w:t>Total</w:t>
            </w:r>
            <w:r w:rsidRPr="005629F8">
              <w:rPr>
                <w:rFonts w:eastAsia="Times New Roman" w:cs="Arial"/>
                <w:color w:val="000000"/>
                <w:sz w:val="16"/>
                <w:szCs w:val="16"/>
                <w:lang w:eastAsia="en-AU"/>
              </w:rPr>
              <w:t>*</w:t>
            </w:r>
          </w:p>
        </w:tc>
        <w:tc>
          <w:tcPr>
            <w:tcW w:w="1000" w:type="dxa"/>
            <w:tcBorders>
              <w:top w:val="single" w:sz="4" w:space="0" w:color="D9D9D9"/>
              <w:left w:val="single" w:sz="4" w:space="0" w:color="D9D9D9"/>
              <w:bottom w:val="single" w:sz="4" w:space="0" w:color="D9D9D9"/>
              <w:right w:val="nil"/>
            </w:tcBorders>
            <w:shd w:val="clear" w:color="auto" w:fill="DFEBF1" w:themeFill="text2" w:themeFillTint="1A"/>
            <w:noWrap/>
            <w:hideMark/>
          </w:tcPr>
          <w:p w14:paraId="3BB5FF69" w14:textId="69DDA71D"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764</w:t>
            </w:r>
          </w:p>
        </w:tc>
        <w:tc>
          <w:tcPr>
            <w:tcW w:w="1640" w:type="dxa"/>
            <w:tcBorders>
              <w:top w:val="single" w:sz="4" w:space="0" w:color="D9D9D9"/>
              <w:left w:val="nil"/>
              <w:bottom w:val="single" w:sz="4" w:space="0" w:color="D9D9D9"/>
              <w:right w:val="single" w:sz="4" w:space="0" w:color="D9D9D9"/>
            </w:tcBorders>
            <w:shd w:val="clear" w:color="auto" w:fill="DFEBF1" w:themeFill="text2" w:themeFillTint="1A"/>
            <w:noWrap/>
            <w:hideMark/>
          </w:tcPr>
          <w:p w14:paraId="50142B0C" w14:textId="5C5B438D"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3,431,084</w:t>
            </w:r>
          </w:p>
        </w:tc>
        <w:tc>
          <w:tcPr>
            <w:tcW w:w="1660" w:type="dxa"/>
            <w:tcBorders>
              <w:top w:val="single" w:sz="4" w:space="0" w:color="D9D9D9"/>
              <w:left w:val="single" w:sz="4" w:space="0" w:color="D9D9D9"/>
              <w:bottom w:val="single" w:sz="4" w:space="0" w:color="D9D9D9"/>
              <w:right w:val="nil"/>
            </w:tcBorders>
            <w:shd w:val="clear" w:color="auto" w:fill="DFEBF1" w:themeFill="text2" w:themeFillTint="1A"/>
            <w:noWrap/>
            <w:hideMark/>
          </w:tcPr>
          <w:p w14:paraId="30C44546" w14:textId="6512671A"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100.0%</w:t>
            </w:r>
          </w:p>
        </w:tc>
        <w:tc>
          <w:tcPr>
            <w:tcW w:w="1660" w:type="dxa"/>
            <w:tcBorders>
              <w:top w:val="single" w:sz="4" w:space="0" w:color="D9D9D9"/>
              <w:left w:val="nil"/>
              <w:bottom w:val="single" w:sz="4" w:space="0" w:color="D9D9D9"/>
              <w:right w:val="nil"/>
            </w:tcBorders>
            <w:shd w:val="clear" w:color="auto" w:fill="DFEBF1" w:themeFill="text2" w:themeFillTint="1A"/>
            <w:noWrap/>
            <w:hideMark/>
          </w:tcPr>
          <w:p w14:paraId="74A26711" w14:textId="37723F47" w:rsidR="005C12FF" w:rsidRPr="005C12FF" w:rsidRDefault="005C12FF" w:rsidP="005C12FF">
            <w:pPr>
              <w:spacing w:after="0" w:line="240" w:lineRule="auto"/>
              <w:jc w:val="center"/>
              <w:rPr>
                <w:rFonts w:eastAsia="Times New Roman" w:cs="Arial"/>
                <w:color w:val="000000"/>
                <w:sz w:val="14"/>
                <w:szCs w:val="14"/>
                <w:lang w:eastAsia="en-AU"/>
              </w:rPr>
            </w:pPr>
            <w:r w:rsidRPr="005C12FF">
              <w:rPr>
                <w:sz w:val="14"/>
                <w:szCs w:val="14"/>
              </w:rPr>
              <w:t>100.0%</w:t>
            </w:r>
          </w:p>
        </w:tc>
      </w:tr>
    </w:tbl>
    <w:p w14:paraId="6615A709" w14:textId="77777777" w:rsidR="00490E5B" w:rsidRPr="005629F8" w:rsidRDefault="00490E5B" w:rsidP="001A7118">
      <w:pPr>
        <w:pStyle w:val="TableParagraph"/>
        <w:ind w:left="993"/>
        <w:rPr>
          <w:spacing w:val="-2"/>
        </w:rPr>
      </w:pPr>
      <w:r w:rsidRPr="005629F8">
        <w:t>*</w:t>
      </w:r>
      <w:r w:rsidRPr="005629F8">
        <w:rPr>
          <w:spacing w:val="-2"/>
        </w:rPr>
        <w:t xml:space="preserve"> </w:t>
      </w:r>
      <w:r w:rsidRPr="005629F8">
        <w:t>The</w:t>
      </w:r>
      <w:r w:rsidRPr="005629F8">
        <w:rPr>
          <w:spacing w:val="-1"/>
        </w:rPr>
        <w:t xml:space="preserve"> </w:t>
      </w:r>
      <w:r w:rsidRPr="005629F8">
        <w:t>standard</w:t>
      </w:r>
      <w:r w:rsidRPr="005629F8">
        <w:rPr>
          <w:spacing w:val="-2"/>
        </w:rPr>
        <w:t xml:space="preserve"> </w:t>
      </w:r>
      <w:r w:rsidRPr="005629F8">
        <w:t>error</w:t>
      </w:r>
      <w:r w:rsidRPr="005629F8">
        <w:rPr>
          <w:spacing w:val="-1"/>
        </w:rPr>
        <w:t xml:space="preserve"> </w:t>
      </w:r>
      <w:r w:rsidRPr="005629F8">
        <w:t>for</w:t>
      </w:r>
      <w:r w:rsidRPr="005629F8">
        <w:rPr>
          <w:spacing w:val="-5"/>
        </w:rPr>
        <w:t xml:space="preserve"> </w:t>
      </w:r>
      <w:r w:rsidRPr="005629F8">
        <w:t>some</w:t>
      </w:r>
      <w:r w:rsidRPr="005629F8">
        <w:rPr>
          <w:spacing w:val="-3"/>
        </w:rPr>
        <w:t xml:space="preserve"> AR-</w:t>
      </w:r>
      <w:r w:rsidRPr="005629F8">
        <w:t>DRGs</w:t>
      </w:r>
      <w:r w:rsidRPr="005629F8">
        <w:rPr>
          <w:spacing w:val="-1"/>
        </w:rPr>
        <w:t xml:space="preserve"> </w:t>
      </w:r>
      <w:r w:rsidRPr="005629F8">
        <w:t>cannot</w:t>
      </w:r>
      <w:r w:rsidRPr="005629F8">
        <w:rPr>
          <w:spacing w:val="-1"/>
        </w:rPr>
        <w:t xml:space="preserve"> </w:t>
      </w:r>
      <w:r w:rsidRPr="005629F8">
        <w:t>be</w:t>
      </w:r>
      <w:r w:rsidRPr="005629F8">
        <w:rPr>
          <w:spacing w:val="-2"/>
        </w:rPr>
        <w:t xml:space="preserve"> </w:t>
      </w:r>
      <w:r w:rsidRPr="005629F8">
        <w:t>estimated</w:t>
      </w:r>
      <w:r w:rsidRPr="005629F8">
        <w:rPr>
          <w:spacing w:val="-3"/>
        </w:rPr>
        <w:t xml:space="preserve"> </w:t>
      </w:r>
      <w:r w:rsidRPr="005629F8">
        <w:t>due</w:t>
      </w:r>
      <w:r w:rsidRPr="005629F8">
        <w:rPr>
          <w:spacing w:val="-2"/>
        </w:rPr>
        <w:t xml:space="preserve"> </w:t>
      </w:r>
      <w:r w:rsidRPr="005629F8">
        <w:t>to</w:t>
      </w:r>
      <w:r w:rsidRPr="005629F8">
        <w:rPr>
          <w:spacing w:val="-1"/>
        </w:rPr>
        <w:t xml:space="preserve"> </w:t>
      </w:r>
      <w:r w:rsidRPr="005629F8">
        <w:t>low</w:t>
      </w:r>
      <w:r w:rsidRPr="005629F8">
        <w:rPr>
          <w:spacing w:val="-5"/>
        </w:rPr>
        <w:t xml:space="preserve"> </w:t>
      </w:r>
      <w:r w:rsidRPr="005629F8">
        <w:t>separation</w:t>
      </w:r>
      <w:r w:rsidRPr="005629F8">
        <w:rPr>
          <w:spacing w:val="-3"/>
        </w:rPr>
        <w:t xml:space="preserve"> </w:t>
      </w:r>
      <w:r w:rsidRPr="005629F8">
        <w:t>counts in</w:t>
      </w:r>
      <w:r w:rsidRPr="005629F8">
        <w:rPr>
          <w:spacing w:val="-4"/>
        </w:rPr>
        <w:t xml:space="preserve"> </w:t>
      </w:r>
      <w:r w:rsidRPr="005629F8">
        <w:t>the</w:t>
      </w:r>
      <w:r w:rsidRPr="005629F8">
        <w:rPr>
          <w:spacing w:val="-1"/>
        </w:rPr>
        <w:t xml:space="preserve"> </w:t>
      </w:r>
      <w:r w:rsidRPr="005629F8">
        <w:t>sample.</w:t>
      </w:r>
      <w:r w:rsidRPr="005629F8">
        <w:rPr>
          <w:spacing w:val="-47"/>
        </w:rPr>
        <w:t xml:space="preserve"> </w:t>
      </w:r>
      <w:r w:rsidRPr="005629F8">
        <w:t>Total</w:t>
      </w:r>
      <w:r w:rsidRPr="005629F8">
        <w:rPr>
          <w:spacing w:val="-1"/>
        </w:rPr>
        <w:t xml:space="preserve"> </w:t>
      </w:r>
      <w:r w:rsidRPr="005629F8">
        <w:t>may</w:t>
      </w:r>
      <w:r w:rsidRPr="005629F8">
        <w:rPr>
          <w:spacing w:val="-2"/>
        </w:rPr>
        <w:t xml:space="preserve"> </w:t>
      </w:r>
      <w:r w:rsidRPr="005629F8">
        <w:t>not add to</w:t>
      </w:r>
      <w:r w:rsidRPr="005629F8">
        <w:rPr>
          <w:spacing w:val="-2"/>
        </w:rPr>
        <w:t xml:space="preserve"> </w:t>
      </w:r>
    </w:p>
    <w:p w14:paraId="734EF833" w14:textId="13595B71" w:rsidR="00490E5B" w:rsidRPr="005629F8" w:rsidRDefault="00490E5B" w:rsidP="001A7118">
      <w:pPr>
        <w:pStyle w:val="TableParagraph"/>
        <w:ind w:left="993"/>
      </w:pPr>
      <w:r w:rsidRPr="005629F8">
        <w:t>the</w:t>
      </w:r>
      <w:r w:rsidRPr="005629F8">
        <w:rPr>
          <w:spacing w:val="-3"/>
        </w:rPr>
        <w:t xml:space="preserve"> </w:t>
      </w:r>
      <w:r w:rsidRPr="005629F8">
        <w:t>sum</w:t>
      </w:r>
      <w:r w:rsidRPr="005629F8">
        <w:rPr>
          <w:spacing w:val="-1"/>
        </w:rPr>
        <w:t xml:space="preserve"> </w:t>
      </w:r>
      <w:r w:rsidRPr="005629F8">
        <w:t>of the</w:t>
      </w:r>
      <w:r w:rsidRPr="005629F8">
        <w:rPr>
          <w:spacing w:val="-2"/>
        </w:rPr>
        <w:t xml:space="preserve"> </w:t>
      </w:r>
      <w:r w:rsidRPr="005629F8">
        <w:t>rows</w:t>
      </w:r>
      <w:r w:rsidRPr="005629F8">
        <w:rPr>
          <w:spacing w:val="1"/>
        </w:rPr>
        <w:t xml:space="preserve"> </w:t>
      </w:r>
      <w:r w:rsidRPr="005629F8">
        <w:t>due</w:t>
      </w:r>
      <w:r w:rsidRPr="005629F8">
        <w:rPr>
          <w:spacing w:val="-1"/>
        </w:rPr>
        <w:t xml:space="preserve"> </w:t>
      </w:r>
      <w:r w:rsidRPr="005629F8">
        <w:t>to rounding.</w:t>
      </w:r>
    </w:p>
    <w:p w14:paraId="4C388FCE" w14:textId="77777777" w:rsidR="00241D78" w:rsidRPr="005629F8" w:rsidRDefault="00241D78" w:rsidP="00490E5B">
      <w:pPr>
        <w:spacing w:before="120"/>
        <w:rPr>
          <w:sz w:val="2"/>
          <w:szCs w:val="2"/>
        </w:rPr>
      </w:pPr>
    </w:p>
    <w:p w14:paraId="1A91F0E4" w14:textId="3F254442" w:rsidR="00490E5B" w:rsidRPr="005629F8" w:rsidRDefault="00490E5B" w:rsidP="00490E5B">
      <w:pPr>
        <w:spacing w:before="120"/>
      </w:pPr>
      <w:r w:rsidRPr="005629F8">
        <w:t xml:space="preserve">The results </w:t>
      </w:r>
      <w:r w:rsidR="00F06F86">
        <w:t xml:space="preserve">in Table 11 </w:t>
      </w:r>
      <w:r w:rsidRPr="005629F8">
        <w:t xml:space="preserve">show that </w:t>
      </w:r>
      <w:r w:rsidR="00095D44">
        <w:t>55.9</w:t>
      </w:r>
      <w:r w:rsidRPr="005629F8">
        <w:t>2</w:t>
      </w:r>
      <w:r w:rsidR="00881AF0">
        <w:t>%</w:t>
      </w:r>
      <w:r w:rsidRPr="005629F8">
        <w:t xml:space="preserve"> (</w:t>
      </w:r>
      <w:r w:rsidR="00095D44">
        <w:t>32.9</w:t>
      </w:r>
      <w:r w:rsidR="00881AF0">
        <w:t>%</w:t>
      </w:r>
      <w:r w:rsidRPr="005629F8">
        <w:t xml:space="preserve"> + 2</w:t>
      </w:r>
      <w:r w:rsidR="00095D44">
        <w:t>3</w:t>
      </w:r>
      <w:r w:rsidR="00881AF0">
        <w:t>%</w:t>
      </w:r>
      <w:r w:rsidRPr="005629F8">
        <w:t xml:space="preserve">) of AR-DRGs have cost weight estimates with a standard error of less than 0.1. Approximately </w:t>
      </w:r>
      <w:r w:rsidR="00095D44">
        <w:t>96.8</w:t>
      </w:r>
      <w:r w:rsidR="00881AF0">
        <w:t>%</w:t>
      </w:r>
      <w:r w:rsidRPr="005629F8">
        <w:t xml:space="preserve"> (</w:t>
      </w:r>
      <w:r w:rsidR="00095D44">
        <w:t>89.4</w:t>
      </w:r>
      <w:r w:rsidR="00881AF0">
        <w:t>%</w:t>
      </w:r>
      <w:r w:rsidRPr="005629F8">
        <w:t xml:space="preserve"> + </w:t>
      </w:r>
      <w:r w:rsidR="00095D44">
        <w:t>7.4</w:t>
      </w:r>
      <w:r w:rsidR="00881AF0">
        <w:t>%</w:t>
      </w:r>
      <w:r w:rsidRPr="005629F8">
        <w:t>) of separations are within the subset of AR-DRGs that have a standard error of less than 0.1.</w:t>
      </w:r>
    </w:p>
    <w:p w14:paraId="2070FAF9" w14:textId="1FD44EDA" w:rsidR="00FA0E2B" w:rsidRPr="00AE3C00" w:rsidRDefault="00FA0E2B" w:rsidP="00AE3C00">
      <w:pPr>
        <w:rPr>
          <w:highlight w:val="yellow"/>
        </w:rPr>
      </w:pPr>
    </w:p>
    <w:p w14:paraId="2EE1C741" w14:textId="26A5DC16" w:rsidR="00490E5B" w:rsidRPr="005629F8" w:rsidRDefault="00490E5B">
      <w:pPr>
        <w:spacing w:line="259" w:lineRule="auto"/>
        <w:rPr>
          <w:highlight w:val="yellow"/>
        </w:rPr>
      </w:pPr>
      <w:r w:rsidRPr="005629F8">
        <w:rPr>
          <w:highlight w:val="yellow"/>
        </w:rPr>
        <w:br w:type="page"/>
      </w:r>
    </w:p>
    <w:p w14:paraId="18392276" w14:textId="4CAC34F2" w:rsidR="00490E5B" w:rsidRPr="00E87B16" w:rsidRDefault="00490E5B" w:rsidP="00E87B16">
      <w:pPr>
        <w:pStyle w:val="Heading1"/>
        <w:numPr>
          <w:ilvl w:val="0"/>
          <w:numId w:val="0"/>
        </w:numPr>
        <w:rPr>
          <w:color w:val="auto"/>
          <w:sz w:val="48"/>
          <w:szCs w:val="48"/>
        </w:rPr>
      </w:pPr>
      <w:bookmarkStart w:id="288" w:name="_Ref103175238"/>
      <w:bookmarkStart w:id="289" w:name="_Ref103175315"/>
      <w:bookmarkStart w:id="290" w:name="_Toc106888113"/>
      <w:bookmarkStart w:id="291" w:name="_Toc152080396"/>
      <w:r w:rsidRPr="00E87B16">
        <w:rPr>
          <w:sz w:val="48"/>
          <w:szCs w:val="48"/>
        </w:rPr>
        <w:lastRenderedPageBreak/>
        <w:t>Appendix</w:t>
      </w:r>
      <w:r w:rsidRPr="00E87B16">
        <w:rPr>
          <w:spacing w:val="-2"/>
          <w:sz w:val="48"/>
          <w:szCs w:val="48"/>
        </w:rPr>
        <w:t xml:space="preserve"> </w:t>
      </w:r>
      <w:r w:rsidRPr="00E87B16">
        <w:rPr>
          <w:sz w:val="48"/>
          <w:szCs w:val="48"/>
        </w:rPr>
        <w:t>D:</w:t>
      </w:r>
      <w:r w:rsidRPr="00E87B16">
        <w:rPr>
          <w:spacing w:val="1"/>
          <w:sz w:val="48"/>
          <w:szCs w:val="48"/>
        </w:rPr>
        <w:t xml:space="preserve"> </w:t>
      </w:r>
      <w:r w:rsidRPr="00E87B16">
        <w:rPr>
          <w:sz w:val="48"/>
          <w:szCs w:val="48"/>
        </w:rPr>
        <w:t>Cost</w:t>
      </w:r>
      <w:r w:rsidRPr="00E87B16">
        <w:rPr>
          <w:spacing w:val="1"/>
          <w:sz w:val="48"/>
          <w:szCs w:val="48"/>
        </w:rPr>
        <w:t xml:space="preserve"> </w:t>
      </w:r>
      <w:r w:rsidRPr="00E87B16">
        <w:rPr>
          <w:sz w:val="48"/>
          <w:szCs w:val="48"/>
        </w:rPr>
        <w:t>weight</w:t>
      </w:r>
      <w:r w:rsidRPr="00E87B16">
        <w:rPr>
          <w:spacing w:val="1"/>
          <w:sz w:val="48"/>
          <w:szCs w:val="48"/>
        </w:rPr>
        <w:t xml:space="preserve"> </w:t>
      </w:r>
      <w:r w:rsidRPr="00E87B16">
        <w:rPr>
          <w:sz w:val="48"/>
          <w:szCs w:val="48"/>
        </w:rPr>
        <w:t>tables by AR</w:t>
      </w:r>
      <w:r w:rsidR="00605F54">
        <w:rPr>
          <w:sz w:val="48"/>
          <w:szCs w:val="48"/>
        </w:rPr>
        <w:noBreakHyphen/>
      </w:r>
      <w:r w:rsidRPr="00E87B16">
        <w:rPr>
          <w:sz w:val="48"/>
          <w:szCs w:val="48"/>
        </w:rPr>
        <w:t xml:space="preserve">DRG </w:t>
      </w:r>
      <w:bookmarkEnd w:id="288"/>
      <w:r w:rsidRPr="00E87B16">
        <w:rPr>
          <w:sz w:val="48"/>
          <w:szCs w:val="48"/>
        </w:rPr>
        <w:t>Version 1</w:t>
      </w:r>
      <w:r w:rsidR="00095D44">
        <w:rPr>
          <w:sz w:val="48"/>
          <w:szCs w:val="48"/>
        </w:rPr>
        <w:t>1</w:t>
      </w:r>
      <w:r w:rsidRPr="00E87B16">
        <w:rPr>
          <w:sz w:val="48"/>
          <w:szCs w:val="48"/>
        </w:rPr>
        <w:t>.0</w:t>
      </w:r>
      <w:bookmarkEnd w:id="289"/>
      <w:bookmarkEnd w:id="290"/>
      <w:bookmarkEnd w:id="291"/>
    </w:p>
    <w:p w14:paraId="1BFA3842" w14:textId="0AFD3916" w:rsidR="00B97016" w:rsidRPr="005629F8" w:rsidRDefault="00B97016" w:rsidP="00E829BF">
      <w:pPr>
        <w:pStyle w:val="TableFigureheading"/>
      </w:pPr>
      <w:bookmarkStart w:id="292" w:name="_Toc129179306"/>
      <w:bookmarkStart w:id="293" w:name="_Toc152081880"/>
      <w:r w:rsidRPr="000C38AE">
        <w:t xml:space="preserve">Table </w:t>
      </w:r>
      <w:r w:rsidR="00FF13B6">
        <w:fldChar w:fldCharType="begin"/>
      </w:r>
      <w:r w:rsidR="00FF13B6">
        <w:instrText xml:space="preserve"> SEQ Table \* ARABIC </w:instrText>
      </w:r>
      <w:r w:rsidR="00FF13B6">
        <w:fldChar w:fldCharType="separate"/>
      </w:r>
      <w:r w:rsidRPr="005629F8">
        <w:rPr>
          <w:noProof/>
        </w:rPr>
        <w:t>12</w:t>
      </w:r>
      <w:r w:rsidR="00FF13B6">
        <w:rPr>
          <w:noProof/>
        </w:rPr>
        <w:fldChar w:fldCharType="end"/>
      </w:r>
      <w:r w:rsidRPr="005629F8">
        <w:t>. 202</w:t>
      </w:r>
      <w:r w:rsidR="00095D44">
        <w:t>1</w:t>
      </w:r>
      <w:r w:rsidRPr="005629F8">
        <w:t>-2</w:t>
      </w:r>
      <w:r w:rsidR="001262BD">
        <w:t>2</w:t>
      </w:r>
      <w:r w:rsidRPr="005629F8">
        <w:t xml:space="preserve"> national consolidation cost weight tables - version 1</w:t>
      </w:r>
      <w:r w:rsidR="00095D44">
        <w:t>1</w:t>
      </w:r>
      <w:r w:rsidRPr="005629F8">
        <w:t>.0</w:t>
      </w:r>
      <w:bookmarkEnd w:id="292"/>
      <w:bookmarkEnd w:id="293"/>
    </w:p>
    <w:p w14:paraId="43F8F8CE" w14:textId="405276E4" w:rsidR="00490E5B" w:rsidRPr="005629F8" w:rsidRDefault="00490E5B" w:rsidP="00490E5B">
      <w:r w:rsidRPr="005629F8">
        <w:t>Please refer to Excel file for details.</w:t>
      </w:r>
    </w:p>
    <w:p w14:paraId="36A7EF55" w14:textId="639555EF" w:rsidR="00490E5B" w:rsidRPr="005629F8" w:rsidRDefault="00490E5B" w:rsidP="00490E5B">
      <w:pPr>
        <w:rPr>
          <w:highlight w:val="yellow"/>
        </w:rPr>
      </w:pPr>
    </w:p>
    <w:p w14:paraId="730EABA8" w14:textId="14DC3336" w:rsidR="00490E5B" w:rsidRPr="005629F8" w:rsidRDefault="00490E5B" w:rsidP="00490E5B">
      <w:pPr>
        <w:rPr>
          <w:highlight w:val="yellow"/>
        </w:rPr>
      </w:pPr>
    </w:p>
    <w:p w14:paraId="59283970" w14:textId="77777777" w:rsidR="00490E5B" w:rsidRPr="005629F8" w:rsidRDefault="00490E5B" w:rsidP="00490E5B">
      <w:pPr>
        <w:rPr>
          <w:highlight w:val="yellow"/>
        </w:rPr>
      </w:pPr>
    </w:p>
    <w:p w14:paraId="1857DCA7" w14:textId="77777777" w:rsidR="00490E5B" w:rsidRPr="005629F8" w:rsidRDefault="00490E5B" w:rsidP="00490E5B">
      <w:pPr>
        <w:rPr>
          <w:highlight w:val="yellow"/>
        </w:rPr>
      </w:pPr>
    </w:p>
    <w:p w14:paraId="310C9CA1" w14:textId="77777777" w:rsidR="00490E5B" w:rsidRPr="005629F8" w:rsidRDefault="00490E5B" w:rsidP="00490E5B">
      <w:pPr>
        <w:rPr>
          <w:highlight w:val="yellow"/>
        </w:rPr>
      </w:pPr>
    </w:p>
    <w:p w14:paraId="2A7D38C7" w14:textId="77777777" w:rsidR="00490E5B" w:rsidRPr="005629F8" w:rsidRDefault="00490E5B" w:rsidP="00490E5B">
      <w:pPr>
        <w:rPr>
          <w:highlight w:val="yellow"/>
        </w:rPr>
      </w:pPr>
    </w:p>
    <w:p w14:paraId="60CCD72F" w14:textId="77777777" w:rsidR="00490E5B" w:rsidRPr="005629F8" w:rsidRDefault="00490E5B" w:rsidP="00490E5B">
      <w:pPr>
        <w:rPr>
          <w:highlight w:val="yellow"/>
        </w:rPr>
      </w:pPr>
    </w:p>
    <w:p w14:paraId="0C8366A5" w14:textId="77777777" w:rsidR="00490E5B" w:rsidRPr="005629F8" w:rsidRDefault="00490E5B" w:rsidP="00490E5B">
      <w:pPr>
        <w:rPr>
          <w:highlight w:val="yellow"/>
        </w:rPr>
      </w:pPr>
    </w:p>
    <w:p w14:paraId="5EA556BD" w14:textId="2805835D" w:rsidR="00490E5B" w:rsidRPr="005629F8" w:rsidRDefault="00490E5B" w:rsidP="00490E5B">
      <w:r w:rsidRPr="005629F8">
        <w:t>Intentionally left blank.</w:t>
      </w:r>
    </w:p>
    <w:p w14:paraId="768D3BD5" w14:textId="233D4B4C" w:rsidR="00490E5B" w:rsidRPr="005629F8" w:rsidRDefault="00490E5B">
      <w:pPr>
        <w:spacing w:line="259" w:lineRule="auto"/>
        <w:rPr>
          <w:highlight w:val="yellow"/>
        </w:rPr>
      </w:pPr>
      <w:r w:rsidRPr="005629F8">
        <w:rPr>
          <w:highlight w:val="yellow"/>
        </w:rPr>
        <w:br w:type="page"/>
      </w:r>
    </w:p>
    <w:p w14:paraId="4CB40A7F" w14:textId="4B747561" w:rsidR="00490E5B" w:rsidRPr="00E87B16" w:rsidRDefault="00490E5B" w:rsidP="00E87B16">
      <w:pPr>
        <w:pStyle w:val="Heading1"/>
        <w:numPr>
          <w:ilvl w:val="0"/>
          <w:numId w:val="0"/>
        </w:numPr>
        <w:rPr>
          <w:color w:val="auto"/>
          <w:sz w:val="48"/>
          <w:szCs w:val="48"/>
        </w:rPr>
      </w:pPr>
      <w:bookmarkStart w:id="294" w:name="_Toc106888114"/>
      <w:bookmarkStart w:id="295" w:name="_Toc152080397"/>
      <w:r w:rsidRPr="00E87B16">
        <w:rPr>
          <w:sz w:val="48"/>
          <w:szCs w:val="48"/>
        </w:rPr>
        <w:lastRenderedPageBreak/>
        <w:t>Appendix E: Cost weight</w:t>
      </w:r>
      <w:r w:rsidRPr="00E87B16">
        <w:rPr>
          <w:spacing w:val="1"/>
          <w:sz w:val="48"/>
          <w:szCs w:val="48"/>
        </w:rPr>
        <w:t xml:space="preserve"> </w:t>
      </w:r>
      <w:r w:rsidRPr="00E87B16">
        <w:rPr>
          <w:sz w:val="48"/>
          <w:szCs w:val="48"/>
        </w:rPr>
        <w:t>tables</w:t>
      </w:r>
      <w:r w:rsidRPr="00E87B16">
        <w:rPr>
          <w:spacing w:val="-4"/>
          <w:sz w:val="48"/>
          <w:szCs w:val="48"/>
        </w:rPr>
        <w:t xml:space="preserve"> </w:t>
      </w:r>
      <w:r w:rsidRPr="00E87B16">
        <w:rPr>
          <w:sz w:val="48"/>
          <w:szCs w:val="48"/>
        </w:rPr>
        <w:t>by</w:t>
      </w:r>
      <w:r w:rsidRPr="00E87B16">
        <w:rPr>
          <w:spacing w:val="-4"/>
          <w:sz w:val="48"/>
          <w:szCs w:val="48"/>
        </w:rPr>
        <w:t xml:space="preserve"> </w:t>
      </w:r>
      <w:r w:rsidRPr="00E87B16">
        <w:rPr>
          <w:sz w:val="48"/>
          <w:szCs w:val="48"/>
        </w:rPr>
        <w:t>AR</w:t>
      </w:r>
      <w:r w:rsidR="00605F54">
        <w:rPr>
          <w:sz w:val="48"/>
          <w:szCs w:val="48"/>
        </w:rPr>
        <w:noBreakHyphen/>
      </w:r>
      <w:r w:rsidRPr="00E87B16">
        <w:rPr>
          <w:sz w:val="48"/>
          <w:szCs w:val="48"/>
        </w:rPr>
        <w:t>DRG</w:t>
      </w:r>
      <w:r w:rsidRPr="00E87B16">
        <w:rPr>
          <w:spacing w:val="-4"/>
          <w:sz w:val="48"/>
          <w:szCs w:val="48"/>
        </w:rPr>
        <w:t xml:space="preserve"> </w:t>
      </w:r>
      <w:r w:rsidRPr="00E87B16">
        <w:rPr>
          <w:sz w:val="48"/>
          <w:szCs w:val="48"/>
        </w:rPr>
        <w:t>Version</w:t>
      </w:r>
      <w:r w:rsidRPr="00E87B16">
        <w:rPr>
          <w:spacing w:val="-4"/>
          <w:sz w:val="48"/>
          <w:szCs w:val="48"/>
        </w:rPr>
        <w:t xml:space="preserve"> </w:t>
      </w:r>
      <w:r w:rsidR="00095D44">
        <w:rPr>
          <w:spacing w:val="-4"/>
          <w:sz w:val="48"/>
          <w:szCs w:val="48"/>
        </w:rPr>
        <w:t>10</w:t>
      </w:r>
      <w:r w:rsidRPr="00E87B16">
        <w:rPr>
          <w:sz w:val="48"/>
          <w:szCs w:val="48"/>
        </w:rPr>
        <w:t>.0</w:t>
      </w:r>
      <w:bookmarkEnd w:id="294"/>
      <w:bookmarkEnd w:id="295"/>
    </w:p>
    <w:p w14:paraId="0DE7BCCC" w14:textId="6398E9FE" w:rsidR="00B97016" w:rsidRPr="000C38AE" w:rsidRDefault="00B97016" w:rsidP="00E829BF">
      <w:pPr>
        <w:pStyle w:val="TableFigureheading"/>
      </w:pPr>
      <w:bookmarkStart w:id="296" w:name="_Toc129179307"/>
      <w:bookmarkStart w:id="297" w:name="_Toc152081881"/>
      <w:r w:rsidRPr="000C38AE">
        <w:t xml:space="preserve">Table </w:t>
      </w:r>
      <w:r w:rsidR="00FF13B6">
        <w:fldChar w:fldCharType="begin"/>
      </w:r>
      <w:r w:rsidR="00FF13B6">
        <w:instrText xml:space="preserve"> SEQ Table \* ARABIC </w:instrText>
      </w:r>
      <w:r w:rsidR="00FF13B6">
        <w:fldChar w:fldCharType="separate"/>
      </w:r>
      <w:r w:rsidRPr="005629F8">
        <w:rPr>
          <w:noProof/>
        </w:rPr>
        <w:t>13</w:t>
      </w:r>
      <w:r w:rsidR="00FF13B6">
        <w:rPr>
          <w:noProof/>
        </w:rPr>
        <w:fldChar w:fldCharType="end"/>
      </w:r>
      <w:r w:rsidRPr="005629F8">
        <w:t>. 202</w:t>
      </w:r>
      <w:r w:rsidR="00095D44">
        <w:t>1</w:t>
      </w:r>
      <w:r w:rsidRPr="005629F8">
        <w:t>-</w:t>
      </w:r>
      <w:r w:rsidR="00095D44">
        <w:t>22</w:t>
      </w:r>
      <w:r w:rsidRPr="005629F8">
        <w:t xml:space="preserve"> national consolidation cost weight tables - version </w:t>
      </w:r>
      <w:r w:rsidR="00095D44">
        <w:t>10</w:t>
      </w:r>
      <w:r w:rsidRPr="000C38AE">
        <w:t>.0</w:t>
      </w:r>
      <w:bookmarkEnd w:id="296"/>
      <w:bookmarkEnd w:id="297"/>
    </w:p>
    <w:p w14:paraId="650F6BCB" w14:textId="552B76C7" w:rsidR="00490E5B" w:rsidRPr="005629F8" w:rsidRDefault="00490E5B" w:rsidP="00490E5B">
      <w:r w:rsidRPr="005629F8">
        <w:t>Please refer to Excel file for details.</w:t>
      </w:r>
    </w:p>
    <w:p w14:paraId="651DF1E2" w14:textId="48D54F5B" w:rsidR="00490E5B" w:rsidRPr="005629F8" w:rsidRDefault="00490E5B" w:rsidP="00490E5B">
      <w:pPr>
        <w:rPr>
          <w:highlight w:val="yellow"/>
        </w:rPr>
      </w:pPr>
    </w:p>
    <w:p w14:paraId="3A52313F" w14:textId="7E3819E5" w:rsidR="00490E5B" w:rsidRPr="005629F8" w:rsidRDefault="00490E5B" w:rsidP="00490E5B">
      <w:pPr>
        <w:rPr>
          <w:highlight w:val="yellow"/>
        </w:rPr>
      </w:pPr>
    </w:p>
    <w:p w14:paraId="4946687E" w14:textId="2D237ED2" w:rsidR="00490E5B" w:rsidRPr="005629F8" w:rsidRDefault="00490E5B" w:rsidP="00490E5B">
      <w:pPr>
        <w:rPr>
          <w:highlight w:val="yellow"/>
        </w:rPr>
      </w:pPr>
    </w:p>
    <w:p w14:paraId="45C4F7FC" w14:textId="306A5324" w:rsidR="00490E5B" w:rsidRPr="005629F8" w:rsidRDefault="00490E5B" w:rsidP="00490E5B">
      <w:pPr>
        <w:rPr>
          <w:highlight w:val="yellow"/>
        </w:rPr>
      </w:pPr>
    </w:p>
    <w:p w14:paraId="7A0468B0" w14:textId="16311543" w:rsidR="00490E5B" w:rsidRPr="005629F8" w:rsidRDefault="00490E5B" w:rsidP="00490E5B">
      <w:pPr>
        <w:rPr>
          <w:highlight w:val="yellow"/>
        </w:rPr>
      </w:pPr>
    </w:p>
    <w:p w14:paraId="74095F6A" w14:textId="269E4891" w:rsidR="00490E5B" w:rsidRPr="005629F8" w:rsidRDefault="00490E5B" w:rsidP="00490E5B">
      <w:pPr>
        <w:rPr>
          <w:highlight w:val="yellow"/>
        </w:rPr>
      </w:pPr>
    </w:p>
    <w:p w14:paraId="21529B40" w14:textId="791A9F0B" w:rsidR="00490E5B" w:rsidRPr="005629F8" w:rsidRDefault="00490E5B" w:rsidP="00490E5B">
      <w:pPr>
        <w:rPr>
          <w:highlight w:val="yellow"/>
        </w:rPr>
      </w:pPr>
    </w:p>
    <w:p w14:paraId="0D545D10" w14:textId="7882F039" w:rsidR="00490E5B" w:rsidRPr="005629F8" w:rsidRDefault="00490E5B" w:rsidP="00490E5B">
      <w:pPr>
        <w:rPr>
          <w:highlight w:val="yellow"/>
        </w:rPr>
      </w:pPr>
    </w:p>
    <w:p w14:paraId="5246AA80" w14:textId="35A19230" w:rsidR="00490E5B" w:rsidRPr="005629F8" w:rsidRDefault="00490E5B" w:rsidP="000C38AE">
      <w:r w:rsidRPr="005629F8">
        <w:t>Intentionally left blank.</w:t>
      </w:r>
    </w:p>
    <w:p w14:paraId="73051423" w14:textId="7403E929" w:rsidR="00490E5B" w:rsidRDefault="00490E5B">
      <w:pPr>
        <w:spacing w:line="259" w:lineRule="auto"/>
        <w:rPr>
          <w:highlight w:val="yellow"/>
        </w:rPr>
      </w:pPr>
    </w:p>
    <w:p w14:paraId="5514D1AA" w14:textId="531A07B6" w:rsidR="00B16337" w:rsidRDefault="00B16337">
      <w:pPr>
        <w:spacing w:line="259" w:lineRule="auto"/>
        <w:rPr>
          <w:highlight w:val="yellow"/>
        </w:rPr>
      </w:pPr>
    </w:p>
    <w:p w14:paraId="28A6A903" w14:textId="7B100613" w:rsidR="00B16337" w:rsidRDefault="00B16337">
      <w:pPr>
        <w:spacing w:line="259" w:lineRule="auto"/>
        <w:rPr>
          <w:highlight w:val="yellow"/>
        </w:rPr>
      </w:pPr>
    </w:p>
    <w:p w14:paraId="30C5FF2A" w14:textId="06A91875" w:rsidR="00B16337" w:rsidRDefault="00B16337">
      <w:pPr>
        <w:spacing w:line="259" w:lineRule="auto"/>
        <w:rPr>
          <w:highlight w:val="yellow"/>
        </w:rPr>
      </w:pPr>
      <w:r>
        <w:rPr>
          <w:highlight w:val="yellow"/>
        </w:rPr>
        <w:br w:type="page"/>
      </w:r>
    </w:p>
    <w:p w14:paraId="53EBE398" w14:textId="56ABBDA5" w:rsidR="00B16337" w:rsidRPr="00E87B16" w:rsidRDefault="00B16337" w:rsidP="00E87B16">
      <w:pPr>
        <w:pStyle w:val="Heading1"/>
        <w:numPr>
          <w:ilvl w:val="0"/>
          <w:numId w:val="0"/>
        </w:numPr>
        <w:rPr>
          <w:color w:val="auto"/>
          <w:sz w:val="48"/>
          <w:szCs w:val="48"/>
        </w:rPr>
      </w:pPr>
      <w:bookmarkStart w:id="298" w:name="_Toc152080398"/>
      <w:r w:rsidRPr="00E87B16">
        <w:rPr>
          <w:sz w:val="48"/>
          <w:szCs w:val="48"/>
        </w:rPr>
        <w:lastRenderedPageBreak/>
        <w:t>Appendix F: Cost weight</w:t>
      </w:r>
      <w:r w:rsidRPr="00E87B16">
        <w:rPr>
          <w:spacing w:val="1"/>
          <w:sz w:val="48"/>
          <w:szCs w:val="48"/>
        </w:rPr>
        <w:t xml:space="preserve"> </w:t>
      </w:r>
      <w:r w:rsidRPr="00E87B16">
        <w:rPr>
          <w:sz w:val="48"/>
          <w:szCs w:val="48"/>
        </w:rPr>
        <w:t>tables</w:t>
      </w:r>
      <w:r w:rsidRPr="00E87B16">
        <w:rPr>
          <w:spacing w:val="-4"/>
          <w:sz w:val="48"/>
          <w:szCs w:val="48"/>
        </w:rPr>
        <w:t xml:space="preserve"> </w:t>
      </w:r>
      <w:r w:rsidRPr="00E87B16">
        <w:rPr>
          <w:sz w:val="48"/>
          <w:szCs w:val="48"/>
        </w:rPr>
        <w:t>by</w:t>
      </w:r>
      <w:r w:rsidRPr="00E87B16">
        <w:rPr>
          <w:spacing w:val="-4"/>
          <w:sz w:val="48"/>
          <w:szCs w:val="48"/>
        </w:rPr>
        <w:t xml:space="preserve"> </w:t>
      </w:r>
      <w:r w:rsidRPr="00E87B16">
        <w:rPr>
          <w:sz w:val="48"/>
          <w:szCs w:val="48"/>
        </w:rPr>
        <w:t>AR</w:t>
      </w:r>
      <w:r w:rsidR="00605F54">
        <w:rPr>
          <w:sz w:val="48"/>
          <w:szCs w:val="48"/>
        </w:rPr>
        <w:noBreakHyphen/>
      </w:r>
      <w:r w:rsidRPr="00E87B16">
        <w:rPr>
          <w:sz w:val="48"/>
          <w:szCs w:val="48"/>
        </w:rPr>
        <w:t>DRG</w:t>
      </w:r>
      <w:r w:rsidRPr="00E87B16">
        <w:rPr>
          <w:spacing w:val="-4"/>
          <w:sz w:val="48"/>
          <w:szCs w:val="48"/>
        </w:rPr>
        <w:t xml:space="preserve"> </w:t>
      </w:r>
      <w:r w:rsidRPr="00E87B16">
        <w:rPr>
          <w:sz w:val="48"/>
          <w:szCs w:val="48"/>
        </w:rPr>
        <w:t>Version</w:t>
      </w:r>
      <w:r w:rsidRPr="00E87B16">
        <w:rPr>
          <w:spacing w:val="-4"/>
          <w:sz w:val="48"/>
          <w:szCs w:val="48"/>
        </w:rPr>
        <w:t xml:space="preserve"> </w:t>
      </w:r>
      <w:r w:rsidR="00095D44">
        <w:rPr>
          <w:spacing w:val="-4"/>
          <w:sz w:val="48"/>
          <w:szCs w:val="48"/>
        </w:rPr>
        <w:t>9</w:t>
      </w:r>
      <w:r w:rsidRPr="00E87B16">
        <w:rPr>
          <w:sz w:val="48"/>
          <w:szCs w:val="48"/>
        </w:rPr>
        <w:t>.0</w:t>
      </w:r>
      <w:bookmarkEnd w:id="298"/>
    </w:p>
    <w:p w14:paraId="1B8717C3" w14:textId="415A27BB" w:rsidR="00B16337" w:rsidRPr="005629F8" w:rsidRDefault="00B16337" w:rsidP="00E87B16">
      <w:pPr>
        <w:pStyle w:val="TableFigureheading"/>
        <w:rPr>
          <w:sz w:val="28"/>
        </w:rPr>
      </w:pPr>
      <w:bookmarkStart w:id="299" w:name="_Toc129179308"/>
      <w:bookmarkStart w:id="300" w:name="_Toc152081882"/>
      <w:r w:rsidRPr="00B84E73">
        <w:t xml:space="preserve">Table </w:t>
      </w:r>
      <w:r w:rsidRPr="005629F8">
        <w:fldChar w:fldCharType="begin"/>
      </w:r>
      <w:r w:rsidRPr="005629F8">
        <w:instrText xml:space="preserve"> SEQ Table \* ARABIC </w:instrText>
      </w:r>
      <w:r w:rsidRPr="005629F8">
        <w:fldChar w:fldCharType="separate"/>
      </w:r>
      <w:r w:rsidR="00AE3C00">
        <w:rPr>
          <w:noProof/>
        </w:rPr>
        <w:t>14</w:t>
      </w:r>
      <w:r w:rsidRPr="005629F8">
        <w:fldChar w:fldCharType="end"/>
      </w:r>
      <w:r w:rsidRPr="005629F8">
        <w:t xml:space="preserve">. </w:t>
      </w:r>
      <w:r w:rsidR="00095D44">
        <w:t>2021</w:t>
      </w:r>
      <w:r w:rsidRPr="005629F8">
        <w:t>-2</w:t>
      </w:r>
      <w:r w:rsidR="00095D44">
        <w:t>2</w:t>
      </w:r>
      <w:r w:rsidRPr="005629F8">
        <w:t xml:space="preserve"> national consolidation cost weight tables - version </w:t>
      </w:r>
      <w:r w:rsidR="00095D44">
        <w:t>9</w:t>
      </w:r>
      <w:r w:rsidRPr="005629F8">
        <w:t>.0</w:t>
      </w:r>
      <w:bookmarkEnd w:id="299"/>
      <w:bookmarkEnd w:id="300"/>
    </w:p>
    <w:p w14:paraId="28A749A4" w14:textId="2F6BC9DA" w:rsidR="00B16337" w:rsidRPr="00337805" w:rsidRDefault="00B16337" w:rsidP="00B16337">
      <w:r w:rsidRPr="00337805">
        <w:t>Please refer to Excel file for details.</w:t>
      </w:r>
    </w:p>
    <w:p w14:paraId="34C0DC17" w14:textId="3EBC3F7F" w:rsidR="00B16337" w:rsidRPr="00337805" w:rsidRDefault="00AE3C00" w:rsidP="00B16337">
      <w:pPr>
        <w:rPr>
          <w:highlight w:val="yellow"/>
        </w:rPr>
      </w:pPr>
      <w:r>
        <w:rPr>
          <w:highlight w:val="yellow"/>
        </w:rPr>
        <w:t xml:space="preserve"> </w:t>
      </w:r>
    </w:p>
    <w:p w14:paraId="65C82B14" w14:textId="77777777" w:rsidR="00B16337" w:rsidRPr="00337805" w:rsidRDefault="00B16337" w:rsidP="00B16337">
      <w:pPr>
        <w:rPr>
          <w:highlight w:val="yellow"/>
        </w:rPr>
      </w:pPr>
    </w:p>
    <w:p w14:paraId="4B299E78" w14:textId="77777777" w:rsidR="00B16337" w:rsidRPr="00337805" w:rsidRDefault="00B16337" w:rsidP="00B16337">
      <w:pPr>
        <w:rPr>
          <w:highlight w:val="yellow"/>
        </w:rPr>
      </w:pPr>
    </w:p>
    <w:p w14:paraId="16B13345" w14:textId="77777777" w:rsidR="00B16337" w:rsidRPr="00337805" w:rsidRDefault="00B16337" w:rsidP="00B16337">
      <w:pPr>
        <w:rPr>
          <w:highlight w:val="yellow"/>
        </w:rPr>
      </w:pPr>
    </w:p>
    <w:p w14:paraId="27089118" w14:textId="77777777" w:rsidR="00B16337" w:rsidRPr="00337805" w:rsidRDefault="00B16337" w:rsidP="00B16337">
      <w:pPr>
        <w:rPr>
          <w:highlight w:val="yellow"/>
        </w:rPr>
      </w:pPr>
    </w:p>
    <w:p w14:paraId="0EB313F2" w14:textId="77777777" w:rsidR="00B16337" w:rsidRPr="00337805" w:rsidRDefault="00B16337" w:rsidP="00B16337">
      <w:pPr>
        <w:rPr>
          <w:highlight w:val="yellow"/>
        </w:rPr>
      </w:pPr>
    </w:p>
    <w:p w14:paraId="0710F6AC" w14:textId="77777777" w:rsidR="00B16337" w:rsidRPr="00337805" w:rsidRDefault="00B16337" w:rsidP="00B16337">
      <w:pPr>
        <w:rPr>
          <w:highlight w:val="yellow"/>
        </w:rPr>
      </w:pPr>
    </w:p>
    <w:p w14:paraId="30D3CA1A" w14:textId="77777777" w:rsidR="00B16337" w:rsidRPr="00337805" w:rsidRDefault="00B16337" w:rsidP="00B16337">
      <w:pPr>
        <w:rPr>
          <w:highlight w:val="yellow"/>
        </w:rPr>
      </w:pPr>
    </w:p>
    <w:p w14:paraId="47FD01F7" w14:textId="77777777" w:rsidR="00B16337" w:rsidRPr="00337805" w:rsidRDefault="00B16337" w:rsidP="00B16337">
      <w:r w:rsidRPr="00337805">
        <w:t>Intentionally left blank.</w:t>
      </w:r>
    </w:p>
    <w:p w14:paraId="3254D22E" w14:textId="29306221" w:rsidR="00B16337" w:rsidRDefault="00B16337">
      <w:pPr>
        <w:spacing w:line="259" w:lineRule="auto"/>
        <w:rPr>
          <w:highlight w:val="yellow"/>
        </w:rPr>
      </w:pPr>
    </w:p>
    <w:p w14:paraId="2FEEE5AA" w14:textId="77777777" w:rsidR="00333C9A" w:rsidRDefault="00333C9A">
      <w:pPr>
        <w:spacing w:line="259" w:lineRule="auto"/>
        <w:rPr>
          <w:rFonts w:eastAsiaTheme="majorEastAsia" w:cstheme="majorBidi"/>
          <w:b/>
          <w:bCs/>
          <w:sz w:val="48"/>
          <w:szCs w:val="48"/>
        </w:rPr>
      </w:pPr>
      <w:r>
        <w:rPr>
          <w:sz w:val="48"/>
          <w:szCs w:val="48"/>
        </w:rPr>
        <w:br w:type="page"/>
      </w:r>
    </w:p>
    <w:p w14:paraId="35B09512" w14:textId="4A15841A" w:rsidR="00333C9A" w:rsidRPr="00E87B16" w:rsidRDefault="00333C9A" w:rsidP="00333C9A">
      <w:pPr>
        <w:pStyle w:val="Heading1"/>
        <w:numPr>
          <w:ilvl w:val="0"/>
          <w:numId w:val="0"/>
        </w:numPr>
        <w:rPr>
          <w:color w:val="auto"/>
          <w:sz w:val="48"/>
          <w:szCs w:val="48"/>
        </w:rPr>
      </w:pPr>
      <w:bookmarkStart w:id="301" w:name="_Toc152080399"/>
      <w:r w:rsidRPr="00E87B16">
        <w:rPr>
          <w:sz w:val="48"/>
          <w:szCs w:val="48"/>
        </w:rPr>
        <w:lastRenderedPageBreak/>
        <w:t xml:space="preserve">Appendix </w:t>
      </w:r>
      <w:r>
        <w:rPr>
          <w:sz w:val="48"/>
          <w:szCs w:val="48"/>
        </w:rPr>
        <w:t>G</w:t>
      </w:r>
      <w:r w:rsidRPr="00E87B16">
        <w:rPr>
          <w:sz w:val="48"/>
          <w:szCs w:val="48"/>
        </w:rPr>
        <w:t>: Cost weight</w:t>
      </w:r>
      <w:r w:rsidRPr="00E87B16">
        <w:rPr>
          <w:spacing w:val="1"/>
          <w:sz w:val="48"/>
          <w:szCs w:val="48"/>
        </w:rPr>
        <w:t xml:space="preserve"> </w:t>
      </w:r>
      <w:r w:rsidRPr="00E87B16">
        <w:rPr>
          <w:sz w:val="48"/>
          <w:szCs w:val="48"/>
        </w:rPr>
        <w:t>tables</w:t>
      </w:r>
      <w:r w:rsidRPr="00E87B16">
        <w:rPr>
          <w:spacing w:val="-4"/>
          <w:sz w:val="48"/>
          <w:szCs w:val="48"/>
        </w:rPr>
        <w:t xml:space="preserve"> </w:t>
      </w:r>
      <w:r w:rsidRPr="00E87B16">
        <w:rPr>
          <w:sz w:val="48"/>
          <w:szCs w:val="48"/>
        </w:rPr>
        <w:t>by</w:t>
      </w:r>
      <w:r w:rsidRPr="00E87B16">
        <w:rPr>
          <w:spacing w:val="-4"/>
          <w:sz w:val="48"/>
          <w:szCs w:val="48"/>
        </w:rPr>
        <w:t xml:space="preserve"> </w:t>
      </w:r>
      <w:r w:rsidRPr="00E87B16">
        <w:rPr>
          <w:sz w:val="48"/>
          <w:szCs w:val="48"/>
        </w:rPr>
        <w:t>AR</w:t>
      </w:r>
      <w:r>
        <w:rPr>
          <w:sz w:val="48"/>
          <w:szCs w:val="48"/>
        </w:rPr>
        <w:noBreakHyphen/>
      </w:r>
      <w:r w:rsidRPr="00E87B16">
        <w:rPr>
          <w:sz w:val="48"/>
          <w:szCs w:val="48"/>
        </w:rPr>
        <w:t>DRG</w:t>
      </w:r>
      <w:r w:rsidRPr="00E87B16">
        <w:rPr>
          <w:spacing w:val="-4"/>
          <w:sz w:val="48"/>
          <w:szCs w:val="48"/>
        </w:rPr>
        <w:t xml:space="preserve"> </w:t>
      </w:r>
      <w:r w:rsidRPr="00E87B16">
        <w:rPr>
          <w:sz w:val="48"/>
          <w:szCs w:val="48"/>
        </w:rPr>
        <w:t>Version</w:t>
      </w:r>
      <w:r w:rsidRPr="00E87B16">
        <w:rPr>
          <w:spacing w:val="-4"/>
          <w:sz w:val="48"/>
          <w:szCs w:val="48"/>
        </w:rPr>
        <w:t xml:space="preserve"> </w:t>
      </w:r>
      <w:r>
        <w:rPr>
          <w:spacing w:val="-4"/>
          <w:sz w:val="48"/>
          <w:szCs w:val="48"/>
        </w:rPr>
        <w:t>8</w:t>
      </w:r>
      <w:r w:rsidRPr="00E87B16">
        <w:rPr>
          <w:sz w:val="48"/>
          <w:szCs w:val="48"/>
        </w:rPr>
        <w:t>.0</w:t>
      </w:r>
      <w:bookmarkEnd w:id="301"/>
    </w:p>
    <w:p w14:paraId="5253B552" w14:textId="06E67E81" w:rsidR="00333C9A" w:rsidRPr="005629F8" w:rsidRDefault="00333C9A" w:rsidP="00333C9A">
      <w:pPr>
        <w:pStyle w:val="TableFigureheading"/>
        <w:rPr>
          <w:sz w:val="28"/>
        </w:rPr>
      </w:pPr>
      <w:bookmarkStart w:id="302" w:name="_Toc152081883"/>
      <w:r w:rsidRPr="00B84E73">
        <w:t xml:space="preserve">Table </w:t>
      </w:r>
      <w:r w:rsidRPr="005629F8">
        <w:fldChar w:fldCharType="begin"/>
      </w:r>
      <w:r w:rsidRPr="005629F8">
        <w:instrText xml:space="preserve"> SEQ Table \* ARABIC </w:instrText>
      </w:r>
      <w:r w:rsidRPr="005629F8">
        <w:fldChar w:fldCharType="separate"/>
      </w:r>
      <w:r w:rsidR="00DD37AC">
        <w:rPr>
          <w:noProof/>
        </w:rPr>
        <w:t>15</w:t>
      </w:r>
      <w:r w:rsidRPr="005629F8">
        <w:fldChar w:fldCharType="end"/>
      </w:r>
      <w:r w:rsidRPr="005629F8">
        <w:t xml:space="preserve">. </w:t>
      </w:r>
      <w:r>
        <w:t>2021</w:t>
      </w:r>
      <w:r w:rsidRPr="005629F8">
        <w:t>-2</w:t>
      </w:r>
      <w:r>
        <w:t>2</w:t>
      </w:r>
      <w:r w:rsidRPr="005629F8">
        <w:t xml:space="preserve"> national consolidation cost weight tables - version </w:t>
      </w:r>
      <w:r>
        <w:t>8</w:t>
      </w:r>
      <w:r w:rsidRPr="005629F8">
        <w:t>.0</w:t>
      </w:r>
      <w:bookmarkEnd w:id="302"/>
    </w:p>
    <w:p w14:paraId="705FE633" w14:textId="77777777" w:rsidR="00333C9A" w:rsidRPr="00337805" w:rsidRDefault="00333C9A" w:rsidP="00333C9A">
      <w:r w:rsidRPr="00337805">
        <w:t>Please refer to Excel file for details.</w:t>
      </w:r>
    </w:p>
    <w:p w14:paraId="2A0F2372" w14:textId="77777777" w:rsidR="00333C9A" w:rsidRPr="00337805" w:rsidRDefault="00333C9A" w:rsidP="00333C9A">
      <w:pPr>
        <w:rPr>
          <w:highlight w:val="yellow"/>
        </w:rPr>
      </w:pPr>
      <w:r>
        <w:rPr>
          <w:highlight w:val="yellow"/>
        </w:rPr>
        <w:t xml:space="preserve"> </w:t>
      </w:r>
    </w:p>
    <w:p w14:paraId="21CF9C11" w14:textId="77777777" w:rsidR="00333C9A" w:rsidRPr="00337805" w:rsidRDefault="00333C9A" w:rsidP="00333C9A">
      <w:pPr>
        <w:rPr>
          <w:highlight w:val="yellow"/>
        </w:rPr>
      </w:pPr>
    </w:p>
    <w:p w14:paraId="34A2EEE0" w14:textId="77777777" w:rsidR="00333C9A" w:rsidRPr="00337805" w:rsidRDefault="00333C9A" w:rsidP="00333C9A">
      <w:pPr>
        <w:rPr>
          <w:highlight w:val="yellow"/>
        </w:rPr>
      </w:pPr>
    </w:p>
    <w:p w14:paraId="69B2D1C7" w14:textId="77777777" w:rsidR="00333C9A" w:rsidRPr="00337805" w:rsidRDefault="00333C9A" w:rsidP="00333C9A">
      <w:pPr>
        <w:rPr>
          <w:highlight w:val="yellow"/>
        </w:rPr>
      </w:pPr>
    </w:p>
    <w:p w14:paraId="0C26A74C" w14:textId="77777777" w:rsidR="00333C9A" w:rsidRPr="00337805" w:rsidRDefault="00333C9A" w:rsidP="00333C9A">
      <w:pPr>
        <w:rPr>
          <w:highlight w:val="yellow"/>
        </w:rPr>
      </w:pPr>
    </w:p>
    <w:p w14:paraId="41ECC695" w14:textId="77777777" w:rsidR="00333C9A" w:rsidRPr="00337805" w:rsidRDefault="00333C9A" w:rsidP="00333C9A">
      <w:pPr>
        <w:rPr>
          <w:highlight w:val="yellow"/>
        </w:rPr>
      </w:pPr>
    </w:p>
    <w:p w14:paraId="338B0FE8" w14:textId="77777777" w:rsidR="00333C9A" w:rsidRPr="00337805" w:rsidRDefault="00333C9A" w:rsidP="00333C9A">
      <w:pPr>
        <w:rPr>
          <w:highlight w:val="yellow"/>
        </w:rPr>
      </w:pPr>
    </w:p>
    <w:p w14:paraId="78EDFF95" w14:textId="77777777" w:rsidR="00333C9A" w:rsidRPr="00337805" w:rsidRDefault="00333C9A" w:rsidP="00333C9A">
      <w:pPr>
        <w:rPr>
          <w:highlight w:val="yellow"/>
        </w:rPr>
      </w:pPr>
    </w:p>
    <w:p w14:paraId="5D730232" w14:textId="77777777" w:rsidR="00333C9A" w:rsidRPr="00337805" w:rsidRDefault="00333C9A" w:rsidP="00333C9A">
      <w:r w:rsidRPr="00337805">
        <w:t>Intentionally left blank.</w:t>
      </w:r>
    </w:p>
    <w:p w14:paraId="202816CD" w14:textId="77777777" w:rsidR="00333C9A" w:rsidRDefault="00333C9A" w:rsidP="00333C9A">
      <w:pPr>
        <w:spacing w:line="259" w:lineRule="auto"/>
        <w:rPr>
          <w:highlight w:val="yellow"/>
        </w:rPr>
      </w:pPr>
    </w:p>
    <w:p w14:paraId="0F89E113" w14:textId="77777777" w:rsidR="00605F54" w:rsidRDefault="00605F54">
      <w:pPr>
        <w:spacing w:line="259" w:lineRule="auto"/>
        <w:rPr>
          <w:highlight w:val="yellow"/>
        </w:rPr>
        <w:sectPr w:rsidR="00605F54" w:rsidSect="00C5084D">
          <w:pgSz w:w="11906" w:h="16838" w:code="9"/>
          <w:pgMar w:top="567" w:right="1077" w:bottom="567" w:left="1077" w:header="708" w:footer="708" w:gutter="0"/>
          <w:cols w:space="720"/>
          <w:docGrid w:linePitch="360"/>
        </w:sectPr>
      </w:pPr>
    </w:p>
    <w:p w14:paraId="58DF4099" w14:textId="437F8E7B" w:rsidR="00D3454D" w:rsidRDefault="00D3454D">
      <w:pPr>
        <w:spacing w:line="259" w:lineRule="auto"/>
        <w:rPr>
          <w:highlight w:val="yellow"/>
        </w:rPr>
      </w:pPr>
    </w:p>
    <w:p w14:paraId="3A3842C9" w14:textId="04636FB2" w:rsidR="00490E5B" w:rsidRPr="00E87B16" w:rsidRDefault="00490E5B" w:rsidP="00E87B16">
      <w:pPr>
        <w:pStyle w:val="Heading1"/>
        <w:numPr>
          <w:ilvl w:val="0"/>
          <w:numId w:val="0"/>
        </w:numPr>
        <w:rPr>
          <w:sz w:val="48"/>
          <w:szCs w:val="48"/>
        </w:rPr>
      </w:pPr>
      <w:bookmarkStart w:id="303" w:name="_Toc129700064"/>
      <w:bookmarkStart w:id="304" w:name="_Toc129700494"/>
      <w:bookmarkStart w:id="305" w:name="_Toc129700720"/>
      <w:bookmarkStart w:id="306" w:name="_Toc129701335"/>
      <w:bookmarkStart w:id="307" w:name="_Toc129700065"/>
      <w:bookmarkStart w:id="308" w:name="_Toc129700495"/>
      <w:bookmarkStart w:id="309" w:name="_Toc129700721"/>
      <w:bookmarkStart w:id="310" w:name="_Toc129701336"/>
      <w:bookmarkStart w:id="311" w:name="_Toc129700066"/>
      <w:bookmarkStart w:id="312" w:name="_Toc129700496"/>
      <w:bookmarkStart w:id="313" w:name="_Toc129700722"/>
      <w:bookmarkStart w:id="314" w:name="_Toc129701337"/>
      <w:bookmarkStart w:id="315" w:name="_Toc129700067"/>
      <w:bookmarkStart w:id="316" w:name="_Toc129700497"/>
      <w:bookmarkStart w:id="317" w:name="_Toc129700723"/>
      <w:bookmarkStart w:id="318" w:name="_Toc129701338"/>
      <w:bookmarkStart w:id="319" w:name="_Toc129700068"/>
      <w:bookmarkStart w:id="320" w:name="_Toc129700498"/>
      <w:bookmarkStart w:id="321" w:name="_Toc129700724"/>
      <w:bookmarkStart w:id="322" w:name="_Toc129701339"/>
      <w:bookmarkStart w:id="323" w:name="_Toc129700069"/>
      <w:bookmarkStart w:id="324" w:name="_Toc129700499"/>
      <w:bookmarkStart w:id="325" w:name="_Toc129700725"/>
      <w:bookmarkStart w:id="326" w:name="_Toc129701340"/>
      <w:bookmarkStart w:id="327" w:name="_Toc129700070"/>
      <w:bookmarkStart w:id="328" w:name="_Toc129700500"/>
      <w:bookmarkStart w:id="329" w:name="_Toc129700726"/>
      <w:bookmarkStart w:id="330" w:name="_Toc129701341"/>
      <w:bookmarkStart w:id="331" w:name="_Toc129700071"/>
      <w:bookmarkStart w:id="332" w:name="_Toc129700501"/>
      <w:bookmarkStart w:id="333" w:name="_Toc129700727"/>
      <w:bookmarkStart w:id="334" w:name="_Toc129701342"/>
      <w:bookmarkStart w:id="335" w:name="_Toc129700072"/>
      <w:bookmarkStart w:id="336" w:name="_Toc129700502"/>
      <w:bookmarkStart w:id="337" w:name="_Toc129700728"/>
      <w:bookmarkStart w:id="338" w:name="_Toc129701343"/>
      <w:bookmarkStart w:id="339" w:name="_Ref103176152"/>
      <w:bookmarkStart w:id="340" w:name="_Toc106888115"/>
      <w:bookmarkStart w:id="341" w:name="_Toc152080400"/>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E87B16">
        <w:rPr>
          <w:sz w:val="48"/>
          <w:szCs w:val="48"/>
        </w:rPr>
        <w:t>Appendix</w:t>
      </w:r>
      <w:r w:rsidRPr="00E87B16">
        <w:rPr>
          <w:spacing w:val="-1"/>
          <w:sz w:val="48"/>
          <w:szCs w:val="48"/>
        </w:rPr>
        <w:t xml:space="preserve"> </w:t>
      </w:r>
      <w:r w:rsidR="00333C9A">
        <w:rPr>
          <w:sz w:val="48"/>
          <w:szCs w:val="48"/>
        </w:rPr>
        <w:t>H</w:t>
      </w:r>
      <w:r w:rsidRPr="00E87B16">
        <w:rPr>
          <w:sz w:val="48"/>
          <w:szCs w:val="48"/>
        </w:rPr>
        <w:t>: Cost bucket matrix</w:t>
      </w:r>
      <w:bookmarkEnd w:id="339"/>
      <w:bookmarkEnd w:id="340"/>
      <w:bookmarkEnd w:id="341"/>
    </w:p>
    <w:p w14:paraId="69E32B56" w14:textId="6FF8298C" w:rsidR="00D02724" w:rsidRDefault="006C68DC" w:rsidP="006C68DC">
      <w:pPr>
        <w:pStyle w:val="TableFigureheading"/>
      </w:pPr>
      <w:bookmarkStart w:id="342" w:name="_Toc152081858"/>
      <w:r>
        <w:t xml:space="preserve">Figure </w:t>
      </w:r>
      <w:r w:rsidRPr="006C68DC">
        <w:rPr>
          <w:rStyle w:val="TableFigureheadingChar"/>
        </w:rPr>
        <w:fldChar w:fldCharType="begin"/>
      </w:r>
      <w:r w:rsidRPr="006C68DC">
        <w:rPr>
          <w:rStyle w:val="TableFigureheadingChar"/>
        </w:rPr>
        <w:instrText xml:space="preserve"> SEQ Figure \* ARABIC </w:instrText>
      </w:r>
      <w:r w:rsidRPr="006C68DC">
        <w:rPr>
          <w:rStyle w:val="TableFigureheadingChar"/>
        </w:rPr>
        <w:fldChar w:fldCharType="separate"/>
      </w:r>
      <w:r w:rsidRPr="006C68DC">
        <w:rPr>
          <w:rStyle w:val="TableFigureheadingChar"/>
        </w:rPr>
        <w:t>15</w:t>
      </w:r>
      <w:r w:rsidRPr="006C68DC">
        <w:rPr>
          <w:rStyle w:val="TableFigureheadingChar"/>
        </w:rPr>
        <w:fldChar w:fldCharType="end"/>
      </w:r>
      <w:r w:rsidR="00D02724">
        <w:t>. Cost bucket matrix</w:t>
      </w:r>
      <w:bookmarkEnd w:id="342"/>
    </w:p>
    <w:p w14:paraId="207CA7F1" w14:textId="07EA2279" w:rsidR="00490E5B" w:rsidRPr="005629F8" w:rsidRDefault="009E6836">
      <w:pPr>
        <w:spacing w:line="259" w:lineRule="auto"/>
        <w:rPr>
          <w:highlight w:val="yellow"/>
        </w:rPr>
      </w:pPr>
      <w:r w:rsidRPr="009E6836">
        <w:rPr>
          <w:noProof/>
          <w:lang w:val="en-US"/>
        </w:rPr>
        <w:drawing>
          <wp:inline distT="0" distB="0" distL="0" distR="0" wp14:anchorId="03072532" wp14:editId="779010A5">
            <wp:extent cx="9970422" cy="2420470"/>
            <wp:effectExtent l="0" t="0" r="0" b="0"/>
            <wp:docPr id="28" name="Picture 28" descr="Cost bucke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ost bucket matri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49075" cy="2463841"/>
                    </a:xfrm>
                    <a:prstGeom prst="rect">
                      <a:avLst/>
                    </a:prstGeom>
                    <a:noFill/>
                    <a:ln>
                      <a:noFill/>
                    </a:ln>
                  </pic:spPr>
                </pic:pic>
              </a:graphicData>
            </a:graphic>
          </wp:inline>
        </w:drawing>
      </w:r>
    </w:p>
    <w:p w14:paraId="5CC90C69" w14:textId="77777777" w:rsidR="00490E5B" w:rsidRPr="005629F8" w:rsidRDefault="00490E5B" w:rsidP="00490E5B">
      <w:pPr>
        <w:rPr>
          <w:highlight w:val="yellow"/>
        </w:rPr>
      </w:pPr>
    </w:p>
    <w:p w14:paraId="501CA31C" w14:textId="2C6265D8" w:rsidR="00FA0E2B" w:rsidRPr="005629F8" w:rsidRDefault="00FA0E2B">
      <w:pPr>
        <w:spacing w:line="259" w:lineRule="auto"/>
        <w:rPr>
          <w:rFonts w:eastAsiaTheme="majorEastAsia" w:cstheme="majorBidi"/>
          <w:color w:val="008F55" w:themeColor="accent4"/>
          <w:sz w:val="26"/>
          <w:szCs w:val="24"/>
          <w:highlight w:val="yellow"/>
        </w:rPr>
      </w:pPr>
    </w:p>
    <w:p w14:paraId="4147ADA1" w14:textId="77777777" w:rsidR="006058CF" w:rsidRPr="005629F8" w:rsidRDefault="006058CF" w:rsidP="001035A0">
      <w:pPr>
        <w:rPr>
          <w:highlight w:val="yellow"/>
        </w:rPr>
        <w:sectPr w:rsidR="006058CF" w:rsidRPr="005629F8" w:rsidSect="00C5084D">
          <w:footerReference w:type="default" r:id="rId41"/>
          <w:pgSz w:w="16838" w:h="11906" w:orient="landscape" w:code="9"/>
          <w:pgMar w:top="1077" w:right="567" w:bottom="1077" w:left="567" w:header="709" w:footer="709" w:gutter="0"/>
          <w:cols w:space="720"/>
          <w:docGrid w:linePitch="360"/>
        </w:sectPr>
      </w:pPr>
    </w:p>
    <w:p w14:paraId="70D1B456" w14:textId="77777777" w:rsidR="00502A09" w:rsidRPr="005629F8" w:rsidRDefault="00502A09" w:rsidP="00502A09">
      <w:pPr>
        <w:spacing w:after="360"/>
        <w:rPr>
          <w:color w:val="FFFFFF" w:themeColor="background2"/>
        </w:rPr>
      </w:pPr>
      <w:r w:rsidRPr="005629F8">
        <w:rPr>
          <w:noProof/>
          <w:color w:val="FFFFFF" w:themeColor="background2"/>
          <w:lang w:val="en-US"/>
        </w:rPr>
        <w:lastRenderedPageBreak/>
        <w:drawing>
          <wp:inline distT="0" distB="0" distL="0" distR="0" wp14:anchorId="1B889885" wp14:editId="7D0E809C">
            <wp:extent cx="1764880" cy="396484"/>
            <wp:effectExtent l="0" t="0" r="6985"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1764880" cy="396484"/>
                    </a:xfrm>
                    <a:prstGeom prst="rect">
                      <a:avLst/>
                    </a:prstGeom>
                  </pic:spPr>
                </pic:pic>
              </a:graphicData>
            </a:graphic>
          </wp:inline>
        </w:drawing>
      </w:r>
    </w:p>
    <w:p w14:paraId="38002CD9" w14:textId="77777777" w:rsidR="00502A09" w:rsidRPr="005629F8" w:rsidRDefault="00502A09" w:rsidP="00502A09">
      <w:pPr>
        <w:spacing w:after="360"/>
      </w:pPr>
      <w:r w:rsidRPr="005629F8">
        <w:t>Independent Health and Aged Care Pricing Authority</w:t>
      </w:r>
    </w:p>
    <w:p w14:paraId="79C53FFE" w14:textId="7ACD2C45" w:rsidR="00502A09" w:rsidRPr="005629F8" w:rsidRDefault="00502A09" w:rsidP="00502A09">
      <w:pPr>
        <w:spacing w:after="360"/>
        <w:rPr>
          <w:color w:val="104F99" w:themeColor="accent2"/>
        </w:rPr>
      </w:pPr>
      <w:r w:rsidRPr="005629F8">
        <w:rPr>
          <w:color w:val="104F99" w:themeColor="accent2"/>
        </w:rPr>
        <w:t xml:space="preserve">Level </w:t>
      </w:r>
      <w:r w:rsidR="00B64398" w:rsidRPr="005629F8">
        <w:rPr>
          <w:color w:val="104F99" w:themeColor="accent2"/>
        </w:rPr>
        <w:t>12</w:t>
      </w:r>
      <w:r w:rsidRPr="005629F8">
        <w:rPr>
          <w:color w:val="104F99" w:themeColor="accent2"/>
        </w:rPr>
        <w:t>, 1 Oxford Street</w:t>
      </w:r>
      <w:r w:rsidRPr="005629F8">
        <w:rPr>
          <w:color w:val="104F99" w:themeColor="accent2"/>
        </w:rPr>
        <w:br/>
        <w:t>Sydney NSW 2000</w:t>
      </w:r>
    </w:p>
    <w:p w14:paraId="1F34F833" w14:textId="37920DF9" w:rsidR="00502A09" w:rsidRPr="005629F8" w:rsidRDefault="00502A09" w:rsidP="00502A09">
      <w:pPr>
        <w:spacing w:after="360"/>
      </w:pPr>
      <w:r w:rsidRPr="005629F8">
        <w:t xml:space="preserve">Phone </w:t>
      </w:r>
      <w:r w:rsidRPr="005629F8">
        <w:rPr>
          <w:color w:val="104F99" w:themeColor="accent2"/>
        </w:rPr>
        <w:t>02 8215 1100</w:t>
      </w:r>
      <w:r w:rsidRPr="005629F8">
        <w:br/>
        <w:t xml:space="preserve">Email </w:t>
      </w:r>
      <w:hyperlink r:id="rId44" w:history="1">
        <w:r w:rsidRPr="005629F8">
          <w:rPr>
            <w:rStyle w:val="Hyperlink"/>
            <w:color w:val="104F99" w:themeColor="accent2"/>
            <w:u w:val="none"/>
          </w:rPr>
          <w:t>enquiries@ih</w:t>
        </w:r>
        <w:r w:rsidR="00B64398" w:rsidRPr="005629F8">
          <w:rPr>
            <w:rStyle w:val="Hyperlink"/>
            <w:color w:val="104F99" w:themeColor="accent2"/>
            <w:u w:val="none"/>
          </w:rPr>
          <w:t>ac</w:t>
        </w:r>
        <w:r w:rsidRPr="005629F8">
          <w:rPr>
            <w:rStyle w:val="Hyperlink"/>
            <w:color w:val="104F99" w:themeColor="accent2"/>
            <w:u w:val="none"/>
          </w:rPr>
          <w:t>pa.gov.au</w:t>
        </w:r>
      </w:hyperlink>
      <w:r w:rsidRPr="005629F8">
        <w:br/>
        <w:t xml:space="preserve">Twitter </w:t>
      </w:r>
      <w:r w:rsidRPr="005629F8">
        <w:rPr>
          <w:color w:val="104F99" w:themeColor="accent2"/>
        </w:rPr>
        <w:t>@IH</w:t>
      </w:r>
      <w:r w:rsidR="00B64398" w:rsidRPr="005629F8">
        <w:rPr>
          <w:color w:val="104F99" w:themeColor="accent2"/>
        </w:rPr>
        <w:t>AC</w:t>
      </w:r>
      <w:r w:rsidRPr="005629F8">
        <w:rPr>
          <w:color w:val="104F99" w:themeColor="accent2"/>
        </w:rPr>
        <w:t>PAnews</w:t>
      </w:r>
    </w:p>
    <w:p w14:paraId="4E2278FE" w14:textId="13C7AF55" w:rsidR="00502A09" w:rsidRPr="005629F8" w:rsidRDefault="00502A09" w:rsidP="00502A09">
      <w:pPr>
        <w:spacing w:after="360"/>
        <w:rPr>
          <w:color w:val="104F99" w:themeColor="accent2"/>
        </w:rPr>
      </w:pPr>
      <w:r w:rsidRPr="005629F8">
        <w:rPr>
          <w:color w:val="104F99" w:themeColor="accent2"/>
        </w:rPr>
        <w:t>www.ih</w:t>
      </w:r>
      <w:r w:rsidR="00B64398" w:rsidRPr="005629F8">
        <w:rPr>
          <w:color w:val="104F99" w:themeColor="accent2"/>
        </w:rPr>
        <w:t>ac</w:t>
      </w:r>
      <w:r w:rsidRPr="005629F8">
        <w:rPr>
          <w:color w:val="104F99" w:themeColor="accent2"/>
        </w:rPr>
        <w:t>pa.gov.au</w:t>
      </w:r>
    </w:p>
    <w:p w14:paraId="55FBC7ED" w14:textId="7CA0ED77" w:rsidR="00605F54" w:rsidRDefault="00605F54" w:rsidP="00F95700">
      <w:pPr>
        <w:spacing w:after="360"/>
        <w:rPr>
          <w:color w:val="104F99" w:themeColor="accent2"/>
        </w:rPr>
      </w:pPr>
    </w:p>
    <w:p w14:paraId="2335854C" w14:textId="77777777" w:rsidR="00605F54" w:rsidRPr="00E87B16" w:rsidRDefault="00605F54" w:rsidP="00E87B16"/>
    <w:p w14:paraId="6CB28028" w14:textId="77777777" w:rsidR="00605F54" w:rsidRPr="00E87B16" w:rsidRDefault="00605F54" w:rsidP="00E87B16"/>
    <w:p w14:paraId="62784EE8" w14:textId="77777777" w:rsidR="00605F54" w:rsidRPr="00E87B16" w:rsidRDefault="00605F54" w:rsidP="00E87B16"/>
    <w:p w14:paraId="61F9AE21" w14:textId="77777777" w:rsidR="00605F54" w:rsidRPr="00E87B16" w:rsidRDefault="00605F54" w:rsidP="00E87B16"/>
    <w:p w14:paraId="2B4D3C48" w14:textId="77777777" w:rsidR="00605F54" w:rsidRPr="00E87B16" w:rsidRDefault="00605F54" w:rsidP="00E87B16"/>
    <w:p w14:paraId="3B4D9971" w14:textId="77777777" w:rsidR="00605F54" w:rsidRPr="00E87B16" w:rsidRDefault="00605F54" w:rsidP="00E87B16"/>
    <w:p w14:paraId="61ACA456" w14:textId="77777777" w:rsidR="00605F54" w:rsidRPr="00E87B16" w:rsidRDefault="00605F54" w:rsidP="00E87B16"/>
    <w:p w14:paraId="473802E1" w14:textId="77777777" w:rsidR="00605F54" w:rsidRPr="00E87B16" w:rsidRDefault="00605F54" w:rsidP="00E87B16"/>
    <w:p w14:paraId="25EAAB3E" w14:textId="77777777" w:rsidR="00605F54" w:rsidRPr="00E87B16" w:rsidRDefault="00605F54" w:rsidP="00E87B16"/>
    <w:p w14:paraId="53D2516A" w14:textId="77777777" w:rsidR="00605F54" w:rsidRPr="00E87B16" w:rsidRDefault="00605F54" w:rsidP="00E87B16"/>
    <w:p w14:paraId="4185BD48" w14:textId="77777777" w:rsidR="00605F54" w:rsidRPr="00E87B16" w:rsidRDefault="00605F54" w:rsidP="00E87B16"/>
    <w:p w14:paraId="28882D29" w14:textId="77777777" w:rsidR="00605F54" w:rsidRPr="00E87B16" w:rsidRDefault="00605F54" w:rsidP="00E87B16"/>
    <w:p w14:paraId="308608E1" w14:textId="77777777" w:rsidR="00605F54" w:rsidRPr="00E87B16" w:rsidRDefault="00605F54" w:rsidP="00E87B16"/>
    <w:p w14:paraId="65204954" w14:textId="77777777" w:rsidR="00605F54" w:rsidRPr="00E87B16" w:rsidRDefault="00605F54" w:rsidP="00E87B16"/>
    <w:p w14:paraId="7286188E" w14:textId="77777777" w:rsidR="00605F54" w:rsidRPr="00E87B16" w:rsidRDefault="00605F54" w:rsidP="00E87B16"/>
    <w:p w14:paraId="612F4E6F" w14:textId="77777777" w:rsidR="00605F54" w:rsidRPr="00E87B16" w:rsidRDefault="00605F54" w:rsidP="00E87B16"/>
    <w:p w14:paraId="453B60C7" w14:textId="77777777" w:rsidR="00605F54" w:rsidRPr="00E87B16" w:rsidRDefault="00605F54" w:rsidP="00E87B16"/>
    <w:p w14:paraId="2253721C" w14:textId="77777777" w:rsidR="00605F54" w:rsidRPr="00E87B16" w:rsidRDefault="00605F54" w:rsidP="00E87B16"/>
    <w:p w14:paraId="1184C77E" w14:textId="77777777" w:rsidR="00605F54" w:rsidRPr="00E87B16" w:rsidRDefault="00605F54" w:rsidP="00E87B16"/>
    <w:p w14:paraId="7C3D5B63" w14:textId="289A8EB2" w:rsidR="00EB10DB" w:rsidRPr="00EB10DB" w:rsidRDefault="00EB10DB" w:rsidP="00EB10DB">
      <w:pPr>
        <w:tabs>
          <w:tab w:val="left" w:pos="2758"/>
        </w:tabs>
      </w:pPr>
    </w:p>
    <w:sectPr w:rsidR="00EB10DB" w:rsidRPr="00EB10DB" w:rsidSect="00C5084D">
      <w:headerReference w:type="default" r:id="rId45"/>
      <w:footerReference w:type="default" r:id="rId46"/>
      <w:pgSz w:w="11906" w:h="16838" w:code="9"/>
      <w:pgMar w:top="567" w:right="1077" w:bottom="56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CE81F" w14:textId="77777777" w:rsidR="00C842B0" w:rsidRDefault="00C842B0" w:rsidP="00DC0458">
      <w:pPr>
        <w:spacing w:after="0" w:line="240" w:lineRule="auto"/>
      </w:pPr>
      <w:r>
        <w:separator/>
      </w:r>
    </w:p>
  </w:endnote>
  <w:endnote w:type="continuationSeparator" w:id="0">
    <w:p w14:paraId="37E97521" w14:textId="77777777" w:rsidR="00C842B0" w:rsidRDefault="00C842B0" w:rsidP="00DC0458">
      <w:pPr>
        <w:spacing w:after="0" w:line="240" w:lineRule="auto"/>
      </w:pPr>
      <w:r>
        <w:continuationSeparator/>
      </w:r>
    </w:p>
  </w:endnote>
  <w:endnote w:type="continuationNotice" w:id="1">
    <w:p w14:paraId="2031412D" w14:textId="77777777" w:rsidR="00C842B0" w:rsidRDefault="00C842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regular">
    <w:altName w:val="Times New Roman"/>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Josefin Sans Bold">
    <w:altName w:val="Times New Roman"/>
    <w:charset w:val="00"/>
    <w:family w:val="auto"/>
    <w:pitch w:val="variable"/>
    <w:sig w:usb0="A00000FF" w:usb1="4000204B" w:usb2="00000000" w:usb3="00000000" w:csb0="00000193" w:csb1="00000000"/>
    <w:embedRegular r:id="rId1" w:fontKey="{BE8E7F02-6F07-4C45-83E3-17D879502942}"/>
    <w:embedBold r:id="rId2" w:fontKey="{03BEB13C-2BEF-4C02-8699-15CC81BCC3DC}"/>
  </w:font>
  <w:font w:name="Segoe UI">
    <w:panose1 w:val="020B0502040204020203"/>
    <w:charset w:val="00"/>
    <w:family w:val="swiss"/>
    <w:pitch w:val="variable"/>
    <w:sig w:usb0="E4002EFF" w:usb1="C000E47F" w:usb2="00000009" w:usb3="00000000" w:csb0="000001FF" w:csb1="00000000"/>
    <w:embedRegular r:id="rId3" w:fontKey="{286832E8-C1CD-4A14-81FB-104B9CA05153}"/>
  </w:font>
  <w:font w:name="Fira Sans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C65CAD68-0D83-4C22-A5C7-28AF0D5280E9}"/>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846B" w14:textId="06EE6057" w:rsidR="00D3454D" w:rsidRDefault="00D3454D">
    <w:pPr>
      <w:pStyle w:val="Footer"/>
    </w:pPr>
    <w:r>
      <w:rPr>
        <w:noProof/>
        <w:lang w:val="en-US"/>
      </w:rPr>
      <w:drawing>
        <wp:anchor distT="0" distB="0" distL="114300" distR="114300" simplePos="0" relativeHeight="251658240" behindDoc="0" locked="0" layoutInCell="1" allowOverlap="1" wp14:anchorId="2A1ED3F1" wp14:editId="7C235A3E">
          <wp:simplePos x="0" y="0"/>
          <wp:positionH relativeFrom="column">
            <wp:posOffset>5192123</wp:posOffset>
          </wp:positionH>
          <wp:positionV relativeFrom="paragraph">
            <wp:posOffset>-464185</wp:posOffset>
          </wp:positionV>
          <wp:extent cx="1166300" cy="730445"/>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166300" cy="730445"/>
                  </a:xfrm>
                  <a:prstGeom prst="rect">
                    <a:avLst/>
                  </a:prstGeom>
                </pic:spPr>
              </pic:pic>
            </a:graphicData>
          </a:graphic>
          <wp14:sizeRelH relativeFrom="margin">
            <wp14:pctWidth>0</wp14:pctWidth>
          </wp14:sizeRelH>
          <wp14:sizeRelV relativeFrom="margin">
            <wp14:pctHeight>0</wp14:pctHeight>
          </wp14:sizeRelV>
        </wp:anchor>
      </w:drawing>
    </w:r>
    <w:r w:rsidR="00000D2C">
      <w:t>March</w:t>
    </w:r>
    <w:r w:rsidR="00B56EFA">
      <w:t xml:space="preserve"> 2024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FB65B" w14:textId="2E4103AF" w:rsidR="00D3454D" w:rsidRPr="00FE60CD" w:rsidRDefault="005F3DC5" w:rsidP="0048537E">
    <w:pPr>
      <w:pStyle w:val="Footer"/>
      <w:tabs>
        <w:tab w:val="clear" w:pos="4680"/>
        <w:tab w:val="clear" w:pos="9360"/>
        <w:tab w:val="right" w:pos="15309"/>
      </w:tabs>
      <w:rPr>
        <w:b/>
        <w:bCs/>
        <w:sz w:val="20"/>
        <w:szCs w:val="20"/>
      </w:rPr>
    </w:pPr>
    <w:r w:rsidRPr="001F3339">
      <w:rPr>
        <w:b/>
        <w:bCs/>
        <w:sz w:val="20"/>
        <w:szCs w:val="20"/>
      </w:rPr>
      <w:t>IHACPA</w:t>
    </w:r>
    <w:r w:rsidRPr="00FE60CD">
      <w:rPr>
        <w:b/>
        <w:bCs/>
        <w:sz w:val="20"/>
        <w:szCs w:val="20"/>
      </w:rPr>
      <w:t xml:space="preserve"> </w:t>
    </w:r>
    <w:r w:rsidRPr="005F3DC5">
      <w:rPr>
        <w:sz w:val="20"/>
        <w:szCs w:val="20"/>
      </w:rPr>
      <w:t>National Hospital Cost Data Collection Private Hospital Report 202</w:t>
    </w:r>
    <w:r w:rsidR="00CF4418">
      <w:rPr>
        <w:sz w:val="20"/>
        <w:szCs w:val="20"/>
      </w:rPr>
      <w:t>1</w:t>
    </w:r>
    <w:r w:rsidRPr="005F3DC5">
      <w:rPr>
        <w:sz w:val="20"/>
        <w:szCs w:val="20"/>
      </w:rPr>
      <w:t>-2</w:t>
    </w:r>
    <w:r w:rsidR="00CF4418">
      <w:rPr>
        <w:sz w:val="20"/>
        <w:szCs w:val="20"/>
      </w:rPr>
      <w:t>2</w:t>
    </w:r>
    <w:r w:rsidR="00D3454D" w:rsidRPr="00FE60CD">
      <w:rPr>
        <w:b/>
        <w:bCs/>
        <w:sz w:val="20"/>
        <w:szCs w:val="20"/>
      </w:rPr>
      <w:tab/>
    </w:r>
    <w:r w:rsidR="00D3454D" w:rsidRPr="00FE60CD">
      <w:rPr>
        <w:b/>
        <w:bCs/>
        <w:sz w:val="20"/>
        <w:szCs w:val="20"/>
      </w:rPr>
      <w:fldChar w:fldCharType="begin"/>
    </w:r>
    <w:r w:rsidR="00D3454D" w:rsidRPr="00FE60CD">
      <w:rPr>
        <w:b/>
        <w:bCs/>
        <w:sz w:val="20"/>
        <w:szCs w:val="20"/>
      </w:rPr>
      <w:instrText xml:space="preserve"> PAGE   \* MERGEFORMAT </w:instrText>
    </w:r>
    <w:r w:rsidR="00D3454D" w:rsidRPr="00FE60CD">
      <w:rPr>
        <w:b/>
        <w:bCs/>
        <w:sz w:val="20"/>
        <w:szCs w:val="20"/>
      </w:rPr>
      <w:fldChar w:fldCharType="separate"/>
    </w:r>
    <w:r w:rsidR="00771036">
      <w:rPr>
        <w:b/>
        <w:bCs/>
        <w:noProof/>
        <w:sz w:val="20"/>
        <w:szCs w:val="20"/>
      </w:rPr>
      <w:t>50</w:t>
    </w:r>
    <w:r w:rsidR="00D3454D" w:rsidRPr="00FE60CD">
      <w:rPr>
        <w:b/>
        <w:bCs/>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12E52" w14:textId="0D51F059" w:rsidR="00605F54" w:rsidRPr="00FE60CD" w:rsidRDefault="00605F54" w:rsidP="0048537E">
    <w:pPr>
      <w:pStyle w:val="Footer"/>
      <w:tabs>
        <w:tab w:val="clear" w:pos="4680"/>
        <w:tab w:val="clear" w:pos="9360"/>
        <w:tab w:val="right" w:pos="15309"/>
      </w:tabs>
      <w:rPr>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AB721" w14:textId="7F86C566" w:rsidR="00990DC9" w:rsidRDefault="00990DC9" w:rsidP="00E24D0E">
    <w:pPr>
      <w:pStyle w:val="Footer"/>
      <w:tabs>
        <w:tab w:val="clear" w:pos="4680"/>
        <w:tab w:val="clear" w:pos="9360"/>
        <w:tab w:val="center" w:pos="9498"/>
        <w:tab w:val="right" w:pos="9746"/>
      </w:tabs>
    </w:pPr>
    <w:r w:rsidRPr="001F3339">
      <w:rPr>
        <w:b/>
        <w:bCs/>
        <w:sz w:val="20"/>
        <w:szCs w:val="20"/>
      </w:rPr>
      <w:t>IHACPA</w:t>
    </w:r>
    <w:r w:rsidRPr="001F3339">
      <w:rPr>
        <w:sz w:val="20"/>
        <w:szCs w:val="20"/>
      </w:rPr>
      <w:t xml:space="preserve"> National Hospital Cost Data Collection Private Hospital Report</w:t>
    </w:r>
    <w:r w:rsidR="00F04BCD">
      <w:rPr>
        <w:sz w:val="20"/>
        <w:szCs w:val="20"/>
      </w:rPr>
      <w:t xml:space="preserve"> </w:t>
    </w:r>
    <w:r>
      <w:rPr>
        <w:sz w:val="20"/>
        <w:szCs w:val="20"/>
      </w:rPr>
      <w:t>202</w:t>
    </w:r>
    <w:r w:rsidR="00CF4418">
      <w:rPr>
        <w:sz w:val="20"/>
        <w:szCs w:val="20"/>
      </w:rPr>
      <w:t>1</w:t>
    </w:r>
    <w:r>
      <w:rPr>
        <w:sz w:val="20"/>
        <w:szCs w:val="20"/>
      </w:rPr>
      <w:t>-2</w:t>
    </w:r>
    <w:r w:rsidR="00CF4418">
      <w:rPr>
        <w:sz w:val="20"/>
        <w:szCs w:val="20"/>
      </w:rPr>
      <w:t>2</w:t>
    </w:r>
    <w:r>
      <w:tab/>
    </w:r>
    <w:r>
      <w:fldChar w:fldCharType="begin"/>
    </w:r>
    <w:r>
      <w:instrText xml:space="preserve"> PAGE   \* MERGEFORMAT </w:instrText>
    </w:r>
    <w:r>
      <w:fldChar w:fldCharType="separate"/>
    </w:r>
    <w:r w:rsidR="00771036">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D920" w14:textId="451E40C6" w:rsidR="00D3454D" w:rsidRPr="001F3339" w:rsidRDefault="00173142" w:rsidP="002810BD">
    <w:pPr>
      <w:pStyle w:val="Footer"/>
      <w:tabs>
        <w:tab w:val="clear" w:pos="4680"/>
        <w:tab w:val="clear" w:pos="9360"/>
        <w:tab w:val="center" w:pos="13892"/>
      </w:tabs>
      <w:rPr>
        <w:noProof/>
        <w:sz w:val="20"/>
        <w:szCs w:val="20"/>
      </w:rPr>
    </w:pPr>
    <w:r w:rsidRPr="001F3339">
      <w:rPr>
        <w:b/>
        <w:bCs/>
        <w:sz w:val="20"/>
        <w:szCs w:val="20"/>
      </w:rPr>
      <w:t>IHACPA</w:t>
    </w:r>
    <w:r w:rsidRPr="001F3339">
      <w:rPr>
        <w:sz w:val="20"/>
        <w:szCs w:val="20"/>
      </w:rPr>
      <w:t xml:space="preserve"> National Hospital Cost Data Collection Private Hospital Report</w:t>
    </w:r>
    <w:r w:rsidR="00F04BCD">
      <w:rPr>
        <w:sz w:val="20"/>
        <w:szCs w:val="20"/>
      </w:rPr>
      <w:t xml:space="preserve"> </w:t>
    </w:r>
    <w:r>
      <w:rPr>
        <w:sz w:val="20"/>
        <w:szCs w:val="20"/>
      </w:rPr>
      <w:t>202</w:t>
    </w:r>
    <w:r w:rsidR="00C60E49">
      <w:rPr>
        <w:sz w:val="20"/>
        <w:szCs w:val="20"/>
      </w:rPr>
      <w:t>1</w:t>
    </w:r>
    <w:r>
      <w:rPr>
        <w:sz w:val="20"/>
        <w:szCs w:val="20"/>
      </w:rPr>
      <w:t>-2</w:t>
    </w:r>
    <w:r w:rsidR="00C60E49">
      <w:rPr>
        <w:sz w:val="20"/>
        <w:szCs w:val="20"/>
      </w:rPr>
      <w:t>2</w:t>
    </w:r>
    <w:r w:rsidR="00D3454D" w:rsidRPr="001F3339">
      <w:rPr>
        <w:sz w:val="20"/>
        <w:szCs w:val="20"/>
      </w:rPr>
      <w:tab/>
    </w:r>
    <w:r w:rsidR="00D3454D" w:rsidRPr="001F3339">
      <w:rPr>
        <w:sz w:val="20"/>
        <w:szCs w:val="20"/>
      </w:rPr>
      <w:fldChar w:fldCharType="begin"/>
    </w:r>
    <w:r w:rsidR="00D3454D" w:rsidRPr="001F3339">
      <w:rPr>
        <w:sz w:val="20"/>
        <w:szCs w:val="20"/>
      </w:rPr>
      <w:instrText xml:space="preserve"> PAGE   \* MERGEFORMAT </w:instrText>
    </w:r>
    <w:r w:rsidR="00D3454D" w:rsidRPr="001F3339">
      <w:rPr>
        <w:sz w:val="20"/>
        <w:szCs w:val="20"/>
      </w:rPr>
      <w:fldChar w:fldCharType="separate"/>
    </w:r>
    <w:r w:rsidR="00771036">
      <w:rPr>
        <w:noProof/>
        <w:sz w:val="20"/>
        <w:szCs w:val="20"/>
      </w:rPr>
      <w:t>24</w:t>
    </w:r>
    <w:r w:rsidR="00D3454D" w:rsidRPr="001F3339">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F0EB" w14:textId="41B57C69" w:rsidR="00D3454D" w:rsidRPr="001F3339" w:rsidRDefault="00173142" w:rsidP="00550AEB">
    <w:pPr>
      <w:pStyle w:val="Footer"/>
      <w:tabs>
        <w:tab w:val="clear" w:pos="4680"/>
        <w:tab w:val="clear" w:pos="9360"/>
        <w:tab w:val="right" w:pos="15309"/>
      </w:tabs>
      <w:rPr>
        <w:noProof/>
        <w:sz w:val="20"/>
        <w:szCs w:val="20"/>
      </w:rPr>
    </w:pPr>
    <w:r w:rsidRPr="001F3339">
      <w:rPr>
        <w:b/>
        <w:bCs/>
        <w:sz w:val="20"/>
        <w:szCs w:val="20"/>
      </w:rPr>
      <w:t>IHACPA</w:t>
    </w:r>
    <w:r w:rsidRPr="001F3339">
      <w:rPr>
        <w:sz w:val="20"/>
        <w:szCs w:val="20"/>
      </w:rPr>
      <w:t xml:space="preserve"> National Hospital Cost Data Collection Private Hospital Report</w:t>
    </w:r>
    <w:r>
      <w:rPr>
        <w:sz w:val="20"/>
        <w:szCs w:val="20"/>
      </w:rPr>
      <w:t xml:space="preserve"> 202</w:t>
    </w:r>
    <w:r w:rsidR="00C60E49">
      <w:rPr>
        <w:sz w:val="20"/>
        <w:szCs w:val="20"/>
      </w:rPr>
      <w:t>1</w:t>
    </w:r>
    <w:r>
      <w:rPr>
        <w:sz w:val="20"/>
        <w:szCs w:val="20"/>
      </w:rPr>
      <w:t>-2</w:t>
    </w:r>
    <w:r w:rsidR="00C60E49">
      <w:rPr>
        <w:sz w:val="20"/>
        <w:szCs w:val="20"/>
      </w:rPr>
      <w:t>2</w:t>
    </w:r>
    <w:r w:rsidR="00D3454D" w:rsidRPr="001F3339">
      <w:rPr>
        <w:sz w:val="20"/>
        <w:szCs w:val="20"/>
      </w:rPr>
      <w:tab/>
    </w:r>
    <w:r w:rsidR="00D3454D" w:rsidRPr="001F3339">
      <w:rPr>
        <w:sz w:val="20"/>
        <w:szCs w:val="20"/>
      </w:rPr>
      <w:fldChar w:fldCharType="begin"/>
    </w:r>
    <w:r w:rsidR="00D3454D" w:rsidRPr="001F3339">
      <w:rPr>
        <w:sz w:val="20"/>
        <w:szCs w:val="20"/>
      </w:rPr>
      <w:instrText xml:space="preserve"> PAGE   \* MERGEFORMAT </w:instrText>
    </w:r>
    <w:r w:rsidR="00D3454D" w:rsidRPr="001F3339">
      <w:rPr>
        <w:sz w:val="20"/>
        <w:szCs w:val="20"/>
      </w:rPr>
      <w:fldChar w:fldCharType="separate"/>
    </w:r>
    <w:r w:rsidR="00771036">
      <w:rPr>
        <w:noProof/>
        <w:sz w:val="20"/>
        <w:szCs w:val="20"/>
      </w:rPr>
      <w:t>25</w:t>
    </w:r>
    <w:r w:rsidR="00D3454D" w:rsidRPr="001F3339">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A5A07" w14:textId="689001D2" w:rsidR="00D3454D" w:rsidRPr="001F3339" w:rsidRDefault="00173142" w:rsidP="00550AEB">
    <w:pPr>
      <w:pStyle w:val="Footer"/>
      <w:tabs>
        <w:tab w:val="clear" w:pos="4680"/>
        <w:tab w:val="clear" w:pos="9360"/>
        <w:tab w:val="right" w:pos="9639"/>
        <w:tab w:val="left" w:pos="15026"/>
      </w:tabs>
      <w:rPr>
        <w:noProof/>
        <w:sz w:val="20"/>
        <w:szCs w:val="20"/>
      </w:rPr>
    </w:pPr>
    <w:r w:rsidRPr="001F3339">
      <w:rPr>
        <w:b/>
        <w:bCs/>
        <w:sz w:val="20"/>
        <w:szCs w:val="20"/>
      </w:rPr>
      <w:t>IHACPA</w:t>
    </w:r>
    <w:r w:rsidRPr="001F3339">
      <w:rPr>
        <w:sz w:val="20"/>
        <w:szCs w:val="20"/>
      </w:rPr>
      <w:t xml:space="preserve"> National Hospital Cost Data Collection Private Hospital Report</w:t>
    </w:r>
    <w:r>
      <w:rPr>
        <w:sz w:val="20"/>
        <w:szCs w:val="20"/>
      </w:rPr>
      <w:t xml:space="preserve"> 202</w:t>
    </w:r>
    <w:r w:rsidR="00CF4418">
      <w:rPr>
        <w:sz w:val="20"/>
        <w:szCs w:val="20"/>
      </w:rPr>
      <w:t>1</w:t>
    </w:r>
    <w:r>
      <w:rPr>
        <w:sz w:val="20"/>
        <w:szCs w:val="20"/>
      </w:rPr>
      <w:t>-2</w:t>
    </w:r>
    <w:r w:rsidR="00CF4418">
      <w:rPr>
        <w:sz w:val="20"/>
        <w:szCs w:val="20"/>
      </w:rPr>
      <w:t>2</w:t>
    </w:r>
    <w:r w:rsidR="00D3454D">
      <w:rPr>
        <w:sz w:val="20"/>
        <w:szCs w:val="20"/>
      </w:rPr>
      <w:tab/>
    </w:r>
    <w:r w:rsidR="00D3454D" w:rsidRPr="001F3339">
      <w:rPr>
        <w:sz w:val="20"/>
        <w:szCs w:val="20"/>
      </w:rPr>
      <w:fldChar w:fldCharType="begin"/>
    </w:r>
    <w:r w:rsidR="00D3454D" w:rsidRPr="001F3339">
      <w:rPr>
        <w:sz w:val="20"/>
        <w:szCs w:val="20"/>
      </w:rPr>
      <w:instrText xml:space="preserve"> PAGE   \* MERGEFORMAT </w:instrText>
    </w:r>
    <w:r w:rsidR="00D3454D" w:rsidRPr="001F3339">
      <w:rPr>
        <w:sz w:val="20"/>
        <w:szCs w:val="20"/>
      </w:rPr>
      <w:fldChar w:fldCharType="separate"/>
    </w:r>
    <w:r w:rsidR="00771036">
      <w:rPr>
        <w:noProof/>
        <w:sz w:val="20"/>
        <w:szCs w:val="20"/>
      </w:rPr>
      <w:t>26</w:t>
    </w:r>
    <w:r w:rsidR="00D3454D" w:rsidRPr="001F3339">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B68C8" w14:textId="2BA81E74" w:rsidR="00D3454D" w:rsidRPr="001F3339" w:rsidRDefault="00173142" w:rsidP="00550AEB">
    <w:pPr>
      <w:pStyle w:val="Footer"/>
      <w:tabs>
        <w:tab w:val="clear" w:pos="4680"/>
        <w:tab w:val="clear" w:pos="9360"/>
        <w:tab w:val="right" w:pos="15309"/>
      </w:tabs>
      <w:rPr>
        <w:noProof/>
        <w:sz w:val="20"/>
        <w:szCs w:val="20"/>
      </w:rPr>
    </w:pPr>
    <w:r w:rsidRPr="001F3339">
      <w:rPr>
        <w:b/>
        <w:bCs/>
        <w:sz w:val="20"/>
        <w:szCs w:val="20"/>
      </w:rPr>
      <w:t>IHACPA</w:t>
    </w:r>
    <w:r w:rsidRPr="001F3339">
      <w:rPr>
        <w:sz w:val="20"/>
        <w:szCs w:val="20"/>
      </w:rPr>
      <w:t xml:space="preserve"> National Hospital Cost Data Collection Private Hospital Report</w:t>
    </w:r>
    <w:r>
      <w:rPr>
        <w:sz w:val="20"/>
        <w:szCs w:val="20"/>
      </w:rPr>
      <w:t xml:space="preserve"> 202</w:t>
    </w:r>
    <w:r w:rsidR="00CF4418">
      <w:rPr>
        <w:sz w:val="20"/>
        <w:szCs w:val="20"/>
      </w:rPr>
      <w:t>1</w:t>
    </w:r>
    <w:r>
      <w:rPr>
        <w:sz w:val="20"/>
        <w:szCs w:val="20"/>
      </w:rPr>
      <w:t>-2</w:t>
    </w:r>
    <w:r w:rsidR="00CF4418">
      <w:rPr>
        <w:sz w:val="20"/>
        <w:szCs w:val="20"/>
      </w:rPr>
      <w:t>2</w:t>
    </w:r>
    <w:r w:rsidR="00D3454D">
      <w:rPr>
        <w:sz w:val="20"/>
        <w:szCs w:val="20"/>
      </w:rPr>
      <w:tab/>
    </w:r>
    <w:r w:rsidR="00D3454D" w:rsidRPr="001F3339">
      <w:rPr>
        <w:sz w:val="20"/>
        <w:szCs w:val="20"/>
      </w:rPr>
      <w:fldChar w:fldCharType="begin"/>
    </w:r>
    <w:r w:rsidR="00D3454D" w:rsidRPr="001F3339">
      <w:rPr>
        <w:sz w:val="20"/>
        <w:szCs w:val="20"/>
      </w:rPr>
      <w:instrText xml:space="preserve"> PAGE   \* MERGEFORMAT </w:instrText>
    </w:r>
    <w:r w:rsidR="00D3454D" w:rsidRPr="001F3339">
      <w:rPr>
        <w:sz w:val="20"/>
        <w:szCs w:val="20"/>
      </w:rPr>
      <w:fldChar w:fldCharType="separate"/>
    </w:r>
    <w:r w:rsidR="00771036">
      <w:rPr>
        <w:noProof/>
        <w:sz w:val="20"/>
        <w:szCs w:val="20"/>
      </w:rPr>
      <w:t>28</w:t>
    </w:r>
    <w:r w:rsidR="00D3454D" w:rsidRPr="001F3339">
      <w:rPr>
        <w:noProof/>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D390" w14:textId="5306A10D" w:rsidR="00D3454D" w:rsidRPr="001F3339" w:rsidRDefault="00173142" w:rsidP="00550AEB">
    <w:pPr>
      <w:pStyle w:val="Footer"/>
      <w:tabs>
        <w:tab w:val="clear" w:pos="4680"/>
        <w:tab w:val="clear" w:pos="9360"/>
        <w:tab w:val="right" w:pos="9639"/>
        <w:tab w:val="left" w:pos="15026"/>
        <w:tab w:val="right" w:pos="15309"/>
      </w:tabs>
      <w:rPr>
        <w:noProof/>
        <w:sz w:val="20"/>
        <w:szCs w:val="20"/>
      </w:rPr>
    </w:pPr>
    <w:r w:rsidRPr="001F3339">
      <w:rPr>
        <w:b/>
        <w:bCs/>
        <w:sz w:val="20"/>
        <w:szCs w:val="20"/>
      </w:rPr>
      <w:t>IHACPA</w:t>
    </w:r>
    <w:r w:rsidRPr="001F3339">
      <w:rPr>
        <w:sz w:val="20"/>
        <w:szCs w:val="20"/>
      </w:rPr>
      <w:t xml:space="preserve"> National Hospital Cost Data Collection Private Hospital Report</w:t>
    </w:r>
    <w:r w:rsidR="00F04BCD">
      <w:rPr>
        <w:sz w:val="20"/>
        <w:szCs w:val="20"/>
      </w:rPr>
      <w:t xml:space="preserve"> </w:t>
    </w:r>
    <w:r>
      <w:rPr>
        <w:sz w:val="20"/>
        <w:szCs w:val="20"/>
      </w:rPr>
      <w:t>202</w:t>
    </w:r>
    <w:r w:rsidR="00CF4418">
      <w:rPr>
        <w:sz w:val="20"/>
        <w:szCs w:val="20"/>
      </w:rPr>
      <w:t>1</w:t>
    </w:r>
    <w:r>
      <w:rPr>
        <w:sz w:val="20"/>
        <w:szCs w:val="20"/>
      </w:rPr>
      <w:t>-2</w:t>
    </w:r>
    <w:r w:rsidR="00CF4418">
      <w:rPr>
        <w:sz w:val="20"/>
        <w:szCs w:val="20"/>
      </w:rPr>
      <w:t>2</w:t>
    </w:r>
    <w:r w:rsidR="00D3454D">
      <w:rPr>
        <w:sz w:val="20"/>
        <w:szCs w:val="20"/>
      </w:rPr>
      <w:tab/>
    </w:r>
    <w:r w:rsidR="00D3454D" w:rsidRPr="001F3339">
      <w:rPr>
        <w:sz w:val="20"/>
        <w:szCs w:val="20"/>
      </w:rPr>
      <w:fldChar w:fldCharType="begin"/>
    </w:r>
    <w:r w:rsidR="00D3454D" w:rsidRPr="001F3339">
      <w:rPr>
        <w:sz w:val="20"/>
        <w:szCs w:val="20"/>
      </w:rPr>
      <w:instrText xml:space="preserve"> PAGE   \* MERGEFORMAT </w:instrText>
    </w:r>
    <w:r w:rsidR="00D3454D" w:rsidRPr="001F3339">
      <w:rPr>
        <w:sz w:val="20"/>
        <w:szCs w:val="20"/>
      </w:rPr>
      <w:fldChar w:fldCharType="separate"/>
    </w:r>
    <w:r w:rsidR="00771036">
      <w:rPr>
        <w:noProof/>
        <w:sz w:val="20"/>
        <w:szCs w:val="20"/>
      </w:rPr>
      <w:t>29</w:t>
    </w:r>
    <w:r w:rsidR="00D3454D" w:rsidRPr="001F3339">
      <w:rPr>
        <w:noProof/>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849B" w14:textId="0A69C568" w:rsidR="00D3454D" w:rsidRPr="00FE60CD" w:rsidRDefault="00173142" w:rsidP="00F04BCD">
    <w:pPr>
      <w:pStyle w:val="Footer"/>
      <w:tabs>
        <w:tab w:val="clear" w:pos="4680"/>
        <w:tab w:val="clear" w:pos="9360"/>
        <w:tab w:val="right" w:pos="15309"/>
      </w:tabs>
      <w:rPr>
        <w:b/>
        <w:bCs/>
        <w:sz w:val="20"/>
        <w:szCs w:val="20"/>
      </w:rPr>
    </w:pPr>
    <w:r w:rsidRPr="001F3339">
      <w:rPr>
        <w:b/>
        <w:bCs/>
        <w:sz w:val="20"/>
        <w:szCs w:val="20"/>
      </w:rPr>
      <w:t>IHACPA</w:t>
    </w:r>
    <w:r w:rsidRPr="00173142">
      <w:rPr>
        <w:b/>
        <w:bCs/>
        <w:sz w:val="20"/>
        <w:szCs w:val="20"/>
      </w:rPr>
      <w:t xml:space="preserve"> </w:t>
    </w:r>
    <w:r w:rsidRPr="00173142">
      <w:rPr>
        <w:sz w:val="20"/>
        <w:szCs w:val="20"/>
      </w:rPr>
      <w:t>National Hospital Cost Data Collection Private Hospital Report 202</w:t>
    </w:r>
    <w:r w:rsidR="00CF4418">
      <w:rPr>
        <w:sz w:val="20"/>
        <w:szCs w:val="20"/>
      </w:rPr>
      <w:t>1</w:t>
    </w:r>
    <w:r w:rsidRPr="00173142">
      <w:rPr>
        <w:sz w:val="20"/>
        <w:szCs w:val="20"/>
      </w:rPr>
      <w:t>-2</w:t>
    </w:r>
    <w:r w:rsidR="00CF4418">
      <w:rPr>
        <w:sz w:val="20"/>
        <w:szCs w:val="20"/>
      </w:rPr>
      <w:t>2</w:t>
    </w:r>
    <w:r w:rsidR="00D3454D" w:rsidRPr="00173142">
      <w:rPr>
        <w:b/>
        <w:bCs/>
        <w:sz w:val="20"/>
        <w:szCs w:val="20"/>
      </w:rPr>
      <w:tab/>
    </w:r>
    <w:r w:rsidR="00D3454D" w:rsidRPr="00173142">
      <w:rPr>
        <w:sz w:val="20"/>
        <w:szCs w:val="20"/>
      </w:rPr>
      <w:fldChar w:fldCharType="begin"/>
    </w:r>
    <w:r w:rsidR="00D3454D" w:rsidRPr="00173142">
      <w:rPr>
        <w:sz w:val="20"/>
        <w:szCs w:val="20"/>
      </w:rPr>
      <w:instrText xml:space="preserve"> PAGE   \* MERGEFORMAT </w:instrText>
    </w:r>
    <w:r w:rsidR="00D3454D" w:rsidRPr="00173142">
      <w:rPr>
        <w:sz w:val="20"/>
        <w:szCs w:val="20"/>
      </w:rPr>
      <w:fldChar w:fldCharType="separate"/>
    </w:r>
    <w:r w:rsidR="00771036">
      <w:rPr>
        <w:noProof/>
        <w:sz w:val="20"/>
        <w:szCs w:val="20"/>
      </w:rPr>
      <w:t>36</w:t>
    </w:r>
    <w:r w:rsidR="00D3454D" w:rsidRPr="00173142">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78F2" w14:textId="77777777" w:rsidR="003E33FA" w:rsidRDefault="003E33FA" w:rsidP="00FE60CD">
    <w:pPr>
      <w:pStyle w:val="Footer"/>
      <w:tabs>
        <w:tab w:val="clear" w:pos="4680"/>
        <w:tab w:val="clear" w:pos="9360"/>
        <w:tab w:val="center" w:pos="9498"/>
      </w:tabs>
      <w:rPr>
        <w:b/>
        <w:bCs/>
        <w:sz w:val="20"/>
        <w:szCs w:val="20"/>
      </w:rPr>
    </w:pPr>
  </w:p>
  <w:p w14:paraId="6E1CB636" w14:textId="3DFB7506" w:rsidR="00D3454D" w:rsidRPr="00FE60CD" w:rsidRDefault="00173142" w:rsidP="00FE60CD">
    <w:pPr>
      <w:pStyle w:val="Footer"/>
      <w:tabs>
        <w:tab w:val="clear" w:pos="4680"/>
        <w:tab w:val="clear" w:pos="9360"/>
        <w:tab w:val="center" w:pos="9498"/>
      </w:tabs>
      <w:rPr>
        <w:b/>
        <w:bCs/>
        <w:sz w:val="20"/>
        <w:szCs w:val="20"/>
      </w:rPr>
    </w:pPr>
    <w:r w:rsidRPr="001F3339">
      <w:rPr>
        <w:b/>
        <w:bCs/>
        <w:sz w:val="20"/>
        <w:szCs w:val="20"/>
      </w:rPr>
      <w:t>IHACPA</w:t>
    </w:r>
    <w:r w:rsidRPr="001F3339">
      <w:rPr>
        <w:sz w:val="20"/>
        <w:szCs w:val="20"/>
      </w:rPr>
      <w:t xml:space="preserve"> National Hospital Cost Data Collection Private Hospital Report</w:t>
    </w:r>
    <w:r>
      <w:rPr>
        <w:sz w:val="20"/>
        <w:szCs w:val="20"/>
      </w:rPr>
      <w:t xml:space="preserve"> 202</w:t>
    </w:r>
    <w:r w:rsidR="00CF4418">
      <w:rPr>
        <w:sz w:val="20"/>
        <w:szCs w:val="20"/>
      </w:rPr>
      <w:t>1</w:t>
    </w:r>
    <w:r>
      <w:rPr>
        <w:sz w:val="20"/>
        <w:szCs w:val="20"/>
      </w:rPr>
      <w:t>-2</w:t>
    </w:r>
    <w:r w:rsidR="00CF4418">
      <w:rPr>
        <w:sz w:val="20"/>
        <w:szCs w:val="20"/>
      </w:rPr>
      <w:t>2</w:t>
    </w:r>
    <w:r w:rsidR="00D3454D" w:rsidRPr="00FE60CD">
      <w:rPr>
        <w:b/>
        <w:bCs/>
        <w:sz w:val="20"/>
        <w:szCs w:val="20"/>
      </w:rPr>
      <w:tab/>
    </w:r>
    <w:r w:rsidR="00D3454D" w:rsidRPr="00FE60CD">
      <w:rPr>
        <w:b/>
        <w:bCs/>
        <w:sz w:val="20"/>
        <w:szCs w:val="20"/>
      </w:rPr>
      <w:fldChar w:fldCharType="begin"/>
    </w:r>
    <w:r w:rsidR="00D3454D" w:rsidRPr="00FE60CD">
      <w:rPr>
        <w:b/>
        <w:bCs/>
        <w:sz w:val="20"/>
        <w:szCs w:val="20"/>
      </w:rPr>
      <w:instrText xml:space="preserve"> PAGE   \* MERGEFORMAT </w:instrText>
    </w:r>
    <w:r w:rsidR="00D3454D" w:rsidRPr="00FE60CD">
      <w:rPr>
        <w:b/>
        <w:bCs/>
        <w:sz w:val="20"/>
        <w:szCs w:val="20"/>
      </w:rPr>
      <w:fldChar w:fldCharType="separate"/>
    </w:r>
    <w:r w:rsidR="00771036">
      <w:rPr>
        <w:b/>
        <w:bCs/>
        <w:noProof/>
        <w:sz w:val="20"/>
        <w:szCs w:val="20"/>
      </w:rPr>
      <w:t>45</w:t>
    </w:r>
    <w:r w:rsidR="00D3454D" w:rsidRPr="00FE60CD">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1A107" w14:textId="77777777" w:rsidR="00C842B0" w:rsidRDefault="00C842B0" w:rsidP="00DC0458">
      <w:pPr>
        <w:spacing w:after="0" w:line="240" w:lineRule="auto"/>
      </w:pPr>
      <w:r>
        <w:separator/>
      </w:r>
    </w:p>
  </w:footnote>
  <w:footnote w:type="continuationSeparator" w:id="0">
    <w:p w14:paraId="6E9C296A" w14:textId="77777777" w:rsidR="00C842B0" w:rsidRDefault="00C842B0" w:rsidP="00DC0458">
      <w:pPr>
        <w:spacing w:after="0" w:line="240" w:lineRule="auto"/>
      </w:pPr>
      <w:r>
        <w:continuationSeparator/>
      </w:r>
    </w:p>
  </w:footnote>
  <w:footnote w:type="continuationNotice" w:id="1">
    <w:p w14:paraId="76F9AF89" w14:textId="77777777" w:rsidR="00C842B0" w:rsidRDefault="00C842B0">
      <w:pPr>
        <w:spacing w:after="0" w:line="240" w:lineRule="auto"/>
      </w:pPr>
    </w:p>
  </w:footnote>
  <w:footnote w:id="2">
    <w:p w14:paraId="10C36465" w14:textId="082FAC3E" w:rsidR="007327AD" w:rsidRPr="007327AD" w:rsidRDefault="007327AD">
      <w:pPr>
        <w:pStyle w:val="FootnoteText"/>
      </w:pPr>
      <w:r>
        <w:rPr>
          <w:rStyle w:val="FootnoteReference"/>
        </w:rPr>
        <w:footnoteRef/>
      </w:r>
      <w:r>
        <w:t xml:space="preserve"> </w:t>
      </w:r>
      <w:r w:rsidRPr="007327AD">
        <w:t xml:space="preserve"> </w:t>
      </w:r>
      <w:r w:rsidRPr="007327AD">
        <w:rPr>
          <w:sz w:val="16"/>
          <w:szCs w:val="16"/>
        </w:rPr>
        <w:t xml:space="preserve">Independent Health and Aged Care Pricing Authority, </w:t>
      </w:r>
      <w:hyperlink r:id="rId1" w:history="1">
        <w:r w:rsidRPr="007327AD">
          <w:rPr>
            <w:rStyle w:val="Hyperlink"/>
            <w:sz w:val="16"/>
            <w:szCs w:val="16"/>
          </w:rPr>
          <w:t>COVID-19 Response – Costing and Pricing Guidelines</w:t>
        </w:r>
      </w:hyperlink>
      <w:r w:rsidRPr="007327AD">
        <w:rPr>
          <w:sz w:val="16"/>
          <w:szCs w:val="16"/>
        </w:rPr>
        <w:t xml:space="preserve">, date viewed </w:t>
      </w:r>
      <w:r>
        <w:rPr>
          <w:sz w:val="16"/>
          <w:szCs w:val="16"/>
        </w:rPr>
        <w:t>10</w:t>
      </w:r>
      <w:r w:rsidRPr="007327AD">
        <w:rPr>
          <w:sz w:val="16"/>
          <w:szCs w:val="16"/>
        </w:rPr>
        <w:t xml:space="preserve"> November 2023</w:t>
      </w:r>
    </w:p>
  </w:footnote>
  <w:footnote w:id="3">
    <w:p w14:paraId="7D52335C" w14:textId="43E7CFF1" w:rsidR="00D3454D" w:rsidRPr="001551ED" w:rsidRDefault="00D3454D" w:rsidP="001551ED">
      <w:pPr>
        <w:pStyle w:val="Footnote"/>
      </w:pPr>
      <w:r>
        <w:rPr>
          <w:rStyle w:val="FootnoteReference"/>
        </w:rPr>
        <w:footnoteRef/>
      </w:r>
      <w:r>
        <w:t xml:space="preserve"> Independent Health and Aged Care Pricing Authority</w:t>
      </w:r>
      <w:r w:rsidRPr="005924BA">
        <w:t>,</w:t>
      </w:r>
      <w:r w:rsidRPr="005924BA">
        <w:rPr>
          <w:spacing w:val="-2"/>
        </w:rPr>
        <w:t xml:space="preserve"> </w:t>
      </w:r>
      <w:hyperlink r:id="rId2">
        <w:r>
          <w:rPr>
            <w:color w:val="0000FF"/>
            <w:u w:val="single"/>
          </w:rPr>
          <w:t>Australian Refined Diagnosis Related Groups</w:t>
        </w:r>
      </w:hyperlink>
      <w:r w:rsidRPr="00BE2B24">
        <w:t>,</w:t>
      </w:r>
      <w:r w:rsidRPr="00227209">
        <w:t xml:space="preserve"> </w:t>
      </w:r>
      <w:r w:rsidRPr="003D4A6C">
        <w:t>date</w:t>
      </w:r>
      <w:r w:rsidRPr="003D4A6C">
        <w:rPr>
          <w:spacing w:val="-1"/>
        </w:rPr>
        <w:t xml:space="preserve"> </w:t>
      </w:r>
      <w:r w:rsidRPr="003D4A6C">
        <w:t>viewed</w:t>
      </w:r>
      <w:r>
        <w:t xml:space="preserve"> </w:t>
      </w:r>
      <w:r w:rsidR="0006305C">
        <w:t>9 November</w:t>
      </w:r>
      <w:r>
        <w:t xml:space="preserve"> 2023</w:t>
      </w:r>
    </w:p>
  </w:footnote>
  <w:footnote w:id="4">
    <w:p w14:paraId="69FCAC3A" w14:textId="7684FE5C" w:rsidR="00D3454D" w:rsidRPr="001551ED" w:rsidRDefault="00D3454D" w:rsidP="001551ED">
      <w:pPr>
        <w:pStyle w:val="Footnote"/>
      </w:pPr>
      <w:r>
        <w:rPr>
          <w:rStyle w:val="FootnoteReference"/>
        </w:rPr>
        <w:footnoteRef/>
      </w:r>
      <w:r>
        <w:t xml:space="preserve"> </w:t>
      </w:r>
      <w:r w:rsidRPr="00BE2B24">
        <w:t>Australian Institute of Health and Welfare,</w:t>
      </w:r>
      <w:r w:rsidRPr="00BE2B24">
        <w:rPr>
          <w:spacing w:val="-2"/>
        </w:rPr>
        <w:t xml:space="preserve"> </w:t>
      </w:r>
      <w:hyperlink r:id="rId3">
        <w:r>
          <w:rPr>
            <w:color w:val="0000FF"/>
            <w:u w:val="single"/>
          </w:rPr>
          <w:t>Data Dictionary, METeOR ID: 729904</w:t>
        </w:r>
      </w:hyperlink>
      <w:r w:rsidRPr="00BE2B24">
        <w:t xml:space="preserve">, </w:t>
      </w:r>
      <w:r w:rsidRPr="003D4A6C">
        <w:t>date</w:t>
      </w:r>
      <w:r w:rsidRPr="003D4A6C">
        <w:rPr>
          <w:spacing w:val="-1"/>
        </w:rPr>
        <w:t xml:space="preserve"> </w:t>
      </w:r>
      <w:r w:rsidRPr="003D4A6C">
        <w:t>viewed</w:t>
      </w:r>
      <w:r w:rsidRPr="00BE2B24">
        <w:rPr>
          <w:spacing w:val="-3"/>
        </w:rPr>
        <w:t xml:space="preserve"> </w:t>
      </w:r>
      <w:r w:rsidR="00B425B5">
        <w:rPr>
          <w:spacing w:val="-3"/>
        </w:rPr>
        <w:t xml:space="preserve">09 </w:t>
      </w:r>
      <w:r w:rsidR="0006305C">
        <w:t xml:space="preserve">November </w:t>
      </w:r>
      <w:r>
        <w:t>2023</w:t>
      </w:r>
    </w:p>
  </w:footnote>
  <w:footnote w:id="5">
    <w:p w14:paraId="337DB16A" w14:textId="7FA3373A" w:rsidR="00D3454D" w:rsidRPr="002A31F6" w:rsidRDefault="00D3454D" w:rsidP="002A31F6">
      <w:pPr>
        <w:pStyle w:val="Footnote"/>
        <w:rPr>
          <w:rFonts w:ascii="Times New Roman" w:hAnsi="Times New Roman"/>
        </w:rPr>
      </w:pPr>
      <w:r>
        <w:rPr>
          <w:rStyle w:val="FootnoteReference"/>
        </w:rPr>
        <w:footnoteRef/>
      </w:r>
      <w:r>
        <w:t xml:space="preserve"> </w:t>
      </w:r>
      <w:r w:rsidRPr="003D4A6C">
        <w:rPr>
          <w:spacing w:val="-1"/>
        </w:rPr>
        <w:t>Australian</w:t>
      </w:r>
      <w:r w:rsidRPr="003D4A6C">
        <w:rPr>
          <w:spacing w:val="1"/>
        </w:rPr>
        <w:t xml:space="preserve"> </w:t>
      </w:r>
      <w:r w:rsidRPr="003D4A6C">
        <w:rPr>
          <w:spacing w:val="-1"/>
        </w:rPr>
        <w:t>Institute</w:t>
      </w:r>
      <w:r w:rsidRPr="003D4A6C">
        <w:rPr>
          <w:spacing w:val="1"/>
        </w:rPr>
        <w:t xml:space="preserve"> </w:t>
      </w:r>
      <w:r w:rsidRPr="003D4A6C">
        <w:rPr>
          <w:spacing w:val="-1"/>
        </w:rPr>
        <w:t>of</w:t>
      </w:r>
      <w:r w:rsidRPr="003D4A6C">
        <w:rPr>
          <w:spacing w:val="1"/>
        </w:rPr>
        <w:t xml:space="preserve"> </w:t>
      </w:r>
      <w:r w:rsidRPr="003D4A6C">
        <w:rPr>
          <w:spacing w:val="-1"/>
        </w:rPr>
        <w:t>Health</w:t>
      </w:r>
      <w:r w:rsidRPr="003D4A6C">
        <w:t xml:space="preserve"> </w:t>
      </w:r>
      <w:r w:rsidRPr="003D4A6C">
        <w:rPr>
          <w:spacing w:val="-1"/>
        </w:rPr>
        <w:t>and</w:t>
      </w:r>
      <w:r w:rsidRPr="003D4A6C">
        <w:rPr>
          <w:spacing w:val="-3"/>
        </w:rPr>
        <w:t xml:space="preserve"> </w:t>
      </w:r>
      <w:r w:rsidRPr="003B188F">
        <w:rPr>
          <w:spacing w:val="-1"/>
          <w:szCs w:val="16"/>
        </w:rPr>
        <w:t>Welfare,</w:t>
      </w:r>
      <w:r w:rsidRPr="003B188F">
        <w:rPr>
          <w:szCs w:val="16"/>
        </w:rPr>
        <w:t xml:space="preserve"> </w:t>
      </w:r>
      <w:hyperlink r:id="rId4" w:history="1">
        <w:r w:rsidR="00502F2E" w:rsidRPr="003B188F">
          <w:rPr>
            <w:rStyle w:val="Hyperlink"/>
            <w:color w:val="0000FF"/>
            <w:szCs w:val="16"/>
            <w:u w:color="0000FF"/>
          </w:rPr>
          <w:t>Data Dictionary, METeOR ID: 327254</w:t>
        </w:r>
      </w:hyperlink>
      <w:r w:rsidRPr="003B188F">
        <w:rPr>
          <w:color w:val="0000FF"/>
          <w:szCs w:val="16"/>
        </w:rPr>
        <w:t>,</w:t>
      </w:r>
      <w:r w:rsidRPr="003B188F">
        <w:rPr>
          <w:color w:val="0000FF"/>
          <w:spacing w:val="2"/>
          <w:szCs w:val="16"/>
        </w:rPr>
        <w:t xml:space="preserve"> </w:t>
      </w:r>
      <w:r w:rsidRPr="003B188F">
        <w:rPr>
          <w:szCs w:val="16"/>
        </w:rPr>
        <w:t>date</w:t>
      </w:r>
      <w:r w:rsidRPr="003D4A6C">
        <w:rPr>
          <w:spacing w:val="-1"/>
        </w:rPr>
        <w:t xml:space="preserve"> </w:t>
      </w:r>
      <w:r w:rsidRPr="003D4A6C">
        <w:t>viewed</w:t>
      </w:r>
      <w:r w:rsidRPr="003D4A6C">
        <w:rPr>
          <w:spacing w:val="-1"/>
        </w:rPr>
        <w:t xml:space="preserve"> </w:t>
      </w:r>
      <w:r w:rsidR="0006305C">
        <w:t>9 November 2023</w:t>
      </w:r>
    </w:p>
  </w:footnote>
  <w:footnote w:id="6">
    <w:p w14:paraId="7168E53D" w14:textId="46857365" w:rsidR="001F188B" w:rsidRPr="005629F8" w:rsidRDefault="001F188B">
      <w:pPr>
        <w:pStyle w:val="FootnoteText"/>
        <w:rPr>
          <w:lang w:val="en-US"/>
        </w:rPr>
      </w:pPr>
      <w:r w:rsidRPr="005629F8">
        <w:rPr>
          <w:rStyle w:val="FootnoteReference"/>
          <w:sz w:val="16"/>
          <w:szCs w:val="16"/>
        </w:rPr>
        <w:footnoteRef/>
      </w:r>
      <w:r>
        <w:t xml:space="preserve"> </w:t>
      </w:r>
      <w:r w:rsidRPr="005629F8">
        <w:rPr>
          <w:sz w:val="16"/>
          <w:szCs w:val="16"/>
        </w:rPr>
        <w:t>These are separations with care type 7.0 (newborn care), with zero qualified days in the neonate AR-DRGs (Major Diagnostic Category 15 newborns and other neonates)</w:t>
      </w:r>
    </w:p>
  </w:footnote>
  <w:footnote w:id="7">
    <w:p w14:paraId="1F48F519" w14:textId="227718ED" w:rsidR="00F005E1" w:rsidRDefault="00F005E1" w:rsidP="00D55E31">
      <w:pPr>
        <w:pStyle w:val="Footnote"/>
        <w:rPr>
          <w:rFonts w:ascii="Times New Roman" w:hAnsi="Times New Roman"/>
        </w:rPr>
      </w:pPr>
    </w:p>
    <w:p w14:paraId="1FA7D53E" w14:textId="79E2724A" w:rsidR="00023F91" w:rsidRPr="003B188F" w:rsidRDefault="00023F91">
      <w:pPr>
        <w:pStyle w:val="FootnoteText"/>
        <w:rPr>
          <w:sz w:val="16"/>
          <w:szCs w:val="16"/>
          <w:lang w:val="en-US"/>
        </w:rPr>
      </w:pPr>
      <w:r w:rsidRPr="005629F8">
        <w:rPr>
          <w:rStyle w:val="FootnoteReference"/>
          <w:sz w:val="16"/>
          <w:szCs w:val="16"/>
        </w:rPr>
        <w:footnoteRef/>
      </w:r>
      <w:r w:rsidRPr="005629F8">
        <w:rPr>
          <w:sz w:val="16"/>
          <w:szCs w:val="16"/>
        </w:rPr>
        <w:t xml:space="preserve"> </w:t>
      </w:r>
      <w:r w:rsidRPr="005629F8">
        <w:rPr>
          <w:spacing w:val="-1"/>
          <w:sz w:val="16"/>
          <w:szCs w:val="16"/>
        </w:rPr>
        <w:t>Australian</w:t>
      </w:r>
      <w:r w:rsidRPr="005629F8">
        <w:rPr>
          <w:spacing w:val="1"/>
          <w:sz w:val="16"/>
          <w:szCs w:val="16"/>
        </w:rPr>
        <w:t xml:space="preserve"> </w:t>
      </w:r>
      <w:r w:rsidRPr="005629F8">
        <w:rPr>
          <w:spacing w:val="-1"/>
          <w:sz w:val="16"/>
          <w:szCs w:val="16"/>
        </w:rPr>
        <w:t>Institute</w:t>
      </w:r>
      <w:r w:rsidRPr="005629F8">
        <w:rPr>
          <w:spacing w:val="1"/>
          <w:sz w:val="16"/>
          <w:szCs w:val="16"/>
        </w:rPr>
        <w:t xml:space="preserve"> </w:t>
      </w:r>
      <w:r w:rsidRPr="005629F8">
        <w:rPr>
          <w:spacing w:val="-1"/>
          <w:sz w:val="16"/>
          <w:szCs w:val="16"/>
        </w:rPr>
        <w:t>of</w:t>
      </w:r>
      <w:r w:rsidRPr="005629F8">
        <w:rPr>
          <w:spacing w:val="1"/>
          <w:sz w:val="16"/>
          <w:szCs w:val="16"/>
        </w:rPr>
        <w:t xml:space="preserve"> </w:t>
      </w:r>
      <w:r w:rsidRPr="005629F8">
        <w:rPr>
          <w:spacing w:val="-1"/>
          <w:sz w:val="16"/>
          <w:szCs w:val="16"/>
        </w:rPr>
        <w:t>Health</w:t>
      </w:r>
      <w:r w:rsidRPr="005629F8">
        <w:rPr>
          <w:sz w:val="16"/>
          <w:szCs w:val="16"/>
        </w:rPr>
        <w:t xml:space="preserve"> </w:t>
      </w:r>
      <w:r w:rsidRPr="003B188F">
        <w:rPr>
          <w:spacing w:val="-1"/>
          <w:sz w:val="16"/>
          <w:szCs w:val="16"/>
        </w:rPr>
        <w:t>and</w:t>
      </w:r>
      <w:r w:rsidRPr="003B188F">
        <w:rPr>
          <w:spacing w:val="-3"/>
          <w:sz w:val="16"/>
          <w:szCs w:val="16"/>
        </w:rPr>
        <w:t xml:space="preserve"> </w:t>
      </w:r>
      <w:r w:rsidRPr="003B188F">
        <w:rPr>
          <w:spacing w:val="-1"/>
          <w:sz w:val="16"/>
          <w:szCs w:val="16"/>
        </w:rPr>
        <w:t>Welfare,</w:t>
      </w:r>
      <w:r w:rsidRPr="003B188F">
        <w:rPr>
          <w:sz w:val="16"/>
          <w:szCs w:val="16"/>
        </w:rPr>
        <w:t xml:space="preserve"> </w:t>
      </w:r>
      <w:hyperlink r:id="rId5" w:history="1">
        <w:r w:rsidR="003B188F" w:rsidRPr="003B188F">
          <w:rPr>
            <w:rStyle w:val="Hyperlink"/>
            <w:color w:val="0000FF"/>
            <w:sz w:val="16"/>
            <w:szCs w:val="16"/>
            <w:u w:color="0000FF"/>
          </w:rPr>
          <w:t>Data Dictionary, METeOR ID: 711010</w:t>
        </w:r>
      </w:hyperlink>
      <w:r w:rsidRPr="003B188F">
        <w:rPr>
          <w:color w:val="0000FF"/>
          <w:sz w:val="16"/>
          <w:szCs w:val="16"/>
        </w:rPr>
        <w:t>,</w:t>
      </w:r>
      <w:r w:rsidRPr="003B188F">
        <w:rPr>
          <w:color w:val="0000FF"/>
          <w:spacing w:val="2"/>
          <w:sz w:val="16"/>
          <w:szCs w:val="16"/>
        </w:rPr>
        <w:t xml:space="preserve"> </w:t>
      </w:r>
      <w:r w:rsidRPr="003B188F">
        <w:rPr>
          <w:sz w:val="16"/>
          <w:szCs w:val="16"/>
        </w:rPr>
        <w:t>date</w:t>
      </w:r>
      <w:r w:rsidRPr="003B188F">
        <w:rPr>
          <w:spacing w:val="-1"/>
          <w:sz w:val="16"/>
          <w:szCs w:val="16"/>
        </w:rPr>
        <w:t xml:space="preserve"> </w:t>
      </w:r>
      <w:r w:rsidRPr="003B188F">
        <w:rPr>
          <w:sz w:val="16"/>
          <w:szCs w:val="16"/>
        </w:rPr>
        <w:t>viewed</w:t>
      </w:r>
      <w:r w:rsidRPr="003B188F">
        <w:rPr>
          <w:spacing w:val="-1"/>
          <w:sz w:val="16"/>
          <w:szCs w:val="16"/>
        </w:rPr>
        <w:t xml:space="preserve"> </w:t>
      </w:r>
      <w:r w:rsidR="00B425B5">
        <w:rPr>
          <w:spacing w:val="-1"/>
          <w:sz w:val="16"/>
          <w:szCs w:val="16"/>
        </w:rPr>
        <w:t>9 November 2023</w:t>
      </w:r>
    </w:p>
  </w:footnote>
  <w:footnote w:id="8">
    <w:p w14:paraId="201BC778" w14:textId="09EE0996" w:rsidR="00D3454D" w:rsidRPr="00B425B5" w:rsidRDefault="00D3454D" w:rsidP="00D61BE1">
      <w:pPr>
        <w:pStyle w:val="Footnote"/>
        <w:rPr>
          <w:rFonts w:ascii="Times New Roman" w:hAnsi="Times New Roman"/>
          <w:szCs w:val="16"/>
          <w:lang w:val="en-US"/>
        </w:rPr>
      </w:pPr>
      <w:r w:rsidRPr="003B188F">
        <w:rPr>
          <w:rStyle w:val="FootnoteReference"/>
          <w:szCs w:val="16"/>
        </w:rPr>
        <w:footnoteRef/>
      </w:r>
      <w:r w:rsidRPr="003B188F">
        <w:rPr>
          <w:szCs w:val="16"/>
        </w:rPr>
        <w:t xml:space="preserve"> </w:t>
      </w:r>
      <w:r w:rsidRPr="003B188F">
        <w:rPr>
          <w:spacing w:val="-1"/>
          <w:szCs w:val="16"/>
        </w:rPr>
        <w:t>Australian</w:t>
      </w:r>
      <w:r w:rsidRPr="003B188F">
        <w:rPr>
          <w:spacing w:val="1"/>
          <w:szCs w:val="16"/>
        </w:rPr>
        <w:t xml:space="preserve"> </w:t>
      </w:r>
      <w:r w:rsidRPr="003B188F">
        <w:rPr>
          <w:spacing w:val="-1"/>
          <w:szCs w:val="16"/>
        </w:rPr>
        <w:t>Institute</w:t>
      </w:r>
      <w:r w:rsidRPr="003B188F">
        <w:rPr>
          <w:spacing w:val="1"/>
          <w:szCs w:val="16"/>
        </w:rPr>
        <w:t xml:space="preserve"> </w:t>
      </w:r>
      <w:r w:rsidRPr="003B188F">
        <w:rPr>
          <w:spacing w:val="-1"/>
          <w:szCs w:val="16"/>
        </w:rPr>
        <w:t>of</w:t>
      </w:r>
      <w:r w:rsidRPr="003B188F">
        <w:rPr>
          <w:spacing w:val="1"/>
          <w:szCs w:val="16"/>
        </w:rPr>
        <w:t xml:space="preserve"> </w:t>
      </w:r>
      <w:r w:rsidRPr="003B188F">
        <w:rPr>
          <w:spacing w:val="-1"/>
          <w:szCs w:val="16"/>
        </w:rPr>
        <w:t>Health</w:t>
      </w:r>
      <w:r w:rsidRPr="003B188F">
        <w:rPr>
          <w:szCs w:val="16"/>
        </w:rPr>
        <w:t xml:space="preserve"> </w:t>
      </w:r>
      <w:r w:rsidRPr="003B188F">
        <w:rPr>
          <w:spacing w:val="-1"/>
          <w:szCs w:val="16"/>
        </w:rPr>
        <w:t>and</w:t>
      </w:r>
      <w:r w:rsidRPr="003B188F">
        <w:rPr>
          <w:spacing w:val="-3"/>
          <w:szCs w:val="16"/>
        </w:rPr>
        <w:t xml:space="preserve"> </w:t>
      </w:r>
      <w:r w:rsidRPr="003B188F">
        <w:rPr>
          <w:spacing w:val="-1"/>
          <w:szCs w:val="16"/>
        </w:rPr>
        <w:t>Welfare,</w:t>
      </w:r>
      <w:r w:rsidRPr="003B188F">
        <w:rPr>
          <w:szCs w:val="16"/>
        </w:rPr>
        <w:t xml:space="preserve"> </w:t>
      </w:r>
      <w:hyperlink r:id="rId6" w:history="1">
        <w:r w:rsidRPr="003B188F">
          <w:rPr>
            <w:rStyle w:val="Hyperlink"/>
            <w:color w:val="0000FF"/>
            <w:szCs w:val="16"/>
            <w:u w:color="0000FF"/>
          </w:rPr>
          <w:t>Data Dictionary, METeOR ID: 711010</w:t>
        </w:r>
      </w:hyperlink>
      <w:r w:rsidRPr="003B188F">
        <w:rPr>
          <w:szCs w:val="16"/>
        </w:rPr>
        <w:t>,</w:t>
      </w:r>
      <w:r w:rsidRPr="003B188F">
        <w:rPr>
          <w:spacing w:val="2"/>
          <w:szCs w:val="16"/>
        </w:rPr>
        <w:t xml:space="preserve"> </w:t>
      </w:r>
      <w:r w:rsidRPr="003B188F">
        <w:rPr>
          <w:szCs w:val="16"/>
        </w:rPr>
        <w:t>date</w:t>
      </w:r>
      <w:r w:rsidRPr="003B188F">
        <w:rPr>
          <w:spacing w:val="-1"/>
          <w:szCs w:val="16"/>
        </w:rPr>
        <w:t xml:space="preserve"> </w:t>
      </w:r>
      <w:r w:rsidRPr="003B188F">
        <w:rPr>
          <w:szCs w:val="16"/>
        </w:rPr>
        <w:t>viewed</w:t>
      </w:r>
      <w:r w:rsidRPr="003B188F">
        <w:rPr>
          <w:spacing w:val="-1"/>
          <w:szCs w:val="16"/>
        </w:rPr>
        <w:t xml:space="preserve"> </w:t>
      </w:r>
      <w:r w:rsidR="00B425B5">
        <w:rPr>
          <w:spacing w:val="-1"/>
          <w:szCs w:val="16"/>
        </w:rPr>
        <w:t>9 November 2023</w:t>
      </w:r>
    </w:p>
  </w:footnote>
  <w:footnote w:id="9">
    <w:p w14:paraId="2D53F9F4" w14:textId="1A2A0C40" w:rsidR="00D3454D" w:rsidRPr="003B188F" w:rsidRDefault="00D3454D" w:rsidP="00D61BE1">
      <w:pPr>
        <w:pStyle w:val="Footnote"/>
        <w:rPr>
          <w:rFonts w:ascii="Times New Roman" w:hAnsi="Times New Roman"/>
          <w:szCs w:val="16"/>
        </w:rPr>
      </w:pPr>
      <w:r w:rsidRPr="003B188F">
        <w:rPr>
          <w:rStyle w:val="FootnoteReference"/>
          <w:szCs w:val="16"/>
        </w:rPr>
        <w:footnoteRef/>
      </w:r>
      <w:r w:rsidRPr="003B188F">
        <w:rPr>
          <w:szCs w:val="16"/>
        </w:rPr>
        <w:t xml:space="preserve"> </w:t>
      </w:r>
      <w:bookmarkStart w:id="56" w:name="_Hlk112060255"/>
      <w:r w:rsidRPr="003B188F">
        <w:rPr>
          <w:szCs w:val="16"/>
        </w:rPr>
        <w:t>Australian</w:t>
      </w:r>
      <w:r w:rsidRPr="003B188F">
        <w:rPr>
          <w:spacing w:val="-1"/>
          <w:szCs w:val="16"/>
        </w:rPr>
        <w:t xml:space="preserve"> </w:t>
      </w:r>
      <w:r w:rsidRPr="003B188F">
        <w:rPr>
          <w:szCs w:val="16"/>
        </w:rPr>
        <w:t>Institute</w:t>
      </w:r>
      <w:r w:rsidRPr="003B188F">
        <w:rPr>
          <w:spacing w:val="-1"/>
          <w:szCs w:val="16"/>
        </w:rPr>
        <w:t xml:space="preserve"> </w:t>
      </w:r>
      <w:r w:rsidRPr="003B188F">
        <w:rPr>
          <w:szCs w:val="16"/>
        </w:rPr>
        <w:t>of Health</w:t>
      </w:r>
      <w:r w:rsidRPr="003B188F">
        <w:rPr>
          <w:spacing w:val="-2"/>
          <w:szCs w:val="16"/>
        </w:rPr>
        <w:t xml:space="preserve"> </w:t>
      </w:r>
      <w:r w:rsidRPr="003B188F">
        <w:rPr>
          <w:szCs w:val="16"/>
        </w:rPr>
        <w:t>and</w:t>
      </w:r>
      <w:r w:rsidRPr="003B188F">
        <w:rPr>
          <w:spacing w:val="-6"/>
          <w:szCs w:val="16"/>
        </w:rPr>
        <w:t xml:space="preserve"> </w:t>
      </w:r>
      <w:r w:rsidRPr="003B188F">
        <w:rPr>
          <w:szCs w:val="16"/>
        </w:rPr>
        <w:t>Welfare,</w:t>
      </w:r>
      <w:r w:rsidRPr="003B188F">
        <w:rPr>
          <w:spacing w:val="-2"/>
          <w:szCs w:val="16"/>
        </w:rPr>
        <w:t xml:space="preserve"> </w:t>
      </w:r>
      <w:hyperlink r:id="rId7" w:history="1">
        <w:r w:rsidR="00416893" w:rsidRPr="003B188F">
          <w:rPr>
            <w:rStyle w:val="Hyperlink"/>
            <w:color w:val="0000FF"/>
            <w:szCs w:val="16"/>
            <w:u w:color="0000FF"/>
          </w:rPr>
          <w:t>Data Dictionary, METeOR ID: 711010</w:t>
        </w:r>
      </w:hyperlink>
      <w:r w:rsidRPr="003B188F">
        <w:rPr>
          <w:color w:val="0000FF"/>
          <w:szCs w:val="16"/>
        </w:rPr>
        <w:t>,</w:t>
      </w:r>
      <w:r w:rsidRPr="003B188F">
        <w:rPr>
          <w:color w:val="0000FF"/>
          <w:spacing w:val="-2"/>
          <w:szCs w:val="16"/>
        </w:rPr>
        <w:t xml:space="preserve"> </w:t>
      </w:r>
      <w:r w:rsidRPr="003B188F">
        <w:rPr>
          <w:szCs w:val="16"/>
        </w:rPr>
        <w:t>date</w:t>
      </w:r>
      <w:r w:rsidRPr="003B188F">
        <w:rPr>
          <w:spacing w:val="-1"/>
          <w:szCs w:val="16"/>
        </w:rPr>
        <w:t xml:space="preserve"> </w:t>
      </w:r>
      <w:r w:rsidRPr="003B188F">
        <w:rPr>
          <w:szCs w:val="16"/>
        </w:rPr>
        <w:t>viewed</w:t>
      </w:r>
      <w:r w:rsidRPr="003B188F">
        <w:rPr>
          <w:spacing w:val="-2"/>
          <w:szCs w:val="16"/>
        </w:rPr>
        <w:t xml:space="preserve"> </w:t>
      </w:r>
      <w:bookmarkEnd w:id="56"/>
      <w:r w:rsidR="00B425B5">
        <w:rPr>
          <w:spacing w:val="-1"/>
          <w:szCs w:val="16"/>
        </w:rPr>
        <w:t>9 November 2023</w:t>
      </w:r>
    </w:p>
  </w:footnote>
  <w:footnote w:id="10">
    <w:p w14:paraId="36AAF1B3" w14:textId="5D56D4C4" w:rsidR="00D3454D" w:rsidRPr="003B188F" w:rsidRDefault="00D3454D" w:rsidP="00D61BE1">
      <w:pPr>
        <w:pStyle w:val="Footnote"/>
        <w:rPr>
          <w:rFonts w:ascii="Times New Roman" w:hAnsi="Times New Roman"/>
          <w:szCs w:val="16"/>
        </w:rPr>
      </w:pPr>
      <w:r w:rsidRPr="003B188F">
        <w:rPr>
          <w:rStyle w:val="FootnoteReference"/>
          <w:szCs w:val="16"/>
        </w:rPr>
        <w:footnoteRef/>
      </w:r>
      <w:r w:rsidRPr="003B188F">
        <w:rPr>
          <w:szCs w:val="16"/>
        </w:rPr>
        <w:t xml:space="preserve"> Australian Institute</w:t>
      </w:r>
      <w:r w:rsidRPr="003B188F">
        <w:rPr>
          <w:spacing w:val="-1"/>
          <w:szCs w:val="16"/>
        </w:rPr>
        <w:t xml:space="preserve"> </w:t>
      </w:r>
      <w:r w:rsidRPr="003B188F">
        <w:rPr>
          <w:szCs w:val="16"/>
        </w:rPr>
        <w:t>of</w:t>
      </w:r>
      <w:r w:rsidRPr="003B188F">
        <w:rPr>
          <w:spacing w:val="-1"/>
          <w:szCs w:val="16"/>
        </w:rPr>
        <w:t xml:space="preserve"> </w:t>
      </w:r>
      <w:r w:rsidRPr="003B188F">
        <w:rPr>
          <w:szCs w:val="16"/>
        </w:rPr>
        <w:t>Health</w:t>
      </w:r>
      <w:r w:rsidRPr="003B188F">
        <w:rPr>
          <w:spacing w:val="-2"/>
          <w:szCs w:val="16"/>
        </w:rPr>
        <w:t xml:space="preserve"> </w:t>
      </w:r>
      <w:r w:rsidRPr="003B188F">
        <w:rPr>
          <w:szCs w:val="16"/>
        </w:rPr>
        <w:t>and</w:t>
      </w:r>
      <w:r w:rsidRPr="003B188F">
        <w:rPr>
          <w:spacing w:val="-6"/>
          <w:szCs w:val="16"/>
        </w:rPr>
        <w:t xml:space="preserve"> </w:t>
      </w:r>
      <w:r w:rsidRPr="003B188F">
        <w:rPr>
          <w:szCs w:val="16"/>
        </w:rPr>
        <w:t>Welfare</w:t>
      </w:r>
      <w:r w:rsidRPr="003B188F">
        <w:rPr>
          <w:spacing w:val="-1"/>
          <w:szCs w:val="16"/>
        </w:rPr>
        <w:t>,</w:t>
      </w:r>
      <w:r w:rsidRPr="003B188F">
        <w:rPr>
          <w:szCs w:val="16"/>
        </w:rPr>
        <w:t xml:space="preserve"> </w:t>
      </w:r>
      <w:hyperlink r:id="rId8" w:history="1">
        <w:r w:rsidRPr="003B188F">
          <w:rPr>
            <w:rStyle w:val="Hyperlink"/>
            <w:color w:val="0000FF"/>
            <w:szCs w:val="16"/>
            <w:u w:color="0000FF"/>
          </w:rPr>
          <w:t>Data Dictionary, METeOR ID: 711010</w:t>
        </w:r>
      </w:hyperlink>
      <w:r w:rsidRPr="003B188F">
        <w:rPr>
          <w:szCs w:val="16"/>
        </w:rPr>
        <w:t>,</w:t>
      </w:r>
      <w:r w:rsidRPr="003B188F">
        <w:rPr>
          <w:spacing w:val="-3"/>
          <w:szCs w:val="16"/>
        </w:rPr>
        <w:t xml:space="preserve"> </w:t>
      </w:r>
      <w:r w:rsidRPr="003B188F">
        <w:rPr>
          <w:szCs w:val="16"/>
        </w:rPr>
        <w:t>date</w:t>
      </w:r>
      <w:r w:rsidRPr="003B188F">
        <w:rPr>
          <w:spacing w:val="-1"/>
          <w:szCs w:val="16"/>
        </w:rPr>
        <w:t xml:space="preserve"> </w:t>
      </w:r>
      <w:r w:rsidRPr="003B188F">
        <w:rPr>
          <w:szCs w:val="16"/>
        </w:rPr>
        <w:t>viewed</w:t>
      </w:r>
      <w:r w:rsidRPr="003B188F">
        <w:rPr>
          <w:spacing w:val="-1"/>
          <w:szCs w:val="16"/>
        </w:rPr>
        <w:t xml:space="preserve"> </w:t>
      </w:r>
      <w:r w:rsidR="00B425B5">
        <w:rPr>
          <w:spacing w:val="-1"/>
          <w:szCs w:val="16"/>
        </w:rPr>
        <w:t>9 November 2023</w:t>
      </w:r>
    </w:p>
  </w:footnote>
  <w:footnote w:id="11">
    <w:p w14:paraId="7B0652E3" w14:textId="150026F9" w:rsidR="00D3454D" w:rsidRPr="00D61BE1" w:rsidRDefault="00D3454D" w:rsidP="00D61BE1">
      <w:pPr>
        <w:pStyle w:val="Footnote"/>
        <w:rPr>
          <w:rFonts w:ascii="Times New Roman" w:hAnsi="Times New Roman"/>
        </w:rPr>
      </w:pPr>
      <w:r w:rsidRPr="003B188F">
        <w:rPr>
          <w:rStyle w:val="FootnoteReference"/>
          <w:szCs w:val="16"/>
        </w:rPr>
        <w:footnoteRef/>
      </w:r>
      <w:r w:rsidRPr="003B188F">
        <w:rPr>
          <w:szCs w:val="16"/>
        </w:rPr>
        <w:t xml:space="preserve"> Independent</w:t>
      </w:r>
      <w:r w:rsidRPr="003B188F">
        <w:rPr>
          <w:spacing w:val="-3"/>
          <w:szCs w:val="16"/>
        </w:rPr>
        <w:t xml:space="preserve"> </w:t>
      </w:r>
      <w:r w:rsidRPr="003B188F">
        <w:rPr>
          <w:szCs w:val="16"/>
        </w:rPr>
        <w:t>Health and Aged Care Pricing</w:t>
      </w:r>
      <w:r w:rsidRPr="003B188F">
        <w:rPr>
          <w:spacing w:val="-3"/>
          <w:szCs w:val="16"/>
        </w:rPr>
        <w:t xml:space="preserve"> </w:t>
      </w:r>
      <w:r w:rsidRPr="003B188F">
        <w:rPr>
          <w:szCs w:val="16"/>
        </w:rPr>
        <w:t>Authority,</w:t>
      </w:r>
      <w:r w:rsidRPr="003B188F">
        <w:rPr>
          <w:spacing w:val="-2"/>
          <w:szCs w:val="16"/>
        </w:rPr>
        <w:t xml:space="preserve"> </w:t>
      </w:r>
      <w:hyperlink r:id="rId9">
        <w:r w:rsidRPr="003B188F">
          <w:rPr>
            <w:color w:val="0000FF"/>
            <w:szCs w:val="16"/>
            <w:u w:val="single" w:color="0000FF"/>
          </w:rPr>
          <w:t>Australian</w:t>
        </w:r>
        <w:r w:rsidRPr="003B188F">
          <w:rPr>
            <w:color w:val="0000FF"/>
            <w:spacing w:val="-2"/>
            <w:szCs w:val="16"/>
            <w:u w:val="single" w:color="0000FF"/>
          </w:rPr>
          <w:t xml:space="preserve"> </w:t>
        </w:r>
        <w:r w:rsidRPr="003B188F">
          <w:rPr>
            <w:color w:val="0000FF"/>
            <w:szCs w:val="16"/>
            <w:u w:val="single" w:color="0000FF"/>
          </w:rPr>
          <w:t>Hospital</w:t>
        </w:r>
        <w:r w:rsidRPr="003B188F">
          <w:rPr>
            <w:color w:val="0000FF"/>
            <w:spacing w:val="-3"/>
            <w:szCs w:val="16"/>
            <w:u w:val="single" w:color="0000FF"/>
          </w:rPr>
          <w:t xml:space="preserve"> </w:t>
        </w:r>
        <w:r w:rsidRPr="003B188F">
          <w:rPr>
            <w:color w:val="0000FF"/>
            <w:szCs w:val="16"/>
            <w:u w:val="single" w:color="0000FF"/>
          </w:rPr>
          <w:t>Patient</w:t>
        </w:r>
        <w:r w:rsidRPr="003B188F">
          <w:rPr>
            <w:color w:val="0000FF"/>
            <w:spacing w:val="-2"/>
            <w:szCs w:val="16"/>
            <w:u w:val="single" w:color="0000FF"/>
          </w:rPr>
          <w:t xml:space="preserve"> </w:t>
        </w:r>
        <w:r w:rsidRPr="003B188F">
          <w:rPr>
            <w:color w:val="0000FF"/>
            <w:szCs w:val="16"/>
            <w:u w:val="single" w:color="0000FF"/>
          </w:rPr>
          <w:t>Costing</w:t>
        </w:r>
        <w:r w:rsidRPr="003B188F">
          <w:rPr>
            <w:color w:val="0000FF"/>
            <w:spacing w:val="-3"/>
            <w:szCs w:val="16"/>
            <w:u w:val="single" w:color="0000FF"/>
          </w:rPr>
          <w:t xml:space="preserve"> </w:t>
        </w:r>
        <w:r w:rsidRPr="003B188F">
          <w:rPr>
            <w:color w:val="0000FF"/>
            <w:szCs w:val="16"/>
            <w:u w:val="single" w:color="0000FF"/>
          </w:rPr>
          <w:t>Standards</w:t>
        </w:r>
        <w:r w:rsidRPr="003B188F">
          <w:rPr>
            <w:color w:val="0000FF"/>
            <w:spacing w:val="-2"/>
            <w:szCs w:val="16"/>
            <w:u w:val="single" w:color="0000FF"/>
          </w:rPr>
          <w:t xml:space="preserve"> </w:t>
        </w:r>
        <w:r w:rsidRPr="003B188F">
          <w:rPr>
            <w:color w:val="0000FF"/>
            <w:szCs w:val="16"/>
            <w:u w:val="single" w:color="0000FF"/>
          </w:rPr>
          <w:t>Version</w:t>
        </w:r>
        <w:r w:rsidRPr="003B188F">
          <w:rPr>
            <w:color w:val="0000FF"/>
            <w:spacing w:val="-3"/>
            <w:szCs w:val="16"/>
            <w:u w:val="single" w:color="0000FF"/>
          </w:rPr>
          <w:t xml:space="preserve"> </w:t>
        </w:r>
        <w:r w:rsidRPr="003B188F">
          <w:rPr>
            <w:color w:val="0000FF"/>
            <w:szCs w:val="16"/>
            <w:u w:val="single" w:color="0000FF"/>
          </w:rPr>
          <w:t>4.</w:t>
        </w:r>
        <w:r w:rsidR="009E6836" w:rsidRPr="003B188F">
          <w:rPr>
            <w:color w:val="0000FF"/>
            <w:szCs w:val="16"/>
            <w:u w:val="single" w:color="0000FF"/>
          </w:rPr>
          <w:t>1</w:t>
        </w:r>
        <w:r w:rsidRPr="003B188F">
          <w:rPr>
            <w:szCs w:val="16"/>
          </w:rPr>
          <w:t>,</w:t>
        </w:r>
        <w:r w:rsidRPr="003B188F">
          <w:rPr>
            <w:spacing w:val="-1"/>
            <w:szCs w:val="16"/>
          </w:rPr>
          <w:t xml:space="preserve"> </w:t>
        </w:r>
      </w:hyperlink>
      <w:r w:rsidRPr="003B188F">
        <w:rPr>
          <w:szCs w:val="16"/>
        </w:rPr>
        <w:t>viewed</w:t>
      </w:r>
      <w:r w:rsidRPr="002F3010">
        <w:rPr>
          <w:spacing w:val="-1"/>
        </w:rPr>
        <w:t xml:space="preserve"> </w:t>
      </w:r>
      <w:r w:rsidR="00B425B5">
        <w:rPr>
          <w:spacing w:val="-1"/>
          <w:szCs w:val="16"/>
        </w:rPr>
        <w:t>9 November 2023</w:t>
      </w:r>
    </w:p>
  </w:footnote>
  <w:footnote w:id="12">
    <w:p w14:paraId="18B15C7E" w14:textId="3BCB4C89" w:rsidR="0006305C" w:rsidRPr="0006305C" w:rsidRDefault="0006305C">
      <w:pPr>
        <w:pStyle w:val="FootnoteText"/>
      </w:pPr>
      <w:r>
        <w:rPr>
          <w:rStyle w:val="FootnoteReference"/>
        </w:rPr>
        <w:footnoteRef/>
      </w:r>
      <w:r>
        <w:t xml:space="preserve"> </w:t>
      </w:r>
      <w:r w:rsidRPr="0006305C">
        <w:rPr>
          <w:sz w:val="16"/>
          <w:szCs w:val="16"/>
        </w:rPr>
        <w:t xml:space="preserve">Independent Health and Aged Care Pricing Authority, </w:t>
      </w:r>
      <w:hyperlink r:id="rId10" w:history="1">
        <w:r w:rsidRPr="00B425B5">
          <w:rPr>
            <w:rStyle w:val="Hyperlink"/>
            <w:sz w:val="16"/>
            <w:szCs w:val="16"/>
          </w:rPr>
          <w:t>Australian Hospital Patient Costing Standards Version 4.2</w:t>
        </w:r>
      </w:hyperlink>
      <w:r w:rsidRPr="0006305C">
        <w:rPr>
          <w:sz w:val="16"/>
          <w:szCs w:val="16"/>
        </w:rPr>
        <w:t>, viewed</w:t>
      </w:r>
      <w:r w:rsidR="00B425B5">
        <w:rPr>
          <w:sz w:val="16"/>
          <w:szCs w:val="16"/>
        </w:rPr>
        <w:t xml:space="preserve"> </w:t>
      </w:r>
      <w:r>
        <w:rPr>
          <w:sz w:val="16"/>
          <w:szCs w:val="16"/>
        </w:rPr>
        <w:t>9 November 2023</w:t>
      </w:r>
    </w:p>
  </w:footnote>
  <w:footnote w:id="13">
    <w:p w14:paraId="7F4E6883" w14:textId="75B31CCE" w:rsidR="00D3454D" w:rsidRPr="00D61BE1" w:rsidRDefault="00D3454D" w:rsidP="00D61BE1">
      <w:pPr>
        <w:pStyle w:val="Footnote"/>
        <w:rPr>
          <w:rFonts w:ascii="Times New Roman" w:hAnsi="Times New Roman"/>
        </w:rPr>
      </w:pPr>
      <w:r>
        <w:rPr>
          <w:rStyle w:val="FootnoteReference"/>
        </w:rPr>
        <w:footnoteRef/>
      </w:r>
      <w:r>
        <w:t xml:space="preserve"> </w:t>
      </w:r>
      <w:r w:rsidRPr="003D4A6C">
        <w:t>Australian Institute</w:t>
      </w:r>
      <w:r w:rsidRPr="003D4A6C">
        <w:rPr>
          <w:spacing w:val="-2"/>
        </w:rPr>
        <w:t xml:space="preserve"> </w:t>
      </w:r>
      <w:r w:rsidRPr="003D4A6C">
        <w:t>of</w:t>
      </w:r>
      <w:r w:rsidRPr="003D4A6C">
        <w:rPr>
          <w:spacing w:val="-2"/>
        </w:rPr>
        <w:t xml:space="preserve"> </w:t>
      </w:r>
      <w:r w:rsidRPr="003D4A6C">
        <w:t>Health</w:t>
      </w:r>
      <w:r w:rsidRPr="003D4A6C">
        <w:rPr>
          <w:spacing w:val="-3"/>
        </w:rPr>
        <w:t xml:space="preserve"> </w:t>
      </w:r>
      <w:r w:rsidRPr="003D4A6C">
        <w:t>and</w:t>
      </w:r>
      <w:r w:rsidRPr="003D4A6C">
        <w:rPr>
          <w:spacing w:val="-3"/>
        </w:rPr>
        <w:t xml:space="preserve"> </w:t>
      </w:r>
      <w:r w:rsidRPr="003D4A6C">
        <w:t>Welfare</w:t>
      </w:r>
      <w:r w:rsidRPr="003B188F">
        <w:rPr>
          <w:szCs w:val="16"/>
        </w:rPr>
        <w:t>,</w:t>
      </w:r>
      <w:r w:rsidRPr="003B188F">
        <w:rPr>
          <w:spacing w:val="-3"/>
          <w:szCs w:val="16"/>
        </w:rPr>
        <w:t xml:space="preserve"> </w:t>
      </w:r>
      <w:hyperlink r:id="rId11">
        <w:r w:rsidRPr="003B188F">
          <w:rPr>
            <w:color w:val="0000FF"/>
            <w:szCs w:val="16"/>
            <w:u w:val="single" w:color="0000FF"/>
          </w:rPr>
          <w:t>Data</w:t>
        </w:r>
        <w:r w:rsidRPr="003B188F">
          <w:rPr>
            <w:color w:val="0000FF"/>
            <w:spacing w:val="-3"/>
            <w:szCs w:val="16"/>
            <w:u w:val="single" w:color="0000FF"/>
          </w:rPr>
          <w:t xml:space="preserve"> </w:t>
        </w:r>
        <w:r w:rsidRPr="003B188F">
          <w:rPr>
            <w:color w:val="0000FF"/>
            <w:szCs w:val="16"/>
            <w:u w:val="single" w:color="0000FF"/>
          </w:rPr>
          <w:t>Dictionary,</w:t>
        </w:r>
        <w:r w:rsidRPr="003B188F">
          <w:rPr>
            <w:color w:val="0000FF"/>
            <w:spacing w:val="-1"/>
            <w:szCs w:val="16"/>
            <w:u w:val="single" w:color="0000FF"/>
          </w:rPr>
          <w:t xml:space="preserve"> </w:t>
        </w:r>
        <w:r w:rsidRPr="003B188F">
          <w:rPr>
            <w:color w:val="0000FF"/>
            <w:szCs w:val="16"/>
            <w:u w:val="single" w:color="0000FF"/>
          </w:rPr>
          <w:t>METeOR ID:</w:t>
        </w:r>
        <w:r w:rsidRPr="003B188F">
          <w:rPr>
            <w:color w:val="0000FF"/>
            <w:spacing w:val="-3"/>
            <w:szCs w:val="16"/>
            <w:u w:val="single" w:color="0000FF"/>
          </w:rPr>
          <w:t xml:space="preserve"> </w:t>
        </w:r>
        <w:r w:rsidRPr="003B188F">
          <w:rPr>
            <w:color w:val="0000FF"/>
            <w:szCs w:val="16"/>
            <w:u w:val="single" w:color="0000FF"/>
          </w:rPr>
          <w:t>327254</w:t>
        </w:r>
        <w:r w:rsidRPr="003B188F">
          <w:rPr>
            <w:szCs w:val="16"/>
          </w:rPr>
          <w:t>,</w:t>
        </w:r>
        <w:r w:rsidRPr="003B188F">
          <w:rPr>
            <w:spacing w:val="-2"/>
            <w:szCs w:val="16"/>
          </w:rPr>
          <w:t xml:space="preserve"> </w:t>
        </w:r>
      </w:hyperlink>
      <w:r w:rsidRPr="003B188F">
        <w:rPr>
          <w:szCs w:val="16"/>
        </w:rPr>
        <w:t>viewed</w:t>
      </w:r>
      <w:r w:rsidRPr="003B188F">
        <w:rPr>
          <w:spacing w:val="-1"/>
          <w:szCs w:val="16"/>
        </w:rPr>
        <w:t xml:space="preserve"> </w:t>
      </w:r>
      <w:r w:rsidR="00B425B5">
        <w:rPr>
          <w:szCs w:val="16"/>
        </w:rPr>
        <w:t>9 November 2023</w:t>
      </w:r>
    </w:p>
  </w:footnote>
  <w:footnote w:id="14">
    <w:p w14:paraId="22976C21" w14:textId="25CA14C6" w:rsidR="00D3454D" w:rsidRPr="001B64CA" w:rsidRDefault="00D3454D" w:rsidP="00AA3CAC">
      <w:pPr>
        <w:pStyle w:val="Footnote"/>
        <w:rPr>
          <w:rFonts w:ascii="Times New Roman" w:hAnsi="Times New Roman"/>
        </w:rPr>
      </w:pPr>
      <w:r>
        <w:rPr>
          <w:rStyle w:val="FootnoteReference"/>
        </w:rPr>
        <w:footnoteRef/>
      </w:r>
      <w:r>
        <w:t xml:space="preserve"> Independent Health and Aged Care Pricing Authority</w:t>
      </w:r>
      <w:r w:rsidRPr="008F21C4">
        <w:t>,</w:t>
      </w:r>
      <w:r w:rsidRPr="008F21C4">
        <w:rPr>
          <w:spacing w:val="-1"/>
        </w:rPr>
        <w:t xml:space="preserve"> </w:t>
      </w:r>
      <w:hyperlink r:id="rId12">
        <w:r w:rsidRPr="003D4A6C">
          <w:rPr>
            <w:color w:val="0000FF"/>
            <w:spacing w:val="-2"/>
            <w:u w:val="single"/>
          </w:rPr>
          <w:t>COVID-19 Response - Costing and pricing guidelines</w:t>
        </w:r>
      </w:hyperlink>
      <w:r>
        <w:rPr>
          <w:spacing w:val="-2"/>
        </w:rPr>
        <w:t xml:space="preserve">, </w:t>
      </w:r>
      <w:r w:rsidRPr="008F21C4">
        <w:t>viewed</w:t>
      </w:r>
      <w:r w:rsidRPr="008F21C4">
        <w:rPr>
          <w:spacing w:val="-1"/>
        </w:rPr>
        <w:t xml:space="preserve"> </w:t>
      </w:r>
      <w:r w:rsidR="00241DBE">
        <w:rPr>
          <w:szCs w:val="16"/>
        </w:rPr>
        <w:t>9 November 2023</w:t>
      </w:r>
    </w:p>
  </w:footnote>
  <w:footnote w:id="15">
    <w:p w14:paraId="0E133F4D" w14:textId="5B049BAA" w:rsidR="00D3454D" w:rsidRPr="00E13965" w:rsidRDefault="00D3454D" w:rsidP="00E13965">
      <w:pPr>
        <w:pStyle w:val="Footnote"/>
        <w:rPr>
          <w:color w:val="auto"/>
        </w:rPr>
      </w:pPr>
      <w:r>
        <w:rPr>
          <w:rStyle w:val="FootnoteReference"/>
        </w:rPr>
        <w:footnoteRef/>
      </w:r>
      <w:r>
        <w:t xml:space="preserve"> AR-DRG</w:t>
      </w:r>
      <w:r>
        <w:rPr>
          <w:spacing w:val="-3"/>
        </w:rPr>
        <w:t xml:space="preserve"> </w:t>
      </w:r>
      <w:r>
        <w:t>flipping</w:t>
      </w:r>
      <w:r>
        <w:rPr>
          <w:spacing w:val="-1"/>
        </w:rPr>
        <w:t xml:space="preserve"> </w:t>
      </w:r>
      <w:r>
        <w:t>occurs</w:t>
      </w:r>
      <w:r>
        <w:rPr>
          <w:spacing w:val="-1"/>
        </w:rPr>
        <w:t xml:space="preserve"> </w:t>
      </w:r>
      <w:r>
        <w:t>when</w:t>
      </w:r>
      <w:r>
        <w:rPr>
          <w:spacing w:val="-2"/>
        </w:rPr>
        <w:t xml:space="preserve"> </w:t>
      </w:r>
      <w:r>
        <w:t>the</w:t>
      </w:r>
      <w:r>
        <w:rPr>
          <w:spacing w:val="-1"/>
        </w:rPr>
        <w:t xml:space="preserve"> </w:t>
      </w:r>
      <w:r>
        <w:t>cost</w:t>
      </w:r>
      <w:r>
        <w:rPr>
          <w:spacing w:val="1"/>
        </w:rPr>
        <w:t xml:space="preserve"> </w:t>
      </w:r>
      <w:r>
        <w:t>weight</w:t>
      </w:r>
      <w:r>
        <w:rPr>
          <w:spacing w:val="-1"/>
        </w:rPr>
        <w:t xml:space="preserve"> </w:t>
      </w:r>
      <w:r>
        <w:t>of</w:t>
      </w:r>
      <w:r>
        <w:rPr>
          <w:spacing w:val="-1"/>
        </w:rPr>
        <w:t xml:space="preserve"> </w:t>
      </w:r>
      <w:r>
        <w:t>a</w:t>
      </w:r>
      <w:r>
        <w:rPr>
          <w:spacing w:val="-2"/>
        </w:rPr>
        <w:t xml:space="preserve"> </w:t>
      </w:r>
      <w:r>
        <w:t>lower</w:t>
      </w:r>
      <w:r>
        <w:rPr>
          <w:spacing w:val="-2"/>
        </w:rPr>
        <w:t xml:space="preserve"> </w:t>
      </w:r>
      <w:r>
        <w:t>complexity</w:t>
      </w:r>
      <w:r>
        <w:rPr>
          <w:spacing w:val="-5"/>
        </w:rPr>
        <w:t xml:space="preserve"> AR-</w:t>
      </w:r>
      <w:r>
        <w:t>DRG</w:t>
      </w:r>
      <w:r>
        <w:rPr>
          <w:spacing w:val="-1"/>
        </w:rPr>
        <w:t xml:space="preserve"> </w:t>
      </w:r>
      <w:r>
        <w:t>within the</w:t>
      </w:r>
      <w:r>
        <w:rPr>
          <w:spacing w:val="-1"/>
        </w:rPr>
        <w:t xml:space="preserve"> </w:t>
      </w:r>
      <w:r>
        <w:t>related</w:t>
      </w:r>
      <w:r>
        <w:rPr>
          <w:spacing w:val="-1"/>
        </w:rPr>
        <w:t xml:space="preserve"> </w:t>
      </w:r>
      <w:r>
        <w:t>adjacent</w:t>
      </w:r>
      <w:r>
        <w:rPr>
          <w:spacing w:val="-1"/>
        </w:rPr>
        <w:t xml:space="preserve"> AR-</w:t>
      </w:r>
      <w:r>
        <w:t>DRG</w:t>
      </w:r>
      <w:r>
        <w:rPr>
          <w:spacing w:val="-3"/>
        </w:rPr>
        <w:t xml:space="preserve"> </w:t>
      </w:r>
      <w:r>
        <w:t>is</w:t>
      </w:r>
      <w:r>
        <w:rPr>
          <w:spacing w:val="1"/>
        </w:rPr>
        <w:t xml:space="preserve"> </w:t>
      </w:r>
      <w:r>
        <w:t>higher</w:t>
      </w:r>
      <w:r>
        <w:rPr>
          <w:spacing w:val="-3"/>
        </w:rPr>
        <w:t xml:space="preserve"> </w:t>
      </w:r>
      <w:r>
        <w:t>than</w:t>
      </w:r>
      <w:r>
        <w:rPr>
          <w:spacing w:val="-1"/>
        </w:rPr>
        <w:t xml:space="preserve"> </w:t>
      </w:r>
      <w:r>
        <w:t>the</w:t>
      </w:r>
      <w:r>
        <w:rPr>
          <w:spacing w:val="-1"/>
        </w:rPr>
        <w:t xml:space="preserve"> </w:t>
      </w:r>
      <w:r>
        <w:t>one</w:t>
      </w:r>
      <w:r>
        <w:rPr>
          <w:spacing w:val="-1"/>
        </w:rPr>
        <w:t xml:space="preserve"> </w:t>
      </w:r>
      <w:r>
        <w:t>with</w:t>
      </w:r>
      <w:r>
        <w:rPr>
          <w:spacing w:val="-2"/>
        </w:rPr>
        <w:t xml:space="preserve"> </w:t>
      </w:r>
      <w:r>
        <w:t>greater</w:t>
      </w:r>
      <w:r>
        <w:rPr>
          <w:spacing w:val="-3"/>
        </w:rPr>
        <w:t xml:space="preserve"> </w:t>
      </w:r>
      <w:r>
        <w:t>complexity.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941217"/>
      <w:docPartObj>
        <w:docPartGallery w:val="Watermarks"/>
        <w:docPartUnique/>
      </w:docPartObj>
    </w:sdtPr>
    <w:sdtContent>
      <w:p w14:paraId="4B0FD8C6" w14:textId="0EA7E66B" w:rsidR="00EC04B8" w:rsidRPr="00DF244A" w:rsidRDefault="00EC04B8" w:rsidP="00EC04B8">
        <w:pPr>
          <w:pStyle w:val="Header"/>
        </w:pPr>
        <w:r>
          <w:rPr>
            <w:noProof/>
            <w:lang w:val="en-US"/>
          </w:rPr>
          <w:drawing>
            <wp:anchor distT="0" distB="0" distL="114300" distR="114300" simplePos="0" relativeHeight="251655167" behindDoc="1" locked="0" layoutInCell="1" allowOverlap="1" wp14:anchorId="050DE373" wp14:editId="3A7EECAF">
              <wp:simplePos x="0" y="0"/>
              <wp:positionH relativeFrom="margin">
                <wp:posOffset>-685800</wp:posOffset>
              </wp:positionH>
              <wp:positionV relativeFrom="paragraph">
                <wp:posOffset>-440955</wp:posOffset>
              </wp:positionV>
              <wp:extent cx="7573925" cy="10712174"/>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0E550E66" w14:textId="00E4EC99" w:rsidR="00D3454D" w:rsidRDefault="00D345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EEB6" w14:textId="11DA3B24" w:rsidR="00990DC9" w:rsidRDefault="00990D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26CD" w14:textId="21FD7FC0" w:rsidR="00D3454D" w:rsidRPr="00DF244A" w:rsidRDefault="00D3454D" w:rsidP="00DF24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101943"/>
      <w:docPartObj>
        <w:docPartGallery w:val="Watermarks"/>
        <w:docPartUnique/>
      </w:docPartObj>
    </w:sdtPr>
    <w:sdtContent>
      <w:p w14:paraId="1A0B97BB" w14:textId="151AA6B8" w:rsidR="00EC04B8" w:rsidRPr="00DF244A" w:rsidRDefault="00EC04B8" w:rsidP="00EC04B8">
        <w:pPr>
          <w:pStyle w:val="Header"/>
        </w:pPr>
        <w:r>
          <w:rPr>
            <w:noProof/>
            <w:lang w:val="en-US"/>
          </w:rPr>
          <w:drawing>
            <wp:anchor distT="0" distB="0" distL="114300" distR="114300" simplePos="0" relativeHeight="251656192" behindDoc="1" locked="0" layoutInCell="1" allowOverlap="1" wp14:anchorId="1C3073B7" wp14:editId="69E8889B">
              <wp:simplePos x="0" y="0"/>
              <wp:positionH relativeFrom="column">
                <wp:posOffset>-684530</wp:posOffset>
              </wp:positionH>
              <wp:positionV relativeFrom="paragraph">
                <wp:posOffset>-443304</wp:posOffset>
              </wp:positionV>
              <wp:extent cx="7565082" cy="10699668"/>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082"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33AD58B2" w14:textId="3DD875EF" w:rsidR="00D3454D" w:rsidRDefault="00D345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A15"/>
    <w:multiLevelType w:val="hybridMultilevel"/>
    <w:tmpl w:val="FD66C630"/>
    <w:lvl w:ilvl="0" w:tplc="FFFFFFFF">
      <w:numFmt w:val="bullet"/>
      <w:lvlText w:val="–"/>
      <w:lvlJc w:val="left"/>
      <w:pPr>
        <w:ind w:left="720" w:hanging="720"/>
      </w:pPr>
      <w:rPr>
        <w:rFonts w:ascii="Fira Sans regular" w:eastAsiaTheme="minorHAnsi" w:hAnsi="Fira Sans regular" w:cstheme="minorBidi" w:hint="default"/>
      </w:rPr>
    </w:lvl>
    <w:lvl w:ilvl="1" w:tplc="5E622CB2">
      <w:numFmt w:val="bullet"/>
      <w:pStyle w:val="ListLevel1"/>
      <w:lvlText w:val="–"/>
      <w:lvlJc w:val="left"/>
      <w:pPr>
        <w:ind w:left="1069" w:hanging="360"/>
      </w:pPr>
      <w:rPr>
        <w:rFonts w:ascii="Fira Sans regular" w:eastAsiaTheme="minorHAnsi" w:hAnsi="Fira Sans regular" w:cstheme="minorBidi" w:hint="default"/>
      </w:rPr>
    </w:lvl>
    <w:lvl w:ilvl="2" w:tplc="0EFC5EFA">
      <w:numFmt w:val="bullet"/>
      <w:lvlText w:val="•"/>
      <w:lvlJc w:val="left"/>
      <w:pPr>
        <w:ind w:left="1800" w:hanging="360"/>
      </w:pPr>
      <w:rPr>
        <w:rFonts w:hint="default"/>
        <w:lang w:val="en-AU" w:eastAsia="en-US" w:bidi="ar-SA"/>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25C3A77"/>
    <w:multiLevelType w:val="hybridMultilevel"/>
    <w:tmpl w:val="5B3A5A58"/>
    <w:lvl w:ilvl="0" w:tplc="4AB0C232">
      <w:start w:val="1"/>
      <w:numFmt w:val="lowerLetter"/>
      <w:lvlText w:val="(%1)"/>
      <w:lvlJc w:val="left"/>
      <w:pPr>
        <w:ind w:left="720" w:hanging="360"/>
      </w:pPr>
      <w:rPr>
        <w:rFonts w:ascii="Arial" w:eastAsia="Arial" w:hAnsi="Arial" w:cs="Arial"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E0040B"/>
    <w:multiLevelType w:val="hybridMultilevel"/>
    <w:tmpl w:val="A6C2DC8A"/>
    <w:lvl w:ilvl="0" w:tplc="5B1EE68E">
      <w:start w:val="1"/>
      <w:numFmt w:val="decimal"/>
      <w:lvlText w:val="%1."/>
      <w:lvlJc w:val="left"/>
      <w:pPr>
        <w:ind w:left="545" w:hanging="426"/>
      </w:pPr>
      <w:rPr>
        <w:rFonts w:ascii="Arial" w:eastAsia="Arial" w:hAnsi="Arial" w:cs="Arial" w:hint="default"/>
        <w:spacing w:val="-1"/>
        <w:w w:val="100"/>
        <w:sz w:val="22"/>
        <w:szCs w:val="22"/>
        <w:lang w:val="en-AU" w:eastAsia="en-US" w:bidi="ar-SA"/>
      </w:rPr>
    </w:lvl>
    <w:lvl w:ilvl="1" w:tplc="8D7899F4">
      <w:numFmt w:val="bullet"/>
      <w:lvlText w:val="•"/>
      <w:lvlJc w:val="left"/>
      <w:pPr>
        <w:ind w:left="743" w:hanging="426"/>
      </w:pPr>
      <w:rPr>
        <w:lang w:val="en-AU" w:eastAsia="en-US" w:bidi="ar-SA"/>
      </w:rPr>
    </w:lvl>
    <w:lvl w:ilvl="2" w:tplc="A3F0ACA2">
      <w:numFmt w:val="bullet"/>
      <w:lvlText w:val="•"/>
      <w:lvlJc w:val="left"/>
      <w:pPr>
        <w:ind w:left="947" w:hanging="426"/>
      </w:pPr>
      <w:rPr>
        <w:lang w:val="en-AU" w:eastAsia="en-US" w:bidi="ar-SA"/>
      </w:rPr>
    </w:lvl>
    <w:lvl w:ilvl="3" w:tplc="5410740A">
      <w:numFmt w:val="bullet"/>
      <w:lvlText w:val="•"/>
      <w:lvlJc w:val="left"/>
      <w:pPr>
        <w:ind w:left="1151" w:hanging="426"/>
      </w:pPr>
      <w:rPr>
        <w:lang w:val="en-AU" w:eastAsia="en-US" w:bidi="ar-SA"/>
      </w:rPr>
    </w:lvl>
    <w:lvl w:ilvl="4" w:tplc="295E4890">
      <w:numFmt w:val="bullet"/>
      <w:lvlText w:val="•"/>
      <w:lvlJc w:val="left"/>
      <w:pPr>
        <w:ind w:left="1355" w:hanging="426"/>
      </w:pPr>
      <w:rPr>
        <w:lang w:val="en-AU" w:eastAsia="en-US" w:bidi="ar-SA"/>
      </w:rPr>
    </w:lvl>
    <w:lvl w:ilvl="5" w:tplc="23C0F694">
      <w:numFmt w:val="bullet"/>
      <w:lvlText w:val="•"/>
      <w:lvlJc w:val="left"/>
      <w:pPr>
        <w:ind w:left="1559" w:hanging="426"/>
      </w:pPr>
      <w:rPr>
        <w:lang w:val="en-AU" w:eastAsia="en-US" w:bidi="ar-SA"/>
      </w:rPr>
    </w:lvl>
    <w:lvl w:ilvl="6" w:tplc="4C4083EE">
      <w:numFmt w:val="bullet"/>
      <w:lvlText w:val="•"/>
      <w:lvlJc w:val="left"/>
      <w:pPr>
        <w:ind w:left="1763" w:hanging="426"/>
      </w:pPr>
      <w:rPr>
        <w:lang w:val="en-AU" w:eastAsia="en-US" w:bidi="ar-SA"/>
      </w:rPr>
    </w:lvl>
    <w:lvl w:ilvl="7" w:tplc="A47A4D36">
      <w:numFmt w:val="bullet"/>
      <w:lvlText w:val="•"/>
      <w:lvlJc w:val="left"/>
      <w:pPr>
        <w:ind w:left="1967" w:hanging="426"/>
      </w:pPr>
      <w:rPr>
        <w:lang w:val="en-AU" w:eastAsia="en-US" w:bidi="ar-SA"/>
      </w:rPr>
    </w:lvl>
    <w:lvl w:ilvl="8" w:tplc="A05697DC">
      <w:numFmt w:val="bullet"/>
      <w:lvlText w:val="•"/>
      <w:lvlJc w:val="left"/>
      <w:pPr>
        <w:ind w:left="2171" w:hanging="426"/>
      </w:pPr>
      <w:rPr>
        <w:lang w:val="en-AU" w:eastAsia="en-US" w:bidi="ar-SA"/>
      </w:rPr>
    </w:lvl>
  </w:abstractNum>
  <w:abstractNum w:abstractNumId="3" w15:restartNumberingAfterBreak="0">
    <w:nsid w:val="076F4DFD"/>
    <w:multiLevelType w:val="hybridMultilevel"/>
    <w:tmpl w:val="2BA85170"/>
    <w:lvl w:ilvl="0" w:tplc="4912B8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577F29"/>
    <w:multiLevelType w:val="hybridMultilevel"/>
    <w:tmpl w:val="B3762790"/>
    <w:lvl w:ilvl="0" w:tplc="93AA8C6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505D1E"/>
    <w:multiLevelType w:val="hybridMultilevel"/>
    <w:tmpl w:val="ABA8EF96"/>
    <w:lvl w:ilvl="0" w:tplc="0409001B">
      <w:start w:val="1"/>
      <w:numFmt w:val="lowerRoman"/>
      <w:lvlText w:val="%1."/>
      <w:lvlJc w:val="right"/>
      <w:pPr>
        <w:ind w:left="360" w:hanging="360"/>
      </w:pPr>
      <w:rPr>
        <w:rFonts w:hint="default"/>
        <w:spacing w:val="-1"/>
        <w:w w:val="99"/>
        <w:sz w:val="14"/>
        <w:szCs w:val="14"/>
        <w:lang w:val="en-AU" w:eastAsia="en-US" w:bidi="ar-SA"/>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A5937F3"/>
    <w:multiLevelType w:val="hybridMultilevel"/>
    <w:tmpl w:val="370C56CE"/>
    <w:lvl w:ilvl="0" w:tplc="F1E6AF9A">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E6721"/>
    <w:multiLevelType w:val="hybridMultilevel"/>
    <w:tmpl w:val="3AA663D6"/>
    <w:lvl w:ilvl="0" w:tplc="A57CF82C">
      <w:numFmt w:val="bullet"/>
      <w:lvlText w:val=""/>
      <w:lvlJc w:val="left"/>
      <w:pPr>
        <w:ind w:left="476" w:hanging="356"/>
      </w:pPr>
      <w:rPr>
        <w:rFonts w:ascii="Symbol" w:eastAsia="Symbol" w:hAnsi="Symbol" w:cs="Symbol" w:hint="default"/>
        <w:w w:val="100"/>
        <w:sz w:val="22"/>
        <w:szCs w:val="22"/>
        <w:lang w:val="en-AU" w:eastAsia="en-US" w:bidi="ar-SA"/>
      </w:rPr>
    </w:lvl>
    <w:lvl w:ilvl="1" w:tplc="506A8A56">
      <w:numFmt w:val="bullet"/>
      <w:lvlText w:val="•"/>
      <w:lvlJc w:val="left"/>
      <w:pPr>
        <w:ind w:left="1367" w:hanging="356"/>
      </w:pPr>
      <w:rPr>
        <w:rFonts w:hint="default"/>
        <w:lang w:val="en-AU" w:eastAsia="en-US" w:bidi="ar-SA"/>
      </w:rPr>
    </w:lvl>
    <w:lvl w:ilvl="2" w:tplc="6ACA2938">
      <w:numFmt w:val="bullet"/>
      <w:lvlText w:val="•"/>
      <w:lvlJc w:val="left"/>
      <w:pPr>
        <w:ind w:left="2252" w:hanging="356"/>
      </w:pPr>
      <w:rPr>
        <w:rFonts w:hint="default"/>
        <w:lang w:val="en-AU" w:eastAsia="en-US" w:bidi="ar-SA"/>
      </w:rPr>
    </w:lvl>
    <w:lvl w:ilvl="3" w:tplc="BB9E3CF0">
      <w:numFmt w:val="bullet"/>
      <w:lvlText w:val="•"/>
      <w:lvlJc w:val="left"/>
      <w:pPr>
        <w:ind w:left="3136" w:hanging="356"/>
      </w:pPr>
      <w:rPr>
        <w:rFonts w:hint="default"/>
        <w:lang w:val="en-AU" w:eastAsia="en-US" w:bidi="ar-SA"/>
      </w:rPr>
    </w:lvl>
    <w:lvl w:ilvl="4" w:tplc="1DEC5C66">
      <w:numFmt w:val="bullet"/>
      <w:lvlText w:val="•"/>
      <w:lvlJc w:val="left"/>
      <w:pPr>
        <w:ind w:left="4021" w:hanging="356"/>
      </w:pPr>
      <w:rPr>
        <w:rFonts w:hint="default"/>
        <w:lang w:val="en-AU" w:eastAsia="en-US" w:bidi="ar-SA"/>
      </w:rPr>
    </w:lvl>
    <w:lvl w:ilvl="5" w:tplc="1A686C10">
      <w:numFmt w:val="bullet"/>
      <w:lvlText w:val="•"/>
      <w:lvlJc w:val="left"/>
      <w:pPr>
        <w:ind w:left="4906" w:hanging="356"/>
      </w:pPr>
      <w:rPr>
        <w:rFonts w:hint="default"/>
        <w:lang w:val="en-AU" w:eastAsia="en-US" w:bidi="ar-SA"/>
      </w:rPr>
    </w:lvl>
    <w:lvl w:ilvl="6" w:tplc="2E8C24C4">
      <w:numFmt w:val="bullet"/>
      <w:lvlText w:val="•"/>
      <w:lvlJc w:val="left"/>
      <w:pPr>
        <w:ind w:left="5790" w:hanging="356"/>
      </w:pPr>
      <w:rPr>
        <w:rFonts w:hint="default"/>
        <w:lang w:val="en-AU" w:eastAsia="en-US" w:bidi="ar-SA"/>
      </w:rPr>
    </w:lvl>
    <w:lvl w:ilvl="7" w:tplc="E58E0790">
      <w:numFmt w:val="bullet"/>
      <w:lvlText w:val="•"/>
      <w:lvlJc w:val="left"/>
      <w:pPr>
        <w:ind w:left="6675" w:hanging="356"/>
      </w:pPr>
      <w:rPr>
        <w:rFonts w:hint="default"/>
        <w:lang w:val="en-AU" w:eastAsia="en-US" w:bidi="ar-SA"/>
      </w:rPr>
    </w:lvl>
    <w:lvl w:ilvl="8" w:tplc="846A3D2E">
      <w:numFmt w:val="bullet"/>
      <w:lvlText w:val="•"/>
      <w:lvlJc w:val="left"/>
      <w:pPr>
        <w:ind w:left="7560" w:hanging="356"/>
      </w:pPr>
      <w:rPr>
        <w:rFonts w:hint="default"/>
        <w:lang w:val="en-AU" w:eastAsia="en-US" w:bidi="ar-SA"/>
      </w:rPr>
    </w:lvl>
  </w:abstractNum>
  <w:abstractNum w:abstractNumId="8" w15:restartNumberingAfterBreak="0">
    <w:nsid w:val="17636783"/>
    <w:multiLevelType w:val="hybridMultilevel"/>
    <w:tmpl w:val="D84A4FB0"/>
    <w:lvl w:ilvl="0" w:tplc="DB12FFCC">
      <w:start w:val="20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2F667D"/>
    <w:multiLevelType w:val="hybridMultilevel"/>
    <w:tmpl w:val="1F90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044A3"/>
    <w:multiLevelType w:val="multilevel"/>
    <w:tmpl w:val="A0D23E74"/>
    <w:lvl w:ilvl="0">
      <w:start w:val="70"/>
      <w:numFmt w:val="decimal"/>
      <w:lvlText w:val="%1"/>
      <w:lvlJc w:val="left"/>
      <w:pPr>
        <w:ind w:left="120" w:hanging="493"/>
      </w:pPr>
      <w:rPr>
        <w:rFonts w:hint="default"/>
        <w:lang w:val="en-AU" w:eastAsia="en-US" w:bidi="ar-SA"/>
      </w:rPr>
    </w:lvl>
    <w:lvl w:ilvl="1">
      <w:numFmt w:val="decimal"/>
      <w:lvlText w:val="%1.%2"/>
      <w:lvlJc w:val="left"/>
      <w:pPr>
        <w:ind w:left="120" w:hanging="493"/>
      </w:pPr>
      <w:rPr>
        <w:rFonts w:ascii="Arial" w:eastAsia="Arial" w:hAnsi="Arial" w:cs="Arial" w:hint="default"/>
        <w:spacing w:val="-1"/>
        <w:w w:val="100"/>
        <w:sz w:val="22"/>
        <w:szCs w:val="22"/>
        <w:lang w:val="en-AU" w:eastAsia="en-US" w:bidi="ar-SA"/>
      </w:rPr>
    </w:lvl>
    <w:lvl w:ilvl="2">
      <w:start w:val="1"/>
      <w:numFmt w:val="lowerRoman"/>
      <w:lvlText w:val="%3."/>
      <w:lvlJc w:val="right"/>
      <w:pPr>
        <w:ind w:left="1229" w:hanging="210"/>
      </w:pPr>
      <w:rPr>
        <w:rFonts w:hint="default"/>
        <w:spacing w:val="-1"/>
        <w:w w:val="99"/>
        <w:sz w:val="14"/>
        <w:szCs w:val="14"/>
        <w:lang w:val="en-AU" w:eastAsia="en-US" w:bidi="ar-SA"/>
      </w:rPr>
    </w:lvl>
    <w:lvl w:ilvl="3">
      <w:numFmt w:val="bullet"/>
      <w:lvlText w:val="•"/>
      <w:lvlJc w:val="left"/>
      <w:pPr>
        <w:ind w:left="3101" w:hanging="210"/>
      </w:pPr>
      <w:rPr>
        <w:rFonts w:hint="default"/>
        <w:lang w:val="en-AU" w:eastAsia="en-US" w:bidi="ar-SA"/>
      </w:rPr>
    </w:lvl>
    <w:lvl w:ilvl="4">
      <w:numFmt w:val="bullet"/>
      <w:lvlText w:val="•"/>
      <w:lvlJc w:val="left"/>
      <w:pPr>
        <w:ind w:left="4042" w:hanging="210"/>
      </w:pPr>
      <w:rPr>
        <w:rFonts w:hint="default"/>
        <w:lang w:val="en-AU" w:eastAsia="en-US" w:bidi="ar-SA"/>
      </w:rPr>
    </w:lvl>
    <w:lvl w:ilvl="5">
      <w:numFmt w:val="bullet"/>
      <w:lvlText w:val="•"/>
      <w:lvlJc w:val="left"/>
      <w:pPr>
        <w:ind w:left="4982" w:hanging="210"/>
      </w:pPr>
      <w:rPr>
        <w:rFonts w:hint="default"/>
        <w:lang w:val="en-AU" w:eastAsia="en-US" w:bidi="ar-SA"/>
      </w:rPr>
    </w:lvl>
    <w:lvl w:ilvl="6">
      <w:numFmt w:val="bullet"/>
      <w:lvlText w:val="•"/>
      <w:lvlJc w:val="left"/>
      <w:pPr>
        <w:ind w:left="5923" w:hanging="210"/>
      </w:pPr>
      <w:rPr>
        <w:rFonts w:hint="default"/>
        <w:lang w:val="en-AU" w:eastAsia="en-US" w:bidi="ar-SA"/>
      </w:rPr>
    </w:lvl>
    <w:lvl w:ilvl="7">
      <w:numFmt w:val="bullet"/>
      <w:lvlText w:val="•"/>
      <w:lvlJc w:val="left"/>
      <w:pPr>
        <w:ind w:left="6864" w:hanging="210"/>
      </w:pPr>
      <w:rPr>
        <w:rFonts w:hint="default"/>
        <w:lang w:val="en-AU" w:eastAsia="en-US" w:bidi="ar-SA"/>
      </w:rPr>
    </w:lvl>
    <w:lvl w:ilvl="8">
      <w:numFmt w:val="bullet"/>
      <w:lvlText w:val="•"/>
      <w:lvlJc w:val="left"/>
      <w:pPr>
        <w:ind w:left="7804" w:hanging="210"/>
      </w:pPr>
      <w:rPr>
        <w:rFonts w:hint="default"/>
        <w:lang w:val="en-AU" w:eastAsia="en-US" w:bidi="ar-SA"/>
      </w:rPr>
    </w:lvl>
  </w:abstractNum>
  <w:abstractNum w:abstractNumId="11" w15:restartNumberingAfterBreak="0">
    <w:nsid w:val="29B23A15"/>
    <w:multiLevelType w:val="hybridMultilevel"/>
    <w:tmpl w:val="0FC410FE"/>
    <w:lvl w:ilvl="0" w:tplc="287EE4CC">
      <w:start w:val="1"/>
      <w:numFmt w:val="lowerLetter"/>
      <w:lvlText w:val="(%1)"/>
      <w:lvlJc w:val="left"/>
      <w:pPr>
        <w:ind w:left="1229" w:hanging="210"/>
      </w:pPr>
      <w:rPr>
        <w:rFonts w:ascii="Arial" w:eastAsia="Arial" w:hAnsi="Arial" w:cs="Arial" w:hint="default"/>
        <w:spacing w:val="-1"/>
        <w:w w:val="99"/>
        <w:sz w:val="14"/>
        <w:szCs w:val="14"/>
        <w:lang w:val="en-AU" w:eastAsia="en-US" w:bidi="ar-SA"/>
      </w:rPr>
    </w:lvl>
    <w:lvl w:ilvl="1" w:tplc="F0EAFB90">
      <w:numFmt w:val="bullet"/>
      <w:lvlText w:val="•"/>
      <w:lvlJc w:val="left"/>
      <w:pPr>
        <w:ind w:left="2724" w:hanging="210"/>
      </w:pPr>
      <w:rPr>
        <w:lang w:val="en-AU" w:eastAsia="en-US" w:bidi="ar-SA"/>
      </w:rPr>
    </w:lvl>
    <w:lvl w:ilvl="2" w:tplc="80F8098E">
      <w:numFmt w:val="bullet"/>
      <w:lvlText w:val="•"/>
      <w:lvlJc w:val="left"/>
      <w:pPr>
        <w:ind w:left="4228" w:hanging="210"/>
      </w:pPr>
      <w:rPr>
        <w:lang w:val="en-AU" w:eastAsia="en-US" w:bidi="ar-SA"/>
      </w:rPr>
    </w:lvl>
    <w:lvl w:ilvl="3" w:tplc="0AA6BE24">
      <w:numFmt w:val="bullet"/>
      <w:lvlText w:val="•"/>
      <w:lvlJc w:val="left"/>
      <w:pPr>
        <w:ind w:left="5732" w:hanging="210"/>
      </w:pPr>
      <w:rPr>
        <w:lang w:val="en-AU" w:eastAsia="en-US" w:bidi="ar-SA"/>
      </w:rPr>
    </w:lvl>
    <w:lvl w:ilvl="4" w:tplc="11A41962">
      <w:numFmt w:val="bullet"/>
      <w:lvlText w:val="•"/>
      <w:lvlJc w:val="left"/>
      <w:pPr>
        <w:ind w:left="7236" w:hanging="210"/>
      </w:pPr>
      <w:rPr>
        <w:lang w:val="en-AU" w:eastAsia="en-US" w:bidi="ar-SA"/>
      </w:rPr>
    </w:lvl>
    <w:lvl w:ilvl="5" w:tplc="47C4ADA2">
      <w:numFmt w:val="bullet"/>
      <w:lvlText w:val="•"/>
      <w:lvlJc w:val="left"/>
      <w:pPr>
        <w:ind w:left="8740" w:hanging="210"/>
      </w:pPr>
      <w:rPr>
        <w:lang w:val="en-AU" w:eastAsia="en-US" w:bidi="ar-SA"/>
      </w:rPr>
    </w:lvl>
    <w:lvl w:ilvl="6" w:tplc="B82E52D2">
      <w:numFmt w:val="bullet"/>
      <w:lvlText w:val="•"/>
      <w:lvlJc w:val="left"/>
      <w:pPr>
        <w:ind w:left="10244" w:hanging="210"/>
      </w:pPr>
      <w:rPr>
        <w:lang w:val="en-AU" w:eastAsia="en-US" w:bidi="ar-SA"/>
      </w:rPr>
    </w:lvl>
    <w:lvl w:ilvl="7" w:tplc="BC963BAC">
      <w:numFmt w:val="bullet"/>
      <w:lvlText w:val="•"/>
      <w:lvlJc w:val="left"/>
      <w:pPr>
        <w:ind w:left="11748" w:hanging="210"/>
      </w:pPr>
      <w:rPr>
        <w:lang w:val="en-AU" w:eastAsia="en-US" w:bidi="ar-SA"/>
      </w:rPr>
    </w:lvl>
    <w:lvl w:ilvl="8" w:tplc="C068ED32">
      <w:numFmt w:val="bullet"/>
      <w:lvlText w:val="•"/>
      <w:lvlJc w:val="left"/>
      <w:pPr>
        <w:ind w:left="13252" w:hanging="210"/>
      </w:pPr>
      <w:rPr>
        <w:lang w:val="en-AU" w:eastAsia="en-US" w:bidi="ar-SA"/>
      </w:rPr>
    </w:lvl>
  </w:abstractNum>
  <w:abstractNum w:abstractNumId="12" w15:restartNumberingAfterBreak="0">
    <w:nsid w:val="2DF9744A"/>
    <w:multiLevelType w:val="hybridMultilevel"/>
    <w:tmpl w:val="203E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C4016"/>
    <w:multiLevelType w:val="hybridMultilevel"/>
    <w:tmpl w:val="F9222B2A"/>
    <w:lvl w:ilvl="0" w:tplc="8C7E468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34D9C"/>
    <w:multiLevelType w:val="hybridMultilevel"/>
    <w:tmpl w:val="BA5600EC"/>
    <w:lvl w:ilvl="0" w:tplc="2222D53A">
      <w:start w:val="7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AC4535"/>
    <w:multiLevelType w:val="hybridMultilevel"/>
    <w:tmpl w:val="80B2AE48"/>
    <w:lvl w:ilvl="0" w:tplc="4AB0C232">
      <w:start w:val="1"/>
      <w:numFmt w:val="lowerLetter"/>
      <w:lvlText w:val="(%1)"/>
      <w:lvlJc w:val="left"/>
      <w:pPr>
        <w:ind w:left="720" w:hanging="360"/>
      </w:pPr>
      <w:rPr>
        <w:rFonts w:ascii="Arial" w:eastAsia="Arial" w:hAnsi="Arial" w:cs="Arial"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7E3930"/>
    <w:multiLevelType w:val="hybridMultilevel"/>
    <w:tmpl w:val="264EF0F8"/>
    <w:lvl w:ilvl="0" w:tplc="F3F20C5E">
      <w:numFmt w:val="bullet"/>
      <w:lvlText w:val=""/>
      <w:lvlJc w:val="left"/>
      <w:pPr>
        <w:ind w:left="480" w:hanging="361"/>
      </w:pPr>
      <w:rPr>
        <w:rFonts w:ascii="Symbol" w:eastAsia="Symbol" w:hAnsi="Symbol" w:cs="Symbol" w:hint="default"/>
        <w:w w:val="100"/>
        <w:sz w:val="22"/>
        <w:szCs w:val="22"/>
        <w:lang w:val="en-AU" w:eastAsia="en-US" w:bidi="ar-SA"/>
      </w:rPr>
    </w:lvl>
    <w:lvl w:ilvl="1" w:tplc="B4827DDA">
      <w:numFmt w:val="bullet"/>
      <w:lvlText w:val=""/>
      <w:lvlJc w:val="left"/>
      <w:pPr>
        <w:ind w:left="840" w:hanging="360"/>
      </w:pPr>
      <w:rPr>
        <w:rFonts w:ascii="Symbol" w:eastAsia="Symbol" w:hAnsi="Symbol" w:cs="Symbol" w:hint="default"/>
        <w:w w:val="100"/>
        <w:sz w:val="22"/>
        <w:szCs w:val="22"/>
        <w:lang w:val="en-AU" w:eastAsia="en-US" w:bidi="ar-SA"/>
      </w:rPr>
    </w:lvl>
    <w:lvl w:ilvl="2" w:tplc="913E9164">
      <w:numFmt w:val="bullet"/>
      <w:lvlText w:val="•"/>
      <w:lvlJc w:val="left"/>
      <w:pPr>
        <w:ind w:left="1822" w:hanging="360"/>
      </w:pPr>
      <w:rPr>
        <w:rFonts w:hint="default"/>
        <w:lang w:val="en-AU" w:eastAsia="en-US" w:bidi="ar-SA"/>
      </w:rPr>
    </w:lvl>
    <w:lvl w:ilvl="3" w:tplc="343427C8">
      <w:numFmt w:val="bullet"/>
      <w:lvlText w:val="•"/>
      <w:lvlJc w:val="left"/>
      <w:pPr>
        <w:ind w:left="2805" w:hanging="360"/>
      </w:pPr>
      <w:rPr>
        <w:rFonts w:hint="default"/>
        <w:lang w:val="en-AU" w:eastAsia="en-US" w:bidi="ar-SA"/>
      </w:rPr>
    </w:lvl>
    <w:lvl w:ilvl="4" w:tplc="86A60CD4">
      <w:numFmt w:val="bullet"/>
      <w:lvlText w:val="•"/>
      <w:lvlJc w:val="left"/>
      <w:pPr>
        <w:ind w:left="3788" w:hanging="360"/>
      </w:pPr>
      <w:rPr>
        <w:rFonts w:hint="default"/>
        <w:lang w:val="en-AU" w:eastAsia="en-US" w:bidi="ar-SA"/>
      </w:rPr>
    </w:lvl>
    <w:lvl w:ilvl="5" w:tplc="76EC9BB4">
      <w:numFmt w:val="bullet"/>
      <w:lvlText w:val="•"/>
      <w:lvlJc w:val="left"/>
      <w:pPr>
        <w:ind w:left="4771" w:hanging="360"/>
      </w:pPr>
      <w:rPr>
        <w:rFonts w:hint="default"/>
        <w:lang w:val="en-AU" w:eastAsia="en-US" w:bidi="ar-SA"/>
      </w:rPr>
    </w:lvl>
    <w:lvl w:ilvl="6" w:tplc="C3144C80">
      <w:numFmt w:val="bullet"/>
      <w:lvlText w:val="•"/>
      <w:lvlJc w:val="left"/>
      <w:pPr>
        <w:ind w:left="5754" w:hanging="360"/>
      </w:pPr>
      <w:rPr>
        <w:rFonts w:hint="default"/>
        <w:lang w:val="en-AU" w:eastAsia="en-US" w:bidi="ar-SA"/>
      </w:rPr>
    </w:lvl>
    <w:lvl w:ilvl="7" w:tplc="59603E2A">
      <w:numFmt w:val="bullet"/>
      <w:lvlText w:val="•"/>
      <w:lvlJc w:val="left"/>
      <w:pPr>
        <w:ind w:left="6737" w:hanging="360"/>
      </w:pPr>
      <w:rPr>
        <w:rFonts w:hint="default"/>
        <w:lang w:val="en-AU" w:eastAsia="en-US" w:bidi="ar-SA"/>
      </w:rPr>
    </w:lvl>
    <w:lvl w:ilvl="8" w:tplc="33689678">
      <w:numFmt w:val="bullet"/>
      <w:lvlText w:val="•"/>
      <w:lvlJc w:val="left"/>
      <w:pPr>
        <w:ind w:left="7720" w:hanging="360"/>
      </w:pPr>
      <w:rPr>
        <w:rFonts w:hint="default"/>
        <w:lang w:val="en-AU" w:eastAsia="en-US" w:bidi="ar-SA"/>
      </w:rPr>
    </w:lvl>
  </w:abstractNum>
  <w:abstractNum w:abstractNumId="17" w15:restartNumberingAfterBreak="0">
    <w:nsid w:val="34F67C1F"/>
    <w:multiLevelType w:val="hybridMultilevel"/>
    <w:tmpl w:val="E9BC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FC591F"/>
    <w:multiLevelType w:val="hybridMultilevel"/>
    <w:tmpl w:val="8C48420E"/>
    <w:lvl w:ilvl="0" w:tplc="4912B832">
      <w:start w:val="1"/>
      <w:numFmt w:val="bullet"/>
      <w:lvlText w:val=""/>
      <w:lvlJc w:val="left"/>
      <w:pPr>
        <w:ind w:left="720" w:hanging="72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CC91A40"/>
    <w:multiLevelType w:val="multilevel"/>
    <w:tmpl w:val="11EC1154"/>
    <w:lvl w:ilvl="0">
      <w:start w:val="85"/>
      <w:numFmt w:val="decimal"/>
      <w:lvlText w:val="%1"/>
      <w:lvlJc w:val="left"/>
      <w:pPr>
        <w:ind w:left="120" w:hanging="493"/>
      </w:pPr>
      <w:rPr>
        <w:lang w:val="en-AU" w:eastAsia="en-US" w:bidi="ar-SA"/>
      </w:rPr>
    </w:lvl>
    <w:lvl w:ilvl="1">
      <w:numFmt w:val="decimal"/>
      <w:lvlText w:val="%1.%2"/>
      <w:lvlJc w:val="left"/>
      <w:pPr>
        <w:ind w:left="120" w:hanging="493"/>
      </w:pPr>
      <w:rPr>
        <w:rFonts w:ascii="Arial" w:eastAsia="Arial" w:hAnsi="Arial" w:cs="Arial" w:hint="default"/>
        <w:spacing w:val="-1"/>
        <w:w w:val="100"/>
        <w:sz w:val="22"/>
        <w:szCs w:val="22"/>
        <w:lang w:val="en-AU" w:eastAsia="en-US" w:bidi="ar-SA"/>
      </w:rPr>
    </w:lvl>
    <w:lvl w:ilvl="2">
      <w:start w:val="1"/>
      <w:numFmt w:val="lowerLetter"/>
      <w:lvlText w:val="(%3)"/>
      <w:lvlJc w:val="left"/>
      <w:pPr>
        <w:ind w:left="1229" w:hanging="210"/>
      </w:pPr>
      <w:rPr>
        <w:rFonts w:ascii="Arial" w:eastAsia="Arial" w:hAnsi="Arial" w:cs="Arial" w:hint="default"/>
        <w:spacing w:val="-1"/>
        <w:w w:val="99"/>
        <w:sz w:val="14"/>
        <w:szCs w:val="14"/>
        <w:lang w:val="en-AU" w:eastAsia="en-US" w:bidi="ar-SA"/>
      </w:rPr>
    </w:lvl>
    <w:lvl w:ilvl="3">
      <w:numFmt w:val="bullet"/>
      <w:lvlText w:val="•"/>
      <w:lvlJc w:val="left"/>
      <w:pPr>
        <w:ind w:left="3101" w:hanging="210"/>
      </w:pPr>
      <w:rPr>
        <w:lang w:val="en-AU" w:eastAsia="en-US" w:bidi="ar-SA"/>
      </w:rPr>
    </w:lvl>
    <w:lvl w:ilvl="4">
      <w:numFmt w:val="bullet"/>
      <w:lvlText w:val="•"/>
      <w:lvlJc w:val="left"/>
      <w:pPr>
        <w:ind w:left="4042" w:hanging="210"/>
      </w:pPr>
      <w:rPr>
        <w:lang w:val="en-AU" w:eastAsia="en-US" w:bidi="ar-SA"/>
      </w:rPr>
    </w:lvl>
    <w:lvl w:ilvl="5">
      <w:numFmt w:val="bullet"/>
      <w:lvlText w:val="•"/>
      <w:lvlJc w:val="left"/>
      <w:pPr>
        <w:ind w:left="4982" w:hanging="210"/>
      </w:pPr>
      <w:rPr>
        <w:lang w:val="en-AU" w:eastAsia="en-US" w:bidi="ar-SA"/>
      </w:rPr>
    </w:lvl>
    <w:lvl w:ilvl="6">
      <w:numFmt w:val="bullet"/>
      <w:lvlText w:val="•"/>
      <w:lvlJc w:val="left"/>
      <w:pPr>
        <w:ind w:left="5923" w:hanging="210"/>
      </w:pPr>
      <w:rPr>
        <w:lang w:val="en-AU" w:eastAsia="en-US" w:bidi="ar-SA"/>
      </w:rPr>
    </w:lvl>
    <w:lvl w:ilvl="7">
      <w:numFmt w:val="bullet"/>
      <w:lvlText w:val="•"/>
      <w:lvlJc w:val="left"/>
      <w:pPr>
        <w:ind w:left="6864" w:hanging="210"/>
      </w:pPr>
      <w:rPr>
        <w:lang w:val="en-AU" w:eastAsia="en-US" w:bidi="ar-SA"/>
      </w:rPr>
    </w:lvl>
    <w:lvl w:ilvl="8">
      <w:numFmt w:val="bullet"/>
      <w:lvlText w:val="•"/>
      <w:lvlJc w:val="left"/>
      <w:pPr>
        <w:ind w:left="7804" w:hanging="210"/>
      </w:pPr>
      <w:rPr>
        <w:lang w:val="en-AU" w:eastAsia="en-US" w:bidi="ar-SA"/>
      </w:rPr>
    </w:lvl>
  </w:abstractNum>
  <w:abstractNum w:abstractNumId="20" w15:restartNumberingAfterBreak="0">
    <w:nsid w:val="3D9670F5"/>
    <w:multiLevelType w:val="hybridMultilevel"/>
    <w:tmpl w:val="65B68AF0"/>
    <w:lvl w:ilvl="0" w:tplc="4AB0C232">
      <w:start w:val="1"/>
      <w:numFmt w:val="lowerLetter"/>
      <w:lvlText w:val="(%1)"/>
      <w:lvlJc w:val="left"/>
      <w:pPr>
        <w:ind w:left="720" w:hanging="360"/>
      </w:pPr>
      <w:rPr>
        <w:rFonts w:ascii="Arial" w:eastAsia="Arial" w:hAnsi="Arial" w:cs="Arial"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3570BB"/>
    <w:multiLevelType w:val="hybridMultilevel"/>
    <w:tmpl w:val="DD4C3794"/>
    <w:lvl w:ilvl="0" w:tplc="E2208F10">
      <w:start w:val="2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4D1979"/>
    <w:multiLevelType w:val="hybridMultilevel"/>
    <w:tmpl w:val="FCE220AC"/>
    <w:lvl w:ilvl="0" w:tplc="A82E62E4">
      <w:start w:val="1"/>
      <w:numFmt w:val="lowerLetter"/>
      <w:lvlText w:val="(%1)"/>
      <w:lvlJc w:val="left"/>
      <w:pPr>
        <w:ind w:left="1229" w:hanging="210"/>
      </w:pPr>
      <w:rPr>
        <w:rFonts w:ascii="Arial" w:eastAsia="Arial" w:hAnsi="Arial" w:cs="Arial" w:hint="default"/>
        <w:spacing w:val="-1"/>
        <w:w w:val="99"/>
        <w:sz w:val="14"/>
        <w:szCs w:val="14"/>
        <w:lang w:val="en-AU" w:eastAsia="en-US" w:bidi="ar-SA"/>
      </w:rPr>
    </w:lvl>
    <w:lvl w:ilvl="1" w:tplc="4B0A46FC">
      <w:numFmt w:val="bullet"/>
      <w:lvlText w:val="•"/>
      <w:lvlJc w:val="left"/>
      <w:pPr>
        <w:ind w:left="2666" w:hanging="210"/>
      </w:pPr>
      <w:rPr>
        <w:lang w:val="en-AU" w:eastAsia="en-US" w:bidi="ar-SA"/>
      </w:rPr>
    </w:lvl>
    <w:lvl w:ilvl="2" w:tplc="86D65650">
      <w:numFmt w:val="bullet"/>
      <w:lvlText w:val="•"/>
      <w:lvlJc w:val="left"/>
      <w:pPr>
        <w:ind w:left="4112" w:hanging="210"/>
      </w:pPr>
      <w:rPr>
        <w:lang w:val="en-AU" w:eastAsia="en-US" w:bidi="ar-SA"/>
      </w:rPr>
    </w:lvl>
    <w:lvl w:ilvl="3" w:tplc="BF5CE038">
      <w:numFmt w:val="bullet"/>
      <w:lvlText w:val="•"/>
      <w:lvlJc w:val="left"/>
      <w:pPr>
        <w:ind w:left="5558" w:hanging="210"/>
      </w:pPr>
      <w:rPr>
        <w:lang w:val="en-AU" w:eastAsia="en-US" w:bidi="ar-SA"/>
      </w:rPr>
    </w:lvl>
    <w:lvl w:ilvl="4" w:tplc="84622DCC">
      <w:numFmt w:val="bullet"/>
      <w:lvlText w:val="•"/>
      <w:lvlJc w:val="left"/>
      <w:pPr>
        <w:ind w:left="7004" w:hanging="210"/>
      </w:pPr>
      <w:rPr>
        <w:lang w:val="en-AU" w:eastAsia="en-US" w:bidi="ar-SA"/>
      </w:rPr>
    </w:lvl>
    <w:lvl w:ilvl="5" w:tplc="5E704152">
      <w:numFmt w:val="bullet"/>
      <w:lvlText w:val="•"/>
      <w:lvlJc w:val="left"/>
      <w:pPr>
        <w:ind w:left="8450" w:hanging="210"/>
      </w:pPr>
      <w:rPr>
        <w:lang w:val="en-AU" w:eastAsia="en-US" w:bidi="ar-SA"/>
      </w:rPr>
    </w:lvl>
    <w:lvl w:ilvl="6" w:tplc="542EC7CA">
      <w:numFmt w:val="bullet"/>
      <w:lvlText w:val="•"/>
      <w:lvlJc w:val="left"/>
      <w:pPr>
        <w:ind w:left="9896" w:hanging="210"/>
      </w:pPr>
      <w:rPr>
        <w:lang w:val="en-AU" w:eastAsia="en-US" w:bidi="ar-SA"/>
      </w:rPr>
    </w:lvl>
    <w:lvl w:ilvl="7" w:tplc="0F267844">
      <w:numFmt w:val="bullet"/>
      <w:lvlText w:val="•"/>
      <w:lvlJc w:val="left"/>
      <w:pPr>
        <w:ind w:left="11342" w:hanging="210"/>
      </w:pPr>
      <w:rPr>
        <w:lang w:val="en-AU" w:eastAsia="en-US" w:bidi="ar-SA"/>
      </w:rPr>
    </w:lvl>
    <w:lvl w:ilvl="8" w:tplc="65FAAAC0">
      <w:numFmt w:val="bullet"/>
      <w:lvlText w:val="•"/>
      <w:lvlJc w:val="left"/>
      <w:pPr>
        <w:ind w:left="12788" w:hanging="210"/>
      </w:pPr>
      <w:rPr>
        <w:lang w:val="en-AU" w:eastAsia="en-US" w:bidi="ar-SA"/>
      </w:rPr>
    </w:lvl>
  </w:abstractNum>
  <w:abstractNum w:abstractNumId="23" w15:restartNumberingAfterBreak="0">
    <w:nsid w:val="42643E96"/>
    <w:multiLevelType w:val="hybridMultilevel"/>
    <w:tmpl w:val="0F6E4984"/>
    <w:lvl w:ilvl="0" w:tplc="0409001B">
      <w:start w:val="1"/>
      <w:numFmt w:val="lowerRoman"/>
      <w:lvlText w:val="%1."/>
      <w:lvlJc w:val="right"/>
      <w:pPr>
        <w:ind w:left="720" w:hanging="360"/>
      </w:pPr>
      <w:rPr>
        <w:rFonts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B05A4F"/>
    <w:multiLevelType w:val="hybridMultilevel"/>
    <w:tmpl w:val="85FCA456"/>
    <w:lvl w:ilvl="0" w:tplc="F6F6E6E0">
      <w:numFmt w:val="bullet"/>
      <w:lvlText w:val=""/>
      <w:lvlJc w:val="left"/>
      <w:pPr>
        <w:ind w:left="840" w:hanging="360"/>
      </w:pPr>
      <w:rPr>
        <w:rFonts w:ascii="Symbol" w:eastAsia="Symbol" w:hAnsi="Symbol" w:cs="Symbol" w:hint="default"/>
        <w:w w:val="100"/>
        <w:sz w:val="22"/>
        <w:szCs w:val="22"/>
        <w:lang w:val="en-AU" w:eastAsia="en-US" w:bidi="ar-SA"/>
      </w:rPr>
    </w:lvl>
    <w:lvl w:ilvl="1" w:tplc="CBD428D4">
      <w:numFmt w:val="bullet"/>
      <w:lvlText w:val="•"/>
      <w:lvlJc w:val="left"/>
      <w:pPr>
        <w:ind w:left="1724" w:hanging="360"/>
      </w:pPr>
      <w:rPr>
        <w:lang w:val="en-AU" w:eastAsia="en-US" w:bidi="ar-SA"/>
      </w:rPr>
    </w:lvl>
    <w:lvl w:ilvl="2" w:tplc="97CCE1F4">
      <w:numFmt w:val="bullet"/>
      <w:lvlText w:val="•"/>
      <w:lvlJc w:val="left"/>
      <w:pPr>
        <w:ind w:left="2609" w:hanging="360"/>
      </w:pPr>
      <w:rPr>
        <w:lang w:val="en-AU" w:eastAsia="en-US" w:bidi="ar-SA"/>
      </w:rPr>
    </w:lvl>
    <w:lvl w:ilvl="3" w:tplc="12F4712E">
      <w:numFmt w:val="bullet"/>
      <w:lvlText w:val="•"/>
      <w:lvlJc w:val="left"/>
      <w:pPr>
        <w:ind w:left="3493" w:hanging="360"/>
      </w:pPr>
      <w:rPr>
        <w:lang w:val="en-AU" w:eastAsia="en-US" w:bidi="ar-SA"/>
      </w:rPr>
    </w:lvl>
    <w:lvl w:ilvl="4" w:tplc="644E80F8">
      <w:numFmt w:val="bullet"/>
      <w:lvlText w:val="•"/>
      <w:lvlJc w:val="left"/>
      <w:pPr>
        <w:ind w:left="4378" w:hanging="360"/>
      </w:pPr>
      <w:rPr>
        <w:lang w:val="en-AU" w:eastAsia="en-US" w:bidi="ar-SA"/>
      </w:rPr>
    </w:lvl>
    <w:lvl w:ilvl="5" w:tplc="419444DE">
      <w:numFmt w:val="bullet"/>
      <w:lvlText w:val="•"/>
      <w:lvlJc w:val="left"/>
      <w:pPr>
        <w:ind w:left="5263" w:hanging="360"/>
      </w:pPr>
      <w:rPr>
        <w:lang w:val="en-AU" w:eastAsia="en-US" w:bidi="ar-SA"/>
      </w:rPr>
    </w:lvl>
    <w:lvl w:ilvl="6" w:tplc="75D29EB0">
      <w:numFmt w:val="bullet"/>
      <w:lvlText w:val="•"/>
      <w:lvlJc w:val="left"/>
      <w:pPr>
        <w:ind w:left="6147" w:hanging="360"/>
      </w:pPr>
      <w:rPr>
        <w:lang w:val="en-AU" w:eastAsia="en-US" w:bidi="ar-SA"/>
      </w:rPr>
    </w:lvl>
    <w:lvl w:ilvl="7" w:tplc="3D9C01A2">
      <w:numFmt w:val="bullet"/>
      <w:lvlText w:val="•"/>
      <w:lvlJc w:val="left"/>
      <w:pPr>
        <w:ind w:left="7032" w:hanging="360"/>
      </w:pPr>
      <w:rPr>
        <w:lang w:val="en-AU" w:eastAsia="en-US" w:bidi="ar-SA"/>
      </w:rPr>
    </w:lvl>
    <w:lvl w:ilvl="8" w:tplc="11C61FA6">
      <w:numFmt w:val="bullet"/>
      <w:lvlText w:val="•"/>
      <w:lvlJc w:val="left"/>
      <w:pPr>
        <w:ind w:left="7917" w:hanging="360"/>
      </w:pPr>
      <w:rPr>
        <w:lang w:val="en-AU" w:eastAsia="en-US" w:bidi="ar-SA"/>
      </w:rPr>
    </w:lvl>
  </w:abstractNum>
  <w:abstractNum w:abstractNumId="25" w15:restartNumberingAfterBreak="0">
    <w:nsid w:val="481B0A8C"/>
    <w:multiLevelType w:val="hybridMultilevel"/>
    <w:tmpl w:val="0B2871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8D00BA4"/>
    <w:multiLevelType w:val="hybridMultilevel"/>
    <w:tmpl w:val="79785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493068F1"/>
    <w:multiLevelType w:val="hybridMultilevel"/>
    <w:tmpl w:val="7CE4C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590C1B"/>
    <w:multiLevelType w:val="multilevel"/>
    <w:tmpl w:val="11EC1154"/>
    <w:lvl w:ilvl="0">
      <w:start w:val="85"/>
      <w:numFmt w:val="decimal"/>
      <w:lvlText w:val="%1"/>
      <w:lvlJc w:val="left"/>
      <w:pPr>
        <w:ind w:left="120" w:hanging="493"/>
      </w:pPr>
      <w:rPr>
        <w:lang w:val="en-AU" w:eastAsia="en-US" w:bidi="ar-SA"/>
      </w:rPr>
    </w:lvl>
    <w:lvl w:ilvl="1">
      <w:numFmt w:val="decimal"/>
      <w:lvlText w:val="%1.%2"/>
      <w:lvlJc w:val="left"/>
      <w:pPr>
        <w:ind w:left="120" w:hanging="493"/>
      </w:pPr>
      <w:rPr>
        <w:rFonts w:ascii="Arial" w:eastAsia="Arial" w:hAnsi="Arial" w:cs="Arial" w:hint="default"/>
        <w:spacing w:val="-1"/>
        <w:w w:val="100"/>
        <w:sz w:val="22"/>
        <w:szCs w:val="22"/>
        <w:lang w:val="en-AU" w:eastAsia="en-US" w:bidi="ar-SA"/>
      </w:rPr>
    </w:lvl>
    <w:lvl w:ilvl="2">
      <w:start w:val="1"/>
      <w:numFmt w:val="lowerLetter"/>
      <w:lvlText w:val="(%3)"/>
      <w:lvlJc w:val="left"/>
      <w:pPr>
        <w:ind w:left="1229" w:hanging="210"/>
      </w:pPr>
      <w:rPr>
        <w:rFonts w:ascii="Arial" w:eastAsia="Arial" w:hAnsi="Arial" w:cs="Arial" w:hint="default"/>
        <w:spacing w:val="-1"/>
        <w:w w:val="99"/>
        <w:sz w:val="14"/>
        <w:szCs w:val="14"/>
        <w:lang w:val="en-AU" w:eastAsia="en-US" w:bidi="ar-SA"/>
      </w:rPr>
    </w:lvl>
    <w:lvl w:ilvl="3">
      <w:numFmt w:val="bullet"/>
      <w:lvlText w:val="•"/>
      <w:lvlJc w:val="left"/>
      <w:pPr>
        <w:ind w:left="3101" w:hanging="210"/>
      </w:pPr>
      <w:rPr>
        <w:lang w:val="en-AU" w:eastAsia="en-US" w:bidi="ar-SA"/>
      </w:rPr>
    </w:lvl>
    <w:lvl w:ilvl="4">
      <w:numFmt w:val="bullet"/>
      <w:lvlText w:val="•"/>
      <w:lvlJc w:val="left"/>
      <w:pPr>
        <w:ind w:left="4042" w:hanging="210"/>
      </w:pPr>
      <w:rPr>
        <w:lang w:val="en-AU" w:eastAsia="en-US" w:bidi="ar-SA"/>
      </w:rPr>
    </w:lvl>
    <w:lvl w:ilvl="5">
      <w:numFmt w:val="bullet"/>
      <w:lvlText w:val="•"/>
      <w:lvlJc w:val="left"/>
      <w:pPr>
        <w:ind w:left="4982" w:hanging="210"/>
      </w:pPr>
      <w:rPr>
        <w:lang w:val="en-AU" w:eastAsia="en-US" w:bidi="ar-SA"/>
      </w:rPr>
    </w:lvl>
    <w:lvl w:ilvl="6">
      <w:numFmt w:val="bullet"/>
      <w:lvlText w:val="•"/>
      <w:lvlJc w:val="left"/>
      <w:pPr>
        <w:ind w:left="5923" w:hanging="210"/>
      </w:pPr>
      <w:rPr>
        <w:lang w:val="en-AU" w:eastAsia="en-US" w:bidi="ar-SA"/>
      </w:rPr>
    </w:lvl>
    <w:lvl w:ilvl="7">
      <w:numFmt w:val="bullet"/>
      <w:lvlText w:val="•"/>
      <w:lvlJc w:val="left"/>
      <w:pPr>
        <w:ind w:left="6864" w:hanging="210"/>
      </w:pPr>
      <w:rPr>
        <w:lang w:val="en-AU" w:eastAsia="en-US" w:bidi="ar-SA"/>
      </w:rPr>
    </w:lvl>
    <w:lvl w:ilvl="8">
      <w:numFmt w:val="bullet"/>
      <w:lvlText w:val="•"/>
      <w:lvlJc w:val="left"/>
      <w:pPr>
        <w:ind w:left="7804" w:hanging="210"/>
      </w:pPr>
      <w:rPr>
        <w:lang w:val="en-AU" w:eastAsia="en-US" w:bidi="ar-SA"/>
      </w:rPr>
    </w:lvl>
  </w:abstractNum>
  <w:abstractNum w:abstractNumId="29" w15:restartNumberingAfterBreak="0">
    <w:nsid w:val="52E566BA"/>
    <w:multiLevelType w:val="hybridMultilevel"/>
    <w:tmpl w:val="B3E4C730"/>
    <w:lvl w:ilvl="0" w:tplc="AAA053C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4A5030"/>
    <w:multiLevelType w:val="hybridMultilevel"/>
    <w:tmpl w:val="D66C717C"/>
    <w:lvl w:ilvl="0" w:tplc="D53AA28A">
      <w:numFmt w:val="bullet"/>
      <w:lvlText w:val="–"/>
      <w:lvlJc w:val="left"/>
      <w:pPr>
        <w:ind w:left="720" w:hanging="720"/>
      </w:pPr>
      <w:rPr>
        <w:rFonts w:ascii="Fira Sans regular" w:eastAsiaTheme="minorHAnsi" w:hAnsi="Fira Sans regular" w:cstheme="minorBidi" w:hint="default"/>
      </w:rPr>
    </w:lvl>
    <w:lvl w:ilvl="1" w:tplc="2B7ED244">
      <w:start w:val="1"/>
      <w:numFmt w:val="bullet"/>
      <w:pStyle w:val="ListLevel2"/>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1" w15:restartNumberingAfterBreak="0">
    <w:nsid w:val="546C6C33"/>
    <w:multiLevelType w:val="hybridMultilevel"/>
    <w:tmpl w:val="6A1085EC"/>
    <w:lvl w:ilvl="0" w:tplc="4AB0C232">
      <w:start w:val="1"/>
      <w:numFmt w:val="lowerLetter"/>
      <w:lvlText w:val="(%1)"/>
      <w:lvlJc w:val="left"/>
      <w:pPr>
        <w:ind w:left="720" w:hanging="360"/>
      </w:pPr>
      <w:rPr>
        <w:rFonts w:ascii="Arial" w:eastAsia="Arial" w:hAnsi="Arial" w:cs="Arial"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402326"/>
    <w:multiLevelType w:val="hybridMultilevel"/>
    <w:tmpl w:val="491ABC38"/>
    <w:lvl w:ilvl="0" w:tplc="71A074F2">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AE7CA7"/>
    <w:multiLevelType w:val="hybridMultilevel"/>
    <w:tmpl w:val="D1F89A10"/>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4" w15:restartNumberingAfterBreak="0">
    <w:nsid w:val="593C08DB"/>
    <w:multiLevelType w:val="hybridMultilevel"/>
    <w:tmpl w:val="C4D48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A053D6A"/>
    <w:multiLevelType w:val="hybridMultilevel"/>
    <w:tmpl w:val="B06CCEDA"/>
    <w:lvl w:ilvl="0" w:tplc="4912B8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F200B3A"/>
    <w:multiLevelType w:val="hybridMultilevel"/>
    <w:tmpl w:val="498E3C62"/>
    <w:lvl w:ilvl="0" w:tplc="1CF2AFF8">
      <w:start w:val="1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2D370A"/>
    <w:multiLevelType w:val="hybridMultilevel"/>
    <w:tmpl w:val="8ABA87CE"/>
    <w:lvl w:ilvl="0" w:tplc="D5D02224">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3C2248"/>
    <w:multiLevelType w:val="multilevel"/>
    <w:tmpl w:val="3AB493D0"/>
    <w:lvl w:ilvl="0">
      <w:start w:val="80"/>
      <w:numFmt w:val="decimal"/>
      <w:lvlText w:val="%1"/>
      <w:lvlJc w:val="left"/>
      <w:pPr>
        <w:ind w:left="100" w:hanging="493"/>
      </w:pPr>
      <w:rPr>
        <w:lang w:val="en-AU" w:eastAsia="en-US" w:bidi="ar-SA"/>
      </w:rPr>
    </w:lvl>
    <w:lvl w:ilvl="1">
      <w:numFmt w:val="decimal"/>
      <w:lvlText w:val="%1.%2"/>
      <w:lvlJc w:val="left"/>
      <w:pPr>
        <w:ind w:left="100" w:hanging="493"/>
      </w:pPr>
      <w:rPr>
        <w:rFonts w:ascii="Arial" w:eastAsia="Arial" w:hAnsi="Arial" w:cs="Arial" w:hint="default"/>
        <w:spacing w:val="-1"/>
        <w:w w:val="100"/>
        <w:sz w:val="22"/>
        <w:szCs w:val="22"/>
        <w:lang w:val="en-AU" w:eastAsia="en-US" w:bidi="ar-SA"/>
      </w:rPr>
    </w:lvl>
    <w:lvl w:ilvl="2">
      <w:start w:val="1"/>
      <w:numFmt w:val="lowerLetter"/>
      <w:lvlText w:val="(%3)"/>
      <w:lvlJc w:val="left"/>
      <w:pPr>
        <w:ind w:left="1229" w:hanging="210"/>
      </w:pPr>
      <w:rPr>
        <w:rFonts w:ascii="Arial" w:eastAsia="Arial" w:hAnsi="Arial" w:cs="Arial" w:hint="default"/>
        <w:spacing w:val="-1"/>
        <w:w w:val="99"/>
        <w:sz w:val="14"/>
        <w:szCs w:val="14"/>
        <w:lang w:val="en-AU" w:eastAsia="en-US" w:bidi="ar-SA"/>
      </w:rPr>
    </w:lvl>
    <w:lvl w:ilvl="3">
      <w:numFmt w:val="bullet"/>
      <w:lvlText w:val="•"/>
      <w:lvlJc w:val="left"/>
      <w:pPr>
        <w:ind w:left="3092" w:hanging="210"/>
      </w:pPr>
      <w:rPr>
        <w:lang w:val="en-AU" w:eastAsia="en-US" w:bidi="ar-SA"/>
      </w:rPr>
    </w:lvl>
    <w:lvl w:ilvl="4">
      <w:numFmt w:val="bullet"/>
      <w:lvlText w:val="•"/>
      <w:lvlJc w:val="left"/>
      <w:pPr>
        <w:ind w:left="4028" w:hanging="210"/>
      </w:pPr>
      <w:rPr>
        <w:lang w:val="en-AU" w:eastAsia="en-US" w:bidi="ar-SA"/>
      </w:rPr>
    </w:lvl>
    <w:lvl w:ilvl="5">
      <w:numFmt w:val="bullet"/>
      <w:lvlText w:val="•"/>
      <w:lvlJc w:val="left"/>
      <w:pPr>
        <w:ind w:left="4965" w:hanging="210"/>
      </w:pPr>
      <w:rPr>
        <w:lang w:val="en-AU" w:eastAsia="en-US" w:bidi="ar-SA"/>
      </w:rPr>
    </w:lvl>
    <w:lvl w:ilvl="6">
      <w:numFmt w:val="bullet"/>
      <w:lvlText w:val="•"/>
      <w:lvlJc w:val="left"/>
      <w:pPr>
        <w:ind w:left="5901" w:hanging="210"/>
      </w:pPr>
      <w:rPr>
        <w:lang w:val="en-AU" w:eastAsia="en-US" w:bidi="ar-SA"/>
      </w:rPr>
    </w:lvl>
    <w:lvl w:ilvl="7">
      <w:numFmt w:val="bullet"/>
      <w:lvlText w:val="•"/>
      <w:lvlJc w:val="left"/>
      <w:pPr>
        <w:ind w:left="6837" w:hanging="210"/>
      </w:pPr>
      <w:rPr>
        <w:lang w:val="en-AU" w:eastAsia="en-US" w:bidi="ar-SA"/>
      </w:rPr>
    </w:lvl>
    <w:lvl w:ilvl="8">
      <w:numFmt w:val="bullet"/>
      <w:lvlText w:val="•"/>
      <w:lvlJc w:val="left"/>
      <w:pPr>
        <w:ind w:left="7773" w:hanging="210"/>
      </w:pPr>
      <w:rPr>
        <w:lang w:val="en-AU" w:eastAsia="en-US" w:bidi="ar-SA"/>
      </w:rPr>
    </w:lvl>
  </w:abstractNum>
  <w:abstractNum w:abstractNumId="39" w15:restartNumberingAfterBreak="0">
    <w:nsid w:val="65290F62"/>
    <w:multiLevelType w:val="hybridMultilevel"/>
    <w:tmpl w:val="CAE67882"/>
    <w:lvl w:ilvl="0" w:tplc="4912B8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8E5796F"/>
    <w:multiLevelType w:val="hybridMultilevel"/>
    <w:tmpl w:val="FD3477BE"/>
    <w:lvl w:ilvl="0" w:tplc="0409001B">
      <w:start w:val="1"/>
      <w:numFmt w:val="lowerRoman"/>
      <w:lvlText w:val="%1."/>
      <w:lvlJc w:val="right"/>
      <w:pPr>
        <w:ind w:left="720" w:hanging="360"/>
      </w:pPr>
      <w:rPr>
        <w:rFonts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9595945"/>
    <w:multiLevelType w:val="hybridMultilevel"/>
    <w:tmpl w:val="E79A95AE"/>
    <w:lvl w:ilvl="0" w:tplc="6F8A80E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C960499"/>
    <w:multiLevelType w:val="hybridMultilevel"/>
    <w:tmpl w:val="49B635E6"/>
    <w:lvl w:ilvl="0" w:tplc="0409001B">
      <w:start w:val="1"/>
      <w:numFmt w:val="lowerRoman"/>
      <w:lvlText w:val="%1."/>
      <w:lvlJc w:val="right"/>
      <w:pPr>
        <w:ind w:left="1229" w:hanging="210"/>
      </w:pPr>
      <w:rPr>
        <w:rFonts w:hint="default"/>
        <w:spacing w:val="-1"/>
        <w:w w:val="99"/>
        <w:sz w:val="14"/>
        <w:szCs w:val="14"/>
        <w:lang w:val="en-AU" w:eastAsia="en-US" w:bidi="ar-SA"/>
      </w:rPr>
    </w:lvl>
    <w:lvl w:ilvl="1" w:tplc="0EFC5EFA">
      <w:numFmt w:val="bullet"/>
      <w:lvlText w:val="•"/>
      <w:lvlJc w:val="left"/>
      <w:pPr>
        <w:ind w:left="2742" w:hanging="210"/>
      </w:pPr>
      <w:rPr>
        <w:lang w:val="en-AU" w:eastAsia="en-US" w:bidi="ar-SA"/>
      </w:rPr>
    </w:lvl>
    <w:lvl w:ilvl="2" w:tplc="0958F854">
      <w:numFmt w:val="bullet"/>
      <w:lvlText w:val="•"/>
      <w:lvlJc w:val="left"/>
      <w:pPr>
        <w:ind w:left="4264" w:hanging="210"/>
      </w:pPr>
      <w:rPr>
        <w:lang w:val="en-AU" w:eastAsia="en-US" w:bidi="ar-SA"/>
      </w:rPr>
    </w:lvl>
    <w:lvl w:ilvl="3" w:tplc="385A301E">
      <w:numFmt w:val="bullet"/>
      <w:lvlText w:val="•"/>
      <w:lvlJc w:val="left"/>
      <w:pPr>
        <w:ind w:left="5786" w:hanging="210"/>
      </w:pPr>
      <w:rPr>
        <w:lang w:val="en-AU" w:eastAsia="en-US" w:bidi="ar-SA"/>
      </w:rPr>
    </w:lvl>
    <w:lvl w:ilvl="4" w:tplc="62D04026">
      <w:numFmt w:val="bullet"/>
      <w:lvlText w:val="•"/>
      <w:lvlJc w:val="left"/>
      <w:pPr>
        <w:ind w:left="7308" w:hanging="210"/>
      </w:pPr>
      <w:rPr>
        <w:lang w:val="en-AU" w:eastAsia="en-US" w:bidi="ar-SA"/>
      </w:rPr>
    </w:lvl>
    <w:lvl w:ilvl="5" w:tplc="44780406">
      <w:numFmt w:val="bullet"/>
      <w:lvlText w:val="•"/>
      <w:lvlJc w:val="left"/>
      <w:pPr>
        <w:ind w:left="8830" w:hanging="210"/>
      </w:pPr>
      <w:rPr>
        <w:lang w:val="en-AU" w:eastAsia="en-US" w:bidi="ar-SA"/>
      </w:rPr>
    </w:lvl>
    <w:lvl w:ilvl="6" w:tplc="CEEE0DFE">
      <w:numFmt w:val="bullet"/>
      <w:lvlText w:val="•"/>
      <w:lvlJc w:val="left"/>
      <w:pPr>
        <w:ind w:left="10352" w:hanging="210"/>
      </w:pPr>
      <w:rPr>
        <w:lang w:val="en-AU" w:eastAsia="en-US" w:bidi="ar-SA"/>
      </w:rPr>
    </w:lvl>
    <w:lvl w:ilvl="7" w:tplc="3A08B60C">
      <w:numFmt w:val="bullet"/>
      <w:lvlText w:val="•"/>
      <w:lvlJc w:val="left"/>
      <w:pPr>
        <w:ind w:left="11874" w:hanging="210"/>
      </w:pPr>
      <w:rPr>
        <w:lang w:val="en-AU" w:eastAsia="en-US" w:bidi="ar-SA"/>
      </w:rPr>
    </w:lvl>
    <w:lvl w:ilvl="8" w:tplc="5AE8EBC8">
      <w:numFmt w:val="bullet"/>
      <w:lvlText w:val="•"/>
      <w:lvlJc w:val="left"/>
      <w:pPr>
        <w:ind w:left="13396" w:hanging="210"/>
      </w:pPr>
      <w:rPr>
        <w:lang w:val="en-AU" w:eastAsia="en-US" w:bidi="ar-SA"/>
      </w:rPr>
    </w:lvl>
  </w:abstractNum>
  <w:abstractNum w:abstractNumId="43" w15:restartNumberingAfterBreak="0">
    <w:nsid w:val="6DB92ED5"/>
    <w:multiLevelType w:val="hybridMultilevel"/>
    <w:tmpl w:val="FD3477BE"/>
    <w:lvl w:ilvl="0" w:tplc="0409001B">
      <w:start w:val="1"/>
      <w:numFmt w:val="lowerRoman"/>
      <w:lvlText w:val="%1."/>
      <w:lvlJc w:val="right"/>
      <w:pPr>
        <w:ind w:left="720" w:hanging="360"/>
      </w:pPr>
      <w:rPr>
        <w:rFonts w:hint="default"/>
        <w:spacing w:val="-1"/>
        <w:w w:val="99"/>
        <w:sz w:val="14"/>
        <w:szCs w:val="14"/>
        <w:lang w:val="en-AU"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DD66D6B"/>
    <w:multiLevelType w:val="hybridMultilevel"/>
    <w:tmpl w:val="D820D94A"/>
    <w:lvl w:ilvl="0" w:tplc="672C8094">
      <w:start w:val="23"/>
      <w:numFmt w:val="decimal"/>
      <w:lvlText w:val="%1."/>
      <w:lvlJc w:val="left"/>
      <w:pPr>
        <w:ind w:left="100" w:hanging="368"/>
      </w:pPr>
      <w:rPr>
        <w:rFonts w:ascii="Arial" w:eastAsia="Arial" w:hAnsi="Arial" w:cs="Arial" w:hint="default"/>
        <w:spacing w:val="-1"/>
        <w:w w:val="100"/>
        <w:sz w:val="22"/>
        <w:szCs w:val="22"/>
        <w:lang w:val="en-AU" w:eastAsia="en-US" w:bidi="ar-SA"/>
      </w:rPr>
    </w:lvl>
    <w:lvl w:ilvl="1" w:tplc="4AB0C232">
      <w:start w:val="1"/>
      <w:numFmt w:val="lowerLetter"/>
      <w:lvlText w:val="(%2)"/>
      <w:lvlJc w:val="left"/>
      <w:pPr>
        <w:ind w:left="1229" w:hanging="210"/>
      </w:pPr>
      <w:rPr>
        <w:rFonts w:ascii="Arial" w:eastAsia="Arial" w:hAnsi="Arial" w:cs="Arial" w:hint="default"/>
        <w:spacing w:val="-1"/>
        <w:w w:val="99"/>
        <w:sz w:val="14"/>
        <w:szCs w:val="14"/>
        <w:lang w:val="en-AU" w:eastAsia="en-US" w:bidi="ar-SA"/>
      </w:rPr>
    </w:lvl>
    <w:lvl w:ilvl="2" w:tplc="7A9E6EDC">
      <w:numFmt w:val="bullet"/>
      <w:lvlText w:val="•"/>
      <w:lvlJc w:val="left"/>
      <w:pPr>
        <w:ind w:left="2156" w:hanging="210"/>
      </w:pPr>
      <w:rPr>
        <w:lang w:val="en-AU" w:eastAsia="en-US" w:bidi="ar-SA"/>
      </w:rPr>
    </w:lvl>
    <w:lvl w:ilvl="3" w:tplc="6108DE38">
      <w:numFmt w:val="bullet"/>
      <w:lvlText w:val="•"/>
      <w:lvlJc w:val="left"/>
      <w:pPr>
        <w:ind w:left="3092" w:hanging="210"/>
      </w:pPr>
      <w:rPr>
        <w:lang w:val="en-AU" w:eastAsia="en-US" w:bidi="ar-SA"/>
      </w:rPr>
    </w:lvl>
    <w:lvl w:ilvl="4" w:tplc="ADD429B8">
      <w:numFmt w:val="bullet"/>
      <w:lvlText w:val="•"/>
      <w:lvlJc w:val="left"/>
      <w:pPr>
        <w:ind w:left="4028" w:hanging="210"/>
      </w:pPr>
      <w:rPr>
        <w:lang w:val="en-AU" w:eastAsia="en-US" w:bidi="ar-SA"/>
      </w:rPr>
    </w:lvl>
    <w:lvl w:ilvl="5" w:tplc="0658D89E">
      <w:numFmt w:val="bullet"/>
      <w:lvlText w:val="•"/>
      <w:lvlJc w:val="left"/>
      <w:pPr>
        <w:ind w:left="4965" w:hanging="210"/>
      </w:pPr>
      <w:rPr>
        <w:lang w:val="en-AU" w:eastAsia="en-US" w:bidi="ar-SA"/>
      </w:rPr>
    </w:lvl>
    <w:lvl w:ilvl="6" w:tplc="ACB8C3BE">
      <w:numFmt w:val="bullet"/>
      <w:lvlText w:val="•"/>
      <w:lvlJc w:val="left"/>
      <w:pPr>
        <w:ind w:left="5901" w:hanging="210"/>
      </w:pPr>
      <w:rPr>
        <w:lang w:val="en-AU" w:eastAsia="en-US" w:bidi="ar-SA"/>
      </w:rPr>
    </w:lvl>
    <w:lvl w:ilvl="7" w:tplc="C1D480E4">
      <w:numFmt w:val="bullet"/>
      <w:lvlText w:val="•"/>
      <w:lvlJc w:val="left"/>
      <w:pPr>
        <w:ind w:left="6837" w:hanging="210"/>
      </w:pPr>
      <w:rPr>
        <w:lang w:val="en-AU" w:eastAsia="en-US" w:bidi="ar-SA"/>
      </w:rPr>
    </w:lvl>
    <w:lvl w:ilvl="8" w:tplc="2032838E">
      <w:numFmt w:val="bullet"/>
      <w:lvlText w:val="•"/>
      <w:lvlJc w:val="left"/>
      <w:pPr>
        <w:ind w:left="7773" w:hanging="210"/>
      </w:pPr>
      <w:rPr>
        <w:lang w:val="en-AU" w:eastAsia="en-US" w:bidi="ar-SA"/>
      </w:rPr>
    </w:lvl>
  </w:abstractNum>
  <w:abstractNum w:abstractNumId="45" w15:restartNumberingAfterBreak="0">
    <w:nsid w:val="72C83DEF"/>
    <w:multiLevelType w:val="hybridMultilevel"/>
    <w:tmpl w:val="93A49D4E"/>
    <w:lvl w:ilvl="0" w:tplc="4912B8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4B21124"/>
    <w:multiLevelType w:val="hybridMultilevel"/>
    <w:tmpl w:val="CCC2E236"/>
    <w:lvl w:ilvl="0" w:tplc="71A074F2">
      <w:start w:val="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7624154"/>
    <w:multiLevelType w:val="hybridMultilevel"/>
    <w:tmpl w:val="D174D454"/>
    <w:lvl w:ilvl="0" w:tplc="4912B8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9700DCF"/>
    <w:multiLevelType w:val="hybridMultilevel"/>
    <w:tmpl w:val="8F0C6422"/>
    <w:lvl w:ilvl="0" w:tplc="CC42BA3C">
      <w:start w:val="1"/>
      <w:numFmt w:val="decimal"/>
      <w:pStyle w:val="Heading1"/>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D9F1A30"/>
    <w:multiLevelType w:val="hybridMultilevel"/>
    <w:tmpl w:val="6868C34E"/>
    <w:lvl w:ilvl="0" w:tplc="6F8A80E0">
      <w:start w:val="5"/>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16cid:durableId="1064643745">
    <w:abstractNumId w:val="26"/>
  </w:num>
  <w:num w:numId="2" w16cid:durableId="899906984">
    <w:abstractNumId w:val="30"/>
  </w:num>
  <w:num w:numId="3" w16cid:durableId="329408763">
    <w:abstractNumId w:val="0"/>
  </w:num>
  <w:num w:numId="4" w16cid:durableId="250891002">
    <w:abstractNumId w:val="48"/>
  </w:num>
  <w:num w:numId="5" w16cid:durableId="1128207457">
    <w:abstractNumId w:val="16"/>
  </w:num>
  <w:num w:numId="6" w16cid:durableId="776563825">
    <w:abstractNumId w:val="0"/>
  </w:num>
  <w:num w:numId="7" w16cid:durableId="1088161431">
    <w:abstractNumId w:val="0"/>
  </w:num>
  <w:num w:numId="8" w16cid:durableId="1333608172">
    <w:abstractNumId w:val="33"/>
  </w:num>
  <w:num w:numId="9" w16cid:durableId="399406665">
    <w:abstractNumId w:val="39"/>
  </w:num>
  <w:num w:numId="10" w16cid:durableId="2033798660">
    <w:abstractNumId w:val="7"/>
  </w:num>
  <w:num w:numId="11" w16cid:durableId="1884053615">
    <w:abstractNumId w:val="35"/>
  </w:num>
  <w:num w:numId="12" w16cid:durableId="1384477809">
    <w:abstractNumId w:val="45"/>
  </w:num>
  <w:num w:numId="13" w16cid:durableId="1636645473">
    <w:abstractNumId w:val="18"/>
  </w:num>
  <w:num w:numId="14" w16cid:durableId="1405034565">
    <w:abstractNumId w:val="47"/>
  </w:num>
  <w:num w:numId="15" w16cid:durableId="967508687">
    <w:abstractNumId w:val="3"/>
  </w:num>
  <w:num w:numId="16" w16cid:durableId="354498233">
    <w:abstractNumId w:val="10"/>
  </w:num>
  <w:num w:numId="17" w16cid:durableId="1105030360">
    <w:abstractNumId w:val="44"/>
    <w:lvlOverride w:ilvl="0">
      <w:startOverride w:val="23"/>
    </w:lvlOverride>
    <w:lvlOverride w:ilvl="1">
      <w:startOverride w:val="1"/>
    </w:lvlOverride>
    <w:lvlOverride w:ilvl="2"/>
    <w:lvlOverride w:ilvl="3"/>
    <w:lvlOverride w:ilvl="4"/>
    <w:lvlOverride w:ilvl="5"/>
    <w:lvlOverride w:ilvl="6"/>
    <w:lvlOverride w:ilvl="7"/>
    <w:lvlOverride w:ilvl="8"/>
  </w:num>
  <w:num w:numId="18" w16cid:durableId="252127083">
    <w:abstractNumId w:val="44"/>
  </w:num>
  <w:num w:numId="19" w16cid:durableId="870998008">
    <w:abstractNumId w:val="5"/>
  </w:num>
  <w:num w:numId="20" w16cid:durableId="1456366670">
    <w:abstractNumId w:val="42"/>
  </w:num>
  <w:num w:numId="21" w16cid:durableId="233904523">
    <w:abstractNumId w:val="22"/>
    <w:lvlOverride w:ilvl="0">
      <w:startOverride w:val="1"/>
    </w:lvlOverride>
    <w:lvlOverride w:ilvl="1"/>
    <w:lvlOverride w:ilvl="2"/>
    <w:lvlOverride w:ilvl="3"/>
    <w:lvlOverride w:ilvl="4"/>
    <w:lvlOverride w:ilvl="5"/>
    <w:lvlOverride w:ilvl="6"/>
    <w:lvlOverride w:ilvl="7"/>
    <w:lvlOverride w:ilvl="8"/>
  </w:num>
  <w:num w:numId="22" w16cid:durableId="1156412754">
    <w:abstractNumId w:val="1"/>
  </w:num>
  <w:num w:numId="23" w16cid:durableId="135296412">
    <w:abstractNumId w:val="16"/>
  </w:num>
  <w:num w:numId="24" w16cid:durableId="1179857940">
    <w:abstractNumId w:val="24"/>
  </w:num>
  <w:num w:numId="25" w16cid:durableId="1102457127">
    <w:abstractNumId w:val="19"/>
    <w:lvlOverride w:ilvl="0">
      <w:startOverride w:val="85"/>
    </w:lvlOverride>
    <w:lvlOverride w:ilvl="1"/>
    <w:lvlOverride w:ilvl="2">
      <w:startOverride w:val="1"/>
    </w:lvlOverride>
    <w:lvlOverride w:ilvl="3"/>
    <w:lvlOverride w:ilvl="4"/>
    <w:lvlOverride w:ilvl="5"/>
    <w:lvlOverride w:ilvl="6"/>
    <w:lvlOverride w:ilvl="7"/>
    <w:lvlOverride w:ilvl="8"/>
  </w:num>
  <w:num w:numId="26" w16cid:durableId="477769788">
    <w:abstractNumId w:val="15"/>
  </w:num>
  <w:num w:numId="27" w16cid:durableId="894852654">
    <w:abstractNumId w:val="31"/>
  </w:num>
  <w:num w:numId="28" w16cid:durableId="699864700">
    <w:abstractNumId w:val="16"/>
  </w:num>
  <w:num w:numId="29" w16cid:durableId="1615479473">
    <w:abstractNumId w:val="28"/>
    <w:lvlOverride w:ilvl="0">
      <w:startOverride w:val="85"/>
    </w:lvlOverride>
    <w:lvlOverride w:ilvl="1"/>
    <w:lvlOverride w:ilvl="2">
      <w:startOverride w:val="1"/>
    </w:lvlOverride>
    <w:lvlOverride w:ilvl="3"/>
    <w:lvlOverride w:ilvl="4"/>
    <w:lvlOverride w:ilvl="5"/>
    <w:lvlOverride w:ilvl="6"/>
    <w:lvlOverride w:ilvl="7"/>
    <w:lvlOverride w:ilvl="8"/>
  </w:num>
  <w:num w:numId="30" w16cid:durableId="1812748572">
    <w:abstractNumId w:val="40"/>
  </w:num>
  <w:num w:numId="31" w16cid:durableId="757022557">
    <w:abstractNumId w:val="38"/>
    <w:lvlOverride w:ilvl="0">
      <w:startOverride w:val="80"/>
    </w:lvlOverride>
    <w:lvlOverride w:ilvl="1"/>
    <w:lvlOverride w:ilvl="2">
      <w:startOverride w:val="1"/>
    </w:lvlOverride>
    <w:lvlOverride w:ilvl="3"/>
    <w:lvlOverride w:ilvl="4"/>
    <w:lvlOverride w:ilvl="5"/>
    <w:lvlOverride w:ilvl="6"/>
    <w:lvlOverride w:ilvl="7"/>
    <w:lvlOverride w:ilvl="8"/>
  </w:num>
  <w:num w:numId="32" w16cid:durableId="116338460">
    <w:abstractNumId w:val="23"/>
  </w:num>
  <w:num w:numId="33" w16cid:durableId="843393843">
    <w:abstractNumId w:val="11"/>
    <w:lvlOverride w:ilvl="0">
      <w:startOverride w:val="1"/>
    </w:lvlOverride>
    <w:lvlOverride w:ilvl="1"/>
    <w:lvlOverride w:ilvl="2"/>
    <w:lvlOverride w:ilvl="3"/>
    <w:lvlOverride w:ilvl="4"/>
    <w:lvlOverride w:ilvl="5"/>
    <w:lvlOverride w:ilvl="6"/>
    <w:lvlOverride w:ilvl="7"/>
    <w:lvlOverride w:ilvl="8"/>
  </w:num>
  <w:num w:numId="34" w16cid:durableId="726808073">
    <w:abstractNumId w:val="20"/>
  </w:num>
  <w:num w:numId="35" w16cid:durableId="1780828722">
    <w:abstractNumId w:val="49"/>
  </w:num>
  <w:num w:numId="36" w16cid:durableId="518741126">
    <w:abstractNumId w:val="33"/>
  </w:num>
  <w:num w:numId="37" w16cid:durableId="1840388740">
    <w:abstractNumId w:val="2"/>
    <w:lvlOverride w:ilvl="0">
      <w:startOverride w:val="1"/>
    </w:lvlOverride>
    <w:lvlOverride w:ilvl="1"/>
    <w:lvlOverride w:ilvl="2"/>
    <w:lvlOverride w:ilvl="3"/>
    <w:lvlOverride w:ilvl="4"/>
    <w:lvlOverride w:ilvl="5"/>
    <w:lvlOverride w:ilvl="6"/>
    <w:lvlOverride w:ilvl="7"/>
    <w:lvlOverride w:ilvl="8"/>
  </w:num>
  <w:num w:numId="38" w16cid:durableId="958726708">
    <w:abstractNumId w:val="41"/>
  </w:num>
  <w:num w:numId="39" w16cid:durableId="348725710">
    <w:abstractNumId w:val="4"/>
  </w:num>
  <w:num w:numId="40" w16cid:durableId="1701973169">
    <w:abstractNumId w:val="37"/>
  </w:num>
  <w:num w:numId="41" w16cid:durableId="545289254">
    <w:abstractNumId w:val="34"/>
  </w:num>
  <w:num w:numId="42" w16cid:durableId="1705515988">
    <w:abstractNumId w:val="25"/>
  </w:num>
  <w:num w:numId="43" w16cid:durableId="1527668623">
    <w:abstractNumId w:val="14"/>
  </w:num>
  <w:num w:numId="44" w16cid:durableId="289671857">
    <w:abstractNumId w:val="21"/>
  </w:num>
  <w:num w:numId="45" w16cid:durableId="1978104387">
    <w:abstractNumId w:val="42"/>
  </w:num>
  <w:num w:numId="46" w16cid:durableId="1774939590">
    <w:abstractNumId w:val="13"/>
  </w:num>
  <w:num w:numId="47" w16cid:durableId="1319652691">
    <w:abstractNumId w:val="36"/>
  </w:num>
  <w:num w:numId="48" w16cid:durableId="668676610">
    <w:abstractNumId w:val="29"/>
  </w:num>
  <w:num w:numId="49" w16cid:durableId="1188375197">
    <w:abstractNumId w:val="9"/>
  </w:num>
  <w:num w:numId="50" w16cid:durableId="805512352">
    <w:abstractNumId w:val="12"/>
  </w:num>
  <w:num w:numId="51" w16cid:durableId="1698773793">
    <w:abstractNumId w:val="43"/>
  </w:num>
  <w:num w:numId="52" w16cid:durableId="713189807">
    <w:abstractNumId w:val="0"/>
  </w:num>
  <w:num w:numId="53" w16cid:durableId="1761634584">
    <w:abstractNumId w:val="0"/>
  </w:num>
  <w:num w:numId="54" w16cid:durableId="1568882430">
    <w:abstractNumId w:val="6"/>
  </w:num>
  <w:num w:numId="55" w16cid:durableId="1386757127">
    <w:abstractNumId w:val="8"/>
  </w:num>
  <w:num w:numId="56" w16cid:durableId="2126383634">
    <w:abstractNumId w:val="46"/>
  </w:num>
  <w:num w:numId="57" w16cid:durableId="1084455460">
    <w:abstractNumId w:val="17"/>
  </w:num>
  <w:num w:numId="58" w16cid:durableId="1151021642">
    <w:abstractNumId w:val="32"/>
  </w:num>
  <w:num w:numId="59" w16cid:durableId="991711749">
    <w:abstractNumId w:val="27"/>
  </w:num>
  <w:num w:numId="60" w16cid:durableId="308437611">
    <w:abstractNumId w:val="48"/>
  </w:num>
  <w:num w:numId="61" w16cid:durableId="1682660012">
    <w:abstractNumId w:val="0"/>
  </w:num>
  <w:num w:numId="62" w16cid:durableId="1449813769">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E50"/>
    <w:rsid w:val="00000C47"/>
    <w:rsid w:val="00000D2C"/>
    <w:rsid w:val="000024F5"/>
    <w:rsid w:val="00002F99"/>
    <w:rsid w:val="00006557"/>
    <w:rsid w:val="000075A7"/>
    <w:rsid w:val="00010DBE"/>
    <w:rsid w:val="00012A42"/>
    <w:rsid w:val="00015C1F"/>
    <w:rsid w:val="00016D6B"/>
    <w:rsid w:val="00020664"/>
    <w:rsid w:val="000231FC"/>
    <w:rsid w:val="000235D0"/>
    <w:rsid w:val="00023F91"/>
    <w:rsid w:val="00026E0A"/>
    <w:rsid w:val="00027E03"/>
    <w:rsid w:val="0003029A"/>
    <w:rsid w:val="000315A1"/>
    <w:rsid w:val="0003483D"/>
    <w:rsid w:val="00036171"/>
    <w:rsid w:val="000368F0"/>
    <w:rsid w:val="00040667"/>
    <w:rsid w:val="000427AA"/>
    <w:rsid w:val="000431FE"/>
    <w:rsid w:val="00044A3F"/>
    <w:rsid w:val="00044D4D"/>
    <w:rsid w:val="00045857"/>
    <w:rsid w:val="00050409"/>
    <w:rsid w:val="000512E3"/>
    <w:rsid w:val="00052260"/>
    <w:rsid w:val="00052754"/>
    <w:rsid w:val="000531FD"/>
    <w:rsid w:val="00061D41"/>
    <w:rsid w:val="0006305C"/>
    <w:rsid w:val="00064A7A"/>
    <w:rsid w:val="0006725F"/>
    <w:rsid w:val="00067891"/>
    <w:rsid w:val="000702E0"/>
    <w:rsid w:val="000716C3"/>
    <w:rsid w:val="000741AE"/>
    <w:rsid w:val="000746F1"/>
    <w:rsid w:val="00074728"/>
    <w:rsid w:val="00074A12"/>
    <w:rsid w:val="000771FC"/>
    <w:rsid w:val="00077931"/>
    <w:rsid w:val="00077CF5"/>
    <w:rsid w:val="00080925"/>
    <w:rsid w:val="000816FF"/>
    <w:rsid w:val="00082AD1"/>
    <w:rsid w:val="000834A8"/>
    <w:rsid w:val="00084FD9"/>
    <w:rsid w:val="00087B99"/>
    <w:rsid w:val="00092CA4"/>
    <w:rsid w:val="00093269"/>
    <w:rsid w:val="00095D44"/>
    <w:rsid w:val="000A1964"/>
    <w:rsid w:val="000A22E9"/>
    <w:rsid w:val="000A2BFE"/>
    <w:rsid w:val="000A34D0"/>
    <w:rsid w:val="000A36D4"/>
    <w:rsid w:val="000A439D"/>
    <w:rsid w:val="000A56B6"/>
    <w:rsid w:val="000A7955"/>
    <w:rsid w:val="000B047B"/>
    <w:rsid w:val="000B569F"/>
    <w:rsid w:val="000B5951"/>
    <w:rsid w:val="000B694F"/>
    <w:rsid w:val="000C082D"/>
    <w:rsid w:val="000C115F"/>
    <w:rsid w:val="000C2690"/>
    <w:rsid w:val="000C2921"/>
    <w:rsid w:val="000C3696"/>
    <w:rsid w:val="000C38AE"/>
    <w:rsid w:val="000C39D8"/>
    <w:rsid w:val="000C464C"/>
    <w:rsid w:val="000C687C"/>
    <w:rsid w:val="000C68BA"/>
    <w:rsid w:val="000D2A59"/>
    <w:rsid w:val="000D38B0"/>
    <w:rsid w:val="000E141A"/>
    <w:rsid w:val="000E27D5"/>
    <w:rsid w:val="000E297A"/>
    <w:rsid w:val="000E33FF"/>
    <w:rsid w:val="000E361C"/>
    <w:rsid w:val="000E3FEC"/>
    <w:rsid w:val="000E6E32"/>
    <w:rsid w:val="000E7A69"/>
    <w:rsid w:val="000F0556"/>
    <w:rsid w:val="000F109C"/>
    <w:rsid w:val="000F3472"/>
    <w:rsid w:val="000F4156"/>
    <w:rsid w:val="000F4D6C"/>
    <w:rsid w:val="001022AF"/>
    <w:rsid w:val="001035A0"/>
    <w:rsid w:val="001053D4"/>
    <w:rsid w:val="00110CD5"/>
    <w:rsid w:val="001112A9"/>
    <w:rsid w:val="00115264"/>
    <w:rsid w:val="00115614"/>
    <w:rsid w:val="001167F4"/>
    <w:rsid w:val="001201F6"/>
    <w:rsid w:val="001234D1"/>
    <w:rsid w:val="001254E8"/>
    <w:rsid w:val="0012555A"/>
    <w:rsid w:val="001260CF"/>
    <w:rsid w:val="001262BD"/>
    <w:rsid w:val="001307D6"/>
    <w:rsid w:val="00130E47"/>
    <w:rsid w:val="00131BB2"/>
    <w:rsid w:val="00140678"/>
    <w:rsid w:val="0014205B"/>
    <w:rsid w:val="00143863"/>
    <w:rsid w:val="00144D5F"/>
    <w:rsid w:val="00147E2F"/>
    <w:rsid w:val="0015038E"/>
    <w:rsid w:val="0015284D"/>
    <w:rsid w:val="00152E61"/>
    <w:rsid w:val="00154F08"/>
    <w:rsid w:val="00154FA7"/>
    <w:rsid w:val="001551ED"/>
    <w:rsid w:val="00156832"/>
    <w:rsid w:val="00156866"/>
    <w:rsid w:val="00157180"/>
    <w:rsid w:val="001575DA"/>
    <w:rsid w:val="00157631"/>
    <w:rsid w:val="0016139F"/>
    <w:rsid w:val="001625C5"/>
    <w:rsid w:val="00162972"/>
    <w:rsid w:val="00163C8C"/>
    <w:rsid w:val="00164763"/>
    <w:rsid w:val="00164DF2"/>
    <w:rsid w:val="001650A8"/>
    <w:rsid w:val="00165D3D"/>
    <w:rsid w:val="0016770D"/>
    <w:rsid w:val="00167F76"/>
    <w:rsid w:val="00167F8B"/>
    <w:rsid w:val="00171F36"/>
    <w:rsid w:val="00172E15"/>
    <w:rsid w:val="00173142"/>
    <w:rsid w:val="00173320"/>
    <w:rsid w:val="00182900"/>
    <w:rsid w:val="001829AA"/>
    <w:rsid w:val="00185098"/>
    <w:rsid w:val="00191409"/>
    <w:rsid w:val="00194B75"/>
    <w:rsid w:val="00194F12"/>
    <w:rsid w:val="001958E2"/>
    <w:rsid w:val="00195933"/>
    <w:rsid w:val="001A0A74"/>
    <w:rsid w:val="001A7118"/>
    <w:rsid w:val="001B1A76"/>
    <w:rsid w:val="001B29EE"/>
    <w:rsid w:val="001B336C"/>
    <w:rsid w:val="001B63DC"/>
    <w:rsid w:val="001B64AB"/>
    <w:rsid w:val="001B64CA"/>
    <w:rsid w:val="001C45A9"/>
    <w:rsid w:val="001C5A81"/>
    <w:rsid w:val="001D0424"/>
    <w:rsid w:val="001D067F"/>
    <w:rsid w:val="001D17A7"/>
    <w:rsid w:val="001D1D30"/>
    <w:rsid w:val="001D1D5A"/>
    <w:rsid w:val="001D410C"/>
    <w:rsid w:val="001D592B"/>
    <w:rsid w:val="001D5BBA"/>
    <w:rsid w:val="001D7EE8"/>
    <w:rsid w:val="001E0E68"/>
    <w:rsid w:val="001E1880"/>
    <w:rsid w:val="001E209A"/>
    <w:rsid w:val="001E476E"/>
    <w:rsid w:val="001F188B"/>
    <w:rsid w:val="001F2735"/>
    <w:rsid w:val="001F2913"/>
    <w:rsid w:val="001F3339"/>
    <w:rsid w:val="001F34B0"/>
    <w:rsid w:val="001F4298"/>
    <w:rsid w:val="001F4974"/>
    <w:rsid w:val="001F67FA"/>
    <w:rsid w:val="00204852"/>
    <w:rsid w:val="00207AB0"/>
    <w:rsid w:val="00207D88"/>
    <w:rsid w:val="00213118"/>
    <w:rsid w:val="00214638"/>
    <w:rsid w:val="002153FC"/>
    <w:rsid w:val="00216FDD"/>
    <w:rsid w:val="00220B96"/>
    <w:rsid w:val="00221EBF"/>
    <w:rsid w:val="00225C6A"/>
    <w:rsid w:val="00226422"/>
    <w:rsid w:val="0023226B"/>
    <w:rsid w:val="00233D00"/>
    <w:rsid w:val="0023447C"/>
    <w:rsid w:val="002358F4"/>
    <w:rsid w:val="0023599D"/>
    <w:rsid w:val="00236244"/>
    <w:rsid w:val="00241D78"/>
    <w:rsid w:val="00241DBE"/>
    <w:rsid w:val="00241F7D"/>
    <w:rsid w:val="00242ADA"/>
    <w:rsid w:val="00244FA6"/>
    <w:rsid w:val="0024696A"/>
    <w:rsid w:val="00247633"/>
    <w:rsid w:val="002531D9"/>
    <w:rsid w:val="00253343"/>
    <w:rsid w:val="00255CF2"/>
    <w:rsid w:val="0025616E"/>
    <w:rsid w:val="00257DF2"/>
    <w:rsid w:val="002608BD"/>
    <w:rsid w:val="00261A06"/>
    <w:rsid w:val="00263B4F"/>
    <w:rsid w:val="00264D19"/>
    <w:rsid w:val="0026702E"/>
    <w:rsid w:val="00267A39"/>
    <w:rsid w:val="00272F0F"/>
    <w:rsid w:val="00273027"/>
    <w:rsid w:val="002759D9"/>
    <w:rsid w:val="00275A8B"/>
    <w:rsid w:val="002764A0"/>
    <w:rsid w:val="002810BD"/>
    <w:rsid w:val="00284BDA"/>
    <w:rsid w:val="0029011C"/>
    <w:rsid w:val="00291ACE"/>
    <w:rsid w:val="00293716"/>
    <w:rsid w:val="00293C20"/>
    <w:rsid w:val="00294995"/>
    <w:rsid w:val="0029622A"/>
    <w:rsid w:val="002A0EF4"/>
    <w:rsid w:val="002A31F6"/>
    <w:rsid w:val="002A330A"/>
    <w:rsid w:val="002A3781"/>
    <w:rsid w:val="002A4839"/>
    <w:rsid w:val="002A48D7"/>
    <w:rsid w:val="002A6ADF"/>
    <w:rsid w:val="002B244A"/>
    <w:rsid w:val="002B4425"/>
    <w:rsid w:val="002C301E"/>
    <w:rsid w:val="002C543D"/>
    <w:rsid w:val="002C5C56"/>
    <w:rsid w:val="002C7331"/>
    <w:rsid w:val="002D01B9"/>
    <w:rsid w:val="002D1F9D"/>
    <w:rsid w:val="002D2A9A"/>
    <w:rsid w:val="002D4202"/>
    <w:rsid w:val="002D6B0E"/>
    <w:rsid w:val="002D7E0A"/>
    <w:rsid w:val="002E15B0"/>
    <w:rsid w:val="002E73D8"/>
    <w:rsid w:val="002E73DA"/>
    <w:rsid w:val="002F174B"/>
    <w:rsid w:val="002F2206"/>
    <w:rsid w:val="002F2268"/>
    <w:rsid w:val="002F3010"/>
    <w:rsid w:val="002F3E4C"/>
    <w:rsid w:val="002F3EA1"/>
    <w:rsid w:val="002F6119"/>
    <w:rsid w:val="002F71FD"/>
    <w:rsid w:val="002F77E6"/>
    <w:rsid w:val="00313C6D"/>
    <w:rsid w:val="0031428A"/>
    <w:rsid w:val="0031762E"/>
    <w:rsid w:val="00317EF9"/>
    <w:rsid w:val="003209B6"/>
    <w:rsid w:val="00321269"/>
    <w:rsid w:val="00322C59"/>
    <w:rsid w:val="0032358C"/>
    <w:rsid w:val="003244F6"/>
    <w:rsid w:val="00325007"/>
    <w:rsid w:val="00325B60"/>
    <w:rsid w:val="003265AD"/>
    <w:rsid w:val="00326B92"/>
    <w:rsid w:val="00333C9A"/>
    <w:rsid w:val="0033419F"/>
    <w:rsid w:val="00336464"/>
    <w:rsid w:val="00336476"/>
    <w:rsid w:val="00337A91"/>
    <w:rsid w:val="00337EB3"/>
    <w:rsid w:val="003400F0"/>
    <w:rsid w:val="00341C77"/>
    <w:rsid w:val="0034265B"/>
    <w:rsid w:val="00343132"/>
    <w:rsid w:val="00345C21"/>
    <w:rsid w:val="00346DE4"/>
    <w:rsid w:val="00356C4B"/>
    <w:rsid w:val="00357897"/>
    <w:rsid w:val="0036164B"/>
    <w:rsid w:val="003617C9"/>
    <w:rsid w:val="00363733"/>
    <w:rsid w:val="003640D7"/>
    <w:rsid w:val="003647F8"/>
    <w:rsid w:val="00364C5F"/>
    <w:rsid w:val="00364C71"/>
    <w:rsid w:val="00365820"/>
    <w:rsid w:val="00365A39"/>
    <w:rsid w:val="00365A53"/>
    <w:rsid w:val="00366CDA"/>
    <w:rsid w:val="00367676"/>
    <w:rsid w:val="00370ED0"/>
    <w:rsid w:val="00371EAC"/>
    <w:rsid w:val="00374BBD"/>
    <w:rsid w:val="003755F6"/>
    <w:rsid w:val="003773A8"/>
    <w:rsid w:val="00377649"/>
    <w:rsid w:val="00377CC8"/>
    <w:rsid w:val="003804F8"/>
    <w:rsid w:val="00383201"/>
    <w:rsid w:val="0038688A"/>
    <w:rsid w:val="00391B89"/>
    <w:rsid w:val="00391D1F"/>
    <w:rsid w:val="0039264C"/>
    <w:rsid w:val="00392BA6"/>
    <w:rsid w:val="00393439"/>
    <w:rsid w:val="003940F7"/>
    <w:rsid w:val="0039425F"/>
    <w:rsid w:val="003956EB"/>
    <w:rsid w:val="0039643C"/>
    <w:rsid w:val="003970E8"/>
    <w:rsid w:val="00397103"/>
    <w:rsid w:val="003A0164"/>
    <w:rsid w:val="003A0596"/>
    <w:rsid w:val="003A1574"/>
    <w:rsid w:val="003A16D1"/>
    <w:rsid w:val="003A538E"/>
    <w:rsid w:val="003A709A"/>
    <w:rsid w:val="003B127F"/>
    <w:rsid w:val="003B188F"/>
    <w:rsid w:val="003B1A34"/>
    <w:rsid w:val="003B24B2"/>
    <w:rsid w:val="003B3617"/>
    <w:rsid w:val="003B5A51"/>
    <w:rsid w:val="003B6747"/>
    <w:rsid w:val="003B76DB"/>
    <w:rsid w:val="003C360C"/>
    <w:rsid w:val="003C3B21"/>
    <w:rsid w:val="003C674B"/>
    <w:rsid w:val="003C71B7"/>
    <w:rsid w:val="003C76F2"/>
    <w:rsid w:val="003D2EDD"/>
    <w:rsid w:val="003D3EC5"/>
    <w:rsid w:val="003D677B"/>
    <w:rsid w:val="003E0BC9"/>
    <w:rsid w:val="003E33FA"/>
    <w:rsid w:val="003E7AA7"/>
    <w:rsid w:val="003F30E4"/>
    <w:rsid w:val="003F41FE"/>
    <w:rsid w:val="00400405"/>
    <w:rsid w:val="00402AB9"/>
    <w:rsid w:val="004040EA"/>
    <w:rsid w:val="00405A50"/>
    <w:rsid w:val="004072A6"/>
    <w:rsid w:val="0040797C"/>
    <w:rsid w:val="00407BE0"/>
    <w:rsid w:val="00411A8C"/>
    <w:rsid w:val="00413E9A"/>
    <w:rsid w:val="00416893"/>
    <w:rsid w:val="00421E47"/>
    <w:rsid w:val="00422D39"/>
    <w:rsid w:val="00423B85"/>
    <w:rsid w:val="004250DE"/>
    <w:rsid w:val="00426209"/>
    <w:rsid w:val="00430A3B"/>
    <w:rsid w:val="00430F17"/>
    <w:rsid w:val="004325C3"/>
    <w:rsid w:val="00432860"/>
    <w:rsid w:val="00433D9E"/>
    <w:rsid w:val="00435930"/>
    <w:rsid w:val="00436BEB"/>
    <w:rsid w:val="004373B0"/>
    <w:rsid w:val="0043788A"/>
    <w:rsid w:val="00440729"/>
    <w:rsid w:val="00443BA0"/>
    <w:rsid w:val="00445B20"/>
    <w:rsid w:val="00451341"/>
    <w:rsid w:val="00451F8B"/>
    <w:rsid w:val="00452B90"/>
    <w:rsid w:val="00454032"/>
    <w:rsid w:val="004542DC"/>
    <w:rsid w:val="004564E2"/>
    <w:rsid w:val="00456682"/>
    <w:rsid w:val="004575B8"/>
    <w:rsid w:val="00462F94"/>
    <w:rsid w:val="00463755"/>
    <w:rsid w:val="0046444B"/>
    <w:rsid w:val="00465693"/>
    <w:rsid w:val="004724ED"/>
    <w:rsid w:val="00473107"/>
    <w:rsid w:val="0047731E"/>
    <w:rsid w:val="00480585"/>
    <w:rsid w:val="0048266C"/>
    <w:rsid w:val="004828A1"/>
    <w:rsid w:val="00484421"/>
    <w:rsid w:val="0048537E"/>
    <w:rsid w:val="00486C47"/>
    <w:rsid w:val="004905E5"/>
    <w:rsid w:val="00490E5B"/>
    <w:rsid w:val="00491E4C"/>
    <w:rsid w:val="004930EE"/>
    <w:rsid w:val="004952E0"/>
    <w:rsid w:val="00495A5E"/>
    <w:rsid w:val="004A19E7"/>
    <w:rsid w:val="004A40C4"/>
    <w:rsid w:val="004A5570"/>
    <w:rsid w:val="004B0C81"/>
    <w:rsid w:val="004B1CF8"/>
    <w:rsid w:val="004B2352"/>
    <w:rsid w:val="004B684B"/>
    <w:rsid w:val="004C0F21"/>
    <w:rsid w:val="004C4091"/>
    <w:rsid w:val="004C5656"/>
    <w:rsid w:val="004C647A"/>
    <w:rsid w:val="004C6D73"/>
    <w:rsid w:val="004C7809"/>
    <w:rsid w:val="004D090A"/>
    <w:rsid w:val="004D1ACD"/>
    <w:rsid w:val="004D6457"/>
    <w:rsid w:val="004D74BD"/>
    <w:rsid w:val="004D7A64"/>
    <w:rsid w:val="004D7DD4"/>
    <w:rsid w:val="004E217C"/>
    <w:rsid w:val="004E4B3D"/>
    <w:rsid w:val="004E7352"/>
    <w:rsid w:val="004F0573"/>
    <w:rsid w:val="004F0EF8"/>
    <w:rsid w:val="004F2436"/>
    <w:rsid w:val="005002C6"/>
    <w:rsid w:val="00502A09"/>
    <w:rsid w:val="00502F2E"/>
    <w:rsid w:val="005062E7"/>
    <w:rsid w:val="005066AC"/>
    <w:rsid w:val="00506D82"/>
    <w:rsid w:val="005070CB"/>
    <w:rsid w:val="005162E5"/>
    <w:rsid w:val="0051729B"/>
    <w:rsid w:val="00517FEF"/>
    <w:rsid w:val="00522146"/>
    <w:rsid w:val="00522B21"/>
    <w:rsid w:val="00522FFB"/>
    <w:rsid w:val="00523C3C"/>
    <w:rsid w:val="00532BC0"/>
    <w:rsid w:val="00533477"/>
    <w:rsid w:val="00533691"/>
    <w:rsid w:val="00533F9A"/>
    <w:rsid w:val="005362B3"/>
    <w:rsid w:val="00536475"/>
    <w:rsid w:val="005372BF"/>
    <w:rsid w:val="0054164F"/>
    <w:rsid w:val="00543703"/>
    <w:rsid w:val="00550AEB"/>
    <w:rsid w:val="0055709D"/>
    <w:rsid w:val="005629F8"/>
    <w:rsid w:val="00562B2E"/>
    <w:rsid w:val="00565544"/>
    <w:rsid w:val="0057205A"/>
    <w:rsid w:val="005739FA"/>
    <w:rsid w:val="00574FBD"/>
    <w:rsid w:val="00575201"/>
    <w:rsid w:val="00582B54"/>
    <w:rsid w:val="005854D5"/>
    <w:rsid w:val="0058551D"/>
    <w:rsid w:val="005A177A"/>
    <w:rsid w:val="005A2C6B"/>
    <w:rsid w:val="005B1CF4"/>
    <w:rsid w:val="005B712F"/>
    <w:rsid w:val="005C12FF"/>
    <w:rsid w:val="005C4698"/>
    <w:rsid w:val="005C4A10"/>
    <w:rsid w:val="005C4EDC"/>
    <w:rsid w:val="005C5119"/>
    <w:rsid w:val="005D01E3"/>
    <w:rsid w:val="005D598E"/>
    <w:rsid w:val="005E3347"/>
    <w:rsid w:val="005E3548"/>
    <w:rsid w:val="005E3A7A"/>
    <w:rsid w:val="005E3F52"/>
    <w:rsid w:val="005E4400"/>
    <w:rsid w:val="005E44DE"/>
    <w:rsid w:val="005E690F"/>
    <w:rsid w:val="005F3DC5"/>
    <w:rsid w:val="005F7854"/>
    <w:rsid w:val="005F7C21"/>
    <w:rsid w:val="006029C2"/>
    <w:rsid w:val="006033D4"/>
    <w:rsid w:val="00603628"/>
    <w:rsid w:val="006058CF"/>
    <w:rsid w:val="00605F54"/>
    <w:rsid w:val="006132F6"/>
    <w:rsid w:val="00613C21"/>
    <w:rsid w:val="00613D13"/>
    <w:rsid w:val="00614201"/>
    <w:rsid w:val="0062421B"/>
    <w:rsid w:val="006265B3"/>
    <w:rsid w:val="00633F13"/>
    <w:rsid w:val="00633FCA"/>
    <w:rsid w:val="00634773"/>
    <w:rsid w:val="006356F6"/>
    <w:rsid w:val="00636846"/>
    <w:rsid w:val="00640A4E"/>
    <w:rsid w:val="00645C16"/>
    <w:rsid w:val="00646327"/>
    <w:rsid w:val="0064730E"/>
    <w:rsid w:val="0065012E"/>
    <w:rsid w:val="0065225F"/>
    <w:rsid w:val="00653930"/>
    <w:rsid w:val="00660481"/>
    <w:rsid w:val="00660B1B"/>
    <w:rsid w:val="00660C4D"/>
    <w:rsid w:val="00663C81"/>
    <w:rsid w:val="006645BA"/>
    <w:rsid w:val="00664F2B"/>
    <w:rsid w:val="00664FDC"/>
    <w:rsid w:val="00676F3C"/>
    <w:rsid w:val="00681FC4"/>
    <w:rsid w:val="006843C9"/>
    <w:rsid w:val="00685E62"/>
    <w:rsid w:val="0068730C"/>
    <w:rsid w:val="00690CB7"/>
    <w:rsid w:val="0069133E"/>
    <w:rsid w:val="00692415"/>
    <w:rsid w:val="0069379C"/>
    <w:rsid w:val="00694936"/>
    <w:rsid w:val="00696D29"/>
    <w:rsid w:val="006975CF"/>
    <w:rsid w:val="006A0BD7"/>
    <w:rsid w:val="006A1E25"/>
    <w:rsid w:val="006A1F5C"/>
    <w:rsid w:val="006A24A1"/>
    <w:rsid w:val="006A3ACF"/>
    <w:rsid w:val="006A50BB"/>
    <w:rsid w:val="006A6EC7"/>
    <w:rsid w:val="006B145F"/>
    <w:rsid w:val="006B2409"/>
    <w:rsid w:val="006B3F89"/>
    <w:rsid w:val="006B4306"/>
    <w:rsid w:val="006C06E1"/>
    <w:rsid w:val="006C3F01"/>
    <w:rsid w:val="006C68DC"/>
    <w:rsid w:val="006C68FE"/>
    <w:rsid w:val="006C73A4"/>
    <w:rsid w:val="006D18E4"/>
    <w:rsid w:val="006D1937"/>
    <w:rsid w:val="006D2F1F"/>
    <w:rsid w:val="006D4BCA"/>
    <w:rsid w:val="006D4E0B"/>
    <w:rsid w:val="006D5D58"/>
    <w:rsid w:val="006D5FD2"/>
    <w:rsid w:val="006E0621"/>
    <w:rsid w:val="006E1197"/>
    <w:rsid w:val="006E16F0"/>
    <w:rsid w:val="006E351D"/>
    <w:rsid w:val="006E3741"/>
    <w:rsid w:val="006F2EFC"/>
    <w:rsid w:val="006F5C8B"/>
    <w:rsid w:val="006F7B6D"/>
    <w:rsid w:val="0070226C"/>
    <w:rsid w:val="00703EFE"/>
    <w:rsid w:val="0070601A"/>
    <w:rsid w:val="00707226"/>
    <w:rsid w:val="00707A91"/>
    <w:rsid w:val="00711AED"/>
    <w:rsid w:val="00712CF3"/>
    <w:rsid w:val="00714887"/>
    <w:rsid w:val="007164B7"/>
    <w:rsid w:val="00716550"/>
    <w:rsid w:val="007165E6"/>
    <w:rsid w:val="00724A2C"/>
    <w:rsid w:val="00725853"/>
    <w:rsid w:val="00725A6D"/>
    <w:rsid w:val="00732128"/>
    <w:rsid w:val="0073257D"/>
    <w:rsid w:val="007327AD"/>
    <w:rsid w:val="00732B7E"/>
    <w:rsid w:val="00732EAC"/>
    <w:rsid w:val="00733A25"/>
    <w:rsid w:val="007345FC"/>
    <w:rsid w:val="0074083D"/>
    <w:rsid w:val="007415CD"/>
    <w:rsid w:val="00741861"/>
    <w:rsid w:val="00742EB7"/>
    <w:rsid w:val="007471CE"/>
    <w:rsid w:val="007500FC"/>
    <w:rsid w:val="0075030A"/>
    <w:rsid w:val="00752DE9"/>
    <w:rsid w:val="0075405B"/>
    <w:rsid w:val="0076290A"/>
    <w:rsid w:val="00762E35"/>
    <w:rsid w:val="00763DF8"/>
    <w:rsid w:val="0076585E"/>
    <w:rsid w:val="00771036"/>
    <w:rsid w:val="0077245A"/>
    <w:rsid w:val="00772A1E"/>
    <w:rsid w:val="00775907"/>
    <w:rsid w:val="00775E50"/>
    <w:rsid w:val="007764C1"/>
    <w:rsid w:val="00776F4D"/>
    <w:rsid w:val="00776F59"/>
    <w:rsid w:val="007772F7"/>
    <w:rsid w:val="007858CA"/>
    <w:rsid w:val="00786138"/>
    <w:rsid w:val="00786209"/>
    <w:rsid w:val="0078625D"/>
    <w:rsid w:val="00787078"/>
    <w:rsid w:val="00790C87"/>
    <w:rsid w:val="007952A2"/>
    <w:rsid w:val="007A071B"/>
    <w:rsid w:val="007A46CF"/>
    <w:rsid w:val="007A650F"/>
    <w:rsid w:val="007A6703"/>
    <w:rsid w:val="007B110D"/>
    <w:rsid w:val="007B2D90"/>
    <w:rsid w:val="007B3123"/>
    <w:rsid w:val="007B447E"/>
    <w:rsid w:val="007B46E1"/>
    <w:rsid w:val="007B4AC6"/>
    <w:rsid w:val="007B4F61"/>
    <w:rsid w:val="007B4F9B"/>
    <w:rsid w:val="007C1A01"/>
    <w:rsid w:val="007C224B"/>
    <w:rsid w:val="007C2805"/>
    <w:rsid w:val="007C3C38"/>
    <w:rsid w:val="007C6198"/>
    <w:rsid w:val="007D07FA"/>
    <w:rsid w:val="007D0DDE"/>
    <w:rsid w:val="007D30A7"/>
    <w:rsid w:val="007D3796"/>
    <w:rsid w:val="007D3E1E"/>
    <w:rsid w:val="007D48B7"/>
    <w:rsid w:val="007D726F"/>
    <w:rsid w:val="007E1234"/>
    <w:rsid w:val="007E51A4"/>
    <w:rsid w:val="007E5599"/>
    <w:rsid w:val="007E6F36"/>
    <w:rsid w:val="007E7356"/>
    <w:rsid w:val="007F40C7"/>
    <w:rsid w:val="007F6F85"/>
    <w:rsid w:val="007F756F"/>
    <w:rsid w:val="007F7DA7"/>
    <w:rsid w:val="00800010"/>
    <w:rsid w:val="0080160A"/>
    <w:rsid w:val="00801B78"/>
    <w:rsid w:val="00802838"/>
    <w:rsid w:val="00804C25"/>
    <w:rsid w:val="00810C40"/>
    <w:rsid w:val="0081173C"/>
    <w:rsid w:val="0081530E"/>
    <w:rsid w:val="00817378"/>
    <w:rsid w:val="00826700"/>
    <w:rsid w:val="00831484"/>
    <w:rsid w:val="008323CB"/>
    <w:rsid w:val="0084241B"/>
    <w:rsid w:val="00842BB6"/>
    <w:rsid w:val="00851832"/>
    <w:rsid w:val="00854DBE"/>
    <w:rsid w:val="00854F4A"/>
    <w:rsid w:val="00855591"/>
    <w:rsid w:val="0085577D"/>
    <w:rsid w:val="00861194"/>
    <w:rsid w:val="008621D5"/>
    <w:rsid w:val="00864013"/>
    <w:rsid w:val="0086510F"/>
    <w:rsid w:val="008669D3"/>
    <w:rsid w:val="00866E99"/>
    <w:rsid w:val="00871BB5"/>
    <w:rsid w:val="00874297"/>
    <w:rsid w:val="0087487C"/>
    <w:rsid w:val="00876C92"/>
    <w:rsid w:val="00876EA7"/>
    <w:rsid w:val="0088109E"/>
    <w:rsid w:val="00881AF0"/>
    <w:rsid w:val="00883106"/>
    <w:rsid w:val="00883437"/>
    <w:rsid w:val="00884E5A"/>
    <w:rsid w:val="00885404"/>
    <w:rsid w:val="0088549E"/>
    <w:rsid w:val="008965B1"/>
    <w:rsid w:val="00896C28"/>
    <w:rsid w:val="0089788D"/>
    <w:rsid w:val="008A0291"/>
    <w:rsid w:val="008A0CCE"/>
    <w:rsid w:val="008A1659"/>
    <w:rsid w:val="008A18D9"/>
    <w:rsid w:val="008A5002"/>
    <w:rsid w:val="008A67DE"/>
    <w:rsid w:val="008A6BAB"/>
    <w:rsid w:val="008B2AA0"/>
    <w:rsid w:val="008B4FC2"/>
    <w:rsid w:val="008B5C7B"/>
    <w:rsid w:val="008C242F"/>
    <w:rsid w:val="008C2573"/>
    <w:rsid w:val="008C3922"/>
    <w:rsid w:val="008C6256"/>
    <w:rsid w:val="008C6CBB"/>
    <w:rsid w:val="008C6CEA"/>
    <w:rsid w:val="008D092D"/>
    <w:rsid w:val="008D14E7"/>
    <w:rsid w:val="008D3054"/>
    <w:rsid w:val="008D39F6"/>
    <w:rsid w:val="008D5204"/>
    <w:rsid w:val="008D5B32"/>
    <w:rsid w:val="008D739A"/>
    <w:rsid w:val="008D73AD"/>
    <w:rsid w:val="008E00F1"/>
    <w:rsid w:val="008E1F02"/>
    <w:rsid w:val="008E2E90"/>
    <w:rsid w:val="008E4DA3"/>
    <w:rsid w:val="008E6496"/>
    <w:rsid w:val="008E7B9A"/>
    <w:rsid w:val="008F1A8B"/>
    <w:rsid w:val="008F203B"/>
    <w:rsid w:val="008F3A72"/>
    <w:rsid w:val="008F4646"/>
    <w:rsid w:val="009067B4"/>
    <w:rsid w:val="0090766D"/>
    <w:rsid w:val="00912541"/>
    <w:rsid w:val="00914756"/>
    <w:rsid w:val="009163E3"/>
    <w:rsid w:val="009168EC"/>
    <w:rsid w:val="00922289"/>
    <w:rsid w:val="009230D1"/>
    <w:rsid w:val="00924D61"/>
    <w:rsid w:val="00926033"/>
    <w:rsid w:val="009329EB"/>
    <w:rsid w:val="00932F96"/>
    <w:rsid w:val="009337B4"/>
    <w:rsid w:val="0093534E"/>
    <w:rsid w:val="0093651A"/>
    <w:rsid w:val="00936E56"/>
    <w:rsid w:val="00941DB9"/>
    <w:rsid w:val="00942D11"/>
    <w:rsid w:val="0094343A"/>
    <w:rsid w:val="009479C9"/>
    <w:rsid w:val="00950210"/>
    <w:rsid w:val="00956E70"/>
    <w:rsid w:val="00961B2A"/>
    <w:rsid w:val="0096327D"/>
    <w:rsid w:val="009639C1"/>
    <w:rsid w:val="0097039F"/>
    <w:rsid w:val="009721F9"/>
    <w:rsid w:val="00972F11"/>
    <w:rsid w:val="00973039"/>
    <w:rsid w:val="00975A65"/>
    <w:rsid w:val="00976970"/>
    <w:rsid w:val="00982B6B"/>
    <w:rsid w:val="009862D0"/>
    <w:rsid w:val="00990DC9"/>
    <w:rsid w:val="009942D5"/>
    <w:rsid w:val="00996578"/>
    <w:rsid w:val="00997250"/>
    <w:rsid w:val="00997765"/>
    <w:rsid w:val="009A0B88"/>
    <w:rsid w:val="009A15BE"/>
    <w:rsid w:val="009A2A3A"/>
    <w:rsid w:val="009A5C6C"/>
    <w:rsid w:val="009A757F"/>
    <w:rsid w:val="009B094F"/>
    <w:rsid w:val="009B465F"/>
    <w:rsid w:val="009B5880"/>
    <w:rsid w:val="009C10A4"/>
    <w:rsid w:val="009C3879"/>
    <w:rsid w:val="009C68CB"/>
    <w:rsid w:val="009D1F0D"/>
    <w:rsid w:val="009D310D"/>
    <w:rsid w:val="009D3F37"/>
    <w:rsid w:val="009D6A81"/>
    <w:rsid w:val="009D6B7F"/>
    <w:rsid w:val="009E060B"/>
    <w:rsid w:val="009E386D"/>
    <w:rsid w:val="009E3F6F"/>
    <w:rsid w:val="009E4E7B"/>
    <w:rsid w:val="009E59B2"/>
    <w:rsid w:val="009E5FB4"/>
    <w:rsid w:val="009E6836"/>
    <w:rsid w:val="009F2800"/>
    <w:rsid w:val="009F3E95"/>
    <w:rsid w:val="009F4188"/>
    <w:rsid w:val="009F4C3C"/>
    <w:rsid w:val="009F4DD6"/>
    <w:rsid w:val="009F52F5"/>
    <w:rsid w:val="009F5E45"/>
    <w:rsid w:val="009F7323"/>
    <w:rsid w:val="009F7ED2"/>
    <w:rsid w:val="00A02F03"/>
    <w:rsid w:val="00A03D17"/>
    <w:rsid w:val="00A051E1"/>
    <w:rsid w:val="00A06572"/>
    <w:rsid w:val="00A07DEB"/>
    <w:rsid w:val="00A11839"/>
    <w:rsid w:val="00A17A7C"/>
    <w:rsid w:val="00A2150E"/>
    <w:rsid w:val="00A2535E"/>
    <w:rsid w:val="00A25DB2"/>
    <w:rsid w:val="00A26D9B"/>
    <w:rsid w:val="00A33D03"/>
    <w:rsid w:val="00A36A90"/>
    <w:rsid w:val="00A41BD6"/>
    <w:rsid w:val="00A41CAF"/>
    <w:rsid w:val="00A47BBB"/>
    <w:rsid w:val="00A51ACE"/>
    <w:rsid w:val="00A527C1"/>
    <w:rsid w:val="00A530C8"/>
    <w:rsid w:val="00A53980"/>
    <w:rsid w:val="00A546C2"/>
    <w:rsid w:val="00A5626C"/>
    <w:rsid w:val="00A562C2"/>
    <w:rsid w:val="00A57B31"/>
    <w:rsid w:val="00A612D2"/>
    <w:rsid w:val="00A63222"/>
    <w:rsid w:val="00A67990"/>
    <w:rsid w:val="00A70150"/>
    <w:rsid w:val="00A70F44"/>
    <w:rsid w:val="00A73952"/>
    <w:rsid w:val="00A76122"/>
    <w:rsid w:val="00A77B94"/>
    <w:rsid w:val="00A830B4"/>
    <w:rsid w:val="00A869FB"/>
    <w:rsid w:val="00A86AC3"/>
    <w:rsid w:val="00A90744"/>
    <w:rsid w:val="00A90A10"/>
    <w:rsid w:val="00A910B5"/>
    <w:rsid w:val="00A91999"/>
    <w:rsid w:val="00A93B60"/>
    <w:rsid w:val="00A94B72"/>
    <w:rsid w:val="00A96EDB"/>
    <w:rsid w:val="00A976C3"/>
    <w:rsid w:val="00A97711"/>
    <w:rsid w:val="00AA1908"/>
    <w:rsid w:val="00AA19F2"/>
    <w:rsid w:val="00AA2758"/>
    <w:rsid w:val="00AA3CAC"/>
    <w:rsid w:val="00AB45C9"/>
    <w:rsid w:val="00AC114F"/>
    <w:rsid w:val="00AC3DF7"/>
    <w:rsid w:val="00AC4C9D"/>
    <w:rsid w:val="00AC4F87"/>
    <w:rsid w:val="00AC5593"/>
    <w:rsid w:val="00AD1CBB"/>
    <w:rsid w:val="00AD22E1"/>
    <w:rsid w:val="00AD360B"/>
    <w:rsid w:val="00AD4EEC"/>
    <w:rsid w:val="00AD55EF"/>
    <w:rsid w:val="00AE1270"/>
    <w:rsid w:val="00AE2F94"/>
    <w:rsid w:val="00AE3C00"/>
    <w:rsid w:val="00AE551C"/>
    <w:rsid w:val="00AE569D"/>
    <w:rsid w:val="00AE7FBB"/>
    <w:rsid w:val="00AF1A8D"/>
    <w:rsid w:val="00AF30D0"/>
    <w:rsid w:val="00B00D52"/>
    <w:rsid w:val="00B0199C"/>
    <w:rsid w:val="00B01CF4"/>
    <w:rsid w:val="00B02B00"/>
    <w:rsid w:val="00B04641"/>
    <w:rsid w:val="00B07F88"/>
    <w:rsid w:val="00B103D1"/>
    <w:rsid w:val="00B11A8B"/>
    <w:rsid w:val="00B11E69"/>
    <w:rsid w:val="00B12B08"/>
    <w:rsid w:val="00B14BDD"/>
    <w:rsid w:val="00B1554C"/>
    <w:rsid w:val="00B16337"/>
    <w:rsid w:val="00B171C9"/>
    <w:rsid w:val="00B20543"/>
    <w:rsid w:val="00B20D7A"/>
    <w:rsid w:val="00B223D6"/>
    <w:rsid w:val="00B23A76"/>
    <w:rsid w:val="00B26CCE"/>
    <w:rsid w:val="00B347EC"/>
    <w:rsid w:val="00B408BE"/>
    <w:rsid w:val="00B425B5"/>
    <w:rsid w:val="00B42837"/>
    <w:rsid w:val="00B45117"/>
    <w:rsid w:val="00B467D2"/>
    <w:rsid w:val="00B567BF"/>
    <w:rsid w:val="00B56EFA"/>
    <w:rsid w:val="00B60F49"/>
    <w:rsid w:val="00B6388F"/>
    <w:rsid w:val="00B63933"/>
    <w:rsid w:val="00B64398"/>
    <w:rsid w:val="00B646A9"/>
    <w:rsid w:val="00B702F3"/>
    <w:rsid w:val="00B7555D"/>
    <w:rsid w:val="00B76B05"/>
    <w:rsid w:val="00B77ED5"/>
    <w:rsid w:val="00B80354"/>
    <w:rsid w:val="00B832EB"/>
    <w:rsid w:val="00B84331"/>
    <w:rsid w:val="00B8489E"/>
    <w:rsid w:val="00B84E73"/>
    <w:rsid w:val="00B85EF5"/>
    <w:rsid w:val="00B86139"/>
    <w:rsid w:val="00B867AD"/>
    <w:rsid w:val="00B901BB"/>
    <w:rsid w:val="00B90AAB"/>
    <w:rsid w:val="00B965F1"/>
    <w:rsid w:val="00B97016"/>
    <w:rsid w:val="00BA0004"/>
    <w:rsid w:val="00BA31E0"/>
    <w:rsid w:val="00BA45CC"/>
    <w:rsid w:val="00BB5507"/>
    <w:rsid w:val="00BB5AFE"/>
    <w:rsid w:val="00BB5B8B"/>
    <w:rsid w:val="00BB6F46"/>
    <w:rsid w:val="00BC01D2"/>
    <w:rsid w:val="00BC0828"/>
    <w:rsid w:val="00BC2B5C"/>
    <w:rsid w:val="00BC3632"/>
    <w:rsid w:val="00BC36FB"/>
    <w:rsid w:val="00BC533D"/>
    <w:rsid w:val="00BD05E7"/>
    <w:rsid w:val="00BD2ABC"/>
    <w:rsid w:val="00BD3620"/>
    <w:rsid w:val="00BD4972"/>
    <w:rsid w:val="00BD57D8"/>
    <w:rsid w:val="00BE20D6"/>
    <w:rsid w:val="00BE3AB9"/>
    <w:rsid w:val="00BE3CCD"/>
    <w:rsid w:val="00BE3E10"/>
    <w:rsid w:val="00BE5287"/>
    <w:rsid w:val="00BE7508"/>
    <w:rsid w:val="00BE7700"/>
    <w:rsid w:val="00BE785A"/>
    <w:rsid w:val="00BE7DE8"/>
    <w:rsid w:val="00BF0314"/>
    <w:rsid w:val="00BF088F"/>
    <w:rsid w:val="00BF105B"/>
    <w:rsid w:val="00BF12BF"/>
    <w:rsid w:val="00BF150A"/>
    <w:rsid w:val="00BF234C"/>
    <w:rsid w:val="00C01755"/>
    <w:rsid w:val="00C03BA6"/>
    <w:rsid w:val="00C04336"/>
    <w:rsid w:val="00C0693F"/>
    <w:rsid w:val="00C07CC0"/>
    <w:rsid w:val="00C109BE"/>
    <w:rsid w:val="00C120DC"/>
    <w:rsid w:val="00C14480"/>
    <w:rsid w:val="00C15507"/>
    <w:rsid w:val="00C16E2B"/>
    <w:rsid w:val="00C17880"/>
    <w:rsid w:val="00C22E2E"/>
    <w:rsid w:val="00C260EC"/>
    <w:rsid w:val="00C34C0B"/>
    <w:rsid w:val="00C36A32"/>
    <w:rsid w:val="00C4556F"/>
    <w:rsid w:val="00C4675D"/>
    <w:rsid w:val="00C46A77"/>
    <w:rsid w:val="00C471F6"/>
    <w:rsid w:val="00C4795C"/>
    <w:rsid w:val="00C5084D"/>
    <w:rsid w:val="00C50DB1"/>
    <w:rsid w:val="00C5247D"/>
    <w:rsid w:val="00C5503B"/>
    <w:rsid w:val="00C57029"/>
    <w:rsid w:val="00C60E49"/>
    <w:rsid w:val="00C61A87"/>
    <w:rsid w:val="00C637F1"/>
    <w:rsid w:val="00C70348"/>
    <w:rsid w:val="00C7224F"/>
    <w:rsid w:val="00C73390"/>
    <w:rsid w:val="00C739CB"/>
    <w:rsid w:val="00C73E98"/>
    <w:rsid w:val="00C73ECE"/>
    <w:rsid w:val="00C7507F"/>
    <w:rsid w:val="00C75BCD"/>
    <w:rsid w:val="00C7725E"/>
    <w:rsid w:val="00C8293A"/>
    <w:rsid w:val="00C82F8C"/>
    <w:rsid w:val="00C842B0"/>
    <w:rsid w:val="00C84E77"/>
    <w:rsid w:val="00C86255"/>
    <w:rsid w:val="00C86BFF"/>
    <w:rsid w:val="00C90FAC"/>
    <w:rsid w:val="00C93CE9"/>
    <w:rsid w:val="00C9519B"/>
    <w:rsid w:val="00C95C17"/>
    <w:rsid w:val="00CA0676"/>
    <w:rsid w:val="00CA07C6"/>
    <w:rsid w:val="00CA5169"/>
    <w:rsid w:val="00CA5779"/>
    <w:rsid w:val="00CA6E73"/>
    <w:rsid w:val="00CA7F78"/>
    <w:rsid w:val="00CB12C4"/>
    <w:rsid w:val="00CB4778"/>
    <w:rsid w:val="00CB4D04"/>
    <w:rsid w:val="00CB5115"/>
    <w:rsid w:val="00CC078F"/>
    <w:rsid w:val="00CC0D75"/>
    <w:rsid w:val="00CC36FF"/>
    <w:rsid w:val="00CD29D7"/>
    <w:rsid w:val="00CD5D18"/>
    <w:rsid w:val="00CD7F3A"/>
    <w:rsid w:val="00CE35BC"/>
    <w:rsid w:val="00CE61F2"/>
    <w:rsid w:val="00CF26C0"/>
    <w:rsid w:val="00CF4418"/>
    <w:rsid w:val="00D0259F"/>
    <w:rsid w:val="00D02724"/>
    <w:rsid w:val="00D04261"/>
    <w:rsid w:val="00D045B7"/>
    <w:rsid w:val="00D0576E"/>
    <w:rsid w:val="00D061C4"/>
    <w:rsid w:val="00D0766D"/>
    <w:rsid w:val="00D1260F"/>
    <w:rsid w:val="00D13419"/>
    <w:rsid w:val="00D16ED2"/>
    <w:rsid w:val="00D173CD"/>
    <w:rsid w:val="00D17AD7"/>
    <w:rsid w:val="00D20B03"/>
    <w:rsid w:val="00D2716F"/>
    <w:rsid w:val="00D338A9"/>
    <w:rsid w:val="00D3454D"/>
    <w:rsid w:val="00D34BD9"/>
    <w:rsid w:val="00D35E88"/>
    <w:rsid w:val="00D37F03"/>
    <w:rsid w:val="00D40A60"/>
    <w:rsid w:val="00D41327"/>
    <w:rsid w:val="00D418D9"/>
    <w:rsid w:val="00D41A2F"/>
    <w:rsid w:val="00D505A3"/>
    <w:rsid w:val="00D50EC4"/>
    <w:rsid w:val="00D53BB5"/>
    <w:rsid w:val="00D53CE0"/>
    <w:rsid w:val="00D54E64"/>
    <w:rsid w:val="00D55C5B"/>
    <w:rsid w:val="00D55E31"/>
    <w:rsid w:val="00D57A9C"/>
    <w:rsid w:val="00D60A37"/>
    <w:rsid w:val="00D61BAD"/>
    <w:rsid w:val="00D61BE1"/>
    <w:rsid w:val="00D62946"/>
    <w:rsid w:val="00D63660"/>
    <w:rsid w:val="00D75A17"/>
    <w:rsid w:val="00D84558"/>
    <w:rsid w:val="00D84D32"/>
    <w:rsid w:val="00D8514A"/>
    <w:rsid w:val="00D8569F"/>
    <w:rsid w:val="00D8680B"/>
    <w:rsid w:val="00D86A8B"/>
    <w:rsid w:val="00D9018E"/>
    <w:rsid w:val="00D90F14"/>
    <w:rsid w:val="00D9124B"/>
    <w:rsid w:val="00D92B92"/>
    <w:rsid w:val="00D9779B"/>
    <w:rsid w:val="00D97C80"/>
    <w:rsid w:val="00DA1178"/>
    <w:rsid w:val="00DA1F7D"/>
    <w:rsid w:val="00DA4140"/>
    <w:rsid w:val="00DA4165"/>
    <w:rsid w:val="00DA79AF"/>
    <w:rsid w:val="00DA7B3D"/>
    <w:rsid w:val="00DB0E3D"/>
    <w:rsid w:val="00DB117A"/>
    <w:rsid w:val="00DB16D0"/>
    <w:rsid w:val="00DB476A"/>
    <w:rsid w:val="00DB6937"/>
    <w:rsid w:val="00DB729B"/>
    <w:rsid w:val="00DB7638"/>
    <w:rsid w:val="00DC0458"/>
    <w:rsid w:val="00DC0A26"/>
    <w:rsid w:val="00DC0E1A"/>
    <w:rsid w:val="00DC11EE"/>
    <w:rsid w:val="00DC5CE9"/>
    <w:rsid w:val="00DD006D"/>
    <w:rsid w:val="00DD0195"/>
    <w:rsid w:val="00DD0967"/>
    <w:rsid w:val="00DD1569"/>
    <w:rsid w:val="00DD17BE"/>
    <w:rsid w:val="00DD218D"/>
    <w:rsid w:val="00DD37AC"/>
    <w:rsid w:val="00DD62DA"/>
    <w:rsid w:val="00DE50DA"/>
    <w:rsid w:val="00DE624C"/>
    <w:rsid w:val="00DF154D"/>
    <w:rsid w:val="00DF244A"/>
    <w:rsid w:val="00DF4F9B"/>
    <w:rsid w:val="00DF7E1F"/>
    <w:rsid w:val="00E01C33"/>
    <w:rsid w:val="00E02904"/>
    <w:rsid w:val="00E03F55"/>
    <w:rsid w:val="00E047B2"/>
    <w:rsid w:val="00E04D4F"/>
    <w:rsid w:val="00E06697"/>
    <w:rsid w:val="00E07845"/>
    <w:rsid w:val="00E104B5"/>
    <w:rsid w:val="00E13965"/>
    <w:rsid w:val="00E1672C"/>
    <w:rsid w:val="00E16820"/>
    <w:rsid w:val="00E16CCC"/>
    <w:rsid w:val="00E17656"/>
    <w:rsid w:val="00E17C3A"/>
    <w:rsid w:val="00E2146F"/>
    <w:rsid w:val="00E21ACD"/>
    <w:rsid w:val="00E21E25"/>
    <w:rsid w:val="00E22802"/>
    <w:rsid w:val="00E23664"/>
    <w:rsid w:val="00E24D0E"/>
    <w:rsid w:val="00E2626E"/>
    <w:rsid w:val="00E3200F"/>
    <w:rsid w:val="00E33F45"/>
    <w:rsid w:val="00E3452D"/>
    <w:rsid w:val="00E353BC"/>
    <w:rsid w:val="00E37CC4"/>
    <w:rsid w:val="00E37CEF"/>
    <w:rsid w:val="00E4071B"/>
    <w:rsid w:val="00E40CCE"/>
    <w:rsid w:val="00E41DDF"/>
    <w:rsid w:val="00E4262F"/>
    <w:rsid w:val="00E426C6"/>
    <w:rsid w:val="00E439C4"/>
    <w:rsid w:val="00E5323E"/>
    <w:rsid w:val="00E54815"/>
    <w:rsid w:val="00E56FEC"/>
    <w:rsid w:val="00E5703F"/>
    <w:rsid w:val="00E60C9F"/>
    <w:rsid w:val="00E64667"/>
    <w:rsid w:val="00E65C87"/>
    <w:rsid w:val="00E672C9"/>
    <w:rsid w:val="00E6752A"/>
    <w:rsid w:val="00E71D5D"/>
    <w:rsid w:val="00E7229D"/>
    <w:rsid w:val="00E729F0"/>
    <w:rsid w:val="00E77754"/>
    <w:rsid w:val="00E77D46"/>
    <w:rsid w:val="00E805F1"/>
    <w:rsid w:val="00E81F86"/>
    <w:rsid w:val="00E829BF"/>
    <w:rsid w:val="00E84E33"/>
    <w:rsid w:val="00E864BC"/>
    <w:rsid w:val="00E87B16"/>
    <w:rsid w:val="00E91286"/>
    <w:rsid w:val="00E91FC1"/>
    <w:rsid w:val="00E93669"/>
    <w:rsid w:val="00E94AD2"/>
    <w:rsid w:val="00E94BF0"/>
    <w:rsid w:val="00EA070A"/>
    <w:rsid w:val="00EA09CD"/>
    <w:rsid w:val="00EA2CD9"/>
    <w:rsid w:val="00EA48D2"/>
    <w:rsid w:val="00EA4BD2"/>
    <w:rsid w:val="00EA7E4A"/>
    <w:rsid w:val="00EB10DB"/>
    <w:rsid w:val="00EB2C7F"/>
    <w:rsid w:val="00EB30D1"/>
    <w:rsid w:val="00EB40B0"/>
    <w:rsid w:val="00EB71F7"/>
    <w:rsid w:val="00EC0057"/>
    <w:rsid w:val="00EC0392"/>
    <w:rsid w:val="00EC04B8"/>
    <w:rsid w:val="00EC4537"/>
    <w:rsid w:val="00EC4B3D"/>
    <w:rsid w:val="00EC5ACC"/>
    <w:rsid w:val="00EC7E6D"/>
    <w:rsid w:val="00ED1434"/>
    <w:rsid w:val="00ED5802"/>
    <w:rsid w:val="00ED798E"/>
    <w:rsid w:val="00EE0915"/>
    <w:rsid w:val="00EE0A45"/>
    <w:rsid w:val="00EE15D0"/>
    <w:rsid w:val="00EE2C2C"/>
    <w:rsid w:val="00EE6138"/>
    <w:rsid w:val="00EF152A"/>
    <w:rsid w:val="00EF1759"/>
    <w:rsid w:val="00EF49FC"/>
    <w:rsid w:val="00F005E1"/>
    <w:rsid w:val="00F016EC"/>
    <w:rsid w:val="00F04BCD"/>
    <w:rsid w:val="00F062F9"/>
    <w:rsid w:val="00F06F86"/>
    <w:rsid w:val="00F14544"/>
    <w:rsid w:val="00F21175"/>
    <w:rsid w:val="00F2253B"/>
    <w:rsid w:val="00F24C79"/>
    <w:rsid w:val="00F26A6E"/>
    <w:rsid w:val="00F26CC6"/>
    <w:rsid w:val="00F27379"/>
    <w:rsid w:val="00F27A09"/>
    <w:rsid w:val="00F31FE4"/>
    <w:rsid w:val="00F35214"/>
    <w:rsid w:val="00F364E4"/>
    <w:rsid w:val="00F36680"/>
    <w:rsid w:val="00F37CAA"/>
    <w:rsid w:val="00F41C1F"/>
    <w:rsid w:val="00F46108"/>
    <w:rsid w:val="00F4625B"/>
    <w:rsid w:val="00F46465"/>
    <w:rsid w:val="00F509C3"/>
    <w:rsid w:val="00F51378"/>
    <w:rsid w:val="00F51A3B"/>
    <w:rsid w:val="00F5292B"/>
    <w:rsid w:val="00F543F2"/>
    <w:rsid w:val="00F62EF4"/>
    <w:rsid w:val="00F638C1"/>
    <w:rsid w:val="00F66658"/>
    <w:rsid w:val="00F67821"/>
    <w:rsid w:val="00F67D44"/>
    <w:rsid w:val="00F70031"/>
    <w:rsid w:val="00F72C9E"/>
    <w:rsid w:val="00F73634"/>
    <w:rsid w:val="00F73D80"/>
    <w:rsid w:val="00F73E6C"/>
    <w:rsid w:val="00F76674"/>
    <w:rsid w:val="00F77A81"/>
    <w:rsid w:val="00F80365"/>
    <w:rsid w:val="00F8497C"/>
    <w:rsid w:val="00F8544E"/>
    <w:rsid w:val="00F86E14"/>
    <w:rsid w:val="00F87F2B"/>
    <w:rsid w:val="00F91893"/>
    <w:rsid w:val="00F91C97"/>
    <w:rsid w:val="00F920B2"/>
    <w:rsid w:val="00F95700"/>
    <w:rsid w:val="00F96CA3"/>
    <w:rsid w:val="00F974CB"/>
    <w:rsid w:val="00F97B30"/>
    <w:rsid w:val="00FA0B55"/>
    <w:rsid w:val="00FA0E2B"/>
    <w:rsid w:val="00FA3775"/>
    <w:rsid w:val="00FA60FD"/>
    <w:rsid w:val="00FB1D53"/>
    <w:rsid w:val="00FB66B8"/>
    <w:rsid w:val="00FC34D3"/>
    <w:rsid w:val="00FC365D"/>
    <w:rsid w:val="00FC3951"/>
    <w:rsid w:val="00FC4599"/>
    <w:rsid w:val="00FC4B2D"/>
    <w:rsid w:val="00FC59D5"/>
    <w:rsid w:val="00FC5BA7"/>
    <w:rsid w:val="00FD485E"/>
    <w:rsid w:val="00FD6BA8"/>
    <w:rsid w:val="00FD76E2"/>
    <w:rsid w:val="00FE00FF"/>
    <w:rsid w:val="00FE4CA5"/>
    <w:rsid w:val="00FE60CD"/>
    <w:rsid w:val="00FE6A89"/>
    <w:rsid w:val="00FE73F2"/>
    <w:rsid w:val="00FE7599"/>
    <w:rsid w:val="00FF13B6"/>
    <w:rsid w:val="00FF2C1A"/>
    <w:rsid w:val="00FF2D7D"/>
    <w:rsid w:val="00FF72BB"/>
    <w:rsid w:val="0199AFE5"/>
    <w:rsid w:val="06E318D9"/>
    <w:rsid w:val="0A1013F7"/>
    <w:rsid w:val="0C7221AD"/>
    <w:rsid w:val="0EE405F5"/>
    <w:rsid w:val="12157D8B"/>
    <w:rsid w:val="160D3FA6"/>
    <w:rsid w:val="18506CDE"/>
    <w:rsid w:val="1B6FEFD6"/>
    <w:rsid w:val="1F77F63A"/>
    <w:rsid w:val="1FFE3681"/>
    <w:rsid w:val="2389417C"/>
    <w:rsid w:val="23A95909"/>
    <w:rsid w:val="2416D638"/>
    <w:rsid w:val="27B5044E"/>
    <w:rsid w:val="28CFD11C"/>
    <w:rsid w:val="291CB932"/>
    <w:rsid w:val="29F711A1"/>
    <w:rsid w:val="2C81BA52"/>
    <w:rsid w:val="2D3756A8"/>
    <w:rsid w:val="31B295BE"/>
    <w:rsid w:val="34F46CF5"/>
    <w:rsid w:val="35ADAD77"/>
    <w:rsid w:val="38B857ED"/>
    <w:rsid w:val="3FB6F49C"/>
    <w:rsid w:val="44406675"/>
    <w:rsid w:val="47559F00"/>
    <w:rsid w:val="47833A2B"/>
    <w:rsid w:val="494FB976"/>
    <w:rsid w:val="4AC950AB"/>
    <w:rsid w:val="527E4FCB"/>
    <w:rsid w:val="585350DC"/>
    <w:rsid w:val="5A011D9D"/>
    <w:rsid w:val="5E0B6ABA"/>
    <w:rsid w:val="5FC2A712"/>
    <w:rsid w:val="60157E26"/>
    <w:rsid w:val="637FB4A0"/>
    <w:rsid w:val="682E1BB8"/>
    <w:rsid w:val="6AA1FD95"/>
    <w:rsid w:val="6BC1F8A4"/>
    <w:rsid w:val="6C0E42C3"/>
    <w:rsid w:val="6D42711E"/>
    <w:rsid w:val="71A65878"/>
    <w:rsid w:val="74E673AD"/>
    <w:rsid w:val="7ADA4C10"/>
  </w:rsids>
  <m:mathPr>
    <m:mathFont m:val="Cambria Math"/>
    <m:brkBin m:val="before"/>
    <m:brkBinSub m:val="--"/>
    <m:smallFrac m:val="0"/>
    <m:dispDef/>
    <m:lMargin m:val="0"/>
    <m:rMargin m:val="0"/>
    <m:defJc m:val="centerGroup"/>
    <m:wrapIndent m:val="1440"/>
    <m:intLim m:val="subSup"/>
    <m:naryLim m:val="undOvr"/>
  </m:mathPr>
  <w:themeFontLang w:val="en-PH"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15:docId w15:val="{4D37CE9A-F19B-4F29-AAFB-0958E285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54F4A"/>
    <w:pPr>
      <w:spacing w:line="288" w:lineRule="auto"/>
    </w:pPr>
    <w:rPr>
      <w:rFonts w:ascii="Arial" w:hAnsi="Arial"/>
      <w:color w:val="15272F" w:themeColor="text1"/>
      <w:lang w:val="en-AU"/>
    </w:rPr>
  </w:style>
  <w:style w:type="paragraph" w:styleId="Heading1">
    <w:name w:val="heading 1"/>
    <w:basedOn w:val="Normal"/>
    <w:next w:val="Normal"/>
    <w:link w:val="Heading1Char"/>
    <w:uiPriority w:val="9"/>
    <w:qFormat/>
    <w:rsid w:val="00FC4599"/>
    <w:pPr>
      <w:keepNext/>
      <w:keepLines/>
      <w:numPr>
        <w:numId w:val="4"/>
      </w:numPr>
      <w:spacing w:after="320"/>
      <w:outlineLvl w:val="0"/>
    </w:pPr>
    <w:rPr>
      <w:rFonts w:eastAsiaTheme="majorEastAsia" w:cstheme="majorBidi"/>
      <w:b/>
      <w:bCs/>
      <w:sz w:val="72"/>
      <w:szCs w:val="32"/>
    </w:rPr>
  </w:style>
  <w:style w:type="paragraph" w:styleId="Heading2">
    <w:name w:val="heading 2"/>
    <w:basedOn w:val="Normal"/>
    <w:next w:val="Normal"/>
    <w:link w:val="Heading2Char"/>
    <w:uiPriority w:val="9"/>
    <w:unhideWhenUsed/>
    <w:qFormat/>
    <w:rsid w:val="00FC4599"/>
    <w:pPr>
      <w:keepNext/>
      <w:keepLines/>
      <w:spacing w:before="120" w:after="240"/>
      <w:outlineLvl w:val="1"/>
    </w:pPr>
    <w:rPr>
      <w:rFonts w:eastAsiaTheme="majorEastAsia" w:cstheme="majorBidi"/>
      <w:b/>
      <w:bCs/>
      <w:color w:val="104F99" w:themeColor="accent2"/>
      <w:sz w:val="36"/>
      <w:szCs w:val="26"/>
    </w:rPr>
  </w:style>
  <w:style w:type="paragraph" w:styleId="Heading3">
    <w:name w:val="heading 3"/>
    <w:basedOn w:val="Normal"/>
    <w:next w:val="Normal"/>
    <w:link w:val="Heading3Char"/>
    <w:uiPriority w:val="9"/>
    <w:unhideWhenUsed/>
    <w:qFormat/>
    <w:rsid w:val="00FC4599"/>
    <w:pPr>
      <w:keepNext/>
      <w:keepLines/>
      <w:spacing w:before="120" w:after="240"/>
      <w:outlineLvl w:val="2"/>
    </w:pPr>
    <w:rPr>
      <w:rFonts w:eastAsiaTheme="majorEastAsia" w:cstheme="majorBidi"/>
      <w:b/>
      <w:bCs/>
      <w:color w:val="008F55" w:themeColor="accent4"/>
      <w:sz w:val="26"/>
      <w:szCs w:val="24"/>
    </w:rPr>
  </w:style>
  <w:style w:type="paragraph" w:styleId="Heading4">
    <w:name w:val="heading 4"/>
    <w:basedOn w:val="Normal"/>
    <w:next w:val="Normal"/>
    <w:link w:val="Heading4Char"/>
    <w:uiPriority w:val="9"/>
    <w:unhideWhenUsed/>
    <w:qFormat/>
    <w:rsid w:val="00C7224F"/>
    <w:pPr>
      <w:keepNext/>
      <w:keepLines/>
      <w:spacing w:before="120" w:after="24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4599"/>
    <w:rPr>
      <w:rFonts w:ascii="Arial" w:eastAsiaTheme="majorEastAsia" w:hAnsi="Arial" w:cstheme="majorBidi"/>
      <w:b/>
      <w:bCs/>
      <w:color w:val="15272F" w:themeColor="text1"/>
      <w:sz w:val="72"/>
      <w:szCs w:val="32"/>
      <w:lang w:val="en-AU"/>
    </w:rPr>
  </w:style>
  <w:style w:type="paragraph" w:styleId="Title">
    <w:name w:val="Title"/>
    <w:basedOn w:val="Normal"/>
    <w:next w:val="Normal"/>
    <w:link w:val="TitleChar"/>
    <w:uiPriority w:val="1"/>
    <w:qFormat/>
    <w:rsid w:val="00854F4A"/>
    <w:pPr>
      <w:spacing w:after="840" w:line="240" w:lineRule="auto"/>
      <w:contextualSpacing/>
    </w:pPr>
    <w:rPr>
      <w:rFonts w:eastAsiaTheme="majorEastAsia" w:cstheme="majorBidi"/>
      <w:spacing w:val="-10"/>
      <w:kern w:val="28"/>
      <w:sz w:val="84"/>
      <w:szCs w:val="56"/>
    </w:rPr>
  </w:style>
  <w:style w:type="character" w:customStyle="1" w:styleId="TitleChar">
    <w:name w:val="Title Char"/>
    <w:basedOn w:val="DefaultParagraphFont"/>
    <w:link w:val="Title"/>
    <w:uiPriority w:val="1"/>
    <w:rsid w:val="00854F4A"/>
    <w:rPr>
      <w:rFonts w:ascii="Arial" w:eastAsiaTheme="majorEastAsia" w:hAnsi="Arial" w:cstheme="majorBidi"/>
      <w:color w:val="15272F" w:themeColor="text1"/>
      <w:spacing w:val="-10"/>
      <w:kern w:val="28"/>
      <w:sz w:val="84"/>
      <w:szCs w:val="56"/>
    </w:rPr>
  </w:style>
  <w:style w:type="character" w:customStyle="1" w:styleId="Heading2Char">
    <w:name w:val="Heading 2 Char"/>
    <w:basedOn w:val="DefaultParagraphFont"/>
    <w:link w:val="Heading2"/>
    <w:uiPriority w:val="9"/>
    <w:rsid w:val="00FC4599"/>
    <w:rPr>
      <w:rFonts w:ascii="Arial" w:eastAsiaTheme="majorEastAsia" w:hAnsi="Arial" w:cstheme="majorBidi"/>
      <w:b/>
      <w:bCs/>
      <w:color w:val="104F99" w:themeColor="accent2"/>
      <w:sz w:val="36"/>
      <w:szCs w:val="26"/>
      <w:lang w:val="en-AU"/>
    </w:rPr>
  </w:style>
  <w:style w:type="character" w:customStyle="1" w:styleId="Heading3Char">
    <w:name w:val="Heading 3 Char"/>
    <w:basedOn w:val="DefaultParagraphFont"/>
    <w:link w:val="Heading3"/>
    <w:uiPriority w:val="9"/>
    <w:rsid w:val="00FC4599"/>
    <w:rPr>
      <w:rFonts w:ascii="Arial" w:eastAsiaTheme="majorEastAsia" w:hAnsi="Arial" w:cstheme="majorBidi"/>
      <w:b/>
      <w:bCs/>
      <w:color w:val="008F55" w:themeColor="accent4"/>
      <w:sz w:val="26"/>
      <w:szCs w:val="24"/>
      <w:lang w:val="en-AU"/>
    </w:rPr>
  </w:style>
  <w:style w:type="character" w:customStyle="1" w:styleId="Heading4Char">
    <w:name w:val="Heading 4 Char"/>
    <w:basedOn w:val="DefaultParagraphFont"/>
    <w:link w:val="Heading4"/>
    <w:uiPriority w:val="9"/>
    <w:rsid w:val="00C7224F"/>
    <w:rPr>
      <w:rFonts w:ascii="Arial" w:eastAsiaTheme="majorEastAsia" w:hAnsi="Arial" w:cstheme="majorBidi"/>
      <w:b/>
      <w:iCs/>
      <w:color w:val="15272F" w:themeColor="text1"/>
    </w:rPr>
  </w:style>
  <w:style w:type="paragraph" w:customStyle="1" w:styleId="ListLevel1">
    <w:name w:val="List Level 1"/>
    <w:basedOn w:val="ListLevel2"/>
    <w:link w:val="ListLevel1Char"/>
    <w:qFormat/>
    <w:rsid w:val="001035A0"/>
    <w:pPr>
      <w:numPr>
        <w:numId w:val="3"/>
      </w:numPr>
    </w:pPr>
  </w:style>
  <w:style w:type="paragraph" w:customStyle="1" w:styleId="ListLevel2">
    <w:name w:val="List Level 2"/>
    <w:basedOn w:val="Normal"/>
    <w:link w:val="ListLevel2Char"/>
    <w:qFormat/>
    <w:rsid w:val="001035A0"/>
    <w:pPr>
      <w:numPr>
        <w:ilvl w:val="1"/>
        <w:numId w:val="2"/>
      </w:numPr>
      <w:ind w:left="851" w:hanging="425"/>
      <w:contextualSpacing/>
    </w:pPr>
  </w:style>
  <w:style w:type="paragraph" w:styleId="Header">
    <w:name w:val="header"/>
    <w:basedOn w:val="Normal"/>
    <w:link w:val="HeaderChar"/>
    <w:uiPriority w:val="99"/>
    <w:unhideWhenUsed/>
    <w:rsid w:val="00DC0458"/>
    <w:pPr>
      <w:tabs>
        <w:tab w:val="center" w:pos="4680"/>
        <w:tab w:val="right" w:pos="9360"/>
      </w:tabs>
      <w:spacing w:after="0" w:line="240" w:lineRule="auto"/>
    </w:pPr>
  </w:style>
  <w:style w:type="character" w:customStyle="1" w:styleId="ListLevel1Char">
    <w:name w:val="List Level 1 Char"/>
    <w:basedOn w:val="ListLevel2Char"/>
    <w:link w:val="ListLevel1"/>
    <w:rsid w:val="001035A0"/>
    <w:rPr>
      <w:color w:val="15272F" w:themeColor="text1"/>
      <w:sz w:val="18"/>
    </w:rPr>
  </w:style>
  <w:style w:type="character" w:customStyle="1" w:styleId="ListLevel2Char">
    <w:name w:val="List Level 2 Char"/>
    <w:basedOn w:val="DefaultParagraphFont"/>
    <w:link w:val="ListLevel2"/>
    <w:rsid w:val="001035A0"/>
    <w:rPr>
      <w:color w:val="15272F" w:themeColor="text1"/>
      <w:sz w:val="18"/>
    </w:rPr>
  </w:style>
  <w:style w:type="character" w:customStyle="1" w:styleId="HeaderChar">
    <w:name w:val="Header Char"/>
    <w:basedOn w:val="DefaultParagraphFont"/>
    <w:link w:val="Header"/>
    <w:uiPriority w:val="99"/>
    <w:rsid w:val="00DC0458"/>
    <w:rPr>
      <w:color w:val="15272F" w:themeColor="text1"/>
      <w:sz w:val="18"/>
    </w:rPr>
  </w:style>
  <w:style w:type="paragraph" w:styleId="Footer">
    <w:name w:val="footer"/>
    <w:basedOn w:val="Normal"/>
    <w:link w:val="FooterChar"/>
    <w:uiPriority w:val="99"/>
    <w:unhideWhenUsed/>
    <w:rsid w:val="00DC0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458"/>
    <w:rPr>
      <w:color w:val="15272F" w:themeColor="text1"/>
      <w:sz w:val="18"/>
    </w:rPr>
  </w:style>
  <w:style w:type="paragraph" w:styleId="ListParagraph">
    <w:name w:val="List Paragraph"/>
    <w:basedOn w:val="Normal"/>
    <w:uiPriority w:val="1"/>
    <w:qFormat/>
    <w:rsid w:val="00D20B03"/>
    <w:pPr>
      <w:ind w:left="720"/>
      <w:contextualSpacing/>
    </w:pPr>
  </w:style>
  <w:style w:type="paragraph" w:customStyle="1" w:styleId="TableFigureheading">
    <w:name w:val="Table/Figure heading"/>
    <w:basedOn w:val="Heading4"/>
    <w:link w:val="TableFigureheadingChar"/>
    <w:qFormat/>
    <w:rsid w:val="00FC4599"/>
    <w:pPr>
      <w:spacing w:before="240"/>
    </w:pPr>
    <w:rPr>
      <w:b w:val="0"/>
      <w:bCs/>
      <w:color w:val="008F55" w:themeColor="accent4"/>
    </w:rPr>
  </w:style>
  <w:style w:type="table" w:customStyle="1" w:styleId="IHACPATable">
    <w:name w:val="IHACPA Table"/>
    <w:basedOn w:val="TableNormal"/>
    <w:uiPriority w:val="99"/>
    <w:rsid w:val="001B29EE"/>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FC4599"/>
    <w:rPr>
      <w:rFonts w:ascii="Arial" w:eastAsiaTheme="majorEastAsia" w:hAnsi="Arial" w:cstheme="majorBidi"/>
      <w:b w:val="0"/>
      <w:bCs/>
      <w:iCs/>
      <w:color w:val="008F55" w:themeColor="accent4"/>
      <w:lang w:val="en-AU"/>
    </w:rPr>
  </w:style>
  <w:style w:type="table" w:styleId="TableGrid">
    <w:name w:val="Table Grid"/>
    <w:basedOn w:val="TableNormal"/>
    <w:uiPriority w:val="39"/>
    <w:rsid w:val="001B2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077CF5"/>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1B64CA"/>
    <w:pPr>
      <w:spacing w:after="0" w:line="240" w:lineRule="auto"/>
    </w:pPr>
    <w:rPr>
      <w:sz w:val="16"/>
      <w:szCs w:val="15"/>
    </w:rPr>
  </w:style>
  <w:style w:type="character" w:customStyle="1" w:styleId="FootnoteChar">
    <w:name w:val="Footnote Char"/>
    <w:basedOn w:val="DefaultParagraphFont"/>
    <w:link w:val="Footnote"/>
    <w:rsid w:val="001B64CA"/>
    <w:rPr>
      <w:color w:val="15272F" w:themeColor="text1"/>
      <w:sz w:val="16"/>
      <w:szCs w:val="15"/>
    </w:rPr>
  </w:style>
  <w:style w:type="character" w:styleId="Hyperlink">
    <w:name w:val="Hyperlink"/>
    <w:basedOn w:val="DefaultParagraphFont"/>
    <w:uiPriority w:val="99"/>
    <w:unhideWhenUsed/>
    <w:rsid w:val="00C9519B"/>
    <w:rPr>
      <w:color w:val="0080C4" w:themeColor="hyperlink"/>
      <w:u w:val="single"/>
    </w:rPr>
  </w:style>
  <w:style w:type="paragraph" w:styleId="TOC1">
    <w:name w:val="toc 1"/>
    <w:basedOn w:val="Normal"/>
    <w:next w:val="Normal"/>
    <w:autoRedefine/>
    <w:uiPriority w:val="39"/>
    <w:unhideWhenUsed/>
    <w:rsid w:val="00E1672C"/>
    <w:pPr>
      <w:tabs>
        <w:tab w:val="right" w:leader="dot" w:pos="9736"/>
      </w:tabs>
      <w:spacing w:after="0" w:line="360" w:lineRule="auto"/>
    </w:pPr>
    <w:rPr>
      <w:b/>
      <w:sz w:val="28"/>
    </w:rPr>
  </w:style>
  <w:style w:type="paragraph" w:customStyle="1" w:styleId="CoverTitle">
    <w:name w:val="Cover Title"/>
    <w:basedOn w:val="Title"/>
    <w:link w:val="CoverTitleChar"/>
    <w:qFormat/>
    <w:rsid w:val="00A5626C"/>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A5626C"/>
    <w:rPr>
      <w:color w:val="54C1AF" w:themeColor="accent5"/>
      <w:sz w:val="48"/>
      <w:szCs w:val="48"/>
    </w:rPr>
  </w:style>
  <w:style w:type="character" w:customStyle="1" w:styleId="CoverTitleChar">
    <w:name w:val="Cover Title Char"/>
    <w:basedOn w:val="TitleChar"/>
    <w:link w:val="CoverTitle"/>
    <w:rsid w:val="00A5626C"/>
    <w:rPr>
      <w:rFonts w:asciiTheme="majorHAnsi" w:eastAsiaTheme="majorEastAsia" w:hAnsiTheme="majorHAnsi" w:cstheme="majorBidi"/>
      <w:color w:val="FFFFFF" w:themeColor="background2"/>
      <w:spacing w:val="-10"/>
      <w:kern w:val="28"/>
      <w:sz w:val="96"/>
      <w:szCs w:val="96"/>
    </w:rPr>
  </w:style>
  <w:style w:type="character" w:customStyle="1" w:styleId="UnresolvedMention1">
    <w:name w:val="Unresolved Mention1"/>
    <w:basedOn w:val="DefaultParagraphFont"/>
    <w:uiPriority w:val="99"/>
    <w:semiHidden/>
    <w:unhideWhenUsed/>
    <w:rsid w:val="00502A09"/>
    <w:rPr>
      <w:color w:val="605E5C"/>
      <w:shd w:val="clear" w:color="auto" w:fill="E1DFDD"/>
    </w:rPr>
  </w:style>
  <w:style w:type="character" w:customStyle="1" w:styleId="CoversubtitleChar">
    <w:name w:val="Cover subtitle Char"/>
    <w:basedOn w:val="CoverTitleChar"/>
    <w:link w:val="Coversubtitle"/>
    <w:rsid w:val="00A5626C"/>
    <w:rPr>
      <w:rFonts w:asciiTheme="majorHAnsi" w:eastAsiaTheme="majorEastAsia" w:hAnsiTheme="majorHAnsi" w:cstheme="majorBidi"/>
      <w:color w:val="54C1AF" w:themeColor="accent5"/>
      <w:spacing w:val="-10"/>
      <w:kern w:val="28"/>
      <w:sz w:val="48"/>
      <w:szCs w:val="48"/>
    </w:rPr>
  </w:style>
  <w:style w:type="paragraph" w:styleId="BodyText">
    <w:name w:val="Body Text"/>
    <w:basedOn w:val="Normal"/>
    <w:link w:val="BodyTextChar"/>
    <w:uiPriority w:val="1"/>
    <w:qFormat/>
    <w:rsid w:val="00C5247D"/>
    <w:pPr>
      <w:widowControl w:val="0"/>
      <w:autoSpaceDE w:val="0"/>
      <w:autoSpaceDN w:val="0"/>
      <w:spacing w:after="0" w:line="240" w:lineRule="auto"/>
    </w:pPr>
    <w:rPr>
      <w:rFonts w:eastAsia="Arial" w:cs="Arial"/>
      <w:color w:val="auto"/>
    </w:rPr>
  </w:style>
  <w:style w:type="character" w:customStyle="1" w:styleId="BodyTextChar">
    <w:name w:val="Body Text Char"/>
    <w:basedOn w:val="DefaultParagraphFont"/>
    <w:link w:val="BodyText"/>
    <w:uiPriority w:val="1"/>
    <w:rsid w:val="00C5247D"/>
    <w:rPr>
      <w:rFonts w:ascii="Arial" w:eastAsia="Arial" w:hAnsi="Arial" w:cs="Arial"/>
      <w:lang w:val="en-AU"/>
    </w:rPr>
  </w:style>
  <w:style w:type="paragraph" w:customStyle="1" w:styleId="TableParagraph">
    <w:name w:val="Table Paragraph"/>
    <w:basedOn w:val="Normal"/>
    <w:uiPriority w:val="1"/>
    <w:qFormat/>
    <w:rsid w:val="00956E70"/>
    <w:pPr>
      <w:widowControl w:val="0"/>
      <w:autoSpaceDE w:val="0"/>
      <w:autoSpaceDN w:val="0"/>
      <w:spacing w:after="0" w:line="240" w:lineRule="auto"/>
    </w:pPr>
    <w:rPr>
      <w:rFonts w:eastAsia="Arial" w:cs="Arial"/>
      <w:color w:val="auto"/>
      <w:sz w:val="14"/>
    </w:rPr>
  </w:style>
  <w:style w:type="paragraph" w:styleId="FootnoteText">
    <w:name w:val="footnote text"/>
    <w:basedOn w:val="Normal"/>
    <w:link w:val="FootnoteTextChar"/>
    <w:uiPriority w:val="99"/>
    <w:semiHidden/>
    <w:unhideWhenUsed/>
    <w:rsid w:val="001B64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64CA"/>
    <w:rPr>
      <w:color w:val="15272F" w:themeColor="text1"/>
      <w:sz w:val="20"/>
      <w:szCs w:val="20"/>
    </w:rPr>
  </w:style>
  <w:style w:type="character" w:styleId="FootnoteReference">
    <w:name w:val="footnote reference"/>
    <w:basedOn w:val="DefaultParagraphFont"/>
    <w:uiPriority w:val="99"/>
    <w:semiHidden/>
    <w:unhideWhenUsed/>
    <w:rsid w:val="001B64CA"/>
    <w:rPr>
      <w:vertAlign w:val="superscript"/>
    </w:rPr>
  </w:style>
  <w:style w:type="paragraph" w:styleId="Caption">
    <w:name w:val="caption"/>
    <w:basedOn w:val="Normal"/>
    <w:next w:val="Normal"/>
    <w:uiPriority w:val="35"/>
    <w:unhideWhenUsed/>
    <w:qFormat/>
    <w:rsid w:val="00854DBE"/>
    <w:pPr>
      <w:widowControl w:val="0"/>
      <w:autoSpaceDE w:val="0"/>
      <w:autoSpaceDN w:val="0"/>
      <w:spacing w:after="200" w:line="240" w:lineRule="auto"/>
    </w:pPr>
    <w:rPr>
      <w:rFonts w:eastAsia="Arial" w:cs="Arial"/>
      <w:b/>
      <w:iCs/>
      <w:color w:val="008F55" w:themeColor="accent4"/>
      <w:szCs w:val="18"/>
    </w:rPr>
  </w:style>
  <w:style w:type="paragraph" w:styleId="TOCHeading">
    <w:name w:val="TOC Heading"/>
    <w:basedOn w:val="Heading1"/>
    <w:next w:val="Normal"/>
    <w:uiPriority w:val="39"/>
    <w:unhideWhenUsed/>
    <w:qFormat/>
    <w:rsid w:val="00DB7638"/>
    <w:pPr>
      <w:spacing w:before="240" w:after="0" w:line="259" w:lineRule="auto"/>
      <w:outlineLvl w:val="9"/>
    </w:pPr>
    <w:rPr>
      <w:rFonts w:asciiTheme="majorHAnsi" w:hAnsiTheme="majorHAnsi"/>
      <w:color w:val="0F1D23" w:themeColor="accent1" w:themeShade="BF"/>
      <w:sz w:val="32"/>
      <w:lang w:val="en-US"/>
    </w:rPr>
  </w:style>
  <w:style w:type="paragraph" w:styleId="TOC2">
    <w:name w:val="toc 2"/>
    <w:basedOn w:val="Normal"/>
    <w:next w:val="Normal"/>
    <w:autoRedefine/>
    <w:uiPriority w:val="39"/>
    <w:unhideWhenUsed/>
    <w:rsid w:val="00DB7638"/>
    <w:pPr>
      <w:spacing w:after="100"/>
      <w:ind w:left="220"/>
    </w:pPr>
  </w:style>
  <w:style w:type="paragraph" w:styleId="TOC3">
    <w:name w:val="toc 3"/>
    <w:basedOn w:val="Normal"/>
    <w:next w:val="Normal"/>
    <w:uiPriority w:val="39"/>
    <w:unhideWhenUsed/>
    <w:rsid w:val="00DB7638"/>
    <w:pPr>
      <w:spacing w:after="100"/>
      <w:ind w:left="440"/>
    </w:pPr>
  </w:style>
  <w:style w:type="paragraph" w:styleId="TableofFigures">
    <w:name w:val="table of figures"/>
    <w:basedOn w:val="Normal"/>
    <w:next w:val="Normal"/>
    <w:uiPriority w:val="99"/>
    <w:unhideWhenUsed/>
    <w:rsid w:val="00DB7638"/>
    <w:pPr>
      <w:spacing w:after="0"/>
    </w:pPr>
  </w:style>
  <w:style w:type="character" w:styleId="CommentReference">
    <w:name w:val="annotation reference"/>
    <w:basedOn w:val="DefaultParagraphFont"/>
    <w:uiPriority w:val="99"/>
    <w:semiHidden/>
    <w:unhideWhenUsed/>
    <w:rsid w:val="00DB476A"/>
    <w:rPr>
      <w:sz w:val="16"/>
      <w:szCs w:val="16"/>
    </w:rPr>
  </w:style>
  <w:style w:type="paragraph" w:styleId="CommentText">
    <w:name w:val="annotation text"/>
    <w:basedOn w:val="Normal"/>
    <w:link w:val="CommentTextChar"/>
    <w:uiPriority w:val="99"/>
    <w:unhideWhenUsed/>
    <w:rsid w:val="00DB476A"/>
    <w:pPr>
      <w:spacing w:line="240" w:lineRule="auto"/>
    </w:pPr>
    <w:rPr>
      <w:sz w:val="20"/>
      <w:szCs w:val="20"/>
    </w:rPr>
  </w:style>
  <w:style w:type="character" w:customStyle="1" w:styleId="CommentTextChar">
    <w:name w:val="Comment Text Char"/>
    <w:basedOn w:val="DefaultParagraphFont"/>
    <w:link w:val="CommentText"/>
    <w:uiPriority w:val="99"/>
    <w:rsid w:val="00DB476A"/>
    <w:rPr>
      <w:rFonts w:ascii="Arial" w:hAnsi="Arial"/>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DB476A"/>
    <w:rPr>
      <w:b/>
      <w:bCs/>
    </w:rPr>
  </w:style>
  <w:style w:type="character" w:customStyle="1" w:styleId="CommentSubjectChar">
    <w:name w:val="Comment Subject Char"/>
    <w:basedOn w:val="CommentTextChar"/>
    <w:link w:val="CommentSubject"/>
    <w:uiPriority w:val="99"/>
    <w:semiHidden/>
    <w:rsid w:val="00DB476A"/>
    <w:rPr>
      <w:rFonts w:ascii="Arial" w:hAnsi="Arial"/>
      <w:b/>
      <w:bCs/>
      <w:color w:val="15272F" w:themeColor="text1"/>
      <w:sz w:val="20"/>
      <w:szCs w:val="20"/>
    </w:rPr>
  </w:style>
  <w:style w:type="paragraph" w:styleId="BalloonText">
    <w:name w:val="Balloon Text"/>
    <w:basedOn w:val="Normal"/>
    <w:link w:val="BalloonTextChar"/>
    <w:uiPriority w:val="99"/>
    <w:semiHidden/>
    <w:unhideWhenUsed/>
    <w:rsid w:val="00DB47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476A"/>
    <w:rPr>
      <w:rFonts w:ascii="Segoe UI" w:hAnsi="Segoe UI" w:cs="Segoe UI"/>
      <w:color w:val="15272F" w:themeColor="text1"/>
      <w:sz w:val="18"/>
      <w:szCs w:val="18"/>
    </w:rPr>
  </w:style>
  <w:style w:type="paragraph" w:styleId="NoSpacing">
    <w:name w:val="No Spacing"/>
    <w:qFormat/>
    <w:rsid w:val="00914756"/>
    <w:pPr>
      <w:spacing w:after="0" w:line="240" w:lineRule="auto"/>
    </w:pPr>
    <w:rPr>
      <w:rFonts w:ascii="Arial" w:eastAsia="Times New Roman" w:hAnsi="Arial" w:cs="Times New Roman"/>
      <w:szCs w:val="24"/>
      <w:lang w:val="en-AU" w:eastAsia="en-AU"/>
    </w:rPr>
  </w:style>
  <w:style w:type="paragraph" w:customStyle="1" w:styleId="Copyrightcopy">
    <w:name w:val="Copyright copy"/>
    <w:basedOn w:val="Normal"/>
    <w:next w:val="Normal"/>
    <w:qFormat/>
    <w:rsid w:val="00990DC9"/>
    <w:pPr>
      <w:ind w:right="4064"/>
    </w:pPr>
    <w:rPr>
      <w:sz w:val="18"/>
    </w:rPr>
  </w:style>
  <w:style w:type="paragraph" w:customStyle="1" w:styleId="Copyrightheading">
    <w:name w:val="Copyright heading"/>
    <w:basedOn w:val="Heading4"/>
    <w:next w:val="Normal"/>
    <w:qFormat/>
    <w:rsid w:val="00990DC9"/>
  </w:style>
  <w:style w:type="character" w:styleId="FollowedHyperlink">
    <w:name w:val="FollowedHyperlink"/>
    <w:basedOn w:val="DefaultParagraphFont"/>
    <w:uiPriority w:val="99"/>
    <w:semiHidden/>
    <w:unhideWhenUsed/>
    <w:rsid w:val="00BE3CCD"/>
    <w:rPr>
      <w:color w:val="104F99" w:themeColor="followedHyperlink"/>
      <w:u w:val="single"/>
    </w:rPr>
  </w:style>
  <w:style w:type="character" w:customStyle="1" w:styleId="UnresolvedMention2">
    <w:name w:val="Unresolved Mention2"/>
    <w:basedOn w:val="DefaultParagraphFont"/>
    <w:uiPriority w:val="99"/>
    <w:unhideWhenUsed/>
    <w:rsid w:val="00377649"/>
    <w:rPr>
      <w:color w:val="605E5C"/>
      <w:shd w:val="clear" w:color="auto" w:fill="E1DFDD"/>
    </w:rPr>
  </w:style>
  <w:style w:type="character" w:customStyle="1" w:styleId="Mention1">
    <w:name w:val="Mention1"/>
    <w:basedOn w:val="DefaultParagraphFont"/>
    <w:uiPriority w:val="99"/>
    <w:unhideWhenUsed/>
    <w:rsid w:val="00377649"/>
    <w:rPr>
      <w:color w:val="2B579A"/>
      <w:shd w:val="clear" w:color="auto" w:fill="E1DFDD"/>
    </w:rPr>
  </w:style>
  <w:style w:type="paragraph" w:styleId="Revision">
    <w:name w:val="Revision"/>
    <w:hidden/>
    <w:uiPriority w:val="99"/>
    <w:semiHidden/>
    <w:rsid w:val="00E829BF"/>
    <w:pPr>
      <w:spacing w:after="0" w:line="240" w:lineRule="auto"/>
    </w:pPr>
    <w:rPr>
      <w:rFonts w:ascii="Arial" w:hAnsi="Arial"/>
      <w:color w:val="15272F" w:themeColor="text1"/>
    </w:rPr>
  </w:style>
  <w:style w:type="character" w:styleId="UnresolvedMention">
    <w:name w:val="Unresolved Mention"/>
    <w:basedOn w:val="DefaultParagraphFont"/>
    <w:uiPriority w:val="99"/>
    <w:semiHidden/>
    <w:unhideWhenUsed/>
    <w:rsid w:val="004262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008">
      <w:bodyDiv w:val="1"/>
      <w:marLeft w:val="0"/>
      <w:marRight w:val="0"/>
      <w:marTop w:val="0"/>
      <w:marBottom w:val="0"/>
      <w:divBdr>
        <w:top w:val="none" w:sz="0" w:space="0" w:color="auto"/>
        <w:left w:val="none" w:sz="0" w:space="0" w:color="auto"/>
        <w:bottom w:val="none" w:sz="0" w:space="0" w:color="auto"/>
        <w:right w:val="none" w:sz="0" w:space="0" w:color="auto"/>
      </w:divBdr>
    </w:div>
    <w:div w:id="30613147">
      <w:bodyDiv w:val="1"/>
      <w:marLeft w:val="0"/>
      <w:marRight w:val="0"/>
      <w:marTop w:val="0"/>
      <w:marBottom w:val="0"/>
      <w:divBdr>
        <w:top w:val="none" w:sz="0" w:space="0" w:color="auto"/>
        <w:left w:val="none" w:sz="0" w:space="0" w:color="auto"/>
        <w:bottom w:val="none" w:sz="0" w:space="0" w:color="auto"/>
        <w:right w:val="none" w:sz="0" w:space="0" w:color="auto"/>
      </w:divBdr>
    </w:div>
    <w:div w:id="36858340">
      <w:bodyDiv w:val="1"/>
      <w:marLeft w:val="0"/>
      <w:marRight w:val="0"/>
      <w:marTop w:val="0"/>
      <w:marBottom w:val="0"/>
      <w:divBdr>
        <w:top w:val="none" w:sz="0" w:space="0" w:color="auto"/>
        <w:left w:val="none" w:sz="0" w:space="0" w:color="auto"/>
        <w:bottom w:val="none" w:sz="0" w:space="0" w:color="auto"/>
        <w:right w:val="none" w:sz="0" w:space="0" w:color="auto"/>
      </w:divBdr>
    </w:div>
    <w:div w:id="81417048">
      <w:bodyDiv w:val="1"/>
      <w:marLeft w:val="0"/>
      <w:marRight w:val="0"/>
      <w:marTop w:val="0"/>
      <w:marBottom w:val="0"/>
      <w:divBdr>
        <w:top w:val="none" w:sz="0" w:space="0" w:color="auto"/>
        <w:left w:val="none" w:sz="0" w:space="0" w:color="auto"/>
        <w:bottom w:val="none" w:sz="0" w:space="0" w:color="auto"/>
        <w:right w:val="none" w:sz="0" w:space="0" w:color="auto"/>
      </w:divBdr>
    </w:div>
    <w:div w:id="95444146">
      <w:bodyDiv w:val="1"/>
      <w:marLeft w:val="0"/>
      <w:marRight w:val="0"/>
      <w:marTop w:val="0"/>
      <w:marBottom w:val="0"/>
      <w:divBdr>
        <w:top w:val="none" w:sz="0" w:space="0" w:color="auto"/>
        <w:left w:val="none" w:sz="0" w:space="0" w:color="auto"/>
        <w:bottom w:val="none" w:sz="0" w:space="0" w:color="auto"/>
        <w:right w:val="none" w:sz="0" w:space="0" w:color="auto"/>
      </w:divBdr>
    </w:div>
    <w:div w:id="120920663">
      <w:bodyDiv w:val="1"/>
      <w:marLeft w:val="0"/>
      <w:marRight w:val="0"/>
      <w:marTop w:val="0"/>
      <w:marBottom w:val="0"/>
      <w:divBdr>
        <w:top w:val="none" w:sz="0" w:space="0" w:color="auto"/>
        <w:left w:val="none" w:sz="0" w:space="0" w:color="auto"/>
        <w:bottom w:val="none" w:sz="0" w:space="0" w:color="auto"/>
        <w:right w:val="none" w:sz="0" w:space="0" w:color="auto"/>
      </w:divBdr>
    </w:div>
    <w:div w:id="163935397">
      <w:bodyDiv w:val="1"/>
      <w:marLeft w:val="0"/>
      <w:marRight w:val="0"/>
      <w:marTop w:val="0"/>
      <w:marBottom w:val="0"/>
      <w:divBdr>
        <w:top w:val="none" w:sz="0" w:space="0" w:color="auto"/>
        <w:left w:val="none" w:sz="0" w:space="0" w:color="auto"/>
        <w:bottom w:val="none" w:sz="0" w:space="0" w:color="auto"/>
        <w:right w:val="none" w:sz="0" w:space="0" w:color="auto"/>
      </w:divBdr>
    </w:div>
    <w:div w:id="173344826">
      <w:bodyDiv w:val="1"/>
      <w:marLeft w:val="0"/>
      <w:marRight w:val="0"/>
      <w:marTop w:val="0"/>
      <w:marBottom w:val="0"/>
      <w:divBdr>
        <w:top w:val="none" w:sz="0" w:space="0" w:color="auto"/>
        <w:left w:val="none" w:sz="0" w:space="0" w:color="auto"/>
        <w:bottom w:val="none" w:sz="0" w:space="0" w:color="auto"/>
        <w:right w:val="none" w:sz="0" w:space="0" w:color="auto"/>
      </w:divBdr>
    </w:div>
    <w:div w:id="193274506">
      <w:bodyDiv w:val="1"/>
      <w:marLeft w:val="0"/>
      <w:marRight w:val="0"/>
      <w:marTop w:val="0"/>
      <w:marBottom w:val="0"/>
      <w:divBdr>
        <w:top w:val="none" w:sz="0" w:space="0" w:color="auto"/>
        <w:left w:val="none" w:sz="0" w:space="0" w:color="auto"/>
        <w:bottom w:val="none" w:sz="0" w:space="0" w:color="auto"/>
        <w:right w:val="none" w:sz="0" w:space="0" w:color="auto"/>
      </w:divBdr>
    </w:div>
    <w:div w:id="195974932">
      <w:bodyDiv w:val="1"/>
      <w:marLeft w:val="0"/>
      <w:marRight w:val="0"/>
      <w:marTop w:val="0"/>
      <w:marBottom w:val="0"/>
      <w:divBdr>
        <w:top w:val="none" w:sz="0" w:space="0" w:color="auto"/>
        <w:left w:val="none" w:sz="0" w:space="0" w:color="auto"/>
        <w:bottom w:val="none" w:sz="0" w:space="0" w:color="auto"/>
        <w:right w:val="none" w:sz="0" w:space="0" w:color="auto"/>
      </w:divBdr>
    </w:div>
    <w:div w:id="310987472">
      <w:bodyDiv w:val="1"/>
      <w:marLeft w:val="0"/>
      <w:marRight w:val="0"/>
      <w:marTop w:val="0"/>
      <w:marBottom w:val="0"/>
      <w:divBdr>
        <w:top w:val="none" w:sz="0" w:space="0" w:color="auto"/>
        <w:left w:val="none" w:sz="0" w:space="0" w:color="auto"/>
        <w:bottom w:val="none" w:sz="0" w:space="0" w:color="auto"/>
        <w:right w:val="none" w:sz="0" w:space="0" w:color="auto"/>
      </w:divBdr>
    </w:div>
    <w:div w:id="321393206">
      <w:bodyDiv w:val="1"/>
      <w:marLeft w:val="0"/>
      <w:marRight w:val="0"/>
      <w:marTop w:val="0"/>
      <w:marBottom w:val="0"/>
      <w:divBdr>
        <w:top w:val="none" w:sz="0" w:space="0" w:color="auto"/>
        <w:left w:val="none" w:sz="0" w:space="0" w:color="auto"/>
        <w:bottom w:val="none" w:sz="0" w:space="0" w:color="auto"/>
        <w:right w:val="none" w:sz="0" w:space="0" w:color="auto"/>
      </w:divBdr>
    </w:div>
    <w:div w:id="385688508">
      <w:bodyDiv w:val="1"/>
      <w:marLeft w:val="0"/>
      <w:marRight w:val="0"/>
      <w:marTop w:val="0"/>
      <w:marBottom w:val="0"/>
      <w:divBdr>
        <w:top w:val="none" w:sz="0" w:space="0" w:color="auto"/>
        <w:left w:val="none" w:sz="0" w:space="0" w:color="auto"/>
        <w:bottom w:val="none" w:sz="0" w:space="0" w:color="auto"/>
        <w:right w:val="none" w:sz="0" w:space="0" w:color="auto"/>
      </w:divBdr>
    </w:div>
    <w:div w:id="392778084">
      <w:bodyDiv w:val="1"/>
      <w:marLeft w:val="0"/>
      <w:marRight w:val="0"/>
      <w:marTop w:val="0"/>
      <w:marBottom w:val="0"/>
      <w:divBdr>
        <w:top w:val="none" w:sz="0" w:space="0" w:color="auto"/>
        <w:left w:val="none" w:sz="0" w:space="0" w:color="auto"/>
        <w:bottom w:val="none" w:sz="0" w:space="0" w:color="auto"/>
        <w:right w:val="none" w:sz="0" w:space="0" w:color="auto"/>
      </w:divBdr>
    </w:div>
    <w:div w:id="418330615">
      <w:bodyDiv w:val="1"/>
      <w:marLeft w:val="0"/>
      <w:marRight w:val="0"/>
      <w:marTop w:val="0"/>
      <w:marBottom w:val="0"/>
      <w:divBdr>
        <w:top w:val="none" w:sz="0" w:space="0" w:color="auto"/>
        <w:left w:val="none" w:sz="0" w:space="0" w:color="auto"/>
        <w:bottom w:val="none" w:sz="0" w:space="0" w:color="auto"/>
        <w:right w:val="none" w:sz="0" w:space="0" w:color="auto"/>
      </w:divBdr>
    </w:div>
    <w:div w:id="442042526">
      <w:bodyDiv w:val="1"/>
      <w:marLeft w:val="0"/>
      <w:marRight w:val="0"/>
      <w:marTop w:val="0"/>
      <w:marBottom w:val="0"/>
      <w:divBdr>
        <w:top w:val="none" w:sz="0" w:space="0" w:color="auto"/>
        <w:left w:val="none" w:sz="0" w:space="0" w:color="auto"/>
        <w:bottom w:val="none" w:sz="0" w:space="0" w:color="auto"/>
        <w:right w:val="none" w:sz="0" w:space="0" w:color="auto"/>
      </w:divBdr>
    </w:div>
    <w:div w:id="546717626">
      <w:bodyDiv w:val="1"/>
      <w:marLeft w:val="0"/>
      <w:marRight w:val="0"/>
      <w:marTop w:val="0"/>
      <w:marBottom w:val="0"/>
      <w:divBdr>
        <w:top w:val="none" w:sz="0" w:space="0" w:color="auto"/>
        <w:left w:val="none" w:sz="0" w:space="0" w:color="auto"/>
        <w:bottom w:val="none" w:sz="0" w:space="0" w:color="auto"/>
        <w:right w:val="none" w:sz="0" w:space="0" w:color="auto"/>
      </w:divBdr>
    </w:div>
    <w:div w:id="553077791">
      <w:bodyDiv w:val="1"/>
      <w:marLeft w:val="0"/>
      <w:marRight w:val="0"/>
      <w:marTop w:val="0"/>
      <w:marBottom w:val="0"/>
      <w:divBdr>
        <w:top w:val="none" w:sz="0" w:space="0" w:color="auto"/>
        <w:left w:val="none" w:sz="0" w:space="0" w:color="auto"/>
        <w:bottom w:val="none" w:sz="0" w:space="0" w:color="auto"/>
        <w:right w:val="none" w:sz="0" w:space="0" w:color="auto"/>
      </w:divBdr>
    </w:div>
    <w:div w:id="669599352">
      <w:bodyDiv w:val="1"/>
      <w:marLeft w:val="0"/>
      <w:marRight w:val="0"/>
      <w:marTop w:val="0"/>
      <w:marBottom w:val="0"/>
      <w:divBdr>
        <w:top w:val="none" w:sz="0" w:space="0" w:color="auto"/>
        <w:left w:val="none" w:sz="0" w:space="0" w:color="auto"/>
        <w:bottom w:val="none" w:sz="0" w:space="0" w:color="auto"/>
        <w:right w:val="none" w:sz="0" w:space="0" w:color="auto"/>
      </w:divBdr>
    </w:div>
    <w:div w:id="759712713">
      <w:bodyDiv w:val="1"/>
      <w:marLeft w:val="0"/>
      <w:marRight w:val="0"/>
      <w:marTop w:val="0"/>
      <w:marBottom w:val="0"/>
      <w:divBdr>
        <w:top w:val="none" w:sz="0" w:space="0" w:color="auto"/>
        <w:left w:val="none" w:sz="0" w:space="0" w:color="auto"/>
        <w:bottom w:val="none" w:sz="0" w:space="0" w:color="auto"/>
        <w:right w:val="none" w:sz="0" w:space="0" w:color="auto"/>
      </w:divBdr>
    </w:div>
    <w:div w:id="789936248">
      <w:bodyDiv w:val="1"/>
      <w:marLeft w:val="0"/>
      <w:marRight w:val="0"/>
      <w:marTop w:val="0"/>
      <w:marBottom w:val="0"/>
      <w:divBdr>
        <w:top w:val="none" w:sz="0" w:space="0" w:color="auto"/>
        <w:left w:val="none" w:sz="0" w:space="0" w:color="auto"/>
        <w:bottom w:val="none" w:sz="0" w:space="0" w:color="auto"/>
        <w:right w:val="none" w:sz="0" w:space="0" w:color="auto"/>
      </w:divBdr>
    </w:div>
    <w:div w:id="790787515">
      <w:bodyDiv w:val="1"/>
      <w:marLeft w:val="0"/>
      <w:marRight w:val="0"/>
      <w:marTop w:val="0"/>
      <w:marBottom w:val="0"/>
      <w:divBdr>
        <w:top w:val="none" w:sz="0" w:space="0" w:color="auto"/>
        <w:left w:val="none" w:sz="0" w:space="0" w:color="auto"/>
        <w:bottom w:val="none" w:sz="0" w:space="0" w:color="auto"/>
        <w:right w:val="none" w:sz="0" w:space="0" w:color="auto"/>
      </w:divBdr>
    </w:div>
    <w:div w:id="822090125">
      <w:bodyDiv w:val="1"/>
      <w:marLeft w:val="0"/>
      <w:marRight w:val="0"/>
      <w:marTop w:val="0"/>
      <w:marBottom w:val="0"/>
      <w:divBdr>
        <w:top w:val="none" w:sz="0" w:space="0" w:color="auto"/>
        <w:left w:val="none" w:sz="0" w:space="0" w:color="auto"/>
        <w:bottom w:val="none" w:sz="0" w:space="0" w:color="auto"/>
        <w:right w:val="none" w:sz="0" w:space="0" w:color="auto"/>
      </w:divBdr>
    </w:div>
    <w:div w:id="847214263">
      <w:bodyDiv w:val="1"/>
      <w:marLeft w:val="0"/>
      <w:marRight w:val="0"/>
      <w:marTop w:val="0"/>
      <w:marBottom w:val="0"/>
      <w:divBdr>
        <w:top w:val="none" w:sz="0" w:space="0" w:color="auto"/>
        <w:left w:val="none" w:sz="0" w:space="0" w:color="auto"/>
        <w:bottom w:val="none" w:sz="0" w:space="0" w:color="auto"/>
        <w:right w:val="none" w:sz="0" w:space="0" w:color="auto"/>
      </w:divBdr>
    </w:div>
    <w:div w:id="884289631">
      <w:bodyDiv w:val="1"/>
      <w:marLeft w:val="0"/>
      <w:marRight w:val="0"/>
      <w:marTop w:val="0"/>
      <w:marBottom w:val="0"/>
      <w:divBdr>
        <w:top w:val="none" w:sz="0" w:space="0" w:color="auto"/>
        <w:left w:val="none" w:sz="0" w:space="0" w:color="auto"/>
        <w:bottom w:val="none" w:sz="0" w:space="0" w:color="auto"/>
        <w:right w:val="none" w:sz="0" w:space="0" w:color="auto"/>
      </w:divBdr>
    </w:div>
    <w:div w:id="935819616">
      <w:bodyDiv w:val="1"/>
      <w:marLeft w:val="0"/>
      <w:marRight w:val="0"/>
      <w:marTop w:val="0"/>
      <w:marBottom w:val="0"/>
      <w:divBdr>
        <w:top w:val="none" w:sz="0" w:space="0" w:color="auto"/>
        <w:left w:val="none" w:sz="0" w:space="0" w:color="auto"/>
        <w:bottom w:val="none" w:sz="0" w:space="0" w:color="auto"/>
        <w:right w:val="none" w:sz="0" w:space="0" w:color="auto"/>
      </w:divBdr>
    </w:div>
    <w:div w:id="947153619">
      <w:bodyDiv w:val="1"/>
      <w:marLeft w:val="0"/>
      <w:marRight w:val="0"/>
      <w:marTop w:val="0"/>
      <w:marBottom w:val="0"/>
      <w:divBdr>
        <w:top w:val="none" w:sz="0" w:space="0" w:color="auto"/>
        <w:left w:val="none" w:sz="0" w:space="0" w:color="auto"/>
        <w:bottom w:val="none" w:sz="0" w:space="0" w:color="auto"/>
        <w:right w:val="none" w:sz="0" w:space="0" w:color="auto"/>
      </w:divBdr>
    </w:div>
    <w:div w:id="1007488117">
      <w:bodyDiv w:val="1"/>
      <w:marLeft w:val="0"/>
      <w:marRight w:val="0"/>
      <w:marTop w:val="0"/>
      <w:marBottom w:val="0"/>
      <w:divBdr>
        <w:top w:val="none" w:sz="0" w:space="0" w:color="auto"/>
        <w:left w:val="none" w:sz="0" w:space="0" w:color="auto"/>
        <w:bottom w:val="none" w:sz="0" w:space="0" w:color="auto"/>
        <w:right w:val="none" w:sz="0" w:space="0" w:color="auto"/>
      </w:divBdr>
    </w:div>
    <w:div w:id="1035347615">
      <w:bodyDiv w:val="1"/>
      <w:marLeft w:val="0"/>
      <w:marRight w:val="0"/>
      <w:marTop w:val="0"/>
      <w:marBottom w:val="0"/>
      <w:divBdr>
        <w:top w:val="none" w:sz="0" w:space="0" w:color="auto"/>
        <w:left w:val="none" w:sz="0" w:space="0" w:color="auto"/>
        <w:bottom w:val="none" w:sz="0" w:space="0" w:color="auto"/>
        <w:right w:val="none" w:sz="0" w:space="0" w:color="auto"/>
      </w:divBdr>
    </w:div>
    <w:div w:id="1086264291">
      <w:bodyDiv w:val="1"/>
      <w:marLeft w:val="0"/>
      <w:marRight w:val="0"/>
      <w:marTop w:val="0"/>
      <w:marBottom w:val="0"/>
      <w:divBdr>
        <w:top w:val="none" w:sz="0" w:space="0" w:color="auto"/>
        <w:left w:val="none" w:sz="0" w:space="0" w:color="auto"/>
        <w:bottom w:val="none" w:sz="0" w:space="0" w:color="auto"/>
        <w:right w:val="none" w:sz="0" w:space="0" w:color="auto"/>
      </w:divBdr>
    </w:div>
    <w:div w:id="1115055219">
      <w:bodyDiv w:val="1"/>
      <w:marLeft w:val="0"/>
      <w:marRight w:val="0"/>
      <w:marTop w:val="0"/>
      <w:marBottom w:val="0"/>
      <w:divBdr>
        <w:top w:val="none" w:sz="0" w:space="0" w:color="auto"/>
        <w:left w:val="none" w:sz="0" w:space="0" w:color="auto"/>
        <w:bottom w:val="none" w:sz="0" w:space="0" w:color="auto"/>
        <w:right w:val="none" w:sz="0" w:space="0" w:color="auto"/>
      </w:divBdr>
    </w:div>
    <w:div w:id="1116363304">
      <w:bodyDiv w:val="1"/>
      <w:marLeft w:val="0"/>
      <w:marRight w:val="0"/>
      <w:marTop w:val="0"/>
      <w:marBottom w:val="0"/>
      <w:divBdr>
        <w:top w:val="none" w:sz="0" w:space="0" w:color="auto"/>
        <w:left w:val="none" w:sz="0" w:space="0" w:color="auto"/>
        <w:bottom w:val="none" w:sz="0" w:space="0" w:color="auto"/>
        <w:right w:val="none" w:sz="0" w:space="0" w:color="auto"/>
      </w:divBdr>
    </w:div>
    <w:div w:id="1157455012">
      <w:bodyDiv w:val="1"/>
      <w:marLeft w:val="0"/>
      <w:marRight w:val="0"/>
      <w:marTop w:val="0"/>
      <w:marBottom w:val="0"/>
      <w:divBdr>
        <w:top w:val="none" w:sz="0" w:space="0" w:color="auto"/>
        <w:left w:val="none" w:sz="0" w:space="0" w:color="auto"/>
        <w:bottom w:val="none" w:sz="0" w:space="0" w:color="auto"/>
        <w:right w:val="none" w:sz="0" w:space="0" w:color="auto"/>
      </w:divBdr>
    </w:div>
    <w:div w:id="1224104342">
      <w:bodyDiv w:val="1"/>
      <w:marLeft w:val="0"/>
      <w:marRight w:val="0"/>
      <w:marTop w:val="0"/>
      <w:marBottom w:val="0"/>
      <w:divBdr>
        <w:top w:val="none" w:sz="0" w:space="0" w:color="auto"/>
        <w:left w:val="none" w:sz="0" w:space="0" w:color="auto"/>
        <w:bottom w:val="none" w:sz="0" w:space="0" w:color="auto"/>
        <w:right w:val="none" w:sz="0" w:space="0" w:color="auto"/>
      </w:divBdr>
    </w:div>
    <w:div w:id="1243291661">
      <w:bodyDiv w:val="1"/>
      <w:marLeft w:val="0"/>
      <w:marRight w:val="0"/>
      <w:marTop w:val="0"/>
      <w:marBottom w:val="0"/>
      <w:divBdr>
        <w:top w:val="none" w:sz="0" w:space="0" w:color="auto"/>
        <w:left w:val="none" w:sz="0" w:space="0" w:color="auto"/>
        <w:bottom w:val="none" w:sz="0" w:space="0" w:color="auto"/>
        <w:right w:val="none" w:sz="0" w:space="0" w:color="auto"/>
      </w:divBdr>
    </w:div>
    <w:div w:id="1266183288">
      <w:bodyDiv w:val="1"/>
      <w:marLeft w:val="0"/>
      <w:marRight w:val="0"/>
      <w:marTop w:val="0"/>
      <w:marBottom w:val="0"/>
      <w:divBdr>
        <w:top w:val="none" w:sz="0" w:space="0" w:color="auto"/>
        <w:left w:val="none" w:sz="0" w:space="0" w:color="auto"/>
        <w:bottom w:val="none" w:sz="0" w:space="0" w:color="auto"/>
        <w:right w:val="none" w:sz="0" w:space="0" w:color="auto"/>
      </w:divBdr>
    </w:div>
    <w:div w:id="1267345669">
      <w:bodyDiv w:val="1"/>
      <w:marLeft w:val="0"/>
      <w:marRight w:val="0"/>
      <w:marTop w:val="0"/>
      <w:marBottom w:val="0"/>
      <w:divBdr>
        <w:top w:val="none" w:sz="0" w:space="0" w:color="auto"/>
        <w:left w:val="none" w:sz="0" w:space="0" w:color="auto"/>
        <w:bottom w:val="none" w:sz="0" w:space="0" w:color="auto"/>
        <w:right w:val="none" w:sz="0" w:space="0" w:color="auto"/>
      </w:divBdr>
    </w:div>
    <w:div w:id="1276324944">
      <w:bodyDiv w:val="1"/>
      <w:marLeft w:val="0"/>
      <w:marRight w:val="0"/>
      <w:marTop w:val="0"/>
      <w:marBottom w:val="0"/>
      <w:divBdr>
        <w:top w:val="none" w:sz="0" w:space="0" w:color="auto"/>
        <w:left w:val="none" w:sz="0" w:space="0" w:color="auto"/>
        <w:bottom w:val="none" w:sz="0" w:space="0" w:color="auto"/>
        <w:right w:val="none" w:sz="0" w:space="0" w:color="auto"/>
      </w:divBdr>
    </w:div>
    <w:div w:id="1298759092">
      <w:bodyDiv w:val="1"/>
      <w:marLeft w:val="0"/>
      <w:marRight w:val="0"/>
      <w:marTop w:val="0"/>
      <w:marBottom w:val="0"/>
      <w:divBdr>
        <w:top w:val="none" w:sz="0" w:space="0" w:color="auto"/>
        <w:left w:val="none" w:sz="0" w:space="0" w:color="auto"/>
        <w:bottom w:val="none" w:sz="0" w:space="0" w:color="auto"/>
        <w:right w:val="none" w:sz="0" w:space="0" w:color="auto"/>
      </w:divBdr>
    </w:div>
    <w:div w:id="1304388238">
      <w:bodyDiv w:val="1"/>
      <w:marLeft w:val="0"/>
      <w:marRight w:val="0"/>
      <w:marTop w:val="0"/>
      <w:marBottom w:val="0"/>
      <w:divBdr>
        <w:top w:val="none" w:sz="0" w:space="0" w:color="auto"/>
        <w:left w:val="none" w:sz="0" w:space="0" w:color="auto"/>
        <w:bottom w:val="none" w:sz="0" w:space="0" w:color="auto"/>
        <w:right w:val="none" w:sz="0" w:space="0" w:color="auto"/>
      </w:divBdr>
    </w:div>
    <w:div w:id="1362121309">
      <w:bodyDiv w:val="1"/>
      <w:marLeft w:val="0"/>
      <w:marRight w:val="0"/>
      <w:marTop w:val="0"/>
      <w:marBottom w:val="0"/>
      <w:divBdr>
        <w:top w:val="none" w:sz="0" w:space="0" w:color="auto"/>
        <w:left w:val="none" w:sz="0" w:space="0" w:color="auto"/>
        <w:bottom w:val="none" w:sz="0" w:space="0" w:color="auto"/>
        <w:right w:val="none" w:sz="0" w:space="0" w:color="auto"/>
      </w:divBdr>
    </w:div>
    <w:div w:id="1365711969">
      <w:bodyDiv w:val="1"/>
      <w:marLeft w:val="0"/>
      <w:marRight w:val="0"/>
      <w:marTop w:val="0"/>
      <w:marBottom w:val="0"/>
      <w:divBdr>
        <w:top w:val="none" w:sz="0" w:space="0" w:color="auto"/>
        <w:left w:val="none" w:sz="0" w:space="0" w:color="auto"/>
        <w:bottom w:val="none" w:sz="0" w:space="0" w:color="auto"/>
        <w:right w:val="none" w:sz="0" w:space="0" w:color="auto"/>
      </w:divBdr>
    </w:div>
    <w:div w:id="1388601412">
      <w:bodyDiv w:val="1"/>
      <w:marLeft w:val="0"/>
      <w:marRight w:val="0"/>
      <w:marTop w:val="0"/>
      <w:marBottom w:val="0"/>
      <w:divBdr>
        <w:top w:val="none" w:sz="0" w:space="0" w:color="auto"/>
        <w:left w:val="none" w:sz="0" w:space="0" w:color="auto"/>
        <w:bottom w:val="none" w:sz="0" w:space="0" w:color="auto"/>
        <w:right w:val="none" w:sz="0" w:space="0" w:color="auto"/>
      </w:divBdr>
    </w:div>
    <w:div w:id="1440838468">
      <w:bodyDiv w:val="1"/>
      <w:marLeft w:val="0"/>
      <w:marRight w:val="0"/>
      <w:marTop w:val="0"/>
      <w:marBottom w:val="0"/>
      <w:divBdr>
        <w:top w:val="none" w:sz="0" w:space="0" w:color="auto"/>
        <w:left w:val="none" w:sz="0" w:space="0" w:color="auto"/>
        <w:bottom w:val="none" w:sz="0" w:space="0" w:color="auto"/>
        <w:right w:val="none" w:sz="0" w:space="0" w:color="auto"/>
      </w:divBdr>
    </w:div>
    <w:div w:id="1515455817">
      <w:bodyDiv w:val="1"/>
      <w:marLeft w:val="0"/>
      <w:marRight w:val="0"/>
      <w:marTop w:val="0"/>
      <w:marBottom w:val="0"/>
      <w:divBdr>
        <w:top w:val="none" w:sz="0" w:space="0" w:color="auto"/>
        <w:left w:val="none" w:sz="0" w:space="0" w:color="auto"/>
        <w:bottom w:val="none" w:sz="0" w:space="0" w:color="auto"/>
        <w:right w:val="none" w:sz="0" w:space="0" w:color="auto"/>
      </w:divBdr>
    </w:div>
    <w:div w:id="1528064086">
      <w:bodyDiv w:val="1"/>
      <w:marLeft w:val="0"/>
      <w:marRight w:val="0"/>
      <w:marTop w:val="0"/>
      <w:marBottom w:val="0"/>
      <w:divBdr>
        <w:top w:val="none" w:sz="0" w:space="0" w:color="auto"/>
        <w:left w:val="none" w:sz="0" w:space="0" w:color="auto"/>
        <w:bottom w:val="none" w:sz="0" w:space="0" w:color="auto"/>
        <w:right w:val="none" w:sz="0" w:space="0" w:color="auto"/>
      </w:divBdr>
    </w:div>
    <w:div w:id="1606574694">
      <w:bodyDiv w:val="1"/>
      <w:marLeft w:val="0"/>
      <w:marRight w:val="0"/>
      <w:marTop w:val="0"/>
      <w:marBottom w:val="0"/>
      <w:divBdr>
        <w:top w:val="none" w:sz="0" w:space="0" w:color="auto"/>
        <w:left w:val="none" w:sz="0" w:space="0" w:color="auto"/>
        <w:bottom w:val="none" w:sz="0" w:space="0" w:color="auto"/>
        <w:right w:val="none" w:sz="0" w:space="0" w:color="auto"/>
      </w:divBdr>
    </w:div>
    <w:div w:id="1614749696">
      <w:bodyDiv w:val="1"/>
      <w:marLeft w:val="0"/>
      <w:marRight w:val="0"/>
      <w:marTop w:val="0"/>
      <w:marBottom w:val="0"/>
      <w:divBdr>
        <w:top w:val="none" w:sz="0" w:space="0" w:color="auto"/>
        <w:left w:val="none" w:sz="0" w:space="0" w:color="auto"/>
        <w:bottom w:val="none" w:sz="0" w:space="0" w:color="auto"/>
        <w:right w:val="none" w:sz="0" w:space="0" w:color="auto"/>
      </w:divBdr>
    </w:div>
    <w:div w:id="1649633241">
      <w:bodyDiv w:val="1"/>
      <w:marLeft w:val="0"/>
      <w:marRight w:val="0"/>
      <w:marTop w:val="0"/>
      <w:marBottom w:val="0"/>
      <w:divBdr>
        <w:top w:val="none" w:sz="0" w:space="0" w:color="auto"/>
        <w:left w:val="none" w:sz="0" w:space="0" w:color="auto"/>
        <w:bottom w:val="none" w:sz="0" w:space="0" w:color="auto"/>
        <w:right w:val="none" w:sz="0" w:space="0" w:color="auto"/>
      </w:divBdr>
    </w:div>
    <w:div w:id="1665280211">
      <w:bodyDiv w:val="1"/>
      <w:marLeft w:val="0"/>
      <w:marRight w:val="0"/>
      <w:marTop w:val="0"/>
      <w:marBottom w:val="0"/>
      <w:divBdr>
        <w:top w:val="none" w:sz="0" w:space="0" w:color="auto"/>
        <w:left w:val="none" w:sz="0" w:space="0" w:color="auto"/>
        <w:bottom w:val="none" w:sz="0" w:space="0" w:color="auto"/>
        <w:right w:val="none" w:sz="0" w:space="0" w:color="auto"/>
      </w:divBdr>
    </w:div>
    <w:div w:id="1708212334">
      <w:bodyDiv w:val="1"/>
      <w:marLeft w:val="0"/>
      <w:marRight w:val="0"/>
      <w:marTop w:val="0"/>
      <w:marBottom w:val="0"/>
      <w:divBdr>
        <w:top w:val="none" w:sz="0" w:space="0" w:color="auto"/>
        <w:left w:val="none" w:sz="0" w:space="0" w:color="auto"/>
        <w:bottom w:val="none" w:sz="0" w:space="0" w:color="auto"/>
        <w:right w:val="none" w:sz="0" w:space="0" w:color="auto"/>
      </w:divBdr>
    </w:div>
    <w:div w:id="1746340151">
      <w:bodyDiv w:val="1"/>
      <w:marLeft w:val="0"/>
      <w:marRight w:val="0"/>
      <w:marTop w:val="0"/>
      <w:marBottom w:val="0"/>
      <w:divBdr>
        <w:top w:val="none" w:sz="0" w:space="0" w:color="auto"/>
        <w:left w:val="none" w:sz="0" w:space="0" w:color="auto"/>
        <w:bottom w:val="none" w:sz="0" w:space="0" w:color="auto"/>
        <w:right w:val="none" w:sz="0" w:space="0" w:color="auto"/>
      </w:divBdr>
    </w:div>
    <w:div w:id="1786460593">
      <w:bodyDiv w:val="1"/>
      <w:marLeft w:val="0"/>
      <w:marRight w:val="0"/>
      <w:marTop w:val="0"/>
      <w:marBottom w:val="0"/>
      <w:divBdr>
        <w:top w:val="none" w:sz="0" w:space="0" w:color="auto"/>
        <w:left w:val="none" w:sz="0" w:space="0" w:color="auto"/>
        <w:bottom w:val="none" w:sz="0" w:space="0" w:color="auto"/>
        <w:right w:val="none" w:sz="0" w:space="0" w:color="auto"/>
      </w:divBdr>
    </w:div>
    <w:div w:id="1820223617">
      <w:bodyDiv w:val="1"/>
      <w:marLeft w:val="0"/>
      <w:marRight w:val="0"/>
      <w:marTop w:val="0"/>
      <w:marBottom w:val="0"/>
      <w:divBdr>
        <w:top w:val="none" w:sz="0" w:space="0" w:color="auto"/>
        <w:left w:val="none" w:sz="0" w:space="0" w:color="auto"/>
        <w:bottom w:val="none" w:sz="0" w:space="0" w:color="auto"/>
        <w:right w:val="none" w:sz="0" w:space="0" w:color="auto"/>
      </w:divBdr>
    </w:div>
    <w:div w:id="1822454494">
      <w:bodyDiv w:val="1"/>
      <w:marLeft w:val="0"/>
      <w:marRight w:val="0"/>
      <w:marTop w:val="0"/>
      <w:marBottom w:val="0"/>
      <w:divBdr>
        <w:top w:val="none" w:sz="0" w:space="0" w:color="auto"/>
        <w:left w:val="none" w:sz="0" w:space="0" w:color="auto"/>
        <w:bottom w:val="none" w:sz="0" w:space="0" w:color="auto"/>
        <w:right w:val="none" w:sz="0" w:space="0" w:color="auto"/>
      </w:divBdr>
    </w:div>
    <w:div w:id="1936594984">
      <w:bodyDiv w:val="1"/>
      <w:marLeft w:val="0"/>
      <w:marRight w:val="0"/>
      <w:marTop w:val="0"/>
      <w:marBottom w:val="0"/>
      <w:divBdr>
        <w:top w:val="none" w:sz="0" w:space="0" w:color="auto"/>
        <w:left w:val="none" w:sz="0" w:space="0" w:color="auto"/>
        <w:bottom w:val="none" w:sz="0" w:space="0" w:color="auto"/>
        <w:right w:val="none" w:sz="0" w:space="0" w:color="auto"/>
      </w:divBdr>
    </w:div>
    <w:div w:id="2045137386">
      <w:bodyDiv w:val="1"/>
      <w:marLeft w:val="0"/>
      <w:marRight w:val="0"/>
      <w:marTop w:val="0"/>
      <w:marBottom w:val="0"/>
      <w:divBdr>
        <w:top w:val="none" w:sz="0" w:space="0" w:color="auto"/>
        <w:left w:val="none" w:sz="0" w:space="0" w:color="auto"/>
        <w:bottom w:val="none" w:sz="0" w:space="0" w:color="auto"/>
        <w:right w:val="none" w:sz="0" w:space="0" w:color="auto"/>
      </w:divBdr>
    </w:div>
    <w:div w:id="2052417202">
      <w:bodyDiv w:val="1"/>
      <w:marLeft w:val="0"/>
      <w:marRight w:val="0"/>
      <w:marTop w:val="0"/>
      <w:marBottom w:val="0"/>
      <w:divBdr>
        <w:top w:val="none" w:sz="0" w:space="0" w:color="auto"/>
        <w:left w:val="none" w:sz="0" w:space="0" w:color="auto"/>
        <w:bottom w:val="none" w:sz="0" w:space="0" w:color="auto"/>
        <w:right w:val="none" w:sz="0" w:space="0" w:color="auto"/>
      </w:divBdr>
    </w:div>
    <w:div w:id="207280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8.xml"/><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7.xml"/><Relationship Id="rId38" Type="http://schemas.openxmlformats.org/officeDocument/2006/relationships/image" Target="media/image19.png"/><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6.xml"/><Relationship Id="rId44" Type="http://schemas.openxmlformats.org/officeDocument/2006/relationships/hyperlink" Target="mailto:enquiries.ihpa@ihp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image" Target="media/image17.png"/><Relationship Id="rId43" Type="http://schemas.openxmlformats.org/officeDocument/2006/relationships/image" Target="media/image23.svg"/><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meteor.aihw.gov.au/content/711010" TargetMode="External"/><Relationship Id="rId3" Type="http://schemas.openxmlformats.org/officeDocument/2006/relationships/hyperlink" Target="https://meteor.aihw.gov.au/content/729904" TargetMode="External"/><Relationship Id="rId7" Type="http://schemas.openxmlformats.org/officeDocument/2006/relationships/hyperlink" Target="https://meteor.aihw.gov.au/content/index.phtml/itemId/711010" TargetMode="External"/><Relationship Id="rId12" Type="http://schemas.openxmlformats.org/officeDocument/2006/relationships/hyperlink" Target="https://www.ihpa.gov.au/publications/covid-19-response-costing-and-pricing-guidelines" TargetMode="External"/><Relationship Id="rId2" Type="http://schemas.openxmlformats.org/officeDocument/2006/relationships/hyperlink" Target="https://www.ihpa.gov.au/what-we-do/ar-drg-classification" TargetMode="External"/><Relationship Id="rId1" Type="http://schemas.openxmlformats.org/officeDocument/2006/relationships/hyperlink" Target="file:///C:\Users\YEOTIM\AppData\Roaming\Hewlett-Packard\HP%20TRIM\Offline%20Records%20(P6)\Committee%20~%20CARE%20PRICING%20-%20Hospital%20Costing(2)\ihacpa.gov.au\resources\covid-19-response-costing-and-pricing-guidelines" TargetMode="External"/><Relationship Id="rId6" Type="http://schemas.openxmlformats.org/officeDocument/2006/relationships/hyperlink" Target="https://meteor.aihw.gov.au/content/711010" TargetMode="External"/><Relationship Id="rId11" Type="http://schemas.openxmlformats.org/officeDocument/2006/relationships/hyperlink" Target="https://meteor.aihw.gov.au/content/index.phtml/itemId/327254" TargetMode="External"/><Relationship Id="rId5" Type="http://schemas.openxmlformats.org/officeDocument/2006/relationships/hyperlink" Target="https://meteor.aihw.gov.au/content/711010" TargetMode="External"/><Relationship Id="rId10" Type="http://schemas.openxmlformats.org/officeDocument/2006/relationships/hyperlink" Target="https://www.ihacpa.gov.au/resources/australian-hospital-patient-costing-standards-version-42" TargetMode="External"/><Relationship Id="rId4" Type="http://schemas.openxmlformats.org/officeDocument/2006/relationships/hyperlink" Target="https://meteor.aihw.gov.au/content/index.phtml/itemId/327254" TargetMode="External"/><Relationship Id="rId9" Type="http://schemas.openxmlformats.org/officeDocument/2006/relationships/hyperlink" Target="https://www.ihacpa.gov.au/resources/australian-hospital-patient-costing-standards-version-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ignOff xmlns="c1a5cabb-0a78-489b-8ae1-b9beb933999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B84903686C28429C65FD0B739CECE0" ma:contentTypeVersion="6" ma:contentTypeDescription="Create a new document." ma:contentTypeScope="" ma:versionID="f8a504bec004d5ae82a6082c591fc57a">
  <xsd:schema xmlns:xsd="http://www.w3.org/2001/XMLSchema" xmlns:xs="http://www.w3.org/2001/XMLSchema" xmlns:p="http://schemas.microsoft.com/office/2006/metadata/properties" xmlns:ns2="c1a5cabb-0a78-489b-8ae1-b9beb933999c" xmlns:ns3="21690a0e-2893-4863-8c37-a873ee74f662" targetNamespace="http://schemas.microsoft.com/office/2006/metadata/properties" ma:root="true" ma:fieldsID="f71c8f0cd0e7f4aa54316396e28b393c" ns2:_="" ns3:_="">
    <xsd:import namespace="c1a5cabb-0a78-489b-8ae1-b9beb933999c"/>
    <xsd:import namespace="21690a0e-2893-4863-8c37-a873ee74f662"/>
    <xsd:element name="properties">
      <xsd:complexType>
        <xsd:sequence>
          <xsd:element name="documentManagement">
            <xsd:complexType>
              <xsd:all>
                <xsd:element ref="ns2:Links" minOccurs="0"/>
                <xsd:element ref="ns2:SignOff"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a5cabb-0a78-489b-8ae1-b9beb933999c" elementFormDefault="qualified">
    <xsd:import namespace="http://schemas.microsoft.com/office/2006/documentManagement/types"/>
    <xsd:import namespace="http://schemas.microsoft.com/office/infopath/2007/PartnerControls"/>
    <xsd:element name="Links" ma:index="8" nillable="true" ma:displayName="Links" ma:list="{72c4f3bc-ee13-4125-a7fb-0c59e86bc435}" ma:internalName="Links" ma:readOnly="true" ma:showField="From_x0020_Document">
      <xsd:simpleType>
        <xsd:restriction base="dms:Lookup"/>
      </xsd:simpleType>
    </xsd:element>
    <xsd:element name="SignOff" ma:index="9" nillable="true" ma:displayName="Sign Off" ma:internalName="SignOff">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690a0e-2893-4863-8c37-a873ee74f6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A5362-E0C7-4455-BA2F-19E03D988488}">
  <ds:schemaRefs>
    <ds:schemaRef ds:uri="http://schemas.microsoft.com/office/2006/metadata/properties"/>
    <ds:schemaRef ds:uri="http://schemas.microsoft.com/office/infopath/2007/PartnerControls"/>
    <ds:schemaRef ds:uri="c1a5cabb-0a78-489b-8ae1-b9beb933999c"/>
  </ds:schemaRefs>
</ds:datastoreItem>
</file>

<file path=customXml/itemProps2.xml><?xml version="1.0" encoding="utf-8"?>
<ds:datastoreItem xmlns:ds="http://schemas.openxmlformats.org/officeDocument/2006/customXml" ds:itemID="{F7229BCE-B78E-4229-B446-519D8FFCFB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a5cabb-0a78-489b-8ae1-b9beb933999c"/>
    <ds:schemaRef ds:uri="21690a0e-2893-4863-8c37-a873ee74f6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0BB369-ECEC-4985-B5B4-F3CC3592F00C}">
  <ds:schemaRefs>
    <ds:schemaRef ds:uri="http://schemas.microsoft.com/sharepoint/v3/contenttype/forms"/>
  </ds:schemaRefs>
</ds:datastoreItem>
</file>

<file path=customXml/itemProps4.xml><?xml version="1.0" encoding="utf-8"?>
<ds:datastoreItem xmlns:ds="http://schemas.openxmlformats.org/officeDocument/2006/customXml" ds:itemID="{545C0851-AB2C-4128-8F3F-71BA96E6B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1778</TotalTime>
  <Pages>49</Pages>
  <Words>12165</Words>
  <Characters>69341</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Myles Cover</dc:creator>
  <cp:keywords/>
  <dc:description/>
  <cp:lastModifiedBy>MEHDI, Iman</cp:lastModifiedBy>
  <cp:revision>30</cp:revision>
  <cp:lastPrinted>2022-09-07T01:41:00Z</cp:lastPrinted>
  <dcterms:created xsi:type="dcterms:W3CDTF">2023-12-07T03:27:00Z</dcterms:created>
  <dcterms:modified xsi:type="dcterms:W3CDTF">2024-03-05T04:33:00Z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0x010100CEB84903686C28429C65FD0B739CECE0</vt:lpwstr>
  </property>
</Properties>
</file>