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E0C2" w14:textId="2C056424" w:rsidR="00FE5F3B" w:rsidRPr="00C81D74" w:rsidRDefault="007C4CBA" w:rsidP="00823D89">
      <w:pPr>
        <w:pStyle w:val="Heading1"/>
        <w:keepNext w:val="0"/>
        <w:keepLines/>
        <w:spacing w:before="480" w:after="120"/>
        <w:rPr>
          <w:sz w:val="36"/>
          <w:szCs w:val="36"/>
        </w:rPr>
      </w:pPr>
      <w:r w:rsidRPr="00C81D74">
        <w:rPr>
          <w:sz w:val="36"/>
          <w:szCs w:val="36"/>
        </w:rPr>
        <w:t>National Efficien</w:t>
      </w:r>
      <w:r w:rsidR="00C14963" w:rsidRPr="00C81D74">
        <w:rPr>
          <w:sz w:val="36"/>
          <w:szCs w:val="36"/>
        </w:rPr>
        <w:t>t Price</w:t>
      </w:r>
      <w:r w:rsidR="000A1B78" w:rsidRPr="00C81D74">
        <w:rPr>
          <w:sz w:val="36"/>
          <w:szCs w:val="36"/>
        </w:rPr>
        <w:t xml:space="preserve"> </w:t>
      </w:r>
      <w:r w:rsidR="00A83693" w:rsidRPr="00C81D74">
        <w:rPr>
          <w:sz w:val="36"/>
          <w:szCs w:val="36"/>
        </w:rPr>
        <w:t xml:space="preserve">and </w:t>
      </w:r>
      <w:r w:rsidR="002171AC" w:rsidRPr="00C81D74">
        <w:rPr>
          <w:sz w:val="36"/>
          <w:szCs w:val="36"/>
        </w:rPr>
        <w:t xml:space="preserve">National Efficient </w:t>
      </w:r>
      <w:r w:rsidR="00A83693" w:rsidRPr="00C81D74">
        <w:rPr>
          <w:sz w:val="36"/>
          <w:szCs w:val="36"/>
        </w:rPr>
        <w:t xml:space="preserve">Cost </w:t>
      </w:r>
      <w:r w:rsidR="00C14963" w:rsidRPr="00C81D74">
        <w:rPr>
          <w:sz w:val="36"/>
          <w:szCs w:val="36"/>
        </w:rPr>
        <w:t>Determination</w:t>
      </w:r>
      <w:r w:rsidR="009A3168" w:rsidRPr="00C81D74">
        <w:rPr>
          <w:sz w:val="36"/>
          <w:szCs w:val="36"/>
        </w:rPr>
        <w:t>s</w:t>
      </w:r>
      <w:r w:rsidR="00C14963" w:rsidRPr="00C81D74">
        <w:rPr>
          <w:sz w:val="36"/>
          <w:szCs w:val="36"/>
        </w:rPr>
        <w:t xml:space="preserve"> </w:t>
      </w:r>
      <w:r w:rsidR="007F2F83" w:rsidRPr="00C81D74">
        <w:rPr>
          <w:sz w:val="36"/>
          <w:szCs w:val="36"/>
        </w:rPr>
        <w:t>202</w:t>
      </w:r>
      <w:r w:rsidR="004C4545" w:rsidRPr="00C81D74">
        <w:rPr>
          <w:sz w:val="36"/>
          <w:szCs w:val="36"/>
        </w:rPr>
        <w:t>4</w:t>
      </w:r>
      <w:r w:rsidR="009C3DA6" w:rsidRPr="00C81D74">
        <w:rPr>
          <w:sz w:val="36"/>
          <w:szCs w:val="36"/>
        </w:rPr>
        <w:t>–2</w:t>
      </w:r>
      <w:r w:rsidR="004C4545" w:rsidRPr="00C81D74">
        <w:rPr>
          <w:sz w:val="36"/>
          <w:szCs w:val="36"/>
        </w:rPr>
        <w:t>5</w:t>
      </w:r>
      <w:r w:rsidR="00164574" w:rsidRPr="00C81D74">
        <w:rPr>
          <w:sz w:val="36"/>
          <w:szCs w:val="36"/>
        </w:rPr>
        <w:t xml:space="preserve"> </w:t>
      </w:r>
      <w:r w:rsidR="009A3168" w:rsidRPr="00C81D74">
        <w:rPr>
          <w:sz w:val="36"/>
          <w:szCs w:val="36"/>
        </w:rPr>
        <w:t>–</w:t>
      </w:r>
      <w:r w:rsidR="00E47F4F" w:rsidRPr="00C81D74">
        <w:rPr>
          <w:sz w:val="36"/>
          <w:szCs w:val="36"/>
        </w:rPr>
        <w:t xml:space="preserve"> </w:t>
      </w:r>
      <w:r w:rsidR="004C4545" w:rsidRPr="00C81D74">
        <w:rPr>
          <w:sz w:val="36"/>
          <w:szCs w:val="36"/>
        </w:rPr>
        <w:t>Glossary of Terms</w:t>
      </w:r>
    </w:p>
    <w:p w14:paraId="01CD389D" w14:textId="77777777" w:rsidR="00FE5F3B" w:rsidRPr="007F2F83" w:rsidRDefault="00FE5F3B" w:rsidP="00823D89">
      <w:pPr>
        <w:pStyle w:val="Heading2"/>
        <w:keepNext w:val="0"/>
        <w:keepLines/>
        <w:spacing w:before="120" w:after="120"/>
        <w:rPr>
          <w:color w:val="104F99"/>
          <w:kern w:val="32"/>
          <w:sz w:val="32"/>
        </w:rPr>
      </w:pPr>
      <w:r w:rsidRPr="007F2F83">
        <w:rPr>
          <w:color w:val="104F99"/>
          <w:kern w:val="32"/>
          <w:sz w:val="32"/>
        </w:rPr>
        <w:t>Terms</w:t>
      </w:r>
    </w:p>
    <w:p w14:paraId="3901931C" w14:textId="04838BB1" w:rsidR="00FE5F3B" w:rsidRPr="00A551CC" w:rsidRDefault="00FE5F3B" w:rsidP="00C81D74">
      <w:pPr>
        <w:keepLines/>
        <w:spacing w:before="120" w:after="120" w:line="259" w:lineRule="auto"/>
        <w:rPr>
          <w:rFonts w:ascii="Arial" w:hAnsi="Arial" w:cs="Arial"/>
          <w:sz w:val="22"/>
        </w:rPr>
      </w:pPr>
      <w:r w:rsidRPr="00A551CC">
        <w:rPr>
          <w:rFonts w:ascii="Arial" w:hAnsi="Arial" w:cs="Arial"/>
          <w:sz w:val="22"/>
        </w:rPr>
        <w:t xml:space="preserve">Words and phrases used in the </w:t>
      </w:r>
      <w:r w:rsidR="009C3DA6" w:rsidRPr="009C3DA6">
        <w:rPr>
          <w:rFonts w:ascii="Arial" w:hAnsi="Arial" w:cs="Arial"/>
          <w:i/>
          <w:sz w:val="22"/>
        </w:rPr>
        <w:t>National Health Reform Act 2011</w:t>
      </w:r>
      <w:r w:rsidR="009C3DA6">
        <w:rPr>
          <w:rFonts w:ascii="Arial" w:hAnsi="Arial" w:cs="Arial"/>
          <w:sz w:val="22"/>
        </w:rPr>
        <w:t xml:space="preserve"> (</w:t>
      </w:r>
      <w:r w:rsidR="00454090">
        <w:rPr>
          <w:rFonts w:ascii="Arial" w:hAnsi="Arial" w:cs="Arial"/>
          <w:sz w:val="22"/>
        </w:rPr>
        <w:t xml:space="preserve">NHR </w:t>
      </w:r>
      <w:r w:rsidR="009C3DA6">
        <w:rPr>
          <w:rFonts w:ascii="Arial" w:hAnsi="Arial" w:cs="Arial"/>
          <w:sz w:val="22"/>
        </w:rPr>
        <w:t xml:space="preserve">Act),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w:t>
      </w:r>
      <w:r w:rsidR="009C3DA6">
        <w:rPr>
          <w:rFonts w:ascii="Arial" w:hAnsi="Arial" w:cs="Arial"/>
          <w:sz w:val="22"/>
        </w:rPr>
        <w:t xml:space="preserve"> and</w:t>
      </w:r>
      <w:r w:rsidR="005A10CB">
        <w:rPr>
          <w:rFonts w:ascii="Arial" w:hAnsi="Arial" w:cs="Arial"/>
          <w:sz w:val="22"/>
        </w:rPr>
        <w:t xml:space="preserve"> the Addendum to the NHRA 2020–25 (Addendum)</w:t>
      </w:r>
      <w:r w:rsidR="002D1D3D">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2D29B1">
        <w:rPr>
          <w:rFonts w:ascii="Arial" w:hAnsi="Arial" w:cs="Arial"/>
          <w:sz w:val="22"/>
        </w:rPr>
        <w:t xml:space="preserve">Independent Health and Aged Care Pricing Authority’s (IHACPA) </w:t>
      </w:r>
      <w:r w:rsidR="00E47F4F" w:rsidRPr="005F7101">
        <w:rPr>
          <w:rFonts w:ascii="Arial" w:hAnsi="Arial" w:cs="Arial"/>
          <w:sz w:val="22"/>
          <w:szCs w:val="22"/>
        </w:rPr>
        <w:t xml:space="preserve">National Efficient Price Determination </w:t>
      </w:r>
      <w:r w:rsidR="00BD70DF" w:rsidRPr="00BD70DF">
        <w:rPr>
          <w:rFonts w:ascii="Arial" w:hAnsi="Arial" w:cs="Arial"/>
          <w:sz w:val="22"/>
          <w:szCs w:val="22"/>
        </w:rPr>
        <w:t>202</w:t>
      </w:r>
      <w:r w:rsidR="004C4545">
        <w:rPr>
          <w:rFonts w:ascii="Arial" w:hAnsi="Arial" w:cs="Arial"/>
          <w:sz w:val="22"/>
          <w:szCs w:val="22"/>
        </w:rPr>
        <w:t>4</w:t>
      </w:r>
      <w:r w:rsidR="00BD70DF" w:rsidRPr="00BD70DF">
        <w:rPr>
          <w:rFonts w:ascii="Arial" w:hAnsi="Arial" w:cs="Arial"/>
          <w:sz w:val="22"/>
          <w:szCs w:val="22"/>
        </w:rPr>
        <w:t>–2</w:t>
      </w:r>
      <w:r w:rsidR="004C4545">
        <w:rPr>
          <w:rFonts w:ascii="Arial" w:hAnsi="Arial" w:cs="Arial"/>
          <w:sz w:val="22"/>
          <w:szCs w:val="22"/>
        </w:rPr>
        <w:t>5</w:t>
      </w:r>
      <w:r w:rsidR="00E47F4F" w:rsidRPr="005F7101">
        <w:rPr>
          <w:rFonts w:ascii="Arial" w:hAnsi="Arial" w:cs="Arial"/>
          <w:sz w:val="22"/>
          <w:szCs w:val="22"/>
        </w:rPr>
        <w:t xml:space="preserve"> or </w:t>
      </w:r>
      <w:r w:rsidR="007D5F3A">
        <w:rPr>
          <w:rFonts w:ascii="Arial" w:hAnsi="Arial" w:cs="Arial"/>
          <w:sz w:val="22"/>
          <w:szCs w:val="22"/>
        </w:rPr>
        <w:t xml:space="preserve">the </w:t>
      </w:r>
      <w:r w:rsidR="00E47F4F" w:rsidRPr="005F7101">
        <w:rPr>
          <w:rFonts w:ascii="Arial" w:hAnsi="Arial" w:cs="Arial"/>
          <w:sz w:val="22"/>
          <w:szCs w:val="22"/>
        </w:rPr>
        <w:t xml:space="preserve">National Efficient Cost Determination </w:t>
      </w:r>
      <w:r w:rsidR="00BD70DF" w:rsidRPr="00BD70DF">
        <w:rPr>
          <w:rFonts w:ascii="Arial" w:hAnsi="Arial" w:cs="Arial"/>
          <w:sz w:val="22"/>
          <w:szCs w:val="22"/>
        </w:rPr>
        <w:t>202</w:t>
      </w:r>
      <w:r w:rsidR="004C4545">
        <w:rPr>
          <w:rFonts w:ascii="Arial" w:hAnsi="Arial" w:cs="Arial"/>
          <w:sz w:val="22"/>
          <w:szCs w:val="22"/>
        </w:rPr>
        <w:t>4</w:t>
      </w:r>
      <w:r w:rsidR="00BD70DF" w:rsidRPr="00BD70DF">
        <w:rPr>
          <w:rFonts w:ascii="Arial" w:hAnsi="Arial" w:cs="Arial"/>
          <w:sz w:val="22"/>
          <w:szCs w:val="22"/>
        </w:rPr>
        <w:t>–2</w:t>
      </w:r>
      <w:r w:rsidR="004C4545">
        <w:rPr>
          <w:rFonts w:ascii="Arial" w:hAnsi="Arial" w:cs="Arial"/>
          <w:sz w:val="22"/>
          <w:szCs w:val="22"/>
        </w:rPr>
        <w:t>5</w:t>
      </w:r>
      <w:r w:rsidRPr="005F7101">
        <w:rPr>
          <w:rFonts w:ascii="Arial" w:hAnsi="Arial" w:cs="Arial"/>
          <w:sz w:val="22"/>
        </w:rPr>
        <w:t>, and</w:t>
      </w:r>
      <w:r w:rsidRPr="00A551CC">
        <w:rPr>
          <w:rFonts w:ascii="Arial" w:hAnsi="Arial" w:cs="Arial"/>
          <w:sz w:val="22"/>
        </w:rPr>
        <w:t xml:space="preserve"> in addition:</w:t>
      </w:r>
    </w:p>
    <w:p w14:paraId="122BB2DC" w14:textId="315C0D43" w:rsidR="009046E1" w:rsidRDefault="009046E1" w:rsidP="00C81D74">
      <w:pPr>
        <w:keepLines/>
        <w:spacing w:before="120" w:after="120" w:line="259" w:lineRule="auto"/>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661BEF0C" w14:textId="015AF182" w:rsidR="00DD6711" w:rsidRPr="00A551CC" w:rsidRDefault="00DD6711" w:rsidP="00C81D74">
      <w:pPr>
        <w:keepLines/>
        <w:spacing w:before="120" w:after="120" w:line="259" w:lineRule="auto"/>
        <w:rPr>
          <w:rFonts w:ascii="Arial" w:hAnsi="Arial" w:cs="Arial"/>
          <w:sz w:val="22"/>
          <w:szCs w:val="22"/>
        </w:rPr>
      </w:pPr>
      <w:r w:rsidRPr="00DD6711">
        <w:rPr>
          <w:rFonts w:ascii="Arial" w:hAnsi="Arial" w:cs="Arial"/>
          <w:b/>
          <w:sz w:val="22"/>
          <w:szCs w:val="22"/>
        </w:rPr>
        <w:t>ACHI</w:t>
      </w:r>
      <w:r>
        <w:rPr>
          <w:rFonts w:ascii="Arial" w:hAnsi="Arial" w:cs="Arial"/>
          <w:sz w:val="22"/>
          <w:szCs w:val="22"/>
        </w:rPr>
        <w:t xml:space="preserve"> </w:t>
      </w:r>
      <w:r w:rsidR="009C3DA6"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DD6711">
        <w:rPr>
          <w:rFonts w:ascii="Arial" w:hAnsi="Arial" w:cs="Arial"/>
          <w:sz w:val="22"/>
          <w:szCs w:val="22"/>
        </w:rPr>
        <w:t>Australian Classification of Health Interventions</w:t>
      </w:r>
      <w:r w:rsidR="009C3DA6">
        <w:rPr>
          <w:rFonts w:ascii="Arial" w:hAnsi="Arial" w:cs="Arial"/>
          <w:sz w:val="22"/>
          <w:szCs w:val="22"/>
        </w:rPr>
        <w:t xml:space="preserve"> Twelfth</w:t>
      </w:r>
      <w:r w:rsidR="009C3DA6" w:rsidRPr="00DD6711">
        <w:rPr>
          <w:rFonts w:ascii="Arial" w:hAnsi="Arial" w:cs="Arial"/>
          <w:sz w:val="22"/>
          <w:szCs w:val="22"/>
        </w:rPr>
        <w:t xml:space="preserve"> </w:t>
      </w:r>
      <w:r w:rsidRPr="00DD6711">
        <w:rPr>
          <w:rFonts w:ascii="Arial" w:hAnsi="Arial" w:cs="Arial"/>
          <w:sz w:val="22"/>
          <w:szCs w:val="22"/>
        </w:rPr>
        <w:t>Edition</w:t>
      </w:r>
      <w:r w:rsidR="009C3DA6">
        <w:rPr>
          <w:rFonts w:ascii="Arial" w:hAnsi="Arial" w:cs="Arial"/>
          <w:sz w:val="22"/>
          <w:szCs w:val="22"/>
        </w:rPr>
        <w:t xml:space="preserve"> (also known as ACHI Twelfth Edition)</w:t>
      </w:r>
      <w:r>
        <w:rPr>
          <w:rFonts w:ascii="Arial" w:hAnsi="Arial" w:cs="Arial"/>
          <w:sz w:val="22"/>
          <w:szCs w:val="22"/>
        </w:rPr>
        <w:t>.</w:t>
      </w:r>
    </w:p>
    <w:p w14:paraId="03F62B3F" w14:textId="427C10B0" w:rsidR="00907220" w:rsidRPr="00A551CC" w:rsidRDefault="00907220" w:rsidP="00C81D74">
      <w:pPr>
        <w:keepLines/>
        <w:spacing w:before="120" w:after="120" w:line="259" w:lineRule="auto"/>
        <w:rPr>
          <w:rFonts w:ascii="Arial" w:hAnsi="Arial" w:cs="Arial"/>
          <w:sz w:val="22"/>
          <w:szCs w:val="22"/>
        </w:rPr>
      </w:pPr>
      <w:r w:rsidRPr="00DD6711">
        <w:rPr>
          <w:rFonts w:ascii="Arial" w:hAnsi="Arial" w:cs="Arial"/>
          <w:b/>
          <w:sz w:val="22"/>
          <w:szCs w:val="22"/>
        </w:rPr>
        <w:t>AC</w:t>
      </w:r>
      <w:r>
        <w:rPr>
          <w:rFonts w:ascii="Arial" w:hAnsi="Arial" w:cs="Arial"/>
          <w:b/>
          <w:sz w:val="22"/>
          <w:szCs w:val="22"/>
        </w:rPr>
        <w:t>S</w:t>
      </w:r>
      <w:r>
        <w:rPr>
          <w:rFonts w:ascii="Arial" w:hAnsi="Arial" w:cs="Arial"/>
          <w:sz w:val="22"/>
          <w:szCs w:val="22"/>
        </w:rPr>
        <w:t xml:space="preserve"> </w:t>
      </w:r>
      <w:r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907220">
        <w:rPr>
          <w:rFonts w:ascii="Arial" w:hAnsi="Arial" w:cs="Arial"/>
          <w:sz w:val="22"/>
          <w:szCs w:val="22"/>
        </w:rPr>
        <w:t>Australian Coding Standards</w:t>
      </w:r>
      <w:r>
        <w:rPr>
          <w:rFonts w:ascii="Arial" w:hAnsi="Arial" w:cs="Arial"/>
          <w:sz w:val="22"/>
          <w:szCs w:val="22"/>
        </w:rPr>
        <w:t xml:space="preserve"> Twelfth</w:t>
      </w:r>
      <w:r w:rsidRPr="00DD6711">
        <w:rPr>
          <w:rFonts w:ascii="Arial" w:hAnsi="Arial" w:cs="Arial"/>
          <w:sz w:val="22"/>
          <w:szCs w:val="22"/>
        </w:rPr>
        <w:t xml:space="preserve"> Edition</w:t>
      </w:r>
      <w:r>
        <w:rPr>
          <w:rFonts w:ascii="Arial" w:hAnsi="Arial" w:cs="Arial"/>
          <w:sz w:val="22"/>
          <w:szCs w:val="22"/>
        </w:rPr>
        <w:t xml:space="preserve"> (also known as ACS Twelfth Edition).</w:t>
      </w:r>
    </w:p>
    <w:p w14:paraId="519C0E8E" w14:textId="1AD7D09B" w:rsidR="00E83996" w:rsidRPr="00E83996" w:rsidRDefault="00E83996"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is a way of funding hospitals whereby they get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are outlined in the </w:t>
      </w:r>
      <w:r w:rsidR="007362A4">
        <w:rPr>
          <w:rFonts w:ascii="Arial" w:hAnsi="Arial" w:cs="Arial"/>
          <w:sz w:val="22"/>
          <w:szCs w:val="22"/>
        </w:rPr>
        <w:t xml:space="preserve">NHR </w:t>
      </w:r>
      <w:r w:rsidR="009C3DA6">
        <w:rPr>
          <w:rFonts w:ascii="Arial" w:hAnsi="Arial" w:cs="Arial"/>
          <w:sz w:val="22"/>
          <w:szCs w:val="22"/>
        </w:rPr>
        <w:t xml:space="preserve">Act, the </w:t>
      </w:r>
      <w:r w:rsidR="004760BA">
        <w:rPr>
          <w:rFonts w:ascii="Arial" w:hAnsi="Arial" w:cs="Arial"/>
          <w:sz w:val="22"/>
          <w:szCs w:val="22"/>
        </w:rPr>
        <w:t>NHRA</w:t>
      </w:r>
      <w:r w:rsidR="000D7340">
        <w:rPr>
          <w:rFonts w:ascii="Arial" w:hAnsi="Arial" w:cs="Arial"/>
          <w:sz w:val="22"/>
          <w:szCs w:val="22"/>
        </w:rPr>
        <w:t xml:space="preserve"> </w:t>
      </w:r>
      <w:r w:rsidR="009C3DA6">
        <w:rPr>
          <w:rFonts w:ascii="Arial" w:hAnsi="Arial" w:cs="Arial"/>
          <w:sz w:val="22"/>
          <w:szCs w:val="22"/>
        </w:rPr>
        <w:t xml:space="preserve">and </w:t>
      </w:r>
      <w:r w:rsidR="000D7340">
        <w:rPr>
          <w:rFonts w:ascii="Arial" w:hAnsi="Arial" w:cs="Arial"/>
          <w:sz w:val="22"/>
          <w:szCs w:val="22"/>
        </w:rPr>
        <w:t>the Addendum</w:t>
      </w:r>
      <w:r w:rsidRPr="00E83996">
        <w:rPr>
          <w:rFonts w:ascii="Arial" w:hAnsi="Arial" w:cs="Arial"/>
          <w:sz w:val="22"/>
          <w:szCs w:val="22"/>
        </w:rPr>
        <w:t>.</w:t>
      </w:r>
    </w:p>
    <w:p w14:paraId="44FB0E9D" w14:textId="1FB725BE" w:rsidR="00FE5F3B" w:rsidRPr="00E83996" w:rsidRDefault="00610B34"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t>
      </w:r>
      <w:r w:rsidR="00F20055">
        <w:rPr>
          <w:rFonts w:ascii="Arial" w:hAnsi="Arial" w:cs="Arial"/>
          <w:sz w:val="22"/>
          <w:szCs w:val="22"/>
        </w:rPr>
        <w:t>that</w:t>
      </w:r>
      <w:r w:rsidR="00F20055" w:rsidRPr="00E83996">
        <w:rPr>
          <w:rFonts w:ascii="Arial" w:hAnsi="Arial" w:cs="Arial"/>
          <w:sz w:val="22"/>
          <w:szCs w:val="22"/>
        </w:rPr>
        <w:t xml:space="preserve"> </w:t>
      </w:r>
      <w:r w:rsidR="00FE5F3B" w:rsidRPr="00E83996">
        <w:rPr>
          <w:rFonts w:ascii="Arial" w:hAnsi="Arial" w:cs="Arial"/>
          <w:sz w:val="22"/>
          <w:szCs w:val="22"/>
        </w:rPr>
        <w:t xml:space="preserve">will be funded by the Commonwealth in the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r w:rsidR="004760BA">
        <w:rPr>
          <w:rFonts w:ascii="Arial" w:hAnsi="Arial" w:cs="Arial"/>
          <w:sz w:val="22"/>
          <w:szCs w:val="22"/>
        </w:rPr>
        <w:t>p</w:t>
      </w:r>
      <w:r w:rsidR="00FE5F3B" w:rsidRPr="00E83996">
        <w:rPr>
          <w:rFonts w:ascii="Arial" w:hAnsi="Arial" w:cs="Arial"/>
          <w:sz w:val="22"/>
          <w:szCs w:val="22"/>
        </w:rPr>
        <w:t xml:space="preserve">resentation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502AD74A" w14:textId="632D834E" w:rsidR="00727289" w:rsidRPr="00E83996" w:rsidRDefault="00727289" w:rsidP="00C81D74">
      <w:pPr>
        <w:keepLines/>
        <w:spacing w:before="120" w:after="120" w:line="259" w:lineRule="auto"/>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8" w:history="1">
        <w:r w:rsidR="007362A4">
          <w:rPr>
            <w:rStyle w:val="Hyperlink"/>
            <w:rFonts w:ascii="Arial" w:hAnsi="Arial" w:cs="Arial"/>
            <w:sz w:val="22"/>
            <w:szCs w:val="22"/>
          </w:rPr>
          <w:t>METEOR: 711010</w:t>
        </w:r>
      </w:hyperlink>
      <w:r w:rsidRPr="00812061">
        <w:rPr>
          <w:rFonts w:ascii="Arial" w:hAnsi="Arial" w:cs="Arial"/>
          <w:sz w:val="22"/>
          <w:szCs w:val="22"/>
        </w:rPr>
        <w:t>)</w:t>
      </w:r>
      <w:r w:rsidR="008744FD" w:rsidRPr="00812061">
        <w:rPr>
          <w:rFonts w:ascii="Arial" w:hAnsi="Arial" w:cs="Arial"/>
          <w:sz w:val="22"/>
          <w:szCs w:val="22"/>
        </w:rPr>
        <w:t>.</w:t>
      </w:r>
    </w:p>
    <w:p w14:paraId="7E8A6AD6" w14:textId="641322AC" w:rsidR="00904DB5" w:rsidRPr="00E83996" w:rsidRDefault="00904DB5"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9" w:history="1">
        <w:r w:rsidR="00AD662A">
          <w:rPr>
            <w:rStyle w:val="Hyperlink"/>
            <w:rFonts w:ascii="Arial" w:hAnsi="Arial" w:cs="Arial"/>
            <w:sz w:val="22"/>
            <w:szCs w:val="22"/>
          </w:rPr>
          <w:t>Addendum to the National Health Reform Agreement 2020–25</w:t>
        </w:r>
      </w:hyperlink>
      <w:r w:rsidR="005A10CB">
        <w:rPr>
          <w:rFonts w:ascii="Arial" w:hAnsi="Arial" w:cs="Arial"/>
          <w:sz w:val="22"/>
          <w:szCs w:val="22"/>
        </w:rPr>
        <w:t>.</w:t>
      </w:r>
    </w:p>
    <w:p w14:paraId="4D362EF4" w14:textId="7178E35D" w:rsidR="009046E1"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means an amount added to, or subtracted</w:t>
      </w:r>
      <w:r w:rsidR="00F20055">
        <w:rPr>
          <w:rFonts w:ascii="Arial" w:hAnsi="Arial" w:cs="Arial"/>
          <w:sz w:val="22"/>
          <w:szCs w:val="22"/>
        </w:rPr>
        <w:t>,</w:t>
      </w:r>
      <w:r w:rsidRPr="00E83996">
        <w:rPr>
          <w:rFonts w:ascii="Arial" w:hAnsi="Arial" w:cs="Arial"/>
          <w:sz w:val="22"/>
          <w:szCs w:val="22"/>
        </w:rPr>
        <w:t xml:space="preserve">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eight, in recognition of legitimate and unavoidable variations in the cost of service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 xml:space="preserve">djustments for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705087" w:rsidRPr="00E83996">
        <w:rPr>
          <w:rFonts w:ascii="Arial" w:hAnsi="Arial" w:cs="Arial"/>
          <w:sz w:val="22"/>
          <w:szCs w:val="22"/>
        </w:rPr>
        <w:t xml:space="preserve"> are at </w:t>
      </w:r>
      <w:r w:rsidR="00705087" w:rsidRPr="00B02A0C">
        <w:rPr>
          <w:rFonts w:ascii="Arial" w:hAnsi="Arial" w:cs="Arial"/>
          <w:sz w:val="22"/>
          <w:szCs w:val="22"/>
        </w:rPr>
        <w:t xml:space="preserve">Chapter </w:t>
      </w:r>
      <w:r w:rsidR="00AF6E41">
        <w:rPr>
          <w:rFonts w:ascii="Arial" w:hAnsi="Arial" w:cs="Arial"/>
          <w:sz w:val="22"/>
          <w:szCs w:val="22"/>
        </w:rPr>
        <w:t xml:space="preserve">5 </w:t>
      </w:r>
      <w:r w:rsidR="00705087" w:rsidRPr="00E83996">
        <w:rPr>
          <w:rFonts w:ascii="Arial" w:hAnsi="Arial" w:cs="Arial"/>
          <w:sz w:val="22"/>
          <w:szCs w:val="22"/>
        </w:rPr>
        <w:t xml:space="preserve">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8744FD" w:rsidRPr="005F7101">
        <w:rPr>
          <w:rFonts w:ascii="Arial" w:hAnsi="Arial" w:cs="Arial"/>
          <w:sz w:val="22"/>
          <w:szCs w:val="22"/>
        </w:rPr>
        <w:t>.</w:t>
      </w:r>
    </w:p>
    <w:p w14:paraId="62BC0883" w14:textId="079F8AF1" w:rsidR="004024E9" w:rsidRDefault="004024E9" w:rsidP="00C81D74">
      <w:pPr>
        <w:keepLines/>
        <w:spacing w:before="120" w:after="120" w:line="259" w:lineRule="auto"/>
        <w:rPr>
          <w:rFonts w:ascii="Arial" w:hAnsi="Arial" w:cs="Arial"/>
          <w:sz w:val="22"/>
          <w:szCs w:val="22"/>
        </w:rPr>
      </w:pPr>
      <w:r w:rsidRPr="004024E9">
        <w:rPr>
          <w:rFonts w:ascii="Arial" w:hAnsi="Arial" w:cs="Arial"/>
          <w:b/>
          <w:sz w:val="22"/>
          <w:szCs w:val="22"/>
        </w:rPr>
        <w:t>AECC</w:t>
      </w:r>
      <w:r>
        <w:rPr>
          <w:rFonts w:ascii="Arial" w:hAnsi="Arial" w:cs="Arial"/>
          <w:sz w:val="22"/>
          <w:szCs w:val="22"/>
        </w:rPr>
        <w:t xml:space="preserve"> refers to a group within the classification system known as </w:t>
      </w:r>
      <w:r w:rsidR="00F15DEE">
        <w:rPr>
          <w:rFonts w:ascii="Arial" w:hAnsi="Arial" w:cs="Arial"/>
          <w:sz w:val="22"/>
          <w:szCs w:val="22"/>
        </w:rPr>
        <w:t xml:space="preserve">the </w:t>
      </w:r>
      <w:r w:rsidRPr="004024E9">
        <w:rPr>
          <w:rFonts w:ascii="Arial" w:hAnsi="Arial" w:cs="Arial"/>
          <w:sz w:val="22"/>
          <w:szCs w:val="22"/>
        </w:rPr>
        <w:t>Australian Emergency Care Classification Version 1.0</w:t>
      </w:r>
      <w:r>
        <w:rPr>
          <w:rFonts w:ascii="Arial" w:hAnsi="Arial" w:cs="Arial"/>
          <w:sz w:val="22"/>
          <w:szCs w:val="22"/>
        </w:rPr>
        <w:t xml:space="preserve"> (also known as AECC Version 1.0).</w:t>
      </w:r>
    </w:p>
    <w:p w14:paraId="4D41939D" w14:textId="3101F1DF" w:rsidR="004D6B07" w:rsidRPr="00AD662A" w:rsidRDefault="004D6B07" w:rsidP="00C81D74">
      <w:pPr>
        <w:keepLines/>
        <w:spacing w:before="120" w:after="120" w:line="259" w:lineRule="auto"/>
        <w:rPr>
          <w:rFonts w:ascii="Arial" w:hAnsi="Arial" w:cs="Arial"/>
          <w:bCs/>
          <w:sz w:val="22"/>
          <w:szCs w:val="22"/>
        </w:rPr>
      </w:pPr>
      <w:r>
        <w:rPr>
          <w:rFonts w:ascii="Arial" w:hAnsi="Arial" w:cs="Arial"/>
          <w:b/>
          <w:sz w:val="22"/>
          <w:szCs w:val="22"/>
        </w:rPr>
        <w:t xml:space="preserve">ALOS </w:t>
      </w:r>
      <w:r w:rsidR="00AD662A">
        <w:rPr>
          <w:rFonts w:ascii="Arial" w:hAnsi="Arial" w:cs="Arial"/>
          <w:bCs/>
          <w:sz w:val="22"/>
          <w:szCs w:val="22"/>
        </w:rPr>
        <w:t>refers to</w:t>
      </w:r>
      <w:r>
        <w:rPr>
          <w:rFonts w:ascii="Arial" w:hAnsi="Arial" w:cs="Arial"/>
          <w:bCs/>
          <w:sz w:val="22"/>
          <w:szCs w:val="22"/>
        </w:rPr>
        <w:t xml:space="preserve"> </w:t>
      </w:r>
      <w:r w:rsidR="00401C94">
        <w:rPr>
          <w:rFonts w:ascii="Arial" w:hAnsi="Arial" w:cs="Arial"/>
          <w:bCs/>
          <w:sz w:val="22"/>
          <w:szCs w:val="22"/>
        </w:rPr>
        <w:t xml:space="preserve">the </w:t>
      </w:r>
      <w:r>
        <w:rPr>
          <w:rFonts w:ascii="Arial" w:hAnsi="Arial" w:cs="Arial"/>
          <w:bCs/>
          <w:sz w:val="22"/>
          <w:szCs w:val="22"/>
        </w:rPr>
        <w:t>average length of stay</w:t>
      </w:r>
      <w:r w:rsidR="00401C94">
        <w:rPr>
          <w:rFonts w:ascii="Arial" w:hAnsi="Arial" w:cs="Arial"/>
          <w:bCs/>
          <w:sz w:val="22"/>
          <w:szCs w:val="22"/>
        </w:rPr>
        <w:t xml:space="preserve"> of an episode </w:t>
      </w:r>
      <w:r w:rsidR="00AD662A">
        <w:rPr>
          <w:rFonts w:ascii="Arial" w:hAnsi="Arial" w:cs="Arial"/>
          <w:bCs/>
          <w:sz w:val="22"/>
          <w:szCs w:val="22"/>
        </w:rPr>
        <w:t xml:space="preserve">or phase </w:t>
      </w:r>
      <w:r w:rsidR="00401C94">
        <w:rPr>
          <w:rFonts w:ascii="Arial" w:hAnsi="Arial" w:cs="Arial"/>
          <w:bCs/>
          <w:sz w:val="22"/>
          <w:szCs w:val="22"/>
        </w:rPr>
        <w:t>of care.</w:t>
      </w:r>
    </w:p>
    <w:p w14:paraId="005172FC" w14:textId="27E31DBF" w:rsidR="00F15DEE" w:rsidRPr="00E83996" w:rsidRDefault="00F15DEE" w:rsidP="00C81D74">
      <w:pPr>
        <w:keepLines/>
        <w:spacing w:before="120" w:after="120" w:line="259" w:lineRule="auto"/>
        <w:rPr>
          <w:rFonts w:ascii="Arial" w:hAnsi="Arial" w:cs="Arial"/>
          <w:sz w:val="22"/>
          <w:szCs w:val="22"/>
        </w:rPr>
      </w:pPr>
      <w:r w:rsidRPr="00F15DEE">
        <w:rPr>
          <w:rFonts w:ascii="Arial" w:hAnsi="Arial" w:cs="Arial"/>
          <w:b/>
          <w:sz w:val="22"/>
          <w:szCs w:val="22"/>
        </w:rPr>
        <w:t>AMHCC</w:t>
      </w:r>
      <w:r>
        <w:rPr>
          <w:rFonts w:ascii="Arial" w:hAnsi="Arial" w:cs="Arial"/>
          <w:sz w:val="22"/>
          <w:szCs w:val="22"/>
        </w:rPr>
        <w:t xml:space="preserve"> refers to a group within the classification system known as the </w:t>
      </w:r>
      <w:r w:rsidRPr="00F15DEE">
        <w:rPr>
          <w:rFonts w:ascii="Arial" w:hAnsi="Arial" w:cs="Arial"/>
          <w:sz w:val="22"/>
          <w:szCs w:val="22"/>
        </w:rPr>
        <w:t>Australian Mental Health Care Classification Version 1.0</w:t>
      </w:r>
      <w:r>
        <w:rPr>
          <w:rFonts w:ascii="Arial" w:hAnsi="Arial" w:cs="Arial"/>
          <w:sz w:val="22"/>
          <w:szCs w:val="22"/>
        </w:rPr>
        <w:t xml:space="preserve"> (also known as AMHCC Version 1.0).</w:t>
      </w:r>
    </w:p>
    <w:p w14:paraId="420FCEB6" w14:textId="28B76112" w:rsidR="009046E1" w:rsidRPr="005F7101"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lastRenderedPageBreak/>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w:t>
      </w:r>
      <w:r w:rsidR="00F15DEE">
        <w:rPr>
          <w:rFonts w:ascii="Arial" w:hAnsi="Arial" w:cs="Arial"/>
          <w:sz w:val="22"/>
          <w:szCs w:val="22"/>
        </w:rPr>
        <w:t xml:space="preserve">the </w:t>
      </w:r>
      <w:r w:rsidRPr="005F7101">
        <w:rPr>
          <w:rFonts w:ascii="Arial" w:hAnsi="Arial" w:cs="Arial"/>
          <w:sz w:val="22"/>
          <w:szCs w:val="22"/>
        </w:rPr>
        <w:t xml:space="preserve">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4C4545">
        <w:rPr>
          <w:rFonts w:ascii="Arial" w:hAnsi="Arial" w:cs="Arial"/>
          <w:sz w:val="22"/>
          <w:szCs w:val="22"/>
        </w:rPr>
        <w:t>5</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4C4545">
        <w:rPr>
          <w:rFonts w:ascii="Arial" w:hAnsi="Arial" w:cs="Arial"/>
          <w:sz w:val="22"/>
          <w:szCs w:val="22"/>
        </w:rPr>
        <w:t>5</w:t>
      </w:r>
      <w:r w:rsidRPr="005F7101">
        <w:rPr>
          <w:rFonts w:ascii="Arial" w:hAnsi="Arial" w:cs="Arial"/>
          <w:sz w:val="22"/>
          <w:szCs w:val="22"/>
        </w:rPr>
        <w:t>.0)</w:t>
      </w:r>
      <w:r w:rsidR="008744FD" w:rsidRPr="005F7101">
        <w:rPr>
          <w:rFonts w:ascii="Arial" w:hAnsi="Arial" w:cs="Arial"/>
          <w:sz w:val="22"/>
          <w:szCs w:val="22"/>
        </w:rPr>
        <w:t>.</w:t>
      </w:r>
    </w:p>
    <w:p w14:paraId="285C2F7F" w14:textId="0DC19553" w:rsidR="00FE5F3B" w:rsidRPr="005F7101" w:rsidRDefault="00FE5F3B" w:rsidP="00C81D74">
      <w:pPr>
        <w:keepLines/>
        <w:spacing w:before="120" w:after="120" w:line="259" w:lineRule="auto"/>
        <w:ind w:right="-188"/>
        <w:rPr>
          <w:rFonts w:ascii="Arial" w:hAnsi="Arial" w:cs="Arial"/>
          <w:sz w:val="22"/>
          <w:szCs w:val="22"/>
        </w:rPr>
      </w:pPr>
      <w:r w:rsidRPr="00E83996">
        <w:rPr>
          <w:rFonts w:ascii="Arial" w:hAnsi="Arial" w:cs="Arial"/>
          <w:b/>
          <w:sz w:val="22"/>
          <w:szCs w:val="22"/>
        </w:rPr>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F15DEE">
        <w:rPr>
          <w:rFonts w:ascii="Arial" w:hAnsi="Arial" w:cs="Arial"/>
          <w:sz w:val="22"/>
          <w:szCs w:val="22"/>
        </w:rPr>
        <w:t xml:space="preserve">the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401C94" w:rsidRPr="005F7101">
        <w:rPr>
          <w:rFonts w:ascii="Arial" w:hAnsi="Arial" w:cs="Arial"/>
          <w:sz w:val="22"/>
          <w:szCs w:val="22"/>
        </w:rPr>
        <w:t>1</w:t>
      </w:r>
      <w:r w:rsidR="00401C94">
        <w:rPr>
          <w:rFonts w:ascii="Arial" w:hAnsi="Arial" w:cs="Arial"/>
          <w:sz w:val="22"/>
          <w:szCs w:val="22"/>
        </w:rPr>
        <w:t>1</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401C94" w:rsidRPr="005F7101">
        <w:rPr>
          <w:rFonts w:ascii="Arial" w:hAnsi="Arial" w:cs="Arial"/>
          <w:sz w:val="22"/>
          <w:szCs w:val="22"/>
        </w:rPr>
        <w:t>1</w:t>
      </w:r>
      <w:r w:rsidR="00401C94">
        <w:rPr>
          <w:rFonts w:ascii="Arial" w:hAnsi="Arial" w:cs="Arial"/>
          <w:sz w:val="22"/>
          <w:szCs w:val="22"/>
        </w:rPr>
        <w:t>1</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003E3823" w14:textId="2EA65B6F" w:rsidR="000A1B78" w:rsidRDefault="000A1B78" w:rsidP="00C81D74">
      <w:pPr>
        <w:keepLines/>
        <w:spacing w:before="120" w:after="120" w:line="259" w:lineRule="auto"/>
        <w:rPr>
          <w:rFonts w:ascii="Arial" w:hAnsi="Arial" w:cs="Arial"/>
          <w:sz w:val="22"/>
          <w:szCs w:val="22"/>
        </w:rPr>
      </w:pPr>
      <w:r w:rsidRPr="00E83996">
        <w:rPr>
          <w:rFonts w:ascii="Arial" w:hAnsi="Arial" w:cs="Arial"/>
          <w:b/>
          <w:sz w:val="22"/>
          <w:szCs w:val="22"/>
        </w:rPr>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6D104BF5" w14:textId="57EB377F" w:rsidR="00174A4D" w:rsidRPr="00E83996" w:rsidRDefault="00174A4D" w:rsidP="00C81D74">
      <w:pPr>
        <w:keepLines/>
        <w:spacing w:before="120" w:after="120" w:line="259" w:lineRule="auto"/>
        <w:rPr>
          <w:rFonts w:ascii="Arial" w:hAnsi="Arial" w:cs="Arial"/>
          <w:sz w:val="22"/>
          <w:szCs w:val="22"/>
        </w:rPr>
      </w:pPr>
      <w:r w:rsidRPr="00174A4D">
        <w:rPr>
          <w:rFonts w:ascii="Arial" w:hAnsi="Arial" w:cs="Arial"/>
          <w:b/>
          <w:sz w:val="22"/>
          <w:szCs w:val="22"/>
        </w:rPr>
        <w:t>Avoidable hospital readmission</w:t>
      </w:r>
      <w:r>
        <w:rPr>
          <w:rFonts w:ascii="Arial" w:hAnsi="Arial" w:cs="Arial"/>
          <w:sz w:val="22"/>
          <w:szCs w:val="22"/>
        </w:rPr>
        <w:t xml:space="preserve"> </w:t>
      </w:r>
      <w:r w:rsidR="00D6072E">
        <w:rPr>
          <w:rFonts w:ascii="Arial" w:hAnsi="Arial" w:cs="Arial"/>
          <w:sz w:val="22"/>
          <w:szCs w:val="22"/>
        </w:rPr>
        <w:t xml:space="preserve">means when </w:t>
      </w:r>
      <w:r w:rsidR="00004EA7" w:rsidRPr="00004EA7">
        <w:rPr>
          <w:rFonts w:ascii="Arial" w:hAnsi="Arial" w:cs="Arial"/>
          <w:sz w:val="22"/>
          <w:szCs w:val="22"/>
        </w:rPr>
        <w:t xml:space="preserve">a patient has been discharged from hospital (defined as the index admission) </w:t>
      </w:r>
      <w:r w:rsidR="00C90325">
        <w:rPr>
          <w:rFonts w:ascii="Arial" w:hAnsi="Arial" w:cs="Arial"/>
          <w:sz w:val="22"/>
          <w:szCs w:val="22"/>
        </w:rPr>
        <w:t>and has a subsequent unplanned admission that is related to the index admission and was potentially preventable</w:t>
      </w:r>
      <w:r w:rsidR="00004EA7" w:rsidRPr="00004EA7">
        <w:rPr>
          <w:rFonts w:ascii="Arial" w:hAnsi="Arial" w:cs="Arial"/>
          <w:sz w:val="22"/>
          <w:szCs w:val="22"/>
        </w:rPr>
        <w:t xml:space="preserve"> (defined as the readmission)</w:t>
      </w:r>
      <w:r>
        <w:rPr>
          <w:rFonts w:ascii="Arial" w:hAnsi="Arial" w:cs="Arial"/>
          <w:sz w:val="22"/>
          <w:szCs w:val="22"/>
        </w:rPr>
        <w:t>. The complete list of avoidable hospital readmission</w:t>
      </w:r>
      <w:r w:rsidR="00004EA7">
        <w:rPr>
          <w:rFonts w:ascii="Arial" w:hAnsi="Arial" w:cs="Arial"/>
          <w:sz w:val="22"/>
          <w:szCs w:val="22"/>
        </w:rPr>
        <w:t xml:space="preserve"> condition</w:t>
      </w:r>
      <w:r>
        <w:rPr>
          <w:rFonts w:ascii="Arial" w:hAnsi="Arial" w:cs="Arial"/>
          <w:sz w:val="22"/>
          <w:szCs w:val="22"/>
        </w:rPr>
        <w:t xml:space="preserve">s is available in Chapter </w:t>
      </w:r>
      <w:r w:rsidR="00AF6E41">
        <w:rPr>
          <w:rFonts w:ascii="Arial" w:hAnsi="Arial" w:cs="Arial"/>
          <w:sz w:val="22"/>
          <w:szCs w:val="22"/>
        </w:rPr>
        <w:t>6</w:t>
      </w:r>
      <w:r>
        <w:rPr>
          <w:rFonts w:ascii="Arial" w:hAnsi="Arial" w:cs="Arial"/>
          <w:sz w:val="22"/>
          <w:szCs w:val="22"/>
        </w:rPr>
        <w:t xml:space="preserve"> of the National Efficient Price Determination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Pr>
          <w:rFonts w:ascii="Arial" w:hAnsi="Arial" w:cs="Arial"/>
          <w:sz w:val="22"/>
          <w:szCs w:val="22"/>
        </w:rPr>
        <w:t xml:space="preserve"> and on the </w:t>
      </w:r>
      <w:hyperlink r:id="rId10" w:history="1">
        <w:r w:rsidRPr="00174A4D">
          <w:rPr>
            <w:rStyle w:val="Hyperlink"/>
            <w:rFonts w:ascii="Arial" w:hAnsi="Arial" w:cs="Arial"/>
            <w:sz w:val="22"/>
            <w:szCs w:val="22"/>
          </w:rPr>
          <w:t xml:space="preserve">Australian Commission </w:t>
        </w:r>
        <w:r w:rsidR="00004EA7">
          <w:rPr>
            <w:rStyle w:val="Hyperlink"/>
            <w:rFonts w:ascii="Arial" w:hAnsi="Arial" w:cs="Arial"/>
            <w:sz w:val="22"/>
            <w:szCs w:val="22"/>
          </w:rPr>
          <w:t>on</w:t>
        </w:r>
        <w:r w:rsidR="00004EA7" w:rsidRPr="00174A4D">
          <w:rPr>
            <w:rStyle w:val="Hyperlink"/>
            <w:rFonts w:ascii="Arial" w:hAnsi="Arial" w:cs="Arial"/>
            <w:sz w:val="22"/>
            <w:szCs w:val="22"/>
          </w:rPr>
          <w:t xml:space="preserve"> </w:t>
        </w:r>
        <w:r w:rsidRPr="00174A4D">
          <w:rPr>
            <w:rStyle w:val="Hyperlink"/>
            <w:rFonts w:ascii="Arial" w:hAnsi="Arial" w:cs="Arial"/>
            <w:sz w:val="22"/>
            <w:szCs w:val="22"/>
          </w:rPr>
          <w:t>Safety and Quality in Health</w:t>
        </w:r>
        <w:r w:rsidR="002A79DE">
          <w:rPr>
            <w:rStyle w:val="Hyperlink"/>
            <w:rFonts w:ascii="Arial" w:hAnsi="Arial" w:cs="Arial"/>
            <w:sz w:val="22"/>
            <w:szCs w:val="22"/>
          </w:rPr>
          <w:t xml:space="preserve"> C</w:t>
        </w:r>
        <w:r w:rsidRPr="00174A4D">
          <w:rPr>
            <w:rStyle w:val="Hyperlink"/>
            <w:rFonts w:ascii="Arial" w:hAnsi="Arial" w:cs="Arial"/>
            <w:sz w:val="22"/>
            <w:szCs w:val="22"/>
          </w:rPr>
          <w:t>are’s website</w:t>
        </w:r>
      </w:hyperlink>
      <w:r>
        <w:rPr>
          <w:rFonts w:ascii="Arial" w:hAnsi="Arial" w:cs="Arial"/>
          <w:sz w:val="22"/>
          <w:szCs w:val="22"/>
        </w:rPr>
        <w:t>.</w:t>
      </w:r>
    </w:p>
    <w:p w14:paraId="00BD223D" w14:textId="4D7DE114" w:rsidR="00B32A4A" w:rsidRPr="00E83996" w:rsidRDefault="00B32A4A"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w:t>
      </w:r>
      <w:r w:rsidR="00AF6E41">
        <w:rPr>
          <w:rFonts w:ascii="Arial" w:hAnsi="Arial" w:cs="Arial"/>
          <w:sz w:val="22"/>
          <w:szCs w:val="22"/>
        </w:rPr>
        <w:t>activity based funding</w:t>
      </w:r>
      <w:r w:rsidR="00AF6E41" w:rsidRPr="00E83996">
        <w:rPr>
          <w:rFonts w:ascii="Arial" w:hAnsi="Arial" w:cs="Arial"/>
          <w:sz w:val="22"/>
          <w:szCs w:val="22"/>
        </w:rPr>
        <w:t xml:space="preserve"> </w:t>
      </w:r>
      <w:r w:rsidR="00521C42">
        <w:rPr>
          <w:rFonts w:ascii="Arial" w:hAnsi="Arial" w:cs="Arial"/>
          <w:sz w:val="22"/>
          <w:szCs w:val="22"/>
        </w:rPr>
        <w:t>a</w:t>
      </w:r>
      <w:r w:rsidRPr="00E83996">
        <w:rPr>
          <w:rFonts w:ascii="Arial" w:hAnsi="Arial" w:cs="Arial"/>
          <w:sz w:val="22"/>
          <w:szCs w:val="22"/>
        </w:rPr>
        <w:t xml:space="preserve">ctivity </w:t>
      </w:r>
      <w:r w:rsidR="00C90325">
        <w:rPr>
          <w:rFonts w:ascii="Arial" w:hAnsi="Arial" w:cs="Arial"/>
          <w:sz w:val="22"/>
          <w:szCs w:val="22"/>
        </w:rPr>
        <w:t>that</w:t>
      </w:r>
      <w:r w:rsidR="00C90325" w:rsidRPr="00E83996">
        <w:rPr>
          <w:rFonts w:ascii="Arial" w:hAnsi="Arial" w:cs="Arial"/>
          <w:sz w:val="22"/>
          <w:szCs w:val="22"/>
        </w:rPr>
        <w:t xml:space="preserve"> </w:t>
      </w:r>
      <w:r w:rsidRPr="00E83996">
        <w:rPr>
          <w:rFonts w:ascii="Arial" w:hAnsi="Arial" w:cs="Arial"/>
          <w:sz w:val="22"/>
          <w:szCs w:val="22"/>
        </w:rPr>
        <w:t xml:space="preserve">is priced on a per calendar month basis. A bundled price weight applies for the specified Tier 2 </w:t>
      </w:r>
      <w:r w:rsidR="00004EA7" w:rsidRPr="00004EA7">
        <w:rPr>
          <w:rFonts w:ascii="Arial" w:hAnsi="Arial" w:cs="Arial"/>
          <w:sz w:val="22"/>
          <w:szCs w:val="22"/>
        </w:rPr>
        <w:t>Non-Admitted Services Classification</w:t>
      </w:r>
      <w:r w:rsidRPr="00E83996">
        <w:rPr>
          <w:rFonts w:ascii="Arial" w:hAnsi="Arial" w:cs="Arial"/>
          <w:sz w:val="22"/>
          <w:szCs w:val="22"/>
        </w:rPr>
        <w:t xml:space="preserve"> </w:t>
      </w:r>
      <w:r w:rsidR="00AF6E41">
        <w:rPr>
          <w:rFonts w:ascii="Arial" w:hAnsi="Arial" w:cs="Arial"/>
          <w:sz w:val="22"/>
          <w:szCs w:val="22"/>
        </w:rPr>
        <w:t xml:space="preserve">Version 9.0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174A4D">
        <w:rPr>
          <w:rFonts w:ascii="Arial" w:hAnsi="Arial" w:cs="Arial"/>
          <w:sz w:val="22"/>
          <w:szCs w:val="22"/>
        </w:rPr>
        <w:t xml:space="preserve">Appendix </w:t>
      </w:r>
      <w:r w:rsidR="00004EA7">
        <w:rPr>
          <w:rFonts w:ascii="Arial" w:hAnsi="Arial" w:cs="Arial"/>
          <w:sz w:val="22"/>
          <w:szCs w:val="22"/>
        </w:rPr>
        <w:t>K</w:t>
      </w:r>
      <w:r w:rsidR="00631BEE" w:rsidRPr="00E83996">
        <w:rPr>
          <w:rFonts w:ascii="Arial" w:hAnsi="Arial" w:cs="Arial"/>
          <w:sz w:val="22"/>
          <w:szCs w:val="22"/>
        </w:rPr>
        <w:t xml:space="preserve"> </w:t>
      </w:r>
      <w:r w:rsidRPr="00E83996">
        <w:rPr>
          <w:rFonts w:ascii="Arial" w:hAnsi="Arial" w:cs="Arial"/>
          <w:sz w:val="22"/>
          <w:szCs w:val="22"/>
        </w:rPr>
        <w:t xml:space="preserve">of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8744FD" w:rsidRPr="005F7101">
        <w:rPr>
          <w:rFonts w:ascii="Arial" w:hAnsi="Arial" w:cs="Arial"/>
          <w:sz w:val="22"/>
          <w:szCs w:val="22"/>
        </w:rPr>
        <w:t>.</w:t>
      </w:r>
    </w:p>
    <w:p w14:paraId="0752D7C8" w14:textId="4DBBABB1" w:rsidR="00942907" w:rsidRDefault="00942907" w:rsidP="00C81D74">
      <w:pPr>
        <w:keepLines/>
        <w:spacing w:before="120" w:after="120" w:line="259" w:lineRule="auto"/>
        <w:rPr>
          <w:rFonts w:ascii="Arial" w:hAnsi="Arial" w:cs="Arial"/>
          <w:sz w:val="22"/>
          <w:szCs w:val="22"/>
        </w:rPr>
      </w:pPr>
      <w:r>
        <w:rPr>
          <w:rFonts w:ascii="Arial" w:hAnsi="Arial" w:cs="Arial"/>
          <w:b/>
          <w:sz w:val="22"/>
          <w:szCs w:val="22"/>
        </w:rPr>
        <w:t>COVID-19</w:t>
      </w:r>
      <w:r w:rsidRPr="00E83996">
        <w:rPr>
          <w:rFonts w:ascii="Arial" w:hAnsi="Arial" w:cs="Arial"/>
          <w:sz w:val="22"/>
          <w:szCs w:val="22"/>
        </w:rPr>
        <w:t xml:space="preserve"> refers to </w:t>
      </w:r>
      <w:r w:rsidR="003355C6">
        <w:rPr>
          <w:rFonts w:ascii="Arial" w:hAnsi="Arial" w:cs="Arial"/>
          <w:sz w:val="22"/>
          <w:szCs w:val="22"/>
        </w:rPr>
        <w:t xml:space="preserve">coronavirus </w:t>
      </w:r>
      <w:r>
        <w:rPr>
          <w:rFonts w:ascii="Arial" w:hAnsi="Arial" w:cs="Arial"/>
          <w:sz w:val="22"/>
          <w:szCs w:val="22"/>
        </w:rPr>
        <w:t>disease 2019</w:t>
      </w:r>
      <w:r w:rsidRPr="005F7101">
        <w:rPr>
          <w:rFonts w:ascii="Arial" w:hAnsi="Arial" w:cs="Arial"/>
          <w:sz w:val="22"/>
          <w:szCs w:val="22"/>
        </w:rPr>
        <w:t>.</w:t>
      </w:r>
    </w:p>
    <w:p w14:paraId="6CF8B420" w14:textId="7FDA2657" w:rsidR="00C755A1" w:rsidRDefault="00793999" w:rsidP="00C81D74">
      <w:pPr>
        <w:keepLines/>
        <w:spacing w:before="120" w:after="120" w:line="259" w:lineRule="auto"/>
        <w:rPr>
          <w:rFonts w:ascii="Arial" w:hAnsi="Arial" w:cs="Arial"/>
          <w:sz w:val="22"/>
          <w:szCs w:val="22"/>
        </w:rPr>
      </w:pPr>
      <w:r w:rsidRPr="0000460A">
        <w:rPr>
          <w:rFonts w:ascii="Arial" w:hAnsi="Arial" w:cs="Arial"/>
          <w:b/>
          <w:bCs/>
          <w:sz w:val="22"/>
          <w:szCs w:val="22"/>
        </w:rPr>
        <w:t>COVID-19 treatment adjustment</w:t>
      </w:r>
      <w:r>
        <w:rPr>
          <w:rFonts w:ascii="Arial" w:hAnsi="Arial" w:cs="Arial"/>
          <w:sz w:val="22"/>
          <w:szCs w:val="22"/>
        </w:rPr>
        <w:t xml:space="preserve"> </w:t>
      </w:r>
      <w:r w:rsidR="00AD662A">
        <w:rPr>
          <w:rFonts w:ascii="Arial" w:hAnsi="Arial" w:cs="Arial"/>
          <w:sz w:val="22"/>
          <w:szCs w:val="22"/>
        </w:rPr>
        <w:t xml:space="preserve">means an adjustment for an admitted acute </w:t>
      </w:r>
      <w:r w:rsidR="0000460A">
        <w:rPr>
          <w:rFonts w:ascii="Arial" w:hAnsi="Arial" w:cs="Arial"/>
          <w:sz w:val="22"/>
          <w:szCs w:val="22"/>
        </w:rPr>
        <w:t xml:space="preserve">patient who is assigned one of two </w:t>
      </w:r>
      <w:r w:rsidR="00AF6E41" w:rsidRPr="005F7101">
        <w:rPr>
          <w:rFonts w:ascii="Arial" w:hAnsi="Arial" w:cs="Arial"/>
          <w:sz w:val="22"/>
          <w:szCs w:val="22"/>
        </w:rPr>
        <w:t>International Statistical Classification of Diseases and Related Health Problems, Tenth Revision, Australian Modification</w:t>
      </w:r>
      <w:r w:rsidR="00AF6E41">
        <w:rPr>
          <w:rFonts w:ascii="Arial" w:hAnsi="Arial" w:cs="Arial"/>
          <w:sz w:val="22"/>
          <w:szCs w:val="22"/>
        </w:rPr>
        <w:t xml:space="preserve"> Twelfth</w:t>
      </w:r>
      <w:r w:rsidR="00AF6E41" w:rsidRPr="005F7101">
        <w:rPr>
          <w:rFonts w:ascii="Arial" w:hAnsi="Arial" w:cs="Arial"/>
          <w:sz w:val="22"/>
          <w:szCs w:val="22"/>
        </w:rPr>
        <w:t xml:space="preserve"> Edition</w:t>
      </w:r>
      <w:r w:rsidR="00AF6E41" w:rsidDel="00AF6E41">
        <w:rPr>
          <w:rFonts w:ascii="Arial" w:hAnsi="Arial" w:cs="Arial"/>
          <w:sz w:val="22"/>
          <w:szCs w:val="22"/>
        </w:rPr>
        <w:t xml:space="preserve"> </w:t>
      </w:r>
      <w:r w:rsidR="0000460A">
        <w:rPr>
          <w:rFonts w:ascii="Arial" w:hAnsi="Arial" w:cs="Arial"/>
          <w:sz w:val="22"/>
          <w:szCs w:val="22"/>
        </w:rPr>
        <w:t xml:space="preserve">codes indicating they were treated for COVID-19 and who has received care as defined by one of the </w:t>
      </w:r>
      <w:r w:rsidR="00AF6E41" w:rsidRPr="005F7101">
        <w:rPr>
          <w:rFonts w:ascii="Arial" w:hAnsi="Arial" w:cs="Arial"/>
          <w:sz w:val="22"/>
          <w:szCs w:val="22"/>
        </w:rPr>
        <w:t xml:space="preserve">Australian Refined Diagnosis Related Groups </w:t>
      </w:r>
      <w:r w:rsidR="0000460A">
        <w:rPr>
          <w:rFonts w:ascii="Arial" w:hAnsi="Arial" w:cs="Arial"/>
          <w:sz w:val="22"/>
          <w:szCs w:val="22"/>
        </w:rPr>
        <w:t>specified in Appendix P of the National Efficient Price Determination 202</w:t>
      </w:r>
      <w:r w:rsidR="004C4545">
        <w:rPr>
          <w:rFonts w:ascii="Arial" w:hAnsi="Arial" w:cs="Arial"/>
          <w:sz w:val="22"/>
          <w:szCs w:val="22"/>
        </w:rPr>
        <w:t>4</w:t>
      </w:r>
      <w:r w:rsidR="0000460A">
        <w:rPr>
          <w:rFonts w:ascii="Arial" w:hAnsi="Arial" w:cs="Arial"/>
          <w:sz w:val="22"/>
          <w:szCs w:val="22"/>
        </w:rPr>
        <w:t>–2</w:t>
      </w:r>
      <w:r w:rsidR="004C4545">
        <w:rPr>
          <w:rFonts w:ascii="Arial" w:hAnsi="Arial" w:cs="Arial"/>
          <w:sz w:val="22"/>
          <w:szCs w:val="22"/>
        </w:rPr>
        <w:t>5</w:t>
      </w:r>
      <w:r w:rsidR="0000460A">
        <w:rPr>
          <w:rFonts w:ascii="Arial" w:hAnsi="Arial" w:cs="Arial"/>
          <w:sz w:val="22"/>
          <w:szCs w:val="22"/>
        </w:rPr>
        <w:t>.</w:t>
      </w:r>
    </w:p>
    <w:p w14:paraId="4624BA0A" w14:textId="00632EC5" w:rsidR="00A83693" w:rsidRPr="00E83996" w:rsidRDefault="00A83693" w:rsidP="00C81D74">
      <w:pPr>
        <w:keepLines/>
        <w:spacing w:before="120" w:after="120" w:line="259" w:lineRule="auto"/>
        <w:rPr>
          <w:rFonts w:ascii="Arial" w:hAnsi="Arial" w:cs="Arial"/>
          <w:sz w:val="22"/>
          <w:szCs w:val="22"/>
        </w:rPr>
      </w:pPr>
      <w:r w:rsidRPr="00E83996">
        <w:rPr>
          <w:rFonts w:ascii="Arial" w:hAnsi="Arial" w:cs="Arial"/>
          <w:b/>
          <w:sz w:val="22"/>
          <w:szCs w:val="22"/>
        </w:rPr>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E47F4F" w:rsidRPr="005F7101">
        <w:rPr>
          <w:rFonts w:ascii="Arial" w:hAnsi="Arial" w:cs="Arial"/>
          <w:sz w:val="22"/>
          <w:szCs w:val="22"/>
        </w:rPr>
        <w:t xml:space="preserve">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9C3DA6" w:rsidRPr="009C3DA6">
        <w:rPr>
          <w:rFonts w:ascii="Arial" w:hAnsi="Arial" w:cs="Arial"/>
          <w:sz w:val="22"/>
          <w:szCs w:val="22"/>
        </w:rPr>
        <w:t>202</w:t>
      </w:r>
      <w:r w:rsidR="004C4545">
        <w:rPr>
          <w:rFonts w:ascii="Arial" w:hAnsi="Arial" w:cs="Arial"/>
          <w:sz w:val="22"/>
          <w:szCs w:val="22"/>
        </w:rPr>
        <w:t>4</w:t>
      </w:r>
      <w:r w:rsidR="009C3DA6" w:rsidRPr="009C3DA6">
        <w:rPr>
          <w:rFonts w:ascii="Arial" w:hAnsi="Arial" w:cs="Arial"/>
          <w:sz w:val="22"/>
          <w:szCs w:val="22"/>
        </w:rPr>
        <w:t>–2</w:t>
      </w:r>
      <w:r w:rsidR="004C4545">
        <w:rPr>
          <w:rFonts w:ascii="Arial" w:hAnsi="Arial" w:cs="Arial"/>
          <w:sz w:val="22"/>
          <w:szCs w:val="22"/>
        </w:rPr>
        <w:t>5</w:t>
      </w:r>
      <w:r w:rsidR="008744FD" w:rsidRPr="005F7101">
        <w:rPr>
          <w:rFonts w:ascii="Arial" w:hAnsi="Arial" w:cs="Arial"/>
          <w:sz w:val="22"/>
          <w:szCs w:val="22"/>
        </w:rPr>
        <w:t>.</w:t>
      </w:r>
    </w:p>
    <w:p w14:paraId="095F73DA" w14:textId="629F2C34" w:rsidR="00F464B0" w:rsidRPr="005F7101" w:rsidRDefault="00F464B0" w:rsidP="00C81D74">
      <w:pPr>
        <w:keepLines/>
        <w:spacing w:before="120" w:after="120" w:line="259" w:lineRule="auto"/>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 xml:space="preserve">subacute </w:t>
      </w:r>
      <w:r w:rsidR="00BB3B1C">
        <w:rPr>
          <w:rFonts w:ascii="Arial" w:hAnsi="Arial" w:cs="Arial"/>
          <w:sz w:val="22"/>
          <w:szCs w:val="22"/>
        </w:rPr>
        <w:t xml:space="preserve">and non-acute </w:t>
      </w:r>
      <w:r w:rsidR="00452386" w:rsidRPr="005F7101">
        <w:rPr>
          <w:rFonts w:ascii="Arial" w:hAnsi="Arial" w:cs="Arial"/>
          <w:sz w:val="22"/>
          <w:szCs w:val="22"/>
        </w:rPr>
        <w:t>p</w:t>
      </w:r>
      <w:r w:rsidR="00A46042" w:rsidRPr="005F7101">
        <w:rPr>
          <w:rFonts w:ascii="Arial" w:hAnsi="Arial" w:cs="Arial"/>
          <w:sz w:val="22"/>
          <w:szCs w:val="22"/>
        </w:rPr>
        <w:t xml:space="preserve">atient with a specified </w:t>
      </w:r>
      <w:r w:rsidR="00C90325">
        <w:rPr>
          <w:rFonts w:ascii="Arial" w:hAnsi="Arial" w:cs="Arial"/>
          <w:sz w:val="22"/>
          <w:szCs w:val="22"/>
        </w:rPr>
        <w:t>Australian Classification of Health Interventions</w:t>
      </w:r>
      <w:r w:rsidR="00C90325" w:rsidRPr="005F7101">
        <w:rPr>
          <w:rFonts w:ascii="Arial" w:hAnsi="Arial" w:cs="Arial"/>
          <w:sz w:val="22"/>
          <w:szCs w:val="22"/>
        </w:rPr>
        <w:t xml:space="preserve"> </w:t>
      </w:r>
      <w:r w:rsidR="00004EA7">
        <w:rPr>
          <w:rFonts w:ascii="Arial" w:hAnsi="Arial" w:cs="Arial"/>
          <w:sz w:val="22"/>
          <w:szCs w:val="22"/>
        </w:rPr>
        <w:t>Twelfth</w:t>
      </w:r>
      <w:r w:rsidR="00004EA7" w:rsidRPr="005F7101">
        <w:rPr>
          <w:rFonts w:ascii="Arial" w:hAnsi="Arial" w:cs="Arial"/>
          <w:sz w:val="22"/>
          <w:szCs w:val="22"/>
        </w:rPr>
        <w:t xml:space="preserve"> </w:t>
      </w:r>
      <w:r w:rsidR="005F7364" w:rsidRPr="005F7101">
        <w:rPr>
          <w:rFonts w:ascii="Arial" w:hAnsi="Arial" w:cs="Arial"/>
          <w:sz w:val="22"/>
          <w:szCs w:val="22"/>
        </w:rPr>
        <w:t xml:space="preserve">Edition </w:t>
      </w:r>
      <w:r w:rsidR="00A46042" w:rsidRPr="005F7101">
        <w:rPr>
          <w:rFonts w:ascii="Arial" w:hAnsi="Arial" w:cs="Arial"/>
          <w:sz w:val="22"/>
          <w:szCs w:val="22"/>
        </w:rPr>
        <w:t xml:space="preserve">dialysis </w:t>
      </w:r>
      <w:r w:rsidR="00BB3B1C">
        <w:rPr>
          <w:rFonts w:ascii="Arial" w:hAnsi="Arial" w:cs="Arial"/>
          <w:sz w:val="22"/>
          <w:szCs w:val="22"/>
        </w:rPr>
        <w:t xml:space="preserve">intervention </w:t>
      </w:r>
      <w:r w:rsidR="00A46042" w:rsidRPr="005F7101">
        <w:rPr>
          <w:rFonts w:ascii="Arial" w:hAnsi="Arial" w:cs="Arial"/>
          <w:sz w:val="22"/>
          <w:szCs w:val="22"/>
        </w:rPr>
        <w:t xml:space="preserve">code who is not assigned to the </w:t>
      </w:r>
      <w:r w:rsidR="00AF6E41" w:rsidRPr="005F7101">
        <w:rPr>
          <w:rFonts w:ascii="Arial" w:hAnsi="Arial" w:cs="Arial"/>
          <w:sz w:val="22"/>
          <w:szCs w:val="22"/>
        </w:rPr>
        <w:t xml:space="preserve">Australian Refined Diagnosis Related Group </w:t>
      </w:r>
      <w:r w:rsidR="00A46042" w:rsidRPr="005F7101">
        <w:rPr>
          <w:rFonts w:ascii="Arial" w:hAnsi="Arial" w:cs="Arial"/>
          <w:sz w:val="22"/>
          <w:szCs w:val="22"/>
        </w:rPr>
        <w:t xml:space="preserve">L61Z </w:t>
      </w:r>
      <w:r w:rsidR="00A46042" w:rsidRPr="00C90325">
        <w:rPr>
          <w:rFonts w:ascii="Arial" w:hAnsi="Arial" w:cs="Arial"/>
          <w:i/>
          <w:iCs/>
          <w:sz w:val="22"/>
          <w:szCs w:val="22"/>
        </w:rPr>
        <w:t>Haemodialysis</w:t>
      </w:r>
      <w:r w:rsidR="00A46042" w:rsidRPr="005F7101">
        <w:rPr>
          <w:rFonts w:ascii="Arial" w:hAnsi="Arial" w:cs="Arial"/>
          <w:sz w:val="22"/>
          <w:szCs w:val="22"/>
        </w:rPr>
        <w:t xml:space="preserve"> or L68Z </w:t>
      </w:r>
      <w:r w:rsidR="00A46042" w:rsidRPr="00C90325">
        <w:rPr>
          <w:rFonts w:ascii="Arial" w:hAnsi="Arial" w:cs="Arial"/>
          <w:i/>
          <w:iCs/>
          <w:sz w:val="22"/>
          <w:szCs w:val="22"/>
        </w:rPr>
        <w:t>Peritoneal Dialysis</w:t>
      </w:r>
      <w:r w:rsidR="008744FD" w:rsidRPr="005F7101">
        <w:rPr>
          <w:rFonts w:ascii="Arial" w:hAnsi="Arial" w:cs="Arial"/>
          <w:sz w:val="22"/>
          <w:szCs w:val="22"/>
        </w:rPr>
        <w:t>.</w:t>
      </w:r>
    </w:p>
    <w:p w14:paraId="1E6003C2" w14:textId="0585BC86" w:rsidR="00EC0818" w:rsidRPr="00E83996" w:rsidRDefault="00EC0818" w:rsidP="00C81D74">
      <w:pPr>
        <w:keepLines/>
        <w:spacing w:before="120" w:after="120" w:line="259" w:lineRule="auto"/>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all of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29D59908" w14:textId="5CC73C6A" w:rsidR="00EB0F26" w:rsidRPr="00E83996" w:rsidRDefault="00EB0F26" w:rsidP="00C81D74">
      <w:pPr>
        <w:keepLines/>
        <w:spacing w:before="120" w:after="120" w:line="259" w:lineRule="auto"/>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all of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252A9444" w14:textId="40D3613E" w:rsidR="004D397E" w:rsidRPr="00E83996" w:rsidRDefault="004D397E"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Hospital </w:t>
      </w:r>
      <w:r>
        <w:rPr>
          <w:rFonts w:ascii="Arial" w:hAnsi="Arial" w:cs="Arial"/>
          <w:b/>
          <w:sz w:val="22"/>
          <w:szCs w:val="22"/>
        </w:rPr>
        <w:t>a</w:t>
      </w:r>
      <w:r w:rsidRPr="00E83996">
        <w:rPr>
          <w:rFonts w:ascii="Arial" w:hAnsi="Arial" w:cs="Arial"/>
          <w:b/>
          <w:sz w:val="22"/>
          <w:szCs w:val="22"/>
        </w:rPr>
        <w:t xml:space="preserve">cquired </w:t>
      </w:r>
      <w:r>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for which clinical risk mitigation strategies may reduce (but not necessarily eliminate) the risk of that </w:t>
      </w:r>
      <w:r w:rsidRPr="005F7101">
        <w:rPr>
          <w:rFonts w:ascii="Arial" w:hAnsi="Arial" w:cs="Arial"/>
          <w:sz w:val="22"/>
          <w:szCs w:val="22"/>
        </w:rPr>
        <w:t xml:space="preserve">complication occurring. The complete list of HACs is available in </w:t>
      </w:r>
      <w:r w:rsidRPr="00174A4D">
        <w:rPr>
          <w:rFonts w:ascii="Arial" w:hAnsi="Arial" w:cs="Arial"/>
          <w:sz w:val="22"/>
          <w:szCs w:val="22"/>
        </w:rPr>
        <w:t xml:space="preserve">Chapter </w:t>
      </w:r>
      <w:r w:rsidR="00AB71B6">
        <w:rPr>
          <w:rFonts w:ascii="Arial" w:hAnsi="Arial" w:cs="Arial"/>
          <w:sz w:val="22"/>
          <w:szCs w:val="22"/>
        </w:rPr>
        <w:t>6</w:t>
      </w:r>
      <w:r w:rsidRPr="005F7101">
        <w:rPr>
          <w:rFonts w:ascii="Arial" w:hAnsi="Arial" w:cs="Arial"/>
          <w:sz w:val="22"/>
          <w:szCs w:val="22"/>
        </w:rPr>
        <w:t xml:space="preserve"> of the National Efficient Price Determination </w:t>
      </w:r>
      <w:r w:rsidRPr="009C3DA6">
        <w:rPr>
          <w:rFonts w:ascii="Arial" w:hAnsi="Arial" w:cs="Arial"/>
          <w:sz w:val="22"/>
          <w:szCs w:val="22"/>
        </w:rPr>
        <w:t>202</w:t>
      </w:r>
      <w:r w:rsidR="00AB71B6">
        <w:rPr>
          <w:rFonts w:ascii="Arial" w:hAnsi="Arial" w:cs="Arial"/>
          <w:sz w:val="22"/>
          <w:szCs w:val="22"/>
        </w:rPr>
        <w:t>4</w:t>
      </w:r>
      <w:r w:rsidRPr="009C3DA6">
        <w:rPr>
          <w:rFonts w:ascii="Arial" w:hAnsi="Arial" w:cs="Arial"/>
          <w:sz w:val="22"/>
          <w:szCs w:val="22"/>
        </w:rPr>
        <w:t>–2</w:t>
      </w:r>
      <w:r w:rsidR="00AB71B6">
        <w:rPr>
          <w:rFonts w:ascii="Arial" w:hAnsi="Arial" w:cs="Arial"/>
          <w:sz w:val="22"/>
          <w:szCs w:val="22"/>
        </w:rPr>
        <w:t>5</w:t>
      </w:r>
      <w:r w:rsidRPr="005F7101">
        <w:rPr>
          <w:rFonts w:ascii="Arial" w:hAnsi="Arial" w:cs="Arial"/>
          <w:sz w:val="22"/>
          <w:szCs w:val="22"/>
        </w:rPr>
        <w:t xml:space="preserve"> and </w:t>
      </w:r>
      <w:r w:rsidRPr="00E83996">
        <w:rPr>
          <w:rFonts w:ascii="Arial" w:hAnsi="Arial" w:cs="Arial"/>
          <w:sz w:val="22"/>
          <w:szCs w:val="22"/>
        </w:rPr>
        <w:t xml:space="preserve">on the </w:t>
      </w:r>
      <w:hyperlink r:id="rId11" w:history="1">
        <w:r>
          <w:rPr>
            <w:rStyle w:val="Hyperlink"/>
            <w:rFonts w:ascii="Arial" w:hAnsi="Arial" w:cs="Arial"/>
            <w:sz w:val="22"/>
            <w:szCs w:val="22"/>
          </w:rPr>
          <w:t>Australian Commission on Safety and Quality in Health Care’s website</w:t>
        </w:r>
      </w:hyperlink>
      <w:r>
        <w:rPr>
          <w:rFonts w:ascii="Arial" w:hAnsi="Arial" w:cs="Arial"/>
          <w:sz w:val="22"/>
          <w:szCs w:val="22"/>
        </w:rPr>
        <w:t>.</w:t>
      </w:r>
    </w:p>
    <w:p w14:paraId="35293FE8" w14:textId="4B29575D" w:rsidR="00C165B0" w:rsidRDefault="00C165B0" w:rsidP="00C81D74">
      <w:pPr>
        <w:keepLines/>
        <w:spacing w:before="120" w:after="120" w:line="259" w:lineRule="auto"/>
        <w:rPr>
          <w:rFonts w:ascii="Arial" w:hAnsi="Arial" w:cs="Arial"/>
          <w:sz w:val="22"/>
          <w:szCs w:val="22"/>
        </w:rPr>
      </w:pPr>
      <w:r w:rsidRPr="00E83996">
        <w:rPr>
          <w:rFonts w:ascii="Arial" w:hAnsi="Arial" w:cs="Arial"/>
          <w:b/>
          <w:sz w:val="22"/>
          <w:szCs w:val="22"/>
        </w:rPr>
        <w:lastRenderedPageBreak/>
        <w:t xml:space="preserve">ICD-10-AM </w:t>
      </w:r>
      <w:r w:rsidR="00004EA7" w:rsidRPr="00004EA7">
        <w:rPr>
          <w:rFonts w:ascii="Arial" w:hAnsi="Arial" w:cs="Arial"/>
          <w:sz w:val="22"/>
          <w:szCs w:val="22"/>
        </w:rPr>
        <w:t>refers to a group within the classification system known as</w:t>
      </w:r>
      <w:r w:rsidR="00004EA7" w:rsidRPr="00004EA7" w:rsidDel="00004EA7">
        <w:rPr>
          <w:rFonts w:ascii="Arial" w:hAnsi="Arial" w:cs="Arial"/>
          <w:sz w:val="22"/>
          <w:szCs w:val="22"/>
        </w:rPr>
        <w:t xml:space="preserve"> </w:t>
      </w:r>
      <w:r>
        <w:rPr>
          <w:rFonts w:ascii="Arial" w:hAnsi="Arial" w:cs="Arial"/>
          <w:sz w:val="22"/>
          <w:szCs w:val="22"/>
        </w:rPr>
        <w:t xml:space="preserve">the </w:t>
      </w:r>
      <w:r w:rsidRPr="005F7101">
        <w:rPr>
          <w:rFonts w:ascii="Arial" w:hAnsi="Arial" w:cs="Arial"/>
          <w:sz w:val="22"/>
          <w:szCs w:val="22"/>
        </w:rPr>
        <w:t>International Statistical Classification of Diseases and Related Health Problems, Tenth Revision, Australian Modification</w:t>
      </w:r>
      <w:r w:rsidR="00004EA7">
        <w:rPr>
          <w:rFonts w:ascii="Arial" w:hAnsi="Arial" w:cs="Arial"/>
          <w:sz w:val="22"/>
          <w:szCs w:val="22"/>
        </w:rPr>
        <w:t xml:space="preserve"> Twelfth</w:t>
      </w:r>
      <w:r w:rsidRPr="005F7101">
        <w:rPr>
          <w:rFonts w:ascii="Arial" w:hAnsi="Arial" w:cs="Arial"/>
          <w:sz w:val="22"/>
          <w:szCs w:val="22"/>
        </w:rPr>
        <w:t xml:space="preserve"> Edition</w:t>
      </w:r>
      <w:r w:rsidR="008744FD" w:rsidRPr="005F7101">
        <w:rPr>
          <w:rFonts w:ascii="Arial" w:hAnsi="Arial" w:cs="Arial"/>
          <w:sz w:val="22"/>
          <w:szCs w:val="22"/>
        </w:rPr>
        <w:t>.</w:t>
      </w:r>
    </w:p>
    <w:p w14:paraId="07C5D270" w14:textId="1BE2FA4F" w:rsidR="00004EA7" w:rsidRPr="00E83996" w:rsidRDefault="00004EA7" w:rsidP="00C81D74">
      <w:pPr>
        <w:keepLines/>
        <w:spacing w:before="120" w:after="120" w:line="259" w:lineRule="auto"/>
        <w:rPr>
          <w:rFonts w:ascii="Arial" w:hAnsi="Arial" w:cs="Arial"/>
          <w:sz w:val="22"/>
          <w:szCs w:val="22"/>
        </w:rPr>
      </w:pPr>
      <w:r>
        <w:rPr>
          <w:rFonts w:ascii="Arial" w:hAnsi="Arial" w:cs="Arial"/>
          <w:b/>
          <w:sz w:val="22"/>
          <w:szCs w:val="22"/>
        </w:rPr>
        <w:t>IH</w:t>
      </w:r>
      <w:r w:rsidR="003355C6">
        <w:rPr>
          <w:rFonts w:ascii="Arial" w:hAnsi="Arial" w:cs="Arial"/>
          <w:b/>
          <w:sz w:val="22"/>
          <w:szCs w:val="22"/>
        </w:rPr>
        <w:t>AC</w:t>
      </w:r>
      <w:r>
        <w:rPr>
          <w:rFonts w:ascii="Arial" w:hAnsi="Arial" w:cs="Arial"/>
          <w:b/>
          <w:sz w:val="22"/>
          <w:szCs w:val="22"/>
        </w:rPr>
        <w:t>PA</w:t>
      </w:r>
      <w:r w:rsidRPr="00E83996">
        <w:rPr>
          <w:rFonts w:ascii="Arial" w:hAnsi="Arial" w:cs="Arial"/>
          <w:sz w:val="22"/>
          <w:szCs w:val="22"/>
        </w:rPr>
        <w:t xml:space="preserve"> </w:t>
      </w:r>
      <w:r>
        <w:rPr>
          <w:rFonts w:ascii="Arial" w:hAnsi="Arial" w:cs="Arial"/>
          <w:sz w:val="22"/>
          <w:szCs w:val="22"/>
        </w:rPr>
        <w:t xml:space="preserve">refers to the Independent </w:t>
      </w:r>
      <w:r w:rsidR="003355C6">
        <w:rPr>
          <w:rFonts w:ascii="Arial" w:hAnsi="Arial" w:cs="Arial"/>
          <w:sz w:val="22"/>
          <w:szCs w:val="22"/>
        </w:rPr>
        <w:t xml:space="preserve">Health and Aged Care </w:t>
      </w:r>
      <w:r>
        <w:rPr>
          <w:rFonts w:ascii="Arial" w:hAnsi="Arial" w:cs="Arial"/>
          <w:sz w:val="22"/>
          <w:szCs w:val="22"/>
        </w:rPr>
        <w:t>Pricing Authority.</w:t>
      </w:r>
    </w:p>
    <w:p w14:paraId="3DA3775A" w14:textId="3983B143"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3A08E22D" w14:textId="6DA97C18"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2" w:history="1">
        <w:r w:rsidR="003355C6">
          <w:rPr>
            <w:rStyle w:val="Hyperlink"/>
            <w:rFonts w:ascii="Arial" w:hAnsi="Arial" w:cs="Arial"/>
            <w:sz w:val="22"/>
            <w:szCs w:val="22"/>
          </w:rPr>
          <w:t>METEOR: 697105</w:t>
        </w:r>
      </w:hyperlink>
      <w:r w:rsidR="00117AA1">
        <w:rPr>
          <w:rFonts w:ascii="Arial" w:hAnsi="Arial" w:cs="Arial"/>
          <w:sz w:val="22"/>
          <w:szCs w:val="22"/>
        </w:rPr>
        <w:t>).</w:t>
      </w:r>
    </w:p>
    <w:p w14:paraId="146271F8" w14:textId="73124175" w:rsidR="00FE5F3B" w:rsidRPr="005F7101" w:rsidRDefault="00FE5F3B" w:rsidP="00C81D74">
      <w:pPr>
        <w:keepLines/>
        <w:spacing w:before="120" w:after="120" w:line="259" w:lineRule="auto"/>
        <w:rPr>
          <w:rFonts w:ascii="Arial" w:hAnsi="Arial" w:cs="Arial"/>
          <w:sz w:val="22"/>
          <w:szCs w:val="22"/>
        </w:rPr>
      </w:pPr>
      <w:r w:rsidRPr="00DE160B">
        <w:rPr>
          <w:rFonts w:ascii="Arial" w:hAnsi="Arial" w:cs="Arial"/>
          <w:b/>
          <w:sz w:val="22"/>
          <w:szCs w:val="22"/>
        </w:rPr>
        <w:t>I</w:t>
      </w:r>
      <w:r w:rsidR="00A83693" w:rsidRPr="00DE160B">
        <w:rPr>
          <w:rFonts w:ascii="Arial" w:hAnsi="Arial" w:cs="Arial"/>
          <w:b/>
          <w:sz w:val="22"/>
          <w:szCs w:val="22"/>
        </w:rPr>
        <w:t xml:space="preserve">ntensive </w:t>
      </w:r>
      <w:r w:rsidR="00BB55B9" w:rsidRPr="00DE160B">
        <w:rPr>
          <w:rFonts w:ascii="Arial" w:hAnsi="Arial" w:cs="Arial"/>
          <w:b/>
          <w:sz w:val="22"/>
          <w:szCs w:val="22"/>
        </w:rPr>
        <w:t>c</w:t>
      </w:r>
      <w:r w:rsidR="00A83693" w:rsidRPr="00DE160B">
        <w:rPr>
          <w:rFonts w:ascii="Arial" w:hAnsi="Arial" w:cs="Arial"/>
          <w:b/>
          <w:sz w:val="22"/>
          <w:szCs w:val="22"/>
        </w:rPr>
        <w:t xml:space="preserve">are </w:t>
      </w:r>
      <w:r w:rsidR="00BB55B9" w:rsidRPr="00DE160B">
        <w:rPr>
          <w:rFonts w:ascii="Arial" w:hAnsi="Arial" w:cs="Arial"/>
          <w:b/>
          <w:sz w:val="22"/>
          <w:szCs w:val="22"/>
        </w:rPr>
        <w:t>u</w:t>
      </w:r>
      <w:r w:rsidR="00A83693" w:rsidRPr="00DE160B">
        <w:rPr>
          <w:rFonts w:ascii="Arial" w:hAnsi="Arial" w:cs="Arial"/>
          <w:b/>
          <w:sz w:val="22"/>
          <w:szCs w:val="22"/>
        </w:rPr>
        <w:t>nit (ICU)</w:t>
      </w:r>
      <w:r w:rsidRPr="00DE160B">
        <w:rPr>
          <w:rFonts w:ascii="Arial" w:hAnsi="Arial" w:cs="Arial"/>
          <w:b/>
          <w:sz w:val="22"/>
          <w:szCs w:val="22"/>
        </w:rPr>
        <w:t xml:space="preserve"> </w:t>
      </w:r>
      <w:r w:rsidR="00BB55B9" w:rsidRPr="00DE160B">
        <w:rPr>
          <w:rFonts w:ascii="Arial" w:hAnsi="Arial" w:cs="Arial"/>
          <w:b/>
          <w:sz w:val="22"/>
          <w:szCs w:val="22"/>
        </w:rPr>
        <w:t>a</w:t>
      </w:r>
      <w:r w:rsidR="00B55845" w:rsidRPr="00DE160B">
        <w:rPr>
          <w:rFonts w:ascii="Arial" w:hAnsi="Arial" w:cs="Arial"/>
          <w:b/>
          <w:sz w:val="22"/>
          <w:szCs w:val="22"/>
        </w:rPr>
        <w:t>djustment</w:t>
      </w:r>
      <w:r w:rsidRPr="00DE160B">
        <w:rPr>
          <w:rFonts w:ascii="Arial" w:hAnsi="Arial" w:cs="Arial"/>
          <w:sz w:val="22"/>
          <w:szCs w:val="22"/>
        </w:rPr>
        <w:t xml:space="preserve"> </w:t>
      </w:r>
      <w:r w:rsidR="00BB3B1C" w:rsidRPr="00DE160B">
        <w:rPr>
          <w:rFonts w:ascii="Arial" w:hAnsi="Arial" w:cs="Arial"/>
          <w:sz w:val="22"/>
          <w:szCs w:val="22"/>
        </w:rPr>
        <w:t xml:space="preserve">means </w:t>
      </w:r>
      <w:r w:rsidR="00BA25DF" w:rsidRPr="00DE160B">
        <w:rPr>
          <w:rFonts w:ascii="Arial" w:hAnsi="Arial" w:cs="Arial"/>
          <w:sz w:val="22"/>
          <w:szCs w:val="22"/>
        </w:rPr>
        <w:t xml:space="preserve">an </w:t>
      </w:r>
      <w:r w:rsidR="00747D46" w:rsidRPr="00DE160B">
        <w:rPr>
          <w:rFonts w:ascii="Arial" w:hAnsi="Arial" w:cs="Arial"/>
          <w:sz w:val="22"/>
          <w:szCs w:val="22"/>
        </w:rPr>
        <w:t>a</w:t>
      </w:r>
      <w:r w:rsidR="00BA25DF" w:rsidRPr="00DE160B">
        <w:rPr>
          <w:rFonts w:ascii="Arial" w:hAnsi="Arial" w:cs="Arial"/>
          <w:sz w:val="22"/>
          <w:szCs w:val="22"/>
        </w:rPr>
        <w:t>djustment for</w:t>
      </w:r>
      <w:r w:rsidR="007A6405" w:rsidRPr="00DE160B">
        <w:rPr>
          <w:rFonts w:ascii="Arial" w:hAnsi="Arial" w:cs="Arial"/>
          <w:sz w:val="22"/>
          <w:szCs w:val="22"/>
        </w:rPr>
        <w:t xml:space="preserve"> </w:t>
      </w:r>
      <w:r w:rsidR="008234FA">
        <w:rPr>
          <w:rFonts w:ascii="Arial" w:hAnsi="Arial" w:cs="Arial"/>
          <w:sz w:val="22"/>
          <w:szCs w:val="22"/>
        </w:rPr>
        <w:t>an admitted acute patient</w:t>
      </w:r>
      <w:r w:rsidR="007A6405" w:rsidRPr="00DE160B">
        <w:rPr>
          <w:rFonts w:ascii="Arial" w:hAnsi="Arial" w:cs="Arial"/>
          <w:sz w:val="22"/>
          <w:szCs w:val="22"/>
        </w:rPr>
        <w:t xml:space="preserve"> who has spent time in a </w:t>
      </w:r>
      <w:r w:rsidR="002F3336" w:rsidRPr="00DE160B">
        <w:rPr>
          <w:rFonts w:ascii="Arial" w:hAnsi="Arial" w:cs="Arial"/>
          <w:sz w:val="22"/>
          <w:szCs w:val="22"/>
        </w:rPr>
        <w:t>s</w:t>
      </w:r>
      <w:r w:rsidR="007A6405" w:rsidRPr="00DE160B">
        <w:rPr>
          <w:rFonts w:ascii="Arial" w:hAnsi="Arial" w:cs="Arial"/>
          <w:sz w:val="22"/>
          <w:szCs w:val="22"/>
        </w:rPr>
        <w:t xml:space="preserve">pecified </w:t>
      </w:r>
      <w:r w:rsidR="008234FA">
        <w:rPr>
          <w:rFonts w:ascii="Arial" w:hAnsi="Arial" w:cs="Arial"/>
          <w:sz w:val="22"/>
          <w:szCs w:val="22"/>
        </w:rPr>
        <w:t>intensive care unit (</w:t>
      </w:r>
      <w:r w:rsidR="007A6405" w:rsidRPr="00DE160B">
        <w:rPr>
          <w:rFonts w:ascii="Arial" w:hAnsi="Arial" w:cs="Arial"/>
          <w:sz w:val="22"/>
          <w:szCs w:val="22"/>
        </w:rPr>
        <w:t>ICU</w:t>
      </w:r>
      <w:r w:rsidR="008234FA">
        <w:rPr>
          <w:rFonts w:ascii="Arial" w:hAnsi="Arial" w:cs="Arial"/>
          <w:sz w:val="22"/>
          <w:szCs w:val="22"/>
        </w:rPr>
        <w:t>)</w:t>
      </w:r>
      <w:r w:rsidR="007A6405" w:rsidRPr="00DE160B">
        <w:rPr>
          <w:rFonts w:ascii="Arial" w:hAnsi="Arial" w:cs="Arial"/>
          <w:sz w:val="22"/>
          <w:szCs w:val="22"/>
        </w:rPr>
        <w:t xml:space="preserve"> </w:t>
      </w:r>
      <w:r w:rsidR="00840081" w:rsidRPr="00DE160B">
        <w:rPr>
          <w:rFonts w:ascii="Arial" w:hAnsi="Arial" w:cs="Arial"/>
          <w:sz w:val="22"/>
          <w:szCs w:val="22"/>
        </w:rPr>
        <w:t>a</w:t>
      </w:r>
      <w:r w:rsidR="00BA25DF" w:rsidRPr="00DE160B">
        <w:rPr>
          <w:rFonts w:ascii="Arial" w:hAnsi="Arial" w:cs="Arial"/>
          <w:sz w:val="22"/>
          <w:szCs w:val="22"/>
        </w:rPr>
        <w:t xml:space="preserve">s listed at </w:t>
      </w:r>
      <w:r w:rsidR="007A6405" w:rsidRPr="00DE160B">
        <w:rPr>
          <w:rFonts w:ascii="Arial" w:hAnsi="Arial" w:cs="Arial"/>
          <w:sz w:val="22"/>
          <w:szCs w:val="22"/>
        </w:rPr>
        <w:t>Appendix D</w:t>
      </w:r>
      <w:r w:rsidR="004760BA" w:rsidRPr="00DE160B">
        <w:rPr>
          <w:rFonts w:ascii="Arial" w:hAnsi="Arial" w:cs="Arial"/>
          <w:sz w:val="22"/>
          <w:szCs w:val="22"/>
        </w:rPr>
        <w:t xml:space="preserve"> of the </w:t>
      </w:r>
      <w:r w:rsidR="00BB55B9" w:rsidRPr="00DE160B">
        <w:rPr>
          <w:rFonts w:ascii="Arial" w:hAnsi="Arial" w:cs="Arial"/>
          <w:sz w:val="22"/>
          <w:szCs w:val="22"/>
        </w:rPr>
        <w:t xml:space="preserve">National Efficient Price Determination </w:t>
      </w:r>
      <w:r w:rsidR="009C3DA6" w:rsidRPr="00DE160B">
        <w:rPr>
          <w:rFonts w:ascii="Arial" w:hAnsi="Arial" w:cs="Arial"/>
          <w:sz w:val="22"/>
          <w:szCs w:val="22"/>
        </w:rPr>
        <w:t>202</w:t>
      </w:r>
      <w:r w:rsidR="00226D18" w:rsidRPr="00DE160B">
        <w:rPr>
          <w:rFonts w:ascii="Arial" w:hAnsi="Arial" w:cs="Arial"/>
          <w:sz w:val="22"/>
          <w:szCs w:val="22"/>
        </w:rPr>
        <w:t>4</w:t>
      </w:r>
      <w:r w:rsidR="009C3DA6" w:rsidRPr="00DE160B">
        <w:rPr>
          <w:rFonts w:ascii="Arial" w:hAnsi="Arial" w:cs="Arial"/>
          <w:sz w:val="22"/>
          <w:szCs w:val="22"/>
        </w:rPr>
        <w:t>–2</w:t>
      </w:r>
      <w:r w:rsidR="00226D18" w:rsidRPr="00DE160B">
        <w:rPr>
          <w:rFonts w:ascii="Arial" w:hAnsi="Arial" w:cs="Arial"/>
          <w:sz w:val="22"/>
          <w:szCs w:val="22"/>
        </w:rPr>
        <w:t>5</w:t>
      </w:r>
      <w:r w:rsidR="004B3539" w:rsidRPr="00DE160B">
        <w:rPr>
          <w:rFonts w:ascii="Arial" w:hAnsi="Arial" w:cs="Arial"/>
          <w:sz w:val="22"/>
          <w:szCs w:val="22"/>
        </w:rPr>
        <w:t>,</w:t>
      </w:r>
      <w:r w:rsidR="00BA25DF" w:rsidRPr="00DE160B">
        <w:rPr>
          <w:rFonts w:ascii="Arial" w:hAnsi="Arial" w:cs="Arial"/>
          <w:sz w:val="22"/>
          <w:szCs w:val="22"/>
        </w:rPr>
        <w:t xml:space="preserve"> ex</w:t>
      </w:r>
      <w:r w:rsidR="002A3B00" w:rsidRPr="00DE160B">
        <w:rPr>
          <w:rFonts w:ascii="Arial" w:hAnsi="Arial" w:cs="Arial"/>
          <w:sz w:val="22"/>
          <w:szCs w:val="22"/>
        </w:rPr>
        <w:t>cep</w:t>
      </w:r>
      <w:r w:rsidR="00BA25DF" w:rsidRPr="00DE160B">
        <w:rPr>
          <w:rFonts w:ascii="Arial" w:hAnsi="Arial" w:cs="Arial"/>
          <w:sz w:val="22"/>
          <w:szCs w:val="22"/>
        </w:rPr>
        <w:t xml:space="preserve">t where the </w:t>
      </w:r>
      <w:r w:rsidR="004B3539" w:rsidRPr="00DE160B">
        <w:rPr>
          <w:rFonts w:ascii="Arial" w:hAnsi="Arial" w:cs="Arial"/>
          <w:sz w:val="22"/>
          <w:szCs w:val="22"/>
        </w:rPr>
        <w:t>ac</w:t>
      </w:r>
      <w:r w:rsidR="00BA25DF" w:rsidRPr="00DE160B">
        <w:rPr>
          <w:rFonts w:ascii="Arial" w:hAnsi="Arial" w:cs="Arial"/>
          <w:sz w:val="22"/>
          <w:szCs w:val="22"/>
        </w:rPr>
        <w:t>tiv</w:t>
      </w:r>
      <w:r w:rsidR="004B3539" w:rsidRPr="00DE160B">
        <w:rPr>
          <w:rFonts w:ascii="Arial" w:hAnsi="Arial" w:cs="Arial"/>
          <w:sz w:val="22"/>
          <w:szCs w:val="22"/>
        </w:rPr>
        <w:t>i</w:t>
      </w:r>
      <w:r w:rsidR="00BA25DF" w:rsidRPr="00DE160B">
        <w:rPr>
          <w:rFonts w:ascii="Arial" w:hAnsi="Arial" w:cs="Arial"/>
          <w:sz w:val="22"/>
          <w:szCs w:val="22"/>
        </w:rPr>
        <w:t xml:space="preserve">ty is </w:t>
      </w:r>
      <w:r w:rsidR="008234FA">
        <w:rPr>
          <w:rFonts w:ascii="Arial" w:hAnsi="Arial" w:cs="Arial"/>
          <w:sz w:val="22"/>
          <w:szCs w:val="22"/>
        </w:rPr>
        <w:t xml:space="preserve">represented by </w:t>
      </w:r>
      <w:r w:rsidR="00BA25DF" w:rsidRPr="00DE160B">
        <w:rPr>
          <w:rFonts w:ascii="Arial" w:hAnsi="Arial" w:cs="Arial"/>
          <w:sz w:val="22"/>
          <w:szCs w:val="22"/>
        </w:rPr>
        <w:t>a newborn</w:t>
      </w:r>
      <w:r w:rsidR="00BA7D81" w:rsidRPr="00DE160B">
        <w:rPr>
          <w:rFonts w:ascii="Arial" w:hAnsi="Arial" w:cs="Arial"/>
          <w:sz w:val="22"/>
          <w:szCs w:val="22"/>
        </w:rPr>
        <w:t>/</w:t>
      </w:r>
      <w:r w:rsidR="004B3539" w:rsidRPr="00DE160B">
        <w:rPr>
          <w:rFonts w:ascii="Arial" w:hAnsi="Arial" w:cs="Arial"/>
          <w:sz w:val="22"/>
          <w:szCs w:val="22"/>
        </w:rPr>
        <w:t>neonate</w:t>
      </w:r>
      <w:r w:rsidR="002F3336" w:rsidRPr="00DE160B">
        <w:rPr>
          <w:rFonts w:ascii="Arial" w:hAnsi="Arial" w:cs="Arial"/>
          <w:sz w:val="22"/>
          <w:szCs w:val="22"/>
        </w:rPr>
        <w:t xml:space="preserve"> </w:t>
      </w:r>
      <w:r w:rsidR="00AF6E41" w:rsidRPr="00DE160B">
        <w:rPr>
          <w:rFonts w:ascii="Arial" w:hAnsi="Arial" w:cs="Arial"/>
          <w:sz w:val="22"/>
          <w:szCs w:val="22"/>
        </w:rPr>
        <w:t>Australian Refined Diagnosis Related Group</w:t>
      </w:r>
      <w:r w:rsidR="004B3539" w:rsidRPr="00DE160B">
        <w:rPr>
          <w:rFonts w:ascii="Arial" w:hAnsi="Arial" w:cs="Arial"/>
          <w:sz w:val="22"/>
          <w:szCs w:val="22"/>
        </w:rPr>
        <w:t xml:space="preserve"> identified as ‘</w:t>
      </w:r>
      <w:r w:rsidR="008234FA">
        <w:rPr>
          <w:rFonts w:ascii="Arial" w:hAnsi="Arial" w:cs="Arial"/>
          <w:sz w:val="22"/>
          <w:szCs w:val="22"/>
        </w:rPr>
        <w:t>b</w:t>
      </w:r>
      <w:r w:rsidR="004B3539" w:rsidRPr="00DE160B">
        <w:rPr>
          <w:rFonts w:ascii="Arial" w:hAnsi="Arial" w:cs="Arial"/>
          <w:sz w:val="22"/>
          <w:szCs w:val="22"/>
        </w:rPr>
        <w:t xml:space="preserve">undled ICU’ in the tables of </w:t>
      </w:r>
      <w:r w:rsidR="002A3B00" w:rsidRPr="00DE160B">
        <w:rPr>
          <w:rFonts w:ascii="Arial" w:hAnsi="Arial" w:cs="Arial"/>
          <w:sz w:val="22"/>
          <w:szCs w:val="22"/>
        </w:rPr>
        <w:t>p</w:t>
      </w:r>
      <w:r w:rsidR="004B3539" w:rsidRPr="00DE160B">
        <w:rPr>
          <w:rFonts w:ascii="Arial" w:hAnsi="Arial" w:cs="Arial"/>
          <w:sz w:val="22"/>
          <w:szCs w:val="22"/>
        </w:rPr>
        <w:t xml:space="preserve">rice </w:t>
      </w:r>
      <w:r w:rsidR="002A3B00" w:rsidRPr="00DE160B">
        <w:rPr>
          <w:rFonts w:ascii="Arial" w:hAnsi="Arial" w:cs="Arial"/>
          <w:sz w:val="22"/>
          <w:szCs w:val="22"/>
        </w:rPr>
        <w:t>w</w:t>
      </w:r>
      <w:r w:rsidR="004B3539" w:rsidRPr="00DE160B">
        <w:rPr>
          <w:rFonts w:ascii="Arial" w:hAnsi="Arial" w:cs="Arial"/>
          <w:sz w:val="22"/>
          <w:szCs w:val="22"/>
        </w:rPr>
        <w:t>eights at Appendix H</w:t>
      </w:r>
      <w:r w:rsidR="002A1D7B" w:rsidRPr="00DE160B">
        <w:rPr>
          <w:rFonts w:ascii="Arial" w:hAnsi="Arial" w:cs="Arial"/>
          <w:sz w:val="22"/>
          <w:szCs w:val="22"/>
        </w:rPr>
        <w:t>.</w:t>
      </w:r>
    </w:p>
    <w:p w14:paraId="1DE536E3" w14:textId="4B05861A" w:rsidR="004D397E" w:rsidRDefault="004D397E" w:rsidP="00C81D74">
      <w:pPr>
        <w:keepLines/>
        <w:spacing w:before="120" w:after="120" w:line="259" w:lineRule="auto"/>
        <w:rPr>
          <w:rFonts w:ascii="Arial" w:hAnsi="Arial" w:cs="Arial"/>
          <w:sz w:val="22"/>
          <w:szCs w:val="22"/>
        </w:rPr>
      </w:pPr>
      <w:r>
        <w:rPr>
          <w:rFonts w:ascii="Arial" w:hAnsi="Arial" w:cs="Arial"/>
          <w:b/>
          <w:sz w:val="22"/>
          <w:szCs w:val="22"/>
        </w:rPr>
        <w:t>LHN</w:t>
      </w:r>
      <w:r w:rsidRPr="00E83996">
        <w:rPr>
          <w:rFonts w:ascii="Arial" w:hAnsi="Arial" w:cs="Arial"/>
          <w:sz w:val="22"/>
          <w:szCs w:val="22"/>
        </w:rPr>
        <w:t xml:space="preserve"> </w:t>
      </w:r>
      <w:r>
        <w:rPr>
          <w:rFonts w:ascii="Arial" w:hAnsi="Arial" w:cs="Arial"/>
          <w:sz w:val="22"/>
          <w:szCs w:val="22"/>
        </w:rPr>
        <w:t>refers</w:t>
      </w:r>
      <w:r w:rsidRPr="00E83996">
        <w:rPr>
          <w:rFonts w:ascii="Arial" w:hAnsi="Arial" w:cs="Arial"/>
          <w:sz w:val="22"/>
          <w:szCs w:val="22"/>
        </w:rPr>
        <w:t xml:space="preserve"> </w:t>
      </w:r>
      <w:r w:rsidR="003355C6">
        <w:rPr>
          <w:rFonts w:ascii="Arial" w:hAnsi="Arial" w:cs="Arial"/>
          <w:sz w:val="22"/>
          <w:szCs w:val="22"/>
        </w:rPr>
        <w:t xml:space="preserve">to </w:t>
      </w:r>
      <w:r w:rsidRPr="00E83996">
        <w:rPr>
          <w:rFonts w:ascii="Arial" w:hAnsi="Arial" w:cs="Arial"/>
          <w:sz w:val="22"/>
          <w:szCs w:val="22"/>
        </w:rPr>
        <w:t>a</w:t>
      </w:r>
      <w:r>
        <w:rPr>
          <w:rFonts w:ascii="Arial" w:hAnsi="Arial" w:cs="Arial"/>
          <w:sz w:val="22"/>
          <w:szCs w:val="22"/>
        </w:rPr>
        <w:t xml:space="preserve"> local hospital network.</w:t>
      </w:r>
    </w:p>
    <w:p w14:paraId="63F9AB8A" w14:textId="11B842E8"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D65019">
        <w:rPr>
          <w:rFonts w:ascii="Arial" w:hAnsi="Arial" w:cs="Arial"/>
          <w:sz w:val="22"/>
          <w:szCs w:val="22"/>
        </w:rPr>
        <w:t xml:space="preserve"> that is not assigned to the Tier 2 Non-Admitted Services Classification class </w:t>
      </w:r>
      <w:r w:rsidR="00D65019" w:rsidRPr="00D65019">
        <w:rPr>
          <w:rFonts w:ascii="Arial" w:hAnsi="Arial" w:cs="Arial"/>
          <w:sz w:val="22"/>
          <w:szCs w:val="22"/>
        </w:rPr>
        <w:t xml:space="preserve">20.48 </w:t>
      </w:r>
      <w:r w:rsidR="00D65019" w:rsidRPr="00D65019">
        <w:rPr>
          <w:rFonts w:ascii="Arial" w:hAnsi="Arial" w:cs="Arial"/>
          <w:i/>
          <w:iCs/>
          <w:sz w:val="22"/>
          <w:szCs w:val="22"/>
        </w:rPr>
        <w:t>Multidisciplinary burns clinic</w:t>
      </w:r>
      <w:r w:rsidR="00D65019" w:rsidRPr="00D65019">
        <w:rPr>
          <w:rFonts w:ascii="Arial" w:hAnsi="Arial" w:cs="Arial"/>
          <w:sz w:val="22"/>
          <w:szCs w:val="22"/>
        </w:rPr>
        <w:t>,</w:t>
      </w:r>
      <w:r w:rsidR="00D65019">
        <w:rPr>
          <w:rFonts w:ascii="Arial" w:hAnsi="Arial" w:cs="Arial"/>
          <w:sz w:val="22"/>
          <w:szCs w:val="22"/>
        </w:rPr>
        <w:t xml:space="preserve"> </w:t>
      </w:r>
      <w:r w:rsidR="00D65019" w:rsidRPr="00D65019">
        <w:rPr>
          <w:rFonts w:ascii="Arial" w:hAnsi="Arial" w:cs="Arial"/>
          <w:sz w:val="22"/>
          <w:szCs w:val="22"/>
        </w:rPr>
        <w:t xml:space="preserve">20.56 </w:t>
      </w:r>
      <w:r w:rsidR="00D65019" w:rsidRPr="00D65019">
        <w:rPr>
          <w:rFonts w:ascii="Arial" w:hAnsi="Arial" w:cs="Arial"/>
          <w:i/>
          <w:iCs/>
          <w:sz w:val="22"/>
          <w:szCs w:val="22"/>
        </w:rPr>
        <w:t>Multidisciplinary case conference - patient not present</w:t>
      </w:r>
      <w:r w:rsidR="00D65019" w:rsidRPr="00D65019">
        <w:rPr>
          <w:rFonts w:ascii="Arial" w:hAnsi="Arial" w:cs="Arial"/>
          <w:sz w:val="22"/>
          <w:szCs w:val="22"/>
        </w:rPr>
        <w:t xml:space="preserve"> or 40.62 </w:t>
      </w:r>
      <w:r w:rsidR="00D65019" w:rsidRPr="00D65019">
        <w:rPr>
          <w:rFonts w:ascii="Arial" w:hAnsi="Arial" w:cs="Arial"/>
          <w:i/>
          <w:iCs/>
          <w:sz w:val="22"/>
          <w:szCs w:val="22"/>
        </w:rPr>
        <w:t>Multidisciplinary case conference - patient not present</w:t>
      </w:r>
      <w:r w:rsidR="008744FD">
        <w:rPr>
          <w:rFonts w:ascii="Arial" w:hAnsi="Arial" w:cs="Arial"/>
          <w:sz w:val="22"/>
          <w:szCs w:val="22"/>
        </w:rPr>
        <w:t>.</w:t>
      </w:r>
    </w:p>
    <w:p w14:paraId="59375E8A" w14:textId="1E661C6B"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w:t>
      </w:r>
      <w:r w:rsidR="00D65019" w:rsidRPr="00D65019">
        <w:rPr>
          <w:rFonts w:ascii="Arial" w:hAnsi="Arial" w:cs="Arial"/>
          <w:sz w:val="22"/>
          <w:szCs w:val="22"/>
        </w:rPr>
        <w:t>whether a non-admitted patient service event was delivered by</w:t>
      </w:r>
      <w:r w:rsidR="00D65019">
        <w:rPr>
          <w:rFonts w:ascii="Arial" w:hAnsi="Arial" w:cs="Arial"/>
          <w:sz w:val="22"/>
          <w:szCs w:val="22"/>
        </w:rPr>
        <w:t xml:space="preserve"> </w:t>
      </w:r>
      <w:r w:rsidRPr="00E83996">
        <w:rPr>
          <w:rFonts w:ascii="Arial" w:hAnsi="Arial" w:cs="Arial"/>
          <w:sz w:val="22"/>
          <w:szCs w:val="22"/>
        </w:rPr>
        <w:t xml:space="preserve">multiple health care providers for the reporting of non-admitted activity data (see </w:t>
      </w:r>
      <w:hyperlink r:id="rId13" w:history="1">
        <w:r w:rsidR="0079482A">
          <w:rPr>
            <w:rStyle w:val="Hyperlink"/>
            <w:rFonts w:ascii="Arial" w:hAnsi="Arial" w:cs="Arial"/>
            <w:sz w:val="22"/>
            <w:szCs w:val="22"/>
          </w:rPr>
          <w:t>METEOR: 652537</w:t>
        </w:r>
      </w:hyperlink>
      <w:r w:rsidRPr="00E83996">
        <w:rPr>
          <w:rFonts w:ascii="Arial" w:hAnsi="Arial" w:cs="Arial"/>
          <w:sz w:val="22"/>
          <w:szCs w:val="22"/>
        </w:rPr>
        <w:t>)</w:t>
      </w:r>
      <w:r w:rsidR="008744FD">
        <w:rPr>
          <w:rFonts w:ascii="Arial" w:hAnsi="Arial" w:cs="Arial"/>
          <w:sz w:val="22"/>
          <w:szCs w:val="22"/>
        </w:rPr>
        <w:t>.</w:t>
      </w:r>
    </w:p>
    <w:p w14:paraId="017C61C9" w14:textId="77777777"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Multiple health care providers</w:t>
      </w:r>
      <w:r w:rsidRPr="00E83996">
        <w:rPr>
          <w:rFonts w:ascii="Arial" w:hAnsi="Arial" w:cs="Arial"/>
          <w:sz w:val="22"/>
          <w:szCs w:val="22"/>
        </w:rPr>
        <w:t xml:space="preserve"> means three or more health care providers who deliver care either individually or jointly within a non-admitted patient service event. The health care providers may be of the same profession (medical, nursing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31BD9135" w14:textId="5ED15E6A" w:rsidR="00FE5F3B"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226D18">
        <w:rPr>
          <w:rFonts w:ascii="Arial" w:hAnsi="Arial" w:cs="Arial"/>
          <w:sz w:val="22"/>
          <w:szCs w:val="22"/>
        </w:rPr>
        <w:t>4</w:t>
      </w:r>
      <w:r w:rsidR="009C3DA6" w:rsidRPr="009C3DA6">
        <w:rPr>
          <w:rFonts w:ascii="Arial" w:hAnsi="Arial" w:cs="Arial"/>
          <w:sz w:val="22"/>
          <w:szCs w:val="22"/>
        </w:rPr>
        <w:t>–2</w:t>
      </w:r>
      <w:r w:rsidR="00226D18">
        <w:rPr>
          <w:rFonts w:ascii="Arial" w:hAnsi="Arial" w:cs="Arial"/>
          <w:sz w:val="22"/>
          <w:szCs w:val="22"/>
        </w:rPr>
        <w:t>5</w:t>
      </w:r>
      <w:r w:rsidR="00F53411" w:rsidRPr="005F7101">
        <w:rPr>
          <w:rFonts w:ascii="Arial" w:hAnsi="Arial" w:cs="Arial"/>
          <w:sz w:val="22"/>
          <w:szCs w:val="22"/>
        </w:rPr>
        <w:t>.</w:t>
      </w:r>
    </w:p>
    <w:p w14:paraId="0FAED9EE" w14:textId="54F11DF1" w:rsidR="00BB3B1C" w:rsidRPr="00EA0369" w:rsidRDefault="00BB3B1C" w:rsidP="00C81D74">
      <w:pPr>
        <w:keepLines/>
        <w:spacing w:before="120" w:after="120" w:line="259" w:lineRule="auto"/>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w:t>
      </w:r>
      <w:r w:rsidR="00004BAC">
        <w:rPr>
          <w:rFonts w:ascii="Arial" w:hAnsi="Arial" w:cs="Arial"/>
          <w:sz w:val="22"/>
          <w:szCs w:val="22"/>
        </w:rPr>
        <w:t>n</w:t>
      </w:r>
      <w:r>
        <w:rPr>
          <w:rFonts w:ascii="Arial" w:hAnsi="Arial" w:cs="Arial"/>
          <w:sz w:val="22"/>
          <w:szCs w:val="22"/>
        </w:rPr>
        <w:t xml:space="preserve">ational </w:t>
      </w:r>
      <w:r w:rsidR="00004BAC">
        <w:rPr>
          <w:rFonts w:ascii="Arial" w:hAnsi="Arial" w:cs="Arial"/>
          <w:sz w:val="22"/>
          <w:szCs w:val="22"/>
        </w:rPr>
        <w:t>b</w:t>
      </w:r>
      <w:r>
        <w:rPr>
          <w:rFonts w:ascii="Arial" w:hAnsi="Arial" w:cs="Arial"/>
          <w:sz w:val="22"/>
          <w:szCs w:val="22"/>
        </w:rPr>
        <w:t xml:space="preserve">est </w:t>
      </w:r>
      <w:r w:rsidR="00004BAC">
        <w:rPr>
          <w:rFonts w:ascii="Arial" w:hAnsi="Arial" w:cs="Arial"/>
          <w:sz w:val="22"/>
          <w:szCs w:val="22"/>
        </w:rPr>
        <w:t>e</w:t>
      </w:r>
      <w:r>
        <w:rPr>
          <w:rFonts w:ascii="Arial" w:hAnsi="Arial" w:cs="Arial"/>
          <w:sz w:val="22"/>
          <w:szCs w:val="22"/>
        </w:rPr>
        <w:t xml:space="preserve">ndeavours </w:t>
      </w:r>
      <w:r w:rsidR="00004BAC">
        <w:rPr>
          <w:rFonts w:ascii="Arial" w:hAnsi="Arial" w:cs="Arial"/>
          <w:sz w:val="22"/>
          <w:szCs w:val="22"/>
        </w:rPr>
        <w:t>d</w:t>
      </w:r>
      <w:r>
        <w:rPr>
          <w:rFonts w:ascii="Arial" w:hAnsi="Arial" w:cs="Arial"/>
          <w:sz w:val="22"/>
          <w:szCs w:val="22"/>
        </w:rPr>
        <w:t xml:space="preserve">ata </w:t>
      </w:r>
      <w:r w:rsidR="00004BAC">
        <w:rPr>
          <w:rFonts w:ascii="Arial" w:hAnsi="Arial" w:cs="Arial"/>
          <w:sz w:val="22"/>
          <w:szCs w:val="22"/>
        </w:rPr>
        <w:t>s</w:t>
      </w:r>
      <w:r>
        <w:rPr>
          <w:rFonts w:ascii="Arial" w:hAnsi="Arial" w:cs="Arial"/>
          <w:sz w:val="22"/>
          <w:szCs w:val="22"/>
        </w:rPr>
        <w:t>ets.</w:t>
      </w:r>
    </w:p>
    <w:p w14:paraId="384C5656" w14:textId="19CF10E8" w:rsidR="00E92036" w:rsidRPr="005F7101" w:rsidRDefault="00E92036" w:rsidP="00C81D74">
      <w:pPr>
        <w:keepLines/>
        <w:spacing w:before="120" w:after="120" w:line="259" w:lineRule="auto"/>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w:t>
      </w:r>
      <w:r w:rsidRPr="00757349">
        <w:rPr>
          <w:rFonts w:ascii="Arial" w:hAnsi="Arial" w:cs="Arial"/>
          <w:sz w:val="22"/>
          <w:szCs w:val="22"/>
        </w:rPr>
        <w:t>Chapter 3</w:t>
      </w:r>
      <w:r w:rsidRPr="005F7101">
        <w:rPr>
          <w:rFonts w:ascii="Arial" w:hAnsi="Arial" w:cs="Arial"/>
          <w:sz w:val="22"/>
          <w:szCs w:val="22"/>
        </w:rPr>
        <w:t xml:space="preserve"> of the </w:t>
      </w:r>
      <w:r w:rsidR="002A1D7B" w:rsidRPr="005F7101">
        <w:rPr>
          <w:rFonts w:ascii="Arial" w:hAnsi="Arial" w:cs="Arial"/>
          <w:sz w:val="22"/>
          <w:szCs w:val="22"/>
        </w:rPr>
        <w:t xml:space="preserve">National Efficient Cost Determination </w:t>
      </w:r>
      <w:r w:rsidR="009C3DA6" w:rsidRPr="009C3DA6">
        <w:rPr>
          <w:rFonts w:ascii="Arial" w:hAnsi="Arial" w:cs="Arial"/>
          <w:sz w:val="22"/>
          <w:szCs w:val="22"/>
        </w:rPr>
        <w:t>202</w:t>
      </w:r>
      <w:r w:rsidR="00226D18">
        <w:rPr>
          <w:rFonts w:ascii="Arial" w:hAnsi="Arial" w:cs="Arial"/>
          <w:sz w:val="22"/>
          <w:szCs w:val="22"/>
        </w:rPr>
        <w:t>4</w:t>
      </w:r>
      <w:r w:rsidR="009C3DA6" w:rsidRPr="009C3DA6">
        <w:rPr>
          <w:rFonts w:ascii="Arial" w:hAnsi="Arial" w:cs="Arial"/>
          <w:sz w:val="22"/>
          <w:szCs w:val="22"/>
        </w:rPr>
        <w:t>–2</w:t>
      </w:r>
      <w:r w:rsidR="00226D18">
        <w:rPr>
          <w:rFonts w:ascii="Arial" w:hAnsi="Arial" w:cs="Arial"/>
          <w:sz w:val="22"/>
          <w:szCs w:val="22"/>
        </w:rPr>
        <w:t>5</w:t>
      </w:r>
      <w:r w:rsidR="005F5431" w:rsidRPr="005F7101">
        <w:rPr>
          <w:rFonts w:ascii="Arial" w:hAnsi="Arial" w:cs="Arial"/>
          <w:sz w:val="22"/>
          <w:szCs w:val="22"/>
        </w:rPr>
        <w:t>.</w:t>
      </w:r>
    </w:p>
    <w:p w14:paraId="7D8955F2" w14:textId="512E8D75" w:rsidR="00FE5F3B"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BB3B1C">
        <w:rPr>
          <w:rFonts w:ascii="Arial" w:hAnsi="Arial" w:cs="Arial"/>
          <w:sz w:val="22"/>
          <w:szCs w:val="22"/>
        </w:rPr>
        <w:t xml:space="preserve">per national weighted activity unit </w:t>
      </w:r>
      <w:r w:rsidR="009C3DA6" w:rsidRPr="009C3DA6">
        <w:rPr>
          <w:rFonts w:ascii="Arial" w:hAnsi="Arial" w:cs="Arial"/>
          <w:sz w:val="22"/>
          <w:szCs w:val="22"/>
        </w:rPr>
        <w:t>202</w:t>
      </w:r>
      <w:r w:rsidR="00226D18">
        <w:rPr>
          <w:rFonts w:ascii="Arial" w:hAnsi="Arial" w:cs="Arial"/>
          <w:sz w:val="22"/>
          <w:szCs w:val="22"/>
        </w:rPr>
        <w:t>4</w:t>
      </w:r>
      <w:r w:rsidR="009C3DA6" w:rsidRPr="009C3DA6">
        <w:rPr>
          <w:rFonts w:ascii="Arial" w:hAnsi="Arial" w:cs="Arial"/>
          <w:sz w:val="22"/>
          <w:szCs w:val="22"/>
        </w:rPr>
        <w:t>–2</w:t>
      </w:r>
      <w:r w:rsidR="00226D18">
        <w:rPr>
          <w:rFonts w:ascii="Arial" w:hAnsi="Arial" w:cs="Arial"/>
          <w:sz w:val="22"/>
          <w:szCs w:val="22"/>
        </w:rPr>
        <w:t>5</w:t>
      </w:r>
      <w:r w:rsidRPr="005F7101">
        <w:rPr>
          <w:rFonts w:ascii="Arial" w:hAnsi="Arial" w:cs="Arial"/>
          <w:sz w:val="22"/>
          <w:szCs w:val="22"/>
        </w:rPr>
        <w:t>,</w:t>
      </w:r>
      <w:r w:rsidR="001A23BA" w:rsidRPr="005F7101">
        <w:rPr>
          <w:rFonts w:ascii="Arial" w:hAnsi="Arial" w:cs="Arial"/>
          <w:sz w:val="22"/>
          <w:szCs w:val="22"/>
        </w:rPr>
        <w:t xml:space="preserve"> which is based on the average cost of public hospital activity in </w:t>
      </w:r>
      <w:r w:rsidR="009C3DA6">
        <w:rPr>
          <w:rFonts w:ascii="Arial" w:hAnsi="Arial" w:cs="Arial"/>
          <w:sz w:val="22"/>
          <w:szCs w:val="22"/>
        </w:rPr>
        <w:t>20</w:t>
      </w:r>
      <w:r w:rsidR="0079482A">
        <w:rPr>
          <w:rFonts w:ascii="Arial" w:hAnsi="Arial" w:cs="Arial"/>
          <w:sz w:val="22"/>
          <w:szCs w:val="22"/>
        </w:rPr>
        <w:t>2</w:t>
      </w:r>
      <w:r w:rsidR="00226D18">
        <w:rPr>
          <w:rFonts w:ascii="Arial" w:hAnsi="Arial" w:cs="Arial"/>
          <w:sz w:val="22"/>
          <w:szCs w:val="22"/>
        </w:rPr>
        <w:t>1</w:t>
      </w:r>
      <w:r w:rsidR="009C3DA6">
        <w:rPr>
          <w:rFonts w:ascii="Arial" w:hAnsi="Arial" w:cs="Arial"/>
          <w:sz w:val="22"/>
          <w:szCs w:val="22"/>
        </w:rPr>
        <w:t>–2</w:t>
      </w:r>
      <w:r w:rsidR="00226D18">
        <w:rPr>
          <w:rFonts w:ascii="Arial" w:hAnsi="Arial" w:cs="Arial"/>
          <w:sz w:val="22"/>
          <w:szCs w:val="22"/>
        </w:rPr>
        <w:t>2</w:t>
      </w:r>
      <w:r w:rsidR="001A23BA" w:rsidRPr="005F7101">
        <w:rPr>
          <w:rFonts w:ascii="Arial" w:hAnsi="Arial" w:cs="Arial"/>
          <w:sz w:val="22"/>
          <w:szCs w:val="22"/>
        </w:rPr>
        <w:t>,</w:t>
      </w:r>
      <w:r w:rsidRPr="005F7101">
        <w:rPr>
          <w:rFonts w:ascii="Arial" w:hAnsi="Arial" w:cs="Arial"/>
          <w:sz w:val="22"/>
          <w:szCs w:val="22"/>
        </w:rPr>
        <w:t xml:space="preserve"> as set out at </w:t>
      </w:r>
      <w:r w:rsidRPr="00DD6711">
        <w:rPr>
          <w:rFonts w:ascii="Arial" w:hAnsi="Arial" w:cs="Arial"/>
          <w:sz w:val="22"/>
          <w:szCs w:val="22"/>
        </w:rPr>
        <w:t>Chapter 2</w:t>
      </w:r>
      <w:r w:rsidR="00F464B0"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226D18">
        <w:rPr>
          <w:rFonts w:ascii="Arial" w:hAnsi="Arial" w:cs="Arial"/>
          <w:sz w:val="22"/>
          <w:szCs w:val="22"/>
        </w:rPr>
        <w:t>4</w:t>
      </w:r>
      <w:r w:rsidR="009C3DA6" w:rsidRPr="009C3DA6">
        <w:rPr>
          <w:rFonts w:ascii="Arial" w:hAnsi="Arial" w:cs="Arial"/>
          <w:sz w:val="22"/>
          <w:szCs w:val="22"/>
        </w:rPr>
        <w:t>–2</w:t>
      </w:r>
      <w:r w:rsidR="00226D18">
        <w:rPr>
          <w:rFonts w:ascii="Arial" w:hAnsi="Arial" w:cs="Arial"/>
          <w:sz w:val="22"/>
          <w:szCs w:val="22"/>
        </w:rPr>
        <w:t>5</w:t>
      </w:r>
      <w:r w:rsidR="008744FD" w:rsidRPr="005F7101">
        <w:rPr>
          <w:rFonts w:ascii="Arial" w:hAnsi="Arial" w:cs="Arial"/>
          <w:sz w:val="22"/>
          <w:szCs w:val="22"/>
        </w:rPr>
        <w:t>.</w:t>
      </w:r>
    </w:p>
    <w:p w14:paraId="2B8FA27A" w14:textId="77777777" w:rsidR="00FE5F3B"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2F5033C5" w14:textId="25B24562" w:rsidR="009B386A" w:rsidRPr="00E83996" w:rsidRDefault="009B386A" w:rsidP="00C81D74">
      <w:pPr>
        <w:keepLines/>
        <w:spacing w:before="120" w:after="120" w:line="259" w:lineRule="auto"/>
        <w:rPr>
          <w:rFonts w:ascii="Arial" w:hAnsi="Arial" w:cs="Arial"/>
          <w:sz w:val="22"/>
          <w:szCs w:val="22"/>
        </w:rPr>
      </w:pPr>
      <w:r w:rsidRPr="009E248D">
        <w:rPr>
          <w:rFonts w:ascii="Arial" w:hAnsi="Arial" w:cs="Arial"/>
          <w:b/>
          <w:sz w:val="22"/>
          <w:szCs w:val="22"/>
        </w:rPr>
        <w:lastRenderedPageBreak/>
        <w:t>NHDD</w:t>
      </w:r>
      <w:r w:rsidRPr="009E248D">
        <w:rPr>
          <w:rFonts w:ascii="Arial" w:hAnsi="Arial" w:cs="Arial"/>
          <w:sz w:val="22"/>
          <w:szCs w:val="22"/>
        </w:rPr>
        <w:t xml:space="preserve"> </w:t>
      </w:r>
      <w:r w:rsidR="006976CD" w:rsidRPr="009E248D">
        <w:rPr>
          <w:rFonts w:ascii="Arial" w:hAnsi="Arial" w:cs="Arial"/>
          <w:sz w:val="22"/>
          <w:szCs w:val="22"/>
        </w:rPr>
        <w:t xml:space="preserve">refers to </w:t>
      </w:r>
      <w:r w:rsidRPr="009E248D">
        <w:rPr>
          <w:rFonts w:ascii="Arial" w:hAnsi="Arial" w:cs="Arial"/>
          <w:sz w:val="22"/>
          <w:szCs w:val="22"/>
        </w:rPr>
        <w:t xml:space="preserve">the </w:t>
      </w:r>
      <w:hyperlink r:id="rId14" w:history="1">
        <w:r w:rsidRPr="009E248D">
          <w:rPr>
            <w:rStyle w:val="Hyperlink"/>
            <w:rFonts w:ascii="Arial" w:hAnsi="Arial" w:cs="Arial"/>
            <w:sz w:val="22"/>
            <w:szCs w:val="22"/>
          </w:rPr>
          <w:t>National Health Data Dictionary</w:t>
        </w:r>
      </w:hyperlink>
      <w:r w:rsidR="008744FD">
        <w:rPr>
          <w:rFonts w:ascii="Arial" w:hAnsi="Arial" w:cs="Arial"/>
          <w:sz w:val="22"/>
          <w:szCs w:val="22"/>
        </w:rPr>
        <w:t>.</w:t>
      </w:r>
    </w:p>
    <w:p w14:paraId="26FC2E12" w14:textId="7AB34037" w:rsidR="00454090" w:rsidRPr="00396E84" w:rsidRDefault="00454090" w:rsidP="00C81D74">
      <w:pPr>
        <w:keepLines/>
        <w:spacing w:before="120" w:after="120" w:line="259" w:lineRule="auto"/>
        <w:rPr>
          <w:rFonts w:ascii="Arial" w:hAnsi="Arial" w:cs="Arial"/>
          <w:bCs/>
          <w:sz w:val="22"/>
          <w:szCs w:val="22"/>
        </w:rPr>
      </w:pPr>
      <w:r>
        <w:rPr>
          <w:rFonts w:ascii="Arial" w:hAnsi="Arial" w:cs="Arial"/>
          <w:b/>
          <w:sz w:val="22"/>
          <w:szCs w:val="22"/>
        </w:rPr>
        <w:t>NHR Act</w:t>
      </w:r>
      <w:r w:rsidRPr="00396E84">
        <w:rPr>
          <w:rFonts w:ascii="Arial" w:hAnsi="Arial" w:cs="Arial"/>
          <w:bCs/>
          <w:sz w:val="22"/>
          <w:szCs w:val="22"/>
        </w:rPr>
        <w:t xml:space="preserve"> refers to</w:t>
      </w:r>
      <w:r>
        <w:rPr>
          <w:rFonts w:ascii="Arial" w:hAnsi="Arial" w:cs="Arial"/>
          <w:bCs/>
          <w:sz w:val="22"/>
          <w:szCs w:val="22"/>
        </w:rPr>
        <w:t xml:space="preserve"> the </w:t>
      </w:r>
      <w:hyperlink r:id="rId15" w:history="1">
        <w:r w:rsidRPr="00396E84">
          <w:rPr>
            <w:rStyle w:val="Hyperlink"/>
            <w:rFonts w:ascii="Arial" w:hAnsi="Arial" w:cs="Arial"/>
            <w:bCs/>
            <w:i/>
            <w:iCs/>
            <w:sz w:val="22"/>
            <w:szCs w:val="22"/>
          </w:rPr>
          <w:t>National Health Reform Act 2011</w:t>
        </w:r>
      </w:hyperlink>
      <w:r w:rsidR="000752F6">
        <w:rPr>
          <w:rFonts w:ascii="Arial" w:hAnsi="Arial" w:cs="Arial"/>
          <w:sz w:val="22"/>
          <w:szCs w:val="22"/>
        </w:rPr>
        <w:t>.</w:t>
      </w:r>
    </w:p>
    <w:p w14:paraId="280F856F" w14:textId="490A1F46" w:rsidR="00904DB5" w:rsidRPr="00E83996" w:rsidRDefault="001A2199" w:rsidP="00C81D74">
      <w:pPr>
        <w:keepLines/>
        <w:spacing w:before="120" w:after="120" w:line="259" w:lineRule="auto"/>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6"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w:t>
      </w:r>
      <w:r w:rsidR="00BB3B1C">
        <w:rPr>
          <w:rFonts w:ascii="Arial" w:hAnsi="Arial" w:cs="Arial"/>
          <w:sz w:val="22"/>
          <w:szCs w:val="22"/>
        </w:rPr>
        <w:t>states and territories</w:t>
      </w:r>
      <w:r w:rsidRPr="00E83996">
        <w:rPr>
          <w:rFonts w:ascii="Arial" w:hAnsi="Arial" w:cs="Arial"/>
          <w:sz w:val="22"/>
          <w:szCs w:val="22"/>
        </w:rPr>
        <w:t>, dated 2 August 2011</w:t>
      </w:r>
      <w:r w:rsidR="008744FD">
        <w:rPr>
          <w:rFonts w:ascii="Arial" w:hAnsi="Arial" w:cs="Arial"/>
          <w:sz w:val="22"/>
          <w:szCs w:val="22"/>
        </w:rPr>
        <w:t>.</w:t>
      </w:r>
    </w:p>
    <w:p w14:paraId="7CEA23C7" w14:textId="74C30BED" w:rsidR="003B5F3D" w:rsidRDefault="002415B7" w:rsidP="00C81D74">
      <w:pPr>
        <w:keepLines/>
        <w:spacing w:before="120" w:after="120" w:line="259" w:lineRule="auto"/>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w:t>
      </w:r>
      <w:r w:rsidR="009473F7">
        <w:rPr>
          <w:rFonts w:ascii="Arial" w:hAnsi="Arial" w:cs="Arial"/>
          <w:sz w:val="22"/>
          <w:szCs w:val="22"/>
        </w:rPr>
        <w:t>n</w:t>
      </w:r>
      <w:r>
        <w:rPr>
          <w:rFonts w:ascii="Arial" w:hAnsi="Arial" w:cs="Arial"/>
          <w:sz w:val="22"/>
          <w:szCs w:val="22"/>
        </w:rPr>
        <w:t xml:space="preserve">ational </w:t>
      </w:r>
      <w:r w:rsidR="009473F7">
        <w:rPr>
          <w:rFonts w:ascii="Arial" w:hAnsi="Arial" w:cs="Arial"/>
          <w:sz w:val="22"/>
          <w:szCs w:val="22"/>
        </w:rPr>
        <w:t>m</w:t>
      </w:r>
      <w:r w:rsidR="00450263" w:rsidRPr="00EA0369">
        <w:rPr>
          <w:rFonts w:ascii="Arial" w:hAnsi="Arial" w:cs="Arial"/>
          <w:sz w:val="22"/>
          <w:szCs w:val="22"/>
        </w:rPr>
        <w:t>inimum</w:t>
      </w:r>
      <w:r>
        <w:rPr>
          <w:rFonts w:ascii="Arial" w:hAnsi="Arial" w:cs="Arial"/>
          <w:sz w:val="22"/>
          <w:szCs w:val="22"/>
        </w:rPr>
        <w:t xml:space="preserve"> </w:t>
      </w:r>
      <w:r w:rsidR="009473F7">
        <w:rPr>
          <w:rFonts w:ascii="Arial" w:hAnsi="Arial" w:cs="Arial"/>
          <w:sz w:val="22"/>
          <w:szCs w:val="22"/>
        </w:rPr>
        <w:t>d</w:t>
      </w:r>
      <w:r>
        <w:rPr>
          <w:rFonts w:ascii="Arial" w:hAnsi="Arial" w:cs="Arial"/>
          <w:sz w:val="22"/>
          <w:szCs w:val="22"/>
        </w:rPr>
        <w:t xml:space="preserve">ata </w:t>
      </w:r>
      <w:r w:rsidR="009473F7">
        <w:rPr>
          <w:rFonts w:ascii="Arial" w:hAnsi="Arial" w:cs="Arial"/>
          <w:sz w:val="22"/>
          <w:szCs w:val="22"/>
        </w:rPr>
        <w:t>s</w:t>
      </w:r>
      <w:r>
        <w:rPr>
          <w:rFonts w:ascii="Arial" w:hAnsi="Arial" w:cs="Arial"/>
          <w:sz w:val="22"/>
          <w:szCs w:val="22"/>
        </w:rPr>
        <w:t>ets</w:t>
      </w:r>
      <w:r w:rsidR="002A1D7B">
        <w:rPr>
          <w:rFonts w:ascii="Arial" w:hAnsi="Arial" w:cs="Arial"/>
          <w:sz w:val="22"/>
          <w:szCs w:val="22"/>
        </w:rPr>
        <w:t>.</w:t>
      </w:r>
    </w:p>
    <w:p w14:paraId="6CEAD376" w14:textId="33D07D13" w:rsidR="00822A4B" w:rsidRPr="005F7101" w:rsidDel="002D29B1" w:rsidRDefault="00822A4B" w:rsidP="00C81D74">
      <w:pPr>
        <w:keepLines/>
        <w:spacing w:before="120" w:after="120" w:line="259" w:lineRule="auto"/>
        <w:rPr>
          <w:rFonts w:ascii="Arial" w:hAnsi="Arial" w:cs="Arial"/>
          <w:sz w:val="22"/>
          <w:szCs w:val="22"/>
        </w:rPr>
      </w:pPr>
      <w:r>
        <w:rPr>
          <w:rFonts w:ascii="Arial" w:hAnsi="Arial" w:cs="Arial"/>
          <w:b/>
          <w:sz w:val="22"/>
          <w:szCs w:val="22"/>
        </w:rPr>
        <w:t>N</w:t>
      </w:r>
      <w:r w:rsidRPr="00E83996" w:rsidDel="002D29B1">
        <w:rPr>
          <w:rFonts w:ascii="Arial" w:hAnsi="Arial" w:cs="Arial"/>
          <w:b/>
          <w:sz w:val="22"/>
          <w:szCs w:val="22"/>
        </w:rPr>
        <w:t>on-admitted patient service</w:t>
      </w:r>
      <w:r w:rsidRPr="00E83996" w:rsidDel="002D29B1">
        <w:rPr>
          <w:rFonts w:ascii="Arial" w:hAnsi="Arial" w:cs="Arial"/>
          <w:sz w:val="22"/>
          <w:szCs w:val="22"/>
        </w:rPr>
        <w:t xml:space="preserve"> refers to </w:t>
      </w:r>
      <w:r>
        <w:rPr>
          <w:rFonts w:ascii="Arial" w:hAnsi="Arial" w:cs="Arial"/>
          <w:sz w:val="22"/>
          <w:szCs w:val="22"/>
        </w:rPr>
        <w:t>specialist outpatient clinic services (comprising all clinics in the Tier 2 Non-Admitted Services Classification (Tier 2) classes in the 10, 20 and 30 series, with the exception of 20.06</w:t>
      </w:r>
      <w:r w:rsidRPr="00822A4B">
        <w:t xml:space="preserve"> </w:t>
      </w:r>
      <w:r w:rsidRPr="00822A4B">
        <w:rPr>
          <w:rFonts w:ascii="Arial" w:hAnsi="Arial" w:cs="Arial"/>
          <w:i/>
          <w:iCs/>
          <w:sz w:val="22"/>
          <w:szCs w:val="22"/>
        </w:rPr>
        <w:t>General practice and primary care</w:t>
      </w:r>
      <w:r>
        <w:rPr>
          <w:rFonts w:ascii="Arial" w:hAnsi="Arial" w:cs="Arial"/>
          <w:sz w:val="22"/>
          <w:szCs w:val="22"/>
        </w:rPr>
        <w:t xml:space="preserve">) and other </w:t>
      </w:r>
      <w:r w:rsidRPr="00E83996" w:rsidDel="002D29B1">
        <w:rPr>
          <w:rFonts w:ascii="Arial" w:hAnsi="Arial" w:cs="Arial"/>
          <w:sz w:val="22"/>
          <w:szCs w:val="22"/>
        </w:rPr>
        <w:t>non-admitted patient services</w:t>
      </w:r>
      <w:r w:rsidDel="002D29B1">
        <w:rPr>
          <w:rFonts w:ascii="Arial" w:hAnsi="Arial" w:cs="Arial"/>
          <w:sz w:val="22"/>
          <w:szCs w:val="22"/>
        </w:rPr>
        <w:t xml:space="preserve"> </w:t>
      </w:r>
      <w:r>
        <w:rPr>
          <w:rFonts w:ascii="Arial" w:hAnsi="Arial" w:cs="Arial"/>
          <w:sz w:val="22"/>
          <w:szCs w:val="22"/>
        </w:rPr>
        <w:t xml:space="preserve">and non-medical specialist outpatient clinics (comprising all clinics in the Tier 2 classes in the 40 series, with the exception of </w:t>
      </w:r>
      <w:r w:rsidRPr="00822A4B">
        <w:rPr>
          <w:rFonts w:ascii="Arial" w:hAnsi="Arial" w:cs="Arial"/>
          <w:sz w:val="22"/>
          <w:szCs w:val="22"/>
        </w:rPr>
        <w:t xml:space="preserve">40.02 </w:t>
      </w:r>
      <w:r w:rsidRPr="00822A4B">
        <w:rPr>
          <w:rFonts w:ascii="Arial" w:hAnsi="Arial" w:cs="Arial"/>
          <w:i/>
          <w:iCs/>
          <w:sz w:val="22"/>
          <w:szCs w:val="22"/>
        </w:rPr>
        <w:t>Aged care assessment</w:t>
      </w:r>
      <w:r>
        <w:rPr>
          <w:rFonts w:ascii="Arial" w:hAnsi="Arial" w:cs="Arial"/>
          <w:sz w:val="22"/>
          <w:szCs w:val="22"/>
        </w:rPr>
        <w:t xml:space="preserve">, </w:t>
      </w:r>
      <w:r w:rsidRPr="00822A4B">
        <w:rPr>
          <w:rFonts w:ascii="Arial" w:hAnsi="Arial" w:cs="Arial"/>
          <w:sz w:val="22"/>
          <w:szCs w:val="22"/>
        </w:rPr>
        <w:t xml:space="preserve">40.08 </w:t>
      </w:r>
      <w:r w:rsidRPr="00822A4B">
        <w:rPr>
          <w:rFonts w:ascii="Arial" w:hAnsi="Arial" w:cs="Arial"/>
          <w:i/>
          <w:iCs/>
          <w:sz w:val="22"/>
          <w:szCs w:val="22"/>
        </w:rPr>
        <w:t>Primary health care</w:t>
      </w:r>
      <w:r>
        <w:rPr>
          <w:rFonts w:ascii="Arial" w:hAnsi="Arial" w:cs="Arial"/>
          <w:sz w:val="22"/>
          <w:szCs w:val="22"/>
        </w:rPr>
        <w:t xml:space="preserve">, </w:t>
      </w:r>
      <w:r w:rsidRPr="00822A4B">
        <w:rPr>
          <w:rFonts w:ascii="Arial" w:hAnsi="Arial" w:cs="Arial"/>
          <w:sz w:val="22"/>
          <w:szCs w:val="22"/>
        </w:rPr>
        <w:t xml:space="preserve">40.27 </w:t>
      </w:r>
      <w:r w:rsidRPr="00822A4B">
        <w:rPr>
          <w:rFonts w:ascii="Arial" w:hAnsi="Arial" w:cs="Arial"/>
          <w:i/>
          <w:iCs/>
          <w:sz w:val="22"/>
          <w:szCs w:val="22"/>
        </w:rPr>
        <w:t>Family planning</w:t>
      </w:r>
      <w:r w:rsidRPr="00822A4B" w:rsidDel="002D29B1">
        <w:rPr>
          <w:rFonts w:ascii="Arial" w:hAnsi="Arial" w:cs="Arial"/>
          <w:sz w:val="22"/>
          <w:szCs w:val="22"/>
        </w:rPr>
        <w:t xml:space="preserve"> </w:t>
      </w:r>
      <w:r>
        <w:rPr>
          <w:rFonts w:ascii="Arial" w:hAnsi="Arial" w:cs="Arial"/>
          <w:sz w:val="22"/>
          <w:szCs w:val="22"/>
        </w:rPr>
        <w:t xml:space="preserve">and </w:t>
      </w:r>
      <w:r w:rsidRPr="00822A4B">
        <w:rPr>
          <w:rFonts w:ascii="Arial" w:hAnsi="Arial" w:cs="Arial"/>
          <w:sz w:val="22"/>
          <w:szCs w:val="22"/>
        </w:rPr>
        <w:t xml:space="preserve">40.33 </w:t>
      </w:r>
      <w:r w:rsidRPr="00822A4B">
        <w:rPr>
          <w:rFonts w:ascii="Arial" w:hAnsi="Arial" w:cs="Arial"/>
          <w:i/>
          <w:iCs/>
          <w:sz w:val="22"/>
          <w:szCs w:val="22"/>
        </w:rPr>
        <w:t>General counselling</w:t>
      </w:r>
      <w:r>
        <w:rPr>
          <w:rFonts w:ascii="Arial" w:hAnsi="Arial" w:cs="Arial"/>
          <w:sz w:val="22"/>
          <w:szCs w:val="22"/>
        </w:rPr>
        <w:t xml:space="preserve">) </w:t>
      </w:r>
      <w:r w:rsidRPr="009F1D72" w:rsidDel="002D29B1">
        <w:rPr>
          <w:rFonts w:ascii="Arial" w:hAnsi="Arial" w:cs="Arial"/>
          <w:sz w:val="22"/>
          <w:szCs w:val="22"/>
        </w:rPr>
        <w:t>that meet the criteri</w:t>
      </w:r>
      <w:r w:rsidRPr="005F7101" w:rsidDel="002D29B1">
        <w:rPr>
          <w:rFonts w:ascii="Arial" w:hAnsi="Arial" w:cs="Arial"/>
          <w:sz w:val="22"/>
          <w:szCs w:val="22"/>
        </w:rPr>
        <w:t xml:space="preserve">a set out in </w:t>
      </w:r>
      <w:r w:rsidRPr="00DD6711" w:rsidDel="002D29B1">
        <w:rPr>
          <w:rFonts w:ascii="Arial" w:hAnsi="Arial" w:cs="Arial"/>
          <w:sz w:val="22"/>
          <w:szCs w:val="22"/>
        </w:rPr>
        <w:t xml:space="preserve">Chapter </w:t>
      </w:r>
      <w:r>
        <w:rPr>
          <w:rFonts w:ascii="Arial" w:hAnsi="Arial" w:cs="Arial"/>
          <w:sz w:val="22"/>
          <w:szCs w:val="22"/>
        </w:rPr>
        <w:t>3</w:t>
      </w:r>
      <w:r w:rsidRPr="005F7101" w:rsidDel="002D29B1">
        <w:rPr>
          <w:rFonts w:ascii="Arial" w:hAnsi="Arial" w:cs="Arial"/>
          <w:sz w:val="22"/>
          <w:szCs w:val="22"/>
        </w:rPr>
        <w:t xml:space="preserve"> of the National Efficient Price Determination </w:t>
      </w:r>
      <w:r w:rsidRPr="009C3DA6" w:rsidDel="002D29B1">
        <w:rPr>
          <w:rFonts w:ascii="Arial" w:hAnsi="Arial" w:cs="Arial"/>
          <w:sz w:val="22"/>
          <w:szCs w:val="22"/>
        </w:rPr>
        <w:t>202</w:t>
      </w:r>
      <w:r>
        <w:rPr>
          <w:rFonts w:ascii="Arial" w:hAnsi="Arial" w:cs="Arial"/>
          <w:sz w:val="22"/>
          <w:szCs w:val="22"/>
        </w:rPr>
        <w:t>4</w:t>
      </w:r>
      <w:r w:rsidRPr="009C3DA6" w:rsidDel="002D29B1">
        <w:rPr>
          <w:rFonts w:ascii="Arial" w:hAnsi="Arial" w:cs="Arial"/>
          <w:sz w:val="22"/>
          <w:szCs w:val="22"/>
        </w:rPr>
        <w:t>–2</w:t>
      </w:r>
      <w:r>
        <w:rPr>
          <w:rFonts w:ascii="Arial" w:hAnsi="Arial" w:cs="Arial"/>
          <w:sz w:val="22"/>
          <w:szCs w:val="22"/>
        </w:rPr>
        <w:t>5</w:t>
      </w:r>
      <w:r w:rsidRPr="005F7101" w:rsidDel="002D29B1">
        <w:rPr>
          <w:rFonts w:ascii="Arial" w:hAnsi="Arial" w:cs="Arial"/>
          <w:sz w:val="22"/>
          <w:szCs w:val="22"/>
        </w:rPr>
        <w:t>.</w:t>
      </w:r>
    </w:p>
    <w:p w14:paraId="59B68539" w14:textId="18995AF7" w:rsidR="00364C27" w:rsidRDefault="00364C27" w:rsidP="00C81D74">
      <w:pPr>
        <w:keepLines/>
        <w:spacing w:before="120" w:after="120" w:line="259" w:lineRule="auto"/>
        <w:rPr>
          <w:rFonts w:ascii="Arial" w:hAnsi="Arial" w:cs="Arial"/>
          <w:sz w:val="22"/>
          <w:szCs w:val="22"/>
        </w:rPr>
      </w:pPr>
      <w:r w:rsidRPr="00C3328D">
        <w:rPr>
          <w:rFonts w:ascii="Arial" w:hAnsi="Arial" w:cs="Arial"/>
          <w:b/>
          <w:bCs/>
          <w:sz w:val="22"/>
          <w:szCs w:val="22"/>
        </w:rPr>
        <w:t>NWAU</w:t>
      </w:r>
      <w:r>
        <w:rPr>
          <w:rFonts w:ascii="Arial" w:hAnsi="Arial" w:cs="Arial"/>
          <w:sz w:val="22"/>
          <w:szCs w:val="22"/>
        </w:rPr>
        <w:t xml:space="preserve"> means national weighted activity unit and </w:t>
      </w:r>
      <w:r w:rsidRPr="00BA1CB6">
        <w:rPr>
          <w:rFonts w:ascii="Arial" w:hAnsi="Arial" w:cs="Arial"/>
          <w:sz w:val="22"/>
          <w:szCs w:val="22"/>
        </w:rPr>
        <w:t xml:space="preserve">is a measure of hospital activity expressed as a common unit, against which the </w:t>
      </w:r>
      <w:r>
        <w:rPr>
          <w:rFonts w:ascii="Arial" w:hAnsi="Arial" w:cs="Arial"/>
          <w:sz w:val="22"/>
          <w:szCs w:val="22"/>
        </w:rPr>
        <w:t>national efficient price</w:t>
      </w:r>
      <w:r w:rsidRPr="00BA1CB6">
        <w:rPr>
          <w:rFonts w:ascii="Arial" w:hAnsi="Arial" w:cs="Arial"/>
          <w:sz w:val="22"/>
          <w:szCs w:val="22"/>
        </w:rPr>
        <w:t xml:space="preserve"> is paid. It is a point of relativity for the pricing of hospital services, which are weighted for clinical complexity</w:t>
      </w:r>
      <w:r>
        <w:rPr>
          <w:rFonts w:ascii="Arial" w:hAnsi="Arial" w:cs="Arial"/>
          <w:sz w:val="22"/>
          <w:szCs w:val="22"/>
        </w:rPr>
        <w:t>.</w:t>
      </w:r>
    </w:p>
    <w:p w14:paraId="786A8A13" w14:textId="38A039AF" w:rsidR="009473F7" w:rsidRPr="00456623" w:rsidRDefault="00BC3B27" w:rsidP="00C81D74">
      <w:pPr>
        <w:keepLines/>
        <w:spacing w:before="120" w:after="120" w:line="259" w:lineRule="auto"/>
        <w:rPr>
          <w:rFonts w:ascii="Arial" w:hAnsi="Arial" w:cs="Arial"/>
          <w:sz w:val="22"/>
          <w:szCs w:val="22"/>
        </w:rPr>
      </w:pPr>
      <w:r>
        <w:rPr>
          <w:rFonts w:ascii="Arial" w:hAnsi="Arial" w:cs="Arial"/>
          <w:b/>
          <w:sz w:val="22"/>
          <w:szCs w:val="22"/>
        </w:rPr>
        <w:t>NWAU(23)</w:t>
      </w:r>
      <w:r>
        <w:rPr>
          <w:rFonts w:ascii="Arial" w:hAnsi="Arial" w:cs="Arial"/>
          <w:sz w:val="22"/>
          <w:szCs w:val="22"/>
        </w:rPr>
        <w:t xml:space="preserve"> refers to national weighted activity unit </w:t>
      </w:r>
      <w:r w:rsidRPr="009C3DA6">
        <w:rPr>
          <w:rFonts w:ascii="Arial" w:hAnsi="Arial" w:cs="Arial"/>
          <w:sz w:val="22"/>
          <w:szCs w:val="22"/>
        </w:rPr>
        <w:t>202</w:t>
      </w:r>
      <w:r>
        <w:rPr>
          <w:rFonts w:ascii="Arial" w:hAnsi="Arial" w:cs="Arial"/>
          <w:sz w:val="22"/>
          <w:szCs w:val="22"/>
        </w:rPr>
        <w:t>3</w:t>
      </w:r>
      <w:r w:rsidRPr="009C3DA6">
        <w:rPr>
          <w:rFonts w:ascii="Arial" w:hAnsi="Arial" w:cs="Arial"/>
          <w:sz w:val="22"/>
          <w:szCs w:val="22"/>
        </w:rPr>
        <w:t>–2</w:t>
      </w:r>
      <w:r>
        <w:rPr>
          <w:rFonts w:ascii="Arial" w:hAnsi="Arial" w:cs="Arial"/>
          <w:sz w:val="22"/>
          <w:szCs w:val="22"/>
        </w:rPr>
        <w:t>4</w:t>
      </w:r>
    </w:p>
    <w:p w14:paraId="6F3660A4" w14:textId="49BD5FA1" w:rsidR="00E00A17" w:rsidRPr="00E00A17" w:rsidRDefault="00E00A17" w:rsidP="00C81D74">
      <w:pPr>
        <w:keepLines/>
        <w:spacing w:before="120" w:after="120" w:line="259" w:lineRule="auto"/>
        <w:rPr>
          <w:rFonts w:ascii="Arial" w:hAnsi="Arial" w:cs="Arial"/>
          <w:sz w:val="22"/>
          <w:szCs w:val="22"/>
        </w:rPr>
      </w:pPr>
      <w:r>
        <w:rPr>
          <w:rFonts w:ascii="Arial" w:hAnsi="Arial" w:cs="Arial"/>
          <w:b/>
          <w:sz w:val="22"/>
          <w:szCs w:val="22"/>
        </w:rPr>
        <w:t>NWAU(</w:t>
      </w:r>
      <w:r w:rsidR="009C3DA6">
        <w:rPr>
          <w:rFonts w:ascii="Arial" w:hAnsi="Arial" w:cs="Arial"/>
          <w:b/>
          <w:sz w:val="22"/>
          <w:szCs w:val="22"/>
        </w:rPr>
        <w:t>2</w:t>
      </w:r>
      <w:r w:rsidR="00226D18">
        <w:rPr>
          <w:rFonts w:ascii="Arial" w:hAnsi="Arial" w:cs="Arial"/>
          <w:b/>
          <w:sz w:val="22"/>
          <w:szCs w:val="22"/>
        </w:rPr>
        <w:t>4</w:t>
      </w:r>
      <w:r>
        <w:rPr>
          <w:rFonts w:ascii="Arial" w:hAnsi="Arial" w:cs="Arial"/>
          <w:b/>
          <w:sz w:val="22"/>
          <w:szCs w:val="22"/>
        </w:rPr>
        <w:t>)</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 xml:space="preserve">nit </w:t>
      </w:r>
      <w:r w:rsidR="009C3DA6" w:rsidRPr="009C3DA6">
        <w:rPr>
          <w:rFonts w:ascii="Arial" w:hAnsi="Arial" w:cs="Arial"/>
          <w:sz w:val="22"/>
          <w:szCs w:val="22"/>
        </w:rPr>
        <w:t>202</w:t>
      </w:r>
      <w:r w:rsidR="00226D18">
        <w:rPr>
          <w:rFonts w:ascii="Arial" w:hAnsi="Arial" w:cs="Arial"/>
          <w:sz w:val="22"/>
          <w:szCs w:val="22"/>
        </w:rPr>
        <w:t>4</w:t>
      </w:r>
      <w:r w:rsidR="009C3DA6" w:rsidRPr="009C3DA6">
        <w:rPr>
          <w:rFonts w:ascii="Arial" w:hAnsi="Arial" w:cs="Arial"/>
          <w:sz w:val="22"/>
          <w:szCs w:val="22"/>
        </w:rPr>
        <w:t>–2</w:t>
      </w:r>
      <w:r w:rsidR="00226D18">
        <w:rPr>
          <w:rFonts w:ascii="Arial" w:hAnsi="Arial" w:cs="Arial"/>
          <w:sz w:val="22"/>
          <w:szCs w:val="22"/>
        </w:rPr>
        <w:t>5</w:t>
      </w:r>
      <w:r>
        <w:rPr>
          <w:rFonts w:ascii="Arial" w:hAnsi="Arial" w:cs="Arial"/>
          <w:sz w:val="22"/>
          <w:szCs w:val="22"/>
        </w:rPr>
        <w:t>.</w:t>
      </w:r>
    </w:p>
    <w:p w14:paraId="5DD4835A" w14:textId="7C1543EF" w:rsidR="00630541" w:rsidRPr="00E83996" w:rsidRDefault="00630541" w:rsidP="00C81D74">
      <w:pPr>
        <w:keepLines/>
        <w:spacing w:before="120" w:after="120" w:line="259" w:lineRule="auto"/>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t>
      </w:r>
      <w:r w:rsidR="00C90325">
        <w:rPr>
          <w:rFonts w:ascii="Arial" w:hAnsi="Arial" w:cs="Arial"/>
          <w:sz w:val="22"/>
          <w:szCs w:val="22"/>
        </w:rPr>
        <w:t xml:space="preserve">that </w:t>
      </w:r>
      <w:r w:rsidR="00A862ED">
        <w:rPr>
          <w:rFonts w:ascii="Arial" w:hAnsi="Arial" w:cs="Arial"/>
          <w:sz w:val="22"/>
          <w:szCs w:val="22"/>
        </w:rPr>
        <w:t xml:space="preserve">were determined to be eligible for </w:t>
      </w:r>
      <w:r w:rsidR="004D397E">
        <w:rPr>
          <w:rFonts w:ascii="Arial" w:hAnsi="Arial" w:cs="Arial"/>
          <w:sz w:val="22"/>
          <w:szCs w:val="22"/>
        </w:rPr>
        <w:t>Commonwealth funding</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w:t>
      </w:r>
      <w:r w:rsidR="0079482A">
        <w:rPr>
          <w:rFonts w:ascii="Arial" w:hAnsi="Arial" w:cs="Arial"/>
          <w:sz w:val="22"/>
          <w:szCs w:val="22"/>
        </w:rPr>
        <w:t>AC</w:t>
      </w:r>
      <w:r w:rsidR="00F8509A" w:rsidRPr="00E83996">
        <w:rPr>
          <w:rFonts w:ascii="Arial" w:hAnsi="Arial" w:cs="Arial"/>
          <w:sz w:val="22"/>
          <w:szCs w:val="22"/>
        </w:rPr>
        <w:t>PA</w:t>
      </w:r>
      <w:r w:rsidR="00E00A17">
        <w:rPr>
          <w:rFonts w:ascii="Arial" w:hAnsi="Arial" w:cs="Arial"/>
          <w:sz w:val="22"/>
          <w:szCs w:val="22"/>
        </w:rPr>
        <w:t>’s</w:t>
      </w:r>
      <w:r w:rsidR="00F8509A" w:rsidRPr="00E83996">
        <w:rPr>
          <w:rFonts w:ascii="Arial" w:hAnsi="Arial" w:cs="Arial"/>
          <w:sz w:val="22"/>
          <w:szCs w:val="22"/>
        </w:rPr>
        <w:t xml:space="preserve"> </w:t>
      </w:r>
      <w:hyperlink r:id="rId17" w:history="1">
        <w:r w:rsidR="0079482A" w:rsidRPr="002D29B1">
          <w:rPr>
            <w:rStyle w:val="Hyperlink"/>
            <w:rFonts w:ascii="Arial" w:hAnsi="Arial" w:cs="Arial"/>
            <w:sz w:val="22"/>
            <w:szCs w:val="22"/>
          </w:rPr>
          <w:t>General List of In-Scope Public Hospital Services Eligibility Policy</w:t>
        </w:r>
      </w:hyperlink>
      <w:r w:rsidR="008744FD" w:rsidRPr="002D29B1">
        <w:rPr>
          <w:rFonts w:ascii="Arial" w:hAnsi="Arial" w:cs="Arial"/>
          <w:sz w:val="22"/>
          <w:szCs w:val="22"/>
        </w:rPr>
        <w:t>.</w:t>
      </w:r>
    </w:p>
    <w:p w14:paraId="2DF3A54F" w14:textId="343587F7" w:rsidR="00BC6A62" w:rsidRPr="00E83996" w:rsidRDefault="00BC6A62"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8" w:history="1">
        <w:r w:rsidR="0079482A">
          <w:rPr>
            <w:rStyle w:val="Hyperlink"/>
            <w:rFonts w:ascii="Arial" w:hAnsi="Arial" w:cs="Arial"/>
            <w:sz w:val="22"/>
            <w:szCs w:val="22"/>
          </w:rPr>
          <w:t>METEOR: 697105</w:t>
        </w:r>
      </w:hyperlink>
      <w:r w:rsidR="00DF1E98" w:rsidRPr="00E83996">
        <w:rPr>
          <w:rFonts w:ascii="Arial" w:hAnsi="Arial" w:cs="Arial"/>
          <w:sz w:val="22"/>
          <w:szCs w:val="22"/>
        </w:rPr>
        <w:t>)</w:t>
      </w:r>
      <w:r w:rsidR="008744FD">
        <w:rPr>
          <w:rFonts w:ascii="Arial" w:hAnsi="Arial" w:cs="Arial"/>
          <w:sz w:val="22"/>
          <w:szCs w:val="22"/>
        </w:rPr>
        <w:t>.</w:t>
      </w:r>
    </w:p>
    <w:p w14:paraId="2A743E0B" w14:textId="7D01A58E"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4D397E">
        <w:rPr>
          <w:rFonts w:ascii="Arial" w:hAnsi="Arial" w:cs="Arial"/>
          <w:sz w:val="22"/>
          <w:szCs w:val="22"/>
        </w:rPr>
        <w:t>, admitted mental health care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is </w:t>
      </w:r>
      <w:r w:rsidR="00A0264A">
        <w:rPr>
          <w:rFonts w:ascii="Arial" w:hAnsi="Arial" w:cs="Arial"/>
          <w:sz w:val="22"/>
          <w:szCs w:val="22"/>
        </w:rPr>
        <w:t>treated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7D058F0D" w14:textId="3A803D65" w:rsidR="008F002A" w:rsidRPr="00E83996" w:rsidRDefault="008F002A"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egional</w:t>
      </w:r>
      <w:r w:rsidR="00501812">
        <w:rPr>
          <w:rFonts w:ascii="Arial" w:hAnsi="Arial" w:cs="Arial"/>
          <w:b/>
          <w:sz w:val="22"/>
          <w:szCs w:val="22"/>
        </w:rPr>
        <w:t xml:space="preserve"> area</w:t>
      </w:r>
      <w:r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is classified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1D26FF16" w14:textId="5B119CB2" w:rsidR="004E0345" w:rsidRPr="00E83996" w:rsidRDefault="004E0345"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42D41749" w14:textId="4383D8B6" w:rsidR="008F002A" w:rsidRPr="00E83996" w:rsidRDefault="008F002A" w:rsidP="00C81D74">
      <w:pPr>
        <w:keepLines/>
        <w:spacing w:before="120" w:after="120" w:line="259" w:lineRule="auto"/>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205430B" w14:textId="56DC1B53" w:rsidR="004E0345" w:rsidRPr="00E83996" w:rsidRDefault="00F81447" w:rsidP="00C81D74">
      <w:pPr>
        <w:keepLines/>
        <w:spacing w:before="120" w:after="120" w:line="259" w:lineRule="auto"/>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hospital </w:t>
      </w:r>
      <w:r w:rsidR="00C90325">
        <w:rPr>
          <w:rFonts w:ascii="Arial" w:hAnsi="Arial" w:cs="Arial"/>
          <w:sz w:val="22"/>
          <w:szCs w:val="22"/>
        </w:rPr>
        <w:t>that</w:t>
      </w:r>
      <w:r w:rsidR="00C90325" w:rsidRPr="00E83996">
        <w:rPr>
          <w:rFonts w:ascii="Arial" w:hAnsi="Arial" w:cs="Arial"/>
          <w:sz w:val="22"/>
          <w:szCs w:val="22"/>
        </w:rPr>
        <w:t xml:space="preserve"> </w:t>
      </w:r>
      <w:r w:rsidRPr="00E83996">
        <w:rPr>
          <w:rFonts w:ascii="Arial" w:hAnsi="Arial" w:cs="Arial"/>
          <w:sz w:val="22"/>
          <w:szCs w:val="22"/>
        </w:rPr>
        <w:t xml:space="preserve">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8D5C497" w14:textId="55112C2C" w:rsidR="00F81447" w:rsidRPr="00E83996" w:rsidRDefault="00F81447" w:rsidP="00C81D74">
      <w:pPr>
        <w:keepLines/>
        <w:spacing w:before="120" w:after="120" w:line="259" w:lineRule="auto"/>
        <w:rPr>
          <w:rFonts w:ascii="Arial" w:hAnsi="Arial" w:cs="Arial"/>
          <w:i/>
          <w:sz w:val="22"/>
          <w:szCs w:val="22"/>
        </w:rPr>
      </w:pPr>
      <w:r w:rsidRPr="00E83996">
        <w:rPr>
          <w:rFonts w:ascii="Arial" w:hAnsi="Arial" w:cs="Arial"/>
          <w:b/>
          <w:sz w:val="22"/>
          <w:szCs w:val="22"/>
        </w:rPr>
        <w:lastRenderedPageBreak/>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t>
      </w:r>
      <w:r w:rsidR="00C90325">
        <w:rPr>
          <w:rFonts w:ascii="Arial" w:hAnsi="Arial" w:cs="Arial"/>
          <w:sz w:val="22"/>
          <w:szCs w:val="22"/>
        </w:rPr>
        <w:t>that</w:t>
      </w:r>
      <w:r w:rsidR="00C90325" w:rsidRPr="00E83996">
        <w:rPr>
          <w:rFonts w:ascii="Arial" w:hAnsi="Arial" w:cs="Arial"/>
          <w:sz w:val="22"/>
          <w:szCs w:val="22"/>
        </w:rPr>
        <w:t xml:space="preserve"> </w:t>
      </w:r>
      <w:r w:rsidRPr="00E83996">
        <w:rPr>
          <w:rFonts w:ascii="Arial" w:hAnsi="Arial" w:cs="Arial"/>
          <w:sz w:val="22"/>
          <w:szCs w:val="22"/>
        </w:rPr>
        <w:t xml:space="preserve">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69E266A0" w14:textId="6E30FBBB"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sidRPr="009E248D">
        <w:rPr>
          <w:rFonts w:ascii="Arial" w:hAnsi="Arial" w:cs="Arial"/>
          <w:sz w:val="22"/>
          <w:szCs w:val="22"/>
        </w:rPr>
        <w:t xml:space="preserve">National </w:t>
      </w:r>
      <w:r w:rsidR="00F80940" w:rsidRPr="009E248D">
        <w:rPr>
          <w:rFonts w:ascii="Arial" w:hAnsi="Arial" w:cs="Arial"/>
          <w:sz w:val="22"/>
          <w:szCs w:val="22"/>
        </w:rPr>
        <w:t>Health</w:t>
      </w:r>
      <w:r w:rsidR="00840081" w:rsidRPr="009E248D">
        <w:rPr>
          <w:rFonts w:ascii="Arial" w:hAnsi="Arial" w:cs="Arial"/>
          <w:sz w:val="22"/>
          <w:szCs w:val="22"/>
        </w:rPr>
        <w:t xml:space="preserve"> Data Dictionary</w:t>
      </w:r>
      <w:r w:rsidR="000743A2" w:rsidRPr="009E248D">
        <w:rPr>
          <w:rFonts w:ascii="Arial" w:hAnsi="Arial" w:cs="Arial"/>
          <w:sz w:val="22"/>
          <w:szCs w:val="22"/>
        </w:rPr>
        <w:t>.</w:t>
      </w:r>
    </w:p>
    <w:p w14:paraId="5469EA92" w14:textId="28B35C79" w:rsidR="009046E1" w:rsidRDefault="009046E1" w:rsidP="00C81D74">
      <w:pPr>
        <w:keepLines/>
        <w:spacing w:before="120" w:after="120" w:line="259" w:lineRule="auto"/>
        <w:rPr>
          <w:rFonts w:ascii="Arial" w:hAnsi="Arial" w:cs="Arial"/>
          <w:sz w:val="22"/>
          <w:szCs w:val="22"/>
        </w:rPr>
      </w:pPr>
      <w:r w:rsidRPr="002D1D3D">
        <w:rPr>
          <w:rFonts w:ascii="Arial" w:hAnsi="Arial" w:cs="Arial"/>
          <w:b/>
          <w:sz w:val="22"/>
          <w:szCs w:val="22"/>
        </w:rPr>
        <w:t xml:space="preserve">Price </w:t>
      </w:r>
      <w:r w:rsidR="002A3B00" w:rsidRPr="002D1D3D">
        <w:rPr>
          <w:rFonts w:ascii="Arial" w:hAnsi="Arial" w:cs="Arial"/>
          <w:b/>
          <w:sz w:val="22"/>
          <w:szCs w:val="22"/>
        </w:rPr>
        <w:t>w</w:t>
      </w:r>
      <w:r w:rsidRPr="002D1D3D">
        <w:rPr>
          <w:rFonts w:ascii="Arial" w:hAnsi="Arial" w:cs="Arial"/>
          <w:b/>
          <w:sz w:val="22"/>
          <w:szCs w:val="22"/>
        </w:rPr>
        <w:t xml:space="preserve">eight </w:t>
      </w:r>
      <w:r w:rsidRPr="002D1D3D">
        <w:rPr>
          <w:rFonts w:ascii="Arial" w:hAnsi="Arial" w:cs="Arial"/>
          <w:sz w:val="22"/>
          <w:szCs w:val="22"/>
        </w:rPr>
        <w:t xml:space="preserve">means the weight assigned to an </w:t>
      </w:r>
      <w:r w:rsidR="002D29B1">
        <w:rPr>
          <w:rFonts w:ascii="Arial" w:hAnsi="Arial" w:cs="Arial"/>
          <w:sz w:val="22"/>
          <w:szCs w:val="22"/>
        </w:rPr>
        <w:t>activity based funding</w:t>
      </w:r>
      <w:r w:rsidR="002D29B1" w:rsidRPr="002D1D3D">
        <w:rPr>
          <w:rFonts w:ascii="Arial" w:hAnsi="Arial" w:cs="Arial"/>
          <w:sz w:val="22"/>
          <w:szCs w:val="22"/>
        </w:rPr>
        <w:t xml:space="preserve"> </w:t>
      </w:r>
      <w:r w:rsidR="00117AA1" w:rsidRPr="002D1D3D">
        <w:rPr>
          <w:rFonts w:ascii="Arial" w:hAnsi="Arial" w:cs="Arial"/>
          <w:sz w:val="22"/>
          <w:szCs w:val="22"/>
        </w:rPr>
        <w:t>a</w:t>
      </w:r>
      <w:r w:rsidRPr="002D1D3D">
        <w:rPr>
          <w:rFonts w:ascii="Arial" w:hAnsi="Arial" w:cs="Arial"/>
          <w:sz w:val="22"/>
          <w:szCs w:val="22"/>
        </w:rPr>
        <w:t xml:space="preserve">ctivity as set out in Appendices H – </w:t>
      </w:r>
      <w:r w:rsidR="004D397E">
        <w:rPr>
          <w:rFonts w:ascii="Arial" w:hAnsi="Arial" w:cs="Arial"/>
          <w:sz w:val="22"/>
          <w:szCs w:val="22"/>
        </w:rPr>
        <w:t>M</w:t>
      </w:r>
      <w:r w:rsidR="00754AED" w:rsidRPr="002D1D3D">
        <w:rPr>
          <w:rFonts w:ascii="Arial" w:hAnsi="Arial" w:cs="Arial"/>
          <w:sz w:val="22"/>
          <w:szCs w:val="22"/>
        </w:rPr>
        <w:t xml:space="preserve"> </w:t>
      </w:r>
      <w:r w:rsidRPr="002D1D3D">
        <w:rPr>
          <w:rFonts w:ascii="Arial" w:hAnsi="Arial" w:cs="Arial"/>
          <w:sz w:val="22"/>
          <w:szCs w:val="22"/>
        </w:rPr>
        <w:t xml:space="preserve">of the </w:t>
      </w:r>
      <w:r w:rsidR="002A1D7B" w:rsidRPr="002D1D3D">
        <w:rPr>
          <w:rFonts w:ascii="Arial" w:hAnsi="Arial" w:cs="Arial"/>
          <w:sz w:val="22"/>
          <w:szCs w:val="22"/>
        </w:rPr>
        <w:t xml:space="preserve">National Efficient Price Determination </w:t>
      </w:r>
      <w:r w:rsidR="009C3DA6" w:rsidRPr="009C3DA6">
        <w:rPr>
          <w:rFonts w:ascii="Arial" w:hAnsi="Arial" w:cs="Arial"/>
          <w:sz w:val="22"/>
          <w:szCs w:val="22"/>
        </w:rPr>
        <w:t>202</w:t>
      </w:r>
      <w:r w:rsidR="00D829BF">
        <w:rPr>
          <w:rFonts w:ascii="Arial" w:hAnsi="Arial" w:cs="Arial"/>
          <w:sz w:val="22"/>
          <w:szCs w:val="22"/>
        </w:rPr>
        <w:t>4</w:t>
      </w:r>
      <w:r w:rsidR="009C3DA6" w:rsidRPr="009C3DA6">
        <w:rPr>
          <w:rFonts w:ascii="Arial" w:hAnsi="Arial" w:cs="Arial"/>
          <w:sz w:val="22"/>
          <w:szCs w:val="22"/>
        </w:rPr>
        <w:t>–2</w:t>
      </w:r>
      <w:r w:rsidR="00D829BF">
        <w:rPr>
          <w:rFonts w:ascii="Arial" w:hAnsi="Arial" w:cs="Arial"/>
          <w:sz w:val="22"/>
          <w:szCs w:val="22"/>
        </w:rPr>
        <w:t>5</w:t>
      </w:r>
      <w:r w:rsidR="008744FD" w:rsidRPr="002D1D3D">
        <w:rPr>
          <w:rFonts w:ascii="Arial" w:hAnsi="Arial" w:cs="Arial"/>
          <w:sz w:val="22"/>
          <w:szCs w:val="22"/>
        </w:rPr>
        <w:t>.</w:t>
      </w:r>
    </w:p>
    <w:p w14:paraId="57BBC186" w14:textId="24BDDB3C" w:rsidR="00004EA7" w:rsidRPr="00E83996" w:rsidRDefault="00004EA7" w:rsidP="00C81D74">
      <w:pPr>
        <w:keepLines/>
        <w:spacing w:before="120" w:after="120" w:line="259" w:lineRule="auto"/>
        <w:rPr>
          <w:rFonts w:ascii="Arial" w:hAnsi="Arial" w:cs="Arial"/>
          <w:sz w:val="22"/>
          <w:szCs w:val="22"/>
        </w:rPr>
      </w:pPr>
      <w:r w:rsidRPr="00501812">
        <w:rPr>
          <w:rFonts w:ascii="Arial" w:hAnsi="Arial" w:cs="Arial"/>
          <w:b/>
          <w:sz w:val="22"/>
          <w:szCs w:val="22"/>
        </w:rPr>
        <w:t>P</w:t>
      </w:r>
      <w:r>
        <w:rPr>
          <w:rFonts w:ascii="Arial" w:hAnsi="Arial" w:cs="Arial"/>
          <w:b/>
          <w:sz w:val="22"/>
          <w:szCs w:val="22"/>
        </w:rPr>
        <w:t>ricing Authority</w:t>
      </w:r>
      <w:r>
        <w:rPr>
          <w:rFonts w:ascii="Arial" w:hAnsi="Arial" w:cs="Arial"/>
          <w:sz w:val="22"/>
          <w:szCs w:val="22"/>
        </w:rPr>
        <w:t xml:space="preserve"> refers to the governing body of IH</w:t>
      </w:r>
      <w:r w:rsidR="006B1BB6">
        <w:rPr>
          <w:rFonts w:ascii="Arial" w:hAnsi="Arial" w:cs="Arial"/>
          <w:sz w:val="22"/>
          <w:szCs w:val="22"/>
        </w:rPr>
        <w:t>AC</w:t>
      </w:r>
      <w:r>
        <w:rPr>
          <w:rFonts w:ascii="Arial" w:hAnsi="Arial" w:cs="Arial"/>
          <w:sz w:val="22"/>
          <w:szCs w:val="22"/>
        </w:rPr>
        <w:t xml:space="preserve">PA established under the </w:t>
      </w:r>
      <w:r w:rsidR="006B1BB6">
        <w:rPr>
          <w:rFonts w:ascii="Arial" w:hAnsi="Arial" w:cs="Arial"/>
          <w:sz w:val="22"/>
          <w:szCs w:val="22"/>
        </w:rPr>
        <w:t xml:space="preserve">NHR </w:t>
      </w:r>
      <w:r>
        <w:rPr>
          <w:rFonts w:ascii="Arial" w:hAnsi="Arial" w:cs="Arial"/>
          <w:sz w:val="22"/>
          <w:szCs w:val="22"/>
        </w:rPr>
        <w:t>Act.</w:t>
      </w:r>
    </w:p>
    <w:p w14:paraId="1A94812F" w14:textId="1984D268" w:rsidR="00501812" w:rsidRPr="00E83996" w:rsidRDefault="00501812" w:rsidP="00C81D74">
      <w:pPr>
        <w:keepLines/>
        <w:spacing w:before="120" w:after="120" w:line="259" w:lineRule="auto"/>
        <w:rPr>
          <w:rFonts w:ascii="Arial" w:hAnsi="Arial" w:cs="Arial"/>
          <w:sz w:val="22"/>
          <w:szCs w:val="22"/>
        </w:rPr>
      </w:pPr>
      <w:r w:rsidRPr="00501812">
        <w:rPr>
          <w:rFonts w:ascii="Arial" w:hAnsi="Arial" w:cs="Arial"/>
          <w:b/>
          <w:sz w:val="22"/>
          <w:szCs w:val="22"/>
        </w:rPr>
        <w:t>Private funding neutrality adjustment</w:t>
      </w:r>
      <w:r>
        <w:rPr>
          <w:rFonts w:ascii="Arial" w:hAnsi="Arial" w:cs="Arial"/>
          <w:sz w:val="22"/>
          <w:szCs w:val="22"/>
        </w:rPr>
        <w:t xml:space="preserve"> means an adjustment to </w:t>
      </w:r>
      <w:r w:rsidR="004D397E" w:rsidRPr="004D397E">
        <w:rPr>
          <w:rFonts w:ascii="Arial" w:hAnsi="Arial" w:cs="Arial"/>
          <w:sz w:val="22"/>
          <w:szCs w:val="22"/>
        </w:rPr>
        <w:t xml:space="preserve">Commonwealth growth funding pertaining to private patient </w:t>
      </w:r>
      <w:r w:rsidR="002D29B1">
        <w:rPr>
          <w:rFonts w:ascii="Arial" w:hAnsi="Arial" w:cs="Arial"/>
          <w:sz w:val="22"/>
          <w:szCs w:val="22"/>
        </w:rPr>
        <w:t>revenue per national weighted activity unit 2024–25 (</w:t>
      </w:r>
      <w:r w:rsidR="004D397E" w:rsidRPr="004D397E">
        <w:rPr>
          <w:rFonts w:ascii="Arial" w:hAnsi="Arial" w:cs="Arial"/>
          <w:sz w:val="22"/>
          <w:szCs w:val="22"/>
        </w:rPr>
        <w:t>NWAU(2</w:t>
      </w:r>
      <w:r w:rsidR="00D829BF">
        <w:rPr>
          <w:rFonts w:ascii="Arial" w:hAnsi="Arial" w:cs="Arial"/>
          <w:sz w:val="22"/>
          <w:szCs w:val="22"/>
        </w:rPr>
        <w:t>4</w:t>
      </w:r>
      <w:r w:rsidR="004D397E" w:rsidRPr="004D397E">
        <w:rPr>
          <w:rFonts w:ascii="Arial" w:hAnsi="Arial" w:cs="Arial"/>
          <w:sz w:val="22"/>
          <w:szCs w:val="22"/>
        </w:rPr>
        <w:t>)</w:t>
      </w:r>
      <w:r w:rsidR="002D29B1">
        <w:rPr>
          <w:rFonts w:ascii="Arial" w:hAnsi="Arial" w:cs="Arial"/>
          <w:sz w:val="22"/>
          <w:szCs w:val="22"/>
        </w:rPr>
        <w:t>)</w:t>
      </w:r>
      <w:r w:rsidR="004D397E">
        <w:rPr>
          <w:rFonts w:ascii="Arial" w:hAnsi="Arial" w:cs="Arial"/>
          <w:sz w:val="22"/>
          <w:szCs w:val="22"/>
        </w:rPr>
        <w:t xml:space="preserve"> so that </w:t>
      </w:r>
      <w:r w:rsidR="004D397E" w:rsidRPr="004D397E">
        <w:rPr>
          <w:rFonts w:ascii="Arial" w:hAnsi="Arial" w:cs="Arial"/>
          <w:sz w:val="22"/>
          <w:szCs w:val="22"/>
        </w:rPr>
        <w:t xml:space="preserve">the sum of revenue a </w:t>
      </w:r>
      <w:r w:rsidR="002D29B1">
        <w:rPr>
          <w:rFonts w:ascii="Arial" w:hAnsi="Arial" w:cs="Arial"/>
          <w:sz w:val="22"/>
          <w:szCs w:val="22"/>
        </w:rPr>
        <w:t>local hospital network (</w:t>
      </w:r>
      <w:r w:rsidR="004D397E">
        <w:rPr>
          <w:rFonts w:ascii="Arial" w:hAnsi="Arial" w:cs="Arial"/>
          <w:sz w:val="22"/>
          <w:szCs w:val="22"/>
        </w:rPr>
        <w:t>LHN</w:t>
      </w:r>
      <w:r w:rsidR="002D29B1">
        <w:rPr>
          <w:rFonts w:ascii="Arial" w:hAnsi="Arial" w:cs="Arial"/>
          <w:sz w:val="22"/>
          <w:szCs w:val="22"/>
        </w:rPr>
        <w:t>)</w:t>
      </w:r>
      <w:r w:rsidR="004D397E" w:rsidRPr="004D397E">
        <w:rPr>
          <w:rFonts w:ascii="Arial" w:hAnsi="Arial" w:cs="Arial"/>
          <w:sz w:val="22"/>
          <w:szCs w:val="22"/>
        </w:rPr>
        <w:t xml:space="preserve"> receives for public patient NWAU(2</w:t>
      </w:r>
      <w:r w:rsidR="00D829BF">
        <w:rPr>
          <w:rFonts w:ascii="Arial" w:hAnsi="Arial" w:cs="Arial"/>
          <w:sz w:val="22"/>
          <w:szCs w:val="22"/>
        </w:rPr>
        <w:t>4</w:t>
      </w:r>
      <w:r w:rsidR="004D397E" w:rsidRPr="004D397E">
        <w:rPr>
          <w:rFonts w:ascii="Arial" w:hAnsi="Arial" w:cs="Arial"/>
          <w:sz w:val="22"/>
          <w:szCs w:val="22"/>
        </w:rPr>
        <w:t xml:space="preserve">) (Commonwealth and state or territory </w:t>
      </w:r>
      <w:r w:rsidR="002D29B1">
        <w:rPr>
          <w:rFonts w:ascii="Arial" w:hAnsi="Arial" w:cs="Arial"/>
          <w:sz w:val="22"/>
          <w:szCs w:val="22"/>
        </w:rPr>
        <w:t>activity based funding (</w:t>
      </w:r>
      <w:r w:rsidR="004D397E">
        <w:rPr>
          <w:rFonts w:ascii="Arial" w:hAnsi="Arial" w:cs="Arial"/>
          <w:sz w:val="22"/>
          <w:szCs w:val="22"/>
        </w:rPr>
        <w:t>ABF</w:t>
      </w:r>
      <w:r w:rsidR="002D29B1">
        <w:rPr>
          <w:rFonts w:ascii="Arial" w:hAnsi="Arial" w:cs="Arial"/>
          <w:sz w:val="22"/>
          <w:szCs w:val="22"/>
        </w:rPr>
        <w:t>)</w:t>
      </w:r>
      <w:r w:rsidR="004D397E" w:rsidRPr="004D397E">
        <w:rPr>
          <w:rFonts w:ascii="Arial" w:hAnsi="Arial" w:cs="Arial"/>
          <w:sz w:val="22"/>
          <w:szCs w:val="22"/>
        </w:rPr>
        <w:t xml:space="preserve"> payments) should be equal to payments made for a LHN service for private patient NWAU(2</w:t>
      </w:r>
      <w:r w:rsidR="00D829BF">
        <w:rPr>
          <w:rFonts w:ascii="Arial" w:hAnsi="Arial" w:cs="Arial"/>
          <w:sz w:val="22"/>
          <w:szCs w:val="22"/>
        </w:rPr>
        <w:t>4</w:t>
      </w:r>
      <w:r w:rsidR="004D397E" w:rsidRPr="004D397E">
        <w:rPr>
          <w:rFonts w:ascii="Arial" w:hAnsi="Arial" w:cs="Arial"/>
          <w:sz w:val="22"/>
          <w:szCs w:val="22"/>
        </w:rPr>
        <w:t>) (Commonwealth and state or territory ABF payments, insurer payments and Medicare Benefit Schedule payments)</w:t>
      </w:r>
      <w:r>
        <w:rPr>
          <w:rFonts w:ascii="Arial" w:hAnsi="Arial" w:cs="Arial"/>
          <w:sz w:val="22"/>
          <w:szCs w:val="22"/>
        </w:rPr>
        <w:t xml:space="preserve">, as described at Chapter </w:t>
      </w:r>
      <w:r w:rsidR="002D29B1">
        <w:rPr>
          <w:rFonts w:ascii="Arial" w:hAnsi="Arial" w:cs="Arial"/>
          <w:sz w:val="22"/>
          <w:szCs w:val="22"/>
        </w:rPr>
        <w:t>7</w:t>
      </w:r>
      <w:r>
        <w:rPr>
          <w:rFonts w:ascii="Arial" w:hAnsi="Arial" w:cs="Arial"/>
          <w:sz w:val="22"/>
          <w:szCs w:val="22"/>
        </w:rPr>
        <w:t xml:space="preserve"> of the National Efficient Price Determination </w:t>
      </w:r>
      <w:r w:rsidR="009C3DA6" w:rsidRPr="009C3DA6">
        <w:rPr>
          <w:rFonts w:ascii="Arial" w:hAnsi="Arial" w:cs="Arial"/>
          <w:sz w:val="22"/>
          <w:szCs w:val="22"/>
        </w:rPr>
        <w:t>202</w:t>
      </w:r>
      <w:r w:rsidR="00D829BF">
        <w:rPr>
          <w:rFonts w:ascii="Arial" w:hAnsi="Arial" w:cs="Arial"/>
          <w:sz w:val="22"/>
          <w:szCs w:val="22"/>
        </w:rPr>
        <w:t>4</w:t>
      </w:r>
      <w:r w:rsidR="009C3DA6" w:rsidRPr="009C3DA6">
        <w:rPr>
          <w:rFonts w:ascii="Arial" w:hAnsi="Arial" w:cs="Arial"/>
          <w:sz w:val="22"/>
          <w:szCs w:val="22"/>
        </w:rPr>
        <w:t>–2</w:t>
      </w:r>
      <w:r w:rsidR="00D829BF">
        <w:rPr>
          <w:rFonts w:ascii="Arial" w:hAnsi="Arial" w:cs="Arial"/>
          <w:sz w:val="22"/>
          <w:szCs w:val="22"/>
        </w:rPr>
        <w:t>5</w:t>
      </w:r>
      <w:r>
        <w:rPr>
          <w:rFonts w:ascii="Arial" w:hAnsi="Arial" w:cs="Arial"/>
          <w:sz w:val="22"/>
          <w:szCs w:val="22"/>
        </w:rPr>
        <w:t>.</w:t>
      </w:r>
    </w:p>
    <w:p w14:paraId="2CC31BE1" w14:textId="6FFC9D7C" w:rsidR="009046E1" w:rsidRPr="005F7101"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w:t>
      </w:r>
      <w:r w:rsidRPr="00DD6711">
        <w:rPr>
          <w:rFonts w:ascii="Arial" w:hAnsi="Arial" w:cs="Arial"/>
          <w:sz w:val="22"/>
          <w:szCs w:val="22"/>
        </w:rPr>
        <w:t xml:space="preserve">Chapter </w:t>
      </w:r>
      <w:r w:rsidR="00AF6E41">
        <w:rPr>
          <w:rFonts w:ascii="Arial" w:hAnsi="Arial" w:cs="Arial"/>
          <w:sz w:val="22"/>
          <w:szCs w:val="22"/>
        </w:rPr>
        <w:t>5</w:t>
      </w:r>
      <w:r w:rsidR="006B1BB6" w:rsidRPr="005F7101">
        <w:rPr>
          <w:rFonts w:ascii="Arial" w:hAnsi="Arial" w:cs="Arial"/>
          <w:sz w:val="22"/>
          <w:szCs w:val="22"/>
        </w:rPr>
        <w:t xml:space="preserve"> </w:t>
      </w:r>
      <w:r w:rsidR="00AB6DC6" w:rsidRPr="005F7101">
        <w:rPr>
          <w:rFonts w:ascii="Arial" w:hAnsi="Arial" w:cs="Arial"/>
          <w:sz w:val="22"/>
          <w:szCs w:val="22"/>
        </w:rPr>
        <w:t xml:space="preserve">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D829BF">
        <w:rPr>
          <w:rFonts w:ascii="Arial" w:hAnsi="Arial" w:cs="Arial"/>
          <w:sz w:val="22"/>
          <w:szCs w:val="22"/>
        </w:rPr>
        <w:t>4</w:t>
      </w:r>
      <w:r w:rsidR="009C3DA6" w:rsidRPr="009C3DA6">
        <w:rPr>
          <w:rFonts w:ascii="Arial" w:hAnsi="Arial" w:cs="Arial"/>
          <w:sz w:val="22"/>
          <w:szCs w:val="22"/>
        </w:rPr>
        <w:t>–2</w:t>
      </w:r>
      <w:r w:rsidR="00D829BF">
        <w:rPr>
          <w:rFonts w:ascii="Arial" w:hAnsi="Arial" w:cs="Arial"/>
          <w:sz w:val="22"/>
          <w:szCs w:val="22"/>
        </w:rPr>
        <w:t>5</w:t>
      </w:r>
      <w:r w:rsidRPr="005F7101">
        <w:rPr>
          <w:rFonts w:ascii="Arial" w:hAnsi="Arial" w:cs="Arial"/>
          <w:sz w:val="22"/>
          <w:szCs w:val="22"/>
        </w:rPr>
        <w:t>, the rates for</w:t>
      </w:r>
      <w:r w:rsidR="00AB6DC6" w:rsidRPr="005F7101">
        <w:rPr>
          <w:rFonts w:ascii="Arial" w:hAnsi="Arial" w:cs="Arial"/>
          <w:sz w:val="22"/>
          <w:szCs w:val="22"/>
        </w:rPr>
        <w:t xml:space="preserve"> which are set out at </w:t>
      </w:r>
      <w:r w:rsidR="00AB6DC6" w:rsidRPr="00DD6711">
        <w:rPr>
          <w:rFonts w:ascii="Arial" w:hAnsi="Arial" w:cs="Arial"/>
          <w:sz w:val="22"/>
          <w:szCs w:val="22"/>
        </w:rPr>
        <w:t xml:space="preserve">Appendix </w:t>
      </w:r>
      <w:r w:rsidR="002A1D7B" w:rsidRPr="00DD6711">
        <w:rPr>
          <w:rFonts w:ascii="Arial" w:hAnsi="Arial" w:cs="Arial"/>
          <w:sz w:val="22"/>
          <w:szCs w:val="22"/>
        </w:rPr>
        <w:t>F</w:t>
      </w:r>
      <w:r w:rsidR="002A1D7B" w:rsidRPr="005F7101">
        <w:rPr>
          <w:rFonts w:ascii="Arial" w:hAnsi="Arial" w:cs="Arial"/>
          <w:sz w:val="22"/>
          <w:szCs w:val="22"/>
        </w:rPr>
        <w:t>.</w:t>
      </w:r>
    </w:p>
    <w:p w14:paraId="360409DB" w14:textId="05956BA3" w:rsidR="009046E1" w:rsidRPr="00E83996" w:rsidRDefault="009046E1"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 xml:space="preserve">described at </w:t>
      </w:r>
      <w:r w:rsidRPr="00DD6711">
        <w:rPr>
          <w:rFonts w:ascii="Arial" w:hAnsi="Arial" w:cs="Arial"/>
          <w:sz w:val="22"/>
          <w:szCs w:val="22"/>
        </w:rPr>
        <w:t xml:space="preserve">Chapter </w:t>
      </w:r>
      <w:r w:rsidR="00AF6E41">
        <w:rPr>
          <w:rFonts w:ascii="Arial" w:hAnsi="Arial" w:cs="Arial"/>
          <w:sz w:val="22"/>
          <w:szCs w:val="22"/>
        </w:rPr>
        <w:t xml:space="preserve">5 </w:t>
      </w:r>
      <w:r w:rsidR="00AB6DC6"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6B1BB6" w:rsidRPr="009C3DA6">
        <w:rPr>
          <w:rFonts w:ascii="Arial" w:hAnsi="Arial" w:cs="Arial"/>
          <w:sz w:val="22"/>
          <w:szCs w:val="22"/>
        </w:rPr>
        <w:t>202</w:t>
      </w:r>
      <w:r w:rsidR="00D829BF">
        <w:rPr>
          <w:rFonts w:ascii="Arial" w:hAnsi="Arial" w:cs="Arial"/>
          <w:sz w:val="22"/>
          <w:szCs w:val="22"/>
        </w:rPr>
        <w:t>4</w:t>
      </w:r>
      <w:r w:rsidR="009C3DA6" w:rsidRPr="009C3DA6">
        <w:rPr>
          <w:rFonts w:ascii="Arial" w:hAnsi="Arial" w:cs="Arial"/>
          <w:sz w:val="22"/>
          <w:szCs w:val="22"/>
        </w:rPr>
        <w:t>–2</w:t>
      </w:r>
      <w:r w:rsidR="00D829BF">
        <w:rPr>
          <w:rFonts w:ascii="Arial" w:hAnsi="Arial" w:cs="Arial"/>
          <w:sz w:val="22"/>
          <w:szCs w:val="22"/>
        </w:rPr>
        <w:t>5</w:t>
      </w:r>
      <w:r w:rsidRPr="005F7101">
        <w:rPr>
          <w:rFonts w:ascii="Arial" w:hAnsi="Arial" w:cs="Arial"/>
          <w:sz w:val="22"/>
          <w:szCs w:val="22"/>
        </w:rPr>
        <w:t xml:space="preserve">, the rates for which are set out at </w:t>
      </w:r>
      <w:r w:rsidRPr="00754AED">
        <w:rPr>
          <w:rFonts w:ascii="Arial" w:hAnsi="Arial" w:cs="Arial"/>
          <w:sz w:val="22"/>
          <w:szCs w:val="22"/>
        </w:rPr>
        <w:t>Appendix F</w:t>
      </w:r>
      <w:r w:rsidR="002A1D7B" w:rsidRPr="005F7101">
        <w:rPr>
          <w:rFonts w:ascii="Arial" w:hAnsi="Arial" w:cs="Arial"/>
          <w:sz w:val="22"/>
          <w:szCs w:val="22"/>
        </w:rPr>
        <w:t>.</w:t>
      </w:r>
    </w:p>
    <w:p w14:paraId="5E2CFBFB" w14:textId="02AD9132" w:rsidR="00395B8D" w:rsidRPr="00E83996" w:rsidRDefault="00395B8D" w:rsidP="00C81D74">
      <w:pPr>
        <w:keepLines/>
        <w:spacing w:before="120" w:after="120" w:line="259" w:lineRule="auto"/>
        <w:ind w:right="-46"/>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 xml:space="preserve">admitted acute </w:t>
      </w:r>
      <w:r w:rsidR="00363670" w:rsidRPr="00363670">
        <w:rPr>
          <w:rFonts w:ascii="Arial" w:hAnsi="Arial" w:cs="Arial"/>
          <w:sz w:val="22"/>
          <w:szCs w:val="22"/>
        </w:rPr>
        <w:t xml:space="preserve">or admitted subacute and non-acute </w:t>
      </w:r>
      <w:r w:rsidR="00267E72" w:rsidRPr="005F7101">
        <w:rPr>
          <w:rFonts w:ascii="Arial" w:hAnsi="Arial" w:cs="Arial"/>
          <w:sz w:val="22"/>
          <w:szCs w:val="22"/>
        </w:rPr>
        <w:t>p</w:t>
      </w:r>
      <w:r w:rsidR="004133C6" w:rsidRPr="005F7101">
        <w:rPr>
          <w:rFonts w:ascii="Arial" w:hAnsi="Arial" w:cs="Arial"/>
          <w:sz w:val="22"/>
          <w:szCs w:val="22"/>
        </w:rPr>
        <w:t xml:space="preserve">atient with a specified </w:t>
      </w:r>
      <w:r w:rsidR="00BE4F69">
        <w:rPr>
          <w:rFonts w:ascii="Arial" w:hAnsi="Arial" w:cs="Arial"/>
          <w:sz w:val="22"/>
          <w:szCs w:val="22"/>
        </w:rPr>
        <w:t>Australian Classification of Health Interventions</w:t>
      </w:r>
      <w:r w:rsidR="00BE4F69" w:rsidRPr="005F7101">
        <w:rPr>
          <w:rFonts w:ascii="Arial" w:hAnsi="Arial" w:cs="Arial"/>
          <w:sz w:val="22"/>
          <w:szCs w:val="22"/>
        </w:rPr>
        <w:t xml:space="preserve"> </w:t>
      </w:r>
      <w:r w:rsidR="00363670">
        <w:rPr>
          <w:rFonts w:ascii="Arial" w:hAnsi="Arial" w:cs="Arial"/>
          <w:sz w:val="22"/>
          <w:szCs w:val="22"/>
        </w:rPr>
        <w:t>Twelfth</w:t>
      </w:r>
      <w:r w:rsidR="00363670" w:rsidRPr="005F7101">
        <w:rPr>
          <w:rFonts w:ascii="Arial" w:hAnsi="Arial" w:cs="Arial"/>
          <w:sz w:val="22"/>
          <w:szCs w:val="22"/>
        </w:rPr>
        <w:t xml:space="preserve"> </w:t>
      </w:r>
      <w:r w:rsidR="00267E72" w:rsidRPr="005F7101">
        <w:rPr>
          <w:rFonts w:ascii="Arial" w:hAnsi="Arial" w:cs="Arial"/>
          <w:sz w:val="22"/>
          <w:szCs w:val="22"/>
        </w:rPr>
        <w:t xml:space="preserve">Edition </w:t>
      </w:r>
      <w:r w:rsidR="004133C6" w:rsidRPr="005F7101">
        <w:rPr>
          <w:rFonts w:ascii="Arial" w:hAnsi="Arial" w:cs="Arial"/>
          <w:sz w:val="22"/>
          <w:szCs w:val="22"/>
        </w:rPr>
        <w:t xml:space="preserve">radiotherapy </w:t>
      </w:r>
      <w:r w:rsidR="00363670">
        <w:rPr>
          <w:rFonts w:ascii="Arial" w:hAnsi="Arial" w:cs="Arial"/>
          <w:sz w:val="22"/>
          <w:szCs w:val="22"/>
        </w:rPr>
        <w:t>intervention</w:t>
      </w:r>
      <w:r w:rsidR="00363670" w:rsidRPr="005F7101">
        <w:rPr>
          <w:rFonts w:ascii="Arial" w:hAnsi="Arial" w:cs="Arial"/>
          <w:sz w:val="22"/>
          <w:szCs w:val="22"/>
        </w:rPr>
        <w:t xml:space="preserve"> </w:t>
      </w:r>
      <w:r w:rsidR="004133C6" w:rsidRPr="005F7101">
        <w:rPr>
          <w:rFonts w:ascii="Arial" w:hAnsi="Arial" w:cs="Arial"/>
          <w:sz w:val="22"/>
          <w:szCs w:val="22"/>
        </w:rPr>
        <w:t xml:space="preserve">code </w:t>
      </w:r>
      <w:r w:rsidR="00BE4F69">
        <w:rPr>
          <w:rFonts w:ascii="Arial" w:hAnsi="Arial" w:cs="Arial"/>
          <w:sz w:val="22"/>
          <w:szCs w:val="22"/>
        </w:rPr>
        <w:t xml:space="preserve">assigned, as set out at </w:t>
      </w:r>
      <w:r w:rsidR="004133C6" w:rsidRPr="00DD6711">
        <w:rPr>
          <w:rFonts w:ascii="Arial" w:hAnsi="Arial" w:cs="Arial"/>
          <w:sz w:val="22"/>
          <w:szCs w:val="22"/>
        </w:rPr>
        <w:t>Appendi</w:t>
      </w:r>
      <w:r w:rsidR="00857B1E" w:rsidRPr="00DD6711">
        <w:rPr>
          <w:rFonts w:ascii="Arial" w:hAnsi="Arial" w:cs="Arial"/>
          <w:sz w:val="22"/>
          <w:szCs w:val="22"/>
        </w:rPr>
        <w:t>x</w:t>
      </w:r>
      <w:r w:rsidR="004133C6" w:rsidRPr="00DD6711">
        <w:rPr>
          <w:rFonts w:ascii="Arial" w:hAnsi="Arial" w:cs="Arial"/>
          <w:sz w:val="22"/>
          <w:szCs w:val="22"/>
        </w:rPr>
        <w:t xml:space="preserve"> B</w:t>
      </w:r>
      <w:r w:rsidR="004133C6" w:rsidRPr="005F7101">
        <w:rPr>
          <w:rFonts w:ascii="Arial" w:hAnsi="Arial" w:cs="Arial"/>
          <w:sz w:val="22"/>
          <w:szCs w:val="22"/>
        </w:rPr>
        <w:t xml:space="preserve">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D829BF">
        <w:rPr>
          <w:rFonts w:ascii="Arial" w:hAnsi="Arial" w:cs="Arial"/>
          <w:sz w:val="22"/>
          <w:szCs w:val="22"/>
        </w:rPr>
        <w:t>4</w:t>
      </w:r>
      <w:r w:rsidR="009C3DA6" w:rsidRPr="009C3DA6">
        <w:rPr>
          <w:rFonts w:ascii="Arial" w:hAnsi="Arial" w:cs="Arial"/>
          <w:sz w:val="22"/>
          <w:szCs w:val="22"/>
        </w:rPr>
        <w:t>–2</w:t>
      </w:r>
      <w:r w:rsidR="00D829BF">
        <w:rPr>
          <w:rFonts w:ascii="Arial" w:hAnsi="Arial" w:cs="Arial"/>
          <w:sz w:val="22"/>
          <w:szCs w:val="22"/>
        </w:rPr>
        <w:t>5</w:t>
      </w:r>
      <w:r w:rsidR="008744FD" w:rsidRPr="005F7101">
        <w:rPr>
          <w:rFonts w:ascii="Arial" w:hAnsi="Arial" w:cs="Arial"/>
          <w:sz w:val="22"/>
          <w:szCs w:val="22"/>
        </w:rPr>
        <w:t>.</w:t>
      </w:r>
    </w:p>
    <w:p w14:paraId="69F154B5" w14:textId="5EA65AA7" w:rsidR="00FE5F3B"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Remote</w:t>
      </w:r>
      <w:r w:rsidRPr="00E83996">
        <w:rPr>
          <w:rFonts w:ascii="Arial" w:hAnsi="Arial" w:cs="Arial"/>
          <w:sz w:val="22"/>
          <w:szCs w:val="22"/>
        </w:rPr>
        <w:t xml:space="preserve"> means an area that is classified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9" w:history="1">
        <w:r w:rsidR="006B1BB6">
          <w:rPr>
            <w:rStyle w:val="Hyperlink"/>
            <w:rFonts w:ascii="Arial" w:hAnsi="Arial" w:cs="Arial"/>
            <w:sz w:val="22"/>
            <w:szCs w:val="22"/>
          </w:rPr>
          <w:t>METEOR: 697105</w:t>
        </w:r>
      </w:hyperlink>
      <w:r w:rsidR="00117AA1" w:rsidRPr="00E83996">
        <w:rPr>
          <w:rFonts w:ascii="Arial" w:hAnsi="Arial" w:cs="Arial"/>
          <w:sz w:val="22"/>
          <w:szCs w:val="22"/>
        </w:rPr>
        <w:t>)</w:t>
      </w:r>
      <w:r w:rsidR="00117AA1">
        <w:rPr>
          <w:rFonts w:ascii="Arial" w:hAnsi="Arial" w:cs="Arial"/>
          <w:sz w:val="22"/>
          <w:szCs w:val="22"/>
        </w:rPr>
        <w:t>.</w:t>
      </w:r>
    </w:p>
    <w:p w14:paraId="6E1AF682" w14:textId="0A4E70DA" w:rsidR="0023417E" w:rsidRPr="00E83996" w:rsidRDefault="0023417E" w:rsidP="00C81D74">
      <w:pPr>
        <w:keepLines/>
        <w:spacing w:before="120" w:after="120" w:line="259" w:lineRule="auto"/>
        <w:rPr>
          <w:rFonts w:ascii="Arial" w:hAnsi="Arial" w:cs="Arial"/>
          <w:sz w:val="22"/>
          <w:szCs w:val="22"/>
        </w:rPr>
      </w:pPr>
      <w:r w:rsidRPr="00E83996">
        <w:rPr>
          <w:rFonts w:ascii="Arial" w:hAnsi="Arial" w:cs="Arial"/>
          <w:b/>
          <w:sz w:val="22"/>
          <w:szCs w:val="22"/>
        </w:rPr>
        <w:t>Sentinel event</w:t>
      </w:r>
      <w:r w:rsidR="00363670" w:rsidRPr="00363670">
        <w:rPr>
          <w:rFonts w:ascii="Arial" w:hAnsi="Arial" w:cs="Arial"/>
          <w:b/>
          <w:sz w:val="22"/>
          <w:szCs w:val="22"/>
        </w:rPr>
        <w:t>s</w:t>
      </w:r>
      <w:r w:rsidR="00363670" w:rsidRPr="00363670">
        <w:rPr>
          <w:rFonts w:ascii="Arial" w:hAnsi="Arial" w:cs="Arial"/>
          <w:sz w:val="22"/>
          <w:szCs w:val="22"/>
        </w:rPr>
        <w:t xml:space="preserve"> are a subset of adverse patient safety events that are wholly preventable and result in serious harm to, or death of, a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363670">
        <w:rPr>
          <w:rFonts w:ascii="Arial" w:hAnsi="Arial" w:cs="Arial"/>
          <w:sz w:val="22"/>
          <w:szCs w:val="22"/>
        </w:rPr>
        <w:t xml:space="preserve">available </w:t>
      </w:r>
      <w:r w:rsidR="00BE4F69" w:rsidRPr="00BE4F69">
        <w:rPr>
          <w:rFonts w:ascii="Arial" w:hAnsi="Arial" w:cs="Arial"/>
          <w:sz w:val="22"/>
          <w:szCs w:val="22"/>
        </w:rPr>
        <w:t>in Chapter 6 of the National Efficient Price Determination 2024–25 and</w:t>
      </w:r>
      <w:r w:rsidR="00BE4F69">
        <w:rPr>
          <w:rFonts w:ascii="Arial" w:hAnsi="Arial" w:cs="Arial"/>
          <w:sz w:val="22"/>
          <w:szCs w:val="22"/>
        </w:rPr>
        <w:t xml:space="preserve"> </w:t>
      </w:r>
      <w:r w:rsidR="00857B1E">
        <w:rPr>
          <w:rFonts w:ascii="Arial" w:hAnsi="Arial" w:cs="Arial"/>
          <w:sz w:val="22"/>
          <w:szCs w:val="22"/>
        </w:rPr>
        <w:t xml:space="preserve">on the </w:t>
      </w:r>
      <w:hyperlink r:id="rId20"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2A49017D" w14:textId="0DA08E56" w:rsidR="00FE5F3B"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1"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7C384461" w14:textId="57A7E263" w:rsidR="00D9506E" w:rsidRPr="00E83996" w:rsidRDefault="00D9506E" w:rsidP="00C81D74">
      <w:pPr>
        <w:keepLines/>
        <w:spacing w:before="120" w:after="120" w:line="259" w:lineRule="auto"/>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w:t>
      </w:r>
      <w:r w:rsidR="00FB0B4A">
        <w:rPr>
          <w:rFonts w:ascii="Arial" w:hAnsi="Arial" w:cs="Arial"/>
          <w:sz w:val="22"/>
          <w:szCs w:val="22"/>
        </w:rPr>
        <w:t xml:space="preserve"> </w:t>
      </w:r>
      <w:r w:rsidR="002F2197">
        <w:rPr>
          <w:rFonts w:ascii="Arial" w:hAnsi="Arial" w:cs="Arial"/>
          <w:sz w:val="22"/>
          <w:szCs w:val="22"/>
        </w:rPr>
        <w:t>care providers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55E7ABA0" w14:textId="721E352C" w:rsidR="009046E1" w:rsidRPr="00E83996" w:rsidRDefault="00FE5F3B" w:rsidP="00C81D74">
      <w:pPr>
        <w:keepLines/>
        <w:spacing w:before="120" w:after="120" w:line="259" w:lineRule="auto"/>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w:t>
      </w:r>
      <w:r w:rsidR="009046E1" w:rsidRPr="00DD6711">
        <w:rPr>
          <w:rFonts w:ascii="Arial" w:hAnsi="Arial" w:cs="Arial"/>
          <w:sz w:val="22"/>
          <w:szCs w:val="22"/>
        </w:rPr>
        <w:t>Appendix E</w:t>
      </w:r>
      <w:r w:rsidR="009046E1"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6B1BB6" w:rsidRPr="009C3DA6">
        <w:rPr>
          <w:rFonts w:ascii="Arial" w:hAnsi="Arial" w:cs="Arial"/>
          <w:sz w:val="22"/>
          <w:szCs w:val="22"/>
        </w:rPr>
        <w:t>202</w:t>
      </w:r>
      <w:r w:rsidR="00C20D90">
        <w:rPr>
          <w:rFonts w:ascii="Arial" w:hAnsi="Arial" w:cs="Arial"/>
          <w:sz w:val="22"/>
          <w:szCs w:val="22"/>
        </w:rPr>
        <w:t>4</w:t>
      </w:r>
      <w:r w:rsidR="009C3DA6" w:rsidRPr="009C3DA6">
        <w:rPr>
          <w:rFonts w:ascii="Arial" w:hAnsi="Arial" w:cs="Arial"/>
          <w:sz w:val="22"/>
          <w:szCs w:val="22"/>
        </w:rPr>
        <w:t>–2</w:t>
      </w:r>
      <w:r w:rsidR="00C20D90">
        <w:rPr>
          <w:rFonts w:ascii="Arial" w:hAnsi="Arial" w:cs="Arial"/>
          <w:sz w:val="22"/>
          <w:szCs w:val="22"/>
        </w:rPr>
        <w:t>5</w:t>
      </w:r>
      <w:r w:rsidR="008744FD" w:rsidRPr="005F7101">
        <w:rPr>
          <w:rFonts w:ascii="Arial" w:hAnsi="Arial" w:cs="Arial"/>
          <w:sz w:val="22"/>
          <w:szCs w:val="22"/>
        </w:rPr>
        <w:t>.</w:t>
      </w:r>
    </w:p>
    <w:p w14:paraId="137FC25B" w14:textId="7D044B02" w:rsidR="00D2707C" w:rsidRPr="00E83996" w:rsidRDefault="00D2707C" w:rsidP="00C81D74">
      <w:pPr>
        <w:keepLines/>
        <w:spacing w:before="120" w:after="120" w:line="259" w:lineRule="auto"/>
        <w:rPr>
          <w:rFonts w:ascii="Arial" w:hAnsi="Arial" w:cs="Arial"/>
          <w:sz w:val="22"/>
          <w:szCs w:val="22"/>
        </w:rPr>
      </w:pPr>
      <w:r w:rsidRPr="00E83996">
        <w:rPr>
          <w:rFonts w:ascii="Arial" w:hAnsi="Arial" w:cs="Arial"/>
          <w:b/>
          <w:sz w:val="22"/>
          <w:szCs w:val="22"/>
        </w:rPr>
        <w:lastRenderedPageBreak/>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djustment</w:t>
      </w:r>
      <w:r w:rsidR="00BE4F69">
        <w:rPr>
          <w:rFonts w:ascii="Arial" w:hAnsi="Arial" w:cs="Arial"/>
          <w:sz w:val="22"/>
          <w:szCs w:val="22"/>
        </w:rPr>
        <w:t>, as set out</w:t>
      </w:r>
      <w:r w:rsidRPr="005F7101">
        <w:rPr>
          <w:rFonts w:ascii="Arial" w:hAnsi="Arial" w:cs="Arial"/>
          <w:sz w:val="22"/>
          <w:szCs w:val="22"/>
        </w:rPr>
        <w:t xml:space="preserve"> at </w:t>
      </w:r>
      <w:r w:rsidRPr="00DD6711">
        <w:rPr>
          <w:rFonts w:ascii="Arial" w:hAnsi="Arial" w:cs="Arial"/>
          <w:sz w:val="22"/>
          <w:szCs w:val="22"/>
        </w:rPr>
        <w:t>Appendix D</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w:t>
      </w:r>
      <w:r w:rsidR="00C20D90">
        <w:rPr>
          <w:rFonts w:ascii="Arial" w:hAnsi="Arial" w:cs="Arial"/>
          <w:sz w:val="22"/>
          <w:szCs w:val="22"/>
        </w:rPr>
        <w:t>4</w:t>
      </w:r>
      <w:r w:rsidR="009C3DA6" w:rsidRPr="009C3DA6">
        <w:rPr>
          <w:rFonts w:ascii="Arial" w:hAnsi="Arial" w:cs="Arial"/>
          <w:sz w:val="22"/>
          <w:szCs w:val="22"/>
        </w:rPr>
        <w:t>–2</w:t>
      </w:r>
      <w:r w:rsidR="00C20D90">
        <w:rPr>
          <w:rFonts w:ascii="Arial" w:hAnsi="Arial" w:cs="Arial"/>
          <w:sz w:val="22"/>
          <w:szCs w:val="22"/>
        </w:rPr>
        <w:t>5</w:t>
      </w:r>
      <w:r w:rsidR="008744FD" w:rsidRPr="005F7101">
        <w:rPr>
          <w:rFonts w:ascii="Arial" w:hAnsi="Arial" w:cs="Arial"/>
          <w:sz w:val="22"/>
          <w:szCs w:val="22"/>
        </w:rPr>
        <w:t>.</w:t>
      </w:r>
    </w:p>
    <w:p w14:paraId="3B8CEE9D" w14:textId="42D9D625" w:rsidR="00E50A36" w:rsidRPr="00E93161" w:rsidRDefault="009046E1" w:rsidP="00C81D74">
      <w:pPr>
        <w:keepLines/>
        <w:spacing w:before="120" w:after="120" w:line="259" w:lineRule="auto"/>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2" w:history="1">
        <w:r w:rsidR="006B1BB6">
          <w:rPr>
            <w:rStyle w:val="Hyperlink"/>
            <w:rFonts w:ascii="Arial" w:hAnsi="Arial" w:cs="Arial"/>
            <w:sz w:val="22"/>
            <w:szCs w:val="22"/>
          </w:rPr>
          <w:t>METEOR: 711010</w:t>
        </w:r>
      </w:hyperlink>
      <w:r w:rsidR="00EA0369">
        <w:rPr>
          <w:rFonts w:ascii="Arial" w:hAnsi="Arial" w:cs="Arial"/>
          <w:sz w:val="22"/>
          <w:szCs w:val="22"/>
        </w:rPr>
        <w:t>)</w:t>
      </w:r>
      <w:r w:rsidR="00BE4F69">
        <w:rPr>
          <w:rFonts w:ascii="Arial" w:hAnsi="Arial" w:cs="Arial"/>
          <w:sz w:val="22"/>
          <w:szCs w:val="22"/>
        </w:rPr>
        <w:t>.</w:t>
      </w:r>
    </w:p>
    <w:p w14:paraId="15882B95" w14:textId="28BE7F1E" w:rsidR="00965240" w:rsidRPr="00E93161" w:rsidRDefault="00D2707C" w:rsidP="00C81D74">
      <w:pPr>
        <w:keepLines/>
        <w:spacing w:before="120" w:after="120" w:line="259" w:lineRule="auto"/>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 xml:space="preserve">sification system known as </w:t>
      </w:r>
      <w:r w:rsidR="00F15DEE">
        <w:rPr>
          <w:rFonts w:ascii="Arial" w:hAnsi="Arial" w:cs="Arial"/>
          <w:sz w:val="22"/>
          <w:szCs w:val="22"/>
        </w:rPr>
        <w:t xml:space="preserve">the </w:t>
      </w:r>
      <w:r w:rsidR="002F2197" w:rsidRPr="005F7101">
        <w:rPr>
          <w:rFonts w:ascii="Arial" w:hAnsi="Arial" w:cs="Arial"/>
          <w:sz w:val="22"/>
          <w:szCs w:val="22"/>
        </w:rPr>
        <w:t>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C20D90">
        <w:rPr>
          <w:rFonts w:ascii="Arial" w:hAnsi="Arial" w:cs="Arial"/>
          <w:sz w:val="22"/>
          <w:szCs w:val="22"/>
        </w:rPr>
        <w:t>9</w:t>
      </w:r>
      <w:r w:rsidR="005A10CB">
        <w:rPr>
          <w:rFonts w:ascii="Arial" w:hAnsi="Arial" w:cs="Arial"/>
          <w:sz w:val="22"/>
          <w:szCs w:val="22"/>
        </w:rPr>
        <w:t>.0</w:t>
      </w:r>
      <w:r w:rsidR="008744FD" w:rsidRPr="00E93161">
        <w:rPr>
          <w:rFonts w:ascii="Arial" w:hAnsi="Arial" w:cs="Arial"/>
          <w:sz w:val="22"/>
          <w:szCs w:val="22"/>
        </w:rPr>
        <w:t>.</w:t>
      </w:r>
    </w:p>
    <w:p w14:paraId="2FE94A76" w14:textId="367D0D88" w:rsidR="00FE5F3B" w:rsidRPr="00E83996" w:rsidRDefault="00FE5F3B" w:rsidP="00C81D74">
      <w:pPr>
        <w:keepLines/>
        <w:spacing w:before="120" w:after="120" w:line="259" w:lineRule="auto"/>
        <w:rPr>
          <w:rFonts w:ascii="Arial" w:hAnsi="Arial" w:cs="Arial"/>
          <w:sz w:val="22"/>
          <w:szCs w:val="22"/>
        </w:rPr>
      </w:pPr>
      <w:r w:rsidRPr="00E93161">
        <w:rPr>
          <w:rFonts w:ascii="Arial" w:hAnsi="Arial" w:cs="Arial"/>
          <w:b/>
          <w:sz w:val="22"/>
          <w:szCs w:val="22"/>
        </w:rPr>
        <w:t xml:space="preserve">UDG </w:t>
      </w:r>
      <w:r w:rsidRPr="00E93161">
        <w:rPr>
          <w:rFonts w:ascii="Arial" w:hAnsi="Arial" w:cs="Arial"/>
          <w:sz w:val="22"/>
          <w:szCs w:val="22"/>
        </w:rPr>
        <w:t xml:space="preserve">refers to a group within </w:t>
      </w:r>
      <w:r w:rsidRPr="005F7101">
        <w:rPr>
          <w:rFonts w:ascii="Arial" w:hAnsi="Arial" w:cs="Arial"/>
          <w:sz w:val="22"/>
          <w:szCs w:val="22"/>
        </w:rPr>
        <w:t xml:space="preserve">the classification system known as </w:t>
      </w:r>
      <w:r w:rsidR="00F15DEE">
        <w:rPr>
          <w:rFonts w:ascii="Arial" w:hAnsi="Arial" w:cs="Arial"/>
          <w:sz w:val="22"/>
          <w:szCs w:val="22"/>
        </w:rPr>
        <w:t xml:space="preserve">the </w:t>
      </w:r>
      <w:r w:rsidRPr="005F7101">
        <w:rPr>
          <w:rFonts w:ascii="Arial" w:hAnsi="Arial" w:cs="Arial"/>
          <w:sz w:val="22"/>
          <w:szCs w:val="22"/>
        </w:rPr>
        <w:t>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3B1E5011" w14:textId="337D2A53" w:rsidR="00A135CD" w:rsidRPr="007824DA" w:rsidRDefault="00A135CD" w:rsidP="00C81D74">
      <w:pPr>
        <w:keepLines/>
        <w:spacing w:before="120" w:after="120" w:line="259" w:lineRule="auto"/>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3" w:history="1">
        <w:r w:rsidR="006B1BB6">
          <w:rPr>
            <w:rStyle w:val="Hyperlink"/>
            <w:rFonts w:ascii="Arial" w:hAnsi="Arial" w:cs="Arial"/>
            <w:sz w:val="22"/>
            <w:szCs w:val="22"/>
          </w:rPr>
          <w:t>METEOR: 697105</w:t>
        </w:r>
      </w:hyperlink>
      <w:r w:rsidR="00595FFC" w:rsidRPr="00E83996">
        <w:rPr>
          <w:rFonts w:ascii="Arial" w:hAnsi="Arial" w:cs="Arial"/>
          <w:sz w:val="22"/>
          <w:szCs w:val="22"/>
        </w:rPr>
        <w:t>)</w:t>
      </w:r>
      <w:r w:rsidR="00595FFC">
        <w:rPr>
          <w:rFonts w:ascii="Arial" w:hAnsi="Arial" w:cs="Arial"/>
          <w:sz w:val="22"/>
          <w:szCs w:val="22"/>
        </w:rPr>
        <w:t>.</w:t>
      </w:r>
    </w:p>
    <w:p w14:paraId="14F27BA3" w14:textId="77777777" w:rsidR="005F47B8" w:rsidRPr="00456623" w:rsidRDefault="005F47B8" w:rsidP="00C81D74">
      <w:pPr>
        <w:pStyle w:val="Heading2"/>
        <w:keepNext w:val="0"/>
        <w:keepLines/>
        <w:spacing w:before="120" w:after="120" w:line="259" w:lineRule="auto"/>
        <w:rPr>
          <w:color w:val="104F99"/>
          <w:kern w:val="32"/>
          <w:sz w:val="32"/>
        </w:rPr>
      </w:pPr>
      <w:r w:rsidRPr="00456623">
        <w:rPr>
          <w:color w:val="104F99"/>
          <w:kern w:val="32"/>
          <w:sz w:val="32"/>
        </w:rPr>
        <w:t>Interpretation</w:t>
      </w:r>
    </w:p>
    <w:p w14:paraId="357DDF6D" w14:textId="72FB5DE9" w:rsidR="00FE5F3B" w:rsidRPr="009B386A" w:rsidRDefault="00FE5F3B" w:rsidP="00C81D74">
      <w:pPr>
        <w:keepLines/>
        <w:spacing w:before="120" w:after="120" w:line="259" w:lineRule="auto"/>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w:t>
      </w:r>
      <w:r w:rsidR="00BF54D9">
        <w:rPr>
          <w:rFonts w:ascii="Arial" w:hAnsi="Arial"/>
          <w:sz w:val="22"/>
        </w:rPr>
        <w:t xml:space="preserve">National Efficient Price and National Efficient Cost </w:t>
      </w:r>
      <w:r w:rsidRPr="009B386A">
        <w:rPr>
          <w:rFonts w:ascii="Arial" w:hAnsi="Arial"/>
          <w:sz w:val="22"/>
        </w:rPr>
        <w:t>Determination</w:t>
      </w:r>
      <w:r w:rsidR="00363670">
        <w:rPr>
          <w:rFonts w:ascii="Arial" w:hAnsi="Arial"/>
          <w:sz w:val="22"/>
        </w:rPr>
        <w:t>s</w:t>
      </w:r>
      <w:r w:rsidRPr="009B386A">
        <w:rPr>
          <w:rFonts w:ascii="Arial" w:hAnsi="Arial"/>
          <w:sz w:val="22"/>
        </w:rPr>
        <w:t>, unless the contrary intention appears:</w:t>
      </w:r>
    </w:p>
    <w:p w14:paraId="38F12FD1" w14:textId="142EDE30" w:rsidR="00FE5F3B" w:rsidRPr="005F5431" w:rsidRDefault="00DF10B4" w:rsidP="00C81D74">
      <w:pPr>
        <w:pStyle w:val="ListParagraph"/>
        <w:keepLines/>
        <w:numPr>
          <w:ilvl w:val="0"/>
          <w:numId w:val="1"/>
        </w:numPr>
        <w:spacing w:before="60" w:after="60" w:line="259" w:lineRule="auto"/>
        <w:ind w:left="714" w:hanging="357"/>
        <w:contextualSpacing w:val="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23051627" w:rsidR="00FE5F3B" w:rsidRPr="0037522F" w:rsidRDefault="00FE5F3B" w:rsidP="00C81D74">
      <w:pPr>
        <w:pStyle w:val="ListParagraph"/>
        <w:keepLines/>
        <w:numPr>
          <w:ilvl w:val="0"/>
          <w:numId w:val="1"/>
        </w:numPr>
        <w:spacing w:before="60" w:after="60" w:line="259" w:lineRule="auto"/>
        <w:ind w:left="714" w:hanging="357"/>
        <w:contextualSpacing w:val="0"/>
        <w:rPr>
          <w:rFonts w:ascii="Arial" w:hAnsi="Arial"/>
          <w:sz w:val="22"/>
        </w:rPr>
      </w:pPr>
      <w:r w:rsidRPr="0037522F">
        <w:rPr>
          <w:rFonts w:ascii="Arial" w:hAnsi="Arial"/>
          <w:sz w:val="22"/>
        </w:rPr>
        <w:t xml:space="preserve">a reference to a statute or other legislation (whether primary or subordinate) or to the </w:t>
      </w:r>
      <w:hyperlink r:id="rId24"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501812">
        <w:rPr>
          <w:rStyle w:val="Hyperlink"/>
          <w:rFonts w:ascii="Arial" w:hAnsi="Arial" w:cs="Arial"/>
          <w:sz w:val="22"/>
          <w:szCs w:val="22"/>
          <w:u w:val="none"/>
        </w:rPr>
        <w:t xml:space="preserve"> </w:t>
      </w:r>
      <w:r w:rsidRPr="0037522F">
        <w:rPr>
          <w:rFonts w:ascii="Arial" w:hAnsi="Arial"/>
          <w:sz w:val="22"/>
        </w:rPr>
        <w:t>as amended from time to time</w:t>
      </w:r>
    </w:p>
    <w:p w14:paraId="412BC0B1" w14:textId="2B726285" w:rsidR="00546E03" w:rsidRPr="00192E9B" w:rsidRDefault="00FE5F3B" w:rsidP="00C81D74">
      <w:pPr>
        <w:pStyle w:val="ListParagraph"/>
        <w:keepLines/>
        <w:numPr>
          <w:ilvl w:val="0"/>
          <w:numId w:val="1"/>
        </w:numPr>
        <w:spacing w:before="60" w:after="60" w:line="259" w:lineRule="auto"/>
        <w:ind w:left="714" w:hanging="357"/>
        <w:contextualSpacing w:val="0"/>
        <w:sectPr w:rsidR="00546E03" w:rsidRPr="00192E9B" w:rsidSect="00BD70DF">
          <w:footerReference w:type="even" r:id="rId25"/>
          <w:footerReference w:type="default" r:id="rId26"/>
          <w:headerReference w:type="first" r:id="rId27"/>
          <w:footerReference w:type="first" r:id="rId28"/>
          <w:pgSz w:w="11906" w:h="16838" w:code="9"/>
          <w:pgMar w:top="1440" w:right="1440" w:bottom="1440" w:left="1440" w:header="720" w:footer="720" w:gutter="0"/>
          <w:cols w:space="720"/>
          <w:titlePg/>
          <w:docGrid w:linePitch="326"/>
        </w:sectPr>
      </w:pPr>
      <w:r w:rsidRPr="0037522F">
        <w:rPr>
          <w:rFonts w:ascii="Arial" w:hAnsi="Arial"/>
          <w:sz w:val="22"/>
        </w:rPr>
        <w:t xml:space="preserve">a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68C1A38" w14:textId="103AE6FC" w:rsidR="004311EC" w:rsidRPr="00456623" w:rsidRDefault="004311EC" w:rsidP="00823D89">
      <w:pPr>
        <w:pStyle w:val="Heading1"/>
        <w:keepNext w:val="0"/>
        <w:keepLines/>
        <w:spacing w:before="0" w:after="240"/>
        <w:jc w:val="left"/>
        <w:rPr>
          <w:color w:val="104F99"/>
        </w:rPr>
      </w:pPr>
      <w:bookmarkStart w:id="0" w:name="_Toc318888906"/>
      <w:r w:rsidRPr="00456623">
        <w:rPr>
          <w:color w:val="104F99"/>
        </w:rPr>
        <w:lastRenderedPageBreak/>
        <w:t xml:space="preserve">Attachment 1 – Emergency </w:t>
      </w:r>
      <w:r w:rsidR="00027671" w:rsidRPr="00456623">
        <w:rPr>
          <w:color w:val="104F99"/>
        </w:rPr>
        <w:t>c</w:t>
      </w:r>
      <w:r w:rsidR="00DF10B4" w:rsidRPr="00456623">
        <w:rPr>
          <w:color w:val="104F99"/>
        </w:rPr>
        <w:t>are</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763"/>
        <w:gridCol w:w="10712"/>
      </w:tblGrid>
      <w:tr w:rsidR="004311EC" w:rsidRPr="00DF10B4" w14:paraId="048691F1" w14:textId="77777777" w:rsidTr="009A3168">
        <w:trPr>
          <w:cantSplit/>
          <w:trHeight w:val="315"/>
          <w:tblHeader/>
        </w:trPr>
        <w:tc>
          <w:tcPr>
            <w:tcW w:w="528" w:type="pct"/>
            <w:shd w:val="clear" w:color="auto" w:fill="auto"/>
          </w:tcPr>
          <w:p w14:paraId="54B5AFC7" w14:textId="77777777" w:rsidR="004311EC" w:rsidRPr="005F5431" w:rsidRDefault="004311EC" w:rsidP="00C81D74">
            <w:pPr>
              <w:keepLines/>
              <w:spacing w:before="120" w:after="120"/>
              <w:rPr>
                <w:rFonts w:ascii="Arial" w:hAnsi="Arial" w:cs="Arial"/>
                <w:b/>
                <w:bCs/>
                <w:sz w:val="22"/>
                <w:szCs w:val="22"/>
              </w:rPr>
            </w:pPr>
            <w:r w:rsidRPr="005F5431">
              <w:rPr>
                <w:rFonts w:ascii="Arial" w:hAnsi="Arial" w:cs="Arial"/>
                <w:b/>
                <w:bCs/>
                <w:sz w:val="22"/>
                <w:szCs w:val="22"/>
              </w:rPr>
              <w:t>Level</w:t>
            </w:r>
          </w:p>
        </w:tc>
        <w:tc>
          <w:tcPr>
            <w:tcW w:w="4472" w:type="pct"/>
            <w:gridSpan w:val="2"/>
            <w:shd w:val="clear" w:color="auto" w:fill="auto"/>
          </w:tcPr>
          <w:p w14:paraId="59253C49" w14:textId="77777777" w:rsidR="004311EC" w:rsidRPr="005F5431" w:rsidRDefault="004311EC" w:rsidP="00C81D74">
            <w:pPr>
              <w:keepLines/>
              <w:spacing w:before="120" w:after="120"/>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9A3168">
        <w:trPr>
          <w:cantSplit/>
          <w:trHeight w:val="509"/>
        </w:trPr>
        <w:tc>
          <w:tcPr>
            <w:tcW w:w="528" w:type="pct"/>
            <w:vMerge w:val="restart"/>
            <w:shd w:val="clear" w:color="auto" w:fill="F2F2F2"/>
          </w:tcPr>
          <w:p w14:paraId="399980BA"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1</w:t>
            </w:r>
          </w:p>
        </w:tc>
        <w:tc>
          <w:tcPr>
            <w:tcW w:w="632" w:type="pct"/>
            <w:shd w:val="clear" w:color="auto" w:fill="F2F2F2"/>
            <w:vAlign w:val="center"/>
          </w:tcPr>
          <w:p w14:paraId="50EC1F8F" w14:textId="15F9F388"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0D838F70"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9A3168">
        <w:trPr>
          <w:cantSplit/>
          <w:trHeight w:val="289"/>
        </w:trPr>
        <w:tc>
          <w:tcPr>
            <w:tcW w:w="528" w:type="pct"/>
            <w:vMerge/>
            <w:shd w:val="clear" w:color="auto" w:fill="F2F2F2"/>
            <w:vAlign w:val="center"/>
          </w:tcPr>
          <w:p w14:paraId="43574CB2" w14:textId="77777777" w:rsidR="004311EC" w:rsidRPr="005F5431" w:rsidRDefault="004311EC" w:rsidP="00C81D74">
            <w:pPr>
              <w:keepLines/>
              <w:spacing w:before="120" w:after="120"/>
              <w:rPr>
                <w:rFonts w:ascii="Arial" w:hAnsi="Arial" w:cs="Arial"/>
                <w:b/>
                <w:sz w:val="22"/>
                <w:szCs w:val="22"/>
              </w:rPr>
            </w:pPr>
          </w:p>
        </w:tc>
        <w:tc>
          <w:tcPr>
            <w:tcW w:w="632" w:type="pct"/>
            <w:shd w:val="clear" w:color="auto" w:fill="F2F2F2"/>
            <w:vAlign w:val="center"/>
          </w:tcPr>
          <w:p w14:paraId="07262E1F" w14:textId="2A8E4C91"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EC40C7D"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9A3168">
        <w:trPr>
          <w:cantSplit/>
          <w:trHeight w:val="395"/>
        </w:trPr>
        <w:tc>
          <w:tcPr>
            <w:tcW w:w="528" w:type="pct"/>
            <w:vMerge/>
            <w:shd w:val="clear" w:color="auto" w:fill="F2F2F2"/>
            <w:vAlign w:val="center"/>
          </w:tcPr>
          <w:p w14:paraId="40683F8C" w14:textId="77777777" w:rsidR="004311EC" w:rsidRPr="005F5431" w:rsidRDefault="004311EC" w:rsidP="00C81D74">
            <w:pPr>
              <w:keepLines/>
              <w:spacing w:before="120" w:after="120"/>
              <w:rPr>
                <w:rFonts w:ascii="Arial" w:hAnsi="Arial" w:cs="Arial"/>
                <w:b/>
                <w:sz w:val="22"/>
                <w:szCs w:val="22"/>
              </w:rPr>
            </w:pPr>
          </w:p>
        </w:tc>
        <w:tc>
          <w:tcPr>
            <w:tcW w:w="632" w:type="pct"/>
            <w:shd w:val="clear" w:color="auto" w:fill="F2F2F2"/>
            <w:vAlign w:val="center"/>
          </w:tcPr>
          <w:p w14:paraId="7A5AC735" w14:textId="5B0B1F28"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079924EF" w14:textId="4D5DD30F" w:rsidR="004311EC" w:rsidRPr="005F5431" w:rsidRDefault="00363670" w:rsidP="00C81D74">
            <w:pPr>
              <w:keepLines/>
              <w:spacing w:before="120" w:after="120"/>
              <w:rPr>
                <w:rFonts w:ascii="Arial" w:hAnsi="Arial" w:cs="Arial"/>
                <w:sz w:val="22"/>
                <w:szCs w:val="22"/>
              </w:rPr>
            </w:pPr>
            <w:r>
              <w:rPr>
                <w:rFonts w:ascii="Arial" w:hAnsi="Arial" w:cs="Arial"/>
                <w:sz w:val="22"/>
                <w:szCs w:val="22"/>
              </w:rPr>
              <w:t>Not applicable.</w:t>
            </w:r>
          </w:p>
        </w:tc>
      </w:tr>
      <w:tr w:rsidR="004311EC" w:rsidRPr="00DF10B4" w14:paraId="7457A011" w14:textId="77777777" w:rsidTr="009A3168">
        <w:trPr>
          <w:cantSplit/>
          <w:trHeight w:val="185"/>
        </w:trPr>
        <w:tc>
          <w:tcPr>
            <w:tcW w:w="528" w:type="pct"/>
            <w:vMerge w:val="restart"/>
          </w:tcPr>
          <w:p w14:paraId="10B763F1"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2</w:t>
            </w:r>
          </w:p>
        </w:tc>
        <w:tc>
          <w:tcPr>
            <w:tcW w:w="632" w:type="pct"/>
            <w:vAlign w:val="center"/>
          </w:tcPr>
          <w:p w14:paraId="6681DC1B"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1EE5E38F"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9A3168">
        <w:trPr>
          <w:cantSplit/>
          <w:trHeight w:val="67"/>
        </w:trPr>
        <w:tc>
          <w:tcPr>
            <w:tcW w:w="528" w:type="pct"/>
            <w:vMerge/>
            <w:vAlign w:val="center"/>
          </w:tcPr>
          <w:p w14:paraId="60A49214" w14:textId="77777777" w:rsidR="004311EC" w:rsidRPr="005F5431" w:rsidRDefault="004311EC" w:rsidP="00C81D74">
            <w:pPr>
              <w:keepLines/>
              <w:spacing w:before="120" w:after="120"/>
              <w:rPr>
                <w:rFonts w:ascii="Arial" w:hAnsi="Arial" w:cs="Arial"/>
                <w:b/>
                <w:sz w:val="22"/>
                <w:szCs w:val="22"/>
              </w:rPr>
            </w:pPr>
          </w:p>
        </w:tc>
        <w:tc>
          <w:tcPr>
            <w:tcW w:w="632" w:type="pct"/>
            <w:vAlign w:val="center"/>
          </w:tcPr>
          <w:p w14:paraId="2484E44E" w14:textId="40E55D0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937526A"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9A3168">
        <w:trPr>
          <w:cantSplit/>
          <w:trHeight w:val="503"/>
        </w:trPr>
        <w:tc>
          <w:tcPr>
            <w:tcW w:w="528" w:type="pct"/>
            <w:vMerge/>
            <w:vAlign w:val="center"/>
          </w:tcPr>
          <w:p w14:paraId="0638C660" w14:textId="77777777" w:rsidR="004311EC" w:rsidRPr="005F5431" w:rsidRDefault="004311EC" w:rsidP="00C81D74">
            <w:pPr>
              <w:keepLines/>
              <w:spacing w:before="120" w:after="120"/>
              <w:rPr>
                <w:rFonts w:ascii="Arial" w:hAnsi="Arial" w:cs="Arial"/>
                <w:b/>
                <w:sz w:val="22"/>
                <w:szCs w:val="22"/>
              </w:rPr>
            </w:pPr>
          </w:p>
        </w:tc>
        <w:tc>
          <w:tcPr>
            <w:tcW w:w="632" w:type="pct"/>
            <w:vAlign w:val="center"/>
          </w:tcPr>
          <w:p w14:paraId="4B1F0AA5" w14:textId="29C1EBFF"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00E83782"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9A3168">
        <w:trPr>
          <w:cantSplit/>
          <w:trHeight w:val="350"/>
        </w:trPr>
        <w:tc>
          <w:tcPr>
            <w:tcW w:w="528" w:type="pct"/>
            <w:vMerge w:val="restart"/>
            <w:shd w:val="clear" w:color="auto" w:fill="F2F2F2"/>
          </w:tcPr>
          <w:p w14:paraId="6C66F264"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3A</w:t>
            </w:r>
          </w:p>
        </w:tc>
        <w:tc>
          <w:tcPr>
            <w:tcW w:w="632" w:type="pct"/>
            <w:shd w:val="clear" w:color="auto" w:fill="F2F2F2"/>
            <w:vAlign w:val="center"/>
          </w:tcPr>
          <w:p w14:paraId="446DC8A2" w14:textId="21E9F4D1"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42B6D4AE" w14:textId="4A113EF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2</w:t>
            </w:r>
            <w:r w:rsidR="00363670">
              <w:rPr>
                <w:rFonts w:ascii="Arial" w:hAnsi="Arial" w:cs="Arial"/>
                <w:sz w:val="22"/>
                <w:szCs w:val="22"/>
              </w:rPr>
              <w:t>.</w:t>
            </w:r>
          </w:p>
        </w:tc>
      </w:tr>
      <w:tr w:rsidR="004311EC" w:rsidRPr="00DF10B4" w14:paraId="6373F7CA" w14:textId="77777777" w:rsidTr="009A3168">
        <w:trPr>
          <w:cantSplit/>
          <w:trHeight w:val="1206"/>
        </w:trPr>
        <w:tc>
          <w:tcPr>
            <w:tcW w:w="528" w:type="pct"/>
            <w:vMerge/>
            <w:shd w:val="clear" w:color="auto" w:fill="F2F2F2"/>
            <w:vAlign w:val="center"/>
          </w:tcPr>
          <w:p w14:paraId="4693FB5A" w14:textId="77777777" w:rsidR="004311EC" w:rsidRPr="005F5431" w:rsidRDefault="004311EC" w:rsidP="00C81D74">
            <w:pPr>
              <w:keepLines/>
              <w:spacing w:before="120" w:after="120"/>
              <w:rPr>
                <w:rFonts w:ascii="Arial" w:hAnsi="Arial" w:cs="Arial"/>
                <w:b/>
                <w:sz w:val="22"/>
                <w:szCs w:val="22"/>
              </w:rPr>
            </w:pPr>
          </w:p>
        </w:tc>
        <w:tc>
          <w:tcPr>
            <w:tcW w:w="632" w:type="pct"/>
            <w:shd w:val="clear" w:color="auto" w:fill="F2F2F2"/>
            <w:vAlign w:val="center"/>
          </w:tcPr>
          <w:p w14:paraId="361E8F93" w14:textId="7709C656"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4D76D91C" w14:textId="2EE838C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9A3168">
        <w:trPr>
          <w:cantSplit/>
          <w:trHeight w:val="303"/>
        </w:trPr>
        <w:tc>
          <w:tcPr>
            <w:tcW w:w="528" w:type="pct"/>
            <w:vMerge/>
            <w:shd w:val="clear" w:color="auto" w:fill="F2F2F2"/>
            <w:vAlign w:val="center"/>
          </w:tcPr>
          <w:p w14:paraId="72F5DA72" w14:textId="77777777" w:rsidR="004311EC" w:rsidRPr="009E1780" w:rsidRDefault="004311EC" w:rsidP="00C81D74">
            <w:pPr>
              <w:keepLines/>
              <w:spacing w:before="120" w:after="120"/>
            </w:pPr>
          </w:p>
        </w:tc>
        <w:tc>
          <w:tcPr>
            <w:tcW w:w="632" w:type="pct"/>
            <w:shd w:val="clear" w:color="auto" w:fill="F2F2F2"/>
            <w:vAlign w:val="center"/>
          </w:tcPr>
          <w:p w14:paraId="5CCA2DFD" w14:textId="720705C3"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3533660"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9A3168">
        <w:trPr>
          <w:cantSplit/>
          <w:trHeight w:val="264"/>
        </w:trPr>
        <w:tc>
          <w:tcPr>
            <w:tcW w:w="528" w:type="pct"/>
            <w:vMerge w:val="restart"/>
          </w:tcPr>
          <w:p w14:paraId="23A1563C" w14:textId="77777777" w:rsidR="004311EC" w:rsidRPr="005F5431" w:rsidRDefault="004311EC" w:rsidP="00C81D74">
            <w:pPr>
              <w:keepNext/>
              <w:keepLines/>
              <w:spacing w:before="120" w:after="120"/>
              <w:rPr>
                <w:rFonts w:ascii="Arial" w:hAnsi="Arial" w:cs="Arial"/>
                <w:b/>
                <w:sz w:val="22"/>
                <w:szCs w:val="22"/>
              </w:rPr>
            </w:pPr>
            <w:r w:rsidRPr="005F5431">
              <w:rPr>
                <w:rFonts w:ascii="Arial" w:hAnsi="Arial" w:cs="Arial"/>
                <w:b/>
                <w:sz w:val="22"/>
                <w:szCs w:val="22"/>
              </w:rPr>
              <w:lastRenderedPageBreak/>
              <w:t>3B</w:t>
            </w:r>
          </w:p>
        </w:tc>
        <w:tc>
          <w:tcPr>
            <w:tcW w:w="632" w:type="pct"/>
            <w:vAlign w:val="center"/>
          </w:tcPr>
          <w:p w14:paraId="7F75F0B1" w14:textId="08DD222C" w:rsidR="004311EC" w:rsidRPr="005F5431" w:rsidRDefault="004311EC" w:rsidP="00C81D74">
            <w:pPr>
              <w:keepNext/>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6A9FBFA4" w14:textId="715074C8" w:rsidR="004311EC" w:rsidRPr="005F5431" w:rsidRDefault="004311EC" w:rsidP="00C81D74">
            <w:pPr>
              <w:keepNext/>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31496063" w14:textId="77777777" w:rsidTr="009A3168">
        <w:trPr>
          <w:cantSplit/>
          <w:trHeight w:val="1206"/>
        </w:trPr>
        <w:tc>
          <w:tcPr>
            <w:tcW w:w="528" w:type="pct"/>
            <w:vMerge/>
            <w:vAlign w:val="center"/>
          </w:tcPr>
          <w:p w14:paraId="33C86BB1" w14:textId="77777777" w:rsidR="004311EC" w:rsidRPr="005F5431" w:rsidRDefault="004311EC" w:rsidP="00C81D74">
            <w:pPr>
              <w:keepLines/>
              <w:spacing w:before="120" w:after="120"/>
              <w:rPr>
                <w:rFonts w:ascii="Arial" w:hAnsi="Arial" w:cs="Arial"/>
                <w:b/>
                <w:sz w:val="22"/>
                <w:szCs w:val="22"/>
              </w:rPr>
            </w:pPr>
          </w:p>
        </w:tc>
        <w:tc>
          <w:tcPr>
            <w:tcW w:w="632" w:type="pct"/>
            <w:vAlign w:val="center"/>
          </w:tcPr>
          <w:p w14:paraId="2AD836C0" w14:textId="3B79CCE4"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43B9283C" w14:textId="1953A2CD"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9A3168">
        <w:trPr>
          <w:cantSplit/>
          <w:trHeight w:val="403"/>
        </w:trPr>
        <w:tc>
          <w:tcPr>
            <w:tcW w:w="528" w:type="pct"/>
            <w:vMerge/>
            <w:vAlign w:val="center"/>
          </w:tcPr>
          <w:p w14:paraId="67038097" w14:textId="77777777" w:rsidR="004311EC" w:rsidRPr="009E1780" w:rsidRDefault="004311EC" w:rsidP="00C81D74">
            <w:pPr>
              <w:keepLines/>
              <w:spacing w:before="120" w:after="120"/>
              <w:rPr>
                <w:rFonts w:ascii="Arial" w:hAnsi="Arial" w:cs="Arial"/>
                <w:b/>
                <w:sz w:val="22"/>
                <w:szCs w:val="22"/>
              </w:rPr>
            </w:pPr>
          </w:p>
        </w:tc>
        <w:tc>
          <w:tcPr>
            <w:tcW w:w="632" w:type="pct"/>
            <w:vAlign w:val="center"/>
          </w:tcPr>
          <w:p w14:paraId="0C691DC4" w14:textId="60B8EBC1"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37A793D0" w14:textId="4C9C710E"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462D6C10" w14:textId="77777777" w:rsidTr="009A3168">
        <w:trPr>
          <w:cantSplit/>
          <w:trHeight w:val="67"/>
        </w:trPr>
        <w:tc>
          <w:tcPr>
            <w:tcW w:w="528" w:type="pct"/>
            <w:vMerge w:val="restart"/>
            <w:shd w:val="clear" w:color="auto" w:fill="F2F2F2"/>
          </w:tcPr>
          <w:p w14:paraId="184DCFF9"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4</w:t>
            </w:r>
          </w:p>
        </w:tc>
        <w:tc>
          <w:tcPr>
            <w:tcW w:w="632" w:type="pct"/>
            <w:shd w:val="clear" w:color="auto" w:fill="F2F2F2"/>
            <w:vAlign w:val="center"/>
          </w:tcPr>
          <w:p w14:paraId="7C3050B4" w14:textId="4EA755B4"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4951402"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9A3168">
        <w:trPr>
          <w:cantSplit/>
          <w:trHeight w:val="261"/>
        </w:trPr>
        <w:tc>
          <w:tcPr>
            <w:tcW w:w="528" w:type="pct"/>
            <w:vMerge/>
            <w:shd w:val="clear" w:color="auto" w:fill="F2F2F2"/>
          </w:tcPr>
          <w:p w14:paraId="57978BC3" w14:textId="77777777" w:rsidR="004311EC" w:rsidRPr="005F5431" w:rsidRDefault="004311EC" w:rsidP="00C81D74">
            <w:pPr>
              <w:keepLines/>
              <w:spacing w:before="120" w:after="120"/>
              <w:rPr>
                <w:rFonts w:ascii="Arial" w:hAnsi="Arial" w:cs="Arial"/>
                <w:b/>
                <w:sz w:val="22"/>
                <w:szCs w:val="22"/>
              </w:rPr>
            </w:pPr>
          </w:p>
        </w:tc>
        <w:tc>
          <w:tcPr>
            <w:tcW w:w="632" w:type="pct"/>
            <w:shd w:val="clear" w:color="auto" w:fill="F2F2F2"/>
            <w:vAlign w:val="center"/>
          </w:tcPr>
          <w:p w14:paraId="6BD98B88" w14:textId="5CC7228F"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13CADC7E" w14:textId="76647908"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9A3168">
        <w:trPr>
          <w:cantSplit/>
          <w:trHeight w:val="343"/>
        </w:trPr>
        <w:tc>
          <w:tcPr>
            <w:tcW w:w="528" w:type="pct"/>
            <w:vMerge/>
            <w:shd w:val="clear" w:color="auto" w:fill="F2F2F2"/>
          </w:tcPr>
          <w:p w14:paraId="17355360" w14:textId="77777777" w:rsidR="004311EC" w:rsidRPr="005F5431" w:rsidRDefault="004311EC" w:rsidP="00C81D74">
            <w:pPr>
              <w:keepLines/>
              <w:spacing w:before="120" w:after="120"/>
              <w:rPr>
                <w:rFonts w:ascii="Arial" w:hAnsi="Arial" w:cs="Arial"/>
                <w:b/>
                <w:sz w:val="22"/>
                <w:szCs w:val="22"/>
              </w:rPr>
            </w:pPr>
          </w:p>
        </w:tc>
        <w:tc>
          <w:tcPr>
            <w:tcW w:w="632" w:type="pct"/>
            <w:shd w:val="clear" w:color="auto" w:fill="F2F2F2"/>
            <w:vAlign w:val="center"/>
          </w:tcPr>
          <w:p w14:paraId="73CC437E" w14:textId="7AF6E2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7E462CC2" w14:textId="4B69425F"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3B</w:t>
            </w:r>
            <w:r w:rsidR="00363670">
              <w:rPr>
                <w:rFonts w:ascii="Arial" w:hAnsi="Arial" w:cs="Arial"/>
                <w:sz w:val="22"/>
                <w:szCs w:val="22"/>
              </w:rPr>
              <w:t>.</w:t>
            </w:r>
          </w:p>
        </w:tc>
      </w:tr>
      <w:tr w:rsidR="004311EC" w:rsidRPr="00DF10B4" w14:paraId="74520E5D" w14:textId="77777777" w:rsidTr="009A3168">
        <w:trPr>
          <w:cantSplit/>
          <w:trHeight w:val="304"/>
        </w:trPr>
        <w:tc>
          <w:tcPr>
            <w:tcW w:w="528" w:type="pct"/>
            <w:vMerge w:val="restart"/>
          </w:tcPr>
          <w:p w14:paraId="00B86F10"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5</w:t>
            </w:r>
          </w:p>
        </w:tc>
        <w:tc>
          <w:tcPr>
            <w:tcW w:w="632" w:type="pct"/>
            <w:vAlign w:val="center"/>
          </w:tcPr>
          <w:p w14:paraId="3E89774E" w14:textId="6C5AF1C1"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3AB2B18C"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9A3168">
        <w:trPr>
          <w:cantSplit/>
          <w:trHeight w:val="431"/>
        </w:trPr>
        <w:tc>
          <w:tcPr>
            <w:tcW w:w="528" w:type="pct"/>
            <w:vMerge/>
          </w:tcPr>
          <w:p w14:paraId="0AFE0312" w14:textId="77777777" w:rsidR="004311EC" w:rsidRPr="005F5431" w:rsidRDefault="004311EC" w:rsidP="00C81D74">
            <w:pPr>
              <w:keepLines/>
              <w:spacing w:before="120" w:after="120"/>
              <w:rPr>
                <w:rFonts w:ascii="Arial" w:hAnsi="Arial" w:cs="Arial"/>
                <w:b/>
                <w:sz w:val="22"/>
                <w:szCs w:val="22"/>
              </w:rPr>
            </w:pPr>
          </w:p>
        </w:tc>
        <w:tc>
          <w:tcPr>
            <w:tcW w:w="632" w:type="pct"/>
            <w:vAlign w:val="center"/>
          </w:tcPr>
          <w:p w14:paraId="4DC871A0" w14:textId="77F96322"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DBBE7C9" w14:textId="4AC04436"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9A3168">
        <w:trPr>
          <w:cantSplit/>
          <w:trHeight w:val="317"/>
        </w:trPr>
        <w:tc>
          <w:tcPr>
            <w:tcW w:w="528" w:type="pct"/>
            <w:vMerge/>
          </w:tcPr>
          <w:p w14:paraId="41BF2DDC" w14:textId="77777777" w:rsidR="004311EC" w:rsidRPr="005F5431" w:rsidRDefault="004311EC" w:rsidP="00C81D74">
            <w:pPr>
              <w:keepLines/>
              <w:spacing w:before="120" w:after="120"/>
              <w:rPr>
                <w:rFonts w:ascii="Arial" w:hAnsi="Arial" w:cs="Arial"/>
                <w:b/>
                <w:sz w:val="22"/>
                <w:szCs w:val="22"/>
              </w:rPr>
            </w:pPr>
          </w:p>
        </w:tc>
        <w:tc>
          <w:tcPr>
            <w:tcW w:w="632" w:type="pct"/>
            <w:vAlign w:val="center"/>
          </w:tcPr>
          <w:p w14:paraId="5E4F1AE0" w14:textId="4E4D0AC8"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1BC6E7EE" w14:textId="70779D09"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4</w:t>
            </w:r>
            <w:r w:rsidR="00363670">
              <w:rPr>
                <w:rFonts w:ascii="Arial" w:hAnsi="Arial" w:cs="Arial"/>
                <w:sz w:val="22"/>
                <w:szCs w:val="22"/>
              </w:rPr>
              <w:t>.</w:t>
            </w:r>
          </w:p>
        </w:tc>
      </w:tr>
      <w:tr w:rsidR="004311EC" w:rsidRPr="00DF10B4" w14:paraId="626C84B1" w14:textId="77777777" w:rsidTr="009A3168">
        <w:trPr>
          <w:cantSplit/>
          <w:trHeight w:val="357"/>
        </w:trPr>
        <w:tc>
          <w:tcPr>
            <w:tcW w:w="528" w:type="pct"/>
            <w:vMerge w:val="restart"/>
            <w:shd w:val="clear" w:color="auto" w:fill="F2F2F2"/>
          </w:tcPr>
          <w:p w14:paraId="2EA7FE6C" w14:textId="77777777" w:rsidR="004311EC" w:rsidRPr="005F5431" w:rsidRDefault="004311EC" w:rsidP="00C81D74">
            <w:pPr>
              <w:keepLines/>
              <w:spacing w:before="120" w:after="120"/>
              <w:rPr>
                <w:rFonts w:ascii="Arial" w:hAnsi="Arial" w:cs="Arial"/>
                <w:b/>
                <w:sz w:val="22"/>
                <w:szCs w:val="22"/>
              </w:rPr>
            </w:pPr>
            <w:r w:rsidRPr="005F5431">
              <w:rPr>
                <w:rFonts w:ascii="Arial" w:hAnsi="Arial" w:cs="Arial"/>
                <w:b/>
                <w:sz w:val="22"/>
                <w:szCs w:val="22"/>
              </w:rPr>
              <w:t>6</w:t>
            </w:r>
          </w:p>
        </w:tc>
        <w:tc>
          <w:tcPr>
            <w:tcW w:w="632" w:type="pct"/>
            <w:shd w:val="clear" w:color="auto" w:fill="F2F2F2"/>
            <w:vAlign w:val="center"/>
          </w:tcPr>
          <w:p w14:paraId="7DD852AB" w14:textId="7CA36FEC"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EE8575D" w14:textId="77777777"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5. Can manage all emergencies and provide definitive care. State-wide referral role and/or major trauma centre.</w:t>
            </w:r>
          </w:p>
        </w:tc>
      </w:tr>
      <w:tr w:rsidR="004311EC" w:rsidRPr="00DF10B4" w14:paraId="1388F733" w14:textId="77777777" w:rsidTr="009A3168">
        <w:trPr>
          <w:cantSplit/>
          <w:trHeight w:val="411"/>
        </w:trPr>
        <w:tc>
          <w:tcPr>
            <w:tcW w:w="528" w:type="pct"/>
            <w:vMerge/>
            <w:shd w:val="clear" w:color="auto" w:fill="F2F2F2"/>
            <w:vAlign w:val="center"/>
          </w:tcPr>
          <w:p w14:paraId="782B6884" w14:textId="77777777" w:rsidR="004311EC" w:rsidRPr="005F5431" w:rsidRDefault="004311EC" w:rsidP="00C81D74">
            <w:pPr>
              <w:keepLines/>
              <w:spacing w:before="120" w:after="120"/>
              <w:rPr>
                <w:rFonts w:ascii="Arial" w:hAnsi="Arial" w:cs="Arial"/>
                <w:sz w:val="22"/>
                <w:szCs w:val="22"/>
              </w:rPr>
            </w:pPr>
          </w:p>
        </w:tc>
        <w:tc>
          <w:tcPr>
            <w:tcW w:w="632" w:type="pct"/>
            <w:shd w:val="clear" w:color="auto" w:fill="F2F2F2"/>
            <w:vAlign w:val="center"/>
          </w:tcPr>
          <w:p w14:paraId="34559793" w14:textId="2509A5B3"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2A4B38D" w14:textId="48DDBEE5"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r w:rsidR="004311EC" w:rsidRPr="00DF10B4" w14:paraId="3BE97142" w14:textId="77777777" w:rsidTr="009A3168">
        <w:trPr>
          <w:cantSplit/>
          <w:trHeight w:val="403"/>
        </w:trPr>
        <w:tc>
          <w:tcPr>
            <w:tcW w:w="528" w:type="pct"/>
            <w:vMerge/>
            <w:shd w:val="clear" w:color="auto" w:fill="F2F2F2"/>
            <w:vAlign w:val="center"/>
          </w:tcPr>
          <w:p w14:paraId="0880243E" w14:textId="77777777" w:rsidR="004311EC" w:rsidRPr="005F5431" w:rsidRDefault="004311EC" w:rsidP="00C81D74">
            <w:pPr>
              <w:keepLines/>
              <w:spacing w:before="120" w:after="120"/>
              <w:rPr>
                <w:rFonts w:ascii="Arial" w:hAnsi="Arial" w:cs="Arial"/>
                <w:sz w:val="22"/>
                <w:szCs w:val="22"/>
              </w:rPr>
            </w:pPr>
          </w:p>
        </w:tc>
        <w:tc>
          <w:tcPr>
            <w:tcW w:w="632" w:type="pct"/>
            <w:shd w:val="clear" w:color="auto" w:fill="F2F2F2"/>
            <w:vAlign w:val="center"/>
          </w:tcPr>
          <w:p w14:paraId="36FB014B" w14:textId="5AE07E74"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66D5883" w14:textId="387B26DD" w:rsidR="004311EC" w:rsidRPr="005F5431" w:rsidRDefault="004311EC" w:rsidP="00C81D74">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bl>
    <w:p w14:paraId="05AAB863" w14:textId="77777777" w:rsidR="00FE5F3B" w:rsidRPr="005F5431" w:rsidRDefault="00FE5F3B" w:rsidP="00823D89">
      <w:pPr>
        <w:keepLines/>
        <w:spacing w:before="120" w:after="120"/>
        <w:rPr>
          <w:rFonts w:ascii="Arial" w:hAnsi="Arial" w:cs="Arial"/>
          <w:sz w:val="22"/>
          <w:szCs w:val="22"/>
        </w:rPr>
      </w:pPr>
    </w:p>
    <w:sectPr w:rsidR="00FE5F3B" w:rsidRPr="005F5431" w:rsidSect="00BD70DF">
      <w:headerReference w:type="even" r:id="rId29"/>
      <w:headerReference w:type="default" r:id="rId30"/>
      <w:footerReference w:type="default" r:id="rId31"/>
      <w:headerReference w:type="first" r:id="rId32"/>
      <w:pgSz w:w="16838" w:h="11906"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4406" w14:textId="77777777" w:rsidR="00CF54EA" w:rsidRDefault="00CF54EA">
      <w:r>
        <w:separator/>
      </w:r>
    </w:p>
  </w:endnote>
  <w:endnote w:type="continuationSeparator" w:id="0">
    <w:p w14:paraId="671F30D5" w14:textId="77777777" w:rsidR="00CF54EA" w:rsidRDefault="00CF54EA">
      <w:r>
        <w:continuationSeparator/>
      </w:r>
    </w:p>
  </w:endnote>
  <w:endnote w:type="continuationNotice" w:id="1">
    <w:p w14:paraId="6E3B6EBC" w14:textId="77777777" w:rsidR="00CF54EA" w:rsidRDefault="00CF5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0B16" w14:textId="04133E84"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9BF">
      <w:rPr>
        <w:rStyle w:val="PageNumber"/>
        <w:noProof/>
      </w:rPr>
      <w:t>2</w: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448" w14:textId="48685493" w:rsidR="002A1D7B" w:rsidRPr="009A3168" w:rsidRDefault="002A1D7B" w:rsidP="00576E83">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5A10CB" w:rsidRPr="009A3168">
      <w:rPr>
        <w:rFonts w:ascii="Arial" w:hAnsi="Arial" w:cs="Arial"/>
        <w:snapToGrid w:val="0"/>
        <w:sz w:val="20"/>
        <w:lang w:eastAsia="en-US"/>
      </w:rPr>
      <w:t>202</w:t>
    </w:r>
    <w:r w:rsidR="00D829BF">
      <w:rPr>
        <w:rFonts w:ascii="Arial" w:hAnsi="Arial" w:cs="Arial"/>
        <w:snapToGrid w:val="0"/>
        <w:sz w:val="20"/>
        <w:lang w:eastAsia="en-US"/>
      </w:rPr>
      <w:t>4</w:t>
    </w:r>
    <w:r w:rsidR="005A10CB" w:rsidRPr="009A3168">
      <w:rPr>
        <w:rFonts w:ascii="Arial" w:hAnsi="Arial" w:cs="Arial"/>
        <w:snapToGrid w:val="0"/>
        <w:sz w:val="20"/>
        <w:lang w:eastAsia="en-US"/>
      </w:rPr>
      <w:t>–2</w:t>
    </w:r>
    <w:r w:rsidR="00D829BF">
      <w:rPr>
        <w:rFonts w:ascii="Arial" w:hAnsi="Arial" w:cs="Arial"/>
        <w:snapToGrid w:val="0"/>
        <w:sz w:val="20"/>
        <w:lang w:eastAsia="en-US"/>
      </w:rPr>
      <w:t>5</w:t>
    </w:r>
    <w:r w:rsidRPr="009A3168">
      <w:rPr>
        <w:rFonts w:ascii="Arial" w:hAnsi="Arial" w:cs="Arial"/>
        <w:snapToGrid w:val="0"/>
        <w:sz w:val="20"/>
        <w:lang w:eastAsia="en-US"/>
      </w:rPr>
      <w:t xml:space="preserve"> –Glossary</w:t>
    </w:r>
    <w:r w:rsidR="00D829BF">
      <w:rPr>
        <w:rFonts w:ascii="Arial" w:hAnsi="Arial" w:cs="Arial"/>
        <w:snapToGrid w:val="0"/>
        <w:sz w:val="20"/>
        <w:lang w:eastAsia="en-US"/>
      </w:rPr>
      <w:t xml:space="preserve"> of Terms</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5</w:t>
    </w:r>
    <w:r w:rsidRPr="009A3168">
      <w:rPr>
        <w:rFonts w:ascii="Arial" w:hAnsi="Arial" w:cs="Arial"/>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8C3" w14:textId="1BE9B814" w:rsidR="002A1D7B" w:rsidRPr="009A3168" w:rsidRDefault="002A1D7B" w:rsidP="007C13AF">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454090" w:rsidRPr="009A3168">
      <w:rPr>
        <w:rFonts w:ascii="Arial" w:hAnsi="Arial" w:cs="Arial"/>
        <w:snapToGrid w:val="0"/>
        <w:sz w:val="20"/>
        <w:lang w:eastAsia="en-US"/>
      </w:rPr>
      <w:t>202</w:t>
    </w:r>
    <w:r w:rsidR="00D829BF">
      <w:rPr>
        <w:rFonts w:ascii="Arial" w:hAnsi="Arial" w:cs="Arial"/>
        <w:snapToGrid w:val="0"/>
        <w:sz w:val="20"/>
        <w:lang w:eastAsia="en-US"/>
      </w:rPr>
      <w:t>4</w:t>
    </w:r>
    <w:r w:rsidR="006C281D" w:rsidRPr="009A3168">
      <w:rPr>
        <w:rFonts w:ascii="Arial" w:hAnsi="Arial" w:cs="Arial"/>
        <w:snapToGrid w:val="0"/>
        <w:sz w:val="20"/>
        <w:lang w:eastAsia="en-US"/>
      </w:rPr>
      <w:t>–2</w:t>
    </w:r>
    <w:r w:rsidR="00D829BF">
      <w:rPr>
        <w:rFonts w:ascii="Arial" w:hAnsi="Arial" w:cs="Arial"/>
        <w:snapToGrid w:val="0"/>
        <w:sz w:val="20"/>
        <w:lang w:eastAsia="en-US"/>
      </w:rPr>
      <w:t>5</w:t>
    </w:r>
    <w:r w:rsidRPr="009A3168">
      <w:rPr>
        <w:rFonts w:ascii="Arial" w:hAnsi="Arial" w:cs="Arial"/>
        <w:snapToGrid w:val="0"/>
        <w:sz w:val="20"/>
        <w:lang w:eastAsia="en-US"/>
      </w:rPr>
      <w:t xml:space="preserve"> –Glossary</w:t>
    </w:r>
    <w:r w:rsidR="00D829BF">
      <w:rPr>
        <w:rFonts w:ascii="Arial" w:hAnsi="Arial" w:cs="Arial"/>
        <w:snapToGrid w:val="0"/>
        <w:sz w:val="20"/>
        <w:lang w:eastAsia="en-US"/>
      </w:rPr>
      <w:t xml:space="preserve"> of Terms</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1</w:t>
    </w:r>
    <w:r w:rsidRPr="009A3168">
      <w:rPr>
        <w:rFonts w:ascii="Arial" w:hAnsi="Arial" w:cs="Arial"/>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2C90" w14:textId="77777777" w:rsidR="00C81D74" w:rsidRPr="00C81D74" w:rsidRDefault="00C81D74" w:rsidP="00C81D74">
    <w:pPr>
      <w:pStyle w:val="Footer"/>
      <w:pBdr>
        <w:top w:val="single" w:sz="8" w:space="1" w:color="auto"/>
      </w:pBdr>
      <w:tabs>
        <w:tab w:val="clear" w:pos="4153"/>
        <w:tab w:val="clear" w:pos="8306"/>
        <w:tab w:val="left" w:pos="8778"/>
        <w:tab w:val="left" w:pos="13750"/>
      </w:tabs>
      <w:rPr>
        <w:rFonts w:ascii="Arial" w:hAnsi="Arial" w:cs="Arial"/>
        <w:snapToGrid w:val="0"/>
        <w:sz w:val="2"/>
        <w:szCs w:val="2"/>
        <w:lang w:eastAsia="en-US"/>
      </w:rPr>
    </w:pPr>
  </w:p>
  <w:p w14:paraId="230E7F17" w14:textId="4BFFB3C3" w:rsidR="002A1D7B" w:rsidRPr="00965B7F" w:rsidRDefault="002A1D7B" w:rsidP="00C81D74">
    <w:pPr>
      <w:pStyle w:val="Footer"/>
      <w:pBdr>
        <w:top w:val="single" w:sz="8" w:space="1" w:color="auto"/>
      </w:pBdr>
      <w:tabs>
        <w:tab w:val="clear" w:pos="4153"/>
        <w:tab w:val="clear" w:pos="8306"/>
        <w:tab w:val="left" w:pos="8778"/>
        <w:tab w:val="left" w:pos="13750"/>
      </w:tabs>
      <w:spacing w:before="60"/>
      <w:rPr>
        <w:rFonts w:ascii="Arial" w:hAnsi="Arial" w:cs="Arial"/>
        <w:snapToGrid w:val="0"/>
        <w:sz w:val="20"/>
        <w:lang w:eastAsia="en-US"/>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B72AD0" w:rsidRPr="009A3168">
      <w:rPr>
        <w:rFonts w:ascii="Arial" w:hAnsi="Arial" w:cs="Arial"/>
        <w:snapToGrid w:val="0"/>
        <w:sz w:val="20"/>
        <w:lang w:eastAsia="en-US"/>
      </w:rPr>
      <w:t>202</w:t>
    </w:r>
    <w:r w:rsidR="00934D21">
      <w:rPr>
        <w:rFonts w:ascii="Arial" w:hAnsi="Arial" w:cs="Arial"/>
        <w:snapToGrid w:val="0"/>
        <w:sz w:val="20"/>
        <w:lang w:eastAsia="en-US"/>
      </w:rPr>
      <w:t>4</w:t>
    </w:r>
    <w:r w:rsidR="006C281D" w:rsidRPr="009A3168">
      <w:rPr>
        <w:rFonts w:ascii="Arial" w:hAnsi="Arial" w:cs="Arial"/>
        <w:snapToGrid w:val="0"/>
        <w:sz w:val="20"/>
        <w:lang w:eastAsia="en-US"/>
      </w:rPr>
      <w:t>–2</w:t>
    </w:r>
    <w:r w:rsidR="00934D21">
      <w:rPr>
        <w:rFonts w:ascii="Arial" w:hAnsi="Arial" w:cs="Arial"/>
        <w:snapToGrid w:val="0"/>
        <w:sz w:val="20"/>
        <w:lang w:eastAsia="en-US"/>
      </w:rPr>
      <w:t>5</w:t>
    </w:r>
    <w:r w:rsidRPr="009A3168">
      <w:rPr>
        <w:rFonts w:ascii="Arial" w:hAnsi="Arial" w:cs="Arial"/>
        <w:snapToGrid w:val="0"/>
        <w:sz w:val="20"/>
        <w:lang w:eastAsia="en-US"/>
      </w:rPr>
      <w:t xml:space="preserve"> –Glossary</w:t>
    </w:r>
    <w:r w:rsidR="00934D21">
      <w:rPr>
        <w:rFonts w:ascii="Arial" w:hAnsi="Arial" w:cs="Arial"/>
        <w:snapToGrid w:val="0"/>
        <w:sz w:val="20"/>
        <w:lang w:eastAsia="en-US"/>
      </w:rPr>
      <w:t xml:space="preserve"> of Terms</w:t>
    </w:r>
    <w:r w:rsidRPr="009A3168">
      <w:rPr>
        <w:rFonts w:ascii="Arial" w:hAnsi="Arial" w:cs="Arial"/>
        <w:snapToGrid w:val="0"/>
        <w:sz w:val="20"/>
        <w:lang w:eastAsia="en-US"/>
      </w:rPr>
      <w:tab/>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7</w:t>
    </w:r>
    <w:r w:rsidRPr="009A3168">
      <w:rPr>
        <w:rFonts w:ascii="Arial" w:hAnsi="Arial" w:cs="Arial"/>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6880" w14:textId="77777777" w:rsidR="00CF54EA" w:rsidRDefault="00CF54EA">
      <w:r>
        <w:separator/>
      </w:r>
    </w:p>
  </w:footnote>
  <w:footnote w:type="continuationSeparator" w:id="0">
    <w:p w14:paraId="632098F8" w14:textId="77777777" w:rsidR="00CF54EA" w:rsidRDefault="00CF54EA">
      <w:r>
        <w:continuationSeparator/>
      </w:r>
    </w:p>
  </w:footnote>
  <w:footnote w:type="continuationNotice" w:id="1">
    <w:p w14:paraId="36C5242D" w14:textId="77777777" w:rsidR="00CF54EA" w:rsidRDefault="00CF5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5AE7" w14:textId="755AFF35" w:rsidR="002A1D7B" w:rsidRDefault="007F2F83" w:rsidP="007C13AF">
    <w:pPr>
      <w:pStyle w:val="Header"/>
      <w:jc w:val="center"/>
    </w:pPr>
    <w:r>
      <w:rPr>
        <w:noProof/>
      </w:rPr>
      <w:drawing>
        <wp:inline distT="0" distB="0" distL="0" distR="0" wp14:anchorId="1A0C6CA5" wp14:editId="688E1579">
          <wp:extent cx="1178124" cy="834189"/>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052" cy="8482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8CFF" w14:textId="77777777" w:rsidR="002A1D7B" w:rsidRDefault="002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E53" w14:textId="77777777" w:rsidR="002A1D7B" w:rsidRDefault="002A1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6053701">
    <w:abstractNumId w:val="1"/>
  </w:num>
  <w:num w:numId="2" w16cid:durableId="88179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3B"/>
    <w:rsid w:val="0000291D"/>
    <w:rsid w:val="00003D43"/>
    <w:rsid w:val="00004004"/>
    <w:rsid w:val="0000460A"/>
    <w:rsid w:val="00004BAC"/>
    <w:rsid w:val="00004EA7"/>
    <w:rsid w:val="00011B0A"/>
    <w:rsid w:val="00016153"/>
    <w:rsid w:val="00016A19"/>
    <w:rsid w:val="00021720"/>
    <w:rsid w:val="00023A5B"/>
    <w:rsid w:val="0002460D"/>
    <w:rsid w:val="00025C34"/>
    <w:rsid w:val="000273E3"/>
    <w:rsid w:val="00027671"/>
    <w:rsid w:val="00033B1B"/>
    <w:rsid w:val="00036D29"/>
    <w:rsid w:val="000374A7"/>
    <w:rsid w:val="000420D7"/>
    <w:rsid w:val="000447B1"/>
    <w:rsid w:val="000517DD"/>
    <w:rsid w:val="000565BA"/>
    <w:rsid w:val="00062CAE"/>
    <w:rsid w:val="00071BD1"/>
    <w:rsid w:val="000743A2"/>
    <w:rsid w:val="000752F6"/>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D7340"/>
    <w:rsid w:val="000D7818"/>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4ECA"/>
    <w:rsid w:val="00135B07"/>
    <w:rsid w:val="00137AFF"/>
    <w:rsid w:val="0014245E"/>
    <w:rsid w:val="00142C8B"/>
    <w:rsid w:val="00143F8F"/>
    <w:rsid w:val="001446FB"/>
    <w:rsid w:val="00144BD1"/>
    <w:rsid w:val="00146222"/>
    <w:rsid w:val="0014659D"/>
    <w:rsid w:val="00146C9A"/>
    <w:rsid w:val="00147859"/>
    <w:rsid w:val="0015221C"/>
    <w:rsid w:val="001537A6"/>
    <w:rsid w:val="00155085"/>
    <w:rsid w:val="00160ABF"/>
    <w:rsid w:val="00163A13"/>
    <w:rsid w:val="00164574"/>
    <w:rsid w:val="00165153"/>
    <w:rsid w:val="0016524E"/>
    <w:rsid w:val="001662CF"/>
    <w:rsid w:val="00167202"/>
    <w:rsid w:val="00174A4D"/>
    <w:rsid w:val="0017688E"/>
    <w:rsid w:val="00181637"/>
    <w:rsid w:val="00181DC3"/>
    <w:rsid w:val="0018639D"/>
    <w:rsid w:val="0018656C"/>
    <w:rsid w:val="00186993"/>
    <w:rsid w:val="001870BC"/>
    <w:rsid w:val="0019204F"/>
    <w:rsid w:val="00192E9B"/>
    <w:rsid w:val="00195ABB"/>
    <w:rsid w:val="001A1968"/>
    <w:rsid w:val="001A2199"/>
    <w:rsid w:val="001A23BA"/>
    <w:rsid w:val="001A4408"/>
    <w:rsid w:val="001A5B43"/>
    <w:rsid w:val="001A7399"/>
    <w:rsid w:val="001B0807"/>
    <w:rsid w:val="001B2C50"/>
    <w:rsid w:val="001B4372"/>
    <w:rsid w:val="001B5D5C"/>
    <w:rsid w:val="001C0F2F"/>
    <w:rsid w:val="001C2A1D"/>
    <w:rsid w:val="001C41FA"/>
    <w:rsid w:val="001C5E73"/>
    <w:rsid w:val="001D21AD"/>
    <w:rsid w:val="001D3EE1"/>
    <w:rsid w:val="001D4526"/>
    <w:rsid w:val="001D5550"/>
    <w:rsid w:val="001D6678"/>
    <w:rsid w:val="001E10A5"/>
    <w:rsid w:val="001E2A3E"/>
    <w:rsid w:val="001E4C6A"/>
    <w:rsid w:val="001E63BF"/>
    <w:rsid w:val="001F2470"/>
    <w:rsid w:val="001F3758"/>
    <w:rsid w:val="001F6581"/>
    <w:rsid w:val="002031F6"/>
    <w:rsid w:val="00206664"/>
    <w:rsid w:val="00215AB0"/>
    <w:rsid w:val="00215B2F"/>
    <w:rsid w:val="00215DE0"/>
    <w:rsid w:val="0021665D"/>
    <w:rsid w:val="002171AC"/>
    <w:rsid w:val="002212CB"/>
    <w:rsid w:val="00221E5A"/>
    <w:rsid w:val="00226D08"/>
    <w:rsid w:val="00226D1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942F9"/>
    <w:rsid w:val="002A1D7B"/>
    <w:rsid w:val="002A213A"/>
    <w:rsid w:val="002A3B00"/>
    <w:rsid w:val="002A79DE"/>
    <w:rsid w:val="002B095C"/>
    <w:rsid w:val="002B0A5C"/>
    <w:rsid w:val="002B26F7"/>
    <w:rsid w:val="002B7A61"/>
    <w:rsid w:val="002C4953"/>
    <w:rsid w:val="002C5AC5"/>
    <w:rsid w:val="002C6572"/>
    <w:rsid w:val="002C69B3"/>
    <w:rsid w:val="002D1D3D"/>
    <w:rsid w:val="002D2215"/>
    <w:rsid w:val="002D29B1"/>
    <w:rsid w:val="002D6AD8"/>
    <w:rsid w:val="002E10F9"/>
    <w:rsid w:val="002E3899"/>
    <w:rsid w:val="002E6579"/>
    <w:rsid w:val="002F2197"/>
    <w:rsid w:val="002F3336"/>
    <w:rsid w:val="002F4989"/>
    <w:rsid w:val="002F7469"/>
    <w:rsid w:val="00301F13"/>
    <w:rsid w:val="00317D0E"/>
    <w:rsid w:val="00323B62"/>
    <w:rsid w:val="00323C78"/>
    <w:rsid w:val="0033175F"/>
    <w:rsid w:val="003355C6"/>
    <w:rsid w:val="0033784A"/>
    <w:rsid w:val="003400E0"/>
    <w:rsid w:val="003411D3"/>
    <w:rsid w:val="0034178E"/>
    <w:rsid w:val="003507FE"/>
    <w:rsid w:val="00351FD2"/>
    <w:rsid w:val="003520AB"/>
    <w:rsid w:val="003520DC"/>
    <w:rsid w:val="00360424"/>
    <w:rsid w:val="00361D4E"/>
    <w:rsid w:val="00363670"/>
    <w:rsid w:val="00364C27"/>
    <w:rsid w:val="003702CC"/>
    <w:rsid w:val="00371010"/>
    <w:rsid w:val="0037522F"/>
    <w:rsid w:val="00381F55"/>
    <w:rsid w:val="0038403D"/>
    <w:rsid w:val="00387195"/>
    <w:rsid w:val="00395240"/>
    <w:rsid w:val="00395B8D"/>
    <w:rsid w:val="003963D4"/>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1C94"/>
    <w:rsid w:val="004024E9"/>
    <w:rsid w:val="0040773F"/>
    <w:rsid w:val="00412B7A"/>
    <w:rsid w:val="004133C6"/>
    <w:rsid w:val="004151C8"/>
    <w:rsid w:val="0042097C"/>
    <w:rsid w:val="00422709"/>
    <w:rsid w:val="004247F7"/>
    <w:rsid w:val="004254DE"/>
    <w:rsid w:val="0042559F"/>
    <w:rsid w:val="00425E88"/>
    <w:rsid w:val="00426D31"/>
    <w:rsid w:val="0042738D"/>
    <w:rsid w:val="00427E13"/>
    <w:rsid w:val="004311EC"/>
    <w:rsid w:val="00431CB0"/>
    <w:rsid w:val="004410E3"/>
    <w:rsid w:val="00444A7B"/>
    <w:rsid w:val="00446F6B"/>
    <w:rsid w:val="004471FA"/>
    <w:rsid w:val="00450263"/>
    <w:rsid w:val="00451350"/>
    <w:rsid w:val="00452386"/>
    <w:rsid w:val="00454090"/>
    <w:rsid w:val="00456623"/>
    <w:rsid w:val="00456A6B"/>
    <w:rsid w:val="00456EE3"/>
    <w:rsid w:val="004604EC"/>
    <w:rsid w:val="0046101E"/>
    <w:rsid w:val="00470E78"/>
    <w:rsid w:val="00471571"/>
    <w:rsid w:val="00473C12"/>
    <w:rsid w:val="004760BA"/>
    <w:rsid w:val="00476451"/>
    <w:rsid w:val="004773FC"/>
    <w:rsid w:val="00482AA7"/>
    <w:rsid w:val="00484C75"/>
    <w:rsid w:val="004925A4"/>
    <w:rsid w:val="00495B1C"/>
    <w:rsid w:val="00495DA9"/>
    <w:rsid w:val="00495FF2"/>
    <w:rsid w:val="004A1221"/>
    <w:rsid w:val="004A1A40"/>
    <w:rsid w:val="004A3C92"/>
    <w:rsid w:val="004A558A"/>
    <w:rsid w:val="004A772F"/>
    <w:rsid w:val="004B3539"/>
    <w:rsid w:val="004B6AD9"/>
    <w:rsid w:val="004B7F47"/>
    <w:rsid w:val="004C0C2D"/>
    <w:rsid w:val="004C0CF6"/>
    <w:rsid w:val="004C4545"/>
    <w:rsid w:val="004D34C5"/>
    <w:rsid w:val="004D397E"/>
    <w:rsid w:val="004D4127"/>
    <w:rsid w:val="004D4F9D"/>
    <w:rsid w:val="004D6B07"/>
    <w:rsid w:val="004E0345"/>
    <w:rsid w:val="004E2971"/>
    <w:rsid w:val="004E3487"/>
    <w:rsid w:val="004F1B28"/>
    <w:rsid w:val="004F5149"/>
    <w:rsid w:val="00501812"/>
    <w:rsid w:val="0050198A"/>
    <w:rsid w:val="00502428"/>
    <w:rsid w:val="005055E5"/>
    <w:rsid w:val="00505A7A"/>
    <w:rsid w:val="00510F90"/>
    <w:rsid w:val="0051150B"/>
    <w:rsid w:val="00512558"/>
    <w:rsid w:val="00514229"/>
    <w:rsid w:val="0051675D"/>
    <w:rsid w:val="00516933"/>
    <w:rsid w:val="005171D9"/>
    <w:rsid w:val="0051755C"/>
    <w:rsid w:val="00521C42"/>
    <w:rsid w:val="0052735A"/>
    <w:rsid w:val="005306E2"/>
    <w:rsid w:val="005401E6"/>
    <w:rsid w:val="00544A11"/>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746"/>
    <w:rsid w:val="00592834"/>
    <w:rsid w:val="00595240"/>
    <w:rsid w:val="0059584A"/>
    <w:rsid w:val="00595FFC"/>
    <w:rsid w:val="005A089F"/>
    <w:rsid w:val="005A0B3A"/>
    <w:rsid w:val="005A10CB"/>
    <w:rsid w:val="005A1883"/>
    <w:rsid w:val="005A2345"/>
    <w:rsid w:val="005A44CE"/>
    <w:rsid w:val="005B149B"/>
    <w:rsid w:val="005B1AF2"/>
    <w:rsid w:val="005B505D"/>
    <w:rsid w:val="005B517A"/>
    <w:rsid w:val="005B638F"/>
    <w:rsid w:val="005B7332"/>
    <w:rsid w:val="005C27C6"/>
    <w:rsid w:val="005D14F6"/>
    <w:rsid w:val="005D310F"/>
    <w:rsid w:val="005D3A92"/>
    <w:rsid w:val="005D7470"/>
    <w:rsid w:val="005E095F"/>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59F9"/>
    <w:rsid w:val="00617E12"/>
    <w:rsid w:val="006271AE"/>
    <w:rsid w:val="006273DF"/>
    <w:rsid w:val="00630541"/>
    <w:rsid w:val="00631BEE"/>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01AA"/>
    <w:rsid w:val="006924C9"/>
    <w:rsid w:val="006966E6"/>
    <w:rsid w:val="00696C68"/>
    <w:rsid w:val="006976CD"/>
    <w:rsid w:val="006A2F93"/>
    <w:rsid w:val="006A618C"/>
    <w:rsid w:val="006A6F67"/>
    <w:rsid w:val="006A7F3A"/>
    <w:rsid w:val="006B1BB6"/>
    <w:rsid w:val="006C0612"/>
    <w:rsid w:val="006C097D"/>
    <w:rsid w:val="006C281D"/>
    <w:rsid w:val="006C3233"/>
    <w:rsid w:val="006C6CD0"/>
    <w:rsid w:val="006C757D"/>
    <w:rsid w:val="006D0A45"/>
    <w:rsid w:val="006D21E9"/>
    <w:rsid w:val="006D34C2"/>
    <w:rsid w:val="006D3B8D"/>
    <w:rsid w:val="006D4BB1"/>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34BF"/>
    <w:rsid w:val="00735264"/>
    <w:rsid w:val="007362A4"/>
    <w:rsid w:val="007366CF"/>
    <w:rsid w:val="00740C89"/>
    <w:rsid w:val="00741B67"/>
    <w:rsid w:val="007425FF"/>
    <w:rsid w:val="007442F8"/>
    <w:rsid w:val="00747872"/>
    <w:rsid w:val="00747D46"/>
    <w:rsid w:val="007503F6"/>
    <w:rsid w:val="00753435"/>
    <w:rsid w:val="00754AED"/>
    <w:rsid w:val="00754FDA"/>
    <w:rsid w:val="00757349"/>
    <w:rsid w:val="007650D3"/>
    <w:rsid w:val="007673D0"/>
    <w:rsid w:val="00777027"/>
    <w:rsid w:val="007775EE"/>
    <w:rsid w:val="0078030E"/>
    <w:rsid w:val="007808D1"/>
    <w:rsid w:val="007824DA"/>
    <w:rsid w:val="0078252B"/>
    <w:rsid w:val="007839C8"/>
    <w:rsid w:val="00783CF2"/>
    <w:rsid w:val="00784172"/>
    <w:rsid w:val="007873F4"/>
    <w:rsid w:val="00793999"/>
    <w:rsid w:val="0079482A"/>
    <w:rsid w:val="007A364B"/>
    <w:rsid w:val="007A6405"/>
    <w:rsid w:val="007B3C53"/>
    <w:rsid w:val="007B400F"/>
    <w:rsid w:val="007B533E"/>
    <w:rsid w:val="007B58EC"/>
    <w:rsid w:val="007B6B61"/>
    <w:rsid w:val="007C0BD7"/>
    <w:rsid w:val="007C13AF"/>
    <w:rsid w:val="007C4CBA"/>
    <w:rsid w:val="007C54F5"/>
    <w:rsid w:val="007D03EA"/>
    <w:rsid w:val="007D0973"/>
    <w:rsid w:val="007D17CE"/>
    <w:rsid w:val="007D1B92"/>
    <w:rsid w:val="007D21A1"/>
    <w:rsid w:val="007D5F3A"/>
    <w:rsid w:val="007E046E"/>
    <w:rsid w:val="007E1A1E"/>
    <w:rsid w:val="007E1DBA"/>
    <w:rsid w:val="007E23E3"/>
    <w:rsid w:val="007E29A3"/>
    <w:rsid w:val="007E7530"/>
    <w:rsid w:val="007E784D"/>
    <w:rsid w:val="007F1D42"/>
    <w:rsid w:val="007F2F83"/>
    <w:rsid w:val="008013CB"/>
    <w:rsid w:val="00812061"/>
    <w:rsid w:val="008135E7"/>
    <w:rsid w:val="00817CE6"/>
    <w:rsid w:val="00822A4B"/>
    <w:rsid w:val="00823102"/>
    <w:rsid w:val="008234FA"/>
    <w:rsid w:val="00823D89"/>
    <w:rsid w:val="008244D5"/>
    <w:rsid w:val="008264F5"/>
    <w:rsid w:val="00831FA9"/>
    <w:rsid w:val="00832B6A"/>
    <w:rsid w:val="008336AB"/>
    <w:rsid w:val="00834359"/>
    <w:rsid w:val="008351D6"/>
    <w:rsid w:val="0083637F"/>
    <w:rsid w:val="00837629"/>
    <w:rsid w:val="00840081"/>
    <w:rsid w:val="00847E9A"/>
    <w:rsid w:val="00851687"/>
    <w:rsid w:val="00855F81"/>
    <w:rsid w:val="00857B1E"/>
    <w:rsid w:val="00857B24"/>
    <w:rsid w:val="008605E6"/>
    <w:rsid w:val="00862B9B"/>
    <w:rsid w:val="00864258"/>
    <w:rsid w:val="00865828"/>
    <w:rsid w:val="008664BB"/>
    <w:rsid w:val="00870C91"/>
    <w:rsid w:val="0087206A"/>
    <w:rsid w:val="0087356F"/>
    <w:rsid w:val="008744FD"/>
    <w:rsid w:val="0087601B"/>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5167"/>
    <w:rsid w:val="008F7700"/>
    <w:rsid w:val="00901D5C"/>
    <w:rsid w:val="00903537"/>
    <w:rsid w:val="009046E1"/>
    <w:rsid w:val="00904DB5"/>
    <w:rsid w:val="009060D3"/>
    <w:rsid w:val="00906780"/>
    <w:rsid w:val="00907220"/>
    <w:rsid w:val="00912200"/>
    <w:rsid w:val="00913A6E"/>
    <w:rsid w:val="00914E18"/>
    <w:rsid w:val="0091596E"/>
    <w:rsid w:val="0092023B"/>
    <w:rsid w:val="009316FB"/>
    <w:rsid w:val="009329F5"/>
    <w:rsid w:val="00934D21"/>
    <w:rsid w:val="0093655E"/>
    <w:rsid w:val="00940AF8"/>
    <w:rsid w:val="00942907"/>
    <w:rsid w:val="009459C2"/>
    <w:rsid w:val="009473F7"/>
    <w:rsid w:val="0095169F"/>
    <w:rsid w:val="00953622"/>
    <w:rsid w:val="009603D9"/>
    <w:rsid w:val="00964090"/>
    <w:rsid w:val="009648F2"/>
    <w:rsid w:val="00965240"/>
    <w:rsid w:val="00965B7F"/>
    <w:rsid w:val="009664BB"/>
    <w:rsid w:val="00970DB5"/>
    <w:rsid w:val="00972046"/>
    <w:rsid w:val="00977A2F"/>
    <w:rsid w:val="00980908"/>
    <w:rsid w:val="0098494B"/>
    <w:rsid w:val="00990213"/>
    <w:rsid w:val="009A13C2"/>
    <w:rsid w:val="009A175C"/>
    <w:rsid w:val="009A3168"/>
    <w:rsid w:val="009A7961"/>
    <w:rsid w:val="009A7F2E"/>
    <w:rsid w:val="009B0DDB"/>
    <w:rsid w:val="009B1648"/>
    <w:rsid w:val="009B386A"/>
    <w:rsid w:val="009B64A4"/>
    <w:rsid w:val="009B683B"/>
    <w:rsid w:val="009C3A71"/>
    <w:rsid w:val="009C3DA6"/>
    <w:rsid w:val="009D09F3"/>
    <w:rsid w:val="009D0A7D"/>
    <w:rsid w:val="009D3EE2"/>
    <w:rsid w:val="009D6CDD"/>
    <w:rsid w:val="009E0C89"/>
    <w:rsid w:val="009E1780"/>
    <w:rsid w:val="009E248D"/>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17F9"/>
    <w:rsid w:val="00A34590"/>
    <w:rsid w:val="00A36402"/>
    <w:rsid w:val="00A371AC"/>
    <w:rsid w:val="00A42118"/>
    <w:rsid w:val="00A42D38"/>
    <w:rsid w:val="00A43014"/>
    <w:rsid w:val="00A46042"/>
    <w:rsid w:val="00A47A18"/>
    <w:rsid w:val="00A54666"/>
    <w:rsid w:val="00A550C9"/>
    <w:rsid w:val="00A551CC"/>
    <w:rsid w:val="00A57321"/>
    <w:rsid w:val="00A575A2"/>
    <w:rsid w:val="00A57FAE"/>
    <w:rsid w:val="00A60AD7"/>
    <w:rsid w:val="00A63D9A"/>
    <w:rsid w:val="00A65D33"/>
    <w:rsid w:val="00A67136"/>
    <w:rsid w:val="00A67C88"/>
    <w:rsid w:val="00A70AD8"/>
    <w:rsid w:val="00A714F0"/>
    <w:rsid w:val="00A77475"/>
    <w:rsid w:val="00A811F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B71B6"/>
    <w:rsid w:val="00AC08E1"/>
    <w:rsid w:val="00AC20AB"/>
    <w:rsid w:val="00AC54F9"/>
    <w:rsid w:val="00AC60BA"/>
    <w:rsid w:val="00AD1786"/>
    <w:rsid w:val="00AD1DAE"/>
    <w:rsid w:val="00AD21EB"/>
    <w:rsid w:val="00AD33D1"/>
    <w:rsid w:val="00AD42FA"/>
    <w:rsid w:val="00AD4C47"/>
    <w:rsid w:val="00AD662A"/>
    <w:rsid w:val="00AD68B9"/>
    <w:rsid w:val="00AD74E6"/>
    <w:rsid w:val="00AE1D79"/>
    <w:rsid w:val="00AE33A7"/>
    <w:rsid w:val="00AE7C73"/>
    <w:rsid w:val="00AF3045"/>
    <w:rsid w:val="00AF3808"/>
    <w:rsid w:val="00AF5AF6"/>
    <w:rsid w:val="00AF6E41"/>
    <w:rsid w:val="00AF7FCA"/>
    <w:rsid w:val="00B00F3D"/>
    <w:rsid w:val="00B018E8"/>
    <w:rsid w:val="00B02A0C"/>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2AD0"/>
    <w:rsid w:val="00B73E2C"/>
    <w:rsid w:val="00B75764"/>
    <w:rsid w:val="00B7622F"/>
    <w:rsid w:val="00B778C9"/>
    <w:rsid w:val="00B87A9B"/>
    <w:rsid w:val="00B91157"/>
    <w:rsid w:val="00B929AB"/>
    <w:rsid w:val="00B96B6C"/>
    <w:rsid w:val="00BA01D5"/>
    <w:rsid w:val="00BA02A6"/>
    <w:rsid w:val="00BA1CB6"/>
    <w:rsid w:val="00BA22B4"/>
    <w:rsid w:val="00BA25DF"/>
    <w:rsid w:val="00BA26E9"/>
    <w:rsid w:val="00BA4C4B"/>
    <w:rsid w:val="00BA7D81"/>
    <w:rsid w:val="00BA7D8A"/>
    <w:rsid w:val="00BB0BD1"/>
    <w:rsid w:val="00BB3B1C"/>
    <w:rsid w:val="00BB4B64"/>
    <w:rsid w:val="00BB55B9"/>
    <w:rsid w:val="00BB5FA4"/>
    <w:rsid w:val="00BC009A"/>
    <w:rsid w:val="00BC3B27"/>
    <w:rsid w:val="00BC6A62"/>
    <w:rsid w:val="00BD0620"/>
    <w:rsid w:val="00BD24B1"/>
    <w:rsid w:val="00BD70DF"/>
    <w:rsid w:val="00BD75F4"/>
    <w:rsid w:val="00BD7954"/>
    <w:rsid w:val="00BE3042"/>
    <w:rsid w:val="00BE3FF8"/>
    <w:rsid w:val="00BE4F69"/>
    <w:rsid w:val="00BE56F1"/>
    <w:rsid w:val="00BF54D9"/>
    <w:rsid w:val="00BF6398"/>
    <w:rsid w:val="00BF77BF"/>
    <w:rsid w:val="00C03D72"/>
    <w:rsid w:val="00C0454B"/>
    <w:rsid w:val="00C11F69"/>
    <w:rsid w:val="00C12044"/>
    <w:rsid w:val="00C14963"/>
    <w:rsid w:val="00C14E89"/>
    <w:rsid w:val="00C165B0"/>
    <w:rsid w:val="00C16A6E"/>
    <w:rsid w:val="00C20036"/>
    <w:rsid w:val="00C20D90"/>
    <w:rsid w:val="00C21D75"/>
    <w:rsid w:val="00C24063"/>
    <w:rsid w:val="00C26373"/>
    <w:rsid w:val="00C31F2A"/>
    <w:rsid w:val="00C3328D"/>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55A1"/>
    <w:rsid w:val="00C76B53"/>
    <w:rsid w:val="00C77B4E"/>
    <w:rsid w:val="00C81D74"/>
    <w:rsid w:val="00C83337"/>
    <w:rsid w:val="00C83FA9"/>
    <w:rsid w:val="00C861EC"/>
    <w:rsid w:val="00C90325"/>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313B"/>
    <w:rsid w:val="00CE4F6C"/>
    <w:rsid w:val="00CF0D1B"/>
    <w:rsid w:val="00CF368E"/>
    <w:rsid w:val="00CF54EA"/>
    <w:rsid w:val="00CF7FFD"/>
    <w:rsid w:val="00D003A5"/>
    <w:rsid w:val="00D02676"/>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5AE4"/>
    <w:rsid w:val="00D4627E"/>
    <w:rsid w:val="00D46B2F"/>
    <w:rsid w:val="00D509A1"/>
    <w:rsid w:val="00D52346"/>
    <w:rsid w:val="00D54DDA"/>
    <w:rsid w:val="00D6072E"/>
    <w:rsid w:val="00D607D0"/>
    <w:rsid w:val="00D65019"/>
    <w:rsid w:val="00D67120"/>
    <w:rsid w:val="00D671ED"/>
    <w:rsid w:val="00D67F93"/>
    <w:rsid w:val="00D71FB3"/>
    <w:rsid w:val="00D76B61"/>
    <w:rsid w:val="00D77D52"/>
    <w:rsid w:val="00D8157A"/>
    <w:rsid w:val="00D829BF"/>
    <w:rsid w:val="00D83423"/>
    <w:rsid w:val="00D84D30"/>
    <w:rsid w:val="00D85F21"/>
    <w:rsid w:val="00D87473"/>
    <w:rsid w:val="00D900E3"/>
    <w:rsid w:val="00D90642"/>
    <w:rsid w:val="00D92466"/>
    <w:rsid w:val="00D92A95"/>
    <w:rsid w:val="00D92AD4"/>
    <w:rsid w:val="00D939C6"/>
    <w:rsid w:val="00D9506E"/>
    <w:rsid w:val="00D97EC1"/>
    <w:rsid w:val="00DA3D81"/>
    <w:rsid w:val="00DA4AE9"/>
    <w:rsid w:val="00DA50A4"/>
    <w:rsid w:val="00DB0E26"/>
    <w:rsid w:val="00DB140F"/>
    <w:rsid w:val="00DB3697"/>
    <w:rsid w:val="00DB6645"/>
    <w:rsid w:val="00DC6A89"/>
    <w:rsid w:val="00DD6711"/>
    <w:rsid w:val="00DD7875"/>
    <w:rsid w:val="00DE160B"/>
    <w:rsid w:val="00DE19A3"/>
    <w:rsid w:val="00DE2436"/>
    <w:rsid w:val="00DE2735"/>
    <w:rsid w:val="00DE493E"/>
    <w:rsid w:val="00DE5644"/>
    <w:rsid w:val="00DF08B7"/>
    <w:rsid w:val="00DF10B4"/>
    <w:rsid w:val="00DF1E98"/>
    <w:rsid w:val="00DF4A2F"/>
    <w:rsid w:val="00DF6D0E"/>
    <w:rsid w:val="00E00A17"/>
    <w:rsid w:val="00E00AF8"/>
    <w:rsid w:val="00E073FC"/>
    <w:rsid w:val="00E12C74"/>
    <w:rsid w:val="00E13A8A"/>
    <w:rsid w:val="00E15B8F"/>
    <w:rsid w:val="00E2038B"/>
    <w:rsid w:val="00E31883"/>
    <w:rsid w:val="00E35341"/>
    <w:rsid w:val="00E40798"/>
    <w:rsid w:val="00E47F4F"/>
    <w:rsid w:val="00E50152"/>
    <w:rsid w:val="00E5044D"/>
    <w:rsid w:val="00E50A36"/>
    <w:rsid w:val="00E51456"/>
    <w:rsid w:val="00E6651D"/>
    <w:rsid w:val="00E71B8F"/>
    <w:rsid w:val="00E754FB"/>
    <w:rsid w:val="00E75810"/>
    <w:rsid w:val="00E75ED4"/>
    <w:rsid w:val="00E82668"/>
    <w:rsid w:val="00E83996"/>
    <w:rsid w:val="00E85767"/>
    <w:rsid w:val="00E86EA2"/>
    <w:rsid w:val="00E92036"/>
    <w:rsid w:val="00E9288A"/>
    <w:rsid w:val="00E93161"/>
    <w:rsid w:val="00E938EC"/>
    <w:rsid w:val="00E942C5"/>
    <w:rsid w:val="00EA0369"/>
    <w:rsid w:val="00EB08CC"/>
    <w:rsid w:val="00EB0F26"/>
    <w:rsid w:val="00EB0FB3"/>
    <w:rsid w:val="00EB3230"/>
    <w:rsid w:val="00EB3267"/>
    <w:rsid w:val="00EB39DA"/>
    <w:rsid w:val="00EC0818"/>
    <w:rsid w:val="00EC29E1"/>
    <w:rsid w:val="00EC600A"/>
    <w:rsid w:val="00EC6858"/>
    <w:rsid w:val="00ED06BA"/>
    <w:rsid w:val="00ED490F"/>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294E"/>
    <w:rsid w:val="00F05A84"/>
    <w:rsid w:val="00F065C4"/>
    <w:rsid w:val="00F06CB1"/>
    <w:rsid w:val="00F104D1"/>
    <w:rsid w:val="00F15DEE"/>
    <w:rsid w:val="00F20055"/>
    <w:rsid w:val="00F216D8"/>
    <w:rsid w:val="00F24DE4"/>
    <w:rsid w:val="00F25141"/>
    <w:rsid w:val="00F40A85"/>
    <w:rsid w:val="00F41F8B"/>
    <w:rsid w:val="00F430AC"/>
    <w:rsid w:val="00F45746"/>
    <w:rsid w:val="00F464B0"/>
    <w:rsid w:val="00F507C9"/>
    <w:rsid w:val="00F5279A"/>
    <w:rsid w:val="00F53411"/>
    <w:rsid w:val="00F54FAB"/>
    <w:rsid w:val="00F554B9"/>
    <w:rsid w:val="00F6317B"/>
    <w:rsid w:val="00F64DCD"/>
    <w:rsid w:val="00F65077"/>
    <w:rsid w:val="00F66EEF"/>
    <w:rsid w:val="00F67407"/>
    <w:rsid w:val="00F71D96"/>
    <w:rsid w:val="00F72FE2"/>
    <w:rsid w:val="00F7419A"/>
    <w:rsid w:val="00F77178"/>
    <w:rsid w:val="00F8092C"/>
    <w:rsid w:val="00F80940"/>
    <w:rsid w:val="00F81447"/>
    <w:rsid w:val="00F83584"/>
    <w:rsid w:val="00F836E7"/>
    <w:rsid w:val="00F84AD0"/>
    <w:rsid w:val="00F8509A"/>
    <w:rsid w:val="00F85489"/>
    <w:rsid w:val="00F9039F"/>
    <w:rsid w:val="00F90A42"/>
    <w:rsid w:val="00F961E1"/>
    <w:rsid w:val="00FA11C5"/>
    <w:rsid w:val="00FA6FEB"/>
    <w:rsid w:val="00FA784E"/>
    <w:rsid w:val="00FA796E"/>
    <w:rsid w:val="00FB0B4A"/>
    <w:rsid w:val="00FB5DBE"/>
    <w:rsid w:val="00FB62A7"/>
    <w:rsid w:val="00FB7E6D"/>
    <w:rsid w:val="00FD1177"/>
    <w:rsid w:val="00FD17D7"/>
    <w:rsid w:val="00FD23B0"/>
    <w:rsid w:val="00FD274A"/>
    <w:rsid w:val="00FD3D0F"/>
    <w:rsid w:val="00FD777C"/>
    <w:rsid w:val="00FE1AFF"/>
    <w:rsid w:val="00FE4EA1"/>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C9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 w:type="character" w:styleId="UnresolvedMention">
    <w:name w:val="Unresolved Mention"/>
    <w:basedOn w:val="DefaultParagraphFont"/>
    <w:uiPriority w:val="99"/>
    <w:semiHidden/>
    <w:unhideWhenUsed/>
    <w:rsid w:val="0045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teor.aihw.gov.au/content/index.phtml/itemId/711010" TargetMode="External"/><Relationship Id="rId13" Type="http://schemas.openxmlformats.org/officeDocument/2006/relationships/hyperlink" Target="https://meteor.aihw.gov.au/content/index.phtml/itemId/652537" TargetMode="External"/><Relationship Id="rId18" Type="http://schemas.openxmlformats.org/officeDocument/2006/relationships/hyperlink" Target="https://meteor.aihw.gov.au/content/index.phtml/itemId/69710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ihw.gov.au/reports/technical-report/national-health-data-dictionary-version-16-2/summa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teor.aihw.gov.au/content/index.phtml/itemId/697105" TargetMode="External"/><Relationship Id="rId17" Type="http://schemas.openxmlformats.org/officeDocument/2006/relationships/hyperlink" Target="https://www.ihacpa.gov.au/resources/general-list-scope-public-hospital-services-eligibility-policy"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ederalfinancialrelations.gov.au/sites/federalfinancialrelations.gov.au/files/2021-08/national-agreement.pdf" TargetMode="External"/><Relationship Id="rId20" Type="http://schemas.openxmlformats.org/officeDocument/2006/relationships/hyperlink" Target="https://www.safetyandquality.gov.au/our-work/indicators-measurement-and-reporting/incident-management-and-sentinel-ev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dicators/hospital-acquired-complications/" TargetMode="External"/><Relationship Id="rId24" Type="http://schemas.openxmlformats.org/officeDocument/2006/relationships/hyperlink" Target="https://www.aihw.gov.au/reports/technical-report/national-health-data-dictionary-version-16-2/summary"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gov.au/Series/C2011A00009" TargetMode="External"/><Relationship Id="rId23" Type="http://schemas.openxmlformats.org/officeDocument/2006/relationships/hyperlink" Target="https://meteor.aihw.gov.au/content/index.phtml/itemId/697105" TargetMode="External"/><Relationship Id="rId28" Type="http://schemas.openxmlformats.org/officeDocument/2006/relationships/footer" Target="footer3.xml"/><Relationship Id="rId10" Type="http://schemas.openxmlformats.org/officeDocument/2006/relationships/hyperlink" Target="https://www.safetyandquality.gov.au/our-work/indicators/avoidable-hospital-readmissions" TargetMode="External"/><Relationship Id="rId19" Type="http://schemas.openxmlformats.org/officeDocument/2006/relationships/hyperlink" Target="https://meteor.aihw.gov.au/content/index.phtml/itemId/697105"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ederalfinancialrelations.gov.au/sites/federalfinancialrelations.gov.au/files/2021-07/NHRA_2020-25_Addendum.pdf" TargetMode="External"/><Relationship Id="rId14" Type="http://schemas.openxmlformats.org/officeDocument/2006/relationships/hyperlink" Target="https://www.aihw.gov.au/reports/technical-report/national-health-data-dictionary-version-16-2/summary" TargetMode="External"/><Relationship Id="rId22" Type="http://schemas.openxmlformats.org/officeDocument/2006/relationships/hyperlink" Target="https://meteor.aihw.gov.au/content/index.phtml/itemId/711010" TargetMode="Externa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3BA4-0964-4E83-980D-EAEB1AC3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2024-03-12T06:52:00Z</dcterms:created>
  <dcterms:modified xsi:type="dcterms:W3CDTF">2024-03-15T03:29:00Z</dcterms:modified>
</cp:coreProperties>
</file>